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F94133">
      <w:pPr>
        <w:spacing w:line="360" w:lineRule="auto"/>
        <w:ind w:firstLine="144" w:firstLineChars="50"/>
        <w:rPr>
          <w:rFonts w:hint="eastAsia" w:ascii="宋体" w:hAnsi="宋体" w:eastAsia="宋体" w:cs="宋体"/>
          <w:color w:val="auto"/>
          <w:sz w:val="60"/>
          <w:szCs w:val="60"/>
        </w:rPr>
      </w:pPr>
      <w:r>
        <w:rPr>
          <w:rFonts w:hint="eastAsia" w:ascii="仿宋" w:hAnsi="仿宋" w:eastAsia="仿宋" w:cs="仿宋"/>
          <w:color w:val="auto"/>
          <w:spacing w:val="24"/>
          <w:sz w:val="24"/>
          <w:szCs w:val="24"/>
          <w:lang w:val="en-US"/>
        </w:rPr>
        <w:drawing>
          <wp:inline distT="0" distB="0" distL="114300" distR="114300">
            <wp:extent cx="1548130" cy="1261745"/>
            <wp:effectExtent l="0" t="0" r="13970" b="14605"/>
            <wp:docPr id="1" name="图片 1" descr="c95f9229748502709ef4a8f2557e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95f9229748502709ef4a8f2557e514"/>
                    <pic:cNvPicPr>
                      <a:picLocks noChangeAspect="1"/>
                    </pic:cNvPicPr>
                  </pic:nvPicPr>
                  <pic:blipFill>
                    <a:blip r:embed="rId17"/>
                    <a:stretch>
                      <a:fillRect/>
                    </a:stretch>
                  </pic:blipFill>
                  <pic:spPr>
                    <a:xfrm>
                      <a:off x="0" y="0"/>
                      <a:ext cx="1548130" cy="1261745"/>
                    </a:xfrm>
                    <a:prstGeom prst="rect">
                      <a:avLst/>
                    </a:prstGeom>
                    <a:noFill/>
                    <a:ln>
                      <a:noFill/>
                    </a:ln>
                  </pic:spPr>
                </pic:pic>
              </a:graphicData>
            </a:graphic>
          </wp:inline>
        </w:drawing>
      </w:r>
    </w:p>
    <w:p w14:paraId="7C496E56">
      <w:pPr>
        <w:spacing w:line="360" w:lineRule="auto"/>
        <w:ind w:firstLine="300" w:firstLineChars="50"/>
        <w:rPr>
          <w:rFonts w:hint="eastAsia" w:ascii="宋体" w:hAnsi="宋体" w:eastAsia="宋体" w:cs="宋体"/>
          <w:color w:val="auto"/>
          <w:sz w:val="60"/>
          <w:szCs w:val="60"/>
        </w:rPr>
      </w:pPr>
    </w:p>
    <w:p w14:paraId="676716AA">
      <w:pPr>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北京市政府采购项目</w:t>
      </w:r>
    </w:p>
    <w:p w14:paraId="56A848AE">
      <w:pPr>
        <w:jc w:val="center"/>
        <w:rPr>
          <w:rFonts w:hint="eastAsia" w:ascii="宋体" w:hAnsi="宋体" w:eastAsia="宋体" w:cs="宋体"/>
          <w:b/>
          <w:bCs/>
          <w:color w:val="auto"/>
          <w:sz w:val="60"/>
          <w:szCs w:val="60"/>
        </w:rPr>
      </w:pPr>
      <w:r>
        <w:rPr>
          <w:rFonts w:hint="eastAsia" w:ascii="宋体" w:hAnsi="宋体" w:eastAsia="宋体" w:cs="宋体"/>
          <w:b/>
          <w:bCs/>
          <w:color w:val="auto"/>
          <w:sz w:val="72"/>
          <w:szCs w:val="72"/>
        </w:rPr>
        <w:t>公开招标文件</w:t>
      </w:r>
    </w:p>
    <w:p w14:paraId="58C46C97">
      <w:pPr>
        <w:spacing w:line="360" w:lineRule="auto"/>
        <w:jc w:val="center"/>
        <w:rPr>
          <w:rFonts w:hint="eastAsia" w:ascii="宋体" w:hAnsi="宋体" w:eastAsia="宋体" w:cs="宋体"/>
          <w:color w:val="auto"/>
          <w:sz w:val="60"/>
          <w:szCs w:val="60"/>
        </w:rPr>
      </w:pPr>
    </w:p>
    <w:p w14:paraId="25CD9607">
      <w:pPr>
        <w:tabs>
          <w:tab w:val="left" w:pos="3240"/>
          <w:tab w:val="left" w:pos="3420"/>
        </w:tabs>
        <w:spacing w:line="360" w:lineRule="auto"/>
        <w:ind w:left="2832" w:leftChars="444" w:hanging="1900" w:hangingChars="528"/>
        <w:jc w:val="left"/>
        <w:rPr>
          <w:rFonts w:hint="eastAsia" w:ascii="宋体" w:hAnsi="宋体" w:eastAsia="宋体" w:cs="宋体"/>
          <w:bCs/>
          <w:color w:val="auto"/>
          <w:sz w:val="36"/>
          <w:szCs w:val="36"/>
        </w:rPr>
      </w:pPr>
    </w:p>
    <w:p w14:paraId="6F034AA2">
      <w:pPr>
        <w:tabs>
          <w:tab w:val="left" w:pos="3240"/>
          <w:tab w:val="left" w:pos="3420"/>
        </w:tabs>
        <w:spacing w:line="360" w:lineRule="auto"/>
        <w:ind w:left="2832" w:leftChars="444" w:hanging="1900" w:hangingChars="528"/>
        <w:jc w:val="left"/>
        <w:rPr>
          <w:rFonts w:hint="eastAsia" w:ascii="宋体" w:hAnsi="宋体" w:eastAsia="宋体" w:cs="宋体"/>
          <w:bCs/>
          <w:color w:val="auto"/>
          <w:sz w:val="36"/>
          <w:szCs w:val="36"/>
        </w:rPr>
      </w:pPr>
    </w:p>
    <w:p w14:paraId="38D1D38D">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36"/>
          <w:szCs w:val="36"/>
          <w:highlight w:val="none"/>
          <w:u w:val="none"/>
        </w:rPr>
      </w:pPr>
    </w:p>
    <w:p w14:paraId="774333A0">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40"/>
          <w:szCs w:val="40"/>
          <w:highlight w:val="none"/>
          <w:u w:val="none"/>
          <w:lang w:eastAsia="zh-CN"/>
        </w:rPr>
      </w:pPr>
      <w:r>
        <w:rPr>
          <w:rFonts w:hint="eastAsia" w:ascii="宋体" w:hAnsi="宋体" w:eastAsia="宋体" w:cs="宋体"/>
          <w:b/>
          <w:bCs w:val="0"/>
          <w:color w:val="auto"/>
          <w:sz w:val="40"/>
          <w:szCs w:val="40"/>
          <w:highlight w:val="none"/>
          <w:u w:val="none"/>
        </w:rPr>
        <w:t>项目名称：</w:t>
      </w:r>
      <w:r>
        <w:rPr>
          <w:rFonts w:hint="eastAsia" w:ascii="宋体" w:hAnsi="宋体" w:cs="宋体"/>
          <w:b/>
          <w:bCs w:val="0"/>
          <w:color w:val="auto"/>
          <w:sz w:val="40"/>
          <w:szCs w:val="40"/>
          <w:highlight w:val="none"/>
          <w:u w:val="none"/>
          <w:lang w:eastAsia="zh-CN"/>
        </w:rPr>
        <w:t>2026年信息化项目</w:t>
      </w:r>
    </w:p>
    <w:p w14:paraId="138210BF">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40"/>
          <w:szCs w:val="40"/>
          <w:highlight w:val="none"/>
          <w:lang w:val="en-US" w:eastAsia="zh-CN"/>
        </w:rPr>
      </w:pPr>
      <w:r>
        <w:rPr>
          <w:rFonts w:hint="eastAsia" w:ascii="宋体" w:hAnsi="宋体" w:eastAsia="宋体" w:cs="宋体"/>
          <w:b/>
          <w:bCs w:val="0"/>
          <w:color w:val="auto"/>
          <w:sz w:val="40"/>
          <w:szCs w:val="40"/>
          <w:highlight w:val="none"/>
          <w:u w:val="none"/>
        </w:rPr>
        <w:t>项目编号/包号：</w:t>
      </w:r>
      <w:r>
        <w:rPr>
          <w:rFonts w:hint="eastAsia" w:ascii="宋体" w:hAnsi="宋体" w:cs="宋体"/>
          <w:b/>
          <w:bCs w:val="0"/>
          <w:color w:val="auto"/>
          <w:sz w:val="40"/>
          <w:szCs w:val="40"/>
          <w:highlight w:val="none"/>
          <w:u w:val="none"/>
          <w:lang w:val="en-US" w:eastAsia="zh-CN"/>
        </w:rPr>
        <w:t>11011626210200017641-XM001</w:t>
      </w:r>
      <w:r>
        <w:rPr>
          <w:rFonts w:hint="eastAsia" w:ascii="宋体" w:hAnsi="宋体" w:eastAsia="宋体" w:cs="宋体"/>
          <w:b/>
          <w:bCs w:val="0"/>
          <w:color w:val="auto"/>
          <w:sz w:val="40"/>
          <w:szCs w:val="40"/>
          <w:highlight w:val="none"/>
          <w:u w:val="none"/>
        </w:rPr>
        <w:t>/0</w:t>
      </w:r>
      <w:r>
        <w:rPr>
          <w:rFonts w:hint="eastAsia" w:ascii="宋体" w:hAnsi="宋体" w:cs="宋体"/>
          <w:b/>
          <w:bCs w:val="0"/>
          <w:color w:val="auto"/>
          <w:sz w:val="40"/>
          <w:szCs w:val="40"/>
          <w:highlight w:val="none"/>
          <w:u w:val="none"/>
          <w:lang w:val="en-US" w:eastAsia="zh-CN"/>
        </w:rPr>
        <w:t>1</w:t>
      </w:r>
    </w:p>
    <w:p w14:paraId="03F3E51C">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40"/>
          <w:szCs w:val="40"/>
          <w:lang w:eastAsia="zh-CN"/>
        </w:rPr>
      </w:pPr>
      <w:r>
        <w:rPr>
          <w:rFonts w:hint="eastAsia" w:ascii="宋体" w:hAnsi="宋体" w:eastAsia="宋体" w:cs="宋体"/>
          <w:b/>
          <w:bCs w:val="0"/>
          <w:color w:val="auto"/>
          <w:sz w:val="40"/>
          <w:szCs w:val="40"/>
        </w:rPr>
        <w:t>采 购 人：</w:t>
      </w:r>
      <w:r>
        <w:rPr>
          <w:rFonts w:hint="eastAsia" w:ascii="宋体" w:hAnsi="宋体" w:cs="宋体"/>
          <w:b/>
          <w:bCs w:val="0"/>
          <w:color w:val="auto"/>
          <w:sz w:val="40"/>
          <w:szCs w:val="40"/>
          <w:lang w:eastAsia="zh-CN"/>
        </w:rPr>
        <w:t>北京市怀柔区国防动员办公室</w:t>
      </w:r>
    </w:p>
    <w:p w14:paraId="2F83A4DC">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36"/>
          <w:szCs w:val="36"/>
        </w:rPr>
      </w:pPr>
      <w:r>
        <w:rPr>
          <w:rFonts w:hint="eastAsia" w:ascii="宋体" w:hAnsi="宋体" w:eastAsia="宋体" w:cs="宋体"/>
          <w:b/>
          <w:bCs w:val="0"/>
          <w:color w:val="auto"/>
          <w:sz w:val="40"/>
          <w:szCs w:val="40"/>
        </w:rPr>
        <w:t>采购代理机构：中归咨询管理（北京）有限公司</w:t>
      </w:r>
      <w:r>
        <w:rPr>
          <w:rFonts w:hint="eastAsia" w:ascii="宋体" w:hAnsi="宋体" w:eastAsia="宋体" w:cs="宋体"/>
          <w:bCs/>
          <w:color w:val="auto"/>
          <w:sz w:val="36"/>
          <w:szCs w:val="36"/>
        </w:rPr>
        <w:t xml:space="preserve"> </w:t>
      </w:r>
    </w:p>
    <w:p w14:paraId="1D6D3175">
      <w:pPr>
        <w:widowControl/>
        <w:jc w:val="left"/>
        <w:rPr>
          <w:rFonts w:hint="eastAsia" w:ascii="宋体" w:hAnsi="宋体" w:eastAsia="宋体" w:cs="宋体"/>
          <w:b/>
          <w:bCs/>
          <w:color w:val="auto"/>
          <w:sz w:val="44"/>
        </w:rPr>
      </w:pPr>
      <w:r>
        <w:rPr>
          <w:rFonts w:hint="eastAsia" w:ascii="宋体" w:hAnsi="宋体" w:eastAsia="宋体" w:cs="宋体"/>
          <w:b/>
          <w:bCs/>
          <w:color w:val="auto"/>
          <w:sz w:val="44"/>
        </w:rPr>
        <w:br w:type="page"/>
      </w:r>
    </w:p>
    <w:p w14:paraId="0D3EF03D">
      <w:pPr>
        <w:spacing w:line="360" w:lineRule="auto"/>
        <w:jc w:val="center"/>
        <w:outlineLvl w:val="0"/>
        <w:rPr>
          <w:rFonts w:hint="eastAsia" w:ascii="宋体" w:hAnsi="宋体" w:eastAsia="宋体" w:cs="宋体"/>
          <w:b/>
          <w:color w:val="auto"/>
          <w:sz w:val="36"/>
          <w:szCs w:val="36"/>
        </w:rPr>
      </w:pPr>
      <w:bookmarkStart w:id="0" w:name="_Toc99301418"/>
      <w:r>
        <w:rPr>
          <w:rFonts w:hint="eastAsia" w:ascii="宋体" w:hAnsi="宋体" w:eastAsia="宋体" w:cs="宋体"/>
          <w:b/>
          <w:color w:val="auto"/>
          <w:sz w:val="36"/>
          <w:szCs w:val="36"/>
        </w:rPr>
        <w:t>目      录</w:t>
      </w:r>
      <w:bookmarkEnd w:id="0"/>
    </w:p>
    <w:p w14:paraId="5F2E00EA">
      <w:pPr>
        <w:rPr>
          <w:rFonts w:hint="eastAsia" w:ascii="宋体" w:hAnsi="宋体" w:eastAsia="宋体" w:cs="宋体"/>
          <w:color w:val="auto"/>
        </w:rPr>
      </w:pPr>
    </w:p>
    <w:p w14:paraId="34CD546D">
      <w:pPr>
        <w:pStyle w:val="32"/>
        <w:rPr>
          <w:rFonts w:hint="eastAsia" w:ascii="宋体" w:hAnsi="宋体" w:eastAsia="宋体" w:cs="宋体"/>
          <w:b w:val="0"/>
          <w:color w:val="auto"/>
          <w:sz w:val="21"/>
          <w:szCs w:val="22"/>
        </w:rPr>
      </w:pPr>
      <w:r>
        <w:rPr>
          <w:rFonts w:hint="eastAsia" w:ascii="宋体" w:hAnsi="宋体" w:eastAsia="宋体" w:cs="宋体"/>
          <w:b w:val="0"/>
          <w:color w:val="auto"/>
        </w:rPr>
        <w:fldChar w:fldCharType="begin"/>
      </w:r>
      <w:r>
        <w:rPr>
          <w:rFonts w:hint="eastAsia" w:ascii="宋体" w:hAnsi="宋体" w:eastAsia="宋体" w:cs="宋体"/>
          <w:b w:val="0"/>
          <w:color w:val="auto"/>
        </w:rPr>
        <w:instrText xml:space="preserve"> TOC \o "1-1" \h \z \u </w:instrText>
      </w:r>
      <w:r>
        <w:rPr>
          <w:rFonts w:hint="eastAsia" w:ascii="宋体" w:hAnsi="宋体" w:eastAsia="宋体" w:cs="宋体"/>
          <w:b w:val="0"/>
          <w:color w:val="auto"/>
        </w:rPr>
        <w:fldChar w:fldCharType="separate"/>
      </w:r>
    </w:p>
    <w:p w14:paraId="3ACD46D7">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"_Toc99301419"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第一章   投标邀请</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_Toc99301419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4D2F856">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"_Toc99301420"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第二章   投标人须知</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5</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6470A06">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"_Toc99301421"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第三章   资格审查</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77F6420">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"_Toc99301423"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第四章   评标程序、评标方法和评标标准</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23</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D37D86A">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"_Toc99301424"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第五章   采购需求</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E38A23C">
      <w:pPr>
        <w:pStyle w:val="32"/>
        <w:spacing w:line="360" w:lineRule="auto"/>
        <w:rPr>
          <w:rFonts w:hint="eastAsia" w:ascii="宋体" w:hAnsi="宋体" w:eastAsia="宋体" w:cs="宋体"/>
          <w:b w:val="0"/>
          <w:color w:val="auto"/>
          <w:sz w:val="22"/>
          <w:szCs w:val="24"/>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"_Toc99301425"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第六章   拟签订的合同文本</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_Toc99301425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100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ACF18D6">
      <w:pPr>
        <w:pStyle w:val="32"/>
        <w:spacing w:line="360" w:lineRule="auto"/>
        <w:rPr>
          <w:rFonts w:hint="eastAsia" w:ascii="宋体" w:hAnsi="宋体" w:eastAsia="宋体" w:cs="宋体"/>
          <w:b w:val="0"/>
          <w:color w:val="auto"/>
          <w:sz w:val="21"/>
          <w:szCs w:val="22"/>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"_Toc99301426" </w:instrText>
      </w:r>
      <w:r>
        <w:rPr>
          <w:rFonts w:hint="eastAsia" w:ascii="宋体" w:hAnsi="宋体" w:eastAsia="宋体" w:cs="宋体"/>
          <w:color w:val="auto"/>
          <w:sz w:val="28"/>
          <w:szCs w:val="28"/>
        </w:rPr>
        <w:fldChar w:fldCharType="separate"/>
      </w:r>
      <w:r>
        <w:rPr>
          <w:rStyle w:val="53"/>
          <w:rFonts w:hint="eastAsia" w:ascii="宋体" w:hAnsi="宋体" w:eastAsia="宋体" w:cs="宋体"/>
          <w:color w:val="auto"/>
          <w:sz w:val="28"/>
          <w:szCs w:val="28"/>
        </w:rPr>
        <w:t>第七章   投标文件格式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_Toc99301426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112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066DDFB">
      <w:pPr>
        <w:pStyle w:val="32"/>
        <w:spacing w:line="480" w:lineRule="auto"/>
        <w:rPr>
          <w:rFonts w:hint="eastAsia" w:ascii="宋体" w:hAnsi="宋体" w:eastAsia="宋体" w:cs="宋体"/>
          <w:b w:val="0"/>
          <w:color w:val="auto"/>
        </w:rPr>
      </w:pPr>
      <w:r>
        <w:rPr>
          <w:rFonts w:hint="eastAsia" w:ascii="宋体" w:hAnsi="宋体" w:eastAsia="宋体" w:cs="宋体"/>
          <w:b w:val="0"/>
          <w:color w:val="auto"/>
        </w:rPr>
        <w:fldChar w:fldCharType="end"/>
      </w:r>
    </w:p>
    <w:p w14:paraId="1BD35677">
      <w:pPr>
        <w:rPr>
          <w:rFonts w:hint="eastAsia" w:ascii="宋体" w:hAnsi="宋体" w:eastAsia="宋体" w:cs="宋体"/>
          <w:color w:val="auto"/>
        </w:rPr>
      </w:pPr>
    </w:p>
    <w:p w14:paraId="68CB2A6B">
      <w:pPr>
        <w:pStyle w:val="32"/>
        <w:spacing w:line="360" w:lineRule="auto"/>
        <w:rPr>
          <w:rFonts w:hint="eastAsia" w:ascii="宋体" w:hAnsi="宋体" w:eastAsia="宋体" w:cs="宋体"/>
          <w:b w:val="0"/>
          <w:color w:val="auto"/>
        </w:rPr>
      </w:pPr>
    </w:p>
    <w:p w14:paraId="661A2819">
      <w:pPr>
        <w:spacing w:line="360" w:lineRule="auto"/>
        <w:jc w:val="center"/>
        <w:outlineLvl w:val="0"/>
        <w:rPr>
          <w:rFonts w:hint="eastAsia" w:ascii="宋体" w:hAnsi="宋体" w:eastAsia="宋体" w:cs="宋体"/>
          <w:b/>
          <w:color w:val="auto"/>
          <w:sz w:val="36"/>
          <w:szCs w:val="36"/>
        </w:rPr>
        <w:sectPr>
          <w:headerReference r:id="rId4" w:type="first"/>
          <w:footerReference r:id="rId5" w:type="first"/>
          <w:headerReference r:id="rId3" w:type="default"/>
          <w:type w:val="nextColumn"/>
          <w:pgSz w:w="11907" w:h="16840"/>
          <w:pgMar w:top="1418" w:right="1134" w:bottom="1418" w:left="1134" w:header="851" w:footer="851" w:gutter="0"/>
          <w:pgNumType w:start="0"/>
          <w:cols w:space="720" w:num="1"/>
          <w:titlePg/>
          <w:docGrid w:linePitch="462" w:charSpace="0"/>
        </w:sectPr>
      </w:pPr>
      <w:bookmarkStart w:id="1" w:name="_Toc99301419"/>
    </w:p>
    <w:p w14:paraId="22E2018E">
      <w:pPr>
        <w:spacing w:line="360" w:lineRule="auto"/>
        <w:jc w:val="center"/>
        <w:outlineLvl w:val="0"/>
        <w:rPr>
          <w:rFonts w:hint="eastAsia" w:ascii="宋体" w:hAnsi="宋体" w:eastAsia="宋体" w:cs="宋体"/>
          <w:b/>
          <w:color w:val="auto"/>
          <w:sz w:val="36"/>
          <w:szCs w:val="36"/>
        </w:rPr>
      </w:pPr>
      <w:r>
        <w:rPr>
          <w:rFonts w:hint="eastAsia" w:ascii="宋体" w:hAnsi="宋体" w:eastAsia="宋体" w:cs="宋体"/>
          <w:b/>
          <w:color w:val="auto"/>
          <w:sz w:val="36"/>
          <w:szCs w:val="36"/>
        </w:rPr>
        <w:t>第一章   投标邀请</w:t>
      </w:r>
      <w:bookmarkEnd w:id="1"/>
    </w:p>
    <w:p w14:paraId="4FA5F1A8">
      <w:pPr>
        <w:pStyle w:val="3"/>
        <w:spacing w:before="0" w:line="360" w:lineRule="auto"/>
        <w:jc w:val="left"/>
        <w:rPr>
          <w:rFonts w:hint="eastAsia" w:ascii="宋体" w:hAnsi="宋体" w:eastAsia="宋体" w:cs="宋体"/>
          <w:color w:val="auto"/>
          <w:sz w:val="24"/>
          <w:szCs w:val="24"/>
        </w:rPr>
      </w:pPr>
      <w:bookmarkStart w:id="2" w:name="_Toc35393790"/>
      <w:bookmarkStart w:id="3" w:name="_Toc35393621"/>
      <w:bookmarkStart w:id="4" w:name="_Toc28359079"/>
      <w:bookmarkStart w:id="5" w:name="_Toc28359002"/>
      <w:bookmarkStart w:id="6" w:name="_Hlk24379207"/>
      <w:r>
        <w:rPr>
          <w:rFonts w:hint="eastAsia" w:ascii="宋体" w:hAnsi="宋体" w:eastAsia="宋体" w:cs="宋体"/>
          <w:color w:val="auto"/>
          <w:sz w:val="24"/>
          <w:szCs w:val="24"/>
        </w:rPr>
        <w:t>一、项目基本情况</w:t>
      </w:r>
      <w:bookmarkEnd w:id="2"/>
      <w:bookmarkEnd w:id="3"/>
      <w:bookmarkEnd w:id="4"/>
      <w:bookmarkEnd w:id="5"/>
    </w:p>
    <w:p w14:paraId="65AEF948">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1.项目编号：</w:t>
      </w:r>
      <w:r>
        <w:rPr>
          <w:rFonts w:hint="eastAsia" w:ascii="宋体" w:hAnsi="宋体" w:cs="宋体"/>
          <w:color w:val="auto"/>
          <w:sz w:val="24"/>
          <w:highlight w:val="none"/>
          <w:u w:val="single"/>
          <w:lang w:val="en-US" w:eastAsia="zh-CN"/>
        </w:rPr>
        <w:t>11011626210200017641-XM001</w:t>
      </w:r>
    </w:p>
    <w:p w14:paraId="6BC8886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cs="宋体"/>
          <w:color w:val="auto"/>
          <w:sz w:val="24"/>
          <w:highlight w:val="none"/>
          <w:u w:val="single"/>
          <w:lang w:eastAsia="zh-CN"/>
        </w:rPr>
        <w:t>2026年信息化项目</w:t>
      </w:r>
    </w:p>
    <w:bookmarkEnd w:id="6"/>
    <w:p w14:paraId="5B2278CB">
      <w:pPr>
        <w:spacing w:line="360" w:lineRule="auto"/>
        <w:ind w:firstLine="480" w:firstLineChars="200"/>
        <w:rPr>
          <w:rFonts w:hint="default" w:ascii="宋体" w:hAnsi="宋体" w:eastAsia="宋体" w:cs="宋体"/>
          <w:color w:val="auto"/>
          <w:sz w:val="24"/>
          <w:lang w:val="en-US" w:eastAsia="zh-CN"/>
        </w:rPr>
      </w:pPr>
      <w:r>
        <w:rPr>
          <w:rFonts w:hint="eastAsia" w:ascii="宋体" w:hAnsi="宋体" w:eastAsia="宋体" w:cs="宋体"/>
          <w:color w:val="auto"/>
          <w:sz w:val="24"/>
        </w:rPr>
        <w:t>3.项目预算金额：</w:t>
      </w:r>
      <w:r>
        <w:rPr>
          <w:rFonts w:hint="eastAsia" w:ascii="宋体" w:hAnsi="宋体" w:cs="宋体"/>
          <w:color w:val="auto"/>
          <w:sz w:val="24"/>
          <w:highlight w:val="none"/>
          <w:u w:val="single"/>
          <w:lang w:val="en-US" w:eastAsia="zh-CN"/>
        </w:rPr>
        <w:t>174.0796</w:t>
      </w:r>
      <w:r>
        <w:rPr>
          <w:rFonts w:hint="eastAsia" w:ascii="宋体" w:hAnsi="宋体" w:cs="宋体"/>
          <w:color w:val="auto"/>
          <w:sz w:val="24"/>
          <w:highlight w:val="none"/>
          <w:u w:val="none"/>
          <w:lang w:val="en-US" w:eastAsia="zh-CN"/>
        </w:rPr>
        <w:t>万</w:t>
      </w:r>
      <w:r>
        <w:rPr>
          <w:rFonts w:hint="eastAsia" w:ascii="宋体" w:hAnsi="宋体" w:eastAsia="宋体" w:cs="宋体"/>
          <w:color w:val="auto"/>
          <w:sz w:val="24"/>
          <w:highlight w:val="none"/>
        </w:rPr>
        <w:t>元</w:t>
      </w:r>
    </w:p>
    <w:p w14:paraId="6432FA17">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采购需求：为完善怀柔区人防应急指挥系统，计划对宝山镇、琉璃庙镇人防应急指挥中心进行升级改造采购设备主要包括拼接屏、视频矩阵、音频矩阵、会议摄像头、高清视频解码器、光端机、视频会议系统、音响系统等。</w:t>
      </w:r>
      <w:r>
        <w:rPr>
          <w:rFonts w:hint="eastAsia" w:ascii="宋体" w:hAnsi="宋体" w:cs="宋体"/>
          <w:color w:val="auto"/>
          <w:sz w:val="24"/>
          <w:lang w:val="en-US" w:eastAsia="zh-CN"/>
        </w:rPr>
        <w:t>具体</w:t>
      </w:r>
      <w:r>
        <w:rPr>
          <w:rFonts w:hint="eastAsia" w:ascii="宋体" w:hAnsi="宋体" w:eastAsia="宋体" w:cs="宋体"/>
          <w:color w:val="auto"/>
          <w:sz w:val="24"/>
        </w:rPr>
        <w:t>详见第五章采购需求。</w:t>
      </w:r>
    </w:p>
    <w:p w14:paraId="4392A54F">
      <w:pPr>
        <w:spacing w:line="360" w:lineRule="auto"/>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5.合同履行期限：</w:t>
      </w:r>
      <w:r>
        <w:rPr>
          <w:rFonts w:hint="eastAsia" w:ascii="宋体" w:hAnsi="宋体" w:cs="宋体"/>
          <w:color w:val="auto"/>
          <w:sz w:val="24"/>
          <w:highlight w:val="none"/>
          <w:u w:val="single"/>
          <w:lang w:val="en-US" w:eastAsia="zh-CN"/>
        </w:rPr>
        <w:t>自合同签订起120个日历天内完成送货、安装、调试等工作。</w:t>
      </w:r>
    </w:p>
    <w:p w14:paraId="70814459">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6.本项目是否接受联合体投标：□是  </w:t>
      </w: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否。</w:t>
      </w:r>
    </w:p>
    <w:p w14:paraId="105D487F">
      <w:pPr>
        <w:pStyle w:val="3"/>
        <w:spacing w:before="0" w:line="360" w:lineRule="auto"/>
        <w:jc w:val="left"/>
        <w:rPr>
          <w:rFonts w:hint="eastAsia" w:ascii="宋体" w:hAnsi="宋体" w:eastAsia="宋体" w:cs="宋体"/>
          <w:color w:val="auto"/>
          <w:sz w:val="24"/>
          <w:szCs w:val="24"/>
        </w:rPr>
      </w:pPr>
      <w:bookmarkStart w:id="7" w:name="_Toc28359080"/>
      <w:bookmarkStart w:id="8" w:name="_Toc28359003"/>
      <w:bookmarkStart w:id="9" w:name="_Toc35393622"/>
      <w:bookmarkStart w:id="10" w:name="_Toc35393791"/>
      <w:r>
        <w:rPr>
          <w:rFonts w:hint="eastAsia" w:ascii="宋体" w:hAnsi="宋体" w:eastAsia="宋体" w:cs="宋体"/>
          <w:color w:val="auto"/>
          <w:sz w:val="24"/>
          <w:szCs w:val="24"/>
        </w:rPr>
        <w:t>二、申请人的资格要求（须同时满足）</w:t>
      </w:r>
      <w:bookmarkEnd w:id="7"/>
      <w:bookmarkEnd w:id="8"/>
      <w:bookmarkEnd w:id="9"/>
      <w:bookmarkEnd w:id="10"/>
    </w:p>
    <w:p w14:paraId="6DF3CB52">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1.满足《中华人民共和国政府采购法》第二十二条规定；</w:t>
      </w:r>
    </w:p>
    <w:p w14:paraId="18CB55C3">
      <w:pPr>
        <w:spacing w:line="360" w:lineRule="auto"/>
        <w:ind w:firstLine="480" w:firstLineChars="200"/>
        <w:rPr>
          <w:rFonts w:hint="eastAsia" w:ascii="宋体" w:hAnsi="宋体" w:eastAsia="宋体" w:cs="宋体"/>
          <w:color w:val="auto"/>
          <w:sz w:val="24"/>
        </w:rPr>
      </w:pPr>
      <w:bookmarkStart w:id="11" w:name="_Toc28359081"/>
      <w:bookmarkStart w:id="12" w:name="_Toc28359004"/>
      <w:r>
        <w:rPr>
          <w:rFonts w:hint="eastAsia" w:ascii="宋体" w:hAnsi="宋体" w:eastAsia="宋体" w:cs="宋体"/>
          <w:color w:val="auto"/>
          <w:sz w:val="24"/>
        </w:rPr>
        <w:t>2.落实政府采购政策需满足的资格要求：</w:t>
      </w:r>
    </w:p>
    <w:p w14:paraId="5B88EB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7BE7243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本项目不专门面向中小企业预留采购份额。</w:t>
      </w:r>
    </w:p>
    <w:p w14:paraId="6140DC36">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highlight w:val="none"/>
        </w:rPr>
        <w:t>□本项目专门面向  □中小 □小微企业</w:t>
      </w:r>
      <w:r>
        <w:rPr>
          <w:rFonts w:hint="eastAsia" w:ascii="宋体" w:hAnsi="宋体" w:eastAsia="宋体" w:cs="宋体"/>
          <w:color w:val="auto"/>
          <w:sz w:val="24"/>
        </w:rPr>
        <w:t xml:space="preserve">  采购。即：提供的货物全部由符合政策要求的中小/小微企业制造、服务全部由符合政策要求的中小/小微企业承接。</w:t>
      </w:r>
    </w:p>
    <w:p w14:paraId="5B2B9ED4">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pacing w:val="0"/>
          <w:kern w:val="0"/>
          <w:position w:val="0"/>
          <w:sz w:val="24"/>
          <w:u w:val="single"/>
          <w:lang w:val="en-US" w:eastAsia="zh-CN"/>
        </w:rPr>
        <w:t xml:space="preserve">         /         </w:t>
      </w:r>
      <w:r>
        <w:rPr>
          <w:rFonts w:hint="eastAsia" w:ascii="宋体" w:hAnsi="宋体" w:eastAsia="宋体" w:cs="宋体"/>
          <w:color w:val="auto"/>
          <w:sz w:val="24"/>
        </w:rPr>
        <w:t>。</w:t>
      </w:r>
    </w:p>
    <w:p w14:paraId="190BBFD1">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2.2 其它落实政府采购政策的资格要求（如有）：</w:t>
      </w:r>
      <w:r>
        <w:rPr>
          <w:rFonts w:hint="eastAsia" w:ascii="宋体" w:hAnsi="宋体" w:eastAsia="宋体" w:cs="宋体"/>
          <w:color w:val="auto"/>
          <w:spacing w:val="0"/>
          <w:kern w:val="0"/>
          <w:position w:val="0"/>
          <w:sz w:val="24"/>
          <w:u w:val="single"/>
          <w:lang w:val="en-US" w:eastAsia="zh-CN"/>
        </w:rPr>
        <w:t xml:space="preserve">         /         </w:t>
      </w:r>
      <w:r>
        <w:rPr>
          <w:rFonts w:hint="eastAsia" w:ascii="宋体" w:hAnsi="宋体" w:eastAsia="宋体" w:cs="宋体"/>
          <w:color w:val="auto"/>
          <w:sz w:val="24"/>
        </w:rPr>
        <w:t>。</w:t>
      </w:r>
    </w:p>
    <w:p w14:paraId="22C24247">
      <w:pPr>
        <w:spacing w:line="360" w:lineRule="auto"/>
        <w:ind w:firstLine="480" w:firstLineChars="200"/>
        <w:rPr>
          <w:rFonts w:hint="eastAsia" w:ascii="宋体" w:hAnsi="宋体" w:eastAsia="宋体" w:cs="宋体"/>
          <w:i/>
          <w:iCs/>
          <w:color w:val="auto"/>
          <w:sz w:val="24"/>
          <w:u w:val="single"/>
        </w:rPr>
      </w:pPr>
      <w:r>
        <w:rPr>
          <w:rFonts w:hint="eastAsia" w:ascii="宋体" w:hAnsi="宋体" w:eastAsia="宋体" w:cs="宋体"/>
          <w:color w:val="auto"/>
          <w:sz w:val="24"/>
        </w:rPr>
        <w:t>3.本项目的特定资格要求：</w:t>
      </w:r>
    </w:p>
    <w:p w14:paraId="70363C4F">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3.1本项目是否属于政府购买服务：</w:t>
      </w:r>
    </w:p>
    <w:p w14:paraId="0DA83EC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rPr>
      </w:pPr>
      <w:r>
        <w:rPr>
          <w:rFonts w:hint="eastAsia" w:ascii="宋体" w:hAnsi="宋体" w:eastAsia="宋体" w:cs="宋体"/>
          <w:color w:val="auto"/>
          <w:sz w:val="24"/>
        </w:rPr>
        <w:t>□否</w:t>
      </w:r>
    </w:p>
    <w:p w14:paraId="56D2D1CA">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rPr>
        <w:t>是，公益一类事业单位、使用事业编制且由财政拨款保障的群团组织，不得作为承接主体；</w:t>
      </w:r>
    </w:p>
    <w:p w14:paraId="4996CD60">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3.2其他特定资格要求：</w:t>
      </w:r>
      <w:r>
        <w:rPr>
          <w:rFonts w:hint="eastAsia" w:ascii="宋体" w:hAnsi="宋体" w:eastAsia="宋体" w:cs="宋体"/>
          <w:color w:val="auto"/>
          <w:spacing w:val="0"/>
          <w:kern w:val="0"/>
          <w:position w:val="0"/>
          <w:sz w:val="24"/>
          <w:u w:val="single"/>
          <w:lang w:val="en-US" w:eastAsia="zh-CN"/>
        </w:rPr>
        <w:t xml:space="preserve">    /    </w:t>
      </w:r>
      <w:r>
        <w:rPr>
          <w:rFonts w:hint="eastAsia" w:ascii="宋体" w:hAnsi="宋体" w:eastAsia="宋体" w:cs="宋体"/>
          <w:color w:val="auto"/>
          <w:sz w:val="24"/>
        </w:rPr>
        <w:t>。</w:t>
      </w:r>
    </w:p>
    <w:bookmarkEnd w:id="11"/>
    <w:bookmarkEnd w:id="12"/>
    <w:p w14:paraId="5E367E30">
      <w:pPr>
        <w:pStyle w:val="3"/>
        <w:widowControl/>
        <w:spacing w:before="0" w:line="360" w:lineRule="auto"/>
        <w:jc w:val="left"/>
        <w:rPr>
          <w:rFonts w:hint="eastAsia" w:ascii="宋体" w:hAnsi="宋体" w:eastAsia="宋体" w:cs="宋体"/>
          <w:color w:val="auto"/>
          <w:sz w:val="24"/>
          <w:szCs w:val="24"/>
        </w:rPr>
      </w:pPr>
      <w:bookmarkStart w:id="13" w:name="_Toc35393792"/>
      <w:bookmarkStart w:id="14" w:name="_Toc35393623"/>
      <w:r>
        <w:rPr>
          <w:rFonts w:hint="eastAsia" w:ascii="宋体" w:hAnsi="宋体" w:eastAsia="宋体" w:cs="宋体"/>
          <w:color w:val="auto"/>
          <w:sz w:val="24"/>
          <w:szCs w:val="24"/>
        </w:rPr>
        <w:t>三、获取招标文件</w:t>
      </w:r>
      <w:bookmarkEnd w:id="13"/>
      <w:bookmarkEnd w:id="14"/>
    </w:p>
    <w:p w14:paraId="25CF2AE9">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1.时间：</w:t>
      </w:r>
      <w:r>
        <w:rPr>
          <w:rFonts w:hint="eastAsia" w:ascii="宋体" w:hAnsi="宋体" w:eastAsia="宋体" w:cs="宋体"/>
          <w:color w:val="auto"/>
          <w:spacing w:val="0"/>
          <w:kern w:val="0"/>
          <w:position w:val="0"/>
          <w:sz w:val="24"/>
          <w:highlight w:val="none"/>
          <w:u w:val="single"/>
          <w:lang w:val="en-US" w:eastAsia="zh-CN" w:bidi="ar"/>
        </w:rPr>
        <w:t>2</w:t>
      </w:r>
      <w:r>
        <w:rPr>
          <w:rFonts w:hint="eastAsia" w:ascii="宋体" w:hAnsi="宋体" w:cs="宋体"/>
          <w:color w:val="auto"/>
          <w:spacing w:val="0"/>
          <w:kern w:val="0"/>
          <w:position w:val="0"/>
          <w:sz w:val="24"/>
          <w:highlight w:val="none"/>
          <w:u w:val="single"/>
          <w:lang w:val="en-US" w:eastAsia="zh-CN" w:bidi="ar"/>
        </w:rPr>
        <w:t>026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06</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24</w:t>
      </w:r>
      <w:r>
        <w:rPr>
          <w:rFonts w:hint="eastAsia" w:ascii="宋体" w:hAnsi="宋体" w:eastAsia="宋体" w:cs="宋体"/>
          <w:color w:val="auto"/>
          <w:spacing w:val="0"/>
          <w:kern w:val="0"/>
          <w:position w:val="0"/>
          <w:sz w:val="24"/>
          <w:highlight w:val="none"/>
          <w:lang w:bidi="ar"/>
        </w:rPr>
        <w:t>日至</w:t>
      </w:r>
      <w:r>
        <w:rPr>
          <w:rFonts w:hint="eastAsia" w:ascii="宋体" w:hAnsi="宋体" w:eastAsia="宋体" w:cs="宋体"/>
          <w:color w:val="auto"/>
          <w:spacing w:val="0"/>
          <w:kern w:val="0"/>
          <w:position w:val="0"/>
          <w:sz w:val="24"/>
          <w:highlight w:val="none"/>
          <w:u w:val="single"/>
          <w:lang w:val="en-US" w:eastAsia="zh-CN" w:bidi="ar"/>
        </w:rPr>
        <w:t>202</w:t>
      </w:r>
      <w:r>
        <w:rPr>
          <w:rFonts w:hint="eastAsia" w:ascii="宋体" w:hAnsi="宋体" w:cs="宋体"/>
          <w:color w:val="auto"/>
          <w:spacing w:val="0"/>
          <w:kern w:val="0"/>
          <w:position w:val="0"/>
          <w:sz w:val="24"/>
          <w:highlight w:val="none"/>
          <w:u w:val="single"/>
          <w:lang w:val="en-US" w:eastAsia="zh-CN" w:bidi="ar"/>
        </w:rPr>
        <w:t>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06</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30</w:t>
      </w:r>
      <w:r>
        <w:rPr>
          <w:rFonts w:hint="eastAsia" w:ascii="宋体" w:hAnsi="宋体" w:eastAsia="宋体" w:cs="宋体"/>
          <w:color w:val="auto"/>
          <w:spacing w:val="0"/>
          <w:kern w:val="0"/>
          <w:position w:val="0"/>
          <w:sz w:val="24"/>
          <w:highlight w:val="none"/>
          <w:lang w:bidi="ar"/>
        </w:rPr>
        <w:t>日</w:t>
      </w:r>
      <w:r>
        <w:rPr>
          <w:rFonts w:hint="eastAsia" w:ascii="宋体" w:hAnsi="宋体" w:eastAsia="宋体" w:cs="宋体"/>
          <w:color w:val="auto"/>
          <w:sz w:val="24"/>
          <w:highlight w:val="none"/>
          <w:lang w:bidi="ar"/>
        </w:rPr>
        <w:t>，每天上午</w:t>
      </w:r>
      <w:r>
        <w:rPr>
          <w:rFonts w:hint="eastAsia" w:ascii="宋体" w:hAnsi="宋体" w:eastAsia="宋体" w:cs="宋体"/>
          <w:color w:val="auto"/>
          <w:spacing w:val="0"/>
          <w:kern w:val="0"/>
          <w:position w:val="0"/>
          <w:sz w:val="24"/>
          <w:highlight w:val="none"/>
          <w:u w:val="single"/>
          <w:lang w:val="en-US" w:eastAsia="zh-CN" w:bidi="ar"/>
        </w:rPr>
        <w:t>0</w:t>
      </w:r>
      <w:r>
        <w:rPr>
          <w:rFonts w:hint="eastAsia" w:ascii="宋体" w:hAnsi="宋体" w:cs="宋体"/>
          <w:color w:val="auto"/>
          <w:spacing w:val="0"/>
          <w:kern w:val="0"/>
          <w:position w:val="0"/>
          <w:sz w:val="24"/>
          <w:highlight w:val="none"/>
          <w:u w:val="single"/>
          <w:lang w:val="en-US" w:eastAsia="zh-CN" w:bidi="ar"/>
        </w:rPr>
        <w:t>8</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30</w:t>
      </w:r>
      <w:r>
        <w:rPr>
          <w:rFonts w:hint="eastAsia" w:ascii="宋体" w:hAnsi="宋体" w:eastAsia="宋体" w:cs="宋体"/>
          <w:color w:val="auto"/>
          <w:sz w:val="24"/>
          <w:highlight w:val="none"/>
          <w:lang w:bidi="ar"/>
        </w:rPr>
        <w:t>至</w:t>
      </w:r>
      <w:r>
        <w:rPr>
          <w:rFonts w:hint="eastAsia" w:ascii="宋体" w:hAnsi="宋体" w:cs="宋体"/>
          <w:color w:val="auto"/>
          <w:spacing w:val="0"/>
          <w:kern w:val="0"/>
          <w:position w:val="0"/>
          <w:sz w:val="24"/>
          <w:highlight w:val="none"/>
          <w:u w:val="single"/>
          <w:lang w:val="en-US" w:eastAsia="zh-CN" w:bidi="ar"/>
        </w:rPr>
        <w:t>12</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z w:val="24"/>
          <w:highlight w:val="none"/>
          <w:lang w:bidi="ar"/>
        </w:rPr>
        <w:t>，下午</w:t>
      </w:r>
      <w:r>
        <w:rPr>
          <w:rFonts w:hint="eastAsia" w:ascii="宋体" w:hAnsi="宋体" w:cs="宋体"/>
          <w:color w:val="auto"/>
          <w:spacing w:val="0"/>
          <w:kern w:val="0"/>
          <w:position w:val="0"/>
          <w:sz w:val="24"/>
          <w:highlight w:val="none"/>
          <w:u w:val="single"/>
          <w:lang w:val="en-US" w:eastAsia="zh-CN" w:bidi="ar"/>
        </w:rPr>
        <w:t>12</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z w:val="24"/>
          <w:highlight w:val="none"/>
          <w:lang w:bidi="ar"/>
        </w:rPr>
        <w:t>至</w:t>
      </w:r>
      <w:r>
        <w:rPr>
          <w:rFonts w:hint="eastAsia" w:ascii="宋体" w:hAnsi="宋体" w:cs="宋体"/>
          <w:color w:val="auto"/>
          <w:spacing w:val="0"/>
          <w:kern w:val="0"/>
          <w:position w:val="0"/>
          <w:sz w:val="24"/>
          <w:highlight w:val="none"/>
          <w:u w:val="single"/>
          <w:lang w:val="en-US" w:eastAsia="zh-CN" w:bidi="ar"/>
        </w:rPr>
        <w:t>16</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30</w:t>
      </w:r>
      <w:r>
        <w:rPr>
          <w:rFonts w:hint="eastAsia" w:ascii="宋体" w:hAnsi="宋体" w:eastAsia="宋体" w:cs="宋体"/>
          <w:color w:val="auto"/>
          <w:sz w:val="24"/>
          <w:highlight w:val="none"/>
          <w:lang w:bidi="ar"/>
        </w:rPr>
        <w:t>（北京时间，法定节假日除外）。</w:t>
      </w:r>
    </w:p>
    <w:p w14:paraId="4B32C9CB">
      <w:pPr>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bidi="ar"/>
        </w:rPr>
        <w:t>2.地点：北京市政府采购电子交易平台</w:t>
      </w:r>
    </w:p>
    <w:p w14:paraId="3416F088">
      <w:pPr>
        <w:widowControl/>
        <w:adjustRightInd w:val="0"/>
        <w:snapToGrid w:val="0"/>
        <w:spacing w:line="360" w:lineRule="auto"/>
        <w:ind w:firstLine="480" w:firstLineChars="200"/>
        <w:jc w:val="left"/>
        <w:rPr>
          <w:rFonts w:hint="eastAsia" w:ascii="宋体" w:hAnsi="宋体" w:eastAsia="宋体" w:cs="宋体"/>
          <w:color w:val="auto"/>
          <w:sz w:val="24"/>
          <w:lang w:bidi="ar"/>
        </w:rPr>
      </w:pPr>
      <w:r>
        <w:rPr>
          <w:rFonts w:hint="eastAsia" w:ascii="宋体" w:hAnsi="宋体" w:eastAsia="宋体" w:cs="宋体"/>
          <w:color w:val="auto"/>
          <w:sz w:val="24"/>
          <w:lang w:bidi="ar"/>
        </w:rPr>
        <w:t>3.方式：供应商使用CA数字证书或电子营业执照登录北京市政府采购电子交易平台（http://zbcg-bjzc.zhongcy.com/bjczj-portal-site/index.html#/home）获取电子版招标文件。</w:t>
      </w:r>
    </w:p>
    <w:p w14:paraId="05564E14">
      <w:pPr>
        <w:widowControl/>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lang w:bidi="ar"/>
        </w:rPr>
        <w:t>4.售价：0元。</w:t>
      </w:r>
    </w:p>
    <w:p w14:paraId="49FB0A3A">
      <w:pPr>
        <w:pStyle w:val="3"/>
        <w:widowControl/>
        <w:spacing w:before="0" w:line="360" w:lineRule="auto"/>
        <w:jc w:val="left"/>
        <w:rPr>
          <w:rFonts w:hint="eastAsia" w:ascii="宋体" w:hAnsi="宋体" w:eastAsia="宋体" w:cs="宋体"/>
          <w:color w:val="auto"/>
          <w:sz w:val="24"/>
          <w:szCs w:val="24"/>
        </w:rPr>
      </w:pPr>
      <w:bookmarkStart w:id="15" w:name="_Toc28359005"/>
      <w:bookmarkStart w:id="16" w:name="_Toc28359082"/>
      <w:bookmarkStart w:id="17" w:name="_Toc35393624"/>
      <w:bookmarkStart w:id="18" w:name="_Toc35393793"/>
      <w:r>
        <w:rPr>
          <w:rFonts w:hint="eastAsia" w:ascii="宋体" w:hAnsi="宋体" w:eastAsia="宋体" w:cs="宋体"/>
          <w:color w:val="auto"/>
          <w:sz w:val="24"/>
          <w:szCs w:val="24"/>
        </w:rPr>
        <w:t>四、提交投标文件</w:t>
      </w:r>
      <w:bookmarkEnd w:id="15"/>
      <w:bookmarkEnd w:id="16"/>
      <w:r>
        <w:rPr>
          <w:rFonts w:hint="eastAsia" w:ascii="宋体" w:hAnsi="宋体" w:eastAsia="宋体" w:cs="宋体"/>
          <w:color w:val="auto"/>
          <w:sz w:val="24"/>
          <w:szCs w:val="24"/>
        </w:rPr>
        <w:t>截止时间、开标时间和地点</w:t>
      </w:r>
      <w:bookmarkEnd w:id="17"/>
      <w:bookmarkEnd w:id="18"/>
    </w:p>
    <w:p w14:paraId="58122DC5">
      <w:pPr>
        <w:spacing w:line="360" w:lineRule="auto"/>
        <w:ind w:firstLine="480" w:firstLineChars="200"/>
        <w:rPr>
          <w:rFonts w:hint="eastAsia" w:ascii="宋体" w:hAnsi="宋体" w:eastAsia="宋体" w:cs="宋体"/>
          <w:bCs/>
          <w:color w:val="auto"/>
          <w:sz w:val="24"/>
          <w:u w:val="single"/>
        </w:rPr>
      </w:pPr>
      <w:r>
        <w:rPr>
          <w:rFonts w:hint="eastAsia" w:ascii="宋体" w:hAnsi="宋体" w:eastAsia="宋体" w:cs="宋体"/>
          <w:color w:val="auto"/>
          <w:sz w:val="24"/>
          <w:lang w:bidi="ar"/>
        </w:rPr>
        <w:t>投标截止时间、开标时</w:t>
      </w:r>
      <w:r>
        <w:rPr>
          <w:rFonts w:hint="eastAsia" w:ascii="宋体" w:hAnsi="宋体" w:eastAsia="宋体" w:cs="宋体"/>
          <w:color w:val="auto"/>
          <w:sz w:val="24"/>
          <w:highlight w:val="none"/>
          <w:lang w:bidi="ar"/>
        </w:rPr>
        <w:t>间：</w:t>
      </w:r>
      <w:r>
        <w:rPr>
          <w:rFonts w:hint="eastAsia" w:ascii="宋体" w:hAnsi="宋体" w:eastAsia="宋体" w:cs="宋体"/>
          <w:color w:val="auto"/>
          <w:spacing w:val="0"/>
          <w:kern w:val="0"/>
          <w:position w:val="0"/>
          <w:sz w:val="24"/>
          <w:highlight w:val="none"/>
          <w:u w:val="single"/>
          <w:lang w:val="en-US" w:eastAsia="zh-CN" w:bidi="ar"/>
        </w:rPr>
        <w:t>202</w:t>
      </w:r>
      <w:r>
        <w:rPr>
          <w:rFonts w:hint="eastAsia" w:ascii="宋体" w:hAnsi="宋体" w:cs="宋体"/>
          <w:color w:val="auto"/>
          <w:spacing w:val="0"/>
          <w:kern w:val="0"/>
          <w:position w:val="0"/>
          <w:sz w:val="24"/>
          <w:highlight w:val="none"/>
          <w:u w:val="single"/>
          <w:lang w:val="en-US" w:eastAsia="zh-CN" w:bidi="ar"/>
        </w:rPr>
        <w:t>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07</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14</w:t>
      </w:r>
      <w:r>
        <w:rPr>
          <w:rFonts w:hint="eastAsia" w:ascii="宋体" w:hAnsi="宋体" w:eastAsia="宋体" w:cs="宋体"/>
          <w:color w:val="auto"/>
          <w:spacing w:val="0"/>
          <w:kern w:val="0"/>
          <w:position w:val="0"/>
          <w:sz w:val="24"/>
          <w:highlight w:val="none"/>
          <w:lang w:bidi="ar"/>
        </w:rPr>
        <w:t>日</w:t>
      </w:r>
      <w:r>
        <w:rPr>
          <w:rFonts w:hint="eastAsia" w:ascii="宋体" w:hAnsi="宋体" w:cs="宋体"/>
          <w:color w:val="auto"/>
          <w:spacing w:val="0"/>
          <w:kern w:val="0"/>
          <w:position w:val="0"/>
          <w:sz w:val="24"/>
          <w:highlight w:val="none"/>
          <w:u w:val="single"/>
          <w:lang w:val="en-US" w:eastAsia="zh-CN" w:bidi="ar"/>
        </w:rPr>
        <w:t>09</w:t>
      </w:r>
      <w:r>
        <w:rPr>
          <w:rFonts w:hint="eastAsia" w:ascii="宋体" w:hAnsi="宋体" w:eastAsia="宋体" w:cs="宋体"/>
          <w:color w:val="auto"/>
          <w:spacing w:val="0"/>
          <w:kern w:val="0"/>
          <w:position w:val="0"/>
          <w:sz w:val="24"/>
          <w:highlight w:val="none"/>
          <w:lang w:bidi="ar"/>
        </w:rPr>
        <w:t>点</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pacing w:val="0"/>
          <w:kern w:val="0"/>
          <w:position w:val="0"/>
          <w:sz w:val="24"/>
          <w:highlight w:val="none"/>
          <w:lang w:bidi="ar"/>
        </w:rPr>
        <w:t>分</w:t>
      </w:r>
      <w:r>
        <w:rPr>
          <w:rFonts w:hint="eastAsia" w:ascii="宋体" w:hAnsi="宋体" w:eastAsia="宋体" w:cs="宋体"/>
          <w:bCs/>
          <w:color w:val="auto"/>
          <w:sz w:val="24"/>
          <w:highlight w:val="none"/>
          <w:lang w:bidi="ar"/>
        </w:rPr>
        <w:t>（</w:t>
      </w:r>
      <w:r>
        <w:rPr>
          <w:rFonts w:hint="eastAsia" w:ascii="宋体" w:hAnsi="宋体" w:eastAsia="宋体" w:cs="宋体"/>
          <w:bCs/>
          <w:color w:val="auto"/>
          <w:sz w:val="24"/>
          <w:lang w:bidi="ar"/>
        </w:rPr>
        <w:t>北京时间）</w:t>
      </w:r>
      <w:r>
        <w:rPr>
          <w:rFonts w:hint="eastAsia" w:ascii="宋体" w:hAnsi="宋体" w:eastAsia="宋体" w:cs="宋体"/>
          <w:iCs/>
          <w:color w:val="auto"/>
          <w:sz w:val="24"/>
          <w:lang w:bidi="ar"/>
        </w:rPr>
        <w:t>。</w:t>
      </w:r>
    </w:p>
    <w:p w14:paraId="3A78FCD9">
      <w:pPr>
        <w:spacing w:line="360" w:lineRule="auto"/>
        <w:ind w:firstLine="480" w:firstLineChars="200"/>
        <w:rPr>
          <w:rFonts w:hint="eastAsia" w:ascii="宋体" w:hAnsi="宋体" w:eastAsia="宋体" w:cs="宋体"/>
          <w:color w:val="auto"/>
          <w:sz w:val="24"/>
          <w:lang w:val="zh-TW" w:bidi="ar"/>
        </w:rPr>
      </w:pPr>
      <w:r>
        <w:rPr>
          <w:rFonts w:hint="eastAsia" w:ascii="宋体" w:hAnsi="宋体" w:eastAsia="宋体" w:cs="宋体"/>
          <w:color w:val="auto"/>
          <w:sz w:val="24"/>
          <w:lang w:bidi="ar"/>
        </w:rPr>
        <w:t>地点：</w:t>
      </w:r>
      <w:r>
        <w:rPr>
          <w:rFonts w:hint="eastAsia" w:ascii="宋体" w:hAnsi="宋体" w:eastAsia="宋体" w:cs="宋体"/>
          <w:color w:val="auto"/>
          <w:sz w:val="24"/>
          <w:u w:val="single"/>
          <w:lang w:bidi="ar"/>
        </w:rPr>
        <w:t>本项目采用远程电子开标方式，由投标人自行对电子投标文件进行解密或供应商在开标地点使用CA认证证书登录北京市政府采购电子交易平台进行电子开标。</w:t>
      </w:r>
    </w:p>
    <w:p w14:paraId="4ABBC8F5">
      <w:pPr>
        <w:pStyle w:val="3"/>
        <w:spacing w:before="0" w:line="360" w:lineRule="auto"/>
        <w:jc w:val="left"/>
        <w:rPr>
          <w:rFonts w:hint="eastAsia" w:ascii="宋体" w:hAnsi="宋体" w:eastAsia="宋体" w:cs="宋体"/>
          <w:color w:val="auto"/>
          <w:sz w:val="24"/>
          <w:szCs w:val="24"/>
        </w:rPr>
      </w:pPr>
      <w:bookmarkStart w:id="19" w:name="_Toc35393625"/>
      <w:bookmarkStart w:id="20" w:name="_Toc35393794"/>
      <w:bookmarkStart w:id="21" w:name="_Toc28359007"/>
      <w:bookmarkStart w:id="22" w:name="_Toc28359084"/>
      <w:r>
        <w:rPr>
          <w:rFonts w:hint="eastAsia" w:ascii="宋体" w:hAnsi="宋体" w:eastAsia="宋体" w:cs="宋体"/>
          <w:color w:val="auto"/>
          <w:sz w:val="24"/>
          <w:szCs w:val="24"/>
        </w:rPr>
        <w:t>五、公告期限</w:t>
      </w:r>
      <w:bookmarkEnd w:id="19"/>
      <w:bookmarkEnd w:id="20"/>
      <w:bookmarkEnd w:id="21"/>
      <w:bookmarkEnd w:id="22"/>
    </w:p>
    <w:p w14:paraId="67E1A766">
      <w:pPr>
        <w:spacing w:line="360" w:lineRule="auto"/>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自本公告发布之日起5个工作日。</w:t>
      </w:r>
    </w:p>
    <w:p w14:paraId="4DC65EEB">
      <w:pPr>
        <w:pStyle w:val="3"/>
        <w:spacing w:before="0" w:line="360" w:lineRule="auto"/>
        <w:jc w:val="left"/>
        <w:rPr>
          <w:rFonts w:hint="eastAsia" w:ascii="宋体" w:hAnsi="宋体" w:eastAsia="宋体" w:cs="宋体"/>
          <w:color w:val="auto"/>
          <w:sz w:val="24"/>
          <w:szCs w:val="24"/>
        </w:rPr>
      </w:pPr>
      <w:bookmarkStart w:id="23" w:name="_Toc35393795"/>
      <w:bookmarkStart w:id="24" w:name="_Toc35393626"/>
      <w:r>
        <w:rPr>
          <w:rFonts w:hint="eastAsia" w:ascii="宋体" w:hAnsi="宋体" w:eastAsia="宋体" w:cs="宋体"/>
          <w:color w:val="auto"/>
          <w:sz w:val="24"/>
          <w:szCs w:val="24"/>
        </w:rPr>
        <w:t>六、其他补充事宜</w:t>
      </w:r>
      <w:bookmarkEnd w:id="23"/>
      <w:bookmarkEnd w:id="24"/>
    </w:p>
    <w:p w14:paraId="09A9D623">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1.本项目需要落实的政府采购政策：</w:t>
      </w:r>
      <w:r>
        <w:rPr>
          <w:rFonts w:hint="eastAsia" w:ascii="宋体" w:hAnsi="宋体" w:eastAsia="宋体" w:cs="宋体"/>
          <w:color w:val="auto"/>
          <w:spacing w:val="0"/>
          <w:w w:val="100"/>
          <w:kern w:val="0"/>
          <w:position w:val="0"/>
          <w:sz w:val="24"/>
          <w:szCs w:val="24"/>
          <w:u w:val="single" w:color="auto"/>
          <w:lang w:val="en-US" w:eastAsia="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r>
        <w:rPr>
          <w:rFonts w:hint="eastAsia" w:ascii="宋体" w:hAnsi="宋体" w:eastAsia="宋体" w:cs="宋体"/>
          <w:color w:val="auto"/>
          <w:sz w:val="24"/>
          <w:lang w:bidi="ar"/>
        </w:rPr>
        <w:t>。</w:t>
      </w:r>
      <w:r>
        <w:rPr>
          <w:rFonts w:hint="eastAsia" w:ascii="宋体" w:hAnsi="宋体" w:eastAsia="宋体" w:cs="宋体"/>
          <w:color w:val="auto"/>
          <w:sz w:val="24"/>
        </w:rPr>
        <w:t xml:space="preserve"> </w:t>
      </w:r>
    </w:p>
    <w:p w14:paraId="0A32ECB9">
      <w:pPr>
        <w:widowControl/>
        <w:adjustRightInd w:val="0"/>
        <w:snapToGrid w:val="0"/>
        <w:spacing w:line="360" w:lineRule="auto"/>
        <w:ind w:firstLine="480" w:firstLineChars="200"/>
        <w:jc w:val="left"/>
        <w:rPr>
          <w:rFonts w:hint="eastAsia" w:ascii="宋体" w:hAnsi="宋体" w:eastAsia="宋体" w:cs="宋体"/>
          <w:bCs/>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lang w:bidi="ar"/>
        </w:rPr>
        <w:t>CA数字证书</w:t>
      </w:r>
      <w:r>
        <w:rPr>
          <w:rFonts w:hint="eastAsia" w:ascii="宋体" w:hAnsi="宋体" w:eastAsia="宋体" w:cs="宋体"/>
          <w:color w:val="auto"/>
          <w:sz w:val="24"/>
          <w:lang w:bidi="ar"/>
        </w:rPr>
        <w:t>或电子营业执照</w:t>
      </w:r>
      <w:r>
        <w:rPr>
          <w:rFonts w:hint="eastAsia" w:ascii="宋体" w:hAnsi="宋体" w:eastAsia="宋体" w:cs="宋体"/>
          <w:bCs/>
          <w:color w:val="auto"/>
          <w:sz w:val="24"/>
          <w:lang w:bidi="ar"/>
        </w:rPr>
        <w:t>情况确认是否符合本项目电子化采购流程要求。</w:t>
      </w:r>
    </w:p>
    <w:p w14:paraId="59FC0D63">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CA数字证书服务热线 010-58511086</w:t>
      </w:r>
    </w:p>
    <w:p w14:paraId="6F26C7FF">
      <w:pPr>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bidi="ar"/>
        </w:rPr>
        <w:t>电子营业执照服务热线 400-699-7000</w:t>
      </w:r>
    </w:p>
    <w:p w14:paraId="74DBECFB">
      <w:pPr>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bidi="ar"/>
        </w:rPr>
        <w:t>技术支持服务热线    010-86483801</w:t>
      </w:r>
    </w:p>
    <w:p w14:paraId="65F09BA1">
      <w:pPr>
        <w:widowControl/>
        <w:adjustRightInd w:val="0"/>
        <w:snapToGrid w:val="0"/>
        <w:spacing w:line="360" w:lineRule="auto"/>
        <w:ind w:firstLine="480" w:firstLineChars="200"/>
        <w:jc w:val="left"/>
        <w:rPr>
          <w:rFonts w:hint="eastAsia" w:ascii="宋体" w:hAnsi="宋体" w:eastAsia="宋体" w:cs="宋体"/>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.1办理CA数字证书或电子营业执照</w:t>
      </w:r>
    </w:p>
    <w:p w14:paraId="12E2E647">
      <w:pPr>
        <w:widowControl/>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lang w:bidi="ar"/>
        </w:rPr>
        <w:t>供应商登录北京市政府采购电子交易平台查阅 “用户指南”—“操作指南”—“市场主体CA办理操作流程指引”/“电子营业执照使用指南”，按照程序要求办理。</w:t>
      </w:r>
    </w:p>
    <w:p w14:paraId="60CF9360">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.2注册</w:t>
      </w:r>
    </w:p>
    <w:p w14:paraId="148C8EFC">
      <w:pPr>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bidi="ar"/>
        </w:rPr>
        <w:t>供应商登录北京市政府采购电子交易平台“用户指南”—“操作指南”—“市场主体注册入库操作流程指引”进行自助注册绑定。</w:t>
      </w:r>
    </w:p>
    <w:p w14:paraId="1226B811">
      <w:pPr>
        <w:widowControl/>
        <w:adjustRightInd w:val="0"/>
        <w:snapToGrid w:val="0"/>
        <w:spacing w:line="360" w:lineRule="auto"/>
        <w:ind w:firstLine="480" w:firstLineChars="200"/>
        <w:jc w:val="left"/>
        <w:rPr>
          <w:rFonts w:hint="eastAsia" w:ascii="宋体" w:hAnsi="宋体" w:eastAsia="宋体" w:cs="宋体"/>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.3驱动、客户端下载</w:t>
      </w:r>
    </w:p>
    <w:p w14:paraId="75AD2246">
      <w:pPr>
        <w:widowControl/>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lang w:bidi="ar"/>
        </w:rPr>
        <w:t>供应商登录北京市政府采购电子交易平台“用户指南”—“工具下载”—“招标采购系统文件驱动安装包”下载相关驱动。</w:t>
      </w:r>
    </w:p>
    <w:p w14:paraId="3FC3E2F9">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供应商登录北京市政府采购电子交易平台“用户指南”—“工具下载”—“投标文件编制工具”下载相关客户端。</w:t>
      </w:r>
    </w:p>
    <w:p w14:paraId="77AD63C8">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.4 获取电子招标文件</w:t>
      </w:r>
    </w:p>
    <w:p w14:paraId="2619D2CF">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供应商使用CA数字证书或电子营业执照登录北京市政府采购电子交易平台获取电子招标文件。</w:t>
      </w:r>
    </w:p>
    <w:p w14:paraId="4F9441C0">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30477B">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cs="宋体"/>
          <w:color w:val="auto"/>
          <w:sz w:val="24"/>
          <w:lang w:val="en-US" w:eastAsia="zh-CN" w:bidi="ar"/>
        </w:rPr>
        <w:t>2</w:t>
      </w:r>
      <w:r>
        <w:rPr>
          <w:rFonts w:hint="eastAsia" w:ascii="宋体" w:hAnsi="宋体" w:eastAsia="宋体" w:cs="宋体"/>
          <w:color w:val="auto"/>
          <w:sz w:val="24"/>
          <w:lang w:bidi="ar"/>
        </w:rPr>
        <w:t>.5编制电子投标文件</w:t>
      </w:r>
    </w:p>
    <w:p w14:paraId="389E67F0">
      <w:pPr>
        <w:adjustRightInd w:val="0"/>
        <w:snapToGrid w:val="0"/>
        <w:spacing w:line="360" w:lineRule="auto"/>
        <w:ind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lang w:bidi="ar"/>
        </w:rPr>
        <w:t>，如无法按照要求在电子投标文件中加盖电子签章和加密，请及时通过技术支持服务热线联系技术人员</w:t>
      </w:r>
      <w:r>
        <w:rPr>
          <w:rFonts w:hint="eastAsia" w:ascii="宋体" w:hAnsi="宋体" w:eastAsia="宋体" w:cs="宋体"/>
          <w:color w:val="auto"/>
          <w:sz w:val="24"/>
          <w:lang w:bidi="ar"/>
        </w:rPr>
        <w:t>。</w:t>
      </w:r>
    </w:p>
    <w:p w14:paraId="535D5701">
      <w:pPr>
        <w:widowControl/>
        <w:spacing w:line="360" w:lineRule="auto"/>
        <w:ind w:firstLine="480" w:firstLineChars="200"/>
        <w:jc w:val="left"/>
        <w:rPr>
          <w:rFonts w:hint="eastAsia" w:ascii="宋体" w:hAnsi="宋体" w:eastAsia="宋体" w:cs="宋体"/>
          <w:color w:val="auto"/>
          <w:sz w:val="24"/>
          <w:lang w:val="zh-TW" w:bidi="ar"/>
        </w:rPr>
      </w:pPr>
      <w:r>
        <w:rPr>
          <w:rFonts w:hint="eastAsia" w:ascii="宋体" w:hAnsi="宋体" w:cs="宋体"/>
          <w:color w:val="auto"/>
          <w:sz w:val="24"/>
          <w:lang w:val="en-US" w:eastAsia="zh-CN" w:bidi="ar"/>
        </w:rPr>
        <w:t>2</w:t>
      </w:r>
      <w:r>
        <w:rPr>
          <w:rFonts w:hint="eastAsia" w:ascii="宋体" w:hAnsi="宋体" w:eastAsia="宋体" w:cs="宋体"/>
          <w:color w:val="auto"/>
          <w:sz w:val="24"/>
          <w:lang w:val="zh-TW" w:eastAsia="zh-TW" w:bidi="ar"/>
        </w:rPr>
        <w:t>.6</w:t>
      </w:r>
      <w:r>
        <w:rPr>
          <w:rFonts w:hint="eastAsia" w:ascii="宋体" w:hAnsi="宋体" w:eastAsia="宋体" w:cs="宋体"/>
          <w:color w:val="auto"/>
          <w:sz w:val="24"/>
          <w:lang w:val="zh-TW" w:bidi="ar"/>
        </w:rPr>
        <w:t>提交电子投标文件</w:t>
      </w:r>
    </w:p>
    <w:p w14:paraId="41B77001">
      <w:pPr>
        <w:widowControl/>
        <w:spacing w:line="360" w:lineRule="auto"/>
        <w:ind w:firstLine="480" w:firstLineChars="200"/>
        <w:jc w:val="left"/>
        <w:rPr>
          <w:rFonts w:hint="eastAsia" w:ascii="宋体" w:hAnsi="宋体" w:eastAsia="宋体" w:cs="宋体"/>
          <w:color w:val="auto"/>
          <w:sz w:val="24"/>
          <w:lang w:bidi="ar"/>
        </w:rPr>
      </w:pPr>
      <w:r>
        <w:rPr>
          <w:rFonts w:hint="eastAsia" w:ascii="宋体" w:hAnsi="宋体" w:eastAsia="宋体" w:cs="宋体"/>
          <w:color w:val="auto"/>
          <w:sz w:val="24"/>
          <w:lang w:bidi="ar"/>
        </w:rPr>
        <w:t>供应商应于投标截止时间前在北京市政府采购电子交易平台提交电子投标文件，上传电子投标文件过程中请保持与互联网的连接畅通。</w:t>
      </w:r>
    </w:p>
    <w:p w14:paraId="1461F6E8">
      <w:pPr>
        <w:widowControl/>
        <w:spacing w:line="360" w:lineRule="auto"/>
        <w:ind w:firstLine="480" w:firstLineChars="200"/>
        <w:jc w:val="left"/>
        <w:rPr>
          <w:rFonts w:hint="eastAsia" w:ascii="宋体" w:hAnsi="宋体" w:eastAsia="宋体" w:cs="宋体"/>
          <w:color w:val="auto"/>
          <w:sz w:val="24"/>
          <w:lang w:eastAsia="zh-TW" w:bidi="ar"/>
        </w:rPr>
      </w:pPr>
      <w:r>
        <w:rPr>
          <w:rFonts w:hint="eastAsia" w:ascii="宋体" w:hAnsi="宋体" w:cs="宋体"/>
          <w:color w:val="auto"/>
          <w:sz w:val="24"/>
          <w:lang w:val="en-US" w:eastAsia="zh-CN" w:bidi="ar"/>
        </w:rPr>
        <w:t>2</w:t>
      </w:r>
      <w:r>
        <w:rPr>
          <w:rFonts w:hint="eastAsia" w:ascii="宋体" w:hAnsi="宋体" w:eastAsia="宋体" w:cs="宋体"/>
          <w:color w:val="auto"/>
          <w:sz w:val="24"/>
          <w:lang w:val="zh-TW" w:bidi="ar"/>
        </w:rPr>
        <w:t>.</w:t>
      </w:r>
      <w:r>
        <w:rPr>
          <w:rFonts w:hint="eastAsia" w:ascii="宋体" w:hAnsi="宋体" w:eastAsia="宋体" w:cs="宋体"/>
          <w:color w:val="auto"/>
          <w:sz w:val="24"/>
          <w:lang w:val="zh-TW" w:eastAsia="zh-TW" w:bidi="ar"/>
        </w:rPr>
        <w:t>7</w:t>
      </w:r>
      <w:r>
        <w:rPr>
          <w:rFonts w:hint="eastAsia" w:ascii="宋体" w:hAnsi="宋体" w:eastAsia="宋体" w:cs="宋体"/>
          <w:color w:val="auto"/>
          <w:sz w:val="24"/>
          <w:lang w:val="zh-TW" w:bidi="ar"/>
        </w:rPr>
        <w:t>电子开标</w:t>
      </w:r>
    </w:p>
    <w:p w14:paraId="031B317B">
      <w:pPr>
        <w:spacing w:line="360" w:lineRule="auto"/>
        <w:ind w:firstLine="480" w:firstLineChars="200"/>
        <w:rPr>
          <w:rFonts w:hint="eastAsia" w:ascii="宋体" w:hAnsi="宋体" w:eastAsia="宋体" w:cs="宋体"/>
          <w:color w:val="auto"/>
          <w:sz w:val="24"/>
          <w:lang w:eastAsia="zh-TW"/>
        </w:rPr>
      </w:pPr>
      <w:r>
        <w:rPr>
          <w:rFonts w:hint="eastAsia" w:ascii="宋体" w:hAnsi="宋体" w:eastAsia="宋体" w:cs="宋体"/>
          <w:color w:val="auto"/>
          <w:sz w:val="24"/>
          <w:lang w:val="zh-TW" w:bidi="ar"/>
        </w:rPr>
        <w:t>供应商在开标地点使用</w:t>
      </w:r>
      <w:r>
        <w:rPr>
          <w:rFonts w:hint="eastAsia" w:ascii="宋体" w:hAnsi="宋体" w:eastAsia="宋体" w:cs="宋体"/>
          <w:color w:val="auto"/>
          <w:sz w:val="24"/>
          <w:lang w:bidi="ar"/>
        </w:rPr>
        <w:t>CA数字证书或电子营业执照</w:t>
      </w:r>
      <w:r>
        <w:rPr>
          <w:rFonts w:hint="eastAsia" w:ascii="宋体" w:hAnsi="宋体" w:eastAsia="宋体" w:cs="宋体"/>
          <w:color w:val="auto"/>
          <w:sz w:val="24"/>
          <w:lang w:val="zh-TW" w:bidi="ar"/>
        </w:rPr>
        <w:t>登录</w:t>
      </w:r>
      <w:r>
        <w:rPr>
          <w:rFonts w:hint="eastAsia" w:ascii="宋体" w:hAnsi="宋体" w:eastAsia="宋体" w:cs="宋体"/>
          <w:color w:val="auto"/>
          <w:sz w:val="24"/>
          <w:lang w:bidi="ar"/>
        </w:rPr>
        <w:t>北京市政府采购电子交易平台进行电子开标</w:t>
      </w:r>
      <w:r>
        <w:rPr>
          <w:rFonts w:hint="eastAsia" w:ascii="宋体" w:hAnsi="宋体" w:eastAsia="宋体" w:cs="宋体"/>
          <w:color w:val="auto"/>
          <w:sz w:val="24"/>
          <w:lang w:val="zh-TW" w:bidi="ar"/>
        </w:rPr>
        <w:t>。</w:t>
      </w:r>
    </w:p>
    <w:p w14:paraId="567194BA">
      <w:pPr>
        <w:pStyle w:val="3"/>
        <w:spacing w:before="0" w:line="360" w:lineRule="auto"/>
        <w:jc w:val="left"/>
        <w:rPr>
          <w:rFonts w:hint="eastAsia" w:ascii="宋体" w:hAnsi="宋体" w:eastAsia="宋体" w:cs="宋体"/>
          <w:color w:val="auto"/>
          <w:sz w:val="24"/>
          <w:szCs w:val="24"/>
        </w:rPr>
      </w:pPr>
      <w:bookmarkStart w:id="25" w:name="_Toc35393796"/>
      <w:bookmarkStart w:id="26" w:name="_Toc35393627"/>
      <w:bookmarkStart w:id="27" w:name="_Toc28359008"/>
      <w:bookmarkStart w:id="28" w:name="_Toc28359085"/>
      <w:r>
        <w:rPr>
          <w:rFonts w:hint="eastAsia" w:ascii="宋体" w:hAnsi="宋体" w:eastAsia="宋体" w:cs="宋体"/>
          <w:color w:val="auto"/>
          <w:sz w:val="24"/>
          <w:szCs w:val="24"/>
        </w:rPr>
        <w:t>七、对本次招标提出询问，请按以下方式联系。</w:t>
      </w:r>
      <w:bookmarkEnd w:id="25"/>
      <w:bookmarkEnd w:id="26"/>
      <w:bookmarkEnd w:id="27"/>
      <w:bookmarkEnd w:id="28"/>
    </w:p>
    <w:p w14:paraId="57325EAC">
      <w:pPr>
        <w:spacing w:line="360" w:lineRule="auto"/>
        <w:ind w:left="1080" w:leftChars="371" w:hanging="301" w:hangingChars="125"/>
        <w:jc w:val="left"/>
        <w:rPr>
          <w:rFonts w:hint="eastAsia" w:ascii="宋体" w:hAnsi="宋体" w:eastAsia="宋体" w:cs="宋体"/>
          <w:b/>
          <w:color w:val="auto"/>
          <w:sz w:val="24"/>
        </w:rPr>
      </w:pPr>
      <w:r>
        <w:rPr>
          <w:rFonts w:hint="eastAsia" w:ascii="宋体" w:hAnsi="宋体" w:eastAsia="宋体" w:cs="宋体"/>
          <w:b/>
          <w:color w:val="auto"/>
          <w:sz w:val="24"/>
        </w:rPr>
        <w:t>1.采购人信息</w:t>
      </w:r>
    </w:p>
    <w:p w14:paraId="4AB8A57C">
      <w:pPr>
        <w:spacing w:line="360" w:lineRule="auto"/>
        <w:ind w:left="1079" w:leftChars="371" w:hanging="300" w:hangingChars="125"/>
        <w:jc w:val="left"/>
        <w:rPr>
          <w:rFonts w:hint="eastAsia" w:ascii="宋体" w:hAnsi="宋体" w:eastAsia="宋体" w:cs="宋体"/>
          <w:color w:val="auto"/>
          <w:sz w:val="24"/>
        </w:rPr>
      </w:pPr>
      <w:bookmarkStart w:id="29" w:name="_Toc28359086"/>
      <w:bookmarkStart w:id="30" w:name="_Toc28359009"/>
      <w:r>
        <w:rPr>
          <w:rFonts w:hint="eastAsia" w:ascii="宋体" w:hAnsi="宋体" w:eastAsia="宋体" w:cs="宋体"/>
          <w:color w:val="auto"/>
          <w:sz w:val="24"/>
        </w:rPr>
        <w:t>名    称：</w:t>
      </w:r>
      <w:r>
        <w:rPr>
          <w:rFonts w:hint="eastAsia" w:ascii="宋体" w:hAnsi="宋体" w:cs="宋体"/>
          <w:color w:val="auto"/>
          <w:spacing w:val="0"/>
          <w:kern w:val="0"/>
          <w:position w:val="0"/>
          <w:sz w:val="24"/>
          <w:u w:val="single"/>
          <w:lang w:val="en-US" w:eastAsia="zh-CN"/>
        </w:rPr>
        <w:t>北京市怀柔区国防动员办公室</w:t>
      </w:r>
    </w:p>
    <w:p w14:paraId="599431EB">
      <w:pPr>
        <w:spacing w:line="360" w:lineRule="auto"/>
        <w:ind w:left="1079" w:leftChars="371" w:hanging="300" w:hangingChars="125"/>
        <w:jc w:val="left"/>
        <w:rPr>
          <w:rFonts w:hint="eastAsia" w:ascii="宋体" w:hAnsi="宋体" w:eastAsia="宋体" w:cs="宋体"/>
          <w:color w:val="auto"/>
          <w:sz w:val="24"/>
        </w:rPr>
      </w:pPr>
      <w:r>
        <w:rPr>
          <w:rFonts w:hint="eastAsia" w:ascii="宋体" w:hAnsi="宋体" w:eastAsia="宋体" w:cs="宋体"/>
          <w:color w:val="auto"/>
          <w:sz w:val="24"/>
        </w:rPr>
        <w:t>地    址：</w:t>
      </w:r>
      <w:r>
        <w:rPr>
          <w:rFonts w:hint="eastAsia" w:ascii="宋体" w:hAnsi="宋体"/>
          <w:color w:val="auto"/>
          <w:sz w:val="24"/>
          <w:u w:val="single"/>
          <w:lang w:eastAsia="zh-CN"/>
        </w:rPr>
        <w:t>北京市怀柔区富乐小区北里25号</w:t>
      </w:r>
    </w:p>
    <w:p w14:paraId="1D22B2DB">
      <w:pPr>
        <w:spacing w:line="360" w:lineRule="auto"/>
        <w:ind w:left="1079" w:leftChars="371" w:hanging="300" w:hangingChars="125"/>
        <w:jc w:val="left"/>
        <w:rPr>
          <w:rFonts w:hint="default" w:ascii="宋体" w:hAnsi="宋体" w:eastAsia="宋体" w:cs="宋体"/>
          <w:color w:val="auto"/>
          <w:sz w:val="24"/>
          <w:highlight w:val="yellow"/>
          <w:u w:val="single"/>
          <w:lang w:val="en-US"/>
        </w:rPr>
      </w:pPr>
      <w:r>
        <w:rPr>
          <w:rFonts w:hint="eastAsia" w:ascii="宋体" w:hAnsi="宋体" w:eastAsia="宋体" w:cs="宋体"/>
          <w:color w:val="auto"/>
          <w:sz w:val="24"/>
          <w:highlight w:val="none"/>
        </w:rPr>
        <w:t>联系方式：</w:t>
      </w:r>
      <w:r>
        <w:rPr>
          <w:rFonts w:hint="eastAsia" w:ascii="宋体" w:hAnsi="宋体" w:cs="宋体"/>
          <w:color w:val="auto"/>
          <w:sz w:val="24"/>
          <w:highlight w:val="none"/>
          <w:u w:val="single"/>
          <w:lang w:val="en-US" w:eastAsia="zh-CN"/>
        </w:rPr>
        <w:t>孟繁奇</w:t>
      </w:r>
      <w:r>
        <w:rPr>
          <w:rFonts w:hint="eastAsia" w:ascii="宋体" w:hAnsi="宋体" w:cs="宋体"/>
          <w:color w:val="auto"/>
          <w:spacing w:val="0"/>
          <w:kern w:val="0"/>
          <w:position w:val="0"/>
          <w:sz w:val="24"/>
          <w:highlight w:val="none"/>
          <w:u w:val="single"/>
          <w:lang w:val="en-US" w:eastAsia="zh-CN"/>
        </w:rPr>
        <w:t>，010-69655464</w:t>
      </w:r>
    </w:p>
    <w:p w14:paraId="77B80B49">
      <w:pPr>
        <w:spacing w:line="360" w:lineRule="auto"/>
        <w:ind w:left="1080" w:leftChars="371" w:hanging="301" w:hangingChars="125"/>
        <w:jc w:val="left"/>
        <w:rPr>
          <w:rFonts w:hint="eastAsia" w:ascii="宋体" w:hAnsi="宋体" w:eastAsia="宋体" w:cs="宋体"/>
          <w:b/>
          <w:color w:val="auto"/>
          <w:sz w:val="24"/>
        </w:rPr>
      </w:pPr>
      <w:r>
        <w:rPr>
          <w:rFonts w:hint="eastAsia" w:ascii="宋体" w:hAnsi="宋体" w:eastAsia="宋体" w:cs="宋体"/>
          <w:b/>
          <w:color w:val="auto"/>
          <w:sz w:val="24"/>
        </w:rPr>
        <w:t>2.采购代理机构信息</w:t>
      </w:r>
      <w:bookmarkEnd w:id="29"/>
      <w:bookmarkEnd w:id="30"/>
    </w:p>
    <w:p w14:paraId="0466DB86">
      <w:pPr>
        <w:spacing w:line="360" w:lineRule="auto"/>
        <w:ind w:left="1079" w:leftChars="371" w:hanging="300" w:hangingChars="125"/>
        <w:jc w:val="left"/>
        <w:rPr>
          <w:rFonts w:hint="eastAsia" w:ascii="宋体" w:hAnsi="宋体" w:eastAsia="宋体" w:cs="宋体"/>
          <w:color w:val="auto"/>
          <w:sz w:val="24"/>
        </w:rPr>
      </w:pPr>
      <w:bookmarkStart w:id="31" w:name="_Toc28359087"/>
      <w:bookmarkStart w:id="32" w:name="_Toc28359010"/>
      <w:r>
        <w:rPr>
          <w:rFonts w:hint="eastAsia" w:ascii="宋体" w:hAnsi="宋体" w:eastAsia="宋体" w:cs="宋体"/>
          <w:color w:val="auto"/>
          <w:sz w:val="24"/>
        </w:rPr>
        <w:t>名    称：</w:t>
      </w:r>
      <w:r>
        <w:rPr>
          <w:rFonts w:hint="eastAsia" w:ascii="宋体" w:hAnsi="宋体" w:eastAsia="宋体" w:cs="宋体"/>
          <w:color w:val="auto"/>
          <w:sz w:val="24"/>
          <w:szCs w:val="24"/>
          <w:u w:val="single"/>
          <w:lang w:eastAsia="zh-CN"/>
        </w:rPr>
        <w:t>中归咨询管理（北京）有限公司</w:t>
      </w:r>
    </w:p>
    <w:p w14:paraId="4EE06500">
      <w:pPr>
        <w:spacing w:line="360" w:lineRule="auto"/>
        <w:ind w:left="1079" w:leftChars="371" w:hanging="300" w:hangingChars="125"/>
        <w:jc w:val="left"/>
        <w:rPr>
          <w:rFonts w:hint="eastAsia" w:ascii="宋体" w:hAnsi="宋体" w:eastAsia="宋体" w:cs="宋体"/>
          <w:color w:val="auto"/>
          <w:sz w:val="24"/>
        </w:rPr>
      </w:pPr>
      <w:r>
        <w:rPr>
          <w:rFonts w:hint="eastAsia" w:ascii="宋体" w:hAnsi="宋体" w:eastAsia="宋体" w:cs="宋体"/>
          <w:color w:val="auto"/>
          <w:sz w:val="24"/>
        </w:rPr>
        <w:t>地    址：</w:t>
      </w:r>
      <w:r>
        <w:rPr>
          <w:rFonts w:hint="eastAsia" w:ascii="宋体" w:hAnsi="宋体" w:eastAsia="宋体" w:cs="宋体"/>
          <w:color w:val="auto"/>
          <w:sz w:val="24"/>
          <w:szCs w:val="24"/>
          <w:u w:val="single"/>
          <w:lang w:eastAsia="zh-CN"/>
        </w:rPr>
        <w:t>北京市怀柔区迎宾南路11号五幢二层2213室</w:t>
      </w:r>
    </w:p>
    <w:p w14:paraId="3AA538DB">
      <w:pPr>
        <w:spacing w:line="360" w:lineRule="auto"/>
        <w:ind w:left="1079" w:leftChars="371" w:hanging="300" w:hangingChars="125"/>
        <w:jc w:val="left"/>
        <w:rPr>
          <w:rFonts w:hint="eastAsia" w:ascii="宋体" w:hAnsi="宋体" w:eastAsia="宋体" w:cs="宋体"/>
          <w:color w:val="auto"/>
          <w:sz w:val="24"/>
          <w:u w:val="single"/>
        </w:rPr>
      </w:pPr>
      <w:r>
        <w:rPr>
          <w:rFonts w:hint="eastAsia" w:ascii="宋体" w:hAnsi="宋体" w:eastAsia="宋体" w:cs="宋体"/>
          <w:color w:val="auto"/>
          <w:sz w:val="24"/>
        </w:rPr>
        <w:t>联系方式：</w:t>
      </w:r>
      <w:r>
        <w:rPr>
          <w:rFonts w:hint="eastAsia" w:ascii="宋体" w:hAnsi="宋体" w:eastAsia="宋体" w:cs="宋体"/>
          <w:color w:val="auto"/>
          <w:sz w:val="24"/>
          <w:szCs w:val="24"/>
          <w:u w:val="single"/>
          <w:lang w:eastAsia="zh-CN"/>
        </w:rPr>
        <w:t>师博科，010-53606938</w:t>
      </w:r>
    </w:p>
    <w:p w14:paraId="5663D782">
      <w:pPr>
        <w:spacing w:line="360" w:lineRule="auto"/>
        <w:ind w:left="1080" w:leftChars="371" w:hanging="301" w:hangingChars="125"/>
        <w:jc w:val="left"/>
        <w:rPr>
          <w:rFonts w:hint="eastAsia" w:ascii="宋体" w:hAnsi="宋体" w:eastAsia="宋体" w:cs="宋体"/>
          <w:b/>
          <w:color w:val="auto"/>
          <w:sz w:val="24"/>
          <w:u w:val="single"/>
        </w:rPr>
      </w:pPr>
      <w:r>
        <w:rPr>
          <w:rFonts w:hint="eastAsia" w:ascii="宋体" w:hAnsi="宋体" w:eastAsia="宋体" w:cs="宋体"/>
          <w:b/>
          <w:color w:val="auto"/>
          <w:sz w:val="24"/>
        </w:rPr>
        <w:t>3.项目联系方式</w:t>
      </w:r>
      <w:bookmarkEnd w:id="31"/>
      <w:bookmarkEnd w:id="32"/>
    </w:p>
    <w:p w14:paraId="310B1E68">
      <w:pPr>
        <w:spacing w:line="360" w:lineRule="auto"/>
        <w:ind w:left="1079" w:leftChars="371" w:hanging="300" w:hangingChars="125"/>
        <w:jc w:val="left"/>
        <w:rPr>
          <w:rFonts w:hint="eastAsia" w:ascii="宋体" w:hAnsi="宋体" w:eastAsia="宋体" w:cs="宋体"/>
          <w:color w:val="auto"/>
          <w:sz w:val="24"/>
        </w:rPr>
      </w:pPr>
      <w:r>
        <w:rPr>
          <w:rFonts w:hint="eastAsia" w:ascii="宋体" w:hAnsi="宋体" w:eastAsia="宋体" w:cs="宋体"/>
          <w:color w:val="auto"/>
          <w:sz w:val="24"/>
        </w:rPr>
        <w:t>项目联系人：</w:t>
      </w:r>
      <w:r>
        <w:rPr>
          <w:rFonts w:hint="eastAsia" w:ascii="宋体" w:hAnsi="宋体" w:eastAsia="宋体" w:cs="宋体"/>
          <w:color w:val="auto"/>
          <w:spacing w:val="-2"/>
          <w:sz w:val="24"/>
          <w:szCs w:val="24"/>
          <w:u w:val="single"/>
          <w:lang w:eastAsia="zh-CN"/>
        </w:rPr>
        <w:t>师博科</w:t>
      </w:r>
    </w:p>
    <w:p w14:paraId="230309BF">
      <w:pPr>
        <w:spacing w:line="360" w:lineRule="auto"/>
        <w:ind w:left="1079" w:leftChars="371" w:hanging="300" w:hangingChars="125"/>
        <w:jc w:val="left"/>
        <w:rPr>
          <w:rFonts w:hint="eastAsia" w:ascii="宋体" w:hAnsi="宋体" w:eastAsia="宋体" w:cs="宋体"/>
          <w:color w:val="auto"/>
          <w:sz w:val="24"/>
        </w:rPr>
      </w:pPr>
      <w:r>
        <w:rPr>
          <w:rFonts w:hint="eastAsia" w:ascii="宋体" w:hAnsi="宋体" w:eastAsia="宋体" w:cs="宋体"/>
          <w:color w:val="auto"/>
          <w:sz w:val="24"/>
        </w:rPr>
        <w:t>电      话：</w:t>
      </w:r>
      <w:r>
        <w:rPr>
          <w:rFonts w:hint="eastAsia" w:ascii="宋体" w:hAnsi="宋体" w:eastAsia="宋体" w:cs="宋体"/>
          <w:color w:val="auto"/>
          <w:sz w:val="24"/>
          <w:szCs w:val="24"/>
          <w:u w:val="single"/>
          <w:lang w:eastAsia="zh-CN"/>
        </w:rPr>
        <w:t>010-53606938</w:t>
      </w:r>
    </w:p>
    <w:p w14:paraId="00BDE095">
      <w:pPr>
        <w:spacing w:line="360" w:lineRule="auto"/>
        <w:ind w:firstLine="5880" w:firstLineChars="2450"/>
        <w:jc w:val="right"/>
        <w:rPr>
          <w:rFonts w:hint="eastAsia" w:ascii="宋体" w:hAnsi="宋体" w:eastAsia="宋体" w:cs="宋体"/>
          <w:color w:val="auto"/>
          <w:sz w:val="24"/>
        </w:rPr>
      </w:pPr>
    </w:p>
    <w:p w14:paraId="22418629">
      <w:pPr>
        <w:spacing w:line="360" w:lineRule="auto"/>
        <w:jc w:val="center"/>
        <w:outlineLvl w:val="0"/>
        <w:rPr>
          <w:rFonts w:hint="eastAsia" w:ascii="宋体" w:hAnsi="宋体" w:eastAsia="宋体" w:cs="宋体"/>
          <w:b/>
          <w:color w:val="auto"/>
          <w:sz w:val="32"/>
          <w:szCs w:val="32"/>
        </w:rPr>
      </w:pPr>
      <w:r>
        <w:rPr>
          <w:rFonts w:hint="eastAsia" w:ascii="宋体" w:hAnsi="宋体" w:eastAsia="宋体" w:cs="宋体"/>
          <w:color w:val="auto"/>
          <w:sz w:val="24"/>
        </w:rPr>
        <w:br w:type="page"/>
      </w:r>
      <w:bookmarkStart w:id="33" w:name="_Toc353825548"/>
      <w:bookmarkStart w:id="34" w:name="_Toc512937850"/>
      <w:bookmarkStart w:id="35" w:name="_Toc127151777"/>
      <w:bookmarkStart w:id="36" w:name="_Toc305158854"/>
      <w:bookmarkStart w:id="37" w:name="_Toc195842950"/>
      <w:bookmarkStart w:id="38" w:name="_Toc305158928"/>
      <w:bookmarkStart w:id="39" w:name="_Toc226965856"/>
      <w:bookmarkStart w:id="40" w:name="_Toc99301420"/>
      <w:bookmarkStart w:id="41" w:name="_Toc127161488"/>
      <w:bookmarkStart w:id="42" w:name="_Toc150774783"/>
      <w:bookmarkStart w:id="43" w:name="_Toc353873938"/>
      <w:bookmarkStart w:id="44" w:name="_Toc264969275"/>
      <w:bookmarkStart w:id="45" w:name="_Toc265228423"/>
      <w:r>
        <w:rPr>
          <w:rFonts w:hint="eastAsia" w:ascii="宋体" w:hAnsi="宋体" w:eastAsia="宋体" w:cs="宋体"/>
          <w:b/>
          <w:color w:val="auto"/>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507C875E">
      <w:pPr>
        <w:pStyle w:val="3"/>
        <w:tabs>
          <w:tab w:val="center" w:pos="4592"/>
          <w:tab w:val="left" w:pos="7860"/>
        </w:tabs>
        <w:spacing w:before="0" w:line="360" w:lineRule="auto"/>
        <w:rPr>
          <w:rFonts w:hint="eastAsia" w:ascii="宋体" w:hAnsi="宋体" w:eastAsia="宋体" w:cs="宋体"/>
          <w:color w:val="auto"/>
          <w:sz w:val="28"/>
        </w:rPr>
      </w:pPr>
      <w:bookmarkStart w:id="46" w:name="_Toc151193617"/>
      <w:bookmarkStart w:id="47" w:name="_Toc127151519"/>
      <w:bookmarkStart w:id="48" w:name="_Toc127151720"/>
      <w:bookmarkStart w:id="49" w:name="_Toc151193689"/>
      <w:bookmarkStart w:id="50" w:name="_Toc226965792"/>
      <w:bookmarkStart w:id="51" w:name="_Toc142311021"/>
      <w:bookmarkStart w:id="52" w:name="_Toc520356144"/>
      <w:bookmarkStart w:id="53" w:name="_Toc151190146"/>
      <w:bookmarkStart w:id="54" w:name="_Toc151193833"/>
      <w:bookmarkStart w:id="55" w:name="_Toc127161433"/>
      <w:bookmarkStart w:id="56" w:name="_Toc149720812"/>
      <w:bookmarkStart w:id="57" w:name="_Toc151193761"/>
      <w:bookmarkStart w:id="58" w:name="_Toc164229360"/>
      <w:bookmarkStart w:id="59" w:name="_Toc150480757"/>
      <w:bookmarkStart w:id="60" w:name="_Toc164608633"/>
      <w:bookmarkStart w:id="61" w:name="_Toc164608788"/>
      <w:bookmarkStart w:id="62" w:name="_Toc150509270"/>
      <w:bookmarkStart w:id="63" w:name="_Toc226965709"/>
      <w:bookmarkStart w:id="64" w:name="_Toc150774724"/>
      <w:bookmarkStart w:id="65" w:name="_Toc195842884"/>
      <w:bookmarkStart w:id="66" w:name="_Toc150774619"/>
      <w:bookmarkStart w:id="67" w:name="_Toc164351613"/>
      <w:bookmarkStart w:id="68" w:name="_Toc164229214"/>
      <w:bookmarkStart w:id="69" w:name="_Toc226337215"/>
      <w:bookmarkStart w:id="70" w:name="_Toc226309763"/>
      <w:bookmarkStart w:id="71" w:name="_Toc151193907"/>
      <w:r>
        <w:rPr>
          <w:rFonts w:hint="eastAsia" w:ascii="宋体" w:hAnsi="宋体" w:eastAsia="宋体" w:cs="宋体"/>
          <w:color w:val="auto"/>
          <w:sz w:val="28"/>
        </w:rPr>
        <w:t>投标人须知资料表</w:t>
      </w:r>
    </w:p>
    <w:p w14:paraId="4146F72F">
      <w:pPr>
        <w:jc w:val="center"/>
        <w:rPr>
          <w:rFonts w:hint="eastAsia" w:ascii="宋体" w:hAnsi="宋体" w:eastAsia="宋体" w:cs="宋体"/>
          <w:b/>
          <w:color w:val="auto"/>
          <w:sz w:val="28"/>
          <w:szCs w:val="28"/>
        </w:rPr>
      </w:pPr>
    </w:p>
    <w:p w14:paraId="71D25B71">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E93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9638BA5">
            <w:pPr>
              <w:jc w:val="center"/>
              <w:rPr>
                <w:rFonts w:hint="eastAsia" w:ascii="宋体" w:hAnsi="宋体" w:eastAsia="宋体" w:cs="宋体"/>
                <w:b/>
                <w:bCs/>
                <w:color w:val="auto"/>
                <w:sz w:val="24"/>
              </w:rPr>
            </w:pPr>
            <w:r>
              <w:rPr>
                <w:rFonts w:hint="eastAsia" w:ascii="宋体" w:hAnsi="宋体" w:eastAsia="宋体" w:cs="宋体"/>
                <w:b/>
                <w:color w:val="auto"/>
                <w:sz w:val="24"/>
              </w:rPr>
              <w:t>条款号</w:t>
            </w:r>
          </w:p>
        </w:tc>
        <w:tc>
          <w:tcPr>
            <w:tcW w:w="1701" w:type="dxa"/>
            <w:vAlign w:val="center"/>
          </w:tcPr>
          <w:p w14:paraId="547701AF">
            <w:pPr>
              <w:jc w:val="center"/>
              <w:rPr>
                <w:rFonts w:hint="eastAsia" w:ascii="宋体" w:hAnsi="宋体" w:eastAsia="宋体" w:cs="宋体"/>
                <w:b/>
                <w:bCs/>
                <w:color w:val="auto"/>
                <w:sz w:val="24"/>
              </w:rPr>
            </w:pPr>
            <w:r>
              <w:rPr>
                <w:rFonts w:hint="eastAsia" w:ascii="宋体" w:hAnsi="宋体" w:eastAsia="宋体" w:cs="宋体"/>
                <w:b/>
                <w:bCs/>
                <w:color w:val="auto"/>
                <w:sz w:val="24"/>
              </w:rPr>
              <w:t>条目</w:t>
            </w:r>
          </w:p>
        </w:tc>
        <w:tc>
          <w:tcPr>
            <w:tcW w:w="7540" w:type="dxa"/>
            <w:vAlign w:val="center"/>
          </w:tcPr>
          <w:p w14:paraId="60868A97">
            <w:pPr>
              <w:jc w:val="center"/>
              <w:rPr>
                <w:rFonts w:hint="eastAsia" w:ascii="宋体" w:hAnsi="宋体" w:eastAsia="宋体" w:cs="宋体"/>
                <w:b/>
                <w:bCs/>
                <w:color w:val="auto"/>
                <w:sz w:val="24"/>
              </w:rPr>
            </w:pPr>
            <w:r>
              <w:rPr>
                <w:rFonts w:hint="eastAsia" w:ascii="宋体" w:hAnsi="宋体" w:eastAsia="宋体" w:cs="宋体"/>
                <w:b/>
                <w:bCs/>
                <w:color w:val="auto"/>
                <w:sz w:val="24"/>
              </w:rPr>
              <w:t>内容</w:t>
            </w:r>
          </w:p>
        </w:tc>
      </w:tr>
      <w:tr w14:paraId="66F3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D2621B">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1701" w:type="dxa"/>
            <w:vAlign w:val="center"/>
          </w:tcPr>
          <w:p w14:paraId="00DDE7C0">
            <w:pPr>
              <w:jc w:val="center"/>
              <w:rPr>
                <w:rFonts w:hint="eastAsia" w:ascii="宋体" w:hAnsi="宋体" w:eastAsia="宋体" w:cs="宋体"/>
                <w:color w:val="auto"/>
                <w:sz w:val="24"/>
              </w:rPr>
            </w:pPr>
            <w:r>
              <w:rPr>
                <w:rFonts w:hint="eastAsia" w:ascii="宋体" w:hAnsi="宋体" w:eastAsia="宋体" w:cs="宋体"/>
                <w:color w:val="auto"/>
                <w:sz w:val="24"/>
              </w:rPr>
              <w:t>项目属性</w:t>
            </w:r>
          </w:p>
        </w:tc>
        <w:tc>
          <w:tcPr>
            <w:tcW w:w="7540" w:type="dxa"/>
            <w:vAlign w:val="center"/>
          </w:tcPr>
          <w:p w14:paraId="168A1A5E">
            <w:pPr>
              <w:jc w:val="left"/>
              <w:rPr>
                <w:rFonts w:hint="eastAsia" w:ascii="宋体" w:hAnsi="宋体" w:eastAsia="宋体" w:cs="宋体"/>
                <w:color w:val="auto"/>
                <w:sz w:val="24"/>
              </w:rPr>
            </w:pPr>
            <w:r>
              <w:rPr>
                <w:rFonts w:hint="eastAsia" w:ascii="宋体" w:hAnsi="宋体" w:eastAsia="宋体" w:cs="宋体"/>
                <w:color w:val="auto"/>
                <w:sz w:val="24"/>
              </w:rPr>
              <w:t>项目属性：</w:t>
            </w:r>
          </w:p>
          <w:p w14:paraId="3DFA2559">
            <w:pPr>
              <w:jc w:val="left"/>
              <w:rPr>
                <w:rFonts w:hint="eastAsia" w:ascii="宋体" w:hAnsi="宋体" w:eastAsia="宋体" w:cs="宋体"/>
                <w:color w:val="auto"/>
                <w:sz w:val="24"/>
              </w:rPr>
            </w:pPr>
            <w:r>
              <w:rPr>
                <w:rFonts w:hint="eastAsia" w:ascii="宋体" w:hAnsi="宋体" w:eastAsia="宋体" w:cs="宋体"/>
                <w:color w:val="auto"/>
                <w:sz w:val="24"/>
              </w:rPr>
              <w:t>□服务</w:t>
            </w:r>
          </w:p>
          <w:p w14:paraId="378D29A3">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货物</w:t>
            </w:r>
          </w:p>
        </w:tc>
      </w:tr>
      <w:tr w14:paraId="5579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DAA22E">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1701" w:type="dxa"/>
            <w:vAlign w:val="center"/>
          </w:tcPr>
          <w:p w14:paraId="3614FF6B">
            <w:pPr>
              <w:jc w:val="center"/>
              <w:rPr>
                <w:rFonts w:hint="eastAsia" w:ascii="宋体" w:hAnsi="宋体" w:eastAsia="宋体" w:cs="宋体"/>
                <w:color w:val="auto"/>
                <w:sz w:val="24"/>
              </w:rPr>
            </w:pPr>
            <w:r>
              <w:rPr>
                <w:rFonts w:hint="eastAsia" w:ascii="宋体" w:hAnsi="宋体" w:eastAsia="宋体" w:cs="宋体"/>
                <w:color w:val="auto"/>
                <w:sz w:val="24"/>
              </w:rPr>
              <w:t>科研仪器设备</w:t>
            </w:r>
          </w:p>
        </w:tc>
        <w:tc>
          <w:tcPr>
            <w:tcW w:w="7540" w:type="dxa"/>
            <w:vAlign w:val="center"/>
          </w:tcPr>
          <w:p w14:paraId="791098B5">
            <w:pPr>
              <w:jc w:val="left"/>
              <w:rPr>
                <w:rFonts w:hint="eastAsia" w:ascii="宋体" w:hAnsi="宋体" w:eastAsia="宋体" w:cs="宋体"/>
                <w:color w:val="auto"/>
                <w:sz w:val="24"/>
              </w:rPr>
            </w:pPr>
            <w:r>
              <w:rPr>
                <w:rFonts w:hint="eastAsia" w:ascii="宋体" w:hAnsi="宋体" w:eastAsia="宋体" w:cs="宋体"/>
                <w:color w:val="auto"/>
                <w:sz w:val="24"/>
              </w:rPr>
              <w:t>是否属于科研仪器设备采购项目：</w:t>
            </w:r>
          </w:p>
          <w:p w14:paraId="14B493D0">
            <w:pPr>
              <w:jc w:val="left"/>
              <w:rPr>
                <w:rFonts w:hint="eastAsia" w:ascii="宋体" w:hAnsi="宋体" w:eastAsia="宋体" w:cs="宋体"/>
                <w:color w:val="auto"/>
                <w:sz w:val="24"/>
              </w:rPr>
            </w:pPr>
            <w:r>
              <w:rPr>
                <w:rFonts w:hint="eastAsia" w:ascii="宋体" w:hAnsi="宋体" w:eastAsia="宋体" w:cs="宋体"/>
                <w:color w:val="auto"/>
                <w:sz w:val="24"/>
              </w:rPr>
              <w:t>□是</w:t>
            </w:r>
          </w:p>
          <w:p w14:paraId="37519022">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否</w:t>
            </w:r>
          </w:p>
        </w:tc>
      </w:tr>
      <w:tr w14:paraId="27A0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16C84B">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2.4</w:t>
            </w:r>
          </w:p>
        </w:tc>
        <w:tc>
          <w:tcPr>
            <w:tcW w:w="1701" w:type="dxa"/>
            <w:vAlign w:val="center"/>
          </w:tcPr>
          <w:p w14:paraId="2A10B141">
            <w:pPr>
              <w:jc w:val="center"/>
              <w:rPr>
                <w:rFonts w:hint="eastAsia" w:ascii="宋体" w:hAnsi="宋体" w:eastAsia="宋体" w:cs="宋体"/>
                <w:color w:val="auto"/>
                <w:sz w:val="24"/>
              </w:rPr>
            </w:pPr>
            <w:r>
              <w:rPr>
                <w:rFonts w:hint="eastAsia" w:ascii="宋体" w:hAnsi="宋体" w:eastAsia="宋体" w:cs="宋体"/>
                <w:color w:val="auto"/>
                <w:sz w:val="24"/>
              </w:rPr>
              <w:t>核心产品</w:t>
            </w:r>
          </w:p>
        </w:tc>
        <w:tc>
          <w:tcPr>
            <w:tcW w:w="7540" w:type="dxa"/>
            <w:vAlign w:val="center"/>
          </w:tcPr>
          <w:p w14:paraId="46A431B8">
            <w:pPr>
              <w:pStyle w:val="24"/>
              <w:adjustRightInd w:val="0"/>
              <w:snapToGrid w:val="0"/>
              <w:rPr>
                <w:rFonts w:hint="eastAsia" w:ascii="宋体" w:hAnsi="宋体" w:eastAsia="宋体" w:cs="宋体"/>
                <w:color w:val="auto"/>
                <w:sz w:val="24"/>
                <w:szCs w:val="24"/>
              </w:rPr>
            </w:pPr>
            <w:r>
              <w:rPr>
                <w:rFonts w:hint="eastAsia" w:ascii="宋体" w:hAnsi="宋体" w:eastAsia="宋体" w:cs="宋体"/>
                <w:color w:val="auto"/>
                <w:sz w:val="24"/>
                <w:szCs w:val="24"/>
              </w:rPr>
              <w:t>□关于核心产品本项目__包不适用。</w:t>
            </w:r>
          </w:p>
          <w:p w14:paraId="7188B43B">
            <w:pPr>
              <w:pStyle w:val="24"/>
              <w:adjustRightInd w:val="0"/>
              <w:snapToGrid w:val="0"/>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hAnsi="宋体" w:cs="宋体"/>
                <w:color w:val="auto"/>
                <w:sz w:val="24"/>
                <w:szCs w:val="24"/>
                <w:u w:val="single"/>
                <w:lang w:val="en-US" w:eastAsia="zh-CN"/>
              </w:rPr>
              <w:t xml:space="preserve">     </w:t>
            </w:r>
            <w:r>
              <w:rPr>
                <w:rFonts w:hint="eastAsia" w:ascii="宋体" w:hAnsi="宋体" w:eastAsia="宋体" w:cs="宋体"/>
                <w:color w:val="auto"/>
                <w:sz w:val="24"/>
                <w:szCs w:val="24"/>
              </w:rPr>
              <w:t>包为单一产品采购项目。</w:t>
            </w:r>
          </w:p>
          <w:p w14:paraId="0FB96BE4">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本项目</w:t>
            </w:r>
            <w:r>
              <w:rPr>
                <w:rFonts w:hint="eastAsia" w:hAnsi="宋体" w:cs="宋体"/>
                <w:color w:val="auto"/>
                <w:sz w:val="24"/>
                <w:szCs w:val="24"/>
                <w:highlight w:val="none"/>
                <w:u w:val="single"/>
                <w:lang w:val="en-US" w:eastAsia="zh-CN"/>
              </w:rPr>
              <w:t xml:space="preserve">   01  </w:t>
            </w:r>
            <w:r>
              <w:rPr>
                <w:rFonts w:hint="eastAsia" w:ascii="宋体" w:hAnsi="宋体" w:eastAsia="宋体" w:cs="宋体"/>
                <w:color w:val="auto"/>
                <w:sz w:val="24"/>
                <w:highlight w:val="none"/>
              </w:rPr>
              <w:t>包为非单一产品采购项目，核心产品为：</w:t>
            </w:r>
            <w:r>
              <w:rPr>
                <w:rFonts w:hint="eastAsia" w:ascii="宋体" w:hAnsi="宋体" w:cs="宋体"/>
                <w:color w:val="auto"/>
                <w:sz w:val="24"/>
                <w:highlight w:val="none"/>
                <w:u w:val="single"/>
                <w:lang w:val="en-US" w:eastAsia="zh-CN"/>
              </w:rPr>
              <w:t>显示系统</w:t>
            </w:r>
            <w:r>
              <w:rPr>
                <w:rFonts w:hint="eastAsia" w:ascii="宋体" w:hAnsi="宋体" w:eastAsia="宋体" w:cs="宋体"/>
                <w:color w:val="auto"/>
                <w:sz w:val="24"/>
                <w:highlight w:val="none"/>
              </w:rPr>
              <w:t>。</w:t>
            </w:r>
          </w:p>
        </w:tc>
      </w:tr>
      <w:tr w14:paraId="66CD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1CE037B">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3.1</w:t>
            </w:r>
          </w:p>
        </w:tc>
        <w:tc>
          <w:tcPr>
            <w:tcW w:w="1701" w:type="dxa"/>
            <w:vAlign w:val="center"/>
          </w:tcPr>
          <w:p w14:paraId="4435A230">
            <w:pPr>
              <w:jc w:val="center"/>
              <w:rPr>
                <w:rFonts w:hint="eastAsia" w:ascii="宋体" w:hAnsi="宋体" w:eastAsia="宋体" w:cs="宋体"/>
                <w:color w:val="auto"/>
                <w:sz w:val="24"/>
              </w:rPr>
            </w:pPr>
            <w:r>
              <w:rPr>
                <w:rFonts w:hint="eastAsia" w:ascii="宋体" w:hAnsi="宋体" w:eastAsia="宋体" w:cs="宋体"/>
                <w:color w:val="auto"/>
                <w:sz w:val="24"/>
              </w:rPr>
              <w:t>现场考察</w:t>
            </w:r>
          </w:p>
        </w:tc>
        <w:tc>
          <w:tcPr>
            <w:tcW w:w="7540" w:type="dxa"/>
            <w:vAlign w:val="center"/>
          </w:tcPr>
          <w:p w14:paraId="5C9D5A95">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不组织</w:t>
            </w:r>
          </w:p>
          <w:p w14:paraId="0F4681AD">
            <w:pPr>
              <w:jc w:val="left"/>
              <w:rPr>
                <w:rFonts w:hint="eastAsia" w:ascii="宋体" w:hAnsi="宋体" w:eastAsia="宋体" w:cs="宋体"/>
                <w:bCs/>
                <w:color w:val="auto"/>
                <w:sz w:val="24"/>
              </w:rPr>
            </w:pPr>
            <w:r>
              <w:rPr>
                <w:rFonts w:hint="eastAsia" w:ascii="宋体" w:hAnsi="宋体" w:eastAsia="宋体" w:cs="宋体"/>
                <w:color w:val="auto"/>
                <w:sz w:val="24"/>
              </w:rPr>
              <w:t>□组织，考察时间：__年_月_日_</w:t>
            </w:r>
            <w:r>
              <w:rPr>
                <w:rFonts w:hint="eastAsia" w:ascii="宋体" w:hAnsi="宋体" w:eastAsia="宋体" w:cs="宋体"/>
                <w:bCs/>
                <w:color w:val="auto"/>
                <w:sz w:val="24"/>
              </w:rPr>
              <w:t>点</w:t>
            </w:r>
            <w:r>
              <w:rPr>
                <w:rFonts w:hint="eastAsia" w:ascii="宋体" w:hAnsi="宋体" w:eastAsia="宋体" w:cs="宋体"/>
                <w:color w:val="auto"/>
                <w:sz w:val="24"/>
              </w:rPr>
              <w:t>_</w:t>
            </w:r>
            <w:r>
              <w:rPr>
                <w:rFonts w:hint="eastAsia" w:ascii="宋体" w:hAnsi="宋体" w:eastAsia="宋体" w:cs="宋体"/>
                <w:bCs/>
                <w:color w:val="auto"/>
                <w:sz w:val="24"/>
              </w:rPr>
              <w:t>分</w:t>
            </w:r>
          </w:p>
          <w:p w14:paraId="0C868AB8">
            <w:pPr>
              <w:pStyle w:val="24"/>
              <w:adjustRightInd w:val="0"/>
              <w:snapToGrid w:val="0"/>
              <w:rPr>
                <w:rFonts w:hint="eastAsia" w:ascii="宋体" w:hAnsi="宋体" w:eastAsia="宋体" w:cs="宋体"/>
                <w:color w:val="auto"/>
                <w:sz w:val="24"/>
                <w:szCs w:val="24"/>
              </w:rPr>
            </w:pPr>
            <w:r>
              <w:rPr>
                <w:rFonts w:hint="eastAsia" w:ascii="宋体" w:hAnsi="宋体" w:eastAsia="宋体" w:cs="宋体"/>
                <w:color w:val="auto"/>
                <w:sz w:val="24"/>
              </w:rPr>
              <w:t>考察地点：____________。</w:t>
            </w:r>
          </w:p>
        </w:tc>
      </w:tr>
      <w:tr w14:paraId="12B1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B86D5A3">
            <w:pPr>
              <w:pStyle w:val="24"/>
              <w:adjustRightInd w:val="0"/>
              <w:snapToGrid w:val="0"/>
              <w:jc w:val="center"/>
              <w:rPr>
                <w:rFonts w:hint="eastAsia" w:ascii="宋体" w:hAnsi="宋体" w:eastAsia="宋体" w:cs="宋体"/>
                <w:color w:val="auto"/>
                <w:sz w:val="24"/>
                <w:szCs w:val="24"/>
              </w:rPr>
            </w:pPr>
          </w:p>
        </w:tc>
        <w:tc>
          <w:tcPr>
            <w:tcW w:w="1701" w:type="dxa"/>
            <w:vAlign w:val="center"/>
          </w:tcPr>
          <w:p w14:paraId="12AE05AC">
            <w:pPr>
              <w:jc w:val="center"/>
              <w:rPr>
                <w:rFonts w:hint="eastAsia" w:ascii="宋体" w:hAnsi="宋体" w:eastAsia="宋体" w:cs="宋体"/>
                <w:color w:val="auto"/>
                <w:sz w:val="24"/>
              </w:rPr>
            </w:pPr>
            <w:r>
              <w:rPr>
                <w:rFonts w:hint="eastAsia" w:ascii="宋体" w:hAnsi="宋体" w:eastAsia="宋体" w:cs="宋体"/>
                <w:color w:val="auto"/>
                <w:sz w:val="24"/>
              </w:rPr>
              <w:t>开标前答疑会</w:t>
            </w:r>
          </w:p>
        </w:tc>
        <w:tc>
          <w:tcPr>
            <w:tcW w:w="7540" w:type="dxa"/>
            <w:vAlign w:val="center"/>
          </w:tcPr>
          <w:p w14:paraId="5A2C81BE">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不召开</w:t>
            </w:r>
          </w:p>
          <w:p w14:paraId="2945D575">
            <w:pPr>
              <w:jc w:val="left"/>
              <w:rPr>
                <w:rFonts w:hint="eastAsia" w:ascii="宋体" w:hAnsi="宋体" w:eastAsia="宋体" w:cs="宋体"/>
                <w:color w:val="auto"/>
                <w:sz w:val="24"/>
              </w:rPr>
            </w:pPr>
            <w:r>
              <w:rPr>
                <w:rFonts w:hint="eastAsia" w:ascii="宋体" w:hAnsi="宋体" w:eastAsia="宋体" w:cs="宋体"/>
                <w:color w:val="auto"/>
                <w:sz w:val="24"/>
              </w:rPr>
              <w:t>□召开，召开时间：__年_月_日_</w:t>
            </w:r>
            <w:r>
              <w:rPr>
                <w:rFonts w:hint="eastAsia" w:ascii="宋体" w:hAnsi="宋体" w:eastAsia="宋体" w:cs="宋体"/>
                <w:bCs/>
                <w:color w:val="auto"/>
                <w:sz w:val="24"/>
              </w:rPr>
              <w:t>点</w:t>
            </w:r>
            <w:r>
              <w:rPr>
                <w:rFonts w:hint="eastAsia" w:ascii="宋体" w:hAnsi="宋体" w:eastAsia="宋体" w:cs="宋体"/>
                <w:color w:val="auto"/>
                <w:sz w:val="24"/>
              </w:rPr>
              <w:t>_</w:t>
            </w:r>
            <w:r>
              <w:rPr>
                <w:rFonts w:hint="eastAsia" w:ascii="宋体" w:hAnsi="宋体" w:eastAsia="宋体" w:cs="宋体"/>
                <w:bCs/>
                <w:color w:val="auto"/>
                <w:sz w:val="24"/>
              </w:rPr>
              <w:t>分</w:t>
            </w:r>
          </w:p>
          <w:p w14:paraId="3362B228">
            <w:pPr>
              <w:jc w:val="left"/>
              <w:rPr>
                <w:rFonts w:hint="eastAsia" w:ascii="宋体" w:hAnsi="宋体" w:eastAsia="宋体" w:cs="宋体"/>
                <w:color w:val="auto"/>
                <w:sz w:val="24"/>
              </w:rPr>
            </w:pPr>
            <w:r>
              <w:rPr>
                <w:rFonts w:hint="eastAsia" w:ascii="宋体" w:hAnsi="宋体" w:eastAsia="宋体" w:cs="宋体"/>
                <w:color w:val="auto"/>
                <w:sz w:val="24"/>
              </w:rPr>
              <w:t>召开地点：____________。</w:t>
            </w:r>
          </w:p>
        </w:tc>
      </w:tr>
      <w:tr w14:paraId="6684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B65870">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4.1</w:t>
            </w:r>
          </w:p>
        </w:tc>
        <w:tc>
          <w:tcPr>
            <w:tcW w:w="1701" w:type="dxa"/>
            <w:vAlign w:val="center"/>
          </w:tcPr>
          <w:p w14:paraId="38A30FB7">
            <w:pPr>
              <w:jc w:val="center"/>
              <w:rPr>
                <w:rFonts w:hint="eastAsia" w:ascii="宋体" w:hAnsi="宋体" w:eastAsia="宋体" w:cs="宋体"/>
                <w:color w:val="auto"/>
                <w:sz w:val="24"/>
              </w:rPr>
            </w:pPr>
            <w:r>
              <w:rPr>
                <w:rFonts w:hint="eastAsia" w:ascii="宋体" w:hAnsi="宋体" w:eastAsia="宋体" w:cs="宋体"/>
                <w:color w:val="auto"/>
                <w:sz w:val="24"/>
              </w:rPr>
              <w:t>样品</w:t>
            </w:r>
          </w:p>
        </w:tc>
        <w:tc>
          <w:tcPr>
            <w:tcW w:w="7540" w:type="dxa"/>
            <w:vAlign w:val="center"/>
          </w:tcPr>
          <w:p w14:paraId="5F59CC25">
            <w:pPr>
              <w:jc w:val="left"/>
              <w:rPr>
                <w:rFonts w:hint="eastAsia" w:ascii="宋体" w:hAnsi="宋体" w:eastAsia="宋体" w:cs="宋体"/>
                <w:color w:val="auto"/>
                <w:sz w:val="24"/>
              </w:rPr>
            </w:pPr>
            <w:r>
              <w:rPr>
                <w:rFonts w:hint="eastAsia" w:ascii="宋体" w:hAnsi="宋体" w:eastAsia="宋体" w:cs="宋体"/>
                <w:color w:val="auto"/>
                <w:sz w:val="24"/>
              </w:rPr>
              <w:t>投标样品递交：</w:t>
            </w:r>
          </w:p>
          <w:p w14:paraId="38B3912C">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不需要</w:t>
            </w:r>
          </w:p>
          <w:p w14:paraId="34921937">
            <w:pPr>
              <w:jc w:val="left"/>
              <w:rPr>
                <w:rFonts w:hint="eastAsia" w:ascii="宋体" w:hAnsi="宋体" w:eastAsia="宋体" w:cs="宋体"/>
                <w:color w:val="auto"/>
                <w:sz w:val="24"/>
              </w:rPr>
            </w:pPr>
            <w:r>
              <w:rPr>
                <w:rFonts w:hint="eastAsia" w:ascii="宋体" w:hAnsi="宋体" w:eastAsia="宋体" w:cs="宋体"/>
                <w:color w:val="auto"/>
                <w:sz w:val="24"/>
              </w:rPr>
              <w:t>□需要，具体要求如下：</w:t>
            </w:r>
          </w:p>
          <w:p w14:paraId="740CDCA1">
            <w:pPr>
              <w:jc w:val="left"/>
              <w:rPr>
                <w:rFonts w:hint="eastAsia" w:ascii="宋体" w:hAnsi="宋体" w:eastAsia="宋体" w:cs="宋体"/>
                <w:color w:val="auto"/>
                <w:sz w:val="24"/>
                <w:u w:val="single"/>
              </w:rPr>
            </w:pPr>
            <w:r>
              <w:rPr>
                <w:rFonts w:hint="eastAsia" w:ascii="宋体" w:hAnsi="宋体" w:eastAsia="宋体" w:cs="宋体"/>
                <w:color w:val="auto"/>
                <w:sz w:val="24"/>
              </w:rPr>
              <w:t>（1）样品制作的标准和要求：_________；</w:t>
            </w:r>
          </w:p>
          <w:p w14:paraId="1A7A513F">
            <w:pPr>
              <w:jc w:val="left"/>
              <w:rPr>
                <w:rFonts w:hint="eastAsia" w:ascii="宋体" w:hAnsi="宋体" w:eastAsia="宋体" w:cs="宋体"/>
                <w:color w:val="auto"/>
                <w:sz w:val="24"/>
              </w:rPr>
            </w:pPr>
            <w:r>
              <w:rPr>
                <w:rFonts w:hint="eastAsia" w:ascii="宋体" w:hAnsi="宋体" w:eastAsia="宋体" w:cs="宋体"/>
                <w:color w:val="auto"/>
                <w:sz w:val="24"/>
              </w:rPr>
              <w:t>（2）是否需要随样品提交相关检测报告：</w:t>
            </w:r>
          </w:p>
          <w:p w14:paraId="758A22A9">
            <w:pPr>
              <w:ind w:firstLine="600" w:firstLineChars="250"/>
              <w:jc w:val="left"/>
              <w:rPr>
                <w:rFonts w:hint="eastAsia" w:ascii="宋体" w:hAnsi="宋体" w:eastAsia="宋体" w:cs="宋体"/>
                <w:color w:val="auto"/>
                <w:sz w:val="24"/>
              </w:rPr>
            </w:pPr>
            <w:r>
              <w:rPr>
                <w:rFonts w:hint="eastAsia" w:ascii="宋体" w:hAnsi="宋体" w:eastAsia="宋体" w:cs="宋体"/>
                <w:color w:val="auto"/>
                <w:sz w:val="24"/>
              </w:rPr>
              <w:t>□不需要</w:t>
            </w:r>
          </w:p>
          <w:p w14:paraId="7F055B38">
            <w:pPr>
              <w:ind w:firstLine="600" w:firstLineChars="250"/>
              <w:jc w:val="left"/>
              <w:rPr>
                <w:rFonts w:hint="eastAsia" w:ascii="宋体" w:hAnsi="宋体" w:eastAsia="宋体" w:cs="宋体"/>
                <w:color w:val="auto"/>
                <w:sz w:val="24"/>
              </w:rPr>
            </w:pPr>
            <w:r>
              <w:rPr>
                <w:rFonts w:hint="eastAsia" w:ascii="宋体" w:hAnsi="宋体" w:eastAsia="宋体" w:cs="宋体"/>
                <w:color w:val="auto"/>
                <w:sz w:val="24"/>
              </w:rPr>
              <w:t>□需要</w:t>
            </w:r>
          </w:p>
          <w:p w14:paraId="548A9F8F">
            <w:pPr>
              <w:jc w:val="left"/>
              <w:rPr>
                <w:rFonts w:hint="eastAsia" w:ascii="宋体" w:hAnsi="宋体" w:eastAsia="宋体" w:cs="宋体"/>
                <w:color w:val="auto"/>
                <w:sz w:val="24"/>
              </w:rPr>
            </w:pPr>
            <w:r>
              <w:rPr>
                <w:rFonts w:hint="eastAsia" w:ascii="宋体" w:hAnsi="宋体" w:eastAsia="宋体" w:cs="宋体"/>
                <w:color w:val="auto"/>
                <w:sz w:val="24"/>
              </w:rPr>
              <w:t>（3）样品递交要求：_________；</w:t>
            </w:r>
          </w:p>
          <w:p w14:paraId="2829B846">
            <w:pPr>
              <w:jc w:val="left"/>
              <w:rPr>
                <w:rFonts w:hint="eastAsia" w:ascii="宋体" w:hAnsi="宋体" w:eastAsia="宋体" w:cs="宋体"/>
                <w:color w:val="auto"/>
                <w:sz w:val="24"/>
              </w:rPr>
            </w:pPr>
            <w:r>
              <w:rPr>
                <w:rFonts w:hint="eastAsia" w:ascii="宋体" w:hAnsi="宋体" w:eastAsia="宋体" w:cs="宋体"/>
                <w:color w:val="auto"/>
                <w:sz w:val="24"/>
              </w:rPr>
              <w:t>（4）未中标人样品退还：_________；</w:t>
            </w:r>
          </w:p>
          <w:p w14:paraId="683C6C4C">
            <w:pPr>
              <w:jc w:val="left"/>
              <w:rPr>
                <w:rFonts w:hint="eastAsia" w:ascii="宋体" w:hAnsi="宋体" w:eastAsia="宋体" w:cs="宋体"/>
                <w:color w:val="auto"/>
                <w:sz w:val="24"/>
                <w:u w:val="single"/>
              </w:rPr>
            </w:pPr>
            <w:r>
              <w:rPr>
                <w:rFonts w:hint="eastAsia" w:ascii="宋体" w:hAnsi="宋体" w:eastAsia="宋体" w:cs="宋体"/>
                <w:color w:val="auto"/>
                <w:sz w:val="24"/>
              </w:rPr>
              <w:t>（5）中标人样品保管、封存及退还：_________；</w:t>
            </w:r>
          </w:p>
          <w:p w14:paraId="794CAFF7">
            <w:pPr>
              <w:jc w:val="left"/>
              <w:rPr>
                <w:rFonts w:hint="eastAsia" w:ascii="宋体" w:hAnsi="宋体" w:eastAsia="宋体" w:cs="宋体"/>
                <w:color w:val="auto"/>
                <w:sz w:val="24"/>
              </w:rPr>
            </w:pPr>
            <w:r>
              <w:rPr>
                <w:rFonts w:hint="eastAsia" w:ascii="宋体" w:hAnsi="宋体" w:eastAsia="宋体" w:cs="宋体"/>
                <w:color w:val="auto"/>
                <w:sz w:val="24"/>
              </w:rPr>
              <w:t>（6）其他要求（如有）：_________。</w:t>
            </w:r>
          </w:p>
        </w:tc>
      </w:tr>
      <w:tr w14:paraId="6DBC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88" w:type="dxa"/>
            <w:vAlign w:val="center"/>
          </w:tcPr>
          <w:p w14:paraId="6464E61E">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5.3.5</w:t>
            </w:r>
          </w:p>
        </w:tc>
        <w:tc>
          <w:tcPr>
            <w:tcW w:w="1701" w:type="dxa"/>
            <w:vAlign w:val="center"/>
          </w:tcPr>
          <w:p w14:paraId="30CC89AA">
            <w:pPr>
              <w:jc w:val="center"/>
              <w:rPr>
                <w:rFonts w:hint="eastAsia" w:ascii="宋体" w:hAnsi="宋体" w:eastAsia="宋体" w:cs="宋体"/>
                <w:color w:val="auto"/>
                <w:sz w:val="24"/>
              </w:rPr>
            </w:pPr>
            <w:r>
              <w:rPr>
                <w:rFonts w:hint="eastAsia" w:ascii="宋体" w:hAnsi="宋体" w:eastAsia="宋体" w:cs="宋体"/>
                <w:color w:val="auto"/>
                <w:sz w:val="24"/>
              </w:rPr>
              <w:t>标的所属行业</w:t>
            </w:r>
          </w:p>
        </w:tc>
        <w:tc>
          <w:tcPr>
            <w:tcW w:w="7540" w:type="dxa"/>
            <w:vAlign w:val="center"/>
          </w:tcPr>
          <w:p w14:paraId="61F86139">
            <w:pPr>
              <w:jc w:val="left"/>
              <w:rPr>
                <w:rFonts w:hint="eastAsia" w:ascii="宋体" w:hAnsi="宋体" w:eastAsia="宋体" w:cs="宋体"/>
                <w:color w:val="auto"/>
                <w:sz w:val="24"/>
              </w:rPr>
            </w:pPr>
            <w:r>
              <w:rPr>
                <w:rFonts w:hint="eastAsia" w:ascii="宋体" w:hAnsi="宋体" w:eastAsia="宋体" w:cs="宋体"/>
                <w:color w:val="auto"/>
                <w:sz w:val="24"/>
              </w:rPr>
              <w:t>本项目采购标的对应的中小企业划分标准所属行业：</w:t>
            </w:r>
          </w:p>
          <w:tbl>
            <w:tblPr>
              <w:tblStyle w:val="45"/>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257"/>
              <w:gridCol w:w="2259"/>
            </w:tblGrid>
            <w:tr w14:paraId="0B58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tcBorders>
                    <w:top w:val="single" w:color="auto" w:sz="4" w:space="0"/>
                    <w:left w:val="single" w:color="auto" w:sz="4" w:space="0"/>
                    <w:bottom w:val="single" w:color="auto" w:sz="4" w:space="0"/>
                    <w:right w:val="single" w:color="auto" w:sz="4" w:space="0"/>
                  </w:tcBorders>
                  <w:vAlign w:val="center"/>
                </w:tcPr>
                <w:p w14:paraId="6DBB87E2">
                  <w:pPr>
                    <w:jc w:val="center"/>
                    <w:rPr>
                      <w:rFonts w:hint="eastAsia" w:ascii="宋体" w:hAnsi="宋体" w:eastAsia="宋体" w:cs="宋体"/>
                      <w:bCs/>
                      <w:color w:val="auto"/>
                      <w:sz w:val="24"/>
                    </w:rPr>
                  </w:pPr>
                  <w:r>
                    <w:rPr>
                      <w:rFonts w:hint="eastAsia" w:ascii="宋体" w:hAnsi="宋体" w:eastAsia="宋体" w:cs="宋体"/>
                      <w:bCs/>
                      <w:color w:val="auto"/>
                      <w:sz w:val="24"/>
                    </w:rPr>
                    <w:t>包号</w:t>
                  </w:r>
                </w:p>
              </w:tc>
              <w:tc>
                <w:tcPr>
                  <w:tcW w:w="2924" w:type="pct"/>
                  <w:tcBorders>
                    <w:top w:val="single" w:color="auto" w:sz="4" w:space="0"/>
                    <w:left w:val="single" w:color="auto" w:sz="4" w:space="0"/>
                    <w:bottom w:val="single" w:color="auto" w:sz="4" w:space="0"/>
                    <w:right w:val="single" w:color="auto" w:sz="4" w:space="0"/>
                  </w:tcBorders>
                  <w:vAlign w:val="center"/>
                </w:tcPr>
                <w:p w14:paraId="138F4C8D">
                  <w:pPr>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标的名称</w:t>
                  </w:r>
                </w:p>
              </w:tc>
              <w:tc>
                <w:tcPr>
                  <w:tcW w:w="1551" w:type="pct"/>
                  <w:tcBorders>
                    <w:top w:val="single" w:color="auto" w:sz="4" w:space="0"/>
                    <w:left w:val="single" w:color="auto" w:sz="4" w:space="0"/>
                    <w:bottom w:val="single" w:color="auto" w:sz="4" w:space="0"/>
                    <w:right w:val="single" w:color="auto" w:sz="4" w:space="0"/>
                  </w:tcBorders>
                  <w:vAlign w:val="center"/>
                </w:tcPr>
                <w:p w14:paraId="53D6D87F">
                  <w:pPr>
                    <w:jc w:val="center"/>
                    <w:rPr>
                      <w:rFonts w:hint="eastAsia" w:ascii="宋体" w:hAnsi="宋体" w:eastAsia="宋体" w:cs="宋体"/>
                      <w:color w:val="auto"/>
                      <w:sz w:val="24"/>
                    </w:rPr>
                  </w:pPr>
                  <w:r>
                    <w:rPr>
                      <w:rFonts w:hint="eastAsia" w:ascii="宋体" w:hAnsi="宋体" w:eastAsia="宋体" w:cs="宋体"/>
                      <w:color w:val="auto"/>
                      <w:sz w:val="24"/>
                    </w:rPr>
                    <w:t>中小企业划分标准所属行业</w:t>
                  </w:r>
                </w:p>
              </w:tc>
            </w:tr>
            <w:tr w14:paraId="6D43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tcBorders>
                    <w:top w:val="single" w:color="auto" w:sz="4" w:space="0"/>
                    <w:left w:val="single" w:color="auto" w:sz="4" w:space="0"/>
                    <w:bottom w:val="single" w:color="auto" w:sz="4" w:space="0"/>
                    <w:right w:val="single" w:color="auto" w:sz="4" w:space="0"/>
                  </w:tcBorders>
                  <w:vAlign w:val="center"/>
                </w:tcPr>
                <w:p w14:paraId="4196E1FC">
                  <w:pPr>
                    <w:jc w:val="center"/>
                    <w:rPr>
                      <w:rFonts w:hint="default" w:ascii="宋体" w:hAnsi="宋体" w:eastAsia="宋体" w:cs="宋体"/>
                      <w:bCs/>
                      <w:color w:val="auto"/>
                      <w:sz w:val="24"/>
                      <w:lang w:val="en-US" w:eastAsia="zh-CN"/>
                    </w:rPr>
                  </w:pPr>
                  <w:r>
                    <w:rPr>
                      <w:rFonts w:hint="eastAsia" w:ascii="宋体" w:hAnsi="宋体" w:cs="宋体"/>
                      <w:b/>
                      <w:bCs w:val="0"/>
                      <w:color w:val="auto"/>
                      <w:sz w:val="24"/>
                      <w:lang w:val="en-US" w:eastAsia="zh-CN"/>
                    </w:rPr>
                    <w:t>01</w:t>
                  </w:r>
                </w:p>
              </w:tc>
              <w:tc>
                <w:tcPr>
                  <w:tcW w:w="2924" w:type="pct"/>
                  <w:tcBorders>
                    <w:top w:val="single" w:color="auto" w:sz="4" w:space="0"/>
                    <w:left w:val="single" w:color="auto" w:sz="4" w:space="0"/>
                    <w:bottom w:val="single" w:color="auto" w:sz="4" w:space="0"/>
                    <w:right w:val="single" w:color="auto" w:sz="4" w:space="0"/>
                  </w:tcBorders>
                  <w:vAlign w:val="center"/>
                </w:tcPr>
                <w:p w14:paraId="3DEEF9C0">
                  <w:pPr>
                    <w:jc w:val="center"/>
                    <w:rPr>
                      <w:rFonts w:hint="eastAsia" w:ascii="宋体" w:hAnsi="宋体" w:cs="宋体"/>
                      <w:b/>
                      <w:bCs w:val="0"/>
                      <w:color w:val="auto"/>
                      <w:sz w:val="24"/>
                      <w:highlight w:val="yellow"/>
                      <w:lang w:val="en-US" w:eastAsia="zh-CN"/>
                    </w:rPr>
                  </w:pPr>
                  <w:r>
                    <w:rPr>
                      <w:rFonts w:hint="eastAsia" w:ascii="宋体" w:hAnsi="宋体" w:eastAsia="宋体" w:cs="宋体"/>
                      <w:b/>
                      <w:bCs w:val="0"/>
                      <w:color w:val="auto"/>
                      <w:sz w:val="24"/>
                      <w:highlight w:val="none"/>
                      <w:lang w:eastAsia="zh-CN"/>
                    </w:rPr>
                    <w:t>匹配第五章”采购需求”中的采购标的</w:t>
                  </w:r>
                </w:p>
              </w:tc>
              <w:tc>
                <w:tcPr>
                  <w:tcW w:w="1551" w:type="pct"/>
                  <w:tcBorders>
                    <w:top w:val="single" w:color="auto" w:sz="4" w:space="0"/>
                    <w:left w:val="single" w:color="auto" w:sz="4" w:space="0"/>
                    <w:bottom w:val="single" w:color="auto" w:sz="4" w:space="0"/>
                    <w:right w:val="single" w:color="auto" w:sz="4" w:space="0"/>
                  </w:tcBorders>
                  <w:vAlign w:val="center"/>
                </w:tcPr>
                <w:p w14:paraId="218CB94A">
                  <w:pPr>
                    <w:jc w:val="center"/>
                    <w:rPr>
                      <w:rFonts w:hint="eastAsia" w:ascii="宋体" w:hAnsi="宋体" w:eastAsia="宋体" w:cs="宋体"/>
                      <w:color w:val="auto"/>
                      <w:kern w:val="0"/>
                      <w:sz w:val="24"/>
                      <w:lang w:eastAsia="zh-CN"/>
                    </w:rPr>
                  </w:pPr>
                  <w:r>
                    <w:rPr>
                      <w:rFonts w:hint="eastAsia" w:ascii="宋体" w:hAnsi="宋体" w:eastAsia="宋体" w:cs="宋体"/>
                      <w:b/>
                      <w:bCs w:val="0"/>
                      <w:color w:val="auto"/>
                      <w:spacing w:val="0"/>
                      <w:kern w:val="0"/>
                      <w:position w:val="0"/>
                      <w:sz w:val="24"/>
                      <w:highlight w:val="none"/>
                      <w:lang w:val="en-US" w:eastAsia="zh-CN"/>
                    </w:rPr>
                    <w:t>工业、软件和信息技术服务业、其他未列明行业</w:t>
                  </w:r>
                </w:p>
              </w:tc>
            </w:tr>
          </w:tbl>
          <w:p w14:paraId="54EA842B">
            <w:pPr>
              <w:jc w:val="left"/>
              <w:rPr>
                <w:rFonts w:hint="default" w:ascii="宋体" w:hAnsi="宋体" w:eastAsia="宋体" w:cs="宋体"/>
                <w:b/>
                <w:bCs/>
                <w:color w:val="auto"/>
                <w:spacing w:val="0"/>
                <w:kern w:val="0"/>
                <w:position w:val="0"/>
                <w:sz w:val="24"/>
                <w:lang w:val="en-US" w:eastAsia="zh-CN"/>
              </w:rPr>
            </w:pPr>
            <w:r>
              <w:rPr>
                <w:rFonts w:hint="eastAsia" w:ascii="宋体" w:hAnsi="宋体" w:cs="宋体"/>
                <w:b/>
                <w:bCs/>
                <w:color w:val="auto"/>
                <w:spacing w:val="0"/>
                <w:kern w:val="0"/>
                <w:position w:val="0"/>
                <w:sz w:val="24"/>
                <w:lang w:val="en-US" w:eastAsia="zh-CN"/>
              </w:rPr>
              <w:t>中小企业划分说明：</w:t>
            </w:r>
          </w:p>
          <w:p w14:paraId="1924783E">
            <w:pPr>
              <w:jc w:val="left"/>
              <w:rPr>
                <w:rFonts w:hint="eastAsia" w:ascii="宋体" w:hAnsi="宋体" w:eastAsia="宋体" w:cs="宋体"/>
                <w:b/>
                <w:bCs/>
                <w:color w:val="auto"/>
                <w:spacing w:val="0"/>
                <w:kern w:val="0"/>
                <w:position w:val="0"/>
                <w:sz w:val="24"/>
              </w:rPr>
            </w:pPr>
            <w:r>
              <w:rPr>
                <w:rFonts w:hint="eastAsia" w:ascii="宋体" w:hAnsi="宋体" w:eastAsia="宋体" w:cs="宋体"/>
                <w:b/>
                <w:bCs/>
                <w:color w:val="auto"/>
                <w:spacing w:val="0"/>
                <w:kern w:val="0"/>
                <w:position w:val="0"/>
                <w:sz w:val="24"/>
              </w:rPr>
              <w:t>工业。</w:t>
            </w:r>
            <w:r>
              <w:rPr>
                <w:rFonts w:hint="eastAsia" w:ascii="宋体" w:hAnsi="宋体" w:eastAsia="宋体" w:cs="宋体"/>
                <w:b w:val="0"/>
                <w:bCs w:val="0"/>
                <w:color w:val="auto"/>
                <w:spacing w:val="0"/>
                <w:kern w:val="0"/>
                <w:position w:val="0"/>
                <w:sz w:val="24"/>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3D5C20D">
            <w:pPr>
              <w:jc w:val="left"/>
              <w:rPr>
                <w:rFonts w:hint="eastAsia" w:ascii="宋体" w:hAnsi="宋体" w:eastAsia="宋体" w:cs="宋体"/>
                <w:b/>
                <w:bCs/>
                <w:color w:val="auto"/>
                <w:spacing w:val="0"/>
                <w:kern w:val="0"/>
                <w:position w:val="0"/>
                <w:sz w:val="24"/>
              </w:rPr>
            </w:pPr>
            <w:r>
              <w:rPr>
                <w:rFonts w:hint="eastAsia" w:ascii="宋体" w:hAnsi="宋体" w:eastAsia="宋体" w:cs="宋体"/>
                <w:b/>
                <w:bCs/>
                <w:color w:val="auto"/>
                <w:spacing w:val="0"/>
                <w:kern w:val="0"/>
                <w:position w:val="0"/>
                <w:sz w:val="24"/>
              </w:rPr>
              <w:t>软件和信息技术服务业。</w:t>
            </w:r>
            <w:r>
              <w:rPr>
                <w:rFonts w:hint="eastAsia" w:ascii="宋体" w:hAnsi="宋体" w:eastAsia="宋体" w:cs="宋体"/>
                <w:b w:val="0"/>
                <w:bCs w:val="0"/>
                <w:color w:val="auto"/>
                <w:spacing w:val="0"/>
                <w:kern w:val="0"/>
                <w:position w:val="0"/>
                <w:sz w:val="24"/>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45C2478">
            <w:pPr>
              <w:jc w:val="left"/>
              <w:rPr>
                <w:rFonts w:hint="eastAsia" w:ascii="宋体" w:hAnsi="宋体" w:eastAsia="宋体" w:cs="宋体"/>
                <w:b/>
                <w:bCs/>
                <w:color w:val="auto"/>
                <w:spacing w:val="0"/>
                <w:kern w:val="0"/>
                <w:position w:val="0"/>
                <w:sz w:val="24"/>
              </w:rPr>
            </w:pPr>
            <w:r>
              <w:rPr>
                <w:rFonts w:hint="eastAsia" w:ascii="宋体" w:hAnsi="宋体" w:eastAsia="宋体" w:cs="宋体"/>
                <w:b/>
                <w:bCs/>
                <w:color w:val="auto"/>
                <w:spacing w:val="0"/>
                <w:kern w:val="0"/>
                <w:position w:val="0"/>
                <w:sz w:val="24"/>
              </w:rPr>
              <w:t>其他未列明行业。</w:t>
            </w:r>
            <w:r>
              <w:rPr>
                <w:rFonts w:hint="eastAsia" w:ascii="宋体" w:hAnsi="宋体" w:eastAsia="宋体" w:cs="宋体"/>
                <w:b w:val="0"/>
                <w:bCs w:val="0"/>
                <w:color w:val="auto"/>
                <w:spacing w:val="0"/>
                <w:kern w:val="0"/>
                <w:position w:val="0"/>
                <w:sz w:val="24"/>
              </w:rPr>
              <w:t>从业人员300人以下的为中小微型企业。其中，从业人员100人及以上的为中型企业；从业人员10人及以上的为小型企业；从业人员10人以下的为微型企业。</w:t>
            </w:r>
          </w:p>
        </w:tc>
      </w:tr>
      <w:tr w14:paraId="6476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7309978">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rPr>
              <w:br w:type="page"/>
            </w:r>
            <w:r>
              <w:rPr>
                <w:rFonts w:hint="eastAsia" w:ascii="宋体" w:hAnsi="宋体" w:eastAsia="宋体" w:cs="宋体"/>
                <w:color w:val="auto"/>
                <w:sz w:val="24"/>
                <w:szCs w:val="24"/>
              </w:rPr>
              <w:t>11.2</w:t>
            </w:r>
          </w:p>
        </w:tc>
        <w:tc>
          <w:tcPr>
            <w:tcW w:w="1701" w:type="dxa"/>
            <w:vAlign w:val="center"/>
          </w:tcPr>
          <w:p w14:paraId="49C04ACC">
            <w:pPr>
              <w:jc w:val="center"/>
              <w:rPr>
                <w:rFonts w:hint="eastAsia" w:ascii="宋体" w:hAnsi="宋体" w:eastAsia="宋体" w:cs="宋体"/>
                <w:color w:val="auto"/>
                <w:sz w:val="24"/>
              </w:rPr>
            </w:pPr>
            <w:r>
              <w:rPr>
                <w:rFonts w:hint="eastAsia" w:ascii="宋体" w:hAnsi="宋体" w:eastAsia="宋体" w:cs="宋体"/>
                <w:color w:val="auto"/>
                <w:sz w:val="24"/>
              </w:rPr>
              <w:t>投标报价</w:t>
            </w:r>
          </w:p>
        </w:tc>
        <w:tc>
          <w:tcPr>
            <w:tcW w:w="7540" w:type="dxa"/>
            <w:vAlign w:val="center"/>
          </w:tcPr>
          <w:p w14:paraId="7CF4DC27">
            <w:pPr>
              <w:jc w:val="left"/>
              <w:rPr>
                <w:rFonts w:hint="eastAsia" w:ascii="宋体" w:hAnsi="宋体" w:eastAsia="宋体" w:cs="宋体"/>
                <w:color w:val="auto"/>
                <w:sz w:val="24"/>
              </w:rPr>
            </w:pPr>
            <w:r>
              <w:rPr>
                <w:rFonts w:hint="eastAsia" w:ascii="宋体" w:hAnsi="宋体" w:eastAsia="宋体" w:cs="宋体"/>
                <w:color w:val="auto"/>
                <w:sz w:val="24"/>
              </w:rPr>
              <w:t>投标报价的特殊规定：</w:t>
            </w:r>
          </w:p>
          <w:p w14:paraId="438D06B1">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无</w:t>
            </w:r>
          </w:p>
          <w:p w14:paraId="0103AA46">
            <w:pPr>
              <w:jc w:val="left"/>
              <w:rPr>
                <w:rFonts w:hint="eastAsia" w:ascii="宋体" w:hAnsi="宋体" w:eastAsia="宋体" w:cs="宋体"/>
                <w:color w:val="auto"/>
                <w:sz w:val="24"/>
              </w:rPr>
            </w:pPr>
            <w:r>
              <w:rPr>
                <w:rFonts w:hint="eastAsia" w:ascii="宋体" w:hAnsi="宋体" w:eastAsia="宋体" w:cs="宋体"/>
                <w:color w:val="auto"/>
                <w:sz w:val="24"/>
              </w:rPr>
              <w:t>□有，具体情形：_____。</w:t>
            </w:r>
          </w:p>
        </w:tc>
      </w:tr>
      <w:tr w14:paraId="35D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54A6B62">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12.1</w:t>
            </w:r>
          </w:p>
        </w:tc>
        <w:tc>
          <w:tcPr>
            <w:tcW w:w="1701" w:type="dxa"/>
            <w:vMerge w:val="restart"/>
            <w:vAlign w:val="center"/>
          </w:tcPr>
          <w:p w14:paraId="405973F0">
            <w:pPr>
              <w:jc w:val="center"/>
              <w:rPr>
                <w:rFonts w:hint="eastAsia" w:ascii="宋体" w:hAnsi="宋体" w:eastAsia="宋体" w:cs="宋体"/>
                <w:color w:val="auto"/>
                <w:sz w:val="24"/>
              </w:rPr>
            </w:pPr>
            <w:r>
              <w:rPr>
                <w:rFonts w:hint="eastAsia" w:ascii="宋体" w:hAnsi="宋体" w:eastAsia="宋体" w:cs="宋体"/>
                <w:color w:val="auto"/>
                <w:sz w:val="24"/>
              </w:rPr>
              <w:t>投标保证金</w:t>
            </w:r>
          </w:p>
        </w:tc>
        <w:tc>
          <w:tcPr>
            <w:tcW w:w="7540" w:type="dxa"/>
            <w:vAlign w:val="center"/>
          </w:tcPr>
          <w:p w14:paraId="40DDE8CE">
            <w:pPr>
              <w:pStyle w:val="24"/>
              <w:adjustRightInd w:val="0"/>
              <w:snapToGrid w:val="0"/>
              <w:rPr>
                <w:rFonts w:hint="eastAsia" w:ascii="宋体" w:hAnsi="宋体" w:eastAsia="宋体" w:cs="宋体"/>
                <w:color w:val="auto"/>
                <w:sz w:val="24"/>
                <w:szCs w:val="24"/>
              </w:rPr>
            </w:pPr>
            <w:r>
              <w:rPr>
                <w:rFonts w:hint="eastAsia" w:ascii="宋体" w:hAnsi="宋体" w:eastAsia="宋体" w:cs="宋体"/>
                <w:color w:val="auto"/>
                <w:sz w:val="24"/>
                <w:szCs w:val="24"/>
              </w:rPr>
              <w:t>投标保证金金额：</w:t>
            </w:r>
          </w:p>
          <w:p w14:paraId="5C1A9C57">
            <w:pPr>
              <w:pStyle w:val="24"/>
              <w:adjustRightInd w:val="0"/>
              <w:snapToGrid w:val="0"/>
              <w:rPr>
                <w:rFonts w:hint="eastAsia" w:ascii="宋体" w:hAnsi="宋体" w:eastAsia="宋体" w:cs="宋体"/>
                <w:color w:val="auto"/>
                <w:sz w:val="24"/>
                <w:szCs w:val="24"/>
              </w:rPr>
            </w:pPr>
            <w:r>
              <w:rPr>
                <w:rFonts w:hint="eastAsia" w:hAnsi="宋体" w:cs="宋体"/>
                <w:color w:val="auto"/>
                <w:sz w:val="24"/>
                <w:szCs w:val="24"/>
                <w:highlight w:val="none"/>
                <w:lang w:val="en-US" w:eastAsia="zh-CN"/>
              </w:rPr>
              <w:t>01</w:t>
            </w:r>
            <w:r>
              <w:rPr>
                <w:rFonts w:hint="eastAsia" w:ascii="宋体" w:hAnsi="宋体" w:eastAsia="宋体" w:cs="宋体"/>
                <w:color w:val="auto"/>
                <w:sz w:val="24"/>
                <w:szCs w:val="24"/>
                <w:highlight w:val="none"/>
              </w:rPr>
              <w:t>包：</w:t>
            </w:r>
            <w:r>
              <w:rPr>
                <w:rFonts w:hint="eastAsia" w:hAnsi="宋体" w:cs="宋体"/>
                <w:color w:val="auto"/>
                <w:sz w:val="24"/>
                <w:szCs w:val="24"/>
                <w:highlight w:val="none"/>
                <w:lang w:val="en-US" w:eastAsia="zh-CN"/>
              </w:rPr>
              <w:t>3</w:t>
            </w:r>
            <w:r>
              <w:rPr>
                <w:rFonts w:hint="eastAsia" w:hAnsi="宋体" w:cs="宋体"/>
                <w:color w:val="auto"/>
                <w:sz w:val="24"/>
                <w:highlight w:val="none"/>
                <w:lang w:val="en-US" w:eastAsia="zh-CN"/>
              </w:rPr>
              <w:t>0</w:t>
            </w:r>
            <w:r>
              <w:rPr>
                <w:rFonts w:hint="eastAsia" w:ascii="宋体" w:hAnsi="宋体" w:eastAsia="宋体" w:cs="宋体"/>
                <w:color w:val="auto"/>
                <w:sz w:val="24"/>
                <w:highlight w:val="none"/>
              </w:rPr>
              <w:t>000.00元（</w:t>
            </w:r>
            <w:r>
              <w:rPr>
                <w:rFonts w:hint="eastAsia" w:hAnsi="宋体" w:cs="宋体"/>
                <w:color w:val="auto"/>
                <w:sz w:val="24"/>
                <w:highlight w:val="none"/>
                <w:lang w:val="en-US" w:eastAsia="zh-CN"/>
              </w:rPr>
              <w:t>叁万元整</w:t>
            </w:r>
            <w:r>
              <w:rPr>
                <w:rFonts w:hint="eastAsia" w:ascii="宋体" w:hAnsi="宋体" w:eastAsia="宋体" w:cs="宋体"/>
                <w:color w:val="auto"/>
                <w:sz w:val="24"/>
                <w:highlight w:val="none"/>
              </w:rPr>
              <w:t>）</w:t>
            </w:r>
            <w:r>
              <w:rPr>
                <w:rFonts w:hint="eastAsia" w:ascii="宋体" w:hAnsi="宋体" w:eastAsia="宋体" w:cs="宋体"/>
                <w:color w:val="auto"/>
                <w:sz w:val="24"/>
                <w:szCs w:val="24"/>
              </w:rPr>
              <w:t>；</w:t>
            </w:r>
          </w:p>
          <w:p w14:paraId="1671DD84">
            <w:pPr>
              <w:keepNext w:val="0"/>
              <w:keepLines w:val="0"/>
              <w:pageBreakBefore w:val="0"/>
              <w:widowControl/>
              <w:wordWrap/>
              <w:overflowPunct/>
              <w:topLinePunct w:val="0"/>
              <w:bidi w:val="0"/>
              <w:adjustRightInd w:val="0"/>
              <w:snapToGrid w:val="0"/>
              <w:spacing w:line="240" w:lineRule="auto"/>
              <w:textAlignment w:val="baseline"/>
              <w:rPr>
                <w:rFonts w:hint="eastAsia" w:ascii="宋体" w:hAnsi="宋体" w:eastAsia="宋体" w:cs="宋体"/>
                <w:color w:val="auto"/>
                <w:spacing w:val="0"/>
                <w:kern w:val="0"/>
                <w:position w:val="0"/>
                <w:sz w:val="24"/>
              </w:rPr>
            </w:pPr>
            <w:r>
              <w:rPr>
                <w:rFonts w:hint="eastAsia" w:ascii="宋体" w:hAnsi="宋体" w:eastAsia="宋体" w:cs="宋体"/>
                <w:color w:val="auto"/>
                <w:spacing w:val="0"/>
                <w:w w:val="100"/>
                <w:kern w:val="0"/>
                <w:position w:val="0"/>
                <w:sz w:val="24"/>
                <w:szCs w:val="24"/>
              </w:rPr>
              <w:t>投标保证金收受人信息：</w:t>
            </w:r>
            <w:r>
              <w:rPr>
                <w:rFonts w:hint="eastAsia" w:ascii="宋体" w:hAnsi="宋体" w:eastAsia="宋体" w:cs="宋体"/>
                <w:color w:val="auto"/>
                <w:spacing w:val="0"/>
                <w:kern w:val="0"/>
                <w:position w:val="0"/>
                <w:sz w:val="24"/>
                <w:u w:val="single"/>
              </w:rPr>
              <w:t>投标保证金可采用下列形式之一：</w:t>
            </w:r>
          </w:p>
          <w:p w14:paraId="09330180">
            <w:pPr>
              <w:keepNext w:val="0"/>
              <w:keepLines w:val="0"/>
              <w:pageBreakBefore w:val="0"/>
              <w:widowControl/>
              <w:wordWrap/>
              <w:overflowPunct/>
              <w:topLinePunct w:val="0"/>
              <w:bidi w:val="0"/>
              <w:adjustRightInd w:val="0"/>
              <w:snapToGrid w:val="0"/>
              <w:spacing w:line="240" w:lineRule="auto"/>
              <w:textAlignment w:val="baseline"/>
              <w:rPr>
                <w:rFonts w:hint="eastAsia" w:ascii="宋体" w:hAnsi="宋体" w:eastAsia="宋体" w:cs="宋体"/>
                <w:b w:val="0"/>
                <w:bCs/>
                <w:color w:val="auto"/>
                <w:spacing w:val="0"/>
                <w:kern w:val="0"/>
                <w:position w:val="0"/>
                <w:sz w:val="24"/>
                <w:u w:val="single"/>
              </w:rPr>
            </w:pPr>
            <w:r>
              <w:rPr>
                <w:rFonts w:hint="eastAsia" w:ascii="宋体" w:hAnsi="宋体" w:eastAsia="宋体" w:cs="宋体"/>
                <w:b w:val="0"/>
                <w:bCs/>
                <w:color w:val="auto"/>
                <w:spacing w:val="0"/>
                <w:kern w:val="0"/>
                <w:position w:val="0"/>
                <w:sz w:val="24"/>
                <w:u w:val="single"/>
              </w:rPr>
              <w:t>（1）支票（支票抬头：</w:t>
            </w:r>
            <w:r>
              <w:rPr>
                <w:rFonts w:hint="eastAsia" w:ascii="宋体" w:hAnsi="宋体" w:eastAsia="宋体" w:cs="宋体"/>
                <w:bCs/>
                <w:color w:val="auto"/>
                <w:sz w:val="24"/>
                <w:szCs w:val="24"/>
                <w:u w:val="single"/>
                <w:lang w:eastAsia="zh-CN"/>
              </w:rPr>
              <w:t>中归咨询管理（北京）有限公司</w:t>
            </w:r>
            <w:r>
              <w:rPr>
                <w:rFonts w:hint="eastAsia" w:ascii="宋体" w:hAnsi="宋体" w:eastAsia="宋体" w:cs="宋体"/>
                <w:b w:val="0"/>
                <w:bCs/>
                <w:color w:val="auto"/>
                <w:spacing w:val="0"/>
                <w:kern w:val="0"/>
                <w:position w:val="0"/>
                <w:sz w:val="24"/>
                <w:u w:val="single"/>
              </w:rPr>
              <w:t>）；</w:t>
            </w:r>
          </w:p>
          <w:p w14:paraId="1A0C8494">
            <w:pPr>
              <w:keepNext w:val="0"/>
              <w:keepLines w:val="0"/>
              <w:pageBreakBefore w:val="0"/>
              <w:widowControl/>
              <w:wordWrap/>
              <w:overflowPunct/>
              <w:topLinePunct w:val="0"/>
              <w:bidi w:val="0"/>
              <w:adjustRightInd w:val="0"/>
              <w:snapToGrid w:val="0"/>
              <w:spacing w:line="240" w:lineRule="auto"/>
              <w:textAlignment w:val="baseline"/>
              <w:rPr>
                <w:rFonts w:hint="eastAsia" w:ascii="宋体" w:hAnsi="宋体" w:eastAsia="宋体" w:cs="宋体"/>
                <w:b w:val="0"/>
                <w:bCs/>
                <w:color w:val="auto"/>
                <w:spacing w:val="0"/>
                <w:kern w:val="0"/>
                <w:position w:val="0"/>
                <w:sz w:val="24"/>
                <w:u w:val="single"/>
              </w:rPr>
            </w:pPr>
            <w:r>
              <w:rPr>
                <w:rFonts w:hint="eastAsia" w:ascii="宋体" w:hAnsi="宋体" w:eastAsia="宋体" w:cs="宋体"/>
                <w:b w:val="0"/>
                <w:bCs/>
                <w:color w:val="auto"/>
                <w:spacing w:val="0"/>
                <w:kern w:val="0"/>
                <w:position w:val="0"/>
                <w:sz w:val="24"/>
                <w:u w:val="single"/>
              </w:rPr>
              <w:fldChar w:fldCharType="begin"/>
            </w:r>
            <w:r>
              <w:rPr>
                <w:rFonts w:hint="eastAsia" w:ascii="宋体" w:hAnsi="宋体" w:eastAsia="宋体" w:cs="宋体"/>
                <w:b w:val="0"/>
                <w:bCs/>
                <w:color w:val="auto"/>
                <w:spacing w:val="0"/>
                <w:kern w:val="0"/>
                <w:position w:val="0"/>
                <w:sz w:val="24"/>
                <w:u w:val="single"/>
              </w:rPr>
              <w:instrText xml:space="preserve"> HYPERLINK "mailto:(2）汇款（1.凡以汇款形式提交投标保证金的，投标人须在汇款当日将汇款凭证扫描件发送至18514520521@163.com并确保款项按招标文件要求时间到账，否则按未提交投标保证金处理" </w:instrText>
            </w:r>
            <w:r>
              <w:rPr>
                <w:rFonts w:hint="eastAsia" w:ascii="宋体" w:hAnsi="宋体" w:eastAsia="宋体" w:cs="宋体"/>
                <w:b w:val="0"/>
                <w:bCs/>
                <w:color w:val="auto"/>
                <w:spacing w:val="0"/>
                <w:kern w:val="0"/>
                <w:position w:val="0"/>
                <w:sz w:val="24"/>
                <w:u w:val="single"/>
              </w:rPr>
              <w:fldChar w:fldCharType="separate"/>
            </w:r>
            <w:r>
              <w:rPr>
                <w:rStyle w:val="53"/>
                <w:rFonts w:hint="eastAsia" w:ascii="宋体" w:hAnsi="宋体" w:eastAsia="宋体" w:cs="宋体"/>
                <w:b w:val="0"/>
                <w:bCs/>
                <w:color w:val="auto"/>
                <w:spacing w:val="0"/>
                <w:kern w:val="0"/>
                <w:position w:val="0"/>
                <w:sz w:val="24"/>
                <w:u w:val="single"/>
                <w:lang w:eastAsia="zh-CN"/>
              </w:rPr>
              <w:t>（</w:t>
            </w:r>
            <w:r>
              <w:rPr>
                <w:rStyle w:val="53"/>
                <w:rFonts w:hint="eastAsia" w:ascii="宋体" w:hAnsi="宋体" w:eastAsia="宋体" w:cs="宋体"/>
                <w:b w:val="0"/>
                <w:bCs/>
                <w:color w:val="auto"/>
                <w:spacing w:val="0"/>
                <w:kern w:val="0"/>
                <w:position w:val="0"/>
                <w:sz w:val="24"/>
                <w:u w:val="single"/>
                <w:lang w:val="en-US" w:eastAsia="zh-CN"/>
              </w:rPr>
              <w:t>2</w:t>
            </w:r>
            <w:r>
              <w:rPr>
                <w:rStyle w:val="53"/>
                <w:rFonts w:hint="eastAsia" w:ascii="宋体" w:hAnsi="宋体" w:eastAsia="宋体" w:cs="宋体"/>
                <w:b w:val="0"/>
                <w:bCs/>
                <w:color w:val="auto"/>
                <w:spacing w:val="0"/>
                <w:kern w:val="0"/>
                <w:position w:val="0"/>
                <w:sz w:val="24"/>
                <w:u w:val="single"/>
                <w:lang w:eastAsia="zh-CN"/>
              </w:rPr>
              <w:t>）</w:t>
            </w:r>
            <w:r>
              <w:rPr>
                <w:rStyle w:val="53"/>
                <w:rFonts w:hint="eastAsia" w:ascii="宋体" w:hAnsi="宋体" w:eastAsia="宋体" w:cs="宋体"/>
                <w:b w:val="0"/>
                <w:bCs/>
                <w:color w:val="auto"/>
                <w:spacing w:val="0"/>
                <w:kern w:val="0"/>
                <w:position w:val="0"/>
                <w:sz w:val="24"/>
                <w:u w:val="single"/>
              </w:rPr>
              <w:t>汇款（1.凡以汇款形式提交投标保证金的，投标人须在汇款当日填写以下网站信息</w:t>
            </w:r>
            <w:r>
              <w:rPr>
                <w:rFonts w:hint="eastAsia" w:ascii="宋体" w:hAnsi="宋体" w:eastAsia="宋体" w:cs="宋体"/>
                <w:b w:val="0"/>
                <w:bCs/>
                <w:color w:val="auto"/>
                <w:spacing w:val="0"/>
                <w:kern w:val="0"/>
                <w:position w:val="0"/>
                <w:sz w:val="24"/>
                <w:u w:val="single"/>
              </w:rPr>
              <w:fldChar w:fldCharType="end"/>
            </w:r>
          </w:p>
          <w:p w14:paraId="3FC94A0F">
            <w:pPr>
              <w:keepNext w:val="0"/>
              <w:keepLines w:val="0"/>
              <w:pageBreakBefore w:val="0"/>
              <w:widowControl/>
              <w:wordWrap/>
              <w:overflowPunct/>
              <w:topLinePunct w:val="0"/>
              <w:bidi w:val="0"/>
              <w:adjustRightInd w:val="0"/>
              <w:snapToGrid w:val="0"/>
              <w:spacing w:line="240" w:lineRule="auto"/>
              <w:textAlignment w:val="baseline"/>
              <w:rPr>
                <w:rFonts w:hint="eastAsia" w:ascii="宋体" w:hAnsi="宋体" w:eastAsia="宋体" w:cs="宋体"/>
                <w:b w:val="0"/>
                <w:bCs/>
                <w:color w:val="auto"/>
                <w:spacing w:val="0"/>
                <w:kern w:val="0"/>
                <w:position w:val="0"/>
                <w:sz w:val="24"/>
                <w:u w:val="single"/>
              </w:rPr>
            </w:pPr>
            <w:r>
              <w:rPr>
                <w:rFonts w:hint="eastAsia" w:ascii="宋体" w:hAnsi="宋体" w:eastAsia="宋体" w:cs="宋体"/>
                <w:bCs/>
                <w:color w:val="auto"/>
                <w:sz w:val="24"/>
                <w:szCs w:val="24"/>
                <w:u w:val="single"/>
              </w:rPr>
              <w:t>https://s8giz9twlp.jiandaoyun.com/f/6866a233c47e3c423e2b11be；</w:t>
            </w:r>
            <w:r>
              <w:rPr>
                <w:rFonts w:hint="eastAsia" w:ascii="宋体" w:hAnsi="宋体" w:eastAsia="宋体" w:cs="宋体"/>
                <w:bCs/>
                <w:color w:val="auto"/>
                <w:sz w:val="24"/>
                <w:szCs w:val="24"/>
                <w:u w:val="single"/>
                <w:lang w:val="en-US" w:eastAsia="zh-CN"/>
              </w:rPr>
              <w:t>登录后获取收款账户信息</w:t>
            </w:r>
            <w:r>
              <w:rPr>
                <w:rFonts w:hint="eastAsia" w:ascii="宋体" w:hAnsi="宋体" w:cs="宋体"/>
                <w:bCs/>
                <w:color w:val="auto"/>
                <w:sz w:val="24"/>
                <w:u w:val="single"/>
                <w:lang w:eastAsia="zh-CN"/>
              </w:rPr>
              <w:t>，</w:t>
            </w:r>
            <w:r>
              <w:rPr>
                <w:rFonts w:hint="eastAsia" w:ascii="宋体" w:hAnsi="宋体" w:cs="宋体"/>
                <w:bCs/>
                <w:color w:val="auto"/>
                <w:sz w:val="24"/>
                <w:u w:val="single"/>
                <w:lang w:val="en-US" w:eastAsia="zh-CN"/>
              </w:rPr>
              <w:t>汇款后并</w:t>
            </w:r>
            <w:r>
              <w:rPr>
                <w:rFonts w:hint="eastAsia" w:ascii="宋体" w:hAnsi="宋体" w:cs="宋体"/>
                <w:bCs/>
                <w:color w:val="auto"/>
                <w:sz w:val="24"/>
                <w:u w:val="single"/>
                <w:lang w:eastAsia="zh-CN"/>
              </w:rPr>
              <w:t>将汇款凭证</w:t>
            </w:r>
            <w:r>
              <w:rPr>
                <w:rFonts w:hint="eastAsia" w:ascii="宋体" w:hAnsi="宋体" w:cs="宋体"/>
                <w:bCs/>
                <w:color w:val="auto"/>
                <w:sz w:val="24"/>
                <w:u w:val="single"/>
                <w:lang w:val="en-US" w:eastAsia="zh-CN"/>
              </w:rPr>
              <w:t>上传</w:t>
            </w:r>
            <w:r>
              <w:rPr>
                <w:rFonts w:hint="eastAsia" w:ascii="宋体" w:hAnsi="宋体" w:cs="宋体"/>
                <w:bCs/>
                <w:color w:val="auto"/>
                <w:sz w:val="24"/>
                <w:u w:val="single"/>
                <w:lang w:eastAsia="zh-CN"/>
              </w:rPr>
              <w:t>；</w:t>
            </w:r>
          </w:p>
          <w:p w14:paraId="05F59648">
            <w:pPr>
              <w:numPr>
                <w:ilvl w:val="0"/>
                <w:numId w:val="8"/>
              </w:numPr>
              <w:jc w:val="left"/>
              <w:rPr>
                <w:rFonts w:hint="eastAsia" w:ascii="宋体" w:hAnsi="宋体" w:eastAsia="宋体" w:cs="宋体"/>
                <w:b w:val="0"/>
                <w:bCs/>
                <w:color w:val="auto"/>
                <w:spacing w:val="0"/>
                <w:w w:val="100"/>
                <w:kern w:val="0"/>
                <w:position w:val="0"/>
              </w:rPr>
            </w:pPr>
            <w:r>
              <w:rPr>
                <w:rFonts w:hint="eastAsia" w:ascii="宋体" w:hAnsi="宋体" w:cs="宋体"/>
                <w:b w:val="0"/>
                <w:bCs/>
                <w:color w:val="auto"/>
                <w:spacing w:val="0"/>
                <w:kern w:val="0"/>
                <w:position w:val="0"/>
                <w:sz w:val="24"/>
                <w:u w:val="single"/>
                <w:lang w:val="en-US" w:eastAsia="zh-CN"/>
              </w:rPr>
              <w:t>汇票、</w:t>
            </w:r>
            <w:r>
              <w:rPr>
                <w:rFonts w:hint="eastAsia" w:ascii="宋体" w:hAnsi="宋体" w:eastAsia="宋体" w:cs="宋体"/>
                <w:b w:val="0"/>
                <w:bCs/>
                <w:color w:val="auto"/>
                <w:spacing w:val="0"/>
                <w:kern w:val="0"/>
                <w:position w:val="0"/>
                <w:sz w:val="24"/>
                <w:u w:val="single"/>
              </w:rPr>
              <w:t>本票或者金融机构、担保机构出具的保函原件</w:t>
            </w:r>
            <w:r>
              <w:rPr>
                <w:rFonts w:hint="eastAsia" w:ascii="宋体" w:hAnsi="宋体" w:eastAsia="宋体" w:cs="宋体"/>
                <w:b w:val="0"/>
                <w:bCs/>
                <w:color w:val="auto"/>
                <w:spacing w:val="0"/>
                <w:w w:val="100"/>
                <w:kern w:val="0"/>
                <w:position w:val="0"/>
              </w:rPr>
              <w:t>。</w:t>
            </w:r>
          </w:p>
          <w:p w14:paraId="1F95A8B8">
            <w:pPr>
              <w:jc w:val="left"/>
              <w:rPr>
                <w:rFonts w:hint="eastAsia" w:ascii="宋体" w:hAnsi="宋体" w:eastAsia="宋体" w:cs="宋体"/>
                <w:color w:val="auto"/>
                <w:sz w:val="24"/>
              </w:rPr>
            </w:pPr>
            <w:r>
              <w:rPr>
                <w:rFonts w:hint="eastAsia" w:ascii="宋体" w:hAnsi="宋体" w:eastAsia="宋体" w:cs="宋体"/>
                <w:bCs/>
                <w:color w:val="auto"/>
                <w:sz w:val="24"/>
                <w:u w:val="none"/>
                <w:lang w:eastAsia="zh-CN"/>
              </w:rPr>
              <w:t>投标阶段投标保证金汇款凭证上用途栏应注明本项目招标编号</w:t>
            </w:r>
            <w:r>
              <w:rPr>
                <w:rFonts w:hint="eastAsia" w:ascii="宋体" w:hAnsi="宋体" w:eastAsia="宋体" w:cs="宋体"/>
                <w:bCs/>
                <w:color w:val="auto"/>
                <w:sz w:val="24"/>
                <w:u w:val="none"/>
                <w:lang w:val="en-US" w:eastAsia="zh-CN"/>
              </w:rPr>
              <w:t>及包号</w:t>
            </w:r>
            <w:r>
              <w:rPr>
                <w:rFonts w:hint="eastAsia" w:ascii="宋体" w:hAnsi="宋体" w:eastAsia="宋体" w:cs="宋体"/>
                <w:bCs/>
                <w:color w:val="auto"/>
                <w:sz w:val="24"/>
                <w:highlight w:val="none"/>
                <w:u w:val="none"/>
                <w:lang w:eastAsia="zh-CN"/>
              </w:rPr>
              <w:t>【标准格式：</w:t>
            </w:r>
            <w:r>
              <w:rPr>
                <w:rFonts w:hint="eastAsia" w:ascii="宋体" w:hAnsi="宋体" w:cs="宋体"/>
                <w:color w:val="auto"/>
                <w:spacing w:val="0"/>
                <w:kern w:val="0"/>
                <w:position w:val="0"/>
                <w:sz w:val="24"/>
                <w:highlight w:val="none"/>
                <w:u w:val="single"/>
                <w:lang w:val="en-US" w:eastAsia="zh-CN"/>
              </w:rPr>
              <w:t>11011626210200017641-XM001/01</w:t>
            </w:r>
            <w:r>
              <w:rPr>
                <w:rFonts w:hint="eastAsia" w:ascii="宋体" w:hAnsi="宋体" w:eastAsia="宋体" w:cs="宋体"/>
                <w:bCs/>
                <w:color w:val="auto"/>
                <w:sz w:val="24"/>
                <w:highlight w:val="none"/>
                <w:u w:val="none"/>
                <w:lang w:eastAsia="zh-CN"/>
              </w:rPr>
              <w:t>】。</w:t>
            </w:r>
          </w:p>
        </w:tc>
      </w:tr>
      <w:tr w14:paraId="47A9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490080">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12.8.2</w:t>
            </w:r>
          </w:p>
        </w:tc>
        <w:tc>
          <w:tcPr>
            <w:tcW w:w="1701" w:type="dxa"/>
            <w:vMerge w:val="continue"/>
            <w:vAlign w:val="center"/>
          </w:tcPr>
          <w:p w14:paraId="00712176">
            <w:pPr>
              <w:jc w:val="center"/>
              <w:rPr>
                <w:rFonts w:hint="eastAsia" w:ascii="宋体" w:hAnsi="宋体" w:eastAsia="宋体" w:cs="宋体"/>
                <w:color w:val="auto"/>
                <w:sz w:val="24"/>
              </w:rPr>
            </w:pPr>
          </w:p>
        </w:tc>
        <w:tc>
          <w:tcPr>
            <w:tcW w:w="7540" w:type="dxa"/>
            <w:vAlign w:val="center"/>
          </w:tcPr>
          <w:p w14:paraId="6046DA79">
            <w:pPr>
              <w:jc w:val="left"/>
              <w:rPr>
                <w:rFonts w:hint="eastAsia" w:ascii="宋体" w:hAnsi="宋体" w:eastAsia="宋体" w:cs="宋体"/>
                <w:color w:val="auto"/>
                <w:sz w:val="24"/>
              </w:rPr>
            </w:pPr>
            <w:r>
              <w:rPr>
                <w:rFonts w:hint="eastAsia" w:ascii="宋体" w:hAnsi="宋体" w:eastAsia="宋体" w:cs="宋体"/>
                <w:color w:val="auto"/>
                <w:sz w:val="24"/>
              </w:rPr>
              <w:t>投标保证金可以不予退还的其他情形：</w:t>
            </w:r>
          </w:p>
          <w:p w14:paraId="097FE56F">
            <w:pPr>
              <w:jc w:val="left"/>
              <w:rPr>
                <w:rFonts w:hint="eastAsia" w:ascii="宋体" w:hAnsi="宋体" w:eastAsia="宋体" w:cs="宋体"/>
                <w:color w:val="auto"/>
                <w:sz w:val="24"/>
              </w:rPr>
            </w:pPr>
            <w:r>
              <w:rPr>
                <w:rFonts w:hint="eastAsia" w:ascii="宋体" w:hAnsi="宋体" w:eastAsia="宋体" w:cs="宋体"/>
                <w:color w:val="auto"/>
                <w:sz w:val="24"/>
              </w:rPr>
              <w:t>□无</w:t>
            </w:r>
          </w:p>
          <w:p w14:paraId="1799E1F3">
            <w:pPr>
              <w:pStyle w:val="256"/>
              <w:keepNext w:val="0"/>
              <w:keepLines w:val="0"/>
              <w:pageBreakBefore w:val="0"/>
              <w:widowControl/>
              <w:kinsoku/>
              <w:wordWrap/>
              <w:overflowPunct/>
              <w:topLinePunct w:val="0"/>
              <w:autoSpaceDE/>
              <w:autoSpaceDN/>
              <w:bidi w:val="0"/>
              <w:adjustRightInd w:val="0"/>
              <w:snapToGrid w:val="0"/>
              <w:spacing w:line="240" w:lineRule="auto"/>
              <w:ind w:left="0"/>
              <w:textAlignment w:val="baseline"/>
              <w:rPr>
                <w:rFonts w:hint="eastAsia" w:ascii="宋体" w:hAnsi="宋体" w:eastAsia="宋体" w:cs="宋体"/>
                <w:color w:val="auto"/>
                <w:spacing w:val="0"/>
                <w:w w:val="100"/>
                <w:kern w:val="0"/>
                <w:position w:val="0"/>
                <w:lang w:eastAsia="zh-CN"/>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有，具体情形：</w:t>
            </w:r>
            <w:r>
              <w:rPr>
                <w:rFonts w:hint="eastAsia" w:ascii="宋体" w:hAnsi="宋体" w:eastAsia="宋体" w:cs="宋体"/>
                <w:color w:val="auto"/>
                <w:spacing w:val="0"/>
                <w:w w:val="100"/>
                <w:kern w:val="0"/>
                <w:position w:val="0"/>
                <w:u w:val="single" w:color="auto"/>
                <w:lang w:eastAsia="zh-CN"/>
              </w:rPr>
              <w:t>（</w:t>
            </w:r>
            <w:r>
              <w:rPr>
                <w:rFonts w:hint="eastAsia" w:ascii="宋体" w:hAnsi="宋体" w:eastAsia="宋体" w:cs="宋体"/>
                <w:color w:val="auto"/>
                <w:spacing w:val="0"/>
                <w:w w:val="100"/>
                <w:kern w:val="0"/>
                <w:position w:val="0"/>
                <w:u w:val="single" w:color="auto"/>
                <w:lang w:val="en-US" w:eastAsia="zh-CN"/>
              </w:rPr>
              <w:t>1</w:t>
            </w:r>
            <w:r>
              <w:rPr>
                <w:rFonts w:hint="eastAsia" w:ascii="宋体" w:hAnsi="宋体" w:eastAsia="宋体" w:cs="宋体"/>
                <w:color w:val="auto"/>
                <w:spacing w:val="0"/>
                <w:w w:val="100"/>
                <w:kern w:val="0"/>
                <w:position w:val="0"/>
                <w:u w:val="single" w:color="auto"/>
                <w:lang w:eastAsia="zh-CN"/>
              </w:rPr>
              <w:t>）</w:t>
            </w:r>
            <w:r>
              <w:rPr>
                <w:rFonts w:hint="eastAsia" w:ascii="宋体" w:hAnsi="宋体" w:eastAsia="宋体" w:cs="宋体"/>
                <w:color w:val="auto"/>
                <w:spacing w:val="0"/>
                <w:w w:val="100"/>
                <w:kern w:val="0"/>
                <w:position w:val="0"/>
                <w:u w:val="single" w:color="auto"/>
              </w:rPr>
              <w:t>投标人在收到中标通知书后，未按招标文件要求与采购人签订政府采购合同</w:t>
            </w:r>
            <w:r>
              <w:rPr>
                <w:rFonts w:hint="eastAsia" w:ascii="宋体" w:hAnsi="宋体" w:eastAsia="宋体" w:cs="宋体"/>
                <w:color w:val="auto"/>
                <w:spacing w:val="0"/>
                <w:w w:val="100"/>
                <w:kern w:val="0"/>
                <w:position w:val="0"/>
                <w:u w:val="single"/>
                <w:lang w:eastAsia="zh-CN"/>
              </w:rPr>
              <w:t>；</w:t>
            </w:r>
          </w:p>
          <w:p w14:paraId="74412C8F">
            <w:pPr>
              <w:pStyle w:val="256"/>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textAlignment w:val="baseline"/>
              <w:rPr>
                <w:rFonts w:hint="eastAsia" w:ascii="宋体" w:hAnsi="宋体" w:eastAsia="宋体" w:cs="宋体"/>
                <w:color w:val="auto"/>
                <w:spacing w:val="0"/>
                <w:kern w:val="0"/>
                <w:position w:val="0"/>
                <w:sz w:val="24"/>
                <w:u w:val="single"/>
                <w:lang w:eastAsia="zh-CN"/>
              </w:rPr>
            </w:pPr>
            <w:r>
              <w:rPr>
                <w:rFonts w:hint="eastAsia" w:ascii="宋体" w:hAnsi="宋体" w:eastAsia="宋体" w:cs="宋体"/>
                <w:snapToGrid w:val="0"/>
                <w:color w:val="auto"/>
                <w:spacing w:val="0"/>
                <w:kern w:val="0"/>
                <w:position w:val="0"/>
                <w:sz w:val="24"/>
                <w:szCs w:val="24"/>
                <w:lang w:val="en-US" w:eastAsia="zh-CN" w:bidi="ar-SA"/>
              </w:rPr>
              <w:t>（2）</w:t>
            </w:r>
            <w:r>
              <w:rPr>
                <w:rFonts w:hint="eastAsia" w:ascii="宋体" w:hAnsi="宋体" w:eastAsia="宋体" w:cs="宋体"/>
                <w:color w:val="auto"/>
                <w:spacing w:val="0"/>
                <w:kern w:val="0"/>
                <w:position w:val="0"/>
                <w:sz w:val="24"/>
                <w:u w:val="single"/>
              </w:rPr>
              <w:t>投标人提供虚假资料</w:t>
            </w:r>
            <w:r>
              <w:rPr>
                <w:rFonts w:hint="eastAsia" w:ascii="宋体" w:hAnsi="宋体" w:eastAsia="宋体" w:cs="宋体"/>
                <w:color w:val="auto"/>
                <w:spacing w:val="0"/>
                <w:kern w:val="0"/>
                <w:position w:val="0"/>
                <w:sz w:val="24"/>
                <w:u w:val="single"/>
                <w:lang w:eastAsia="zh-CN"/>
              </w:rPr>
              <w:t>；</w:t>
            </w:r>
          </w:p>
          <w:p w14:paraId="5C1F04BA">
            <w:pPr>
              <w:pStyle w:val="24"/>
              <w:adjustRightInd w:val="0"/>
              <w:snapToGrid w:val="0"/>
              <w:rPr>
                <w:rFonts w:hint="eastAsia" w:ascii="宋体" w:hAnsi="宋体" w:eastAsia="宋体" w:cs="宋体"/>
                <w:color w:val="auto"/>
                <w:sz w:val="24"/>
                <w:szCs w:val="24"/>
              </w:rPr>
            </w:pPr>
            <w:r>
              <w:rPr>
                <w:rFonts w:hint="eastAsia" w:ascii="宋体" w:hAnsi="宋体" w:eastAsia="宋体" w:cs="宋体"/>
                <w:snapToGrid w:val="0"/>
                <w:color w:val="auto"/>
                <w:spacing w:val="0"/>
                <w:w w:val="100"/>
                <w:kern w:val="0"/>
                <w:position w:val="0"/>
                <w:sz w:val="24"/>
                <w:szCs w:val="24"/>
                <w:lang w:val="en-US" w:eastAsia="zh-CN" w:bidi="ar-SA"/>
              </w:rPr>
              <w:t>（3）</w:t>
            </w:r>
            <w:r>
              <w:rPr>
                <w:rFonts w:hint="eastAsia" w:ascii="宋体" w:hAnsi="宋体" w:eastAsia="宋体" w:cs="宋体"/>
                <w:color w:val="auto"/>
                <w:spacing w:val="0"/>
                <w:kern w:val="0"/>
                <w:position w:val="0"/>
                <w:sz w:val="24"/>
                <w:u w:val="single"/>
                <w:lang w:eastAsia="zh-CN"/>
              </w:rPr>
              <w:t>投标有效期内投标人撤销投标文件的</w:t>
            </w:r>
            <w:r>
              <w:rPr>
                <w:rFonts w:hint="eastAsia" w:ascii="宋体" w:hAnsi="宋体" w:eastAsia="宋体" w:cs="宋体"/>
                <w:color w:val="auto"/>
                <w:sz w:val="24"/>
              </w:rPr>
              <w:t>。</w:t>
            </w:r>
          </w:p>
        </w:tc>
      </w:tr>
      <w:tr w14:paraId="0D23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4A4BC4">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13.1</w:t>
            </w:r>
          </w:p>
        </w:tc>
        <w:tc>
          <w:tcPr>
            <w:tcW w:w="1701" w:type="dxa"/>
            <w:vAlign w:val="center"/>
          </w:tcPr>
          <w:p w14:paraId="4CFD0427">
            <w:pPr>
              <w:jc w:val="center"/>
              <w:rPr>
                <w:rFonts w:hint="eastAsia" w:ascii="宋体" w:hAnsi="宋体" w:eastAsia="宋体" w:cs="宋体"/>
                <w:color w:val="auto"/>
                <w:sz w:val="24"/>
              </w:rPr>
            </w:pPr>
            <w:r>
              <w:rPr>
                <w:rFonts w:hint="eastAsia" w:ascii="宋体" w:hAnsi="宋体" w:eastAsia="宋体" w:cs="宋体"/>
                <w:color w:val="auto"/>
                <w:sz w:val="24"/>
              </w:rPr>
              <w:t>投标有效期</w:t>
            </w:r>
          </w:p>
        </w:tc>
        <w:tc>
          <w:tcPr>
            <w:tcW w:w="7540" w:type="dxa"/>
            <w:vAlign w:val="center"/>
          </w:tcPr>
          <w:p w14:paraId="690F3262">
            <w:pPr>
              <w:jc w:val="left"/>
              <w:rPr>
                <w:rFonts w:hint="eastAsia" w:ascii="宋体" w:hAnsi="宋体" w:eastAsia="宋体" w:cs="宋体"/>
                <w:color w:val="auto"/>
                <w:sz w:val="24"/>
              </w:rPr>
            </w:pPr>
            <w:r>
              <w:rPr>
                <w:rFonts w:hint="eastAsia" w:ascii="宋体" w:hAnsi="宋体" w:eastAsia="宋体" w:cs="宋体"/>
                <w:color w:val="auto"/>
                <w:sz w:val="24"/>
              </w:rPr>
              <w:t>自提交投标文件的截止之日起算</w:t>
            </w:r>
            <w:r>
              <w:rPr>
                <w:rFonts w:hint="eastAsia" w:ascii="宋体" w:hAnsi="宋体" w:eastAsia="宋体" w:cs="宋体"/>
                <w:color w:val="auto"/>
                <w:spacing w:val="0"/>
                <w:kern w:val="0"/>
                <w:position w:val="0"/>
                <w:sz w:val="24"/>
                <w:u w:val="single"/>
                <w:lang w:val="en-US" w:eastAsia="zh-CN"/>
              </w:rPr>
              <w:t xml:space="preserve">  90  </w:t>
            </w:r>
            <w:r>
              <w:rPr>
                <w:rFonts w:hint="eastAsia" w:ascii="宋体" w:hAnsi="宋体" w:eastAsia="宋体" w:cs="宋体"/>
                <w:color w:val="auto"/>
                <w:sz w:val="24"/>
              </w:rPr>
              <w:t>日历天。</w:t>
            </w:r>
          </w:p>
        </w:tc>
      </w:tr>
      <w:tr w14:paraId="5804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E70CEA">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18.2</w:t>
            </w:r>
          </w:p>
        </w:tc>
        <w:tc>
          <w:tcPr>
            <w:tcW w:w="1701" w:type="dxa"/>
            <w:vAlign w:val="center"/>
          </w:tcPr>
          <w:p w14:paraId="753BEEFC">
            <w:pPr>
              <w:jc w:val="center"/>
              <w:rPr>
                <w:rFonts w:hint="eastAsia" w:ascii="宋体" w:hAnsi="宋体" w:eastAsia="宋体" w:cs="宋体"/>
                <w:color w:val="auto"/>
                <w:sz w:val="24"/>
              </w:rPr>
            </w:pPr>
            <w:r>
              <w:rPr>
                <w:rFonts w:hint="eastAsia" w:ascii="宋体" w:hAnsi="宋体" w:eastAsia="宋体" w:cs="宋体"/>
                <w:color w:val="auto"/>
                <w:sz w:val="24"/>
              </w:rPr>
              <w:t>解密时间</w:t>
            </w:r>
          </w:p>
        </w:tc>
        <w:tc>
          <w:tcPr>
            <w:tcW w:w="7540" w:type="dxa"/>
            <w:vAlign w:val="center"/>
          </w:tcPr>
          <w:p w14:paraId="6B7109D4">
            <w:pPr>
              <w:jc w:val="left"/>
              <w:rPr>
                <w:rFonts w:hint="eastAsia" w:ascii="宋体" w:hAnsi="宋体" w:eastAsia="宋体" w:cs="宋体"/>
                <w:color w:val="auto"/>
                <w:sz w:val="24"/>
                <w:u w:val="single"/>
              </w:rPr>
            </w:pPr>
            <w:r>
              <w:rPr>
                <w:rFonts w:hint="eastAsia" w:ascii="宋体" w:hAnsi="宋体" w:eastAsia="宋体" w:cs="宋体"/>
                <w:color w:val="auto"/>
                <w:sz w:val="24"/>
              </w:rPr>
              <w:t>解密时间：</w:t>
            </w:r>
            <w:r>
              <w:rPr>
                <w:rFonts w:hint="eastAsia" w:ascii="宋体" w:hAnsi="宋体" w:eastAsia="宋体" w:cs="宋体"/>
                <w:color w:val="auto"/>
                <w:spacing w:val="0"/>
                <w:kern w:val="0"/>
                <w:position w:val="0"/>
                <w:sz w:val="24"/>
                <w:u w:val="single"/>
                <w:lang w:val="en-US" w:eastAsia="zh-CN"/>
              </w:rPr>
              <w:t xml:space="preserve">  20  </w:t>
            </w:r>
            <w:r>
              <w:rPr>
                <w:rFonts w:hint="eastAsia" w:ascii="宋体" w:hAnsi="宋体" w:eastAsia="宋体" w:cs="宋体"/>
                <w:color w:val="auto"/>
                <w:sz w:val="24"/>
              </w:rPr>
              <w:t>分钟</w:t>
            </w:r>
          </w:p>
        </w:tc>
      </w:tr>
      <w:tr w14:paraId="63F1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496303">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22.1</w:t>
            </w:r>
          </w:p>
        </w:tc>
        <w:tc>
          <w:tcPr>
            <w:tcW w:w="1701" w:type="dxa"/>
            <w:vAlign w:val="center"/>
          </w:tcPr>
          <w:p w14:paraId="16234D8A">
            <w:pPr>
              <w:jc w:val="center"/>
              <w:rPr>
                <w:rFonts w:hint="eastAsia" w:ascii="宋体" w:hAnsi="宋体" w:eastAsia="宋体" w:cs="宋体"/>
                <w:color w:val="auto"/>
                <w:sz w:val="24"/>
              </w:rPr>
            </w:pPr>
            <w:r>
              <w:rPr>
                <w:rFonts w:hint="eastAsia" w:ascii="宋体" w:hAnsi="宋体" w:eastAsia="宋体" w:cs="宋体"/>
                <w:color w:val="auto"/>
                <w:sz w:val="24"/>
              </w:rPr>
              <w:t>确定中标人</w:t>
            </w:r>
          </w:p>
        </w:tc>
        <w:tc>
          <w:tcPr>
            <w:tcW w:w="7540" w:type="dxa"/>
            <w:vAlign w:val="center"/>
          </w:tcPr>
          <w:p w14:paraId="2F75B15C">
            <w:pPr>
              <w:pStyle w:val="24"/>
              <w:adjustRightInd w:val="0"/>
              <w:snapToGrid w:val="0"/>
              <w:rPr>
                <w:rFonts w:hint="eastAsia" w:ascii="宋体" w:hAnsi="宋体" w:eastAsia="宋体" w:cs="宋体"/>
                <w:color w:val="auto"/>
                <w:sz w:val="24"/>
              </w:rPr>
            </w:pPr>
            <w:r>
              <w:rPr>
                <w:rFonts w:hint="eastAsia" w:ascii="宋体" w:hAnsi="宋体" w:eastAsia="宋体" w:cs="宋体"/>
                <w:color w:val="auto"/>
                <w:sz w:val="24"/>
              </w:rPr>
              <w:t>中标候选人并列的，采购人是否委托评标委员会确定中标人：</w:t>
            </w:r>
          </w:p>
          <w:p w14:paraId="3AD974E7">
            <w:pPr>
              <w:pStyle w:val="24"/>
              <w:adjustRightInd w:val="0"/>
              <w:snapToGrid w:val="0"/>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否</w:t>
            </w:r>
          </w:p>
          <w:p w14:paraId="1C17E5EB">
            <w:pPr>
              <w:pStyle w:val="24"/>
              <w:adjustRightInd w:val="0"/>
              <w:snapToGrid w:val="0"/>
              <w:rPr>
                <w:rFonts w:hint="eastAsia" w:ascii="宋体" w:hAnsi="宋体" w:eastAsia="宋体" w:cs="宋体"/>
                <w:color w:val="auto"/>
                <w:sz w:val="24"/>
              </w:rPr>
            </w:pPr>
            <w:r>
              <w:rPr>
                <w:rFonts w:hint="eastAsia" w:ascii="宋体" w:hAnsi="宋体" w:eastAsia="宋体" w:cs="宋体"/>
                <w:color w:val="auto"/>
                <w:sz w:val="24"/>
              </w:rPr>
              <w:t>□是</w:t>
            </w:r>
          </w:p>
          <w:p w14:paraId="6D1BD4E3">
            <w:pPr>
              <w:pStyle w:val="24"/>
              <w:adjustRightInd w:val="0"/>
              <w:snapToGrid w:val="0"/>
              <w:rPr>
                <w:rFonts w:hint="eastAsia" w:ascii="宋体" w:hAnsi="宋体" w:eastAsia="宋体" w:cs="宋体"/>
                <w:color w:val="auto"/>
              </w:rPr>
            </w:pPr>
            <w:r>
              <w:rPr>
                <w:rFonts w:hint="eastAsia" w:ascii="宋体" w:hAnsi="宋体" w:eastAsia="宋体" w:cs="宋体"/>
                <w:color w:val="auto"/>
                <w:sz w:val="24"/>
              </w:rPr>
              <w:t>中标候选人并列的，按照以下方式确定中标人：</w:t>
            </w:r>
            <w:r>
              <w:rPr>
                <w:rFonts w:hint="eastAsia" w:ascii="宋体" w:hAnsi="宋体" w:eastAsia="宋体" w:cs="宋体"/>
                <w:color w:val="auto"/>
              </w:rPr>
              <w:t xml:space="preserve"> </w:t>
            </w:r>
          </w:p>
          <w:p w14:paraId="5D4222DA">
            <w:pPr>
              <w:pStyle w:val="24"/>
              <w:adjustRightInd w:val="0"/>
              <w:snapToGrid w:val="0"/>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得分且投标报价均相同的，以</w:t>
            </w:r>
            <w:r>
              <w:rPr>
                <w:rFonts w:hint="eastAsia" w:ascii="宋体" w:hAnsi="宋体" w:eastAsia="宋体" w:cs="宋体"/>
                <w:color w:val="auto"/>
                <w:spacing w:val="0"/>
                <w:kern w:val="0"/>
                <w:position w:val="0"/>
                <w:sz w:val="24"/>
                <w:u w:val="single"/>
                <w:lang w:val="en-US" w:eastAsia="zh-CN"/>
              </w:rPr>
              <w:t xml:space="preserve"> </w:t>
            </w:r>
            <w:r>
              <w:rPr>
                <w:rFonts w:hint="eastAsia" w:ascii="宋体" w:hAnsi="宋体" w:eastAsia="宋体" w:cs="宋体"/>
                <w:color w:val="auto"/>
                <w:spacing w:val="0"/>
                <w:kern w:val="0"/>
                <w:position w:val="0"/>
                <w:sz w:val="24"/>
                <w:u w:val="single"/>
              </w:rPr>
              <w:t>投标文件满足招标文件全部实质性要求，且按照评审因素的量化指标评审</w:t>
            </w:r>
            <w:r>
              <w:rPr>
                <w:rFonts w:hint="eastAsia" w:ascii="宋体" w:hAnsi="宋体" w:eastAsia="宋体" w:cs="宋体"/>
                <w:color w:val="auto"/>
                <w:spacing w:val="0"/>
                <w:kern w:val="0"/>
                <w:position w:val="0"/>
                <w:sz w:val="24"/>
                <w:u w:val="single"/>
                <w:lang w:val="en-US" w:eastAsia="zh-CN"/>
              </w:rPr>
              <w:t xml:space="preserve"> </w:t>
            </w:r>
            <w:r>
              <w:rPr>
                <w:rFonts w:hint="eastAsia" w:ascii="宋体" w:hAnsi="宋体" w:eastAsia="宋体" w:cs="宋体"/>
                <w:color w:val="auto"/>
                <w:sz w:val="24"/>
              </w:rPr>
              <w:t>得分高者为中标人</w:t>
            </w:r>
          </w:p>
          <w:p w14:paraId="5ED8DCA3">
            <w:pPr>
              <w:jc w:val="left"/>
              <w:rPr>
                <w:rFonts w:hint="eastAsia" w:ascii="宋体" w:hAnsi="宋体" w:eastAsia="宋体" w:cs="宋体"/>
                <w:color w:val="auto"/>
                <w:sz w:val="24"/>
                <w:u w:val="single"/>
              </w:rPr>
            </w:pPr>
            <w:r>
              <w:rPr>
                <w:rFonts w:hint="eastAsia" w:ascii="宋体" w:hAnsi="宋体" w:eastAsia="宋体" w:cs="宋体"/>
                <w:color w:val="auto"/>
                <w:sz w:val="24"/>
              </w:rPr>
              <w:t>□随机抽取</w:t>
            </w:r>
          </w:p>
        </w:tc>
      </w:tr>
      <w:tr w14:paraId="06D7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5BA941">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25.5</w:t>
            </w:r>
          </w:p>
        </w:tc>
        <w:tc>
          <w:tcPr>
            <w:tcW w:w="1701" w:type="dxa"/>
            <w:vAlign w:val="center"/>
          </w:tcPr>
          <w:p w14:paraId="2C1EC779">
            <w:pPr>
              <w:jc w:val="center"/>
              <w:rPr>
                <w:rFonts w:hint="eastAsia" w:ascii="宋体" w:hAnsi="宋体" w:eastAsia="宋体" w:cs="宋体"/>
                <w:color w:val="auto"/>
                <w:sz w:val="24"/>
              </w:rPr>
            </w:pPr>
            <w:r>
              <w:rPr>
                <w:rFonts w:hint="eastAsia" w:ascii="宋体" w:hAnsi="宋体" w:eastAsia="宋体" w:cs="宋体"/>
                <w:color w:val="auto"/>
                <w:sz w:val="24"/>
              </w:rPr>
              <w:t>分包</w:t>
            </w:r>
          </w:p>
        </w:tc>
        <w:tc>
          <w:tcPr>
            <w:tcW w:w="7540" w:type="dxa"/>
            <w:vAlign w:val="center"/>
          </w:tcPr>
          <w:p w14:paraId="2E2D33C9">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本项目的非主体、非关键性工作是否允许分包： </w:t>
            </w:r>
          </w:p>
          <w:p w14:paraId="2884546D">
            <w:pPr>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不允许</w:t>
            </w:r>
          </w:p>
          <w:p w14:paraId="6409F8E6">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□允许，具体要求：</w:t>
            </w:r>
          </w:p>
          <w:p w14:paraId="2BAD2BA3">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（1）可以分包履行的具体内容：_____；</w:t>
            </w:r>
          </w:p>
          <w:p w14:paraId="2561F0DC">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（2）允许分包的金额或者比例：_____；</w:t>
            </w:r>
          </w:p>
          <w:p w14:paraId="0E971199">
            <w:pPr>
              <w:jc w:val="left"/>
              <w:rPr>
                <w:rFonts w:hint="eastAsia" w:ascii="宋体" w:hAnsi="宋体" w:eastAsia="宋体" w:cs="宋体"/>
                <w:color w:val="auto"/>
                <w:sz w:val="24"/>
                <w:u w:val="single"/>
              </w:rPr>
            </w:pPr>
            <w:r>
              <w:rPr>
                <w:rFonts w:hint="eastAsia" w:ascii="宋体" w:hAnsi="宋体" w:eastAsia="宋体" w:cs="宋体"/>
                <w:color w:val="auto"/>
                <w:sz w:val="24"/>
                <w:highlight w:val="none"/>
              </w:rPr>
              <w:t>（3）其他要求：_____。</w:t>
            </w:r>
          </w:p>
        </w:tc>
      </w:tr>
      <w:tr w14:paraId="40AB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50975A">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25.6</w:t>
            </w:r>
          </w:p>
        </w:tc>
        <w:tc>
          <w:tcPr>
            <w:tcW w:w="1701" w:type="dxa"/>
            <w:vAlign w:val="center"/>
          </w:tcPr>
          <w:p w14:paraId="27D876DA">
            <w:pPr>
              <w:jc w:val="center"/>
              <w:rPr>
                <w:rFonts w:hint="eastAsia" w:ascii="宋体" w:hAnsi="宋体" w:eastAsia="宋体" w:cs="宋体"/>
                <w:color w:val="auto"/>
                <w:sz w:val="24"/>
              </w:rPr>
            </w:pPr>
            <w:r>
              <w:rPr>
                <w:rFonts w:hint="eastAsia" w:ascii="宋体" w:hAnsi="宋体" w:eastAsia="宋体" w:cs="宋体"/>
                <w:color w:val="auto"/>
                <w:sz w:val="24"/>
              </w:rPr>
              <w:t>政采贷</w:t>
            </w:r>
          </w:p>
        </w:tc>
        <w:tc>
          <w:tcPr>
            <w:tcW w:w="7540" w:type="dxa"/>
            <w:vAlign w:val="center"/>
          </w:tcPr>
          <w:p w14:paraId="52F38A4A">
            <w:pPr>
              <w:jc w:val="left"/>
              <w:rPr>
                <w:rFonts w:hint="eastAsia" w:ascii="宋体" w:hAnsi="宋体" w:eastAsia="宋体" w:cs="宋体"/>
                <w:color w:val="auto"/>
                <w:sz w:val="24"/>
              </w:rPr>
            </w:pPr>
            <w:r>
              <w:rPr>
                <w:rFonts w:hint="eastAsia" w:ascii="宋体" w:hAnsi="宋体" w:eastAsia="宋体" w:cs="宋体"/>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EA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971562">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26.1.1</w:t>
            </w:r>
          </w:p>
        </w:tc>
        <w:tc>
          <w:tcPr>
            <w:tcW w:w="1701" w:type="dxa"/>
            <w:vAlign w:val="center"/>
          </w:tcPr>
          <w:p w14:paraId="1E23854B">
            <w:pPr>
              <w:jc w:val="center"/>
              <w:rPr>
                <w:rFonts w:hint="eastAsia" w:ascii="宋体" w:hAnsi="宋体" w:eastAsia="宋体" w:cs="宋体"/>
                <w:color w:val="auto"/>
                <w:sz w:val="24"/>
              </w:rPr>
            </w:pPr>
            <w:r>
              <w:rPr>
                <w:rFonts w:hint="eastAsia" w:ascii="宋体" w:hAnsi="宋体" w:eastAsia="宋体" w:cs="宋体"/>
                <w:color w:val="auto"/>
                <w:sz w:val="24"/>
              </w:rPr>
              <w:t>询问</w:t>
            </w:r>
          </w:p>
        </w:tc>
        <w:tc>
          <w:tcPr>
            <w:tcW w:w="7540" w:type="dxa"/>
            <w:vAlign w:val="center"/>
          </w:tcPr>
          <w:p w14:paraId="2EEE72E9">
            <w:pPr>
              <w:jc w:val="left"/>
              <w:rPr>
                <w:rFonts w:hint="eastAsia" w:ascii="宋体" w:hAnsi="宋体" w:eastAsia="宋体" w:cs="宋体"/>
                <w:color w:val="auto"/>
                <w:sz w:val="24"/>
              </w:rPr>
            </w:pPr>
            <w:r>
              <w:rPr>
                <w:rFonts w:hint="eastAsia" w:ascii="宋体" w:hAnsi="宋体" w:eastAsia="宋体" w:cs="宋体"/>
                <w:color w:val="auto"/>
                <w:sz w:val="24"/>
              </w:rPr>
              <w:t>询问提出形式：</w:t>
            </w:r>
            <w:r>
              <w:rPr>
                <w:rFonts w:hint="eastAsia" w:ascii="宋体" w:hAnsi="宋体" w:eastAsia="宋体" w:cs="宋体"/>
                <w:color w:val="auto"/>
                <w:sz w:val="24"/>
                <w:szCs w:val="24"/>
                <w:u w:val="single"/>
              </w:rPr>
              <w:t>投标人以书面形式加盖公章向采购人或采购代理机构提出询问，并将盖章后的电子扫描件发送至zhonggui2024@163.com。</w:t>
            </w:r>
          </w:p>
        </w:tc>
      </w:tr>
      <w:tr w14:paraId="7AB6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091AEC">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26.3</w:t>
            </w:r>
          </w:p>
        </w:tc>
        <w:tc>
          <w:tcPr>
            <w:tcW w:w="1701" w:type="dxa"/>
            <w:vAlign w:val="center"/>
          </w:tcPr>
          <w:p w14:paraId="03E7C47B">
            <w:pPr>
              <w:jc w:val="center"/>
              <w:rPr>
                <w:rFonts w:hint="eastAsia" w:ascii="宋体" w:hAnsi="宋体" w:eastAsia="宋体" w:cs="宋体"/>
                <w:color w:val="auto"/>
                <w:sz w:val="24"/>
              </w:rPr>
            </w:pPr>
            <w:r>
              <w:rPr>
                <w:rFonts w:hint="eastAsia" w:ascii="宋体" w:hAnsi="宋体" w:eastAsia="宋体" w:cs="宋体"/>
                <w:color w:val="auto"/>
                <w:sz w:val="24"/>
              </w:rPr>
              <w:t>联系方式</w:t>
            </w:r>
          </w:p>
        </w:tc>
        <w:tc>
          <w:tcPr>
            <w:tcW w:w="7540" w:type="dxa"/>
            <w:vAlign w:val="center"/>
          </w:tcPr>
          <w:p w14:paraId="4FE5BDF5">
            <w:pPr>
              <w:jc w:val="left"/>
              <w:rPr>
                <w:rFonts w:hint="eastAsia" w:ascii="宋体" w:hAnsi="宋体" w:eastAsia="宋体" w:cs="宋体"/>
                <w:color w:val="auto"/>
                <w:sz w:val="24"/>
              </w:rPr>
            </w:pPr>
            <w:r>
              <w:rPr>
                <w:rFonts w:hint="eastAsia" w:ascii="宋体" w:hAnsi="宋体" w:eastAsia="宋体" w:cs="宋体"/>
                <w:color w:val="auto"/>
                <w:sz w:val="24"/>
              </w:rPr>
              <w:t>接收询问和质疑的联系方式</w:t>
            </w:r>
          </w:p>
          <w:p w14:paraId="036E2B6F">
            <w:pPr>
              <w:jc w:val="left"/>
              <w:rPr>
                <w:rFonts w:hint="eastAsia" w:ascii="宋体" w:hAnsi="宋体" w:eastAsia="宋体" w:cs="宋体"/>
                <w:color w:val="auto"/>
                <w:sz w:val="24"/>
              </w:rPr>
            </w:pPr>
            <w:r>
              <w:rPr>
                <w:rFonts w:hint="eastAsia" w:ascii="宋体" w:hAnsi="宋体" w:eastAsia="宋体" w:cs="宋体"/>
                <w:color w:val="auto"/>
                <w:sz w:val="24"/>
              </w:rPr>
              <w:t>联系部门：</w:t>
            </w:r>
            <w:r>
              <w:rPr>
                <w:rFonts w:hint="eastAsia" w:ascii="宋体" w:hAnsi="宋体" w:eastAsia="宋体" w:cs="宋体"/>
                <w:color w:val="auto"/>
                <w:spacing w:val="0"/>
                <w:kern w:val="0"/>
                <w:position w:val="0"/>
                <w:sz w:val="24"/>
                <w:u w:val="single"/>
              </w:rPr>
              <w:t>招标部</w:t>
            </w:r>
            <w:r>
              <w:rPr>
                <w:rFonts w:hint="eastAsia" w:ascii="宋体" w:hAnsi="宋体" w:eastAsia="宋体" w:cs="宋体"/>
                <w:color w:val="auto"/>
                <w:sz w:val="24"/>
              </w:rPr>
              <w:t>；</w:t>
            </w:r>
          </w:p>
          <w:p w14:paraId="0CE1AE6E">
            <w:pPr>
              <w:jc w:val="left"/>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lang w:eastAsia="zh-CN"/>
              </w:rPr>
              <w:t>010-53606938</w:t>
            </w:r>
            <w:r>
              <w:rPr>
                <w:rFonts w:hint="eastAsia" w:ascii="宋体" w:hAnsi="宋体" w:cs="宋体"/>
                <w:color w:val="auto"/>
                <w:sz w:val="24"/>
                <w:szCs w:val="24"/>
                <w:u w:val="single"/>
                <w:lang w:eastAsia="zh-CN"/>
              </w:rPr>
              <w:t>、</w:t>
            </w:r>
            <w:r>
              <w:rPr>
                <w:rFonts w:hint="eastAsia" w:ascii="宋体" w:hAnsi="宋体" w:cs="宋体"/>
                <w:color w:val="auto"/>
                <w:sz w:val="24"/>
                <w:szCs w:val="24"/>
                <w:u w:val="single"/>
                <w:lang w:val="en-US" w:eastAsia="zh-CN"/>
              </w:rPr>
              <w:t>17310362080</w:t>
            </w:r>
            <w:r>
              <w:rPr>
                <w:rFonts w:hint="eastAsia" w:ascii="宋体" w:hAnsi="宋体" w:eastAsia="宋体" w:cs="宋体"/>
                <w:color w:val="auto"/>
                <w:sz w:val="24"/>
              </w:rPr>
              <w:t>；</w:t>
            </w:r>
          </w:p>
          <w:p w14:paraId="6F679C63">
            <w:pPr>
              <w:jc w:val="left"/>
              <w:rPr>
                <w:rFonts w:hint="eastAsia" w:ascii="宋体" w:hAnsi="宋体" w:eastAsia="宋体" w:cs="宋体"/>
                <w:color w:val="auto"/>
                <w:sz w:val="24"/>
              </w:rPr>
            </w:pPr>
            <w:r>
              <w:rPr>
                <w:rFonts w:hint="eastAsia" w:ascii="宋体" w:hAnsi="宋体" w:eastAsia="宋体" w:cs="宋体"/>
                <w:color w:val="auto"/>
                <w:sz w:val="24"/>
              </w:rPr>
              <w:t>通讯地址：</w:t>
            </w:r>
            <w:r>
              <w:rPr>
                <w:rFonts w:hint="eastAsia" w:ascii="宋体" w:hAnsi="宋体" w:eastAsia="宋体" w:cs="宋体"/>
                <w:color w:val="auto"/>
                <w:sz w:val="24"/>
                <w:szCs w:val="24"/>
                <w:u w:val="single"/>
                <w:lang w:eastAsia="zh-CN"/>
              </w:rPr>
              <w:t>北京市怀柔区迎宾南路11号五幢二层2213室</w:t>
            </w:r>
            <w:r>
              <w:rPr>
                <w:rFonts w:hint="eastAsia" w:ascii="宋体" w:hAnsi="宋体" w:eastAsia="宋体" w:cs="宋体"/>
                <w:color w:val="auto"/>
                <w:sz w:val="24"/>
              </w:rPr>
              <w:t>。</w:t>
            </w:r>
          </w:p>
        </w:tc>
      </w:tr>
      <w:tr w14:paraId="2CC0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0078D6E">
            <w:pPr>
              <w:pStyle w:val="24"/>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62B0399">
            <w:pPr>
              <w:jc w:val="center"/>
              <w:rPr>
                <w:rFonts w:hint="eastAsia" w:ascii="宋体" w:hAnsi="宋体" w:eastAsia="宋体" w:cs="宋体"/>
                <w:color w:val="auto"/>
                <w:sz w:val="24"/>
              </w:rPr>
            </w:pPr>
            <w:r>
              <w:rPr>
                <w:rFonts w:hint="eastAsia" w:ascii="宋体" w:hAnsi="宋体" w:eastAsia="宋体" w:cs="宋体"/>
                <w:color w:val="auto"/>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74D4530">
            <w:pPr>
              <w:jc w:val="left"/>
              <w:rPr>
                <w:rFonts w:hint="eastAsia" w:ascii="宋体" w:hAnsi="宋体" w:eastAsia="宋体" w:cs="宋体"/>
                <w:color w:val="auto"/>
                <w:sz w:val="24"/>
              </w:rPr>
            </w:pPr>
            <w:r>
              <w:rPr>
                <w:rFonts w:hint="eastAsia" w:ascii="宋体" w:hAnsi="宋体" w:eastAsia="宋体" w:cs="宋体"/>
                <w:color w:val="auto"/>
                <w:sz w:val="24"/>
              </w:rPr>
              <w:t>收费对象：</w:t>
            </w:r>
          </w:p>
          <w:p w14:paraId="18564587">
            <w:pPr>
              <w:jc w:val="left"/>
              <w:rPr>
                <w:rFonts w:hint="eastAsia" w:ascii="宋体" w:hAnsi="宋体" w:eastAsia="宋体" w:cs="宋体"/>
                <w:color w:val="auto"/>
                <w:sz w:val="24"/>
              </w:rPr>
            </w:pPr>
            <w:r>
              <w:rPr>
                <w:rFonts w:hint="eastAsia" w:ascii="宋体" w:hAnsi="宋体" w:eastAsia="宋体" w:cs="宋体"/>
                <w:color w:val="auto"/>
                <w:sz w:val="24"/>
              </w:rPr>
              <w:t>□采购人</w:t>
            </w:r>
          </w:p>
          <w:p w14:paraId="7AFD58EE">
            <w:pPr>
              <w:jc w:val="left"/>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中标人</w:t>
            </w:r>
          </w:p>
          <w:p w14:paraId="56A6B77E">
            <w:pPr>
              <w:jc w:val="left"/>
              <w:rPr>
                <w:rFonts w:hint="eastAsia" w:ascii="宋体" w:hAnsi="宋体" w:eastAsia="宋体" w:cs="宋体"/>
                <w:color w:val="auto"/>
                <w:sz w:val="24"/>
                <w:szCs w:val="24"/>
              </w:rPr>
            </w:pPr>
            <w:r>
              <w:rPr>
                <w:rFonts w:hint="eastAsia" w:ascii="宋体" w:hAnsi="宋体" w:eastAsia="宋体" w:cs="宋体"/>
                <w:color w:val="auto"/>
                <w:sz w:val="24"/>
              </w:rPr>
              <w:t>收费标准：</w:t>
            </w:r>
            <w:r>
              <w:rPr>
                <w:rFonts w:hint="eastAsia" w:ascii="宋体" w:hAnsi="宋体" w:eastAsia="宋体" w:cs="宋体"/>
                <w:color w:val="auto"/>
                <w:spacing w:val="0"/>
                <w:sz w:val="24"/>
                <w:szCs w:val="24"/>
                <w:highlight w:val="none"/>
                <w:u w:val="single"/>
                <w:lang w:val="en-US" w:eastAsia="zh-CN"/>
              </w:rPr>
              <w:t>参照国家计委颁布的《招标代理服务收费管理暂行办法》(计价格[2002]1980号)和国家发改委办公厅颁布的《关于招标代理服务收费有关问题的通知》(发改办价格[2003]857号)的规定标准向招标人收取招标代理服务费(特殊情况除外)</w:t>
            </w:r>
            <w:r>
              <w:rPr>
                <w:rFonts w:hint="eastAsia" w:ascii="宋体" w:hAnsi="宋体" w:eastAsia="宋体" w:cs="宋体"/>
                <w:color w:val="auto"/>
                <w:sz w:val="24"/>
                <w:szCs w:val="24"/>
              </w:rPr>
              <w:t>；</w:t>
            </w:r>
          </w:p>
          <w:p w14:paraId="015F094A">
            <w:pPr>
              <w:jc w:val="left"/>
              <w:rPr>
                <w:rFonts w:hint="eastAsia" w:ascii="宋体" w:hAnsi="宋体" w:eastAsia="宋体" w:cs="宋体"/>
                <w:color w:val="auto"/>
                <w:sz w:val="24"/>
                <w:szCs w:val="24"/>
              </w:rPr>
            </w:pPr>
            <w:r>
              <w:rPr>
                <w:rFonts w:hint="eastAsia" w:ascii="宋体" w:hAnsi="宋体" w:eastAsia="宋体" w:cs="宋体"/>
                <w:color w:val="auto"/>
                <w:sz w:val="24"/>
                <w:szCs w:val="24"/>
              </w:rPr>
              <w:t>缴纳时间：</w:t>
            </w:r>
            <w:r>
              <w:rPr>
                <w:rFonts w:hint="eastAsia" w:ascii="宋体" w:hAnsi="宋体" w:eastAsia="宋体" w:cs="宋体"/>
                <w:color w:val="auto"/>
                <w:spacing w:val="0"/>
                <w:w w:val="100"/>
                <w:kern w:val="0"/>
                <w:position w:val="0"/>
                <w:sz w:val="24"/>
                <w:szCs w:val="24"/>
                <w:u w:val="single" w:color="auto"/>
              </w:rPr>
              <w:t>中标人领取中标通知书时</w:t>
            </w:r>
            <w:r>
              <w:rPr>
                <w:rFonts w:hint="eastAsia" w:ascii="宋体" w:hAnsi="宋体" w:eastAsia="宋体" w:cs="宋体"/>
                <w:color w:val="auto"/>
                <w:sz w:val="24"/>
                <w:szCs w:val="24"/>
              </w:rPr>
              <w:t>。</w:t>
            </w:r>
          </w:p>
          <w:p w14:paraId="3E173F57">
            <w:pPr>
              <w:rPr>
                <w:rFonts w:ascii="宋体" w:hAnsi="宋体" w:eastAsia="宋体" w:cs="宋体"/>
                <w:b/>
                <w:bCs/>
                <w:color w:val="auto"/>
                <w:sz w:val="24"/>
                <w:szCs w:val="32"/>
                <w:lang w:eastAsia="zh-CN"/>
              </w:rPr>
            </w:pPr>
            <w:r>
              <w:rPr>
                <w:rFonts w:hint="eastAsia" w:ascii="宋体" w:hAnsi="宋体" w:eastAsia="宋体" w:cs="宋体"/>
                <w:b/>
                <w:bCs/>
                <w:color w:val="auto"/>
                <w:sz w:val="24"/>
                <w:szCs w:val="32"/>
                <w:lang w:eastAsia="zh-CN"/>
              </w:rPr>
              <w:t>中标服务费账户信息：</w:t>
            </w:r>
          </w:p>
          <w:p w14:paraId="6F45D52C">
            <w:pPr>
              <w:rPr>
                <w:rFonts w:ascii="宋体" w:hAnsi="宋体" w:eastAsia="宋体" w:cs="宋体"/>
                <w:b/>
                <w:bCs/>
                <w:color w:val="auto"/>
                <w:sz w:val="24"/>
                <w:szCs w:val="32"/>
                <w:lang w:eastAsia="zh-CN"/>
              </w:rPr>
            </w:pPr>
            <w:r>
              <w:rPr>
                <w:rFonts w:hint="eastAsia" w:ascii="宋体" w:hAnsi="宋体" w:eastAsia="宋体" w:cs="宋体"/>
                <w:b/>
                <w:bCs/>
                <w:color w:val="auto"/>
                <w:sz w:val="24"/>
                <w:szCs w:val="32"/>
                <w:lang w:eastAsia="zh-CN"/>
              </w:rPr>
              <w:t>账户名称：中归咨询管理（北京）有限公司</w:t>
            </w:r>
          </w:p>
          <w:p w14:paraId="7E56E601">
            <w:pPr>
              <w:rPr>
                <w:rFonts w:ascii="宋体" w:hAnsi="宋体" w:eastAsia="宋体" w:cs="宋体"/>
                <w:b/>
                <w:bCs/>
                <w:color w:val="auto"/>
                <w:sz w:val="24"/>
                <w:szCs w:val="32"/>
                <w:lang w:eastAsia="zh-CN"/>
              </w:rPr>
            </w:pPr>
            <w:r>
              <w:rPr>
                <w:rFonts w:hint="eastAsia" w:ascii="宋体" w:hAnsi="宋体" w:eastAsia="宋体" w:cs="宋体"/>
                <w:b/>
                <w:bCs/>
                <w:color w:val="auto"/>
                <w:sz w:val="24"/>
                <w:szCs w:val="32"/>
                <w:lang w:eastAsia="zh-CN"/>
              </w:rPr>
              <w:t>开户行：中国光大银行股份有限公司北京怀柔支行</w:t>
            </w:r>
          </w:p>
          <w:p w14:paraId="78B1BDC3">
            <w:pPr>
              <w:pStyle w:val="19"/>
              <w:ind w:left="0" w:leftChars="0" w:firstLine="0" w:firstLineChars="0"/>
              <w:rPr>
                <w:rFonts w:hint="eastAsia"/>
                <w:color w:val="auto"/>
              </w:rPr>
            </w:pPr>
            <w:r>
              <w:rPr>
                <w:rFonts w:hint="eastAsia" w:ascii="宋体" w:hAnsi="宋体" w:eastAsia="宋体" w:cs="宋体"/>
                <w:b/>
                <w:bCs/>
                <w:color w:val="auto"/>
                <w:sz w:val="24"/>
                <w:szCs w:val="32"/>
              </w:rPr>
              <w:t>账号：35620188000014701</w:t>
            </w:r>
          </w:p>
        </w:tc>
      </w:tr>
    </w:tbl>
    <w:p w14:paraId="23A290FB">
      <w:pPr>
        <w:tabs>
          <w:tab w:val="left" w:pos="5580"/>
        </w:tabs>
        <w:adjustRightInd w:val="0"/>
        <w:spacing w:line="360" w:lineRule="auto"/>
        <w:jc w:val="distribute"/>
        <w:rPr>
          <w:rFonts w:hint="eastAsia" w:ascii="宋体" w:hAnsi="宋体" w:eastAsia="宋体" w:cs="宋体"/>
          <w:color w:val="auto"/>
          <w:sz w:val="24"/>
        </w:rPr>
        <w:sectPr>
          <w:footerReference r:id="rId7" w:type="first"/>
          <w:footerReference r:id="rId6" w:type="default"/>
          <w:pgSz w:w="11907" w:h="16840"/>
          <w:pgMar w:top="1418" w:right="1134" w:bottom="1418" w:left="1134" w:header="851" w:footer="851" w:gutter="0"/>
          <w:pgNumType w:fmt="decimal" w:start="1"/>
          <w:cols w:space="720" w:num="1"/>
          <w:titlePg/>
          <w:docGrid w:linePitch="462" w:charSpace="0"/>
        </w:sectPr>
      </w:pPr>
    </w:p>
    <w:p w14:paraId="7DB15F6F">
      <w:pPr>
        <w:pageBreakBefore w:val="0"/>
        <w:widowControl w:val="0"/>
        <w:kinsoku/>
        <w:wordWrap/>
        <w:overflowPunct/>
        <w:topLinePunct w:val="0"/>
        <w:bidi w:val="0"/>
        <w:spacing w:line="360" w:lineRule="auto"/>
        <w:ind w:left="0" w:leftChars="0" w:firstLine="0"/>
        <w:jc w:val="center"/>
        <w:textAlignment w:val="auto"/>
        <w:rPr>
          <w:rFonts w:hint="eastAsia" w:ascii="宋体" w:hAnsi="宋体" w:eastAsia="宋体" w:cs="宋体"/>
          <w:b/>
          <w:color w:val="auto"/>
          <w:sz w:val="28"/>
          <w:szCs w:val="28"/>
        </w:rPr>
      </w:pPr>
      <w:bookmarkStart w:id="72" w:name="_Toc353873662"/>
      <w:bookmarkStart w:id="73" w:name="_Toc353825542"/>
      <w:bookmarkStart w:id="74" w:name="_Toc127151517"/>
      <w:bookmarkStart w:id="75" w:name="_Toc305158859"/>
      <w:bookmarkStart w:id="76" w:name="_Toc195842882"/>
      <w:bookmarkStart w:id="77" w:name="_Toc226337213"/>
      <w:bookmarkStart w:id="78" w:name="_Toc353873932"/>
      <w:bookmarkStart w:id="79" w:name="_Toc142311019"/>
      <w:bookmarkStart w:id="80" w:name="_Toc150774722"/>
      <w:bookmarkStart w:id="81" w:name="_Toc264969207"/>
      <w:bookmarkStart w:id="82" w:name="_Toc265228355"/>
      <w:bookmarkStart w:id="83" w:name="_Toc226965790"/>
      <w:bookmarkStart w:id="84" w:name="_Toc305158785"/>
      <w:bookmarkStart w:id="85" w:name="_Toc150480755"/>
      <w:r>
        <w:rPr>
          <w:rFonts w:hint="eastAsia" w:ascii="宋体" w:hAnsi="宋体" w:eastAsia="宋体" w:cs="宋体"/>
          <w:b/>
          <w:color w:val="auto"/>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EC4C892">
      <w:pPr>
        <w:pStyle w:val="3"/>
        <w:pageBreakBefore w:val="0"/>
        <w:widowControl w:val="0"/>
        <w:tabs>
          <w:tab w:val="center" w:pos="4592"/>
          <w:tab w:val="left" w:pos="7860"/>
        </w:tabs>
        <w:kinsoku/>
        <w:wordWrap/>
        <w:overflowPunct/>
        <w:topLinePunct w:val="0"/>
        <w:bidi w:val="0"/>
        <w:spacing w:before="0" w:line="360" w:lineRule="auto"/>
        <w:ind w:left="0" w:leftChars="0" w:firstLine="0"/>
        <w:jc w:val="left"/>
        <w:textAlignment w:val="auto"/>
        <w:rPr>
          <w:rFonts w:hint="eastAsia" w:ascii="宋体" w:hAnsi="宋体" w:eastAsia="宋体" w:cs="宋体"/>
          <w:color w:val="auto"/>
          <w:sz w:val="28"/>
        </w:rPr>
      </w:pPr>
      <w:bookmarkStart w:id="86" w:name="_Toc127151518"/>
      <w:bookmarkStart w:id="87" w:name="_Toc520356143"/>
      <w:r>
        <w:rPr>
          <w:rFonts w:hint="eastAsia" w:ascii="宋体" w:hAnsi="宋体" w:eastAsia="宋体" w:cs="宋体"/>
          <w:color w:val="auto"/>
          <w:sz w:val="28"/>
        </w:rPr>
        <w:tab/>
      </w:r>
      <w:bookmarkStart w:id="88" w:name="_Toc150480756"/>
      <w:bookmarkStart w:id="89" w:name="_Toc226965708"/>
      <w:bookmarkStart w:id="90" w:name="_Toc150774618"/>
      <w:bookmarkStart w:id="91" w:name="_Toc305158786"/>
      <w:bookmarkStart w:id="92" w:name="_Toc265228356"/>
      <w:bookmarkStart w:id="93" w:name="_Toc305158860"/>
      <w:bookmarkStart w:id="94" w:name="_Toc150509269"/>
      <w:bookmarkStart w:id="95" w:name="_Toc151193832"/>
      <w:bookmarkStart w:id="96" w:name="_Toc142311020"/>
      <w:bookmarkStart w:id="97" w:name="_Toc151193760"/>
      <w:bookmarkStart w:id="98" w:name="_Toc226337214"/>
      <w:bookmarkStart w:id="99" w:name="_Toc226965791"/>
      <w:bookmarkStart w:id="100" w:name="_Toc151193688"/>
      <w:bookmarkStart w:id="101" w:name="_Toc151190145"/>
      <w:bookmarkStart w:id="102" w:name="_Toc150774723"/>
      <w:bookmarkStart w:id="103" w:name="_Toc151193906"/>
      <w:bookmarkStart w:id="104" w:name="_Toc151193616"/>
      <w:bookmarkStart w:id="105" w:name="_Toc195842883"/>
      <w:bookmarkStart w:id="106" w:name="_Toc226309762"/>
      <w:bookmarkStart w:id="107" w:name="_Toc264969208"/>
      <w:r>
        <w:rPr>
          <w:rFonts w:hint="eastAsia" w:ascii="宋体" w:hAnsi="宋体" w:eastAsia="宋体" w:cs="宋体"/>
          <w:color w:val="auto"/>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eastAsia" w:ascii="宋体" w:hAnsi="宋体" w:eastAsia="宋体" w:cs="宋体"/>
          <w:color w:val="auto"/>
          <w:sz w:val="28"/>
        </w:rPr>
        <w:tab/>
      </w:r>
    </w:p>
    <w:p w14:paraId="37C33D15">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108" w:name="_Toc305158787"/>
      <w:bookmarkStart w:id="109" w:name="_Toc305158861"/>
      <w:bookmarkStart w:id="110" w:name="_Toc264969209"/>
      <w:bookmarkStart w:id="111" w:name="_Toc265228357"/>
      <w:r>
        <w:rPr>
          <w:rFonts w:hint="eastAsia" w:ascii="宋体" w:hAnsi="宋体" w:eastAsia="宋体" w:cs="宋体"/>
          <w:color w:val="auto"/>
          <w:sz w:val="24"/>
        </w:rPr>
        <w:t>采购人、采购代理机构、投标人</w:t>
      </w:r>
      <w:bookmarkEnd w:id="108"/>
      <w:bookmarkEnd w:id="109"/>
      <w:bookmarkEnd w:id="110"/>
      <w:bookmarkEnd w:id="111"/>
      <w:r>
        <w:rPr>
          <w:rFonts w:hint="eastAsia" w:ascii="宋体" w:hAnsi="宋体" w:eastAsia="宋体" w:cs="宋体"/>
          <w:color w:val="auto"/>
          <w:sz w:val="24"/>
        </w:rPr>
        <w:t>、联合体</w:t>
      </w:r>
    </w:p>
    <w:p w14:paraId="6BDD4BA0">
      <w:pPr>
        <w:pageBreakBefore w:val="0"/>
        <w:widowControl w:val="0"/>
        <w:numPr>
          <w:ilvl w:val="1"/>
          <w:numId w:val="9"/>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采购人、采购代理机构：指依法进行政府采购的国家机关、事业单位、团体组织，及其委托的采购代理机构。本项目采购人、采购代理机构见第一章《投标邀请》。</w:t>
      </w:r>
    </w:p>
    <w:p w14:paraId="7EE3441D">
      <w:pPr>
        <w:pageBreakBefore w:val="0"/>
        <w:widowControl w:val="0"/>
        <w:numPr>
          <w:ilvl w:val="1"/>
          <w:numId w:val="9"/>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投标人（也称“供应商”、“申请人”）：指向采购人提供货物、工程或者服务的法人、其他组织或者自然人。</w:t>
      </w:r>
    </w:p>
    <w:p w14:paraId="17650AB1">
      <w:pPr>
        <w:pageBreakBefore w:val="0"/>
        <w:widowControl w:val="0"/>
        <w:numPr>
          <w:ilvl w:val="1"/>
          <w:numId w:val="9"/>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联合体：指两个以上的自然人、法人或者其他组织组成一个联合体，以一个供应商的身份共同参加政府采购。</w:t>
      </w:r>
    </w:p>
    <w:p w14:paraId="5E821AA7">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112" w:name="_Toc151193690"/>
      <w:bookmarkStart w:id="113" w:name="_Toc150774725"/>
      <w:bookmarkStart w:id="114" w:name="_Toc150774620"/>
      <w:bookmarkStart w:id="115" w:name="_Toc151193762"/>
      <w:bookmarkStart w:id="116" w:name="_Toc305158788"/>
      <w:bookmarkStart w:id="117" w:name="_Toc151193618"/>
      <w:bookmarkStart w:id="118" w:name="_Toc164608634"/>
      <w:bookmarkStart w:id="119" w:name="_Toc264969210"/>
      <w:bookmarkStart w:id="120" w:name="_Toc142311022"/>
      <w:bookmarkStart w:id="121" w:name="_Toc305158862"/>
      <w:bookmarkStart w:id="122" w:name="_Toc195842885"/>
      <w:bookmarkStart w:id="123" w:name="_Toc226309764"/>
      <w:bookmarkStart w:id="124" w:name="_Toc164229215"/>
      <w:bookmarkStart w:id="125" w:name="_Toc127151721"/>
      <w:bookmarkStart w:id="126" w:name="_Toc149720813"/>
      <w:bookmarkStart w:id="127" w:name="_Toc226965710"/>
      <w:bookmarkStart w:id="128" w:name="_Toc127161434"/>
      <w:bookmarkStart w:id="129" w:name="_Toc164608789"/>
      <w:bookmarkStart w:id="130" w:name="_Toc164351614"/>
      <w:bookmarkStart w:id="131" w:name="_Toc226965793"/>
      <w:bookmarkStart w:id="132" w:name="_Toc151193834"/>
      <w:bookmarkStart w:id="133" w:name="_Toc151190147"/>
      <w:bookmarkStart w:id="134" w:name="_Toc150509271"/>
      <w:bookmarkStart w:id="135" w:name="_Toc164229361"/>
      <w:bookmarkStart w:id="136" w:name="_Toc127151520"/>
      <w:bookmarkStart w:id="137" w:name="_Toc151193908"/>
      <w:bookmarkStart w:id="138" w:name="_Toc150480758"/>
      <w:bookmarkStart w:id="139" w:name="_Toc265228358"/>
      <w:bookmarkStart w:id="140" w:name="_Toc226337216"/>
      <w:r>
        <w:rPr>
          <w:rFonts w:hint="eastAsia" w:ascii="宋体" w:hAnsi="宋体" w:eastAsia="宋体" w:cs="宋体"/>
          <w:color w:val="auto"/>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eastAsia" w:ascii="宋体" w:hAnsi="宋体" w:eastAsia="宋体" w:cs="宋体"/>
          <w:color w:val="auto"/>
          <w:sz w:val="24"/>
        </w:rPr>
        <w:t>、项目属性、科研仪器设备采购、核心产品</w:t>
      </w:r>
    </w:p>
    <w:p w14:paraId="01E3C8A1">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资金来源为财政性资金和/或本项目采购中无法与财政性资金分割的非财政性资金。</w:t>
      </w:r>
    </w:p>
    <w:p w14:paraId="7838EB35">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项目属性见《投标人须知资料表》。</w:t>
      </w:r>
    </w:p>
    <w:p w14:paraId="36D72FE4">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是否属于科研仪器设备采购见《投标人须知资料表》。</w:t>
      </w:r>
    </w:p>
    <w:p w14:paraId="2F02454D">
      <w:pPr>
        <w:pageBreakBefore w:val="0"/>
        <w:widowControl w:val="0"/>
        <w:numPr>
          <w:ilvl w:val="1"/>
          <w:numId w:val="9"/>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核心产品见《投标人须知资料表》。</w:t>
      </w:r>
    </w:p>
    <w:p w14:paraId="43A93B22">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现场考察、开标前答疑会</w:t>
      </w:r>
    </w:p>
    <w:p w14:paraId="3DBC756C">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rPr>
      </w:pPr>
      <w:r>
        <w:rPr>
          <w:rFonts w:hint="eastAsia" w:ascii="宋体" w:hAnsi="宋体" w:eastAsia="宋体" w:cs="宋体"/>
          <w:color w:val="auto"/>
          <w:sz w:val="24"/>
        </w:rPr>
        <w:t>若《投标人须知资料表》中规定了组织现场考察、召开开标前答疑会，则投标人应按要求在规定的时间和地点参加。</w:t>
      </w:r>
      <w:bookmarkStart w:id="141" w:name="_Toc150774622"/>
      <w:bookmarkStart w:id="142" w:name="_Toc226309766"/>
      <w:bookmarkStart w:id="143" w:name="_Toc142311024"/>
      <w:bookmarkStart w:id="144" w:name="_Toc150480760"/>
      <w:bookmarkStart w:id="145" w:name="_Toc151193620"/>
      <w:bookmarkStart w:id="146" w:name="_Toc305158790"/>
      <w:bookmarkStart w:id="147" w:name="_Toc264969212"/>
      <w:bookmarkStart w:id="148" w:name="_Toc195842887"/>
      <w:bookmarkStart w:id="149" w:name="_Toc226965795"/>
      <w:bookmarkStart w:id="150" w:name="_Toc151190149"/>
      <w:bookmarkStart w:id="151" w:name="_Toc127151522"/>
      <w:bookmarkStart w:id="152" w:name="_Toc151193692"/>
      <w:bookmarkStart w:id="153" w:name="_Toc151193910"/>
      <w:bookmarkStart w:id="154" w:name="_Toc150509273"/>
      <w:bookmarkStart w:id="155" w:name="_Toc226965712"/>
      <w:bookmarkStart w:id="156" w:name="_Toc305158864"/>
      <w:bookmarkStart w:id="157" w:name="_Toc150774727"/>
      <w:bookmarkStart w:id="158" w:name="_Toc151193764"/>
      <w:bookmarkStart w:id="159" w:name="_Toc520356146"/>
      <w:bookmarkStart w:id="160" w:name="_Toc226337218"/>
      <w:bookmarkStart w:id="161" w:name="_Toc265228360"/>
      <w:bookmarkStart w:id="162" w:name="_Toc151193836"/>
    </w:p>
    <w:p w14:paraId="3FF5BFB7">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由于未参加现场考察或开标前答疑会而导致对项目实际情况不了解，影响投标文件编制、投标报价准确性、综合因素响应不全面等问题的，由投标人自行承担不利评审后果。</w:t>
      </w:r>
    </w:p>
    <w:p w14:paraId="338356F7">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样品</w:t>
      </w:r>
    </w:p>
    <w:p w14:paraId="490B2367">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本项目是否要求投标人提供样品，以及样品制作的标准和要求、是否需要随样品提交相关检测报告、样品的递交与退还等要求见《投标人须知资料表》。</w:t>
      </w:r>
    </w:p>
    <w:p w14:paraId="0BA05098">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样品的评审方法以及评审标准等内容见第四章《评标程序、评标方法和评标标准》。</w:t>
      </w:r>
    </w:p>
    <w:p w14:paraId="64AE0410">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政府采购政策（包括但不限于下列具体政策要求）</w:t>
      </w:r>
    </w:p>
    <w:p w14:paraId="3D1B84F0">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采购本国货物、工程和服务</w:t>
      </w:r>
    </w:p>
    <w:p w14:paraId="6586E1C3">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kern w:val="0"/>
          <w:sz w:val="24"/>
        </w:rPr>
        <w:t>政府采购应当采购本国货物、工程和服务。但有《</w:t>
      </w:r>
      <w:r>
        <w:rPr>
          <w:rFonts w:hint="eastAsia" w:ascii="宋体" w:hAnsi="宋体" w:eastAsia="宋体" w:cs="宋体"/>
          <w:b/>
          <w:color w:val="auto"/>
          <w:kern w:val="0"/>
          <w:sz w:val="24"/>
        </w:rPr>
        <w:t>中华人民共和国政府采购法</w:t>
      </w:r>
      <w:r>
        <w:rPr>
          <w:rFonts w:hint="eastAsia" w:ascii="宋体" w:hAnsi="宋体" w:eastAsia="宋体" w:cs="宋体"/>
          <w:color w:val="auto"/>
          <w:kern w:val="0"/>
          <w:sz w:val="24"/>
        </w:rPr>
        <w:t>》第十条规定情形的除外。</w:t>
      </w:r>
    </w:p>
    <w:p w14:paraId="3DD8346E">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本项目如接受非本国货物、工程、服务参与投标，则具体要求见第五章《采购需求》。</w:t>
      </w:r>
    </w:p>
    <w:p w14:paraId="217CB3ED">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62521C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本国产品</w:t>
      </w:r>
    </w:p>
    <w:p w14:paraId="6BF23FDE">
      <w:pPr>
        <w:pageBreakBefore w:val="0"/>
        <w:widowControl w:val="0"/>
        <w:tabs>
          <w:tab w:val="left" w:pos="900"/>
          <w:tab w:val="left" w:pos="1080"/>
          <w:tab w:val="left" w:pos="1589"/>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163" w:name="_Hlk217316762"/>
      <w:r>
        <w:rPr>
          <w:rFonts w:hint="eastAsia" w:ascii="宋体" w:hAnsi="宋体" w:eastAsia="宋体" w:cs="宋体"/>
          <w:color w:val="auto"/>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ascii="宋体" w:hAnsi="宋体" w:eastAsia="宋体" w:cs="宋体"/>
          <w:color w:val="auto"/>
          <w:sz w:val="24"/>
        </w:rPr>
        <w:t>，落实本国产品</w:t>
      </w:r>
      <w:r>
        <w:rPr>
          <w:rFonts w:hint="eastAsia" w:ascii="宋体" w:hAnsi="宋体" w:eastAsia="宋体" w:cs="宋体"/>
          <w:color w:val="auto"/>
          <w:sz w:val="24"/>
          <w:lang w:eastAsia="zh-CN"/>
        </w:rPr>
        <w:t>标准</w:t>
      </w:r>
      <w:r>
        <w:rPr>
          <w:rFonts w:hint="eastAsia" w:ascii="宋体" w:hAnsi="宋体" w:eastAsia="宋体" w:cs="宋体"/>
          <w:color w:val="auto"/>
          <w:sz w:val="24"/>
        </w:rPr>
        <w:t>。</w:t>
      </w:r>
    </w:p>
    <w:p w14:paraId="732D280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中小企业、监狱企业及残疾人福利性单位</w:t>
      </w:r>
    </w:p>
    <w:p w14:paraId="6867A976">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中小企业定义：</w:t>
      </w:r>
    </w:p>
    <w:p w14:paraId="0A9716B6">
      <w:pPr>
        <w:pStyle w:val="76"/>
        <w:pageBreakBefore w:val="0"/>
        <w:widowControl w:val="0"/>
        <w:numPr>
          <w:ilvl w:val="0"/>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7077FFB0">
      <w:pPr>
        <w:pStyle w:val="76"/>
        <w:pageBreakBefore w:val="0"/>
        <w:widowControl w:val="0"/>
        <w:numPr>
          <w:ilvl w:val="0"/>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4B2D50B4">
      <w:pPr>
        <w:pStyle w:val="76"/>
        <w:pageBreakBefore w:val="0"/>
        <w:widowControl w:val="0"/>
        <w:numPr>
          <w:ilvl w:val="0"/>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620038B8">
      <w:pPr>
        <w:pStyle w:val="76"/>
        <w:pageBreakBefore w:val="0"/>
        <w:widowControl w:val="0"/>
        <w:numPr>
          <w:ilvl w:val="0"/>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21D258E6">
      <w:pPr>
        <w:pStyle w:val="76"/>
        <w:pageBreakBefore w:val="0"/>
        <w:widowControl w:val="0"/>
        <w:numPr>
          <w:ilvl w:val="0"/>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51830690">
      <w:pPr>
        <w:pStyle w:val="76"/>
        <w:pageBreakBefore w:val="0"/>
        <w:widowControl w:val="0"/>
        <w:numPr>
          <w:ilvl w:val="1"/>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021ED806">
      <w:pPr>
        <w:pStyle w:val="76"/>
        <w:pageBreakBefore w:val="0"/>
        <w:widowControl w:val="0"/>
        <w:numPr>
          <w:ilvl w:val="1"/>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44C1E315">
      <w:pPr>
        <w:pStyle w:val="76"/>
        <w:pageBreakBefore w:val="0"/>
        <w:widowControl w:val="0"/>
        <w:numPr>
          <w:ilvl w:val="1"/>
          <w:numId w:val="10"/>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4AEA6BFF">
      <w:pPr>
        <w:pStyle w:val="76"/>
        <w:pageBreakBefore w:val="0"/>
        <w:widowControl w:val="0"/>
        <w:numPr>
          <w:ilvl w:val="2"/>
          <w:numId w:val="10"/>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406DC6A7">
      <w:pPr>
        <w:pageBreakBefore w:val="0"/>
        <w:widowControl w:val="0"/>
        <w:numPr>
          <w:ilvl w:val="3"/>
          <w:numId w:val="10"/>
        </w:numPr>
        <w:tabs>
          <w:tab w:val="left" w:pos="1988"/>
          <w:tab w:val="left" w:pos="203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F04FEB6">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供应商提供的货物、工程或者服务符合下列情形的，享受中小企业扶持政策：</w:t>
      </w:r>
    </w:p>
    <w:p w14:paraId="6643D213">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（1）在货物采购项目中，货物由中小企业制造，即货物由中小企业生产且使用该中小企业商号或者注册商标；</w:t>
      </w:r>
    </w:p>
    <w:p w14:paraId="78B1B9DC">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（2）在工程采购项目中，工程由中小企业承建，即工程施工单位为中小企业；</w:t>
      </w:r>
    </w:p>
    <w:p w14:paraId="7809BCF0">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（3）在服务采购项目中，服务由中小企业承接，即提供服务的人员为中小企业依照《中华人民共和国劳动合同法》订立劳动合同的从业人员。</w:t>
      </w:r>
    </w:p>
    <w:p w14:paraId="18CAB7A8">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在货物采购项目中，供应商提供的货物既有中小企业制造货物，也有大型企业制造货物的，不享受中小企业扶持政策。</w:t>
      </w:r>
    </w:p>
    <w:p w14:paraId="76BB7507">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以联合体形式参加政府采购活动，联合体各方均为中小企业的，联合体视同中小企业。其中，联合体各方均为小微企业的，联合体视同小微企业。</w:t>
      </w:r>
    </w:p>
    <w:p w14:paraId="2F52A5D8">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F71F300">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9E2B02B">
      <w:pPr>
        <w:pStyle w:val="76"/>
        <w:pageBreakBefore w:val="0"/>
        <w:widowControl w:val="0"/>
        <w:numPr>
          <w:ilvl w:val="2"/>
          <w:numId w:val="10"/>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312C56E0">
      <w:pPr>
        <w:pStyle w:val="76"/>
        <w:pageBreakBefore w:val="0"/>
        <w:widowControl w:val="0"/>
        <w:numPr>
          <w:ilvl w:val="2"/>
          <w:numId w:val="10"/>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rPr>
      </w:pPr>
    </w:p>
    <w:p w14:paraId="3ED88299">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安置的残疾人占本单位在职职工人数的比例不低于25%（含25%），并且安置的残疾人人数不少于10 人（含10 人）；</w:t>
      </w:r>
    </w:p>
    <w:p w14:paraId="78E925DB">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依法与安置的每位残疾人签订了一年以上（含一年）的劳动合同或服务协议；</w:t>
      </w:r>
    </w:p>
    <w:p w14:paraId="296B2D69">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为安置的每位残疾人按月足额缴纳了基本养老保险、基本医疗保险、失业保险、工伤保险和生育保险等社会保险费；</w:t>
      </w:r>
    </w:p>
    <w:p w14:paraId="4BE7DFCA">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通过银行等金融机构向安置的每位残疾人，按月支付了不低于单位所在区县适用的经省级人民政府批准的月最低工资标准的工资；</w:t>
      </w:r>
    </w:p>
    <w:p w14:paraId="63679943">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提供本单位制造的货物、承担的工程或者服务（以下简称产品），或者提供其他残疾人福利性单位制造的货物（不包括使用非残疾人福利性单位注册商标的货物）；</w:t>
      </w:r>
    </w:p>
    <w:p w14:paraId="27EB8B59">
      <w:pPr>
        <w:pageBreakBefore w:val="0"/>
        <w:widowControl w:val="0"/>
        <w:numPr>
          <w:ilvl w:val="3"/>
          <w:numId w:val="10"/>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1D6B3BA">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本项目是否专门面向中小企业预留采购份额见第一章《投标邀请》。</w:t>
      </w:r>
    </w:p>
    <w:p w14:paraId="1C0F03C2">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采购标的对应的中小企业划分标准所属行业见《投标人须知资料表》。</w:t>
      </w:r>
    </w:p>
    <w:p w14:paraId="1B66E11F">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小微企业价格评审优惠的政策调整：见第四章《评标程序、评标方法和评标标准》。</w:t>
      </w:r>
    </w:p>
    <w:p w14:paraId="5E903F18">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政府采购节能产品、环境标志产品</w:t>
      </w:r>
    </w:p>
    <w:p w14:paraId="5D1232C9">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5092FF7">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E7BE41A">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color w:val="auto"/>
          <w:kern w:val="0"/>
          <w:sz w:val="24"/>
        </w:rPr>
        <w:t>否则</w:t>
      </w:r>
      <w:r>
        <w:rPr>
          <w:rFonts w:hint="eastAsia" w:ascii="宋体" w:hAnsi="宋体" w:eastAsia="宋体" w:cs="宋体"/>
          <w:b/>
          <w:color w:val="auto"/>
          <w:kern w:val="0"/>
          <w:sz w:val="24"/>
        </w:rPr>
        <w:t>投标无效</w:t>
      </w:r>
      <w:r>
        <w:rPr>
          <w:rFonts w:hint="eastAsia" w:ascii="宋体" w:hAnsi="宋体" w:eastAsia="宋体" w:cs="宋体"/>
          <w:color w:val="auto"/>
          <w:sz w:val="24"/>
        </w:rPr>
        <w:t>；</w:t>
      </w:r>
    </w:p>
    <w:p w14:paraId="617243E6">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非政府强制采购的节能产品或环境标志产品，依据品目清单和认证证书实施政府优先采购。优先采购的具体规定见第四章《评标程序、评标方法和评标标准》（如涉及）。</w:t>
      </w:r>
    </w:p>
    <w:p w14:paraId="1190A74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正版软件</w:t>
      </w:r>
    </w:p>
    <w:p w14:paraId="2AC08C56">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C8ACFF4">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网络安全专用产品</w:t>
      </w:r>
    </w:p>
    <w:p w14:paraId="078FA847">
      <w:pPr>
        <w:pageBreakBefore w:val="0"/>
        <w:widowControl w:val="0"/>
        <w:numPr>
          <w:ilvl w:val="2"/>
          <w:numId w:val="9"/>
        </w:numPr>
        <w:tabs>
          <w:tab w:val="left" w:pos="90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082A58C">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推广使用低挥发性有机化合物（VOCs）</w:t>
      </w:r>
    </w:p>
    <w:p w14:paraId="00A9E6B5">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color w:val="auto"/>
          <w:kern w:val="0"/>
          <w:sz w:val="24"/>
        </w:rPr>
        <w:t>否则</w:t>
      </w:r>
      <w:r>
        <w:rPr>
          <w:rFonts w:hint="eastAsia" w:ascii="宋体" w:hAnsi="宋体" w:eastAsia="宋体" w:cs="宋体"/>
          <w:b/>
          <w:color w:val="auto"/>
          <w:kern w:val="0"/>
          <w:sz w:val="24"/>
        </w:rPr>
        <w:t>投标无效</w:t>
      </w:r>
      <w:r>
        <w:rPr>
          <w:rFonts w:hint="eastAsia" w:ascii="宋体" w:hAnsi="宋体" w:eastAsia="宋体" w:cs="宋体"/>
          <w:color w:val="auto"/>
          <w:sz w:val="24"/>
        </w:rPr>
        <w:t>；属于推荐性标准的，优先采购，具体见第四章《评标程序、评标方法和评标标准》。</w:t>
      </w:r>
    </w:p>
    <w:p w14:paraId="140C164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采购需求标准</w:t>
      </w:r>
    </w:p>
    <w:p w14:paraId="7A8A4E27">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商品包装、快递包装政府采购需求标准（试行）</w:t>
      </w:r>
    </w:p>
    <w:p w14:paraId="4D7814E6">
      <w:pPr>
        <w:pageBreakBefore w:val="0"/>
        <w:widowControl w:val="0"/>
        <w:tabs>
          <w:tab w:val="left" w:pos="900"/>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4E10205">
      <w:pPr>
        <w:pageBreakBefore w:val="0"/>
        <w:widowControl w:val="0"/>
        <w:numPr>
          <w:ilvl w:val="2"/>
          <w:numId w:val="9"/>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164" w:name="_Hlk164953935"/>
      <w:r>
        <w:rPr>
          <w:rFonts w:hint="eastAsia" w:ascii="宋体" w:hAnsi="宋体" w:eastAsia="宋体" w:cs="宋体"/>
          <w:color w:val="auto"/>
          <w:sz w:val="24"/>
        </w:rPr>
        <w:t xml:space="preserve">其他政府采购需求标准 </w:t>
      </w:r>
    </w:p>
    <w:bookmarkEnd w:id="164"/>
    <w:p w14:paraId="335E084C">
      <w:pPr>
        <w:pageBreakBefore w:val="0"/>
        <w:widowControl w:val="0"/>
        <w:tabs>
          <w:tab w:val="left" w:pos="900"/>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165" w:name="_Hlk164955325"/>
      <w:r>
        <w:rPr>
          <w:rFonts w:hint="eastAsia" w:ascii="宋体" w:hAnsi="宋体" w:eastAsia="宋体" w:cs="宋体"/>
          <w:color w:val="auto"/>
          <w:sz w:val="24"/>
        </w:rPr>
        <w:t>为贯彻落实《深化政府采购制度改革方案》有关要求，推动政府采购需求标准建设</w:t>
      </w:r>
      <w:bookmarkEnd w:id="165"/>
      <w:r>
        <w:rPr>
          <w:rFonts w:hint="eastAsia" w:ascii="宋体" w:hAnsi="宋体" w:eastAsia="宋体" w:cs="宋体"/>
          <w:color w:val="auto"/>
          <w:sz w:val="24"/>
        </w:rPr>
        <w:t>，财政部门会同有关部门制定发布的其他政府采购需求标准，本项目如涉及，则具体要求见第五章《采购需求》。</w:t>
      </w:r>
    </w:p>
    <w:p w14:paraId="0C8404D0">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投标费用</w:t>
      </w:r>
    </w:p>
    <w:p w14:paraId="5F1685A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投标人应自行承担所有与准备和参加投标有关的费用，无论投标的结果如何，采购人或采购代理机构在任何情况下均无承担这些费用的义务和责任。</w:t>
      </w:r>
    </w:p>
    <w:p w14:paraId="43422075">
      <w:pPr>
        <w:pageBreakBefore w:val="0"/>
        <w:widowControl w:val="0"/>
        <w:tabs>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rPr>
      </w:pPr>
      <w:bookmarkStart w:id="166" w:name="_1.8_计量单位"/>
      <w:bookmarkEnd w:id="166"/>
    </w:p>
    <w:p w14:paraId="49DBF5FB">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rPr>
      </w:pPr>
      <w:r>
        <w:rPr>
          <w:rFonts w:hint="eastAsia" w:ascii="宋体" w:hAnsi="宋体" w:eastAsia="宋体" w:cs="宋体"/>
          <w:color w:val="auto"/>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0C5972A9">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167" w:name="_Toc226965796"/>
      <w:bookmarkStart w:id="168" w:name="_Toc520356147"/>
      <w:bookmarkStart w:id="169" w:name="_Toc127151724"/>
      <w:bookmarkStart w:id="170" w:name="_Toc151193621"/>
      <w:bookmarkStart w:id="171" w:name="_Toc164608637"/>
      <w:bookmarkStart w:id="172" w:name="_Toc151193693"/>
      <w:bookmarkStart w:id="173" w:name="_Toc164229364"/>
      <w:bookmarkStart w:id="174" w:name="_Toc305158791"/>
      <w:bookmarkStart w:id="175" w:name="_Toc150774728"/>
      <w:bookmarkStart w:id="176" w:name="_Toc127151523"/>
      <w:bookmarkStart w:id="177" w:name="_Toc164229218"/>
      <w:bookmarkStart w:id="178" w:name="_Toc151193765"/>
      <w:bookmarkStart w:id="179" w:name="_Toc195842888"/>
      <w:bookmarkStart w:id="180" w:name="_Toc305158865"/>
      <w:bookmarkStart w:id="181" w:name="_Toc226965713"/>
      <w:bookmarkStart w:id="182" w:name="_Toc264969213"/>
      <w:bookmarkStart w:id="183" w:name="_Toc151190150"/>
      <w:bookmarkStart w:id="184" w:name="_Toc164351617"/>
      <w:bookmarkStart w:id="185" w:name="_Toc226309767"/>
      <w:bookmarkStart w:id="186" w:name="_Toc226337219"/>
      <w:bookmarkStart w:id="187" w:name="_Toc164608792"/>
      <w:bookmarkStart w:id="188" w:name="_Toc127161437"/>
      <w:bookmarkStart w:id="189" w:name="_Toc149720816"/>
      <w:bookmarkStart w:id="190" w:name="_Toc150480761"/>
      <w:bookmarkStart w:id="191" w:name="_Toc150509274"/>
      <w:bookmarkStart w:id="192" w:name="_Toc151193837"/>
      <w:bookmarkStart w:id="193" w:name="_Toc265228361"/>
      <w:bookmarkStart w:id="194" w:name="_Toc142311025"/>
      <w:bookmarkStart w:id="195" w:name="_Toc151193911"/>
      <w:bookmarkStart w:id="196" w:name="_Toc150774623"/>
      <w:r>
        <w:rPr>
          <w:rFonts w:hint="eastAsia" w:ascii="宋体" w:hAnsi="宋体" w:eastAsia="宋体" w:cs="宋体"/>
          <w:color w:val="auto"/>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宋体" w:hAnsi="宋体" w:eastAsia="宋体" w:cs="宋体"/>
          <w:color w:val="auto"/>
          <w:sz w:val="24"/>
        </w:rPr>
        <w:t>成</w:t>
      </w:r>
    </w:p>
    <w:p w14:paraId="04F6EC5F">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招标文件包括以下部分：</w:t>
      </w:r>
    </w:p>
    <w:p w14:paraId="1434468F">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投标邀请</w:t>
      </w:r>
    </w:p>
    <w:p w14:paraId="37EBD20E">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投标人须知</w:t>
      </w:r>
    </w:p>
    <w:p w14:paraId="27B99419">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资格审查</w:t>
      </w:r>
    </w:p>
    <w:p w14:paraId="0E892108">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评标程序、评标方法和评标标准</w:t>
      </w:r>
    </w:p>
    <w:p w14:paraId="2DBECF1E">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采购需求</w:t>
      </w:r>
    </w:p>
    <w:p w14:paraId="62D61D15">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拟签订的合同文本</w:t>
      </w:r>
    </w:p>
    <w:p w14:paraId="4B92E6C3">
      <w:pPr>
        <w:pageBreakBefore w:val="0"/>
        <w:widowControl w:val="0"/>
        <w:numPr>
          <w:ilvl w:val="0"/>
          <w:numId w:val="11"/>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投标文件格式</w:t>
      </w:r>
    </w:p>
    <w:p w14:paraId="18DC8CD4">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478E9E1B">
      <w:pPr>
        <w:pageBreakBefore w:val="0"/>
        <w:widowControl w:val="0"/>
        <w:numPr>
          <w:ilvl w:val="0"/>
          <w:numId w:val="9"/>
        </w:numPr>
        <w:tabs>
          <w:tab w:val="left" w:pos="1080"/>
          <w:tab w:val="left" w:pos="2014"/>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对招标文件的澄清或修改</w:t>
      </w:r>
    </w:p>
    <w:p w14:paraId="64A7323D">
      <w:pPr>
        <w:pageBreakBefore w:val="0"/>
        <w:widowControl w:val="0"/>
        <w:numPr>
          <w:ilvl w:val="1"/>
          <w:numId w:val="9"/>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采购人或采购代理机构对已发出的招标文件进行必要澄清或者修改的，将在原公告发布媒体上发布更正公告，并以书面形式通知所有获取招标文件的潜在投标人。</w:t>
      </w:r>
    </w:p>
    <w:p w14:paraId="391349B7">
      <w:pPr>
        <w:pageBreakBefore w:val="0"/>
        <w:widowControl w:val="0"/>
        <w:numPr>
          <w:ilvl w:val="1"/>
          <w:numId w:val="9"/>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上述书面通知，按照获取招标文件的潜在投标人提供的联系方式发出，因提供的信息有误导致通知延迟或无法通知的，采购人或采购代理机构不承担责任。</w:t>
      </w:r>
    </w:p>
    <w:p w14:paraId="573C5CC0">
      <w:pPr>
        <w:pageBreakBefore w:val="0"/>
        <w:widowControl w:val="0"/>
        <w:numPr>
          <w:ilvl w:val="1"/>
          <w:numId w:val="9"/>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EE0AD49">
      <w:pPr>
        <w:pageBreakBefore w:val="0"/>
        <w:widowControl w:val="0"/>
        <w:tabs>
          <w:tab w:val="left" w:pos="1080"/>
          <w:tab w:val="left" w:pos="156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rPr>
      </w:pPr>
      <w:bookmarkStart w:id="197" w:name="_Toc516367020"/>
      <w:bookmarkStart w:id="198" w:name="_Toc226337222"/>
      <w:bookmarkStart w:id="199" w:name="_Toc226965799"/>
      <w:bookmarkStart w:id="200" w:name="_Toc150774626"/>
      <w:bookmarkStart w:id="201" w:name="_Toc226965716"/>
      <w:bookmarkStart w:id="202" w:name="_Toc305158794"/>
      <w:bookmarkStart w:id="203" w:name="_Toc127151526"/>
      <w:bookmarkStart w:id="204" w:name="_Toc195842891"/>
      <w:bookmarkStart w:id="205" w:name="_Toc150480764"/>
      <w:bookmarkStart w:id="206" w:name="_Toc151193914"/>
      <w:bookmarkStart w:id="207" w:name="_Toc265228364"/>
      <w:bookmarkStart w:id="208" w:name="_Toc142311028"/>
      <w:bookmarkStart w:id="209" w:name="_Toc264969216"/>
      <w:bookmarkStart w:id="210" w:name="_Toc305158868"/>
      <w:bookmarkStart w:id="211" w:name="_Toc151193768"/>
      <w:bookmarkStart w:id="212" w:name="_Toc151193840"/>
      <w:bookmarkStart w:id="213" w:name="_Toc151190153"/>
      <w:bookmarkStart w:id="214" w:name="_Toc150509277"/>
      <w:bookmarkStart w:id="215" w:name="_Toc150774731"/>
      <w:bookmarkStart w:id="216" w:name="_Toc151193696"/>
      <w:bookmarkStart w:id="217" w:name="_Toc520356150"/>
      <w:bookmarkStart w:id="218" w:name="_Toc226309770"/>
      <w:bookmarkStart w:id="219" w:name="_Toc151193624"/>
    </w:p>
    <w:p w14:paraId="5029006E">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rPr>
      </w:pPr>
      <w:r>
        <w:rPr>
          <w:rFonts w:hint="eastAsia" w:ascii="宋体" w:hAnsi="宋体" w:eastAsia="宋体" w:cs="宋体"/>
          <w:color w:val="auto"/>
          <w:sz w:val="28"/>
        </w:rPr>
        <w:t>三   投标文件</w:t>
      </w:r>
      <w:bookmarkEnd w:id="197"/>
      <w:r>
        <w:rPr>
          <w:rFonts w:hint="eastAsia" w:ascii="宋体" w:hAnsi="宋体" w:eastAsia="宋体" w:cs="宋体"/>
          <w:color w:val="auto"/>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7F286DCF">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220" w:name="_Toc127151527"/>
      <w:bookmarkStart w:id="221" w:name="_Toc226309771"/>
      <w:bookmarkStart w:id="222" w:name="_Toc226965717"/>
      <w:bookmarkStart w:id="223" w:name="_Toc151193769"/>
      <w:bookmarkStart w:id="224" w:name="_Toc265228365"/>
      <w:bookmarkStart w:id="225" w:name="_Toc151193841"/>
      <w:bookmarkStart w:id="226" w:name="_Toc127161441"/>
      <w:bookmarkStart w:id="227" w:name="_Toc164608641"/>
      <w:bookmarkStart w:id="228" w:name="_Toc305158869"/>
      <w:bookmarkStart w:id="229" w:name="_Toc164229222"/>
      <w:bookmarkStart w:id="230" w:name="_Toc305158795"/>
      <w:bookmarkStart w:id="231" w:name="_Toc150509278"/>
      <w:bookmarkStart w:id="232" w:name="_Toc520356151"/>
      <w:bookmarkStart w:id="233" w:name="_Toc151190154"/>
      <w:bookmarkStart w:id="234" w:name="_Toc264969217"/>
      <w:bookmarkStart w:id="235" w:name="_Toc195842892"/>
      <w:bookmarkStart w:id="236" w:name="_Toc151193625"/>
      <w:bookmarkStart w:id="237" w:name="_Toc164229368"/>
      <w:bookmarkStart w:id="238" w:name="_Toc164608796"/>
      <w:bookmarkStart w:id="239" w:name="_Toc149720820"/>
      <w:bookmarkStart w:id="240" w:name="_Toc151193697"/>
      <w:bookmarkStart w:id="241" w:name="_Toc127151728"/>
      <w:bookmarkStart w:id="242" w:name="_Toc516367021"/>
      <w:bookmarkStart w:id="243" w:name="_Toc226337223"/>
      <w:bookmarkStart w:id="244" w:name="_Toc226965800"/>
      <w:bookmarkStart w:id="245" w:name="_Toc164351621"/>
      <w:bookmarkStart w:id="246" w:name="_Toc151193915"/>
      <w:bookmarkStart w:id="247" w:name="_Toc150480765"/>
      <w:bookmarkStart w:id="248" w:name="_Toc142311029"/>
      <w:bookmarkStart w:id="249" w:name="_Toc150774627"/>
      <w:bookmarkStart w:id="250" w:name="_Toc150774732"/>
      <w:r>
        <w:rPr>
          <w:rFonts w:hint="eastAsia" w:ascii="宋体" w:hAnsi="宋体" w:eastAsia="宋体" w:cs="宋体"/>
          <w:color w:val="auto"/>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hint="eastAsia" w:ascii="宋体" w:hAnsi="宋体" w:eastAsia="宋体" w:cs="宋体"/>
          <w:color w:val="auto"/>
          <w:sz w:val="24"/>
        </w:rPr>
        <w:t>及投标语言</w:t>
      </w:r>
    </w:p>
    <w:p w14:paraId="5010783A">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color w:val="auto"/>
          <w:sz w:val="24"/>
        </w:rPr>
        <w:t>无效投标</w:t>
      </w:r>
      <w:r>
        <w:rPr>
          <w:rFonts w:hint="eastAsia" w:ascii="宋体" w:hAnsi="宋体" w:eastAsia="宋体" w:cs="宋体"/>
          <w:color w:val="auto"/>
          <w:sz w:val="24"/>
        </w:rPr>
        <w:t>。</w:t>
      </w:r>
    </w:p>
    <w:p w14:paraId="518215E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除招标文件有特殊要求外，本项目投标所使用的计量单位，应采用中华人民共和国法定计量单位。</w:t>
      </w:r>
    </w:p>
    <w:p w14:paraId="35651999">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57CD075">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251" w:name="_Toc516367022"/>
      <w:bookmarkStart w:id="252" w:name="_Ref467306195"/>
      <w:bookmarkStart w:id="253" w:name="_Ref467306676"/>
      <w:bookmarkStart w:id="254" w:name="_Toc164229223"/>
      <w:bookmarkStart w:id="255" w:name="_Toc150480766"/>
      <w:bookmarkStart w:id="256" w:name="_Toc127151528"/>
      <w:bookmarkStart w:id="257" w:name="_Toc151193698"/>
      <w:bookmarkStart w:id="258" w:name="_Toc150774628"/>
      <w:bookmarkStart w:id="259" w:name="_Toc150509279"/>
      <w:bookmarkStart w:id="260" w:name="_Toc226337224"/>
      <w:bookmarkStart w:id="261" w:name="_Toc164351622"/>
      <w:bookmarkStart w:id="262" w:name="_Toc149720821"/>
      <w:bookmarkStart w:id="263" w:name="_Toc195842893"/>
      <w:bookmarkStart w:id="264" w:name="_Toc226965718"/>
      <w:bookmarkStart w:id="265" w:name="_Toc151193916"/>
      <w:bookmarkStart w:id="266" w:name="_Toc151193842"/>
      <w:bookmarkStart w:id="267" w:name="_Toc226965801"/>
      <w:bookmarkStart w:id="268" w:name="_Toc127161442"/>
      <w:bookmarkStart w:id="269" w:name="_Toc127151729"/>
      <w:bookmarkStart w:id="270" w:name="_Toc151193770"/>
      <w:bookmarkStart w:id="271" w:name="_Toc264969218"/>
      <w:bookmarkStart w:id="272" w:name="_Toc164608797"/>
      <w:bookmarkStart w:id="273" w:name="_Toc151193626"/>
      <w:bookmarkStart w:id="274" w:name="_Toc265228366"/>
      <w:bookmarkStart w:id="275" w:name="_Toc164608642"/>
      <w:bookmarkStart w:id="276" w:name="_Toc305158870"/>
      <w:bookmarkStart w:id="277" w:name="_Toc305158796"/>
      <w:bookmarkStart w:id="278" w:name="_Toc151190155"/>
      <w:bookmarkStart w:id="279" w:name="_Toc150774733"/>
      <w:bookmarkStart w:id="280" w:name="_Toc226309772"/>
      <w:bookmarkStart w:id="281" w:name="_Toc142311030"/>
      <w:bookmarkStart w:id="282" w:name="_Toc520356152"/>
      <w:bookmarkStart w:id="283" w:name="_Toc164229369"/>
      <w:r>
        <w:rPr>
          <w:rFonts w:hint="eastAsia" w:ascii="宋体" w:hAnsi="宋体" w:eastAsia="宋体" w:cs="宋体"/>
          <w:color w:val="auto"/>
          <w:sz w:val="24"/>
        </w:rPr>
        <w:t>投标文件</w:t>
      </w:r>
      <w:bookmarkEnd w:id="251"/>
      <w:bookmarkEnd w:id="252"/>
      <w:bookmarkEnd w:id="253"/>
      <w:r>
        <w:rPr>
          <w:rFonts w:hint="eastAsia" w:ascii="宋体" w:hAnsi="宋体" w:eastAsia="宋体" w:cs="宋体"/>
          <w:color w:val="auto"/>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4217278E">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284" w:name="_Ref467052588"/>
      <w:r>
        <w:rPr>
          <w:rFonts w:hint="eastAsia" w:ascii="宋体" w:hAnsi="宋体" w:eastAsia="宋体" w:cs="宋体"/>
          <w:color w:val="auto"/>
          <w:sz w:val="24"/>
        </w:rPr>
        <w:t>投标人应当按照招标文件的要求编制投标文件。投标文件应由《资格证明文件》、《商务技术文件》两部分构成。投标文件的部分格式要求，见第七章《投标文件格式》。</w:t>
      </w:r>
    </w:p>
    <w:p w14:paraId="164F133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kern w:val="0"/>
          <w:sz w:val="24"/>
        </w:rPr>
        <w:t>对于招标文件中标记了“实质性格式”文件的，</w:t>
      </w:r>
      <w:r>
        <w:rPr>
          <w:rFonts w:hint="eastAsia" w:ascii="宋体" w:hAnsi="宋体" w:eastAsia="宋体" w:cs="宋体"/>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rPr>
        <w:t>否则</w:t>
      </w:r>
      <w:r>
        <w:rPr>
          <w:rFonts w:hint="eastAsia" w:ascii="宋体" w:hAnsi="宋体" w:eastAsia="宋体" w:cs="宋体"/>
          <w:b/>
          <w:color w:val="auto"/>
          <w:kern w:val="0"/>
          <w:sz w:val="24"/>
        </w:rPr>
        <w:t>投标无效</w:t>
      </w:r>
      <w:r>
        <w:rPr>
          <w:rFonts w:hint="eastAsia" w:ascii="宋体" w:hAnsi="宋体" w:eastAsia="宋体" w:cs="宋体"/>
          <w:color w:val="auto"/>
          <w:kern w:val="0"/>
          <w:sz w:val="24"/>
        </w:rPr>
        <w:t>。未标记“实质性格式”的文件和招标文件未提供格式的内容，可由投标人自行编写。</w:t>
      </w:r>
    </w:p>
    <w:p w14:paraId="4A3DBD48">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第四章《评标程序、评标方法和评标标准》中涉及的证明文件。</w:t>
      </w:r>
    </w:p>
    <w:p w14:paraId="2FB6027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8A8C24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投标人认为应附的其他材料。</w:t>
      </w:r>
      <w:bookmarkEnd w:id="284"/>
    </w:p>
    <w:p w14:paraId="0DBB37EB">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285" w:name="_Toc150509281"/>
      <w:bookmarkStart w:id="286" w:name="_Toc164229225"/>
      <w:bookmarkStart w:id="287" w:name="_Toc520356155"/>
      <w:bookmarkStart w:id="288" w:name="_Toc151193918"/>
      <w:bookmarkStart w:id="289" w:name="_Toc149720823"/>
      <w:bookmarkStart w:id="290" w:name="_Toc164608644"/>
      <w:bookmarkStart w:id="291" w:name="_Toc164608799"/>
      <w:bookmarkStart w:id="292" w:name="_Toc150480768"/>
      <w:bookmarkStart w:id="293" w:name="_Toc127161444"/>
      <w:bookmarkStart w:id="294" w:name="_Toc164351624"/>
      <w:bookmarkStart w:id="295" w:name="_Toc151193772"/>
      <w:bookmarkStart w:id="296" w:name="_Toc151190157"/>
      <w:bookmarkStart w:id="297" w:name="_Toc164229371"/>
      <w:bookmarkStart w:id="298" w:name="_Toc151193844"/>
      <w:bookmarkStart w:id="299" w:name="_Toc150774630"/>
      <w:bookmarkStart w:id="300" w:name="_Toc150774735"/>
      <w:bookmarkStart w:id="301" w:name="_Toc127151731"/>
      <w:bookmarkStart w:id="302" w:name="_Toc127151530"/>
      <w:bookmarkStart w:id="303" w:name="_Toc151193700"/>
      <w:bookmarkStart w:id="304" w:name="_Toc151193628"/>
      <w:bookmarkStart w:id="305" w:name="_Toc195842895"/>
      <w:bookmarkStart w:id="306" w:name="_Toc142311032"/>
      <w:r>
        <w:rPr>
          <w:rFonts w:hint="eastAsia" w:ascii="宋体" w:hAnsi="宋体" w:eastAsia="宋体" w:cs="宋体"/>
          <w:color w:val="auto"/>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0F9FD36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所有投标均以人民币为计价货币。</w:t>
      </w:r>
    </w:p>
    <w:p w14:paraId="387E036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投标人的报价应包括为完成本项目所发生的一切费用和税费，采购人将不再支付报价以外的任何费用。投标人的报价应包括但不限于下列内容，《投标人须知资料表》中有特殊规定的，从其规定。</w:t>
      </w:r>
    </w:p>
    <w:p w14:paraId="4F9F8B10">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11E329C">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 xml:space="preserve">按照招标文件要求完成本项目的全部相关费用。 </w:t>
      </w:r>
    </w:p>
    <w:p w14:paraId="28194049">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采购人不得向供应商索要或者接受其给予的赠品、回扣或者与采购无关的其他商品、服务。</w:t>
      </w:r>
    </w:p>
    <w:p w14:paraId="672801F5">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投标人不能提供任何有选择性或可调整的报价（招标文件另有规定的除外），否则其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204D3A9F">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307" w:name="_Ref467306513"/>
      <w:bookmarkStart w:id="308" w:name="_Toc305158799"/>
      <w:bookmarkStart w:id="309" w:name="_Toc149720824"/>
      <w:bookmarkStart w:id="310" w:name="_Toc151193629"/>
      <w:bookmarkStart w:id="311" w:name="_Toc150774631"/>
      <w:bookmarkStart w:id="312" w:name="_Toc150774736"/>
      <w:bookmarkStart w:id="313" w:name="_Toc127161445"/>
      <w:bookmarkStart w:id="314" w:name="_Toc150480769"/>
      <w:bookmarkStart w:id="315" w:name="_Toc127151732"/>
      <w:bookmarkStart w:id="316" w:name="_Toc226337227"/>
      <w:bookmarkStart w:id="317" w:name="_Toc265228369"/>
      <w:bookmarkStart w:id="318" w:name="_Toc151193845"/>
      <w:bookmarkStart w:id="319" w:name="_Toc164608645"/>
      <w:bookmarkStart w:id="320" w:name="_Toc142311033"/>
      <w:bookmarkStart w:id="321" w:name="_Toc151193701"/>
      <w:bookmarkStart w:id="322" w:name="_Toc151193773"/>
      <w:bookmarkStart w:id="323" w:name="_Toc127151531"/>
      <w:bookmarkStart w:id="324" w:name="_Toc226309775"/>
      <w:bookmarkStart w:id="325" w:name="_Toc164608800"/>
      <w:bookmarkStart w:id="326" w:name="_Toc164351625"/>
      <w:bookmarkStart w:id="327" w:name="_Toc164229226"/>
      <w:bookmarkStart w:id="328" w:name="_Toc305158873"/>
      <w:bookmarkStart w:id="329" w:name="_Toc164229372"/>
      <w:bookmarkStart w:id="330" w:name="_Toc150509282"/>
      <w:bookmarkStart w:id="331" w:name="_Toc520356156"/>
      <w:bookmarkStart w:id="332" w:name="_Toc226965804"/>
      <w:bookmarkStart w:id="333" w:name="_Toc226965721"/>
      <w:bookmarkStart w:id="334" w:name="_Toc151193919"/>
      <w:bookmarkStart w:id="335" w:name="_Toc195842896"/>
      <w:bookmarkStart w:id="336" w:name="_Toc264969221"/>
      <w:bookmarkStart w:id="337" w:name="_Toc151190158"/>
      <w:r>
        <w:rPr>
          <w:rFonts w:hint="eastAsia" w:ascii="宋体" w:hAnsi="宋体" w:eastAsia="宋体" w:cs="宋体"/>
          <w:color w:val="auto"/>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72177E0F">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338" w:name="_Ref467306302"/>
      <w:r>
        <w:rPr>
          <w:rFonts w:hint="eastAsia" w:ascii="宋体" w:hAnsi="宋体" w:eastAsia="宋体" w:cs="宋体"/>
          <w:color w:val="auto"/>
          <w:sz w:val="24"/>
        </w:rPr>
        <w:t>投标人应按《投标人须知资料表》中规定的金额及要求交纳投标保证金</w:t>
      </w:r>
      <w:bookmarkEnd w:id="338"/>
      <w:r>
        <w:rPr>
          <w:rFonts w:hint="eastAsia" w:ascii="宋体" w:hAnsi="宋体" w:eastAsia="宋体" w:cs="宋体"/>
          <w:color w:val="auto"/>
          <w:sz w:val="24"/>
        </w:rPr>
        <w:t>。投标人自愿超额缴纳投标保证金的，投标文件不做无效处理。</w:t>
      </w:r>
    </w:p>
    <w:p w14:paraId="00E4DE5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交纳投标保证金可采用的形式：政府采购法律法规接受的支票、汇票、本票、网上银行支付或者金融机构、担保机构出具的保函等非现金形式。</w:t>
      </w:r>
    </w:p>
    <w:p w14:paraId="2C07FD7C">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hint="eastAsia" w:ascii="宋体" w:hAnsi="宋体" w:eastAsia="宋体" w:cs="宋体"/>
          <w:color w:val="auto"/>
          <w:sz w:val="24"/>
        </w:rPr>
        <w:t>以电子保函形式提交投标保证金的，应在投标截止时间前通过</w:t>
      </w:r>
      <w:r>
        <w:rPr>
          <w:rFonts w:hint="eastAsia" w:ascii="宋体" w:hAnsi="宋体" w:eastAsia="宋体" w:cs="宋体"/>
          <w:color w:val="auto"/>
          <w:sz w:val="24"/>
          <w:lang w:bidi="ar"/>
        </w:rPr>
        <w:t>北京市政府采购电子交易平台完成电子保函在线办理。</w:t>
      </w:r>
      <w:bookmarkEnd w:id="339"/>
      <w:r>
        <w:rPr>
          <w:rFonts w:hint="eastAsia" w:ascii="宋体" w:hAnsi="宋体" w:eastAsia="宋体" w:cs="宋体"/>
          <w:color w:val="auto"/>
          <w:sz w:val="24"/>
        </w:rPr>
        <w:t>未按上述要求缴纳投标保证金的，其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73BA924E">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投标人除需在投标文件中提供“</w:t>
      </w:r>
      <w:r>
        <w:rPr>
          <w:rFonts w:hint="eastAsia" w:ascii="宋体" w:hAnsi="宋体" w:eastAsia="宋体" w:cs="宋体"/>
          <w:color w:val="auto"/>
          <w:sz w:val="24"/>
          <w:szCs w:val="20"/>
        </w:rPr>
        <w:t>投标保证金凭证/交款单据电子件</w:t>
      </w:r>
      <w:r>
        <w:rPr>
          <w:rFonts w:hint="eastAsia" w:ascii="宋体" w:hAnsi="宋体" w:eastAsia="宋体" w:cs="宋体"/>
          <w:color w:val="auto"/>
          <w:sz w:val="24"/>
        </w:rPr>
        <w:t>”，还需在投标截止时间前，通过电子交易平台上传“</w:t>
      </w:r>
      <w:r>
        <w:rPr>
          <w:rFonts w:hint="eastAsia" w:ascii="宋体" w:hAnsi="宋体" w:eastAsia="宋体" w:cs="宋体"/>
          <w:color w:val="auto"/>
          <w:sz w:val="24"/>
          <w:szCs w:val="20"/>
        </w:rPr>
        <w:t>投标保证金凭证/交款单据电子件</w:t>
      </w:r>
      <w:r>
        <w:rPr>
          <w:rFonts w:hint="eastAsia" w:ascii="宋体" w:hAnsi="宋体" w:eastAsia="宋体" w:cs="宋体"/>
          <w:color w:val="auto"/>
          <w:sz w:val="24"/>
        </w:rPr>
        <w:t>”。</w:t>
      </w:r>
    </w:p>
    <w:p w14:paraId="4FF90881">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投标保证金有效期同投标有效期。</w:t>
      </w:r>
    </w:p>
    <w:p w14:paraId="437076C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投标人为联合体的，可以由联合体中的一方或者多方共同交纳投标保证金，其交纳的投标保证金对联合体各方均具有约束力。</w:t>
      </w:r>
    </w:p>
    <w:p w14:paraId="02CE66C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91BE107">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投标人在投标截止时间前撤回已提交的投标文件的，自收到投标人书面撤回通知之日起5个工作日内退还已收取的投标保证金；</w:t>
      </w:r>
    </w:p>
    <w:p w14:paraId="1707B0B7">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中标人的投标保证金，自采购合同签订之日起5个工作日内退还中标人；</w:t>
      </w:r>
    </w:p>
    <w:p w14:paraId="7C866FB1">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未中标投标人的投标保证金，自中标通知书发出之日起5个工作日内退还未中标人；</w:t>
      </w:r>
    </w:p>
    <w:p w14:paraId="55128E0B">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终止招标项目已经收取投标保证金的，自终止采购活动后5个工作日内退还已收取的投标保证金及其在银行产生的孳息。</w:t>
      </w:r>
    </w:p>
    <w:p w14:paraId="6388F0A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有下列情形之一的，采购人或采购代理机构可以不予退还投标保证金：</w:t>
      </w:r>
    </w:p>
    <w:p w14:paraId="55B66408">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投标有效期内投标人撤销投标文件的；</w:t>
      </w:r>
    </w:p>
    <w:p w14:paraId="0DE2393F">
      <w:pPr>
        <w:pageBreakBefore w:val="0"/>
        <w:widowControl w:val="0"/>
        <w:numPr>
          <w:ilvl w:val="2"/>
          <w:numId w:val="9"/>
        </w:numPr>
        <w:tabs>
          <w:tab w:val="left" w:pos="900"/>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《投标人须知资料表》中规定的其他情形。</w:t>
      </w:r>
    </w:p>
    <w:p w14:paraId="7E3185C8">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340" w:name="_Toc150774632"/>
      <w:bookmarkStart w:id="341" w:name="_Toc195842897"/>
      <w:bookmarkStart w:id="342" w:name="_Toc226965805"/>
      <w:bookmarkStart w:id="343" w:name="_Toc226337228"/>
      <w:bookmarkStart w:id="344" w:name="_Toc151193846"/>
      <w:bookmarkStart w:id="345" w:name="_Toc142311034"/>
      <w:bookmarkStart w:id="346" w:name="_Toc150480770"/>
      <w:bookmarkStart w:id="347" w:name="_Toc226309776"/>
      <w:bookmarkStart w:id="348" w:name="_Toc164351626"/>
      <w:bookmarkStart w:id="349" w:name="_Toc164229227"/>
      <w:bookmarkStart w:id="350" w:name="_Toc265228370"/>
      <w:bookmarkStart w:id="351" w:name="_Toc164608801"/>
      <w:bookmarkStart w:id="352" w:name="_Toc127151733"/>
      <w:bookmarkStart w:id="353" w:name="_Toc164229373"/>
      <w:bookmarkStart w:id="354" w:name="_Toc151193630"/>
      <w:bookmarkStart w:id="355" w:name="_Toc150509283"/>
      <w:bookmarkStart w:id="356" w:name="_Toc151193920"/>
      <w:bookmarkStart w:id="357" w:name="_Toc149720825"/>
      <w:bookmarkStart w:id="358" w:name="_Toc305158800"/>
      <w:bookmarkStart w:id="359" w:name="_Toc305158874"/>
      <w:bookmarkStart w:id="360" w:name="_Toc226965722"/>
      <w:bookmarkStart w:id="361" w:name="_Toc150774737"/>
      <w:bookmarkStart w:id="362" w:name="_Toc151190159"/>
      <w:bookmarkStart w:id="363" w:name="_Toc151193702"/>
      <w:bookmarkStart w:id="364" w:name="_Toc151193774"/>
      <w:bookmarkStart w:id="365" w:name="_Toc164608646"/>
      <w:bookmarkStart w:id="366" w:name="_Toc127151532"/>
      <w:bookmarkStart w:id="367" w:name="_Toc520356157"/>
      <w:bookmarkStart w:id="368" w:name="_Toc264969222"/>
      <w:bookmarkStart w:id="369" w:name="_Toc127161446"/>
      <w:r>
        <w:rPr>
          <w:rFonts w:hint="eastAsia" w:ascii="宋体" w:hAnsi="宋体" w:eastAsia="宋体" w:cs="宋体"/>
          <w:color w:val="auto"/>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4A6E0C7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投标文件应在本招标文件《投标人须知资料表》中规定的投标有效期内保持有效，投标有效期少于招标文件规定期限的，其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624DE1D7">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370" w:name="_Toc226337229"/>
      <w:bookmarkStart w:id="371" w:name="_Toc520356158"/>
      <w:bookmarkStart w:id="372" w:name="_Toc226309777"/>
      <w:bookmarkStart w:id="373" w:name="_Toc151193703"/>
      <w:bookmarkStart w:id="374" w:name="_Toc127151533"/>
      <w:bookmarkStart w:id="375" w:name="_Toc164229374"/>
      <w:bookmarkStart w:id="376" w:name="_Toc164608647"/>
      <w:bookmarkStart w:id="377" w:name="_Toc150509284"/>
      <w:bookmarkStart w:id="378" w:name="_Toc127161447"/>
      <w:bookmarkStart w:id="379" w:name="_Toc164351627"/>
      <w:bookmarkStart w:id="380" w:name="_Toc305158801"/>
      <w:bookmarkStart w:id="381" w:name="_Toc151190160"/>
      <w:bookmarkStart w:id="382" w:name="_Toc151193631"/>
      <w:bookmarkStart w:id="383" w:name="_Toc151193775"/>
      <w:bookmarkStart w:id="384" w:name="_Toc164608802"/>
      <w:bookmarkStart w:id="385" w:name="_Toc150480771"/>
      <w:bookmarkStart w:id="386" w:name="_Toc195842898"/>
      <w:bookmarkStart w:id="387" w:name="_Toc164229228"/>
      <w:bookmarkStart w:id="388" w:name="_Toc226965723"/>
      <w:bookmarkStart w:id="389" w:name="_Toc142311035"/>
      <w:bookmarkStart w:id="390" w:name="_Toc264969223"/>
      <w:bookmarkStart w:id="391" w:name="_Toc305158875"/>
      <w:bookmarkStart w:id="392" w:name="_Toc265228371"/>
      <w:bookmarkStart w:id="393" w:name="_Toc150774738"/>
      <w:bookmarkStart w:id="394" w:name="_Toc149720826"/>
      <w:bookmarkStart w:id="395" w:name="_Toc150774633"/>
      <w:bookmarkStart w:id="396" w:name="_Toc127151734"/>
      <w:bookmarkStart w:id="397" w:name="_Toc151193847"/>
      <w:bookmarkStart w:id="398" w:name="_Toc226965806"/>
      <w:bookmarkStart w:id="399" w:name="_Toc151193921"/>
      <w:r>
        <w:rPr>
          <w:rFonts w:hint="eastAsia" w:ascii="宋体" w:hAnsi="宋体" w:eastAsia="宋体" w:cs="宋体"/>
          <w:color w:val="auto"/>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hint="eastAsia" w:ascii="宋体" w:hAnsi="宋体" w:eastAsia="宋体" w:cs="宋体"/>
          <w:color w:val="auto"/>
          <w:sz w:val="24"/>
        </w:rPr>
        <w:t>、盖章</w:t>
      </w:r>
    </w:p>
    <w:p w14:paraId="20C40B91">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400" w:name="_Toc226309778"/>
      <w:bookmarkStart w:id="401" w:name="_Toc264969224"/>
      <w:bookmarkStart w:id="402" w:name="_Toc151193632"/>
      <w:bookmarkStart w:id="403" w:name="_Toc150774739"/>
      <w:bookmarkStart w:id="404" w:name="_Toc305158876"/>
      <w:bookmarkStart w:id="405" w:name="_Toc151190161"/>
      <w:bookmarkStart w:id="406" w:name="_Toc150480772"/>
      <w:bookmarkStart w:id="407" w:name="_Toc226965807"/>
      <w:bookmarkStart w:id="408" w:name="_Toc226965724"/>
      <w:bookmarkStart w:id="409" w:name="_Toc305158802"/>
      <w:bookmarkStart w:id="410" w:name="_Toc150774634"/>
      <w:bookmarkStart w:id="411" w:name="_Toc151193776"/>
      <w:bookmarkStart w:id="412" w:name="_Toc127151534"/>
      <w:bookmarkStart w:id="413" w:name="_Toc520356159"/>
      <w:bookmarkStart w:id="414" w:name="_Toc151193704"/>
      <w:bookmarkStart w:id="415" w:name="_Toc142311036"/>
      <w:bookmarkStart w:id="416" w:name="_Toc195842899"/>
      <w:bookmarkStart w:id="417" w:name="_Toc151193922"/>
      <w:bookmarkStart w:id="418" w:name="_Toc265228372"/>
      <w:bookmarkStart w:id="419" w:name="_Toc151193848"/>
      <w:bookmarkStart w:id="420" w:name="_Toc150509285"/>
      <w:bookmarkStart w:id="421" w:name="_Toc226337230"/>
      <w:r>
        <w:rPr>
          <w:rFonts w:hint="eastAsia" w:ascii="宋体" w:hAnsi="宋体" w:eastAsia="宋体" w:cs="宋体"/>
          <w:color w:val="auto"/>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7E998838">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招标文件要求盖章的内容，一般通过投标文件编制工具加盖电子签章。</w:t>
      </w:r>
    </w:p>
    <w:p w14:paraId="5FDE8443">
      <w:pPr>
        <w:pageBreakBefore w:val="0"/>
        <w:widowControl w:val="0"/>
        <w:tabs>
          <w:tab w:val="left" w:pos="90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rPr>
      </w:pPr>
    </w:p>
    <w:p w14:paraId="747D874E">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rPr>
      </w:pPr>
      <w:r>
        <w:rPr>
          <w:rFonts w:hint="eastAsia" w:ascii="宋体" w:hAnsi="宋体" w:eastAsia="宋体" w:cs="宋体"/>
          <w:color w:val="auto"/>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7EEEE62B">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422" w:name="_Toc264969225"/>
      <w:bookmarkStart w:id="423" w:name="_Toc150509286"/>
      <w:bookmarkStart w:id="424" w:name="_Toc226965808"/>
      <w:bookmarkStart w:id="425" w:name="_Toc151193849"/>
      <w:bookmarkStart w:id="426" w:name="_Toc151193923"/>
      <w:bookmarkStart w:id="427" w:name="_Toc164608649"/>
      <w:bookmarkStart w:id="428" w:name="_Toc195842900"/>
      <w:bookmarkStart w:id="429" w:name="_Toc151193705"/>
      <w:bookmarkStart w:id="430" w:name="_Toc226309779"/>
      <w:bookmarkStart w:id="431" w:name="_Toc305158877"/>
      <w:bookmarkStart w:id="432" w:name="_Toc149720828"/>
      <w:bookmarkStart w:id="433" w:name="_Toc151193633"/>
      <w:bookmarkStart w:id="434" w:name="_Toc150774635"/>
      <w:bookmarkStart w:id="435" w:name="_Toc127151736"/>
      <w:bookmarkStart w:id="436" w:name="_Toc142311037"/>
      <w:bookmarkStart w:id="437" w:name="_Toc164351629"/>
      <w:bookmarkStart w:id="438" w:name="_Toc265228373"/>
      <w:bookmarkStart w:id="439" w:name="_Toc520356160"/>
      <w:bookmarkStart w:id="440" w:name="_Toc127161449"/>
      <w:bookmarkStart w:id="441" w:name="_Toc305158803"/>
      <w:bookmarkStart w:id="442" w:name="_Toc150480773"/>
      <w:bookmarkStart w:id="443" w:name="_Toc164608804"/>
      <w:bookmarkStart w:id="444" w:name="_Toc164229376"/>
      <w:bookmarkStart w:id="445" w:name="_Toc226965725"/>
      <w:bookmarkStart w:id="446" w:name="_Toc127151535"/>
      <w:bookmarkStart w:id="447" w:name="_Toc151190162"/>
      <w:bookmarkStart w:id="448" w:name="_Toc151193777"/>
      <w:bookmarkStart w:id="449" w:name="_Toc164229230"/>
      <w:bookmarkStart w:id="450" w:name="_Toc150774740"/>
      <w:bookmarkStart w:id="451" w:name="_Toc226337231"/>
      <w:r>
        <w:rPr>
          <w:rFonts w:hint="eastAsia" w:ascii="宋体" w:hAnsi="宋体" w:eastAsia="宋体" w:cs="宋体"/>
          <w:color w:val="auto"/>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hint="eastAsia" w:ascii="宋体" w:hAnsi="宋体" w:eastAsia="宋体" w:cs="宋体"/>
          <w:color w:val="auto"/>
          <w:sz w:val="24"/>
        </w:rPr>
        <w:t>提交</w:t>
      </w:r>
    </w:p>
    <w:p w14:paraId="465D9AD5">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本项目使用北京市政府采购电子交易平台。投标人根据招标文件及电子交易平台供应商操作手册要求编制、生成并提交电子投标文件。</w:t>
      </w:r>
    </w:p>
    <w:p w14:paraId="4C1E298E">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采购人及采购代理机构拒绝接受通过电子交易平台以外任何形式提交的投标文件，投标保证金除外。</w:t>
      </w:r>
    </w:p>
    <w:p w14:paraId="7E222F39">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452" w:name="_Toc265228374"/>
      <w:bookmarkStart w:id="453" w:name="_Toc150774636"/>
      <w:bookmarkStart w:id="454" w:name="_Toc127151737"/>
      <w:bookmarkStart w:id="455" w:name="_Toc151193634"/>
      <w:bookmarkStart w:id="456" w:name="_Toc151193924"/>
      <w:bookmarkStart w:id="457" w:name="_Toc127151536"/>
      <w:bookmarkStart w:id="458" w:name="_Toc226965726"/>
      <w:bookmarkStart w:id="459" w:name="_Toc226965809"/>
      <w:bookmarkStart w:id="460" w:name="_Toc151193778"/>
      <w:bookmarkStart w:id="461" w:name="_Toc305158878"/>
      <w:bookmarkStart w:id="462" w:name="_Toc150509287"/>
      <w:bookmarkStart w:id="463" w:name="_Toc164608805"/>
      <w:bookmarkStart w:id="464" w:name="_Toc151190163"/>
      <w:bookmarkStart w:id="465" w:name="_Toc150480774"/>
      <w:bookmarkStart w:id="466" w:name="_Toc164351630"/>
      <w:bookmarkStart w:id="467" w:name="_Toc149720829"/>
      <w:bookmarkStart w:id="468" w:name="_Toc164229231"/>
      <w:bookmarkStart w:id="469" w:name="_Toc151193850"/>
      <w:bookmarkStart w:id="470" w:name="_Toc127161450"/>
      <w:bookmarkStart w:id="471" w:name="_Toc264969226"/>
      <w:bookmarkStart w:id="472" w:name="_Toc151193706"/>
      <w:bookmarkStart w:id="473" w:name="_Toc164229377"/>
      <w:bookmarkStart w:id="474" w:name="_Toc226337232"/>
      <w:bookmarkStart w:id="475" w:name="_Toc305158804"/>
      <w:bookmarkStart w:id="476" w:name="_Toc150774741"/>
      <w:bookmarkStart w:id="477" w:name="_Toc164608650"/>
      <w:bookmarkStart w:id="478" w:name="_Toc226309780"/>
      <w:bookmarkStart w:id="479" w:name="_Toc195842901"/>
      <w:bookmarkStart w:id="480" w:name="_Toc520356161"/>
      <w:bookmarkStart w:id="481" w:name="_Toc142311038"/>
      <w:r>
        <w:rPr>
          <w:rFonts w:hint="eastAsia" w:ascii="宋体" w:hAnsi="宋体" w:eastAsia="宋体" w:cs="宋体"/>
          <w:color w:val="auto"/>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eastAsia" w:ascii="宋体" w:hAnsi="宋体" w:eastAsia="宋体" w:cs="宋体"/>
          <w:color w:val="auto"/>
          <w:sz w:val="24"/>
        </w:rPr>
        <w:t>时间</w:t>
      </w:r>
    </w:p>
    <w:p w14:paraId="6299B5F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投标人应在招标文件要求提交投标文件截止时间前，将电子投标文件提交至电子交易平台。</w:t>
      </w:r>
    </w:p>
    <w:p w14:paraId="3C9A9296">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482" w:name="_Toc150480775"/>
      <w:bookmarkStart w:id="483" w:name="_Toc305158879"/>
      <w:bookmarkStart w:id="484" w:name="_Toc149720830"/>
      <w:bookmarkStart w:id="485" w:name="_Toc151193707"/>
      <w:bookmarkStart w:id="486" w:name="_Toc226965727"/>
      <w:bookmarkStart w:id="487" w:name="_Toc127151537"/>
      <w:bookmarkStart w:id="488" w:name="_Toc151193635"/>
      <w:bookmarkStart w:id="489" w:name="_Toc164608806"/>
      <w:bookmarkStart w:id="490" w:name="_Toc226309781"/>
      <w:bookmarkStart w:id="491" w:name="_Toc164608651"/>
      <w:bookmarkStart w:id="492" w:name="_Toc164229232"/>
      <w:bookmarkStart w:id="493" w:name="_Toc264969227"/>
      <w:bookmarkStart w:id="494" w:name="_Toc127151738"/>
      <w:bookmarkStart w:id="495" w:name="_Toc150774742"/>
      <w:bookmarkStart w:id="496" w:name="_Toc150774637"/>
      <w:bookmarkStart w:id="497" w:name="_Toc226965810"/>
      <w:bookmarkStart w:id="498" w:name="_Toc127161451"/>
      <w:bookmarkStart w:id="499" w:name="_Toc164229378"/>
      <w:bookmarkStart w:id="500" w:name="_Toc150509288"/>
      <w:bookmarkStart w:id="501" w:name="_Toc305158805"/>
      <w:bookmarkStart w:id="502" w:name="_Toc226337233"/>
      <w:bookmarkStart w:id="503" w:name="_Toc151193925"/>
      <w:bookmarkStart w:id="504" w:name="_Toc151193779"/>
      <w:bookmarkStart w:id="505" w:name="_Toc151193851"/>
      <w:bookmarkStart w:id="506" w:name="_Toc142311039"/>
      <w:bookmarkStart w:id="507" w:name="_Toc195842902"/>
      <w:bookmarkStart w:id="508" w:name="_Toc151190164"/>
      <w:bookmarkStart w:id="509" w:name="_Toc164351631"/>
      <w:bookmarkStart w:id="510" w:name="_Toc265228375"/>
      <w:bookmarkStart w:id="511" w:name="_Toc520356162"/>
      <w:r>
        <w:rPr>
          <w:rFonts w:hint="eastAsia" w:ascii="宋体" w:hAnsi="宋体" w:eastAsia="宋体" w:cs="宋体"/>
          <w:color w:val="auto"/>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10218FF5">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47B76D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投标人对投标文件的补充、修改的内容应当按照招标文件要求签署、盖章，作为投标文件的组成部分。</w:t>
      </w:r>
    </w:p>
    <w:p w14:paraId="5F647DA6">
      <w:pPr>
        <w:pageBreakBefore w:val="0"/>
        <w:widowControl w:val="0"/>
        <w:kinsoku/>
        <w:wordWrap/>
        <w:overflowPunct/>
        <w:topLinePunct w:val="0"/>
        <w:bidi w:val="0"/>
        <w:spacing w:line="360" w:lineRule="auto"/>
        <w:ind w:left="0" w:leftChars="0" w:firstLine="0"/>
        <w:textAlignment w:val="auto"/>
        <w:rPr>
          <w:rFonts w:hint="eastAsia" w:ascii="宋体" w:hAnsi="宋体" w:eastAsia="宋体" w:cs="宋体"/>
          <w:color w:val="auto"/>
          <w:sz w:val="24"/>
        </w:rPr>
      </w:pPr>
    </w:p>
    <w:p w14:paraId="0A1E0348">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rPr>
      </w:pPr>
      <w:bookmarkStart w:id="512" w:name="_Toc195842903"/>
      <w:bookmarkStart w:id="513" w:name="_Toc226965728"/>
      <w:bookmarkStart w:id="514" w:name="_Toc226965811"/>
      <w:bookmarkStart w:id="515" w:name="_Toc150509289"/>
      <w:bookmarkStart w:id="516" w:name="_Toc151193636"/>
      <w:bookmarkStart w:id="517" w:name="_Toc226309782"/>
      <w:bookmarkStart w:id="518" w:name="_Toc151193780"/>
      <w:bookmarkStart w:id="519" w:name="_Toc520356163"/>
      <w:bookmarkStart w:id="520" w:name="_Toc151193708"/>
      <w:bookmarkStart w:id="521" w:name="_Toc305158880"/>
      <w:bookmarkStart w:id="522" w:name="_Toc151193852"/>
      <w:bookmarkStart w:id="523" w:name="_Toc305158806"/>
      <w:bookmarkStart w:id="524" w:name="_Toc264969228"/>
      <w:bookmarkStart w:id="525" w:name="_Toc127151538"/>
      <w:bookmarkStart w:id="526" w:name="_Toc226337234"/>
      <w:bookmarkStart w:id="527" w:name="_Toc151190165"/>
      <w:bookmarkStart w:id="528" w:name="_Toc265228376"/>
      <w:bookmarkStart w:id="529" w:name="_Toc151193926"/>
      <w:bookmarkStart w:id="530" w:name="_Toc142311040"/>
      <w:bookmarkStart w:id="531" w:name="_Toc150774743"/>
      <w:bookmarkStart w:id="532" w:name="_Toc150774638"/>
      <w:bookmarkStart w:id="533" w:name="_Toc150480776"/>
      <w:r>
        <w:rPr>
          <w:rFonts w:hint="eastAsia" w:ascii="宋体" w:hAnsi="宋体" w:eastAsia="宋体" w:cs="宋体"/>
          <w:color w:val="auto"/>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EDD25A8">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534" w:name="_Toc164351633"/>
      <w:bookmarkStart w:id="535" w:name="_Toc164229380"/>
      <w:bookmarkStart w:id="536" w:name="_Toc127151539"/>
      <w:bookmarkStart w:id="537" w:name="_Toc151193637"/>
      <w:bookmarkStart w:id="538" w:name="_Toc305158881"/>
      <w:bookmarkStart w:id="539" w:name="_Toc150774639"/>
      <w:bookmarkStart w:id="540" w:name="_Toc151190166"/>
      <w:bookmarkStart w:id="541" w:name="_Toc149720832"/>
      <w:bookmarkStart w:id="542" w:name="_Toc150509290"/>
      <w:bookmarkStart w:id="543" w:name="_Toc195842904"/>
      <w:bookmarkStart w:id="544" w:name="_Toc226965812"/>
      <w:bookmarkStart w:id="545" w:name="_Toc164608653"/>
      <w:bookmarkStart w:id="546" w:name="_Toc127161453"/>
      <w:bookmarkStart w:id="547" w:name="_Toc150774744"/>
      <w:bookmarkStart w:id="548" w:name="_Toc164229234"/>
      <w:bookmarkStart w:id="549" w:name="_Toc151193709"/>
      <w:bookmarkStart w:id="550" w:name="_Toc305158807"/>
      <w:bookmarkStart w:id="551" w:name="_Toc226337235"/>
      <w:bookmarkStart w:id="552" w:name="_Toc150480777"/>
      <w:bookmarkStart w:id="553" w:name="_Toc164608808"/>
      <w:bookmarkStart w:id="554" w:name="_Toc151193927"/>
      <w:bookmarkStart w:id="555" w:name="_Toc127151740"/>
      <w:bookmarkStart w:id="556" w:name="_Toc226309783"/>
      <w:bookmarkStart w:id="557" w:name="_Toc142311041"/>
      <w:bookmarkStart w:id="558" w:name="_Toc151193781"/>
      <w:bookmarkStart w:id="559" w:name="_Toc520356164"/>
      <w:bookmarkStart w:id="560" w:name="_Toc226965729"/>
      <w:bookmarkStart w:id="561" w:name="_Toc265228377"/>
      <w:bookmarkStart w:id="562" w:name="_Toc264969229"/>
      <w:bookmarkStart w:id="563" w:name="_Toc151193853"/>
      <w:r>
        <w:rPr>
          <w:rFonts w:hint="eastAsia" w:ascii="宋体" w:hAnsi="宋体" w:eastAsia="宋体" w:cs="宋体"/>
          <w:color w:val="auto"/>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7C174864">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采购人或采购代理机构将按招标文件的规定，在投标截止时间的同一时间和招标文件预先确定的地点组织开标。</w:t>
      </w:r>
    </w:p>
    <w:p w14:paraId="2BC46349">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本项目开标使用北京市政府采购电子交易平台。投标人应在</w:t>
      </w:r>
      <w:bookmarkStart w:id="564" w:name="_Hlk167284562"/>
      <w:r>
        <w:rPr>
          <w:rFonts w:hint="eastAsia" w:ascii="宋体" w:hAnsi="宋体" w:eastAsia="宋体" w:cs="宋体"/>
          <w:color w:val="auto"/>
          <w:sz w:val="24"/>
        </w:rPr>
        <w:t>《投标人须知资料表》</w:t>
      </w:r>
      <w:bookmarkEnd w:id="564"/>
      <w:r>
        <w:rPr>
          <w:rFonts w:hint="eastAsia" w:ascii="宋体" w:hAnsi="宋体" w:eastAsia="宋体" w:cs="宋体"/>
          <w:color w:val="auto"/>
          <w:sz w:val="24"/>
        </w:rPr>
        <w:t>规定的时间内对投标文件进行解密，因非系统原因导致的解密失败，视为</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679FB6EE">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开标过程将使用电子交易平台宣布投标人名称、投标价格和招标文件规定的需要宣布的其他内容并进行记录，并由参加开标的各投标人确认</w:t>
      </w:r>
      <w:bookmarkStart w:id="565" w:name="_Toc520356165"/>
      <w:r>
        <w:rPr>
          <w:rFonts w:hint="eastAsia" w:ascii="宋体" w:hAnsi="宋体" w:eastAsia="宋体" w:cs="宋体"/>
          <w:color w:val="auto"/>
          <w:sz w:val="24"/>
        </w:rPr>
        <w:t>。</w:t>
      </w:r>
      <w:bookmarkStart w:id="566" w:name="_Hlk143533942"/>
      <w:r>
        <w:rPr>
          <w:rFonts w:hint="eastAsia" w:ascii="宋体" w:hAnsi="宋体" w:eastAsia="宋体" w:cs="宋体"/>
          <w:color w:val="auto"/>
          <w:sz w:val="24"/>
        </w:rPr>
        <w:t>投标人未在规定时间内提出疑义或确认一览表的，视同认可开标结果。</w:t>
      </w:r>
      <w:bookmarkEnd w:id="566"/>
    </w:p>
    <w:p w14:paraId="4A7AD789">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9237F3E">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投标人不足3家的，不予开标。</w:t>
      </w:r>
    </w:p>
    <w:p w14:paraId="1EB5EAD1">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资格审查</w:t>
      </w:r>
    </w:p>
    <w:p w14:paraId="591FAED5">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见第三章《资格审查》。</w:t>
      </w:r>
    </w:p>
    <w:bookmarkEnd w:id="565"/>
    <w:p w14:paraId="33B2C140">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567" w:name="_Toc150774745"/>
      <w:bookmarkStart w:id="568" w:name="_Toc164351634"/>
      <w:bookmarkStart w:id="569" w:name="_Toc127151741"/>
      <w:bookmarkStart w:id="570" w:name="_Toc151193782"/>
      <w:bookmarkStart w:id="571" w:name="_Toc150509291"/>
      <w:bookmarkStart w:id="572" w:name="_Toc151190167"/>
      <w:bookmarkStart w:id="573" w:name="_Toc305158882"/>
      <w:bookmarkStart w:id="574" w:name="_Toc151193854"/>
      <w:bookmarkStart w:id="575" w:name="_Toc195842905"/>
      <w:bookmarkStart w:id="576" w:name="_Toc226965730"/>
      <w:bookmarkStart w:id="577" w:name="_Toc127151540"/>
      <w:bookmarkStart w:id="578" w:name="_Toc127161454"/>
      <w:bookmarkStart w:id="579" w:name="_Toc151193710"/>
      <w:bookmarkStart w:id="580" w:name="_Toc150480778"/>
      <w:bookmarkStart w:id="581" w:name="_Toc164608809"/>
      <w:bookmarkStart w:id="582" w:name="_Toc151193928"/>
      <w:bookmarkStart w:id="583" w:name="_Toc164229235"/>
      <w:bookmarkStart w:id="584" w:name="_Toc226337236"/>
      <w:bookmarkStart w:id="585" w:name="_Toc226965813"/>
      <w:bookmarkStart w:id="586" w:name="_Toc164608654"/>
      <w:bookmarkStart w:id="587" w:name="_Toc151193638"/>
      <w:bookmarkStart w:id="588" w:name="_Toc150774640"/>
      <w:bookmarkStart w:id="589" w:name="_Toc264969230"/>
      <w:bookmarkStart w:id="590" w:name="_Toc142311042"/>
      <w:bookmarkStart w:id="591" w:name="_Toc305158808"/>
      <w:bookmarkStart w:id="592" w:name="_Toc149720833"/>
      <w:bookmarkStart w:id="593" w:name="_Toc265228378"/>
      <w:bookmarkStart w:id="594" w:name="_Toc226309784"/>
      <w:bookmarkStart w:id="595" w:name="_Toc164229381"/>
      <w:r>
        <w:rPr>
          <w:rFonts w:hint="eastAsia" w:ascii="宋体" w:hAnsi="宋体" w:eastAsia="宋体" w:cs="宋体"/>
          <w:color w:val="auto"/>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2AE29C5B">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评标委员会根据政府采购有关规定和本次采购项目的特点进行组建，并负责具体评标事务，独立履行职责。</w:t>
      </w:r>
      <w:bookmarkStart w:id="596" w:name="_Toc520356166"/>
    </w:p>
    <w:p w14:paraId="04CBDBA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609267B6">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评标程序、评标方法和评标标准</w:t>
      </w:r>
    </w:p>
    <w:p w14:paraId="5C7B7F41">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见第四章《评标程序、评标方法和评标标准》。</w:t>
      </w:r>
    </w:p>
    <w:p w14:paraId="44D150F6">
      <w:pPr>
        <w:pageBreakBefore w:val="0"/>
        <w:widowControl w:val="0"/>
        <w:tabs>
          <w:tab w:val="left" w:pos="36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p>
    <w:p w14:paraId="01CA8075">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rPr>
      </w:pPr>
      <w:bookmarkStart w:id="598" w:name="_Toc151193859"/>
      <w:bookmarkStart w:id="599" w:name="_Toc226309789"/>
      <w:bookmarkStart w:id="600" w:name="_Toc264969235"/>
      <w:bookmarkStart w:id="601" w:name="_Toc151193933"/>
      <w:bookmarkStart w:id="602" w:name="_Toc151190172"/>
      <w:bookmarkStart w:id="603" w:name="_Toc151193643"/>
      <w:bookmarkStart w:id="604" w:name="_Toc151193787"/>
      <w:bookmarkStart w:id="605" w:name="_Toc150509296"/>
      <w:bookmarkStart w:id="606" w:name="_Toc150774750"/>
      <w:bookmarkStart w:id="607" w:name="_Toc265228383"/>
      <w:bookmarkStart w:id="608" w:name="_Toc305158887"/>
      <w:bookmarkStart w:id="609" w:name="_Toc150480783"/>
      <w:bookmarkStart w:id="610" w:name="_Toc127151545"/>
      <w:bookmarkStart w:id="611" w:name="_Toc226337241"/>
      <w:bookmarkStart w:id="612" w:name="_Toc195842910"/>
      <w:bookmarkStart w:id="613" w:name="_Toc150774645"/>
      <w:bookmarkStart w:id="614" w:name="_Toc151193715"/>
      <w:bookmarkStart w:id="615" w:name="_Toc226965818"/>
      <w:bookmarkStart w:id="616" w:name="_Toc226965735"/>
      <w:bookmarkStart w:id="617" w:name="_Toc142311047"/>
      <w:bookmarkStart w:id="618" w:name="_Toc305158813"/>
      <w:r>
        <w:rPr>
          <w:rFonts w:hint="eastAsia" w:ascii="宋体" w:hAnsi="宋体" w:eastAsia="宋体" w:cs="宋体"/>
          <w:color w:val="auto"/>
          <w:sz w:val="28"/>
        </w:rPr>
        <w:t xml:space="preserve">六   </w:t>
      </w:r>
      <w:bookmarkEnd w:id="597"/>
      <w:r>
        <w:rPr>
          <w:rFonts w:hint="eastAsia" w:ascii="宋体" w:hAnsi="宋体" w:eastAsia="宋体" w:cs="宋体"/>
          <w:color w:val="auto"/>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65228385"/>
      <w:bookmarkStart w:id="620" w:name="_Toc226965737"/>
      <w:bookmarkStart w:id="621" w:name="_Toc226337243"/>
      <w:bookmarkStart w:id="622" w:name="_Toc164229242"/>
      <w:bookmarkStart w:id="623" w:name="_Toc127151547"/>
      <w:bookmarkStart w:id="624" w:name="_Toc226965820"/>
      <w:bookmarkStart w:id="625" w:name="_Toc164351641"/>
      <w:bookmarkStart w:id="626" w:name="_Toc195842912"/>
      <w:bookmarkStart w:id="627" w:name="_Toc164608816"/>
      <w:bookmarkStart w:id="628" w:name="_Toc149720840"/>
      <w:bookmarkStart w:id="629" w:name="_Toc151193861"/>
      <w:bookmarkStart w:id="630" w:name="_Toc151193645"/>
      <w:bookmarkStart w:id="631" w:name="_Toc151190174"/>
      <w:bookmarkStart w:id="632" w:name="_Toc127151748"/>
      <w:bookmarkStart w:id="633" w:name="_Toc164229388"/>
      <w:bookmarkStart w:id="634" w:name="_Toc150774752"/>
      <w:bookmarkStart w:id="635" w:name="_Toc151193789"/>
      <w:bookmarkStart w:id="636" w:name="_Toc305158889"/>
      <w:bookmarkStart w:id="637" w:name="_Toc151193935"/>
      <w:bookmarkStart w:id="638" w:name="_Toc226309791"/>
      <w:bookmarkStart w:id="639" w:name="_Toc150509298"/>
      <w:bookmarkStart w:id="640" w:name="_Toc142311049"/>
      <w:bookmarkStart w:id="641" w:name="_Toc264969237"/>
      <w:bookmarkStart w:id="642" w:name="_Toc151193717"/>
      <w:bookmarkStart w:id="643" w:name="_Toc305158815"/>
      <w:bookmarkStart w:id="644" w:name="_Toc150480785"/>
      <w:bookmarkStart w:id="645" w:name="_Toc127161461"/>
      <w:bookmarkStart w:id="646" w:name="_Toc164608661"/>
      <w:bookmarkStart w:id="647" w:name="_Toc150774647"/>
    </w:p>
    <w:p w14:paraId="0251BE1C">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3C7894EB">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D67092F">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648" w:name="_Toc305158817"/>
      <w:bookmarkStart w:id="649" w:name="_Toc305158891"/>
      <w:bookmarkStart w:id="650" w:name="_Toc150774754"/>
      <w:bookmarkStart w:id="651" w:name="_Toc127151549"/>
      <w:bookmarkStart w:id="652" w:name="_Toc127161463"/>
      <w:bookmarkStart w:id="653" w:name="_Toc265228387"/>
      <w:bookmarkStart w:id="654" w:name="_Toc164351643"/>
      <w:bookmarkStart w:id="655" w:name="_Toc164229244"/>
      <w:bookmarkStart w:id="656" w:name="_Toc164608818"/>
      <w:bookmarkStart w:id="657" w:name="_Toc151193719"/>
      <w:bookmarkStart w:id="658" w:name="_Toc150480787"/>
      <w:bookmarkStart w:id="659" w:name="_Toc151193937"/>
      <w:bookmarkStart w:id="660" w:name="_Toc164229390"/>
      <w:bookmarkStart w:id="661" w:name="_Toc264969239"/>
      <w:bookmarkStart w:id="662" w:name="_Toc151193791"/>
      <w:bookmarkStart w:id="663" w:name="_Toc150509300"/>
      <w:bookmarkStart w:id="664" w:name="_Toc151190176"/>
      <w:bookmarkStart w:id="665" w:name="_Toc149720842"/>
      <w:bookmarkStart w:id="666" w:name="_Toc226337245"/>
      <w:bookmarkStart w:id="667" w:name="_Toc127151750"/>
      <w:bookmarkStart w:id="668" w:name="_Toc142311051"/>
      <w:bookmarkStart w:id="669" w:name="_Toc226965739"/>
      <w:bookmarkStart w:id="670" w:name="_Toc151193647"/>
      <w:bookmarkStart w:id="671" w:name="_Toc226965822"/>
      <w:bookmarkStart w:id="672" w:name="_Toc195842914"/>
      <w:bookmarkStart w:id="673" w:name="_Toc151193863"/>
      <w:bookmarkStart w:id="674" w:name="_Toc150774649"/>
      <w:bookmarkStart w:id="675" w:name="_Toc164608663"/>
      <w:bookmarkStart w:id="676" w:name="_Toc226309793"/>
      <w:bookmarkStart w:id="677" w:name="_Ref467306425"/>
      <w:bookmarkStart w:id="678" w:name="_Ref467307090"/>
      <w:bookmarkStart w:id="679" w:name="_Toc520356176"/>
      <w:r>
        <w:rPr>
          <w:rFonts w:hint="eastAsia" w:ascii="宋体" w:hAnsi="宋体" w:eastAsia="宋体" w:cs="宋体"/>
          <w:color w:val="auto"/>
          <w:sz w:val="24"/>
        </w:rPr>
        <w:t>中标公告与中标通知书</w:t>
      </w:r>
      <w:bookmarkEnd w:id="648"/>
      <w:bookmarkEnd w:id="649"/>
    </w:p>
    <w:p w14:paraId="5A4BC860">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采购人或采购代理机构自中标人确定之日起2个工作日内，</w:t>
      </w:r>
      <w:r>
        <w:rPr>
          <w:rFonts w:hint="eastAsia" w:ascii="宋体" w:hAnsi="宋体" w:eastAsia="宋体" w:cs="宋体"/>
          <w:color w:val="auto"/>
          <w:kern w:val="0"/>
          <w:sz w:val="24"/>
        </w:rPr>
        <w:t>在北京市政府采购网公告中标结果</w:t>
      </w:r>
      <w:r>
        <w:rPr>
          <w:rFonts w:hint="eastAsia" w:ascii="宋体" w:hAnsi="宋体" w:eastAsia="宋体" w:cs="宋体"/>
          <w:color w:val="auto"/>
          <w:sz w:val="24"/>
        </w:rPr>
        <w:t>，同时向中标人发出中标通知书，中标公告期限为1个工作日。</w:t>
      </w:r>
    </w:p>
    <w:p w14:paraId="39C1F74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中标通知书对采购人和中标供应商均具有法律效力。中标通知书发出后，采购人改变中标结果的，或者中标供应商放弃中标项目的，应当依法承担法律责任。</w:t>
      </w:r>
    </w:p>
    <w:p w14:paraId="32DE9C4E">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废标</w:t>
      </w:r>
    </w:p>
    <w:p w14:paraId="45AF61C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在招标采购中，出现下列情形之一的，应予废标：</w:t>
      </w:r>
    </w:p>
    <w:p w14:paraId="2EAEB643">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符合专业条件的供应商或者对招标文件作实质响应的供应商不足三家的；</w:t>
      </w:r>
    </w:p>
    <w:p w14:paraId="5D1AAA0C">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出现影响采购公正的违法、违规行为的；</w:t>
      </w:r>
    </w:p>
    <w:p w14:paraId="17546ABB">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投标人的报价均超过了采购预算，采购人不能支付的；</w:t>
      </w:r>
    </w:p>
    <w:p w14:paraId="44BF6D56">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因重大变故，采购任务取消的。</w:t>
      </w:r>
    </w:p>
    <w:p w14:paraId="52C1BFCB">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71CA3028">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bookmarkStart w:id="680" w:name="_Toc150480788"/>
      <w:bookmarkStart w:id="681" w:name="_Toc265228388"/>
      <w:bookmarkStart w:id="682" w:name="_Ref467307204"/>
      <w:bookmarkStart w:id="683" w:name="_Toc226965740"/>
      <w:bookmarkStart w:id="684" w:name="_Toc305158892"/>
      <w:bookmarkStart w:id="685" w:name="_Toc151193864"/>
      <w:bookmarkStart w:id="686" w:name="_Toc264969240"/>
      <w:bookmarkStart w:id="687" w:name="_Toc164229245"/>
      <w:bookmarkStart w:id="688" w:name="_Toc305158818"/>
      <w:bookmarkStart w:id="689" w:name="_Toc127161464"/>
      <w:bookmarkStart w:id="690" w:name="_Toc151190177"/>
      <w:bookmarkStart w:id="691" w:name="_Toc164351644"/>
      <w:bookmarkStart w:id="692" w:name="_Toc127151751"/>
      <w:bookmarkStart w:id="693" w:name="_Toc151193720"/>
      <w:bookmarkStart w:id="694" w:name="_Toc127151550"/>
      <w:bookmarkStart w:id="695" w:name="_Ref467306377"/>
      <w:bookmarkStart w:id="696" w:name="_Toc226337246"/>
      <w:bookmarkStart w:id="697" w:name="_Ref467307062"/>
      <w:bookmarkStart w:id="698" w:name="_Toc151193792"/>
      <w:bookmarkStart w:id="699" w:name="_Toc150774650"/>
      <w:bookmarkStart w:id="700" w:name="_Toc150774755"/>
      <w:bookmarkStart w:id="701" w:name="_Toc149720843"/>
      <w:bookmarkStart w:id="702" w:name="_Toc226965823"/>
      <w:bookmarkStart w:id="703" w:name="_Toc164229391"/>
      <w:bookmarkStart w:id="704" w:name="_Toc195842915"/>
      <w:bookmarkStart w:id="705" w:name="_Toc226309794"/>
      <w:bookmarkStart w:id="706" w:name="_Toc164608819"/>
      <w:bookmarkStart w:id="707" w:name="_Toc151193938"/>
      <w:bookmarkStart w:id="708" w:name="_Toc520356175"/>
      <w:bookmarkStart w:id="709" w:name="_Toc164608664"/>
      <w:bookmarkStart w:id="710" w:name="_Toc151193648"/>
      <w:bookmarkStart w:id="711" w:name="_Toc150509301"/>
      <w:bookmarkStart w:id="712" w:name="_Ref467306978"/>
      <w:bookmarkStart w:id="713" w:name="_Toc142311052"/>
      <w:r>
        <w:rPr>
          <w:rFonts w:hint="eastAsia" w:ascii="宋体" w:hAnsi="宋体" w:eastAsia="宋体" w:cs="宋体"/>
          <w:color w:val="auto"/>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0E06020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中标人、采购人应当自中标通知书发出之日起30日内，按照招标文件和中标人投标文件的规定签订书面合同。所签订的合同不得对招标文件确定的事项和中标人投标文件作实质性修改。</w:t>
      </w:r>
    </w:p>
    <w:p w14:paraId="1C7D7CC6">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中标人拒绝与采购人签订合同的，采购人可以按照评标报告推荐的中标候选人名单排序，确定下一候选人为中标人，也可以重新开展政府采购活动。</w:t>
      </w:r>
    </w:p>
    <w:p w14:paraId="7DB40C37">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联合体中标的，联合体各方应当共同与采购人签订合同，就采购合同约定的事项向采购人承担连带责任。</w:t>
      </w:r>
    </w:p>
    <w:p w14:paraId="1C5BAEB2">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政府采购合同不能转包。</w:t>
      </w:r>
    </w:p>
    <w:p w14:paraId="23A19DDB">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color w:val="auto"/>
          <w:sz w:val="24"/>
        </w:rPr>
        <w:t>，</w:t>
      </w:r>
      <w:r>
        <w:rPr>
          <w:rFonts w:hint="eastAsia" w:ascii="宋体" w:hAnsi="宋体" w:eastAsia="宋体" w:cs="宋体"/>
          <w:color w:val="auto"/>
          <w:sz w:val="24"/>
        </w:rPr>
        <w:t>否则</w:t>
      </w:r>
      <w:r>
        <w:rPr>
          <w:rFonts w:hint="eastAsia" w:ascii="宋体" w:hAnsi="宋体" w:eastAsia="宋体" w:cs="宋体"/>
          <w:b/>
          <w:color w:val="auto"/>
          <w:sz w:val="24"/>
        </w:rPr>
        <w:t>投标无效</w:t>
      </w:r>
      <w:r>
        <w:rPr>
          <w:rFonts w:hint="eastAsia" w:ascii="宋体" w:hAnsi="宋体" w:eastAsia="宋体" w:cs="宋体"/>
          <w:color w:val="auto"/>
          <w:sz w:val="24"/>
        </w:rPr>
        <w:t>。中标人就采购项目和分包项目向采购人负责，分包供应商就分包项目承担责任。</w:t>
      </w:r>
    </w:p>
    <w:p w14:paraId="2A5B79C7">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“政采贷”融资指引：详见《投标人须知资料表》。</w:t>
      </w:r>
    </w:p>
    <w:bookmarkEnd w:id="677"/>
    <w:bookmarkEnd w:id="678"/>
    <w:bookmarkEnd w:id="679"/>
    <w:p w14:paraId="1F42D18F">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询问与质疑</w:t>
      </w:r>
    </w:p>
    <w:p w14:paraId="5A4ABC01">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询问</w:t>
      </w:r>
    </w:p>
    <w:p w14:paraId="536AFEDC">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bookmarkStart w:id="714" w:name="_Hlk179293370"/>
      <w:r>
        <w:rPr>
          <w:rFonts w:hint="eastAsia" w:ascii="宋体" w:hAnsi="宋体" w:eastAsia="宋体" w:cs="宋体"/>
          <w:color w:val="auto"/>
          <w:sz w:val="24"/>
        </w:rPr>
        <w:t>投标人对政府采购活动事项有疑问的，可依法向采购人或采购代理机构提出询问，提出形式见《投标人须知资料表》。</w:t>
      </w:r>
      <w:bookmarkEnd w:id="714"/>
    </w:p>
    <w:p w14:paraId="7036C134">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采购人或采购代理机构对供应商依法提出的询问，在3个工作日内作出答复，但答复的内容不得涉及商业秘密。</w:t>
      </w:r>
    </w:p>
    <w:p w14:paraId="425C7FD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质疑</w:t>
      </w:r>
    </w:p>
    <w:p w14:paraId="5691D8E2">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B84D70C">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3BAA85C">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6A3148F">
      <w:pPr>
        <w:pageBreakBefore w:val="0"/>
        <w:widowControl w:val="0"/>
        <w:numPr>
          <w:ilvl w:val="2"/>
          <w:numId w:val="9"/>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投标人应在法定质疑期内一次性提出针对同一采购程序环节的质疑，法定质疑期内针对同一采购程序环节再次提出的质疑，采购人、采购代理机构有权不予答复。</w:t>
      </w:r>
    </w:p>
    <w:p w14:paraId="623A57BD">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接收询问和质疑的联系部门、联系电话和通讯地址见《投标人须知资料表》。</w:t>
      </w:r>
    </w:p>
    <w:p w14:paraId="3C81C97D">
      <w:pPr>
        <w:pageBreakBefore w:val="0"/>
        <w:widowControl w:val="0"/>
        <w:numPr>
          <w:ilvl w:val="0"/>
          <w:numId w:val="9"/>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代理费</w:t>
      </w:r>
    </w:p>
    <w:p w14:paraId="096C1E83">
      <w:pPr>
        <w:pageBreakBefore w:val="0"/>
        <w:widowControl w:val="0"/>
        <w:numPr>
          <w:ilvl w:val="1"/>
          <w:numId w:val="9"/>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r>
        <w:rPr>
          <w:rFonts w:hint="eastAsia" w:ascii="宋体" w:hAnsi="宋体" w:eastAsia="宋体" w:cs="宋体"/>
          <w:color w:val="auto"/>
          <w:sz w:val="24"/>
        </w:rPr>
        <w:t>收费对象、收费标准及缴纳时间见《投标人须知资料表》。由中标人支付的，中标人须一次性向采购代理机构缴纳代理费，投标报价应包含代理费用。</w:t>
      </w:r>
    </w:p>
    <w:p w14:paraId="35C7363D">
      <w:pPr>
        <w:pageBreakBefore w:val="0"/>
        <w:widowControl w:val="0"/>
        <w:tabs>
          <w:tab w:val="left" w:pos="36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rPr>
      </w:pPr>
    </w:p>
    <w:p w14:paraId="51844230">
      <w:pPr>
        <w:pageBreakBefore w:val="0"/>
        <w:widowControl w:val="0"/>
        <w:kinsoku/>
        <w:wordWrap/>
        <w:overflowPunct/>
        <w:topLinePunct w:val="0"/>
        <w:bidi w:val="0"/>
        <w:spacing w:line="360" w:lineRule="auto"/>
        <w:ind w:left="0" w:leftChars="0" w:firstLine="0"/>
        <w:jc w:val="center"/>
        <w:textAlignment w:val="auto"/>
        <w:outlineLvl w:val="0"/>
        <w:rPr>
          <w:rFonts w:hint="eastAsia" w:ascii="宋体" w:hAnsi="宋体" w:eastAsia="宋体" w:cs="宋体"/>
          <w:b/>
          <w:color w:val="auto"/>
          <w:sz w:val="36"/>
          <w:szCs w:val="36"/>
        </w:rPr>
      </w:pPr>
      <w:bookmarkStart w:id="715" w:name="_Toc226965827"/>
      <w:bookmarkStart w:id="716" w:name="_Toc150774759"/>
      <w:bookmarkStart w:id="717" w:name="_Toc353873664"/>
      <w:bookmarkStart w:id="718" w:name="_Toc127151554"/>
      <w:bookmarkStart w:id="719" w:name="_Toc305158896"/>
      <w:bookmarkStart w:id="720" w:name="_Toc142311056"/>
      <w:bookmarkStart w:id="721" w:name="_Toc150480792"/>
      <w:bookmarkStart w:id="722" w:name="_Toc353825544"/>
      <w:bookmarkStart w:id="723" w:name="_Toc264969244"/>
      <w:bookmarkStart w:id="724" w:name="_Toc265228392"/>
      <w:bookmarkStart w:id="725" w:name="_Toc226337250"/>
      <w:bookmarkStart w:id="726" w:name="_Toc353873934"/>
      <w:bookmarkStart w:id="727" w:name="_Toc305158822"/>
      <w:r>
        <w:rPr>
          <w:rFonts w:hint="eastAsia" w:ascii="宋体" w:hAnsi="宋体" w:eastAsia="宋体" w:cs="宋体"/>
          <w:color w:val="auto"/>
          <w:sz w:val="24"/>
        </w:rPr>
        <w:br w:type="page"/>
      </w:r>
      <w:bookmarkStart w:id="728" w:name="_Toc99301421"/>
      <w:r>
        <w:rPr>
          <w:rFonts w:hint="eastAsia" w:ascii="宋体" w:hAnsi="宋体" w:eastAsia="宋体" w:cs="宋体"/>
          <w:b/>
          <w:color w:val="auto"/>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eastAsia" w:ascii="宋体" w:hAnsi="宋体" w:eastAsia="宋体" w:cs="宋体"/>
          <w:b/>
          <w:color w:val="auto"/>
          <w:sz w:val="36"/>
          <w:szCs w:val="36"/>
        </w:rPr>
        <w:t>资格审查</w:t>
      </w:r>
      <w:bookmarkEnd w:id="728"/>
      <w:bookmarkStart w:id="729" w:name="_Toc487900382"/>
    </w:p>
    <w:p w14:paraId="59EA5FC4">
      <w:pPr>
        <w:pageBreakBefore w:val="0"/>
        <w:widowControl w:val="0"/>
        <w:tabs>
          <w:tab w:val="left" w:pos="360"/>
          <w:tab w:val="left" w:pos="900"/>
        </w:tabs>
        <w:kinsoku/>
        <w:wordWrap/>
        <w:overflowPunct/>
        <w:topLinePunct w:val="0"/>
        <w:bidi w:val="0"/>
        <w:snapToGrid w:val="0"/>
        <w:spacing w:line="360" w:lineRule="auto"/>
        <w:ind w:left="0" w:leftChars="0" w:firstLine="0"/>
        <w:jc w:val="center"/>
        <w:textAlignment w:val="auto"/>
        <w:outlineLvl w:val="1"/>
        <w:rPr>
          <w:rFonts w:hint="eastAsia" w:ascii="宋体" w:hAnsi="宋体" w:eastAsia="宋体" w:cs="宋体"/>
          <w:b/>
          <w:color w:val="auto"/>
          <w:sz w:val="24"/>
        </w:rPr>
      </w:pPr>
      <w:bookmarkStart w:id="730" w:name="_Toc99301422"/>
      <w:r>
        <w:rPr>
          <w:rFonts w:hint="eastAsia" w:ascii="宋体" w:hAnsi="宋体" w:eastAsia="宋体" w:cs="宋体"/>
          <w:b/>
          <w:color w:val="auto"/>
          <w:sz w:val="24"/>
        </w:rPr>
        <w:t>一、资格审查程序</w:t>
      </w:r>
      <w:bookmarkEnd w:id="730"/>
    </w:p>
    <w:p w14:paraId="3538BD98">
      <w:pPr>
        <w:pageBreakBefore w:val="0"/>
        <w:widowControl w:val="0"/>
        <w:numPr>
          <w:ilvl w:val="0"/>
          <w:numId w:val="12"/>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开标结束后，采购人或采购代理机构将根据《资格审查要求》中的规定，对投标人进行资格审查，并形成资格审查结果。</w:t>
      </w:r>
    </w:p>
    <w:p w14:paraId="110CD692">
      <w:pPr>
        <w:pageBreakBefore w:val="0"/>
        <w:widowControl w:val="0"/>
        <w:numPr>
          <w:ilvl w:val="0"/>
          <w:numId w:val="12"/>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《资格审查要求》中对格式有要求的，除招标文件另有规定外，均为“实质性格式”文件。</w:t>
      </w:r>
    </w:p>
    <w:p w14:paraId="40DAB6C3">
      <w:pPr>
        <w:pageBreakBefore w:val="0"/>
        <w:widowControl w:val="0"/>
        <w:numPr>
          <w:ilvl w:val="0"/>
          <w:numId w:val="12"/>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投标人《资格证明文件》有任何一项不符合《资格审查要求》的，资格审查不合格，其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41E56EDA">
      <w:pPr>
        <w:pageBreakBefore w:val="0"/>
        <w:widowControl w:val="0"/>
        <w:numPr>
          <w:ilvl w:val="0"/>
          <w:numId w:val="12"/>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rPr>
      </w:pPr>
      <w:r>
        <w:rPr>
          <w:rFonts w:hint="eastAsia" w:ascii="宋体" w:hAnsi="宋体" w:eastAsia="宋体" w:cs="宋体"/>
          <w:color w:val="auto"/>
          <w:sz w:val="24"/>
        </w:rPr>
        <w:t>资格审查合格的投标人不足3家的，不进行评标。</w:t>
      </w:r>
    </w:p>
    <w:p w14:paraId="3B5D31FB">
      <w:pPr>
        <w:widowControl/>
        <w:jc w:val="left"/>
        <w:rPr>
          <w:rFonts w:hint="eastAsia" w:ascii="宋体" w:hAnsi="宋体" w:eastAsia="宋体" w:cs="宋体"/>
          <w:color w:val="auto"/>
          <w:sz w:val="24"/>
        </w:rPr>
      </w:pPr>
    </w:p>
    <w:p w14:paraId="73246B82">
      <w:pPr>
        <w:tabs>
          <w:tab w:val="left" w:pos="360"/>
          <w:tab w:val="left" w:pos="900"/>
        </w:tabs>
        <w:snapToGrid w:val="0"/>
        <w:spacing w:line="360" w:lineRule="auto"/>
        <w:jc w:val="center"/>
        <w:outlineLvl w:val="1"/>
        <w:rPr>
          <w:rFonts w:hint="eastAsia" w:ascii="宋体" w:hAnsi="宋体" w:eastAsia="宋体" w:cs="宋体"/>
          <w:b/>
          <w:color w:val="auto"/>
          <w:sz w:val="24"/>
        </w:rPr>
      </w:pPr>
      <w:bookmarkStart w:id="731" w:name="_Hlk143693557"/>
      <w:r>
        <w:rPr>
          <w:rFonts w:hint="eastAsia" w:ascii="宋体" w:hAnsi="宋体" w:eastAsia="宋体" w:cs="宋体"/>
          <w:b/>
          <w:color w:val="auto"/>
          <w:sz w:val="24"/>
        </w:rPr>
        <w:t>二、资格审查要求</w:t>
      </w:r>
      <w:bookmarkEnd w:id="731"/>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6A5F0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5CCBFC1">
            <w:pPr>
              <w:tabs>
                <w:tab w:val="left" w:pos="1080"/>
              </w:tabs>
              <w:snapToGrid w:val="0"/>
              <w:jc w:val="center"/>
              <w:rPr>
                <w:rFonts w:hint="eastAsia" w:ascii="宋体" w:hAnsi="宋体" w:eastAsia="宋体" w:cs="宋体"/>
                <w:b/>
                <w:color w:val="auto"/>
                <w:sz w:val="24"/>
              </w:rPr>
            </w:pPr>
            <w:bookmarkStart w:id="732" w:name="_Hlt487972895"/>
            <w:bookmarkEnd w:id="732"/>
            <w:bookmarkStart w:id="733" w:name="_Hlk143693460"/>
            <w:r>
              <w:rPr>
                <w:rFonts w:hint="eastAsia" w:ascii="宋体" w:hAnsi="宋体" w:eastAsia="宋体" w:cs="宋体"/>
                <w:b/>
                <w:color w:val="auto"/>
                <w:sz w:val="24"/>
              </w:rPr>
              <w:t>序号</w:t>
            </w:r>
          </w:p>
        </w:tc>
        <w:tc>
          <w:tcPr>
            <w:tcW w:w="1067" w:type="pct"/>
            <w:vAlign w:val="center"/>
          </w:tcPr>
          <w:p w14:paraId="2196C7DF">
            <w:pPr>
              <w:tabs>
                <w:tab w:val="left" w:pos="1080"/>
              </w:tabs>
              <w:snapToGrid w:val="0"/>
              <w:jc w:val="center"/>
              <w:rPr>
                <w:rFonts w:hint="eastAsia" w:ascii="宋体" w:hAnsi="宋体" w:eastAsia="宋体" w:cs="宋体"/>
                <w:b/>
                <w:color w:val="auto"/>
                <w:sz w:val="24"/>
              </w:rPr>
            </w:pPr>
            <w:r>
              <w:rPr>
                <w:rFonts w:hint="eastAsia" w:ascii="宋体" w:hAnsi="宋体" w:eastAsia="宋体" w:cs="宋体"/>
                <w:b/>
                <w:color w:val="auto"/>
                <w:sz w:val="24"/>
              </w:rPr>
              <w:t>审查因素</w:t>
            </w:r>
          </w:p>
        </w:tc>
        <w:tc>
          <w:tcPr>
            <w:tcW w:w="2596" w:type="pct"/>
            <w:vAlign w:val="center"/>
          </w:tcPr>
          <w:p w14:paraId="61848C48">
            <w:pPr>
              <w:tabs>
                <w:tab w:val="left" w:pos="1080"/>
              </w:tabs>
              <w:snapToGrid w:val="0"/>
              <w:jc w:val="center"/>
              <w:rPr>
                <w:rFonts w:hint="eastAsia" w:ascii="宋体" w:hAnsi="宋体" w:eastAsia="宋体" w:cs="宋体"/>
                <w:b/>
                <w:color w:val="auto"/>
                <w:sz w:val="24"/>
              </w:rPr>
            </w:pPr>
            <w:r>
              <w:rPr>
                <w:rFonts w:hint="eastAsia" w:ascii="宋体" w:hAnsi="宋体" w:eastAsia="宋体" w:cs="宋体"/>
                <w:b/>
                <w:color w:val="auto"/>
                <w:sz w:val="24"/>
              </w:rPr>
              <w:t>审查内容</w:t>
            </w:r>
          </w:p>
        </w:tc>
        <w:tc>
          <w:tcPr>
            <w:tcW w:w="882" w:type="pct"/>
            <w:vAlign w:val="center"/>
          </w:tcPr>
          <w:p w14:paraId="6A8766E8">
            <w:pPr>
              <w:tabs>
                <w:tab w:val="left" w:pos="1080"/>
              </w:tabs>
              <w:snapToGrid w:val="0"/>
              <w:jc w:val="center"/>
              <w:rPr>
                <w:rFonts w:hint="eastAsia" w:ascii="宋体" w:hAnsi="宋体" w:eastAsia="宋体" w:cs="宋体"/>
                <w:b/>
                <w:color w:val="auto"/>
                <w:sz w:val="24"/>
              </w:rPr>
            </w:pPr>
            <w:r>
              <w:rPr>
                <w:rFonts w:hint="eastAsia" w:ascii="宋体" w:hAnsi="宋体" w:eastAsia="宋体" w:cs="宋体"/>
                <w:b/>
                <w:color w:val="auto"/>
                <w:sz w:val="24"/>
              </w:rPr>
              <w:t>格式要求</w:t>
            </w:r>
          </w:p>
        </w:tc>
      </w:tr>
      <w:tr w14:paraId="34E12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07FF2B7">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1</w:t>
            </w:r>
          </w:p>
        </w:tc>
        <w:tc>
          <w:tcPr>
            <w:tcW w:w="1067" w:type="pct"/>
            <w:vAlign w:val="center"/>
          </w:tcPr>
          <w:p w14:paraId="0999FD14">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满足《中华人民共和国政府采购法》第二十二条规定</w:t>
            </w:r>
          </w:p>
        </w:tc>
        <w:tc>
          <w:tcPr>
            <w:tcW w:w="2596" w:type="pct"/>
            <w:vAlign w:val="center"/>
          </w:tcPr>
          <w:p w14:paraId="2540B93A">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具体规定见第一章《投标邀请》</w:t>
            </w:r>
          </w:p>
        </w:tc>
        <w:tc>
          <w:tcPr>
            <w:tcW w:w="882" w:type="pct"/>
            <w:vAlign w:val="center"/>
          </w:tcPr>
          <w:p w14:paraId="063E93FC">
            <w:pPr>
              <w:tabs>
                <w:tab w:val="left" w:pos="1080"/>
              </w:tabs>
              <w:snapToGrid w:val="0"/>
              <w:rPr>
                <w:rFonts w:hint="eastAsia" w:ascii="宋体" w:hAnsi="宋体" w:eastAsia="宋体" w:cs="宋体"/>
                <w:color w:val="auto"/>
                <w:sz w:val="24"/>
              </w:rPr>
            </w:pPr>
          </w:p>
        </w:tc>
      </w:tr>
      <w:tr w14:paraId="78C5E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470E97F">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1-1</w:t>
            </w:r>
          </w:p>
        </w:tc>
        <w:tc>
          <w:tcPr>
            <w:tcW w:w="1067" w:type="pct"/>
            <w:vAlign w:val="center"/>
          </w:tcPr>
          <w:p w14:paraId="73383962">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营业执照等证明文件</w:t>
            </w:r>
          </w:p>
        </w:tc>
        <w:tc>
          <w:tcPr>
            <w:tcW w:w="2596" w:type="pct"/>
            <w:vAlign w:val="center"/>
          </w:tcPr>
          <w:p w14:paraId="7B30E5BD">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投标人为企业（包括合伙企业）的，应提供有效的“营业执照”；</w:t>
            </w:r>
          </w:p>
          <w:p w14:paraId="660DBB59">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投标人为事业单位的，应提供有效的“事业单位法人证书”；</w:t>
            </w:r>
          </w:p>
          <w:p w14:paraId="22F82E73">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投标人是非企业机构的，应提供有效的“执业许可证”、“登记证书”等证明文件；</w:t>
            </w:r>
          </w:p>
          <w:p w14:paraId="2F74BC22">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投标人是个体工商户的，应提供有效的“个体工商户营业执照”；</w:t>
            </w:r>
          </w:p>
          <w:p w14:paraId="3BCE2533">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投标人是自然人的，应提供有效的自然人身份证明。</w:t>
            </w:r>
          </w:p>
          <w:p w14:paraId="236FF566">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color w:val="auto"/>
                <w:sz w:val="24"/>
              </w:rPr>
              <w:t>银行、保险、石油石化、电力、电信等行业的分支机构，可以提供上述</w:t>
            </w:r>
            <w:r>
              <w:rPr>
                <w:rFonts w:hint="eastAsia" w:ascii="宋体" w:hAnsi="宋体" w:eastAsia="宋体" w:cs="宋体"/>
                <w:color w:val="auto"/>
                <w:sz w:val="24"/>
              </w:rPr>
              <w:t>授权，也可以提供其所属法人/其他组织的有关文件或制度等能够证明授权其独立开展业务的证明材料。</w:t>
            </w:r>
          </w:p>
        </w:tc>
        <w:tc>
          <w:tcPr>
            <w:tcW w:w="882" w:type="pct"/>
            <w:vAlign w:val="center"/>
          </w:tcPr>
          <w:p w14:paraId="542AB750">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提供证明文件的电子件或电子证照</w:t>
            </w:r>
          </w:p>
        </w:tc>
      </w:tr>
      <w:tr w14:paraId="0383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322216">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1-2</w:t>
            </w:r>
          </w:p>
        </w:tc>
        <w:tc>
          <w:tcPr>
            <w:tcW w:w="1067" w:type="pct"/>
            <w:vAlign w:val="center"/>
          </w:tcPr>
          <w:p w14:paraId="456514E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投标人资格声明书</w:t>
            </w:r>
          </w:p>
        </w:tc>
        <w:tc>
          <w:tcPr>
            <w:tcW w:w="2596" w:type="pct"/>
            <w:vAlign w:val="center"/>
          </w:tcPr>
          <w:p w14:paraId="13C0FF4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提供了符合招标文件要求的《投标人资格声明书》。</w:t>
            </w:r>
          </w:p>
        </w:tc>
        <w:tc>
          <w:tcPr>
            <w:tcW w:w="882" w:type="pct"/>
            <w:vAlign w:val="center"/>
          </w:tcPr>
          <w:p w14:paraId="25AE761F">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格式见《投标文件格式》</w:t>
            </w:r>
          </w:p>
        </w:tc>
      </w:tr>
      <w:tr w14:paraId="716CA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0A05B9">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1-3</w:t>
            </w:r>
          </w:p>
        </w:tc>
        <w:tc>
          <w:tcPr>
            <w:tcW w:w="1067" w:type="pct"/>
            <w:vAlign w:val="center"/>
          </w:tcPr>
          <w:p w14:paraId="42A1C731">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投标人信用记录</w:t>
            </w:r>
          </w:p>
        </w:tc>
        <w:tc>
          <w:tcPr>
            <w:tcW w:w="2596" w:type="pct"/>
            <w:vAlign w:val="center"/>
          </w:tcPr>
          <w:p w14:paraId="2A60FBC2">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查询渠道：信用中国网站和中国政府采购网（</w:t>
            </w:r>
            <w:r>
              <w:rPr>
                <w:rFonts w:hint="eastAsia" w:ascii="宋体" w:hAnsi="宋体" w:eastAsia="宋体" w:cs="宋体"/>
                <w:color w:val="auto"/>
              </w:rPr>
              <w:t>www.creditchina.gov.cn</w:t>
            </w:r>
            <w:r>
              <w:rPr>
                <w:rFonts w:hint="eastAsia" w:ascii="宋体" w:hAnsi="宋体" w:eastAsia="宋体" w:cs="宋体"/>
                <w:color w:val="auto"/>
                <w:sz w:val="24"/>
              </w:rPr>
              <w:t>、</w:t>
            </w:r>
            <w:r>
              <w:rPr>
                <w:rFonts w:hint="eastAsia" w:ascii="宋体" w:hAnsi="宋体" w:eastAsia="宋体" w:cs="宋体"/>
                <w:color w:val="auto"/>
              </w:rPr>
              <w:t>www.ccgp.gov.cn</w:t>
            </w:r>
            <w:r>
              <w:rPr>
                <w:rFonts w:hint="eastAsia" w:ascii="宋体" w:hAnsi="宋体" w:eastAsia="宋体" w:cs="宋体"/>
                <w:color w:val="auto"/>
                <w:sz w:val="24"/>
              </w:rPr>
              <w:t>）；</w:t>
            </w:r>
          </w:p>
          <w:p w14:paraId="3648296F">
            <w:pPr>
              <w:tabs>
                <w:tab w:val="left" w:pos="900"/>
                <w:tab w:val="left" w:pos="1980"/>
              </w:tabs>
              <w:snapToGrid w:val="0"/>
              <w:rPr>
                <w:rFonts w:hint="eastAsia" w:ascii="宋体" w:hAnsi="宋体" w:eastAsia="宋体" w:cs="宋体"/>
                <w:color w:val="auto"/>
                <w:sz w:val="24"/>
              </w:rPr>
            </w:pPr>
            <w:r>
              <w:rPr>
                <w:rFonts w:hint="eastAsia" w:ascii="宋体" w:hAnsi="宋体" w:eastAsia="宋体" w:cs="宋体"/>
                <w:color w:val="auto"/>
                <w:sz w:val="24"/>
              </w:rPr>
              <w:t>截止时点：投标截止时间以后、资格审查阶段采购人或采购代理机构的实际查询时间；</w:t>
            </w:r>
          </w:p>
          <w:p w14:paraId="035A6BF9">
            <w:pPr>
              <w:tabs>
                <w:tab w:val="left" w:pos="900"/>
                <w:tab w:val="left" w:pos="1980"/>
              </w:tabs>
              <w:snapToGrid w:val="0"/>
              <w:rPr>
                <w:rFonts w:hint="eastAsia" w:ascii="宋体" w:hAnsi="宋体" w:eastAsia="宋体" w:cs="宋体"/>
                <w:color w:val="auto"/>
                <w:sz w:val="24"/>
              </w:rPr>
            </w:pPr>
            <w:r>
              <w:rPr>
                <w:rFonts w:hint="eastAsia" w:ascii="宋体" w:hAnsi="宋体" w:eastAsia="宋体" w:cs="宋体"/>
                <w:color w:val="auto"/>
                <w:sz w:val="24"/>
              </w:rPr>
              <w:t>信用信息查询记录和证据留存具体方式：查询结果网页打印页作为查询记录和证据，与其他采购文件一并保存；</w:t>
            </w:r>
          </w:p>
          <w:p w14:paraId="7867A24A">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信用信息的使用原则：经认定的被列入失信被执行人、重大税收违法案件当事人名单、政府采购严重违法失信行为记录名单的投标人，其</w:t>
            </w:r>
            <w:r>
              <w:rPr>
                <w:rFonts w:hint="eastAsia" w:ascii="宋体" w:hAnsi="宋体" w:eastAsia="宋体" w:cs="宋体"/>
                <w:b/>
                <w:color w:val="auto"/>
                <w:sz w:val="24"/>
              </w:rPr>
              <w:t>投标无效</w:t>
            </w:r>
            <w:r>
              <w:rPr>
                <w:rFonts w:hint="eastAsia" w:ascii="宋体" w:hAnsi="宋体" w:eastAsia="宋体" w:cs="宋体"/>
                <w:color w:val="auto"/>
                <w:sz w:val="24"/>
              </w:rPr>
              <w:t>。联合体形式投标的，联合体成员存在不良信用记录，视同联合体存在不良信用记录。</w:t>
            </w:r>
          </w:p>
        </w:tc>
        <w:tc>
          <w:tcPr>
            <w:tcW w:w="882" w:type="pct"/>
            <w:vAlign w:val="center"/>
          </w:tcPr>
          <w:p w14:paraId="3C764601">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无须投标人提供，由采购人或采购代理机构查询。</w:t>
            </w:r>
          </w:p>
        </w:tc>
      </w:tr>
      <w:tr w14:paraId="71A49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457DCD4">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1-4</w:t>
            </w:r>
          </w:p>
        </w:tc>
        <w:tc>
          <w:tcPr>
            <w:tcW w:w="1067" w:type="pct"/>
            <w:vAlign w:val="center"/>
          </w:tcPr>
          <w:p w14:paraId="7F09D755">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法律、行政法规规定的其他条件</w:t>
            </w:r>
          </w:p>
        </w:tc>
        <w:tc>
          <w:tcPr>
            <w:tcW w:w="2596" w:type="pct"/>
            <w:vAlign w:val="center"/>
          </w:tcPr>
          <w:p w14:paraId="29E8C345">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法律、行政法规规定的其他条件</w:t>
            </w:r>
          </w:p>
        </w:tc>
        <w:tc>
          <w:tcPr>
            <w:tcW w:w="882" w:type="pct"/>
            <w:vAlign w:val="center"/>
          </w:tcPr>
          <w:p w14:paraId="1DDC20E0">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w:t>
            </w:r>
          </w:p>
        </w:tc>
      </w:tr>
      <w:tr w14:paraId="7E05B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2E7B53">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2</w:t>
            </w:r>
          </w:p>
        </w:tc>
        <w:tc>
          <w:tcPr>
            <w:tcW w:w="1067" w:type="pct"/>
            <w:vAlign w:val="center"/>
          </w:tcPr>
          <w:p w14:paraId="426233B9">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落实政府采购政策需满足的资格要求</w:t>
            </w:r>
          </w:p>
        </w:tc>
        <w:tc>
          <w:tcPr>
            <w:tcW w:w="2596" w:type="pct"/>
            <w:vAlign w:val="center"/>
          </w:tcPr>
          <w:p w14:paraId="45CB588B">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具体要求见第一章《投标邀请》</w:t>
            </w:r>
          </w:p>
        </w:tc>
        <w:tc>
          <w:tcPr>
            <w:tcW w:w="882" w:type="pct"/>
            <w:vAlign w:val="center"/>
          </w:tcPr>
          <w:p w14:paraId="30344624">
            <w:pPr>
              <w:tabs>
                <w:tab w:val="left" w:pos="1080"/>
              </w:tabs>
              <w:snapToGrid w:val="0"/>
              <w:rPr>
                <w:rFonts w:hint="eastAsia" w:ascii="宋体" w:hAnsi="宋体" w:eastAsia="宋体" w:cs="宋体"/>
                <w:color w:val="auto"/>
                <w:sz w:val="24"/>
              </w:rPr>
            </w:pPr>
          </w:p>
        </w:tc>
      </w:tr>
      <w:tr w14:paraId="74130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0E5B9C7">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2-1</w:t>
            </w:r>
          </w:p>
        </w:tc>
        <w:tc>
          <w:tcPr>
            <w:tcW w:w="1067" w:type="pct"/>
            <w:vAlign w:val="center"/>
          </w:tcPr>
          <w:p w14:paraId="4718D303">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中小企业政策证明文件</w:t>
            </w:r>
          </w:p>
        </w:tc>
        <w:tc>
          <w:tcPr>
            <w:tcW w:w="2596" w:type="pct"/>
            <w:vAlign w:val="center"/>
          </w:tcPr>
          <w:p w14:paraId="4E96E21F">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具体要求见第一章《投标邀请》</w:t>
            </w:r>
          </w:p>
        </w:tc>
        <w:tc>
          <w:tcPr>
            <w:tcW w:w="882" w:type="pct"/>
            <w:vAlign w:val="center"/>
          </w:tcPr>
          <w:p w14:paraId="7135C7D8">
            <w:pPr>
              <w:tabs>
                <w:tab w:val="left" w:pos="1080"/>
              </w:tabs>
              <w:snapToGrid w:val="0"/>
              <w:rPr>
                <w:rFonts w:hint="eastAsia" w:ascii="宋体" w:hAnsi="宋体" w:eastAsia="宋体" w:cs="宋体"/>
                <w:color w:val="auto"/>
                <w:sz w:val="24"/>
              </w:rPr>
            </w:pPr>
          </w:p>
        </w:tc>
      </w:tr>
      <w:tr w14:paraId="4AD71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990816">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2-1-1</w:t>
            </w:r>
          </w:p>
        </w:tc>
        <w:tc>
          <w:tcPr>
            <w:tcW w:w="1067" w:type="pct"/>
            <w:vAlign w:val="center"/>
          </w:tcPr>
          <w:p w14:paraId="1975CB64">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中小企业证明文件</w:t>
            </w:r>
          </w:p>
        </w:tc>
        <w:tc>
          <w:tcPr>
            <w:tcW w:w="2596" w:type="pct"/>
            <w:vAlign w:val="center"/>
          </w:tcPr>
          <w:p w14:paraId="57018E91">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当本项目（包）涉及预留份额专门面向中小企业采购，此时建议在《资格证明文件》中提供。</w:t>
            </w:r>
          </w:p>
          <w:p w14:paraId="1E147148">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1、投标人单独投标的，应提供《中小企业声明函》或《残疾人福利性单位声明函》或由省级以上监狱管理局、戒毒管理局（含新疆生产建设兵团）出具的属于监狱企业的证明文件。</w:t>
            </w:r>
          </w:p>
          <w:p w14:paraId="788162B0">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8F8B60F">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格式见《投标文件格式》</w:t>
            </w:r>
          </w:p>
        </w:tc>
      </w:tr>
      <w:tr w14:paraId="3D8C4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04C440">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2-1-2</w:t>
            </w:r>
          </w:p>
        </w:tc>
        <w:tc>
          <w:tcPr>
            <w:tcW w:w="1067" w:type="pct"/>
            <w:vAlign w:val="center"/>
          </w:tcPr>
          <w:p w14:paraId="44F92552">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拟分包情况说明及分包意向协议</w:t>
            </w:r>
          </w:p>
        </w:tc>
        <w:tc>
          <w:tcPr>
            <w:tcW w:w="2596" w:type="pct"/>
            <w:vAlign w:val="center"/>
          </w:tcPr>
          <w:p w14:paraId="4DE26CE9">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如本项目（包）要求通过分包措施预留部分采购份额面向中小企业采购、且投标人因落实政府采购政策拟进行分包的，必须提供；否则无须提供。</w:t>
            </w:r>
          </w:p>
          <w:p w14:paraId="68B1FDF0">
            <w:pPr>
              <w:tabs>
                <w:tab w:val="left" w:pos="1080"/>
              </w:tabs>
              <w:snapToGrid w:val="0"/>
              <w:rPr>
                <w:rFonts w:hint="eastAsia" w:ascii="宋体" w:hAnsi="宋体" w:eastAsia="宋体" w:cs="宋体"/>
                <w:b/>
                <w:color w:val="auto"/>
                <w:sz w:val="24"/>
              </w:rPr>
            </w:pPr>
            <w:r>
              <w:rPr>
                <w:rFonts w:hint="eastAsia" w:ascii="宋体" w:hAnsi="宋体" w:eastAsia="宋体" w:cs="宋体"/>
                <w:color w:val="auto"/>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33C0234">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格式见《投标文件格式》</w:t>
            </w:r>
          </w:p>
        </w:tc>
      </w:tr>
      <w:tr w14:paraId="04404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DB2514">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2-2</w:t>
            </w:r>
          </w:p>
        </w:tc>
        <w:tc>
          <w:tcPr>
            <w:tcW w:w="1067" w:type="pct"/>
            <w:vAlign w:val="center"/>
          </w:tcPr>
          <w:p w14:paraId="39AF16E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其它落实政府采购政策的资格要求</w:t>
            </w:r>
          </w:p>
        </w:tc>
        <w:tc>
          <w:tcPr>
            <w:tcW w:w="2596" w:type="pct"/>
            <w:vAlign w:val="center"/>
          </w:tcPr>
          <w:p w14:paraId="0752285D">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如有，见第一章《投标邀请》</w:t>
            </w:r>
          </w:p>
        </w:tc>
        <w:tc>
          <w:tcPr>
            <w:tcW w:w="882" w:type="pct"/>
            <w:vAlign w:val="center"/>
          </w:tcPr>
          <w:p w14:paraId="0AEC362F">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提供证明文件的电子件或电子证照</w:t>
            </w:r>
          </w:p>
        </w:tc>
      </w:tr>
      <w:tr w14:paraId="5D6D8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0AAB68">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3</w:t>
            </w:r>
          </w:p>
        </w:tc>
        <w:tc>
          <w:tcPr>
            <w:tcW w:w="1067" w:type="pct"/>
            <w:vAlign w:val="center"/>
          </w:tcPr>
          <w:p w14:paraId="51B3406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本项目的特定资格要求</w:t>
            </w:r>
          </w:p>
        </w:tc>
        <w:tc>
          <w:tcPr>
            <w:tcW w:w="2596" w:type="pct"/>
            <w:vAlign w:val="center"/>
          </w:tcPr>
          <w:p w14:paraId="5F106CB4">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如有，见第一章《投标邀请》</w:t>
            </w:r>
          </w:p>
        </w:tc>
        <w:tc>
          <w:tcPr>
            <w:tcW w:w="882" w:type="pct"/>
            <w:vAlign w:val="center"/>
          </w:tcPr>
          <w:p w14:paraId="497DBBF3">
            <w:pPr>
              <w:tabs>
                <w:tab w:val="left" w:pos="1080"/>
              </w:tabs>
              <w:snapToGrid w:val="0"/>
              <w:rPr>
                <w:rFonts w:hint="eastAsia" w:ascii="宋体" w:hAnsi="宋体" w:eastAsia="宋体" w:cs="宋体"/>
                <w:color w:val="auto"/>
                <w:sz w:val="24"/>
              </w:rPr>
            </w:pPr>
          </w:p>
        </w:tc>
      </w:tr>
      <w:tr w14:paraId="15CB4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6F6350">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3-1</w:t>
            </w:r>
          </w:p>
        </w:tc>
        <w:tc>
          <w:tcPr>
            <w:tcW w:w="1067" w:type="pct"/>
            <w:vAlign w:val="center"/>
          </w:tcPr>
          <w:p w14:paraId="441D08B9">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本项目对于联合体的要求</w:t>
            </w:r>
          </w:p>
        </w:tc>
        <w:tc>
          <w:tcPr>
            <w:tcW w:w="2596" w:type="pct"/>
            <w:vAlign w:val="center"/>
          </w:tcPr>
          <w:p w14:paraId="7440B87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EA1B8F8">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2、联合体各成员单位均须提供本表中序号1-1、1-2的证明文件。联合体各成员单位均应满足本表3-2项规定。</w:t>
            </w:r>
          </w:p>
          <w:p w14:paraId="1D0B003F">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3、本表序号3-3项规定的其他特定资格要求中的每一小项要求，联合体各方中至少应当有一方符合本表中其他资格要求并提供证明文件。</w:t>
            </w:r>
          </w:p>
          <w:p w14:paraId="7448F820">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4、联合体中有同类资质的供应商按照联合体分工承担相同工作的，应当按照资质等级较低的供应商确定资质等级。</w:t>
            </w:r>
          </w:p>
          <w:p w14:paraId="578AB1A2">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5、以联合体形式参加政府采购活动的，联合体各方不得再单独参加或者与其他供应商另外组成联合体参加同一合同项下的政府采购活动。</w:t>
            </w:r>
          </w:p>
          <w:p w14:paraId="023AC7F6">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6、若联合体中任一成员单位中途退出，则该联合体的</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64701219">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7、本项目不接受联合体投标时，投标人不得为联合体。</w:t>
            </w:r>
          </w:p>
        </w:tc>
        <w:tc>
          <w:tcPr>
            <w:tcW w:w="882" w:type="pct"/>
            <w:vAlign w:val="center"/>
          </w:tcPr>
          <w:p w14:paraId="294EE4B3">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提供《联合协议》原件的电子件</w:t>
            </w:r>
          </w:p>
          <w:p w14:paraId="1317001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格式见《投标文件格式》</w:t>
            </w:r>
          </w:p>
        </w:tc>
      </w:tr>
      <w:tr w14:paraId="1C944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0D412DE">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3-2</w:t>
            </w:r>
          </w:p>
        </w:tc>
        <w:tc>
          <w:tcPr>
            <w:tcW w:w="1067" w:type="pct"/>
            <w:vAlign w:val="center"/>
          </w:tcPr>
          <w:p w14:paraId="3DFB24EB">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政府购买服务承接主体的要求</w:t>
            </w:r>
          </w:p>
        </w:tc>
        <w:tc>
          <w:tcPr>
            <w:tcW w:w="2596" w:type="pct"/>
            <w:vAlign w:val="center"/>
          </w:tcPr>
          <w:p w14:paraId="1AD94C0B">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如本项目属于政府购买服务，投标人不属于公益一类事业单位、使用事业编制且由财政拨款保障的群团组织。</w:t>
            </w:r>
          </w:p>
        </w:tc>
        <w:tc>
          <w:tcPr>
            <w:tcW w:w="882" w:type="pct"/>
            <w:vAlign w:val="center"/>
          </w:tcPr>
          <w:p w14:paraId="35295176">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格式见《投标文件格式》“1-2 投标人资格声明书”</w:t>
            </w:r>
          </w:p>
        </w:tc>
      </w:tr>
      <w:tr w14:paraId="0C7FD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3B9FBA4">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3-3</w:t>
            </w:r>
          </w:p>
        </w:tc>
        <w:tc>
          <w:tcPr>
            <w:tcW w:w="1067" w:type="pct"/>
            <w:vAlign w:val="center"/>
          </w:tcPr>
          <w:p w14:paraId="103C7938">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其他特定资格要求</w:t>
            </w:r>
          </w:p>
        </w:tc>
        <w:tc>
          <w:tcPr>
            <w:tcW w:w="2596" w:type="pct"/>
            <w:vAlign w:val="center"/>
          </w:tcPr>
          <w:p w14:paraId="20C18676">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如有，见第一章《投标邀请》</w:t>
            </w:r>
          </w:p>
          <w:p w14:paraId="35561E14">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注：如联合体中有同类资质的供应商按照联合体分工承担相同工作的，均应当提供资质证书电子件或电子证照。</w:t>
            </w:r>
          </w:p>
        </w:tc>
        <w:tc>
          <w:tcPr>
            <w:tcW w:w="882" w:type="pct"/>
            <w:vAlign w:val="center"/>
          </w:tcPr>
          <w:p w14:paraId="5FD996AC">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提供证明文件的电子件或电子证照</w:t>
            </w:r>
          </w:p>
        </w:tc>
      </w:tr>
      <w:tr w14:paraId="7E426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40E7CE">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4</w:t>
            </w:r>
          </w:p>
        </w:tc>
        <w:tc>
          <w:tcPr>
            <w:tcW w:w="1067" w:type="pct"/>
            <w:vAlign w:val="center"/>
          </w:tcPr>
          <w:p w14:paraId="63561306">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投标保证金</w:t>
            </w:r>
          </w:p>
        </w:tc>
        <w:tc>
          <w:tcPr>
            <w:tcW w:w="2596" w:type="pct"/>
            <w:vAlign w:val="center"/>
          </w:tcPr>
          <w:p w14:paraId="33BCE35A">
            <w:pPr>
              <w:tabs>
                <w:tab w:val="left" w:pos="1080"/>
              </w:tabs>
              <w:snapToGrid w:val="0"/>
              <w:rPr>
                <w:rFonts w:hint="eastAsia" w:ascii="宋体" w:hAnsi="宋体" w:eastAsia="宋体" w:cs="宋体"/>
                <w:color w:val="auto"/>
                <w:sz w:val="24"/>
              </w:rPr>
            </w:pPr>
            <w:r>
              <w:rPr>
                <w:rFonts w:hint="eastAsia" w:ascii="宋体" w:hAnsi="宋体" w:eastAsia="宋体" w:cs="宋体"/>
                <w:color w:val="auto"/>
                <w:kern w:val="0"/>
                <w:sz w:val="24"/>
              </w:rPr>
              <w:t>按照招标文件的规定提交投标保证金。</w:t>
            </w:r>
          </w:p>
        </w:tc>
        <w:tc>
          <w:tcPr>
            <w:tcW w:w="882" w:type="pct"/>
            <w:vAlign w:val="center"/>
          </w:tcPr>
          <w:p w14:paraId="04C1B5CF">
            <w:pPr>
              <w:tabs>
                <w:tab w:val="left" w:pos="1080"/>
              </w:tabs>
              <w:snapToGrid w:val="0"/>
              <w:rPr>
                <w:rFonts w:hint="eastAsia" w:ascii="宋体" w:hAnsi="宋体" w:eastAsia="宋体" w:cs="宋体"/>
                <w:color w:val="auto"/>
                <w:sz w:val="24"/>
              </w:rPr>
            </w:pPr>
          </w:p>
        </w:tc>
      </w:tr>
      <w:tr w14:paraId="4A648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6AEDF3">
            <w:pPr>
              <w:tabs>
                <w:tab w:val="left" w:pos="1080"/>
              </w:tabs>
              <w:snapToGrid w:val="0"/>
              <w:jc w:val="center"/>
              <w:rPr>
                <w:rFonts w:hint="eastAsia" w:ascii="宋体" w:hAnsi="宋体" w:eastAsia="宋体" w:cs="宋体"/>
                <w:color w:val="auto"/>
                <w:sz w:val="24"/>
              </w:rPr>
            </w:pPr>
            <w:r>
              <w:rPr>
                <w:rFonts w:hint="eastAsia" w:ascii="宋体" w:hAnsi="宋体" w:eastAsia="宋体" w:cs="宋体"/>
                <w:color w:val="auto"/>
                <w:sz w:val="24"/>
              </w:rPr>
              <w:t>5</w:t>
            </w:r>
          </w:p>
        </w:tc>
        <w:tc>
          <w:tcPr>
            <w:tcW w:w="1067" w:type="pct"/>
            <w:vAlign w:val="center"/>
          </w:tcPr>
          <w:p w14:paraId="7BA9ECE1">
            <w:pPr>
              <w:tabs>
                <w:tab w:val="left" w:pos="1080"/>
              </w:tabs>
              <w:snapToGrid w:val="0"/>
              <w:rPr>
                <w:rFonts w:hint="eastAsia" w:ascii="宋体" w:hAnsi="宋体" w:eastAsia="宋体" w:cs="宋体"/>
                <w:color w:val="auto"/>
                <w:sz w:val="24"/>
              </w:rPr>
            </w:pPr>
            <w:r>
              <w:rPr>
                <w:rFonts w:hint="eastAsia" w:ascii="宋体" w:hAnsi="宋体" w:eastAsia="宋体" w:cs="宋体"/>
                <w:color w:val="auto"/>
                <w:sz w:val="24"/>
              </w:rPr>
              <w:t>获取招标文件</w:t>
            </w:r>
          </w:p>
        </w:tc>
        <w:tc>
          <w:tcPr>
            <w:tcW w:w="2596" w:type="pct"/>
            <w:vAlign w:val="center"/>
          </w:tcPr>
          <w:p w14:paraId="19895275">
            <w:pPr>
              <w:tabs>
                <w:tab w:val="left" w:pos="1080"/>
              </w:tabs>
              <w:snapToGrid w:val="0"/>
              <w:rPr>
                <w:rFonts w:hint="eastAsia" w:ascii="宋体" w:hAnsi="宋体" w:eastAsia="宋体" w:cs="宋体"/>
                <w:color w:val="auto"/>
                <w:kern w:val="0"/>
                <w:sz w:val="24"/>
              </w:rPr>
            </w:pPr>
            <w:r>
              <w:rPr>
                <w:rFonts w:hint="eastAsia" w:ascii="宋体" w:hAnsi="宋体" w:eastAsia="宋体" w:cs="宋体"/>
                <w:color w:val="auto"/>
                <w:kern w:val="0"/>
                <w:sz w:val="24"/>
              </w:rPr>
              <w:t>在规定期限内通过北京市政府采购电子交易平台获取所参与包的招标文件。</w:t>
            </w:r>
          </w:p>
          <w:p w14:paraId="2488CEBA">
            <w:pPr>
              <w:tabs>
                <w:tab w:val="left" w:pos="1080"/>
              </w:tabs>
              <w:snapToGrid w:val="0"/>
              <w:rPr>
                <w:rFonts w:hint="eastAsia" w:ascii="宋体" w:hAnsi="宋体" w:eastAsia="宋体" w:cs="宋体"/>
                <w:color w:val="auto"/>
                <w:kern w:val="0"/>
                <w:sz w:val="24"/>
              </w:rPr>
            </w:pPr>
            <w:r>
              <w:rPr>
                <w:rFonts w:hint="eastAsia" w:ascii="宋体" w:hAnsi="宋体" w:eastAsia="宋体" w:cs="宋体"/>
                <w:color w:val="auto"/>
                <w:kern w:val="0"/>
                <w:sz w:val="24"/>
              </w:rPr>
              <w:t>注：如本项目接受联合体，且供应商为联合体时，联合体中任一成员获取文件即视为满足要求。</w:t>
            </w:r>
          </w:p>
        </w:tc>
        <w:tc>
          <w:tcPr>
            <w:tcW w:w="882" w:type="pct"/>
            <w:vAlign w:val="center"/>
          </w:tcPr>
          <w:p w14:paraId="6C517F3E">
            <w:pPr>
              <w:tabs>
                <w:tab w:val="left" w:pos="1080"/>
              </w:tabs>
              <w:snapToGrid w:val="0"/>
              <w:rPr>
                <w:rFonts w:hint="eastAsia" w:ascii="宋体" w:hAnsi="宋体" w:eastAsia="宋体" w:cs="宋体"/>
                <w:color w:val="auto"/>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2FCA2D2C">
      <w:pPr>
        <w:widowControl/>
        <w:jc w:val="left"/>
        <w:rPr>
          <w:rFonts w:hint="eastAsia" w:ascii="宋体" w:hAnsi="宋体" w:eastAsia="宋体" w:cs="宋体"/>
          <w:color w:val="auto"/>
          <w:sz w:val="24"/>
        </w:rPr>
      </w:pPr>
      <w:bookmarkStart w:id="734" w:name="_Hlt522424701"/>
      <w:bookmarkEnd w:id="734"/>
      <w:bookmarkStart w:id="735" w:name="_Hlt487900425"/>
      <w:bookmarkEnd w:id="735"/>
      <w:bookmarkStart w:id="736" w:name="_Toc353873940"/>
      <w:bookmarkStart w:id="737" w:name="_Toc127161490"/>
      <w:bookmarkStart w:id="738" w:name="_Toc127151779"/>
      <w:bookmarkStart w:id="739" w:name="_Toc226965858"/>
      <w:bookmarkStart w:id="740" w:name="_Toc353825550"/>
      <w:r>
        <w:rPr>
          <w:rFonts w:hint="eastAsia" w:ascii="宋体" w:hAnsi="宋体" w:eastAsia="宋体" w:cs="宋体"/>
          <w:color w:val="auto"/>
          <w:sz w:val="24"/>
        </w:rPr>
        <w:br w:type="page"/>
      </w:r>
    </w:p>
    <w:p w14:paraId="361F1BB0">
      <w:pPr>
        <w:keepNext w:val="0"/>
        <w:keepLines w:val="0"/>
        <w:pageBreakBefore w:val="0"/>
        <w:kinsoku/>
        <w:wordWrap/>
        <w:overflowPunct/>
        <w:topLinePunct w:val="0"/>
        <w:autoSpaceDE/>
        <w:autoSpaceDN/>
        <w:bidi w:val="0"/>
        <w:spacing w:line="360" w:lineRule="auto"/>
        <w:ind w:left="0" w:leftChars="0" w:firstLine="0" w:firstLineChars="0"/>
        <w:jc w:val="center"/>
        <w:textAlignment w:val="auto"/>
        <w:outlineLvl w:val="0"/>
        <w:rPr>
          <w:rFonts w:hint="eastAsia" w:ascii="宋体" w:hAnsi="宋体" w:eastAsia="宋体" w:cs="宋体"/>
          <w:b/>
          <w:color w:val="auto"/>
          <w:sz w:val="36"/>
          <w:szCs w:val="36"/>
        </w:rPr>
      </w:pPr>
      <w:bookmarkStart w:id="741" w:name="_Toc99301423"/>
      <w:r>
        <w:rPr>
          <w:rFonts w:hint="eastAsia" w:ascii="宋体" w:hAnsi="宋体" w:eastAsia="宋体" w:cs="宋体"/>
          <w:b/>
          <w:color w:val="auto"/>
          <w:sz w:val="36"/>
          <w:szCs w:val="36"/>
        </w:rPr>
        <w:t xml:space="preserve">第四章   </w:t>
      </w:r>
      <w:bookmarkEnd w:id="736"/>
      <w:bookmarkEnd w:id="737"/>
      <w:bookmarkEnd w:id="738"/>
      <w:bookmarkEnd w:id="739"/>
      <w:bookmarkEnd w:id="740"/>
      <w:bookmarkStart w:id="742" w:name="_Hlt164229061"/>
      <w:bookmarkEnd w:id="742"/>
      <w:r>
        <w:rPr>
          <w:rFonts w:hint="eastAsia" w:ascii="宋体" w:hAnsi="宋体" w:eastAsia="宋体" w:cs="宋体"/>
          <w:b/>
          <w:color w:val="auto"/>
          <w:sz w:val="36"/>
          <w:szCs w:val="36"/>
        </w:rPr>
        <w:t>评标程序、评标方法和评标标准</w:t>
      </w:r>
      <w:bookmarkEnd w:id="741"/>
    </w:p>
    <w:p w14:paraId="2308B944">
      <w:pPr>
        <w:keepNext w:val="0"/>
        <w:keepLines w:val="0"/>
        <w:pageBreakBefore w:val="0"/>
        <w:tabs>
          <w:tab w:val="left" w:pos="360"/>
          <w:tab w:val="left" w:pos="900"/>
        </w:tabs>
        <w:kinsoku/>
        <w:wordWrap/>
        <w:overflowPunct/>
        <w:topLinePunct w:val="0"/>
        <w:autoSpaceDE/>
        <w:autoSpaceDN/>
        <w:bidi w:val="0"/>
        <w:snapToGrid w:val="0"/>
        <w:spacing w:line="360" w:lineRule="auto"/>
        <w:ind w:left="0" w:leftChars="0" w:firstLine="0" w:firstLineChars="0"/>
        <w:jc w:val="center"/>
        <w:textAlignment w:val="auto"/>
        <w:outlineLvl w:val="1"/>
        <w:rPr>
          <w:rFonts w:hint="eastAsia" w:ascii="宋体" w:hAnsi="宋体" w:eastAsia="宋体" w:cs="宋体"/>
          <w:b/>
          <w:color w:val="auto"/>
        </w:rPr>
      </w:pPr>
      <w:r>
        <w:rPr>
          <w:rFonts w:hint="eastAsia" w:ascii="宋体" w:hAnsi="宋体" w:eastAsia="宋体" w:cs="宋体"/>
          <w:b/>
          <w:color w:val="auto"/>
          <w:sz w:val="24"/>
        </w:rPr>
        <w:t>一、评标程序、评标方法</w:t>
      </w:r>
    </w:p>
    <w:p w14:paraId="32EF9C3C">
      <w:pPr>
        <w:keepNext w:val="0"/>
        <w:keepLines w:val="0"/>
        <w:pageBreakBefore w:val="0"/>
        <w:numPr>
          <w:ilvl w:val="0"/>
          <w:numId w:val="13"/>
        </w:numPr>
        <w:tabs>
          <w:tab w:val="left" w:pos="360"/>
        </w:tabs>
        <w:kinsoku/>
        <w:wordWrap/>
        <w:overflowPunct/>
        <w:topLinePunct w:val="0"/>
        <w:autoSpaceDE/>
        <w:autoSpaceDN/>
        <w:bidi w:val="0"/>
        <w:snapToGrid w:val="0"/>
        <w:spacing w:line="360" w:lineRule="auto"/>
        <w:ind w:left="0" w:leftChars="0" w:firstLine="0" w:firstLineChars="0"/>
        <w:textAlignment w:val="auto"/>
        <w:outlineLvl w:val="1"/>
        <w:rPr>
          <w:rFonts w:hint="eastAsia" w:ascii="宋体" w:hAnsi="宋体" w:eastAsia="宋体" w:cs="宋体"/>
          <w:color w:val="auto"/>
          <w:sz w:val="24"/>
        </w:rPr>
      </w:pPr>
      <w:bookmarkStart w:id="743" w:name="_Toc150509292"/>
      <w:bookmarkStart w:id="744" w:name="_Toc305158883"/>
      <w:bookmarkStart w:id="745" w:name="_Toc226309785"/>
      <w:bookmarkStart w:id="746" w:name="_Toc164608810"/>
      <w:bookmarkStart w:id="747" w:name="_Toc151190168"/>
      <w:bookmarkStart w:id="748" w:name="_Toc151193711"/>
      <w:bookmarkStart w:id="749" w:name="_Toc151193639"/>
      <w:bookmarkStart w:id="750" w:name="_Toc127151541"/>
      <w:bookmarkStart w:id="751" w:name="_Toc226965814"/>
      <w:bookmarkStart w:id="752" w:name="_Toc226337237"/>
      <w:bookmarkStart w:id="753" w:name="_Toc127161455"/>
      <w:bookmarkStart w:id="754" w:name="_Toc127151742"/>
      <w:bookmarkStart w:id="755" w:name="_Toc149720834"/>
      <w:bookmarkStart w:id="756" w:name="_Toc195842906"/>
      <w:bookmarkStart w:id="757" w:name="_Toc164608655"/>
      <w:bookmarkStart w:id="758" w:name="_Toc164229382"/>
      <w:bookmarkStart w:id="759" w:name="_Toc151193929"/>
      <w:bookmarkStart w:id="760" w:name="_Toc164229236"/>
      <w:bookmarkStart w:id="761" w:name="_Toc150774641"/>
      <w:bookmarkStart w:id="762" w:name="_Toc150480779"/>
      <w:bookmarkStart w:id="763" w:name="_Toc151193855"/>
      <w:bookmarkStart w:id="764" w:name="_Toc264969231"/>
      <w:bookmarkStart w:id="765" w:name="_Toc164351635"/>
      <w:bookmarkStart w:id="766" w:name="_Toc151193783"/>
      <w:bookmarkStart w:id="767" w:name="_Toc150774746"/>
      <w:bookmarkStart w:id="768" w:name="_Toc305158809"/>
      <w:bookmarkStart w:id="769" w:name="_Toc226965731"/>
      <w:bookmarkStart w:id="770" w:name="_Toc265228379"/>
      <w:bookmarkStart w:id="771" w:name="_Toc142311043"/>
      <w:bookmarkStart w:id="772" w:name="_Toc353873941"/>
      <w:bookmarkStart w:id="773" w:name="_Toc353825551"/>
      <w:bookmarkStart w:id="774" w:name="_Toc353873935"/>
      <w:bookmarkStart w:id="775" w:name="_Toc265228393"/>
      <w:bookmarkStart w:id="776" w:name="_Toc142311057"/>
      <w:bookmarkStart w:id="777" w:name="_Toc150480793"/>
      <w:bookmarkStart w:id="778" w:name="_Toc226965828"/>
      <w:bookmarkStart w:id="779" w:name="_Toc305158897"/>
      <w:bookmarkStart w:id="780" w:name="_Toc305158823"/>
      <w:bookmarkStart w:id="781" w:name="_Toc150774760"/>
      <w:bookmarkStart w:id="782" w:name="_Toc226337251"/>
      <w:bookmarkStart w:id="783" w:name="_Toc264969245"/>
      <w:bookmarkStart w:id="784" w:name="_Toc195842920"/>
      <w:bookmarkStart w:id="785" w:name="_Toc353873665"/>
      <w:bookmarkStart w:id="786" w:name="_Toc353825545"/>
      <w:bookmarkStart w:id="787" w:name="_Toc127151555"/>
      <w:r>
        <w:rPr>
          <w:rFonts w:hint="eastAsia" w:ascii="宋体" w:hAnsi="宋体" w:eastAsia="宋体" w:cs="宋体"/>
          <w:color w:val="auto"/>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388770AD">
      <w:pPr>
        <w:keepNext w:val="0"/>
        <w:keepLines w:val="0"/>
        <w:pageBreakBefore w:val="0"/>
        <w:numPr>
          <w:ilvl w:val="1"/>
          <w:numId w:val="13"/>
        </w:numPr>
        <w:tabs>
          <w:tab w:val="left" w:pos="1080"/>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评标委员会对资格审查合格的投标人的投标文件进行符合性审查，以确定其是否满足招标文件的实质性要求。</w:t>
      </w:r>
      <w:bookmarkStart w:id="788" w:name="_Toc520356167"/>
    </w:p>
    <w:p w14:paraId="113B6873">
      <w:pPr>
        <w:keepNext w:val="0"/>
        <w:keepLines w:val="0"/>
        <w:pageBreakBefore w:val="0"/>
        <w:numPr>
          <w:ilvl w:val="1"/>
          <w:numId w:val="13"/>
        </w:numPr>
        <w:tabs>
          <w:tab w:val="left" w:pos="1080"/>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rFonts w:hint="eastAsia" w:ascii="宋体" w:hAnsi="宋体" w:eastAsia="宋体" w:cs="宋体"/>
          <w:color w:val="auto"/>
          <w:sz w:val="24"/>
        </w:rPr>
        <w:t>要求的，</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50C2A4CD">
      <w:pPr>
        <w:keepNext w:val="0"/>
        <w:keepLines w:val="0"/>
        <w:pageBreakBefore w:val="0"/>
        <w:tabs>
          <w:tab w:val="left" w:pos="900"/>
          <w:tab w:val="left" w:pos="1080"/>
          <w:tab w:val="left" w:pos="1589"/>
        </w:tabs>
        <w:kinsoku/>
        <w:wordWrap/>
        <w:overflowPunct/>
        <w:topLinePunct w:val="0"/>
        <w:autoSpaceDE/>
        <w:autoSpaceDN/>
        <w:bidi w:val="0"/>
        <w:snapToGrid w:val="0"/>
        <w:spacing w:line="360" w:lineRule="auto"/>
        <w:ind w:left="0" w:leftChars="0" w:firstLine="0" w:firstLineChars="0"/>
        <w:jc w:val="center"/>
        <w:textAlignment w:val="auto"/>
        <w:rPr>
          <w:rFonts w:hint="eastAsia" w:ascii="宋体" w:hAnsi="宋体" w:eastAsia="宋体" w:cs="宋体"/>
          <w:b/>
          <w:color w:val="auto"/>
          <w:sz w:val="24"/>
        </w:rPr>
      </w:pPr>
      <w:r>
        <w:rPr>
          <w:rFonts w:hint="eastAsia" w:ascii="宋体" w:hAnsi="宋体" w:eastAsia="宋体" w:cs="宋体"/>
          <w:b/>
          <w:color w:val="auto"/>
          <w:sz w:val="24"/>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552F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0FC6771">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rPr>
            </w:pPr>
            <w:r>
              <w:rPr>
                <w:rFonts w:hint="eastAsia" w:ascii="宋体" w:hAnsi="宋体" w:eastAsia="宋体" w:cs="宋体"/>
                <w:b/>
                <w:color w:val="auto"/>
                <w:kern w:val="0"/>
                <w:sz w:val="24"/>
              </w:rPr>
              <w:t>序号</w:t>
            </w:r>
          </w:p>
        </w:tc>
        <w:tc>
          <w:tcPr>
            <w:tcW w:w="975" w:type="pct"/>
            <w:shd w:val="clear" w:color="auto" w:fill="auto"/>
            <w:vAlign w:val="center"/>
          </w:tcPr>
          <w:p w14:paraId="42CF657C">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rPr>
            </w:pPr>
            <w:r>
              <w:rPr>
                <w:rFonts w:hint="eastAsia" w:ascii="宋体" w:hAnsi="宋体" w:eastAsia="宋体" w:cs="宋体"/>
                <w:b/>
                <w:color w:val="auto"/>
                <w:kern w:val="0"/>
                <w:sz w:val="24"/>
              </w:rPr>
              <w:t>审查因素</w:t>
            </w:r>
          </w:p>
        </w:tc>
        <w:tc>
          <w:tcPr>
            <w:tcW w:w="3620" w:type="pct"/>
            <w:shd w:val="clear" w:color="auto" w:fill="auto"/>
            <w:vAlign w:val="center"/>
          </w:tcPr>
          <w:p w14:paraId="0EDDE88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rPr>
            </w:pPr>
            <w:r>
              <w:rPr>
                <w:rFonts w:hint="eastAsia" w:ascii="宋体" w:hAnsi="宋体" w:eastAsia="宋体" w:cs="宋体"/>
                <w:b/>
                <w:color w:val="auto"/>
                <w:kern w:val="0"/>
                <w:sz w:val="24"/>
              </w:rPr>
              <w:t>审查内容</w:t>
            </w:r>
          </w:p>
        </w:tc>
      </w:tr>
      <w:tr w14:paraId="74ED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13F12E">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w:t>
            </w:r>
          </w:p>
        </w:tc>
        <w:tc>
          <w:tcPr>
            <w:tcW w:w="975" w:type="pct"/>
            <w:shd w:val="clear" w:color="auto" w:fill="auto"/>
            <w:vAlign w:val="center"/>
          </w:tcPr>
          <w:p w14:paraId="5F5267A4">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授权委托书</w:t>
            </w:r>
          </w:p>
        </w:tc>
        <w:tc>
          <w:tcPr>
            <w:tcW w:w="3620" w:type="pct"/>
            <w:shd w:val="clear" w:color="auto" w:fill="auto"/>
            <w:vAlign w:val="center"/>
          </w:tcPr>
          <w:p w14:paraId="17B93C1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按招标文件要求提供授权委托书；</w:t>
            </w:r>
          </w:p>
        </w:tc>
      </w:tr>
      <w:tr w14:paraId="32FE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939B74">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2</w:t>
            </w:r>
          </w:p>
        </w:tc>
        <w:tc>
          <w:tcPr>
            <w:tcW w:w="975" w:type="pct"/>
            <w:shd w:val="clear" w:color="auto" w:fill="auto"/>
            <w:vAlign w:val="center"/>
          </w:tcPr>
          <w:p w14:paraId="6B1F55E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投标完整性</w:t>
            </w:r>
          </w:p>
        </w:tc>
        <w:tc>
          <w:tcPr>
            <w:tcW w:w="3620" w:type="pct"/>
            <w:shd w:val="clear" w:color="auto" w:fill="auto"/>
            <w:vAlign w:val="center"/>
          </w:tcPr>
          <w:p w14:paraId="7359EB0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未将一个采购包中的内容拆分投标；</w:t>
            </w:r>
          </w:p>
        </w:tc>
      </w:tr>
      <w:tr w14:paraId="68CC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93667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3</w:t>
            </w:r>
          </w:p>
        </w:tc>
        <w:tc>
          <w:tcPr>
            <w:tcW w:w="975" w:type="pct"/>
            <w:shd w:val="clear" w:color="auto" w:fill="auto"/>
            <w:vAlign w:val="center"/>
          </w:tcPr>
          <w:p w14:paraId="4350132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投标报价</w:t>
            </w:r>
          </w:p>
        </w:tc>
        <w:tc>
          <w:tcPr>
            <w:tcW w:w="3620" w:type="pct"/>
            <w:shd w:val="clear" w:color="auto" w:fill="auto"/>
            <w:vAlign w:val="center"/>
          </w:tcPr>
          <w:p w14:paraId="181595F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投标报价未</w:t>
            </w:r>
            <w:r>
              <w:rPr>
                <w:rFonts w:hint="eastAsia" w:ascii="宋体" w:hAnsi="宋体" w:eastAsia="宋体" w:cs="宋体"/>
                <w:color w:val="auto"/>
                <w:sz w:val="24"/>
              </w:rPr>
              <w:t>超过招标文件中规定的项目/采购包预算金额或者项目/采购包最高限价</w:t>
            </w:r>
            <w:r>
              <w:rPr>
                <w:rFonts w:hint="eastAsia" w:ascii="宋体" w:hAnsi="宋体" w:eastAsia="宋体" w:cs="宋体"/>
                <w:color w:val="auto"/>
                <w:kern w:val="0"/>
                <w:sz w:val="24"/>
              </w:rPr>
              <w:t>；</w:t>
            </w:r>
          </w:p>
        </w:tc>
      </w:tr>
      <w:tr w14:paraId="6DF0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F9960F">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4</w:t>
            </w:r>
          </w:p>
        </w:tc>
        <w:tc>
          <w:tcPr>
            <w:tcW w:w="975" w:type="pct"/>
            <w:shd w:val="clear" w:color="auto" w:fill="auto"/>
            <w:vAlign w:val="center"/>
          </w:tcPr>
          <w:p w14:paraId="7696178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报价唯一性</w:t>
            </w:r>
          </w:p>
        </w:tc>
        <w:tc>
          <w:tcPr>
            <w:tcW w:w="3620" w:type="pct"/>
            <w:shd w:val="clear" w:color="auto" w:fill="auto"/>
            <w:vAlign w:val="center"/>
          </w:tcPr>
          <w:p w14:paraId="171B9BD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投标文件未</w:t>
            </w:r>
            <w:r>
              <w:rPr>
                <w:rFonts w:hint="eastAsia" w:ascii="宋体" w:hAnsi="宋体" w:eastAsia="宋体" w:cs="宋体"/>
                <w:color w:val="auto"/>
                <w:sz w:val="24"/>
              </w:rPr>
              <w:t>出现可选择性或可调整的报价（招标文件另有规定的除外）</w:t>
            </w:r>
            <w:r>
              <w:rPr>
                <w:rFonts w:hint="eastAsia" w:ascii="宋体" w:hAnsi="宋体" w:eastAsia="宋体" w:cs="宋体"/>
                <w:color w:val="auto"/>
                <w:kern w:val="0"/>
                <w:sz w:val="24"/>
              </w:rPr>
              <w:t>；</w:t>
            </w:r>
          </w:p>
        </w:tc>
      </w:tr>
      <w:tr w14:paraId="08CB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8E8B73">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5</w:t>
            </w:r>
          </w:p>
        </w:tc>
        <w:tc>
          <w:tcPr>
            <w:tcW w:w="975" w:type="pct"/>
            <w:shd w:val="clear" w:color="auto" w:fill="auto"/>
            <w:vAlign w:val="center"/>
          </w:tcPr>
          <w:p w14:paraId="62CF5D4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投标有效期</w:t>
            </w:r>
          </w:p>
        </w:tc>
        <w:tc>
          <w:tcPr>
            <w:tcW w:w="3620" w:type="pct"/>
            <w:shd w:val="clear" w:color="auto" w:fill="auto"/>
            <w:vAlign w:val="center"/>
          </w:tcPr>
          <w:p w14:paraId="631FAA9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投标文件中承诺的投标有效期满足招标文件中载明的投标有效期的；</w:t>
            </w:r>
          </w:p>
        </w:tc>
      </w:tr>
      <w:tr w14:paraId="043C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EB54481">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6</w:t>
            </w:r>
          </w:p>
        </w:tc>
        <w:tc>
          <w:tcPr>
            <w:tcW w:w="975" w:type="pct"/>
            <w:shd w:val="clear" w:color="auto" w:fill="auto"/>
            <w:vAlign w:val="center"/>
          </w:tcPr>
          <w:p w14:paraId="19B6342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实质性格式</w:t>
            </w:r>
          </w:p>
        </w:tc>
        <w:tc>
          <w:tcPr>
            <w:tcW w:w="3620" w:type="pct"/>
            <w:shd w:val="clear" w:color="auto" w:fill="auto"/>
            <w:vAlign w:val="center"/>
          </w:tcPr>
          <w:p w14:paraId="20990EB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标记为“实质性格式”的文件均按招标文件要求提供且签署、盖章的；</w:t>
            </w:r>
          </w:p>
        </w:tc>
      </w:tr>
      <w:tr w14:paraId="6F4E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12431E0">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7</w:t>
            </w:r>
          </w:p>
        </w:tc>
        <w:tc>
          <w:tcPr>
            <w:tcW w:w="975" w:type="pct"/>
            <w:shd w:val="clear" w:color="auto" w:fill="auto"/>
            <w:vAlign w:val="center"/>
          </w:tcPr>
          <w:p w14:paraId="20D8470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★号条款响应</w:t>
            </w:r>
          </w:p>
        </w:tc>
        <w:tc>
          <w:tcPr>
            <w:tcW w:w="3620" w:type="pct"/>
            <w:shd w:val="clear" w:color="auto" w:fill="auto"/>
            <w:vAlign w:val="center"/>
          </w:tcPr>
          <w:p w14:paraId="4B2AEF4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投标文件满足招标文件</w:t>
            </w:r>
            <w:r>
              <w:rPr>
                <w:rFonts w:hint="eastAsia" w:ascii="宋体" w:hAnsi="宋体" w:eastAsia="宋体" w:cs="宋体"/>
                <w:color w:val="auto"/>
                <w:sz w:val="24"/>
              </w:rPr>
              <w:t>第五章《采购需求》</w:t>
            </w:r>
            <w:r>
              <w:rPr>
                <w:rFonts w:hint="eastAsia" w:ascii="宋体" w:hAnsi="宋体" w:eastAsia="宋体" w:cs="宋体"/>
                <w:color w:val="auto"/>
                <w:kern w:val="0"/>
                <w:sz w:val="24"/>
              </w:rPr>
              <w:t>中★号条款要求的；</w:t>
            </w:r>
          </w:p>
        </w:tc>
      </w:tr>
      <w:tr w14:paraId="5134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ED8FA67">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8</w:t>
            </w:r>
          </w:p>
        </w:tc>
        <w:tc>
          <w:tcPr>
            <w:tcW w:w="975" w:type="pct"/>
            <w:shd w:val="clear" w:color="auto" w:fill="auto"/>
            <w:vAlign w:val="center"/>
          </w:tcPr>
          <w:p w14:paraId="0B6D92B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拟分包情况说明（如有）</w:t>
            </w:r>
          </w:p>
        </w:tc>
        <w:tc>
          <w:tcPr>
            <w:tcW w:w="3620" w:type="pct"/>
            <w:shd w:val="clear" w:color="auto" w:fill="auto"/>
            <w:vAlign w:val="center"/>
          </w:tcPr>
          <w:p w14:paraId="777C1D0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如本项目（包）非因“落实政府采购政策”亦允许分包，且供应商拟进行分包时，必须提供；否则无须提供；</w:t>
            </w:r>
          </w:p>
        </w:tc>
      </w:tr>
      <w:tr w14:paraId="543A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3C0DC4">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9</w:t>
            </w:r>
          </w:p>
        </w:tc>
        <w:tc>
          <w:tcPr>
            <w:tcW w:w="975" w:type="pct"/>
            <w:shd w:val="clear" w:color="auto" w:fill="auto"/>
            <w:vAlign w:val="center"/>
          </w:tcPr>
          <w:p w14:paraId="621424E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分包其他要求（如有）</w:t>
            </w:r>
          </w:p>
        </w:tc>
        <w:tc>
          <w:tcPr>
            <w:tcW w:w="3620" w:type="pct"/>
            <w:shd w:val="clear" w:color="auto" w:fill="auto"/>
            <w:vAlign w:val="center"/>
          </w:tcPr>
          <w:p w14:paraId="635A5E6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sz w:val="24"/>
              </w:rPr>
            </w:pPr>
            <w:r>
              <w:rPr>
                <w:rFonts w:hint="eastAsia" w:ascii="宋体" w:hAnsi="宋体" w:eastAsia="宋体" w:cs="宋体"/>
                <w:color w:val="auto"/>
                <w:sz w:val="24"/>
              </w:rPr>
              <w:t>分包履行的内容、金额或者比例未超出《投标人须知资料表》中的规定；</w:t>
            </w:r>
          </w:p>
          <w:p w14:paraId="7FAB5A3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分包承担主体具备《投标人须知资料表》载明的资质条件且提供了资质证书电子件（如有）；</w:t>
            </w:r>
          </w:p>
        </w:tc>
      </w:tr>
      <w:tr w14:paraId="155E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7ACFAE">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10</w:t>
            </w:r>
          </w:p>
        </w:tc>
        <w:tc>
          <w:tcPr>
            <w:tcW w:w="975" w:type="pct"/>
            <w:shd w:val="clear" w:color="auto" w:fill="auto"/>
            <w:vAlign w:val="center"/>
          </w:tcPr>
          <w:p w14:paraId="69D0C70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报价的修正（如有）</w:t>
            </w:r>
          </w:p>
        </w:tc>
        <w:tc>
          <w:tcPr>
            <w:tcW w:w="3620" w:type="pct"/>
            <w:shd w:val="clear" w:color="auto" w:fill="auto"/>
            <w:vAlign w:val="center"/>
          </w:tcPr>
          <w:p w14:paraId="235DEF1B">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不涉及报价修正，或投标文件报价出现前后不一致时，投标人对修正后的报价予以确认；（如有）</w:t>
            </w:r>
          </w:p>
        </w:tc>
      </w:tr>
      <w:tr w14:paraId="382E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D6AD6B5">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11</w:t>
            </w:r>
          </w:p>
        </w:tc>
        <w:tc>
          <w:tcPr>
            <w:tcW w:w="975" w:type="pct"/>
            <w:shd w:val="clear" w:color="auto" w:fill="auto"/>
            <w:vAlign w:val="center"/>
          </w:tcPr>
          <w:p w14:paraId="5809825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进口产品</w:t>
            </w:r>
          </w:p>
          <w:p w14:paraId="1431FFA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（如有）</w:t>
            </w:r>
          </w:p>
        </w:tc>
        <w:tc>
          <w:tcPr>
            <w:tcW w:w="3620" w:type="pct"/>
            <w:shd w:val="clear" w:color="auto" w:fill="auto"/>
            <w:vAlign w:val="center"/>
          </w:tcPr>
          <w:p w14:paraId="1BECB76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招标文件不接受进口产品投标的内容时，投标人所投产品不含进口产品；</w:t>
            </w:r>
          </w:p>
        </w:tc>
      </w:tr>
      <w:tr w14:paraId="1B38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2537BD">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12</w:t>
            </w:r>
          </w:p>
        </w:tc>
        <w:tc>
          <w:tcPr>
            <w:tcW w:w="975" w:type="pct"/>
            <w:shd w:val="clear" w:color="auto" w:fill="auto"/>
            <w:vAlign w:val="center"/>
          </w:tcPr>
          <w:p w14:paraId="42C8CD8B">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国家有关部门对投标人的投标产品有强制性规定或要求的</w:t>
            </w:r>
          </w:p>
        </w:tc>
        <w:tc>
          <w:tcPr>
            <w:tcW w:w="3620" w:type="pct"/>
            <w:shd w:val="clear" w:color="auto" w:fill="auto"/>
            <w:vAlign w:val="center"/>
          </w:tcPr>
          <w:p w14:paraId="4947CFB2">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国家有关部门对投标人的投标产品有强制性规定或要求的（如相应技术、安全、节能和环保等），投标人的投标产品应符合相应规定或要求，并提供证明文件电子件：</w:t>
            </w:r>
          </w:p>
          <w:p w14:paraId="67FFBC4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1）采购的产品若属于《节能产品政府采购品目清单》范围中政府强制采购产品，则投标人所报产品必须获得国家确定的认证机构出具的、处于有效期之内的节能产品认证证书；</w:t>
            </w:r>
          </w:p>
          <w:p w14:paraId="259669E8">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sz w:val="24"/>
              </w:rPr>
            </w:pPr>
            <w:r>
              <w:rPr>
                <w:rFonts w:hint="eastAsia" w:ascii="宋体" w:hAnsi="宋体" w:eastAsia="宋体" w:cs="宋体"/>
                <w:color w:val="auto"/>
                <w:kern w:val="0"/>
                <w:sz w:val="24"/>
              </w:rPr>
              <w:t>2）</w:t>
            </w:r>
            <w:r>
              <w:rPr>
                <w:rFonts w:hint="eastAsia" w:ascii="宋体" w:hAnsi="宋体" w:eastAsia="宋体" w:cs="宋体"/>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auto"/>
                <w:kern w:val="0"/>
                <w:sz w:val="24"/>
              </w:rPr>
              <w:t>公安部颁发的计算机信息系统安全专用产品销售许可证</w:t>
            </w:r>
            <w:r>
              <w:rPr>
                <w:rFonts w:hint="eastAsia" w:ascii="宋体" w:hAnsi="宋体" w:eastAsia="宋体" w:cs="宋体"/>
                <w:color w:val="auto"/>
                <w:sz w:val="24"/>
              </w:rPr>
              <w:t>，且在有效期内，亦视为符合要求）</w:t>
            </w:r>
          </w:p>
          <w:p w14:paraId="750AA78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3）项目中涉及涂料、胶黏剂、油墨、清洗剂等挥发性有机物产品，且属于强制性标准的，供应商应执行符合本市和国家的VOCs 含量限制标准。</w:t>
            </w:r>
          </w:p>
        </w:tc>
      </w:tr>
      <w:tr w14:paraId="14EB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9B0723">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13</w:t>
            </w:r>
          </w:p>
        </w:tc>
        <w:tc>
          <w:tcPr>
            <w:tcW w:w="975" w:type="pct"/>
            <w:shd w:val="clear" w:color="auto" w:fill="auto"/>
            <w:vAlign w:val="center"/>
          </w:tcPr>
          <w:p w14:paraId="047BD53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公平竞争</w:t>
            </w:r>
          </w:p>
        </w:tc>
        <w:tc>
          <w:tcPr>
            <w:tcW w:w="3620" w:type="pct"/>
            <w:shd w:val="clear" w:color="auto" w:fill="auto"/>
            <w:vAlign w:val="center"/>
          </w:tcPr>
          <w:p w14:paraId="1E3A3AB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投标人遵循公平竞争的原则，不存在恶意串通，妨碍其他投标人的竞争行为，不存在损害采购人或者其他投标人的合法权益情形的；</w:t>
            </w:r>
          </w:p>
        </w:tc>
      </w:tr>
      <w:tr w14:paraId="74AE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647B80C">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14</w:t>
            </w:r>
          </w:p>
        </w:tc>
        <w:tc>
          <w:tcPr>
            <w:tcW w:w="975" w:type="pct"/>
            <w:shd w:val="clear" w:color="auto" w:fill="auto"/>
            <w:vAlign w:val="center"/>
          </w:tcPr>
          <w:p w14:paraId="49461EE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串通投标</w:t>
            </w:r>
          </w:p>
        </w:tc>
        <w:tc>
          <w:tcPr>
            <w:tcW w:w="3620" w:type="pct"/>
            <w:shd w:val="clear" w:color="auto" w:fill="auto"/>
            <w:vAlign w:val="center"/>
          </w:tcPr>
          <w:p w14:paraId="54DE75D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1C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B95C5AD">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5</w:t>
            </w:r>
          </w:p>
        </w:tc>
        <w:tc>
          <w:tcPr>
            <w:tcW w:w="975" w:type="pct"/>
            <w:shd w:val="clear" w:color="auto" w:fill="auto"/>
            <w:vAlign w:val="center"/>
          </w:tcPr>
          <w:p w14:paraId="3A499DC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附加条件</w:t>
            </w:r>
          </w:p>
        </w:tc>
        <w:tc>
          <w:tcPr>
            <w:tcW w:w="3620" w:type="pct"/>
            <w:shd w:val="clear" w:color="auto" w:fill="auto"/>
            <w:vAlign w:val="center"/>
          </w:tcPr>
          <w:p w14:paraId="2D3D6E9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投标文件未含有采购人不能接受的附加条件的；</w:t>
            </w:r>
          </w:p>
        </w:tc>
      </w:tr>
      <w:tr w14:paraId="3E7A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2C81C1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6</w:t>
            </w:r>
          </w:p>
        </w:tc>
        <w:tc>
          <w:tcPr>
            <w:tcW w:w="975" w:type="pct"/>
            <w:shd w:val="clear" w:color="auto" w:fill="auto"/>
            <w:vAlign w:val="center"/>
          </w:tcPr>
          <w:p w14:paraId="69DD041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其他无效情形</w:t>
            </w:r>
          </w:p>
        </w:tc>
        <w:tc>
          <w:tcPr>
            <w:tcW w:w="3620" w:type="pct"/>
            <w:shd w:val="clear" w:color="auto" w:fill="auto"/>
            <w:vAlign w:val="center"/>
          </w:tcPr>
          <w:p w14:paraId="41A886B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rPr>
            </w:pPr>
            <w:r>
              <w:rPr>
                <w:rFonts w:hint="eastAsia" w:ascii="宋体" w:hAnsi="宋体" w:eastAsia="宋体" w:cs="宋体"/>
                <w:color w:val="auto"/>
                <w:sz w:val="24"/>
              </w:rPr>
              <w:t>投标人、投标文件不存在不符合法律、法规和招标文件规定的其他无效情形。</w:t>
            </w:r>
          </w:p>
        </w:tc>
      </w:tr>
    </w:tbl>
    <w:p w14:paraId="6079D721">
      <w:pPr>
        <w:keepNext w:val="0"/>
        <w:keepLines w:val="0"/>
        <w:pageBreakBefore w:val="0"/>
        <w:numPr>
          <w:ilvl w:val="0"/>
          <w:numId w:val="14"/>
        </w:numPr>
        <w:tabs>
          <w:tab w:val="left" w:pos="1080"/>
          <w:tab w:val="left" w:pos="1589"/>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rPr>
        <w:sectPr>
          <w:headerReference r:id="rId9" w:type="first"/>
          <w:footerReference r:id="rId11" w:type="first"/>
          <w:headerReference r:id="rId8" w:type="even"/>
          <w:footerReference r:id="rId10" w:type="even"/>
          <w:pgSz w:w="11907" w:h="16840"/>
          <w:pgMar w:top="1418" w:right="1134" w:bottom="1418" w:left="1701" w:header="851" w:footer="851" w:gutter="0"/>
          <w:pgNumType w:fmt="decimal"/>
          <w:cols w:space="720" w:num="1"/>
          <w:docGrid w:linePitch="462" w:charSpace="0"/>
        </w:sectPr>
      </w:pPr>
    </w:p>
    <w:p w14:paraId="14285770">
      <w:pPr>
        <w:keepNext w:val="0"/>
        <w:keepLines w:val="0"/>
        <w:pageBreakBefore w:val="0"/>
        <w:widowControl w:val="0"/>
        <w:numPr>
          <w:ilvl w:val="0"/>
          <w:numId w:val="13"/>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rPr>
      </w:pPr>
      <w:r>
        <w:rPr>
          <w:rFonts w:hint="eastAsia" w:ascii="宋体" w:hAnsi="宋体" w:eastAsia="宋体" w:cs="宋体"/>
          <w:color w:val="auto"/>
          <w:sz w:val="24"/>
        </w:rPr>
        <w:t>投标文件有关事项的澄清或者说明</w:t>
      </w:r>
    </w:p>
    <w:p w14:paraId="63D91D49">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rFonts w:hint="eastAsia" w:ascii="宋体" w:hAnsi="宋体" w:eastAsia="宋体" w:cs="宋体"/>
          <w:color w:val="auto"/>
          <w:sz w:val="24"/>
          <w:szCs w:val="20"/>
        </w:rPr>
        <w:t>若投标人为事业单位或其他组织或分支机构，可为单位负责人</w:t>
      </w:r>
      <w:bookmarkEnd w:id="789"/>
      <w:r>
        <w:rPr>
          <w:rFonts w:hint="eastAsia" w:ascii="宋体" w:hAnsi="宋体" w:eastAsia="宋体" w:cs="宋体"/>
          <w:color w:val="auto"/>
          <w:sz w:val="24"/>
        </w:rPr>
        <w:t>）或其授权的代表签字。投标人的澄清、说明或者补正不得超出投标文件的范围或者改变投标文件的实质性内容。澄清文件将作为投标文件内容的一部分。</w:t>
      </w:r>
    </w:p>
    <w:p w14:paraId="753E91BE">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bookmarkStart w:id="790" w:name="_Hlk220085436"/>
      <w:r>
        <w:rPr>
          <w:rFonts w:hint="eastAsia" w:ascii="宋体" w:hAnsi="宋体" w:eastAsia="宋体" w:cs="宋体"/>
          <w:color w:val="auto"/>
          <w:sz w:val="24"/>
        </w:rPr>
        <w:t>异常低价处理</w:t>
      </w:r>
    </w:p>
    <w:p w14:paraId="1071DFC5">
      <w:pPr>
        <w:keepNext w:val="0"/>
        <w:keepLines w:val="0"/>
        <w:pageBreakBefore w:val="0"/>
        <w:widowControl w:val="0"/>
        <w:numPr>
          <w:ilvl w:val="2"/>
          <w:numId w:val="13"/>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 xml:space="preserve"> 政府采购评审中出现下列情形之一的，评审委员会应当启动异常低价投标（响应）审查程序：</w:t>
      </w:r>
    </w:p>
    <w:p w14:paraId="62600C2F">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（1）投标（响应）报价低于全部通过符合性审查供应商投标（响应）报价平均值</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%的，即投标（响应）报价&lt;全部通过符合性审查供应商投标（响应）报价平均值×</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w:t>
      </w:r>
    </w:p>
    <w:p w14:paraId="08A415B3">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（2）投标（响应）报价低于通过符合性审查的次低报价供应商投标（响应）报价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%的，即投标（响应）报价&lt;通过符合性审查的次低报价供应商投标（响应）报价×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w:t>
      </w:r>
    </w:p>
    <w:p w14:paraId="71138698">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（3）投标（响应）报价低于采购项目最高限</w:t>
      </w:r>
      <w:bookmarkStart w:id="1090" w:name="_GoBack"/>
      <w:bookmarkEnd w:id="1090"/>
      <w:r>
        <w:rPr>
          <w:rFonts w:hint="eastAsia" w:ascii="宋体" w:hAnsi="宋体" w:eastAsia="宋体" w:cs="宋体"/>
          <w:color w:val="auto"/>
          <w:sz w:val="24"/>
          <w:highlight w:val="none"/>
        </w:rPr>
        <w:t>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%的，即投标（响应）报价&lt;采购项目最高限价×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%；未设定最高限价的采购项目，以采购项目预算金额作为最高限价；</w:t>
      </w:r>
    </w:p>
    <w:p w14:paraId="566FD8B1">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（4）评审委员会基于专业判断，认为供应商报价过低，有可能影响产品质量或者不能诚信履约的其他情形。</w:t>
      </w:r>
    </w:p>
    <w:p w14:paraId="59009DB9">
      <w:pPr>
        <w:keepNext w:val="0"/>
        <w:keepLines w:val="0"/>
        <w:pageBreakBefore w:val="0"/>
        <w:widowControl w:val="0"/>
        <w:numPr>
          <w:ilvl w:val="2"/>
          <w:numId w:val="13"/>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FF08ED8">
      <w:pPr>
        <w:keepNext w:val="0"/>
        <w:keepLines w:val="0"/>
        <w:pageBreakBefore w:val="0"/>
        <w:widowControl w:val="0"/>
        <w:numPr>
          <w:ilvl w:val="2"/>
          <w:numId w:val="13"/>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color w:val="auto"/>
          <w:sz w:val="24"/>
        </w:rPr>
        <w:t>无效投标（响应）</w:t>
      </w:r>
      <w:r>
        <w:rPr>
          <w:rFonts w:hint="eastAsia" w:ascii="宋体" w:hAnsi="宋体" w:eastAsia="宋体" w:cs="宋体"/>
          <w:color w:val="auto"/>
          <w:sz w:val="24"/>
        </w:rPr>
        <w:t>处理。</w:t>
      </w:r>
    </w:p>
    <w:p w14:paraId="4D438BB9">
      <w:pPr>
        <w:keepNext w:val="0"/>
        <w:keepLines w:val="0"/>
        <w:pageBreakBefore w:val="0"/>
        <w:widowControl w:val="0"/>
        <w:numPr>
          <w:ilvl w:val="2"/>
          <w:numId w:val="13"/>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bookmarkStart w:id="791" w:name="_Hlk190337965"/>
      <w:r>
        <w:rPr>
          <w:rFonts w:hint="eastAsia" w:ascii="宋体" w:hAnsi="宋体" w:eastAsia="宋体" w:cs="宋体"/>
          <w:color w:val="auto"/>
          <w:sz w:val="24"/>
        </w:rPr>
        <w:t xml:space="preserve"> 上述投标（响应）报价指按照本章2.4修正后的报价</w:t>
      </w:r>
      <w:bookmarkEnd w:id="791"/>
      <w:r>
        <w:rPr>
          <w:rFonts w:hint="eastAsia" w:ascii="宋体" w:hAnsi="宋体" w:eastAsia="宋体" w:cs="宋体"/>
          <w:color w:val="auto"/>
          <w:sz w:val="24"/>
        </w:rPr>
        <w:t>。</w:t>
      </w:r>
    </w:p>
    <w:bookmarkEnd w:id="790"/>
    <w:p w14:paraId="3E24441B">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4538230E">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投标文件报价出现前后不一致的，按照下列规定修正：</w:t>
      </w:r>
    </w:p>
    <w:p w14:paraId="4F6D34AB">
      <w:pPr>
        <w:keepNext w:val="0"/>
        <w:keepLines w:val="0"/>
        <w:pageBreakBefore w:val="0"/>
        <w:widowControl w:val="0"/>
        <w:numPr>
          <w:ilvl w:val="2"/>
          <w:numId w:val="13"/>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招标文件对于报价修正是否另有规定：</w:t>
      </w:r>
    </w:p>
    <w:p w14:paraId="0C848041">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u w:val="single"/>
        </w:rPr>
      </w:pPr>
      <w:r>
        <w:rPr>
          <w:rFonts w:hint="eastAsia" w:ascii="宋体" w:hAnsi="宋体" w:eastAsia="宋体" w:cs="宋体"/>
          <w:color w:val="auto"/>
          <w:sz w:val="24"/>
        </w:rPr>
        <w:t>□有，具体规定为：______________</w:t>
      </w:r>
    </w:p>
    <w:p w14:paraId="0679F1AD">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无，按下述2.4.2-2.4.7项规定修正。</w:t>
      </w:r>
    </w:p>
    <w:p w14:paraId="5214F662">
      <w:pPr>
        <w:keepNext w:val="0"/>
        <w:keepLines w:val="0"/>
        <w:pageBreakBefore w:val="0"/>
        <w:widowControl w:val="0"/>
        <w:numPr>
          <w:ilvl w:val="2"/>
          <w:numId w:val="13"/>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单独递交的开标一览表（报价表）与投标文件中开标一览表（报价表）内容不一致的，以单独递交的开标一览表（报价表）为准；</w:t>
      </w:r>
    </w:p>
    <w:p w14:paraId="15271511">
      <w:pPr>
        <w:keepNext w:val="0"/>
        <w:keepLines w:val="0"/>
        <w:pageBreakBefore w:val="0"/>
        <w:widowControl w:val="0"/>
        <w:numPr>
          <w:ilvl w:val="2"/>
          <w:numId w:val="13"/>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投标文件中开标一览表（报价表）内容与投标文件中相应内容不一致的，以开标一览表（报价表）为准；</w:t>
      </w:r>
    </w:p>
    <w:p w14:paraId="741AA750">
      <w:pPr>
        <w:keepNext w:val="0"/>
        <w:keepLines w:val="0"/>
        <w:pageBreakBefore w:val="0"/>
        <w:widowControl w:val="0"/>
        <w:numPr>
          <w:ilvl w:val="2"/>
          <w:numId w:val="13"/>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大写金额和小写金额不一致的，以大写金额为准；</w:t>
      </w:r>
    </w:p>
    <w:p w14:paraId="2C2C3C1C">
      <w:pPr>
        <w:keepNext w:val="0"/>
        <w:keepLines w:val="0"/>
        <w:pageBreakBefore w:val="0"/>
        <w:widowControl w:val="0"/>
        <w:numPr>
          <w:ilvl w:val="2"/>
          <w:numId w:val="13"/>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单价金额小数点或者百分比有明显错位的，以开标一览表的总价为准，并修改单价；</w:t>
      </w:r>
    </w:p>
    <w:p w14:paraId="3782624A">
      <w:pPr>
        <w:keepNext w:val="0"/>
        <w:keepLines w:val="0"/>
        <w:pageBreakBefore w:val="0"/>
        <w:widowControl w:val="0"/>
        <w:numPr>
          <w:ilvl w:val="2"/>
          <w:numId w:val="13"/>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总价金额与按单价汇总金额不一致的，以单价金额计算结果为准。</w:t>
      </w:r>
    </w:p>
    <w:p w14:paraId="53E198D4">
      <w:pPr>
        <w:keepNext w:val="0"/>
        <w:keepLines w:val="0"/>
        <w:pageBreakBefore w:val="0"/>
        <w:widowControl w:val="0"/>
        <w:numPr>
          <w:ilvl w:val="2"/>
          <w:numId w:val="13"/>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同时出现两种以上不一致的，按照前款规定的顺序修正。</w:t>
      </w:r>
    </w:p>
    <w:p w14:paraId="4540A524">
      <w:pPr>
        <w:keepNext w:val="0"/>
        <w:keepLines w:val="0"/>
        <w:pageBreakBefore w:val="0"/>
        <w:widowControl w:val="0"/>
        <w:numPr>
          <w:ilvl w:val="2"/>
          <w:numId w:val="13"/>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修正后的报价经投标人书面确认后产生约束力，投标人不确认的，其</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2251C8AC">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支持中小企业政府采购政策的价格调整：只有符合第二章《投标人须知》5.3条规定情形的，可以享受中小企业扶持政策，用扣除后的价格参加评审；否则，评标时价格不予扣除。</w:t>
      </w:r>
    </w:p>
    <w:p w14:paraId="26E6B1CB">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对于未预留份额专门面向中小企业采购的采购项目，以及预留份额项目中的非预留部分采购包，对小微企业报价给予</w:t>
      </w:r>
      <w:r>
        <w:rPr>
          <w:rFonts w:hint="eastAsia" w:ascii="宋体" w:hAnsi="宋体" w:cs="宋体"/>
          <w:color w:val="auto"/>
          <w:sz w:val="24"/>
          <w:u w:val="single"/>
          <w:lang w:val="en-US" w:eastAsia="zh-CN"/>
        </w:rPr>
        <w:t xml:space="preserve">  10  </w:t>
      </w:r>
      <w:r>
        <w:rPr>
          <w:rFonts w:hint="eastAsia" w:ascii="宋体" w:hAnsi="宋体" w:eastAsia="宋体" w:cs="宋体"/>
          <w:color w:val="auto"/>
          <w:sz w:val="24"/>
        </w:rPr>
        <w:t>%的扣除，用扣除后的价格参加评审。</w:t>
      </w:r>
    </w:p>
    <w:p w14:paraId="5C4269C1">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u w:val="single"/>
          <w:lang w:val="en-US" w:eastAsia="zh-CN"/>
        </w:rPr>
        <w:t xml:space="preserve">  4  </w:t>
      </w:r>
      <w:r>
        <w:rPr>
          <w:rFonts w:hint="eastAsia" w:ascii="宋体" w:hAnsi="宋体" w:eastAsia="宋体" w:cs="宋体"/>
          <w:color w:val="auto"/>
          <w:sz w:val="24"/>
        </w:rPr>
        <w:t>%的扣除，用扣除后的价格参加评审。</w:t>
      </w:r>
    </w:p>
    <w:p w14:paraId="29E68200">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组成联合体或者接受分包的小微企业与联合体内其他企业、分包企业之间存在直接控股、管理关系的，不享受价格扣除优惠政策。</w:t>
      </w:r>
    </w:p>
    <w:p w14:paraId="369931DD">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价格扣除比例对小型企业和微型企业同等对待，不作区分。</w:t>
      </w:r>
    </w:p>
    <w:p w14:paraId="57D79FEB">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中小企业参加政府采购活动，应当按照招标文件给定的格式出具《中小企业声明函》，否则不得享受相关中小企业扶持政策。</w:t>
      </w:r>
    </w:p>
    <w:p w14:paraId="78BDD3B1">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监狱企业提供了由省级以上监狱管理局、戒毒管理局（含新疆生产建设兵团）出具的属于监狱企业的证明文件的，视同小微企业。</w:t>
      </w:r>
    </w:p>
    <w:p w14:paraId="3766C8CE">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残疾人福利性单位按招标文件要求提供了《残疾人福利性单位声明函》的，视同小微企业。</w:t>
      </w:r>
    </w:p>
    <w:p w14:paraId="03CD5549">
      <w:pPr>
        <w:keepNext w:val="0"/>
        <w:keepLines w:val="0"/>
        <w:pageBreakBefore w:val="0"/>
        <w:widowControl w:val="0"/>
        <w:numPr>
          <w:ilvl w:val="2"/>
          <w:numId w:val="13"/>
        </w:numPr>
        <w:tabs>
          <w:tab w:val="left" w:pos="1080"/>
          <w:tab w:val="left" w:pos="1589"/>
          <w:tab w:val="left" w:pos="20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若投标人同时属于小型或微型企业、监狱企业、残疾人福利性单位中的两种及以上，将不重复享受小微企业价格扣减的优惠政策。</w:t>
      </w:r>
    </w:p>
    <w:p w14:paraId="7AB6C6E5">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支持本国产品政府采购的价格调整：只有符合第二章《投标人须知》5.2条规定情形的，可以享受本国产品支持政策，用扣除后的价格参加评审；否则，评标时价格不予扣除。</w:t>
      </w:r>
    </w:p>
    <w:p w14:paraId="6EFB12BF">
      <w:pPr>
        <w:keepNext w:val="0"/>
        <w:keepLines w:val="0"/>
        <w:pageBreakBefore w:val="0"/>
        <w:widowControl w:val="0"/>
        <w:numPr>
          <w:ilvl w:val="2"/>
          <w:numId w:val="13"/>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本项目既有本国产品又有非本国产品参与竞争的，依法对本国产品给予价格评审优惠，对本国产品的报价给予20%的价格扣除，用扣除后的价格参与评审。</w:t>
      </w:r>
    </w:p>
    <w:p w14:paraId="03C9749A">
      <w:pPr>
        <w:keepNext w:val="0"/>
        <w:keepLines w:val="0"/>
        <w:pageBreakBefore w:val="0"/>
        <w:widowControl w:val="0"/>
        <w:numPr>
          <w:ilvl w:val="2"/>
          <w:numId w:val="13"/>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CE0F060">
      <w:pPr>
        <w:keepNext w:val="0"/>
        <w:keepLines w:val="0"/>
        <w:pageBreakBefore w:val="0"/>
        <w:widowControl w:val="0"/>
        <w:numPr>
          <w:ilvl w:val="2"/>
          <w:numId w:val="13"/>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供应商提供本国产品参加政府采购活动的，应当按照招标文件给定的格式出具《关于符合本国产品标准的声明函》或提供财政部会同有关部门规定的有关证明文件，否则视为非本国产品。</w:t>
      </w:r>
    </w:p>
    <w:p w14:paraId="089D2AF0">
      <w:pPr>
        <w:keepNext w:val="0"/>
        <w:keepLines w:val="0"/>
        <w:pageBreakBefore w:val="0"/>
        <w:widowControl w:val="0"/>
        <w:numPr>
          <w:ilvl w:val="0"/>
          <w:numId w:val="13"/>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rPr>
      </w:pPr>
      <w:r>
        <w:rPr>
          <w:rFonts w:hint="eastAsia" w:ascii="宋体" w:hAnsi="宋体" w:eastAsia="宋体" w:cs="宋体"/>
          <w:color w:val="auto"/>
          <w:sz w:val="24"/>
        </w:rPr>
        <w:t>投标文件的比较和评价</w:t>
      </w:r>
      <w:bookmarkEnd w:id="772"/>
      <w:bookmarkEnd w:id="773"/>
    </w:p>
    <w:p w14:paraId="66DE0C9D">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评标委员会将按照招标文件中规定的评标方法和标准，对符合性审查合格的投标文件进行商务和技术评估，综合比较与评价；未通过符合性审查的投标文件不得进入比较与评价。</w:t>
      </w:r>
    </w:p>
    <w:p w14:paraId="5558D639">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评标方法和评标标准</w:t>
      </w:r>
    </w:p>
    <w:p w14:paraId="330CA261">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本项目采用的评标方法为：</w:t>
      </w:r>
    </w:p>
    <w:p w14:paraId="3B03283D">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8772516">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□最低评标价法，指投标文件满足招标文件全部实质性要求，且投标报价最低的投标人为中标候选人的评标方法。</w:t>
      </w:r>
    </w:p>
    <w:p w14:paraId="48FDB5F7">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3DE35C76">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□随机抽取</w:t>
      </w:r>
    </w:p>
    <w:p w14:paraId="2C2C0E1F">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default" w:ascii="宋体" w:hAnsi="宋体" w:eastAsia="宋体" w:cs="宋体"/>
          <w:color w:val="auto"/>
          <w:sz w:val="24"/>
          <w:u w:val="single"/>
          <w:lang w:val="en-US" w:eastAsia="zh-CN"/>
        </w:rPr>
      </w:pPr>
      <w:r>
        <w:rPr>
          <w:rFonts w:hint="eastAsia" w:ascii="宋体" w:hAnsi="宋体" w:eastAsia="宋体" w:cs="宋体"/>
          <w:color w:val="auto"/>
          <w:sz w:val="24"/>
        </w:rPr>
        <w:t>□其他方式，具体要求：</w:t>
      </w:r>
      <w:r>
        <w:rPr>
          <w:rFonts w:hint="eastAsia" w:ascii="宋体" w:hAnsi="宋体" w:cs="宋体"/>
          <w:color w:val="auto"/>
          <w:sz w:val="24"/>
          <w:u w:val="single"/>
          <w:lang w:val="en-US" w:eastAsia="zh-CN"/>
        </w:rPr>
        <w:t xml:space="preserve">   /   </w:t>
      </w:r>
    </w:p>
    <w:p w14:paraId="435D91D7">
      <w:pPr>
        <w:keepNext w:val="0"/>
        <w:keepLines w:val="0"/>
        <w:pageBreakBefore w:val="0"/>
        <w:widowControl w:val="0"/>
        <w:numPr>
          <w:ilvl w:val="2"/>
          <w:numId w:val="13"/>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非政府强制采购的节能产品或环境标志产品，依据品目清单和认证证书实施政府优先采购。优先采购的具体规定（如涉及）</w:t>
      </w:r>
      <w:r>
        <w:rPr>
          <w:rFonts w:hint="eastAsia" w:ascii="宋体" w:hAnsi="宋体" w:cs="宋体"/>
          <w:color w:val="auto"/>
          <w:sz w:val="24"/>
          <w:u w:val="single"/>
          <w:lang w:val="en-US" w:eastAsia="zh-CN"/>
        </w:rPr>
        <w:t xml:space="preserve">   /   </w:t>
      </w:r>
      <w:r>
        <w:rPr>
          <w:rFonts w:hint="eastAsia" w:ascii="宋体" w:hAnsi="宋体" w:eastAsia="宋体" w:cs="宋体"/>
          <w:color w:val="auto"/>
          <w:sz w:val="24"/>
        </w:rPr>
        <w:t>。</w:t>
      </w:r>
    </w:p>
    <w:p w14:paraId="43BAB496">
      <w:pPr>
        <w:keepNext w:val="0"/>
        <w:keepLines w:val="0"/>
        <w:pageBreakBefore w:val="0"/>
        <w:widowControl w:val="0"/>
        <w:numPr>
          <w:ilvl w:val="0"/>
          <w:numId w:val="13"/>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rPr>
      </w:pPr>
      <w:r>
        <w:rPr>
          <w:rFonts w:hint="eastAsia" w:ascii="宋体" w:hAnsi="宋体" w:eastAsia="宋体" w:cs="宋体"/>
          <w:color w:val="auto"/>
          <w:sz w:val="24"/>
        </w:rPr>
        <w:t>确定</w:t>
      </w:r>
      <w:bookmarkStart w:id="792" w:name="_Toc151190173"/>
      <w:bookmarkStart w:id="793" w:name="_Toc150774751"/>
      <w:bookmarkStart w:id="794" w:name="_Toc226337242"/>
      <w:bookmarkStart w:id="795" w:name="_Toc164229387"/>
      <w:bookmarkStart w:id="796" w:name="_Toc226965736"/>
      <w:bookmarkStart w:id="797" w:name="_Toc264969236"/>
      <w:bookmarkStart w:id="798" w:name="_Ref467307010"/>
      <w:bookmarkStart w:id="799" w:name="_Toc150480784"/>
      <w:bookmarkStart w:id="800" w:name="_Toc127151546"/>
      <w:bookmarkStart w:id="801" w:name="_Toc305158888"/>
      <w:bookmarkStart w:id="802" w:name="_Toc265228384"/>
      <w:bookmarkStart w:id="803" w:name="_Toc151193716"/>
      <w:bookmarkStart w:id="804" w:name="_Toc195842911"/>
      <w:bookmarkStart w:id="805" w:name="_Toc226965819"/>
      <w:bookmarkStart w:id="806" w:name="_Toc151193860"/>
      <w:bookmarkStart w:id="807" w:name="_Toc127161460"/>
      <w:bookmarkStart w:id="808" w:name="_Toc150774646"/>
      <w:bookmarkStart w:id="809" w:name="_Toc164608660"/>
      <w:bookmarkStart w:id="810" w:name="_Toc150509297"/>
      <w:bookmarkStart w:id="811" w:name="_Toc127151747"/>
      <w:bookmarkStart w:id="812" w:name="_Toc151193788"/>
      <w:bookmarkStart w:id="813" w:name="_Toc520356170"/>
      <w:bookmarkStart w:id="814" w:name="_Toc151193644"/>
      <w:bookmarkStart w:id="815" w:name="_Toc164351640"/>
      <w:bookmarkStart w:id="816" w:name="_Toc305158814"/>
      <w:bookmarkStart w:id="817" w:name="_Toc149720839"/>
      <w:bookmarkStart w:id="818" w:name="_Toc164608815"/>
      <w:bookmarkStart w:id="819" w:name="_Toc142311048"/>
      <w:bookmarkStart w:id="820" w:name="_Toc151193934"/>
      <w:bookmarkStart w:id="821" w:name="_Toc226309790"/>
      <w:bookmarkStart w:id="822" w:name="_Toc164229241"/>
      <w:r>
        <w:rPr>
          <w:rFonts w:hint="eastAsia" w:ascii="宋体" w:hAnsi="宋体" w:eastAsia="宋体" w:cs="宋体"/>
          <w:color w:val="auto"/>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7C650B99">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5E1D3DF">
      <w:pPr>
        <w:pStyle w:val="24"/>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36" w:lineRule="auto"/>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pacing w:val="0"/>
          <w:w w:val="100"/>
          <w:kern w:val="0"/>
          <w:position w:val="0"/>
          <w:sz w:val="24"/>
          <w:szCs w:val="24"/>
        </w:rPr>
        <w:t>■</w:t>
      </w:r>
      <w:r>
        <w:rPr>
          <w:rFonts w:hint="eastAsia" w:ascii="宋体" w:hAnsi="宋体" w:eastAsia="宋体" w:cs="宋体"/>
          <w:color w:val="auto"/>
          <w:sz w:val="24"/>
          <w:szCs w:val="24"/>
        </w:rPr>
        <w:t>随机抽取</w:t>
      </w:r>
    </w:p>
    <w:p w14:paraId="626C9FCA">
      <w:pPr>
        <w:pStyle w:val="24"/>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36" w:lineRule="auto"/>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□其他方式，具体要求：</w:t>
      </w:r>
      <w:r>
        <w:rPr>
          <w:rFonts w:hint="eastAsia" w:ascii="宋体" w:hAnsi="宋体" w:cs="宋体"/>
          <w:color w:val="auto"/>
          <w:sz w:val="24"/>
          <w:u w:val="single"/>
          <w:lang w:val="en-US" w:eastAsia="zh-CN"/>
        </w:rPr>
        <w:t xml:space="preserve">   /   </w:t>
      </w:r>
    </w:p>
    <w:p w14:paraId="097C7C74">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433F6">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AD361A1">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评标委员会要对评分汇总情况进行复核，特别是对排名第一的、报价最低的、投标或响应文件被认定为无效的情形进行重点复核。</w:t>
      </w:r>
    </w:p>
    <w:p w14:paraId="06089531">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评标委员会将根据各投标人的评标排序，依次推荐本项目（各采购包）的中标候选人，起草并签署评标报告。本项目（各采购包）评标委员会共（各）推荐</w:t>
      </w:r>
      <w:r>
        <w:rPr>
          <w:rFonts w:hint="eastAsia" w:ascii="宋体" w:hAnsi="宋体" w:cs="宋体"/>
          <w:color w:val="auto"/>
          <w:sz w:val="24"/>
          <w:u w:val="single"/>
          <w:lang w:val="en-US" w:eastAsia="zh-CN"/>
        </w:rPr>
        <w:t xml:space="preserve">  3  </w:t>
      </w:r>
      <w:r>
        <w:rPr>
          <w:rFonts w:hint="eastAsia" w:ascii="宋体" w:hAnsi="宋体" w:eastAsia="宋体" w:cs="宋体"/>
          <w:color w:val="auto"/>
          <w:sz w:val="24"/>
        </w:rPr>
        <w:t>名中标候选人。</w:t>
      </w:r>
    </w:p>
    <w:p w14:paraId="2C618FCD">
      <w:pPr>
        <w:keepNext w:val="0"/>
        <w:keepLines w:val="0"/>
        <w:pageBreakBefore w:val="0"/>
        <w:widowControl w:val="0"/>
        <w:numPr>
          <w:ilvl w:val="0"/>
          <w:numId w:val="13"/>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rPr>
      </w:pPr>
      <w:r>
        <w:rPr>
          <w:rFonts w:hint="eastAsia" w:ascii="宋体" w:hAnsi="宋体" w:eastAsia="宋体" w:cs="宋体"/>
          <w:color w:val="auto"/>
          <w:sz w:val="24"/>
        </w:rPr>
        <w:t>报告违法行为</w:t>
      </w:r>
    </w:p>
    <w:p w14:paraId="6322A081">
      <w:pPr>
        <w:keepNext w:val="0"/>
        <w:keepLines w:val="0"/>
        <w:pageBreakBefore w:val="0"/>
        <w:widowControl w:val="0"/>
        <w:numPr>
          <w:ilvl w:val="1"/>
          <w:numId w:val="13"/>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rPr>
      </w:pPr>
      <w:r>
        <w:rPr>
          <w:rFonts w:hint="eastAsia" w:ascii="宋体" w:hAnsi="宋体" w:eastAsia="宋体" w:cs="宋体"/>
          <w:color w:val="auto"/>
          <w:sz w:val="24"/>
        </w:rPr>
        <w:t>评标委员会在评标过程中发现投标人有行贿、提供虚假材料或者串通等违法行为时，应当及时向财政部门报告。</w:t>
      </w:r>
    </w:p>
    <w:p w14:paraId="4B2E62F4">
      <w:pPr>
        <w:widowControl/>
        <w:jc w:val="left"/>
        <w:rPr>
          <w:rFonts w:hint="eastAsia" w:ascii="宋体" w:hAnsi="宋体" w:eastAsia="宋体" w:cs="宋体"/>
          <w:b/>
          <w:color w:val="auto"/>
          <w:sz w:val="24"/>
        </w:rPr>
      </w:pPr>
      <w:r>
        <w:rPr>
          <w:rFonts w:hint="eastAsia" w:ascii="宋体" w:hAnsi="宋体" w:eastAsia="宋体" w:cs="宋体"/>
          <w:b/>
          <w:color w:val="auto"/>
          <w:sz w:val="24"/>
        </w:rPr>
        <w:br w:type="page"/>
      </w:r>
    </w:p>
    <w:p w14:paraId="340C67D1">
      <w:pPr>
        <w:tabs>
          <w:tab w:val="left" w:pos="360"/>
          <w:tab w:val="left" w:pos="900"/>
        </w:tabs>
        <w:snapToGrid w:val="0"/>
        <w:spacing w:line="360" w:lineRule="auto"/>
        <w:jc w:val="center"/>
        <w:outlineLvl w:val="1"/>
        <w:rPr>
          <w:rFonts w:hint="eastAsia" w:ascii="宋体" w:hAnsi="宋体" w:eastAsia="宋体" w:cs="宋体"/>
          <w:b/>
          <w:color w:val="auto"/>
          <w:highlight w:val="none"/>
        </w:rPr>
      </w:pPr>
      <w:r>
        <w:rPr>
          <w:rFonts w:hint="eastAsia" w:ascii="宋体" w:hAnsi="宋体" w:eastAsia="宋体" w:cs="宋体"/>
          <w:b/>
          <w:color w:val="auto"/>
          <w:sz w:val="24"/>
          <w:highlight w:val="none"/>
        </w:rPr>
        <w:t>二、评标标准</w:t>
      </w:r>
    </w:p>
    <w:tbl>
      <w:tblPr>
        <w:tblStyle w:val="45"/>
        <w:tblW w:w="1003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43"/>
        <w:gridCol w:w="1109"/>
        <w:gridCol w:w="1371"/>
        <w:gridCol w:w="6910"/>
      </w:tblGrid>
      <w:tr w14:paraId="0CE89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643" w:type="dxa"/>
            <w:tcBorders>
              <w:top w:val="single" w:color="auto" w:sz="6" w:space="0"/>
              <w:left w:val="single" w:color="auto" w:sz="6" w:space="0"/>
              <w:bottom w:val="single" w:color="auto" w:sz="6" w:space="0"/>
              <w:right w:val="single" w:color="auto" w:sz="6" w:space="0"/>
            </w:tcBorders>
            <w:vAlign w:val="center"/>
          </w:tcPr>
          <w:p w14:paraId="43B0A9FE">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109" w:type="dxa"/>
            <w:tcBorders>
              <w:top w:val="single" w:color="auto" w:sz="6" w:space="0"/>
              <w:left w:val="single" w:color="auto" w:sz="6" w:space="0"/>
              <w:bottom w:val="single" w:color="auto" w:sz="6" w:space="0"/>
              <w:right w:val="single" w:color="auto" w:sz="6" w:space="0"/>
            </w:tcBorders>
            <w:vAlign w:val="center"/>
          </w:tcPr>
          <w:p w14:paraId="2774ED29">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w:t>
            </w:r>
          </w:p>
          <w:p w14:paraId="6B4A2423">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w:t>
            </w:r>
          </w:p>
        </w:tc>
        <w:tc>
          <w:tcPr>
            <w:tcW w:w="1371" w:type="dxa"/>
            <w:tcBorders>
              <w:top w:val="single" w:color="auto" w:sz="6" w:space="0"/>
              <w:left w:val="single" w:color="auto" w:sz="6" w:space="0"/>
              <w:bottom w:val="single" w:color="auto" w:sz="6" w:space="0"/>
              <w:right w:val="single" w:color="auto" w:sz="6" w:space="0"/>
            </w:tcBorders>
            <w:vAlign w:val="center"/>
          </w:tcPr>
          <w:p w14:paraId="4E04BDDE">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w:t>
            </w:r>
          </w:p>
        </w:tc>
        <w:tc>
          <w:tcPr>
            <w:tcW w:w="6910" w:type="dxa"/>
            <w:tcBorders>
              <w:top w:val="single" w:color="auto" w:sz="6" w:space="0"/>
              <w:left w:val="single" w:color="auto" w:sz="6" w:space="0"/>
              <w:bottom w:val="single" w:color="auto" w:sz="6" w:space="0"/>
              <w:right w:val="single" w:color="auto" w:sz="6" w:space="0"/>
            </w:tcBorders>
            <w:vAlign w:val="center"/>
          </w:tcPr>
          <w:p w14:paraId="6FA2557F">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评审细则</w:t>
            </w:r>
          </w:p>
        </w:tc>
      </w:tr>
      <w:tr w14:paraId="34105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643" w:type="dxa"/>
            <w:tcBorders>
              <w:top w:val="single" w:color="auto" w:sz="6" w:space="0"/>
              <w:left w:val="single" w:color="auto" w:sz="6" w:space="0"/>
              <w:bottom w:val="single" w:color="auto" w:sz="6" w:space="0"/>
              <w:right w:val="single" w:color="auto" w:sz="6" w:space="0"/>
            </w:tcBorders>
            <w:vAlign w:val="center"/>
          </w:tcPr>
          <w:p w14:paraId="0E648316">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p>
        </w:tc>
        <w:tc>
          <w:tcPr>
            <w:tcW w:w="1109" w:type="dxa"/>
            <w:tcBorders>
              <w:top w:val="single" w:color="auto" w:sz="6" w:space="0"/>
              <w:left w:val="single" w:color="auto" w:sz="6" w:space="0"/>
              <w:bottom w:val="single" w:color="auto" w:sz="6" w:space="0"/>
              <w:right w:val="single" w:color="auto" w:sz="6" w:space="0"/>
            </w:tcBorders>
            <w:vAlign w:val="center"/>
          </w:tcPr>
          <w:p w14:paraId="4490E5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p w14:paraId="139F0B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（30分）</w:t>
            </w:r>
          </w:p>
        </w:tc>
        <w:tc>
          <w:tcPr>
            <w:tcW w:w="1371" w:type="dxa"/>
            <w:tcBorders>
              <w:top w:val="single" w:color="auto" w:sz="6" w:space="0"/>
              <w:left w:val="single" w:color="auto" w:sz="6" w:space="0"/>
              <w:bottom w:val="single" w:color="auto" w:sz="6" w:space="0"/>
              <w:right w:val="single" w:color="auto" w:sz="6" w:space="0"/>
            </w:tcBorders>
            <w:vAlign w:val="center"/>
          </w:tcPr>
          <w:p w14:paraId="52A3EC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p w14:paraId="3E65A7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（30分）</w:t>
            </w:r>
          </w:p>
        </w:tc>
        <w:tc>
          <w:tcPr>
            <w:tcW w:w="6910" w:type="dxa"/>
            <w:tcBorders>
              <w:top w:val="single" w:color="auto" w:sz="6" w:space="0"/>
              <w:left w:val="single" w:color="auto" w:sz="6" w:space="0"/>
              <w:bottom w:val="single" w:color="auto" w:sz="6" w:space="0"/>
              <w:right w:val="single" w:color="auto" w:sz="6" w:space="0"/>
            </w:tcBorders>
            <w:vAlign w:val="center"/>
          </w:tcPr>
          <w:p w14:paraId="1D975160">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各投标人的价格得分:(投标基准价/投标报价)×30</w:t>
            </w:r>
          </w:p>
          <w:p w14:paraId="774675F8">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(注:实质性响应采购文件要求且最低报价的为投标基准价)</w:t>
            </w:r>
          </w:p>
        </w:tc>
      </w:tr>
      <w:tr w14:paraId="14B6F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643" w:type="dxa"/>
            <w:vMerge w:val="restart"/>
            <w:tcBorders>
              <w:top w:val="single" w:color="auto" w:sz="6" w:space="0"/>
              <w:left w:val="single" w:color="auto" w:sz="6" w:space="0"/>
              <w:right w:val="single" w:color="auto" w:sz="6" w:space="0"/>
            </w:tcBorders>
            <w:shd w:val="clear" w:color="auto" w:fill="auto"/>
            <w:vAlign w:val="center"/>
          </w:tcPr>
          <w:p w14:paraId="13E739AF">
            <w:pPr>
              <w:snapToGrid w:val="0"/>
              <w:spacing w:line="276"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2</w:t>
            </w:r>
          </w:p>
        </w:tc>
        <w:tc>
          <w:tcPr>
            <w:tcW w:w="1109" w:type="dxa"/>
            <w:vMerge w:val="restart"/>
            <w:tcBorders>
              <w:top w:val="single" w:color="auto" w:sz="6" w:space="0"/>
              <w:left w:val="single" w:color="auto" w:sz="6" w:space="0"/>
              <w:right w:val="single" w:color="auto" w:sz="6" w:space="0"/>
            </w:tcBorders>
            <w:shd w:val="clear" w:color="auto" w:fill="auto"/>
            <w:vAlign w:val="center"/>
          </w:tcPr>
          <w:p w14:paraId="7D5D9706">
            <w:pPr>
              <w:snapToGrid w:val="0"/>
              <w:spacing w:line="276" w:lineRule="auto"/>
              <w:jc w:val="center"/>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sz w:val="24"/>
                <w:szCs w:val="24"/>
              </w:rPr>
              <w:t>商务部分（20分）</w:t>
            </w:r>
          </w:p>
        </w:tc>
        <w:tc>
          <w:tcPr>
            <w:tcW w:w="1371" w:type="dxa"/>
            <w:tcBorders>
              <w:top w:val="single" w:color="auto" w:sz="6" w:space="0"/>
              <w:left w:val="single" w:color="auto" w:sz="6" w:space="0"/>
              <w:bottom w:val="single" w:color="auto" w:sz="6" w:space="0"/>
              <w:right w:val="single" w:color="auto" w:sz="6" w:space="0"/>
            </w:tcBorders>
            <w:shd w:val="clear" w:color="auto" w:fill="auto"/>
            <w:vAlign w:val="center"/>
          </w:tcPr>
          <w:p w14:paraId="1B6D3403">
            <w:pPr>
              <w:snapToGrid w:val="0"/>
              <w:spacing w:line="276" w:lineRule="auto"/>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项目业绩</w:t>
            </w:r>
          </w:p>
          <w:p w14:paraId="1F4AA89B">
            <w:pPr>
              <w:snapToGrid w:val="0"/>
              <w:spacing w:line="276"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zh-CN"/>
              </w:rPr>
              <w:t>（10分）</w:t>
            </w:r>
          </w:p>
        </w:tc>
        <w:tc>
          <w:tcPr>
            <w:tcW w:w="6910" w:type="dxa"/>
            <w:tcBorders>
              <w:top w:val="single" w:color="auto" w:sz="6" w:space="0"/>
              <w:left w:val="single" w:color="auto" w:sz="6" w:space="0"/>
              <w:bottom w:val="single" w:color="auto" w:sz="6" w:space="0"/>
              <w:right w:val="single" w:color="auto" w:sz="6" w:space="0"/>
            </w:tcBorders>
            <w:shd w:val="clear" w:color="auto" w:fill="auto"/>
            <w:vAlign w:val="center"/>
          </w:tcPr>
          <w:p w14:paraId="34C00A7F">
            <w:pPr>
              <w:snapToGrid w:val="0"/>
              <w:spacing w:line="276"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供应商自20</w:t>
            </w:r>
            <w:r>
              <w:rPr>
                <w:rFonts w:hint="eastAsia" w:ascii="宋体" w:hAnsi="宋体" w:eastAsia="宋体" w:cs="宋体"/>
                <w:color w:val="auto"/>
                <w:sz w:val="24"/>
                <w:szCs w:val="24"/>
              </w:rPr>
              <w:t>23</w:t>
            </w:r>
            <w:r>
              <w:rPr>
                <w:rFonts w:hint="eastAsia" w:ascii="宋体" w:hAnsi="宋体" w:eastAsia="宋体" w:cs="宋体"/>
                <w:color w:val="auto"/>
                <w:sz w:val="24"/>
                <w:szCs w:val="24"/>
                <w:lang w:val="zh-CN"/>
              </w:rPr>
              <w:t>年</w:t>
            </w:r>
            <w:r>
              <w:rPr>
                <w:rFonts w:hint="eastAsia" w:ascii="宋体" w:hAnsi="宋体" w:eastAsia="宋体" w:cs="宋体"/>
                <w:color w:val="auto"/>
                <w:sz w:val="24"/>
                <w:szCs w:val="24"/>
              </w:rPr>
              <w:t>1月1日</w:t>
            </w:r>
            <w:r>
              <w:rPr>
                <w:rFonts w:hint="eastAsia" w:ascii="宋体" w:hAnsi="宋体" w:eastAsia="宋体" w:cs="宋体"/>
                <w:color w:val="auto"/>
                <w:sz w:val="24"/>
                <w:szCs w:val="24"/>
                <w:lang w:val="zh-CN"/>
              </w:rPr>
              <w:t>以来承担并经竣工验收合格的信息系统集成类供货业绩。每提供一个有效业绩得2分，最高得10分。</w:t>
            </w:r>
          </w:p>
          <w:p w14:paraId="6AA3D960">
            <w:pPr>
              <w:snapToGrid w:val="0"/>
              <w:spacing w:line="276" w:lineRule="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sz w:val="24"/>
                <w:szCs w:val="24"/>
                <w:lang w:val="zh-CN"/>
              </w:rPr>
              <w:t>【</w:t>
            </w:r>
            <w:r>
              <w:rPr>
                <w:rFonts w:hint="eastAsia" w:ascii="宋体" w:hAnsi="宋体" w:eastAsia="宋体" w:cs="宋体"/>
                <w:color w:val="auto"/>
                <w:sz w:val="24"/>
                <w:szCs w:val="24"/>
                <w:lang w:val="zh-CN"/>
              </w:rPr>
              <w:t>须提供合同并附关键页（包含但不限于合同首页、内容页、金额页、签字盖章页及验收记录）复印件并加盖供应商公章，否则不予认可】。</w:t>
            </w:r>
          </w:p>
        </w:tc>
      </w:tr>
      <w:tr w14:paraId="4103A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643" w:type="dxa"/>
            <w:vMerge w:val="continue"/>
            <w:tcBorders>
              <w:left w:val="single" w:color="auto" w:sz="6" w:space="0"/>
              <w:right w:val="single" w:color="auto" w:sz="6" w:space="0"/>
            </w:tcBorders>
            <w:vAlign w:val="center"/>
          </w:tcPr>
          <w:p w14:paraId="3EAF3A84">
            <w:pPr>
              <w:widowControl/>
              <w:jc w:val="center"/>
              <w:rPr>
                <w:rFonts w:hint="eastAsia" w:ascii="宋体" w:hAnsi="宋体" w:eastAsia="宋体" w:cs="宋体"/>
                <w:b/>
                <w:color w:val="auto"/>
                <w:sz w:val="24"/>
                <w:szCs w:val="24"/>
                <w:highlight w:val="yellow"/>
              </w:rPr>
            </w:pPr>
          </w:p>
        </w:tc>
        <w:tc>
          <w:tcPr>
            <w:tcW w:w="1109" w:type="dxa"/>
            <w:vMerge w:val="continue"/>
            <w:tcBorders>
              <w:left w:val="single" w:color="auto" w:sz="6" w:space="0"/>
              <w:right w:val="single" w:color="auto" w:sz="6" w:space="0"/>
            </w:tcBorders>
            <w:vAlign w:val="center"/>
          </w:tcPr>
          <w:p w14:paraId="08FE0661">
            <w:pPr>
              <w:widowControl/>
              <w:jc w:val="center"/>
              <w:rPr>
                <w:rFonts w:hint="eastAsia" w:ascii="宋体" w:hAnsi="宋体" w:eastAsia="宋体" w:cs="宋体"/>
                <w:color w:val="auto"/>
                <w:sz w:val="24"/>
                <w:szCs w:val="24"/>
                <w:highlight w:val="yellow"/>
              </w:rPr>
            </w:pPr>
          </w:p>
        </w:tc>
        <w:tc>
          <w:tcPr>
            <w:tcW w:w="1371" w:type="dxa"/>
            <w:tcBorders>
              <w:top w:val="single" w:color="auto" w:sz="6" w:space="0"/>
              <w:left w:val="single" w:color="auto" w:sz="6" w:space="0"/>
              <w:bottom w:val="single" w:color="auto" w:sz="6" w:space="0"/>
              <w:right w:val="single" w:color="auto" w:sz="6" w:space="0"/>
            </w:tcBorders>
            <w:shd w:val="clear" w:color="auto" w:fill="auto"/>
            <w:vAlign w:val="center"/>
          </w:tcPr>
          <w:p w14:paraId="21634118">
            <w:pPr>
              <w:snapToGrid w:val="0"/>
              <w:spacing w:line="276" w:lineRule="auto"/>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投标人资质和信誉</w:t>
            </w:r>
          </w:p>
          <w:p w14:paraId="205A90C8">
            <w:pPr>
              <w:snapToGrid w:val="0"/>
              <w:spacing w:line="276" w:lineRule="auto"/>
              <w:jc w:val="center"/>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zh-CN"/>
              </w:rPr>
              <w:t>（3分）</w:t>
            </w:r>
          </w:p>
        </w:tc>
        <w:tc>
          <w:tcPr>
            <w:tcW w:w="6910" w:type="dxa"/>
            <w:tcBorders>
              <w:top w:val="single" w:color="auto" w:sz="6" w:space="0"/>
              <w:left w:val="single" w:color="auto" w:sz="6" w:space="0"/>
              <w:bottom w:val="single" w:color="auto" w:sz="6" w:space="0"/>
              <w:right w:val="single" w:color="auto" w:sz="6" w:space="0"/>
            </w:tcBorders>
            <w:shd w:val="clear" w:color="auto" w:fill="auto"/>
            <w:vAlign w:val="center"/>
          </w:tcPr>
          <w:p w14:paraId="2123B18C">
            <w:pPr>
              <w:snapToGrid w:val="0"/>
              <w:spacing w:line="276" w:lineRule="auto"/>
              <w:rPr>
                <w:rFonts w:hint="eastAsia" w:ascii="宋体" w:hAnsi="宋体" w:eastAsia="宋体" w:cs="宋体"/>
                <w:b/>
                <w:bCs/>
                <w:color w:val="auto"/>
                <w:kern w:val="2"/>
                <w:sz w:val="24"/>
                <w:szCs w:val="24"/>
                <w:lang w:val="zh-CN" w:eastAsia="zh-CN" w:bidi="ar-SA"/>
              </w:rPr>
            </w:pPr>
            <w:r>
              <w:rPr>
                <w:rFonts w:hint="eastAsia" w:ascii="宋体" w:hAnsi="宋体" w:eastAsia="宋体" w:cs="宋体"/>
                <w:color w:val="auto"/>
                <w:sz w:val="24"/>
                <w:szCs w:val="24"/>
                <w:lang w:val="zh-CN"/>
              </w:rPr>
              <w:t>投标人具有有效质量管理体系认证、环境管理体系认证、职业健康安全管理体系认证证书，每提供一个证书得</w:t>
            </w:r>
            <w:r>
              <w:rPr>
                <w:rFonts w:hint="eastAsia" w:ascii="宋体" w:hAnsi="宋体" w:eastAsia="宋体" w:cs="宋体"/>
                <w:color w:val="auto"/>
                <w:sz w:val="24"/>
                <w:szCs w:val="24"/>
              </w:rPr>
              <w:t>1</w:t>
            </w:r>
            <w:r>
              <w:rPr>
                <w:rFonts w:hint="eastAsia" w:ascii="宋体" w:hAnsi="宋体" w:eastAsia="宋体" w:cs="宋体"/>
                <w:color w:val="auto"/>
                <w:sz w:val="24"/>
                <w:szCs w:val="24"/>
                <w:lang w:val="zh-CN"/>
              </w:rPr>
              <w:t>分，最高得</w:t>
            </w:r>
            <w:r>
              <w:rPr>
                <w:rFonts w:hint="eastAsia" w:ascii="宋体" w:hAnsi="宋体" w:eastAsia="宋体" w:cs="宋体"/>
                <w:color w:val="auto"/>
                <w:sz w:val="24"/>
                <w:szCs w:val="24"/>
              </w:rPr>
              <w:t>3</w:t>
            </w:r>
            <w:r>
              <w:rPr>
                <w:rFonts w:hint="eastAsia" w:ascii="宋体" w:hAnsi="宋体" w:eastAsia="宋体" w:cs="宋体"/>
                <w:color w:val="auto"/>
                <w:sz w:val="24"/>
                <w:szCs w:val="24"/>
                <w:lang w:val="zh-CN"/>
              </w:rPr>
              <w:t>分。</w:t>
            </w:r>
          </w:p>
        </w:tc>
      </w:tr>
      <w:tr w14:paraId="6051F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643" w:type="dxa"/>
            <w:vMerge w:val="continue"/>
            <w:tcBorders>
              <w:left w:val="single" w:color="auto" w:sz="6" w:space="0"/>
              <w:bottom w:val="single" w:color="auto" w:sz="6" w:space="0"/>
              <w:right w:val="single" w:color="auto" w:sz="6" w:space="0"/>
            </w:tcBorders>
            <w:vAlign w:val="center"/>
          </w:tcPr>
          <w:p w14:paraId="78355D4B">
            <w:pPr>
              <w:widowControl/>
              <w:jc w:val="center"/>
              <w:rPr>
                <w:rFonts w:hint="eastAsia" w:ascii="宋体" w:hAnsi="宋体" w:eastAsia="宋体" w:cs="宋体"/>
                <w:b/>
                <w:color w:val="auto"/>
                <w:sz w:val="24"/>
                <w:szCs w:val="24"/>
                <w:highlight w:val="yellow"/>
              </w:rPr>
            </w:pPr>
          </w:p>
        </w:tc>
        <w:tc>
          <w:tcPr>
            <w:tcW w:w="1109" w:type="dxa"/>
            <w:vMerge w:val="continue"/>
            <w:tcBorders>
              <w:left w:val="single" w:color="auto" w:sz="6" w:space="0"/>
              <w:bottom w:val="single" w:color="auto" w:sz="6" w:space="0"/>
              <w:right w:val="single" w:color="auto" w:sz="6" w:space="0"/>
            </w:tcBorders>
            <w:vAlign w:val="center"/>
          </w:tcPr>
          <w:p w14:paraId="23F0AF59">
            <w:pPr>
              <w:widowControl/>
              <w:jc w:val="center"/>
              <w:rPr>
                <w:rFonts w:hint="eastAsia" w:ascii="宋体" w:hAnsi="宋体" w:eastAsia="宋体" w:cs="宋体"/>
                <w:color w:val="auto"/>
                <w:sz w:val="24"/>
                <w:szCs w:val="24"/>
                <w:highlight w:val="yellow"/>
              </w:rPr>
            </w:pPr>
          </w:p>
        </w:tc>
        <w:tc>
          <w:tcPr>
            <w:tcW w:w="1371" w:type="dxa"/>
            <w:tcBorders>
              <w:top w:val="single" w:color="auto" w:sz="6" w:space="0"/>
              <w:left w:val="single" w:color="auto" w:sz="6" w:space="0"/>
              <w:bottom w:val="single" w:color="auto" w:sz="6" w:space="0"/>
              <w:right w:val="single" w:color="auto" w:sz="6" w:space="0"/>
            </w:tcBorders>
            <w:shd w:val="clear" w:color="auto" w:fill="auto"/>
            <w:vAlign w:val="center"/>
          </w:tcPr>
          <w:p w14:paraId="266E093F">
            <w:pPr>
              <w:snapToGrid w:val="0"/>
              <w:spacing w:line="276" w:lineRule="auto"/>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项目团队人员配置</w:t>
            </w:r>
          </w:p>
          <w:p w14:paraId="5686E5DA">
            <w:pPr>
              <w:snapToGrid w:val="0"/>
              <w:spacing w:line="276" w:lineRule="auto"/>
              <w:jc w:val="center"/>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zh-CN"/>
              </w:rPr>
              <w:t>（7分）</w:t>
            </w:r>
          </w:p>
        </w:tc>
        <w:tc>
          <w:tcPr>
            <w:tcW w:w="6910" w:type="dxa"/>
            <w:tcBorders>
              <w:top w:val="single" w:color="auto" w:sz="6" w:space="0"/>
              <w:left w:val="single" w:color="auto" w:sz="6" w:space="0"/>
              <w:bottom w:val="single" w:color="auto" w:sz="6" w:space="0"/>
              <w:right w:val="single" w:color="auto" w:sz="6" w:space="0"/>
            </w:tcBorders>
            <w:shd w:val="clear" w:color="auto" w:fill="auto"/>
            <w:vAlign w:val="center"/>
          </w:tcPr>
          <w:p w14:paraId="228CEE19">
            <w:pPr>
              <w:snapToGrid w:val="0"/>
              <w:spacing w:line="276"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1.投标人项目拟投入服务人员配置情况</w:t>
            </w:r>
          </w:p>
          <w:p w14:paraId="377F91EB">
            <w:pPr>
              <w:snapToGrid w:val="0"/>
              <w:spacing w:line="276"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每提供一个电子信息类工程师中级及以上职称证书的得1分，最多得5分；</w:t>
            </w:r>
          </w:p>
          <w:p w14:paraId="3B7132E9">
            <w:pPr>
              <w:snapToGrid w:val="0"/>
              <w:spacing w:line="276"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2.项目经理</w:t>
            </w:r>
          </w:p>
          <w:p w14:paraId="6C82B569">
            <w:pPr>
              <w:snapToGrid w:val="0"/>
              <w:spacing w:line="276"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zh-CN"/>
              </w:rPr>
              <w:t>具有高级电子信息工程师职称证书的得</w:t>
            </w:r>
            <w:r>
              <w:rPr>
                <w:rFonts w:hint="eastAsia" w:ascii="宋体" w:hAnsi="宋体" w:eastAsia="宋体" w:cs="宋体"/>
                <w:color w:val="auto"/>
                <w:sz w:val="24"/>
                <w:szCs w:val="24"/>
              </w:rPr>
              <w:t>2分</w:t>
            </w:r>
            <w:r>
              <w:rPr>
                <w:rFonts w:hint="eastAsia" w:ascii="宋体" w:hAnsi="宋体" w:eastAsia="宋体" w:cs="宋体"/>
                <w:color w:val="auto"/>
                <w:sz w:val="24"/>
                <w:szCs w:val="24"/>
                <w:lang w:eastAsia="zh-CN"/>
              </w:rPr>
              <w:t>；</w:t>
            </w:r>
          </w:p>
          <w:p w14:paraId="405B7421">
            <w:pPr>
              <w:snapToGrid w:val="0"/>
              <w:spacing w:line="276" w:lineRule="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rPr>
              <w:t>具有</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val="zh-CN"/>
              </w:rPr>
              <w:t>级电子信息工程师职称证书的得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14:paraId="21DFB5B3">
            <w:pPr>
              <w:snapToGrid w:val="0"/>
              <w:spacing w:line="276"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其他</w:t>
            </w:r>
            <w:r>
              <w:rPr>
                <w:rFonts w:hint="eastAsia" w:ascii="宋体" w:hAnsi="宋体" w:eastAsia="宋体" w:cs="宋体"/>
                <w:color w:val="auto"/>
                <w:sz w:val="24"/>
                <w:szCs w:val="24"/>
                <w:lang w:val="zh-CN"/>
              </w:rPr>
              <w:t>不得分。</w:t>
            </w:r>
          </w:p>
          <w:p w14:paraId="1B4C5D7E">
            <w:pPr>
              <w:snapToGrid w:val="0"/>
              <w:spacing w:line="276" w:lineRule="auto"/>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zh-CN"/>
              </w:rPr>
              <w:t>【以上需提供相关证明材料</w:t>
            </w:r>
            <w:r>
              <w:rPr>
                <w:rFonts w:hint="eastAsia" w:ascii="宋体" w:hAnsi="宋体" w:eastAsia="宋体" w:cs="宋体"/>
                <w:b/>
                <w:bCs/>
                <w:color w:val="auto"/>
                <w:sz w:val="24"/>
                <w:szCs w:val="24"/>
                <w:lang w:val="zh-CN"/>
              </w:rPr>
              <w:t>（职称证书及</w:t>
            </w:r>
            <w:r>
              <w:rPr>
                <w:rFonts w:hint="eastAsia" w:ascii="宋体" w:hAnsi="宋体" w:eastAsia="宋体" w:cs="宋体"/>
                <w:b/>
                <w:bCs/>
                <w:color w:val="auto"/>
                <w:sz w:val="24"/>
                <w:szCs w:val="24"/>
                <w:lang w:val="en-US" w:eastAsia="zh-CN"/>
              </w:rPr>
              <w:t>近半年任意一个月</w:t>
            </w:r>
            <w:r>
              <w:rPr>
                <w:rFonts w:hint="eastAsia" w:ascii="宋体" w:hAnsi="宋体" w:eastAsia="宋体" w:cs="宋体"/>
                <w:b/>
                <w:bCs/>
                <w:color w:val="auto"/>
                <w:sz w:val="24"/>
                <w:szCs w:val="24"/>
                <w:lang w:val="zh-CN"/>
              </w:rPr>
              <w:t>社保证明）</w:t>
            </w:r>
            <w:r>
              <w:rPr>
                <w:rFonts w:hint="eastAsia" w:ascii="宋体" w:hAnsi="宋体" w:eastAsia="宋体" w:cs="宋体"/>
                <w:color w:val="auto"/>
                <w:sz w:val="24"/>
                <w:szCs w:val="24"/>
                <w:lang w:val="zh-CN"/>
              </w:rPr>
              <w:t>复印件且加盖公章】。</w:t>
            </w:r>
          </w:p>
        </w:tc>
      </w:tr>
      <w:tr w14:paraId="73F41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3" w:hRule="atLeast"/>
          <w:jc w:val="center"/>
        </w:trPr>
        <w:tc>
          <w:tcPr>
            <w:tcW w:w="643" w:type="dxa"/>
            <w:vMerge w:val="restart"/>
            <w:tcBorders>
              <w:top w:val="single" w:color="auto" w:sz="6" w:space="0"/>
              <w:left w:val="single" w:color="auto" w:sz="6" w:space="0"/>
              <w:right w:val="single" w:color="auto" w:sz="6" w:space="0"/>
            </w:tcBorders>
            <w:vAlign w:val="center"/>
          </w:tcPr>
          <w:p w14:paraId="58EF8943">
            <w:pPr>
              <w:widowControl/>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3</w:t>
            </w:r>
          </w:p>
        </w:tc>
        <w:tc>
          <w:tcPr>
            <w:tcW w:w="1109" w:type="dxa"/>
            <w:vMerge w:val="restart"/>
            <w:tcBorders>
              <w:top w:val="single" w:color="auto" w:sz="6" w:space="0"/>
              <w:left w:val="single" w:color="auto" w:sz="6" w:space="0"/>
              <w:right w:val="single" w:color="auto" w:sz="6" w:space="0"/>
            </w:tcBorders>
            <w:vAlign w:val="center"/>
          </w:tcPr>
          <w:p w14:paraId="72AFBFC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w:t>
            </w:r>
          </w:p>
          <w:p w14:paraId="1259A1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部分</w:t>
            </w:r>
          </w:p>
          <w:p w14:paraId="61A6A1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48</w:t>
            </w:r>
            <w:r>
              <w:rPr>
                <w:rFonts w:hint="eastAsia" w:ascii="宋体" w:hAnsi="宋体" w:eastAsia="宋体" w:cs="宋体"/>
                <w:color w:val="auto"/>
                <w:sz w:val="24"/>
                <w:szCs w:val="24"/>
                <w:highlight w:val="none"/>
              </w:rPr>
              <w:t>分）</w:t>
            </w:r>
          </w:p>
        </w:tc>
        <w:tc>
          <w:tcPr>
            <w:tcW w:w="1371" w:type="dxa"/>
            <w:tcBorders>
              <w:top w:val="single" w:color="auto" w:sz="6" w:space="0"/>
              <w:left w:val="single" w:color="auto" w:sz="6" w:space="0"/>
              <w:right w:val="single" w:color="auto" w:sz="6" w:space="0"/>
            </w:tcBorders>
            <w:vAlign w:val="center"/>
          </w:tcPr>
          <w:p w14:paraId="6F3F0C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基础分</w:t>
            </w:r>
          </w:p>
          <w:p w14:paraId="15DF34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分）</w:t>
            </w:r>
          </w:p>
        </w:tc>
        <w:tc>
          <w:tcPr>
            <w:tcW w:w="6910" w:type="dxa"/>
            <w:tcBorders>
              <w:top w:val="single" w:color="auto" w:sz="6" w:space="0"/>
              <w:left w:val="single" w:color="auto" w:sz="6" w:space="0"/>
              <w:bottom w:val="single" w:color="auto" w:sz="6" w:space="0"/>
              <w:right w:val="single" w:color="auto" w:sz="6" w:space="0"/>
            </w:tcBorders>
            <w:vAlign w:val="center"/>
          </w:tcPr>
          <w:p w14:paraId="2D490575">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评委根据投标人的投标文件打分:</w:t>
            </w:r>
          </w:p>
          <w:p w14:paraId="6B55DC33">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(1)全部满足采购文件技术要求得</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分；</w:t>
            </w:r>
          </w:p>
          <w:p w14:paraId="7FC0598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一般性技术指标每有一项负偏离扣减</w:t>
            </w:r>
            <w:r>
              <w:rPr>
                <w:rFonts w:hint="eastAsia" w:ascii="宋体" w:hAnsi="宋体" w:eastAsia="宋体" w:cs="宋体"/>
                <w:color w:val="auto"/>
                <w:sz w:val="24"/>
                <w:szCs w:val="24"/>
                <w:highlight w:val="none"/>
                <w:lang w:val="en-US" w:eastAsia="zh-CN"/>
              </w:rPr>
              <w:t>0.1</w:t>
            </w:r>
            <w:r>
              <w:rPr>
                <w:rFonts w:hint="eastAsia" w:ascii="宋体" w:hAnsi="宋体" w:eastAsia="宋体" w:cs="宋体"/>
                <w:color w:val="auto"/>
                <w:sz w:val="24"/>
                <w:szCs w:val="24"/>
                <w:highlight w:val="none"/>
              </w:rPr>
              <w:t>分,</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项技术指标每有一项负偏离扣</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分，本项目总</w:t>
            </w:r>
            <w:r>
              <w:rPr>
                <w:rFonts w:hint="eastAsia" w:ascii="宋体" w:hAnsi="宋体" w:eastAsia="宋体" w:cs="宋体"/>
                <w:b w:val="0"/>
                <w:bCs w:val="0"/>
                <w:color w:val="auto"/>
                <w:sz w:val="24"/>
                <w:szCs w:val="24"/>
                <w:highlight w:val="none"/>
              </w:rPr>
              <w:t>计</w:t>
            </w: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项</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项</w:t>
            </w:r>
            <w:r>
              <w:rPr>
                <w:rFonts w:hint="eastAsia" w:ascii="宋体" w:hAnsi="宋体" w:eastAsia="宋体" w:cs="宋体"/>
                <w:color w:val="auto"/>
                <w:sz w:val="24"/>
                <w:szCs w:val="24"/>
                <w:highlight w:val="none"/>
              </w:rPr>
              <w:t>技术指标。</w:t>
            </w:r>
          </w:p>
        </w:tc>
      </w:tr>
      <w:tr w14:paraId="5B7A1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3" w:type="dxa"/>
            <w:vMerge w:val="continue"/>
            <w:tcBorders>
              <w:left w:val="single" w:color="auto" w:sz="6" w:space="0"/>
              <w:right w:val="single" w:color="auto" w:sz="6" w:space="0"/>
            </w:tcBorders>
            <w:vAlign w:val="center"/>
          </w:tcPr>
          <w:p w14:paraId="4A98181B">
            <w:pPr>
              <w:widowControl/>
              <w:jc w:val="center"/>
              <w:rPr>
                <w:rFonts w:hint="eastAsia" w:ascii="宋体" w:hAnsi="宋体" w:eastAsia="宋体" w:cs="宋体"/>
                <w:b/>
                <w:color w:val="auto"/>
                <w:sz w:val="24"/>
                <w:szCs w:val="24"/>
                <w:highlight w:val="none"/>
              </w:rPr>
            </w:pPr>
          </w:p>
        </w:tc>
        <w:tc>
          <w:tcPr>
            <w:tcW w:w="1109" w:type="dxa"/>
            <w:vMerge w:val="continue"/>
            <w:tcBorders>
              <w:left w:val="single" w:color="auto" w:sz="6" w:space="0"/>
              <w:right w:val="single" w:color="auto" w:sz="6" w:space="0"/>
            </w:tcBorders>
            <w:vAlign w:val="center"/>
          </w:tcPr>
          <w:p w14:paraId="42DB2DF0">
            <w:pPr>
              <w:widowControl/>
              <w:jc w:val="center"/>
              <w:rPr>
                <w:rFonts w:hint="eastAsia" w:ascii="宋体" w:hAnsi="宋体" w:eastAsia="宋体" w:cs="宋体"/>
                <w:color w:val="auto"/>
                <w:sz w:val="24"/>
                <w:szCs w:val="24"/>
                <w:highlight w:val="none"/>
              </w:rPr>
            </w:pPr>
          </w:p>
        </w:tc>
        <w:tc>
          <w:tcPr>
            <w:tcW w:w="1371" w:type="dxa"/>
            <w:tcBorders>
              <w:top w:val="single" w:color="auto" w:sz="6" w:space="0"/>
              <w:left w:val="single" w:color="auto" w:sz="6" w:space="0"/>
              <w:right w:val="single" w:color="auto" w:sz="6" w:space="0"/>
            </w:tcBorders>
            <w:vAlign w:val="center"/>
          </w:tcPr>
          <w:p w14:paraId="720CD0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w:t>
            </w:r>
          </w:p>
          <w:p w14:paraId="4BDE4D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w:t>
            </w:r>
          </w:p>
          <w:p w14:paraId="441687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6910" w:type="dxa"/>
            <w:tcBorders>
              <w:top w:val="single" w:color="auto" w:sz="6" w:space="0"/>
              <w:left w:val="single" w:color="auto" w:sz="6" w:space="0"/>
              <w:right w:val="single" w:color="auto" w:sz="6" w:space="0"/>
            </w:tcBorders>
            <w:vAlign w:val="center"/>
          </w:tcPr>
          <w:p w14:paraId="03BEB73C">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根据招标要求和投标技术响应情况，对供应商提供的供货方案进行评价,其中：（1）配送方式（2）供货时间（</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）货物交接的具体技术方案，进行评价：</w:t>
            </w:r>
          </w:p>
          <w:p w14:paraId="48589E0C">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w:t>
            </w: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rPr>
              <w:t>项内容均进行了阐述且满足采购需求的得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p w14:paraId="1F98966E">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每有一项内容虽阐述但未贴合项目实际情况进行论述，或内容中未包括具体实施细节及措施，扣</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195B928D">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每有一项内容未阐述或不符合项目实际情况且未提供具体实施细节及措施，扣</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分，最低得0分。</w:t>
            </w:r>
          </w:p>
        </w:tc>
      </w:tr>
      <w:tr w14:paraId="3B81D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643" w:type="dxa"/>
            <w:vMerge w:val="continue"/>
            <w:tcBorders>
              <w:left w:val="single" w:color="auto" w:sz="6" w:space="0"/>
              <w:right w:val="single" w:color="auto" w:sz="6" w:space="0"/>
            </w:tcBorders>
            <w:vAlign w:val="center"/>
          </w:tcPr>
          <w:p w14:paraId="31001E88">
            <w:pPr>
              <w:widowControl/>
              <w:jc w:val="center"/>
              <w:rPr>
                <w:rFonts w:hint="eastAsia" w:ascii="宋体" w:hAnsi="宋体" w:eastAsia="宋体" w:cs="宋体"/>
                <w:b/>
                <w:color w:val="auto"/>
                <w:sz w:val="24"/>
                <w:szCs w:val="24"/>
                <w:highlight w:val="yellow"/>
              </w:rPr>
            </w:pPr>
          </w:p>
        </w:tc>
        <w:tc>
          <w:tcPr>
            <w:tcW w:w="1109" w:type="dxa"/>
            <w:vMerge w:val="continue"/>
            <w:tcBorders>
              <w:left w:val="single" w:color="auto" w:sz="6" w:space="0"/>
              <w:right w:val="single" w:color="auto" w:sz="6" w:space="0"/>
            </w:tcBorders>
            <w:vAlign w:val="center"/>
          </w:tcPr>
          <w:p w14:paraId="6E2D85F7">
            <w:pPr>
              <w:widowControl/>
              <w:jc w:val="center"/>
              <w:rPr>
                <w:rFonts w:hint="eastAsia" w:ascii="宋体" w:hAnsi="宋体" w:eastAsia="宋体" w:cs="宋体"/>
                <w:color w:val="auto"/>
                <w:sz w:val="24"/>
                <w:szCs w:val="24"/>
                <w:highlight w:val="yellow"/>
              </w:rPr>
            </w:pPr>
          </w:p>
        </w:tc>
        <w:tc>
          <w:tcPr>
            <w:tcW w:w="1371" w:type="dxa"/>
            <w:tcBorders>
              <w:top w:val="single" w:color="auto" w:sz="6" w:space="0"/>
              <w:left w:val="single" w:color="auto" w:sz="6" w:space="0"/>
              <w:right w:val="single" w:color="auto" w:sz="6" w:space="0"/>
            </w:tcBorders>
            <w:vAlign w:val="center"/>
          </w:tcPr>
          <w:p w14:paraId="305FEB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项目实施方案</w:t>
            </w:r>
          </w:p>
          <w:p w14:paraId="399AD0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6910" w:type="dxa"/>
            <w:tcBorders>
              <w:top w:val="single" w:color="auto" w:sz="6" w:space="0"/>
              <w:left w:val="single" w:color="auto" w:sz="6" w:space="0"/>
              <w:right w:val="single" w:color="auto" w:sz="6" w:space="0"/>
            </w:tcBorders>
            <w:vAlign w:val="center"/>
          </w:tcPr>
          <w:p w14:paraId="058D5B28">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根据招标要求和投标技术响应情况，对供应商提供的项目实施方案进行评价,其中：（1）应急保障措施（2）备品备件情况（3）人员配备及整体水平</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技术方案及保障措施，进行评价：</w:t>
            </w:r>
          </w:p>
          <w:p w14:paraId="3B596072">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w:t>
            </w: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项内容均进行了阐述且满足采购需求的得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p w14:paraId="7B9DB31C">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每有一项内容虽阐述但未贴合项目实际情况进行论述，或内容中未包括具体实施细节及措施，扣</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p w14:paraId="7ED3CD8F">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每有一项内容未阐述或不符合项目实际情况且未提供具体实施细节及措施，扣</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分，最低得0分。</w:t>
            </w:r>
          </w:p>
        </w:tc>
      </w:tr>
      <w:tr w14:paraId="1E48A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6" w:hRule="atLeast"/>
          <w:jc w:val="center"/>
        </w:trPr>
        <w:tc>
          <w:tcPr>
            <w:tcW w:w="643" w:type="dxa"/>
            <w:vMerge w:val="continue"/>
            <w:tcBorders>
              <w:left w:val="single" w:color="auto" w:sz="6" w:space="0"/>
              <w:right w:val="single" w:color="auto" w:sz="6" w:space="0"/>
            </w:tcBorders>
            <w:vAlign w:val="center"/>
          </w:tcPr>
          <w:p w14:paraId="76536255">
            <w:pPr>
              <w:widowControl/>
              <w:jc w:val="center"/>
              <w:rPr>
                <w:rFonts w:hint="eastAsia" w:ascii="宋体" w:hAnsi="宋体" w:eastAsia="宋体" w:cs="宋体"/>
                <w:b/>
                <w:color w:val="auto"/>
                <w:sz w:val="24"/>
                <w:szCs w:val="24"/>
                <w:highlight w:val="yellow"/>
              </w:rPr>
            </w:pPr>
          </w:p>
        </w:tc>
        <w:tc>
          <w:tcPr>
            <w:tcW w:w="1109" w:type="dxa"/>
            <w:vMerge w:val="continue"/>
            <w:tcBorders>
              <w:left w:val="single" w:color="auto" w:sz="6" w:space="0"/>
              <w:right w:val="single" w:color="auto" w:sz="6" w:space="0"/>
            </w:tcBorders>
            <w:vAlign w:val="center"/>
          </w:tcPr>
          <w:p w14:paraId="79074507">
            <w:pPr>
              <w:widowControl/>
              <w:jc w:val="center"/>
              <w:rPr>
                <w:rFonts w:hint="eastAsia" w:ascii="宋体" w:hAnsi="宋体" w:eastAsia="宋体" w:cs="宋体"/>
                <w:color w:val="auto"/>
                <w:sz w:val="24"/>
                <w:szCs w:val="24"/>
                <w:highlight w:val="yellow"/>
              </w:rPr>
            </w:pPr>
          </w:p>
        </w:tc>
        <w:tc>
          <w:tcPr>
            <w:tcW w:w="1371" w:type="dxa"/>
            <w:tcBorders>
              <w:top w:val="single" w:color="auto" w:sz="6" w:space="0"/>
              <w:left w:val="single" w:color="auto" w:sz="6" w:space="0"/>
              <w:bottom w:val="single" w:color="auto" w:sz="6" w:space="0"/>
              <w:right w:val="single" w:color="auto" w:sz="6" w:space="0"/>
            </w:tcBorders>
            <w:vAlign w:val="center"/>
          </w:tcPr>
          <w:p w14:paraId="24FC79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w:t>
            </w:r>
          </w:p>
          <w:p w14:paraId="5DF940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务方案（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910" w:type="dxa"/>
            <w:tcBorders>
              <w:top w:val="single" w:color="auto" w:sz="6" w:space="0"/>
              <w:left w:val="single" w:color="auto" w:sz="6" w:space="0"/>
              <w:bottom w:val="single" w:color="auto" w:sz="6" w:space="0"/>
              <w:right w:val="single" w:color="auto" w:sz="6" w:space="0"/>
            </w:tcBorders>
            <w:vAlign w:val="center"/>
          </w:tcPr>
          <w:p w14:paraId="699B80EC">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根据招标要求和投标技术响应情况，对供应商提供的售后及培训服务方案进行评价，其中：（1）售后服务承诺及保障措施，（2）响应及处理周期，，（</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）培训服务方案及目标，（</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）培训人员整体水平，进行评价：</w:t>
            </w:r>
          </w:p>
          <w:p w14:paraId="0A8B6DC6">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上述</w:t>
            </w:r>
            <w:r>
              <w:rPr>
                <w:rFonts w:hint="eastAsia" w:ascii="宋体" w:hAnsi="宋体" w:cs="宋体"/>
                <w:color w:val="auto"/>
                <w:kern w:val="0"/>
                <w:sz w:val="24"/>
                <w:szCs w:val="24"/>
                <w:highlight w:val="none"/>
                <w:lang w:val="en-US" w:eastAsia="zh-CN"/>
              </w:rPr>
              <w:t>四</w:t>
            </w:r>
            <w:r>
              <w:rPr>
                <w:rFonts w:hint="eastAsia" w:ascii="宋体" w:hAnsi="宋体" w:eastAsia="宋体" w:cs="宋体"/>
                <w:color w:val="auto"/>
                <w:kern w:val="0"/>
                <w:sz w:val="24"/>
                <w:szCs w:val="24"/>
                <w:highlight w:val="none"/>
              </w:rPr>
              <w:t>项内容均进行了阐述且满足采购需求得</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分；</w:t>
            </w:r>
          </w:p>
          <w:p w14:paraId="4B21B66D">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每有1项内容虽阐述但未贴合项目实际情况进行论述，或内容中未包括具体实施细节及措施，扣1分；</w:t>
            </w:r>
          </w:p>
          <w:p w14:paraId="5AD86E0F">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每有1项内容未阐述或不符合项目实际情况且未提供具体实施细节及措施，扣</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分，最低得0分。</w:t>
            </w:r>
          </w:p>
        </w:tc>
      </w:tr>
      <w:tr w14:paraId="55302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6" w:hRule="atLeast"/>
          <w:jc w:val="center"/>
        </w:trPr>
        <w:tc>
          <w:tcPr>
            <w:tcW w:w="643" w:type="dxa"/>
            <w:vMerge w:val="continue"/>
            <w:tcBorders>
              <w:left w:val="single" w:color="auto" w:sz="6" w:space="0"/>
              <w:right w:val="single" w:color="auto" w:sz="6" w:space="0"/>
            </w:tcBorders>
            <w:vAlign w:val="center"/>
          </w:tcPr>
          <w:p w14:paraId="0F315EAB">
            <w:pPr>
              <w:widowControl/>
              <w:jc w:val="center"/>
              <w:rPr>
                <w:rFonts w:hint="eastAsia" w:ascii="宋体" w:hAnsi="宋体" w:eastAsia="宋体" w:cs="宋体"/>
                <w:b/>
                <w:color w:val="auto"/>
                <w:sz w:val="24"/>
                <w:szCs w:val="24"/>
                <w:highlight w:val="yellow"/>
              </w:rPr>
            </w:pPr>
          </w:p>
        </w:tc>
        <w:tc>
          <w:tcPr>
            <w:tcW w:w="1109" w:type="dxa"/>
            <w:vMerge w:val="continue"/>
            <w:tcBorders>
              <w:left w:val="single" w:color="auto" w:sz="6" w:space="0"/>
              <w:right w:val="single" w:color="auto" w:sz="6" w:space="0"/>
            </w:tcBorders>
            <w:vAlign w:val="center"/>
          </w:tcPr>
          <w:p w14:paraId="0BF58AE1">
            <w:pPr>
              <w:widowControl/>
              <w:jc w:val="center"/>
              <w:rPr>
                <w:rFonts w:hint="eastAsia" w:ascii="宋体" w:hAnsi="宋体" w:eastAsia="宋体" w:cs="宋体"/>
                <w:color w:val="auto"/>
                <w:sz w:val="24"/>
                <w:szCs w:val="24"/>
                <w:highlight w:val="yellow"/>
              </w:rPr>
            </w:pPr>
          </w:p>
        </w:tc>
        <w:tc>
          <w:tcPr>
            <w:tcW w:w="1371" w:type="dxa"/>
            <w:tcBorders>
              <w:top w:val="single" w:color="auto" w:sz="6" w:space="0"/>
              <w:left w:val="single" w:color="auto" w:sz="6" w:space="0"/>
              <w:bottom w:val="single" w:color="auto" w:sz="6" w:space="0"/>
              <w:right w:val="single" w:color="auto" w:sz="6" w:space="0"/>
            </w:tcBorders>
            <w:vAlign w:val="center"/>
          </w:tcPr>
          <w:p w14:paraId="4F23BD3D">
            <w:pPr>
              <w:widowControl/>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质保年限承诺（2分）</w:t>
            </w:r>
          </w:p>
        </w:tc>
        <w:tc>
          <w:tcPr>
            <w:tcW w:w="6910" w:type="dxa"/>
            <w:tcBorders>
              <w:top w:val="single" w:color="auto" w:sz="6" w:space="0"/>
              <w:left w:val="single" w:color="auto" w:sz="6" w:space="0"/>
              <w:bottom w:val="single" w:color="auto" w:sz="6" w:space="0"/>
              <w:right w:val="single" w:color="auto" w:sz="6" w:space="0"/>
            </w:tcBorders>
          </w:tcPr>
          <w:p w14:paraId="4530C9A8">
            <w:pPr>
              <w:widowControl/>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承诺免费质保 2 年为基础标准，质保期每增加</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val="en-US" w:eastAsia="zh-CN"/>
              </w:rPr>
              <w:t xml:space="preserve">年加 </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 xml:space="preserve"> 分，本项加分最高 2 分。</w:t>
            </w:r>
            <w:r>
              <w:rPr>
                <w:rFonts w:hint="eastAsia" w:ascii="宋体" w:hAnsi="宋体" w:eastAsia="宋体" w:cs="宋体"/>
                <w:b/>
                <w:bCs/>
                <w:color w:val="auto"/>
                <w:kern w:val="0"/>
                <w:sz w:val="24"/>
                <w:szCs w:val="24"/>
                <w:highlight w:val="none"/>
                <w:lang w:val="en-US" w:eastAsia="zh-CN"/>
              </w:rPr>
              <w:t>（提供免费质保承诺函，没有不得分）</w:t>
            </w:r>
          </w:p>
        </w:tc>
      </w:tr>
      <w:tr w14:paraId="72589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6" w:hRule="atLeast"/>
          <w:jc w:val="center"/>
        </w:trPr>
        <w:tc>
          <w:tcPr>
            <w:tcW w:w="643" w:type="dxa"/>
            <w:vMerge w:val="restart"/>
            <w:tcBorders>
              <w:left w:val="single" w:color="auto" w:sz="6" w:space="0"/>
              <w:right w:val="single" w:color="auto" w:sz="6" w:space="0"/>
            </w:tcBorders>
            <w:vAlign w:val="center"/>
          </w:tcPr>
          <w:p w14:paraId="4E3A1768">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w:t>
            </w:r>
          </w:p>
        </w:tc>
        <w:tc>
          <w:tcPr>
            <w:tcW w:w="1109" w:type="dxa"/>
            <w:vMerge w:val="restart"/>
            <w:tcBorders>
              <w:left w:val="single" w:color="auto" w:sz="6" w:space="0"/>
              <w:right w:val="single" w:color="auto" w:sz="6" w:space="0"/>
            </w:tcBorders>
            <w:vAlign w:val="center"/>
          </w:tcPr>
          <w:p w14:paraId="13C348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政策功能部分</w:t>
            </w:r>
          </w:p>
          <w:p w14:paraId="3FB50E68">
            <w:pPr>
              <w:pStyle w:val="43"/>
              <w:widowControl/>
              <w:spacing w:after="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w:t>
            </w:r>
          </w:p>
        </w:tc>
        <w:tc>
          <w:tcPr>
            <w:tcW w:w="1371" w:type="dxa"/>
            <w:tcBorders>
              <w:top w:val="single" w:color="auto" w:sz="6" w:space="0"/>
              <w:left w:val="single" w:color="auto" w:sz="6" w:space="0"/>
              <w:bottom w:val="single" w:color="auto" w:sz="6" w:space="0"/>
              <w:right w:val="single" w:color="auto" w:sz="6" w:space="0"/>
            </w:tcBorders>
            <w:vAlign w:val="center"/>
          </w:tcPr>
          <w:p w14:paraId="66B529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w:t>
            </w:r>
          </w:p>
          <w:p w14:paraId="50EEE6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（1分）</w:t>
            </w:r>
          </w:p>
        </w:tc>
        <w:tc>
          <w:tcPr>
            <w:tcW w:w="6910" w:type="dxa"/>
            <w:tcBorders>
              <w:top w:val="single" w:color="auto" w:sz="6" w:space="0"/>
              <w:left w:val="single" w:color="auto" w:sz="6" w:space="0"/>
              <w:bottom w:val="single" w:color="auto" w:sz="6" w:space="0"/>
              <w:right w:val="single" w:color="auto" w:sz="6" w:space="0"/>
            </w:tcBorders>
            <w:vAlign w:val="center"/>
          </w:tcPr>
          <w:p w14:paraId="0EBC886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投标人所投货物具有中国环境标志产品认证证书，且认证证书在有效截止日期内，得1分(提供复印件并加盖投标人公章，未提供不得分)</w:t>
            </w:r>
          </w:p>
        </w:tc>
      </w:tr>
      <w:tr w14:paraId="3040D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6" w:hRule="atLeast"/>
          <w:jc w:val="center"/>
        </w:trPr>
        <w:tc>
          <w:tcPr>
            <w:tcW w:w="643" w:type="dxa"/>
            <w:vMerge w:val="continue"/>
            <w:tcBorders>
              <w:left w:val="single" w:color="auto" w:sz="6" w:space="0"/>
              <w:right w:val="single" w:color="auto" w:sz="6" w:space="0"/>
            </w:tcBorders>
            <w:vAlign w:val="center"/>
          </w:tcPr>
          <w:p w14:paraId="765D5787">
            <w:pPr>
              <w:widowControl/>
              <w:jc w:val="center"/>
              <w:rPr>
                <w:rFonts w:hint="eastAsia" w:ascii="宋体" w:hAnsi="宋体" w:eastAsia="宋体" w:cs="宋体"/>
                <w:b/>
                <w:color w:val="auto"/>
                <w:sz w:val="24"/>
                <w:szCs w:val="24"/>
                <w:highlight w:val="none"/>
              </w:rPr>
            </w:pPr>
          </w:p>
        </w:tc>
        <w:tc>
          <w:tcPr>
            <w:tcW w:w="1109" w:type="dxa"/>
            <w:vMerge w:val="continue"/>
            <w:tcBorders>
              <w:left w:val="single" w:color="auto" w:sz="6" w:space="0"/>
              <w:right w:val="single" w:color="auto" w:sz="6" w:space="0"/>
            </w:tcBorders>
            <w:vAlign w:val="center"/>
          </w:tcPr>
          <w:p w14:paraId="6C2ED6CA">
            <w:pPr>
              <w:widowControl/>
              <w:jc w:val="center"/>
              <w:rPr>
                <w:rFonts w:hint="eastAsia" w:ascii="宋体" w:hAnsi="宋体" w:eastAsia="宋体" w:cs="宋体"/>
                <w:color w:val="auto"/>
                <w:sz w:val="24"/>
                <w:szCs w:val="24"/>
                <w:highlight w:val="none"/>
              </w:rPr>
            </w:pPr>
          </w:p>
        </w:tc>
        <w:tc>
          <w:tcPr>
            <w:tcW w:w="1371" w:type="dxa"/>
            <w:tcBorders>
              <w:top w:val="single" w:color="auto" w:sz="6" w:space="0"/>
              <w:left w:val="single" w:color="auto" w:sz="6" w:space="0"/>
              <w:bottom w:val="single" w:color="auto" w:sz="6" w:space="0"/>
              <w:right w:val="single" w:color="auto" w:sz="6" w:space="0"/>
            </w:tcBorders>
            <w:vAlign w:val="center"/>
          </w:tcPr>
          <w:p w14:paraId="080D50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w:t>
            </w:r>
          </w:p>
          <w:p w14:paraId="4098729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（1分）</w:t>
            </w:r>
          </w:p>
        </w:tc>
        <w:tc>
          <w:tcPr>
            <w:tcW w:w="6910" w:type="dxa"/>
            <w:tcBorders>
              <w:top w:val="single" w:color="auto" w:sz="6" w:space="0"/>
              <w:left w:val="single" w:color="auto" w:sz="6" w:space="0"/>
              <w:bottom w:val="single" w:color="auto" w:sz="6" w:space="0"/>
              <w:right w:val="single" w:color="auto" w:sz="6" w:space="0"/>
            </w:tcBorders>
            <w:vAlign w:val="center"/>
          </w:tcPr>
          <w:p w14:paraId="4127904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投标人所投货物具有中国节能产品认证证书，且认证证书在有效截止日期内，得1分(提供复印件并加盖投标人公章，未提供不得分)(强制节能产品除外)</w:t>
            </w:r>
          </w:p>
        </w:tc>
      </w:tr>
    </w:tbl>
    <w:p w14:paraId="1C40BB1D">
      <w:pPr>
        <w:bidi w:val="0"/>
        <w:jc w:val="center"/>
        <w:rPr>
          <w:rFonts w:hint="eastAsia" w:ascii="宋体" w:hAnsi="宋体" w:eastAsia="宋体" w:cs="宋体"/>
          <w:b/>
          <w:color w:val="auto"/>
          <w:sz w:val="36"/>
          <w:szCs w:val="36"/>
        </w:rPr>
      </w:pPr>
      <w:r>
        <w:rPr>
          <w:rFonts w:hint="eastAsia" w:ascii="宋体" w:hAnsi="宋体" w:eastAsia="宋体" w:cs="宋体"/>
          <w:b/>
          <w:color w:val="auto"/>
          <w:sz w:val="36"/>
          <w:szCs w:val="36"/>
        </w:rPr>
        <w:br w:type="page"/>
      </w:r>
      <w:bookmarkStart w:id="823" w:name="_Toc99301424"/>
      <w:r>
        <w:rPr>
          <w:rFonts w:hint="eastAsia" w:ascii="宋体" w:hAnsi="宋体" w:eastAsia="宋体" w:cs="宋体"/>
          <w:b/>
          <w:color w:val="auto"/>
          <w:sz w:val="36"/>
          <w:szCs w:val="36"/>
          <w:highlight w:val="none"/>
        </w:rPr>
        <w:t>第五章   采购需求</w:t>
      </w:r>
      <w:bookmarkEnd w:id="823"/>
    </w:p>
    <w:p w14:paraId="7409AA72">
      <w:pPr>
        <w:pStyle w:val="162"/>
        <w:keepNext w:val="0"/>
        <w:keepLines w:val="0"/>
        <w:pageBreakBefore w:val="0"/>
        <w:wordWrap/>
        <w:overflowPunct/>
        <w:topLinePunct w:val="0"/>
        <w:autoSpaceDE/>
        <w:autoSpaceDN/>
        <w:bidi w:val="0"/>
        <w:spacing w:line="360" w:lineRule="auto"/>
        <w:ind w:firstLine="0" w:firstLineChars="0"/>
        <w:jc w:val="left"/>
        <w:outlineLvl w:val="1"/>
        <w:rPr>
          <w:rFonts w:hint="eastAsia" w:ascii="宋体" w:hAnsi="宋体" w:eastAsia="宋体" w:cs="宋体"/>
          <w:b/>
          <w:bCs/>
          <w:color w:val="auto"/>
          <w:kern w:val="44"/>
          <w:sz w:val="24"/>
          <w:szCs w:val="24"/>
        </w:rPr>
      </w:pPr>
      <w:r>
        <w:rPr>
          <w:rFonts w:hint="eastAsia" w:ascii="宋体" w:hAnsi="宋体" w:eastAsia="宋体" w:cs="宋体"/>
          <w:b/>
          <w:bCs/>
          <w:color w:val="auto"/>
          <w:kern w:val="44"/>
          <w:sz w:val="24"/>
          <w:szCs w:val="24"/>
        </w:rPr>
        <w:t>一、采购标的</w:t>
      </w:r>
    </w:p>
    <w:p w14:paraId="784C0B04">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rPr>
        <w:t>1. 采购标的</w:t>
      </w: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
        <w:gridCol w:w="941"/>
        <w:gridCol w:w="1176"/>
        <w:gridCol w:w="473"/>
        <w:gridCol w:w="5385"/>
        <w:gridCol w:w="836"/>
      </w:tblGrid>
      <w:tr w14:paraId="6F5D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0" w:type="pct"/>
            <w:vAlign w:val="center"/>
          </w:tcPr>
          <w:p w14:paraId="42BC014A">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序号</w:t>
            </w:r>
          </w:p>
        </w:tc>
        <w:tc>
          <w:tcPr>
            <w:tcW w:w="512" w:type="pct"/>
            <w:vAlign w:val="center"/>
          </w:tcPr>
          <w:p w14:paraId="756D2BBA">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项目</w:t>
            </w:r>
            <w:r>
              <w:rPr>
                <w:rFonts w:hint="eastAsia" w:ascii="宋体" w:hAnsi="宋体" w:eastAsia="宋体" w:cs="宋体"/>
                <w:bCs/>
                <w:color w:val="auto"/>
                <w:sz w:val="24"/>
                <w:szCs w:val="24"/>
              </w:rPr>
              <w:t>名称</w:t>
            </w:r>
          </w:p>
        </w:tc>
        <w:tc>
          <w:tcPr>
            <w:tcW w:w="607" w:type="pct"/>
            <w:vAlign w:val="center"/>
          </w:tcPr>
          <w:p w14:paraId="1C06EC13">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采购包</w:t>
            </w:r>
          </w:p>
          <w:p w14:paraId="0470AEB1">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预算金额</w:t>
            </w:r>
          </w:p>
          <w:p w14:paraId="6F0B35C9">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（万元）</w:t>
            </w:r>
          </w:p>
        </w:tc>
        <w:tc>
          <w:tcPr>
            <w:tcW w:w="260" w:type="pct"/>
            <w:vAlign w:val="center"/>
          </w:tcPr>
          <w:p w14:paraId="4718AC84">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数量</w:t>
            </w:r>
          </w:p>
        </w:tc>
        <w:tc>
          <w:tcPr>
            <w:tcW w:w="2903" w:type="pct"/>
            <w:vAlign w:val="center"/>
          </w:tcPr>
          <w:p w14:paraId="3255734C">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color w:val="auto"/>
                <w:sz w:val="24"/>
                <w:szCs w:val="24"/>
              </w:rPr>
            </w:pPr>
            <w:r>
              <w:rPr>
                <w:rFonts w:hint="eastAsia" w:ascii="宋体" w:hAnsi="宋体" w:cs="宋体"/>
                <w:color w:val="auto"/>
                <w:sz w:val="24"/>
                <w:szCs w:val="24"/>
                <w:lang w:eastAsia="zh-CN"/>
              </w:rPr>
              <w:t>上</w:t>
            </w:r>
            <w:r>
              <w:rPr>
                <w:rFonts w:hint="eastAsia" w:ascii="宋体" w:hAnsi="宋体" w:eastAsia="宋体" w:cs="宋体"/>
                <w:color w:val="auto"/>
                <w:sz w:val="24"/>
                <w:szCs w:val="24"/>
              </w:rPr>
              <w:t>简要技术需求或服务要求</w:t>
            </w:r>
          </w:p>
        </w:tc>
        <w:tc>
          <w:tcPr>
            <w:tcW w:w="455" w:type="pct"/>
            <w:vAlign w:val="center"/>
          </w:tcPr>
          <w:p w14:paraId="45F1BD2A">
            <w:pPr>
              <w:keepNext w:val="0"/>
              <w:keepLines w:val="0"/>
              <w:pageBreakBefore w:val="0"/>
              <w:wordWrap/>
              <w:overflowPunct/>
              <w:topLinePunct w:val="0"/>
              <w:autoSpaceDE/>
              <w:autoSpaceDN/>
              <w:bidi w:val="0"/>
              <w:spacing w:line="360" w:lineRule="auto"/>
              <w:ind w:firstLine="0" w:firstLine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是否接受进口产品</w:t>
            </w:r>
          </w:p>
        </w:tc>
      </w:tr>
      <w:tr w14:paraId="72D4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260" w:type="pct"/>
            <w:vAlign w:val="center"/>
          </w:tcPr>
          <w:p w14:paraId="2EC84BAA">
            <w:pPr>
              <w:keepNext w:val="0"/>
              <w:keepLines w:val="0"/>
              <w:pageBreakBefore w:val="0"/>
              <w:widowControl/>
              <w:suppressLineNumbers w:val="0"/>
              <w:wordWrap/>
              <w:overflowPunct/>
              <w:topLinePunct w:val="0"/>
              <w:autoSpaceDE/>
              <w:autoSpaceDN/>
              <w:bidi w:val="0"/>
              <w:spacing w:line="360" w:lineRule="auto"/>
              <w:ind w:firstLine="0" w:firstLineChars="0"/>
              <w:jc w:val="center"/>
              <w:textAlignment w:val="center"/>
              <w:rPr>
                <w:rFonts w:hint="eastAsia" w:ascii="宋体" w:hAnsi="宋体" w:eastAsia="宋体" w:cs="宋体"/>
                <w:bCs/>
                <w:color w:val="auto"/>
                <w:sz w:val="24"/>
                <w:szCs w:val="24"/>
              </w:rPr>
            </w:pPr>
            <w:r>
              <w:rPr>
                <w:rFonts w:hint="eastAsia" w:ascii="宋体" w:hAnsi="宋体" w:eastAsia="宋体" w:cs="宋体"/>
                <w:i w:val="0"/>
                <w:iCs w:val="0"/>
                <w:color w:val="auto"/>
                <w:kern w:val="0"/>
                <w:sz w:val="24"/>
                <w:szCs w:val="24"/>
                <w:u w:val="none"/>
                <w:lang w:val="en-US" w:eastAsia="zh-CN" w:bidi="ar"/>
              </w:rPr>
              <w:t>01</w:t>
            </w:r>
          </w:p>
        </w:tc>
        <w:tc>
          <w:tcPr>
            <w:tcW w:w="512" w:type="pct"/>
            <w:vAlign w:val="center"/>
          </w:tcPr>
          <w:p w14:paraId="1E367113">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2026年信息化项目</w:t>
            </w:r>
          </w:p>
        </w:tc>
        <w:tc>
          <w:tcPr>
            <w:tcW w:w="607" w:type="pct"/>
            <w:shd w:val="clear" w:color="auto" w:fill="auto"/>
            <w:vAlign w:val="center"/>
          </w:tcPr>
          <w:p w14:paraId="530873B5">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174.0796</w:t>
            </w:r>
          </w:p>
        </w:tc>
        <w:tc>
          <w:tcPr>
            <w:tcW w:w="260" w:type="pct"/>
            <w:vAlign w:val="center"/>
          </w:tcPr>
          <w:p w14:paraId="6A1295DD">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w:t>
            </w:r>
          </w:p>
        </w:tc>
        <w:tc>
          <w:tcPr>
            <w:tcW w:w="2903" w:type="pct"/>
            <w:vAlign w:val="center"/>
          </w:tcPr>
          <w:p w14:paraId="4317A024">
            <w:pPr>
              <w:keepNext w:val="0"/>
              <w:keepLines w:val="0"/>
              <w:pageBreakBefore w:val="0"/>
              <w:wordWrap/>
              <w:overflowPunct/>
              <w:topLinePunct w:val="0"/>
              <w:autoSpaceDE/>
              <w:autoSpaceDN/>
              <w:bidi w:val="0"/>
              <w:spacing w:line="360" w:lineRule="auto"/>
              <w:ind w:firstLine="0" w:firstLineChars="0"/>
              <w:jc w:val="center"/>
              <w:rPr>
                <w:rFonts w:hint="eastAsia" w:ascii="宋体" w:hAnsi="宋体" w:eastAsia="宋体" w:cs="宋体"/>
                <w:color w:val="auto"/>
                <w:kern w:val="0"/>
                <w:sz w:val="24"/>
                <w:szCs w:val="24"/>
                <w:lang w:val="en-US" w:eastAsia="zh-CN"/>
              </w:rPr>
            </w:pPr>
            <w:r>
              <w:rPr>
                <w:rFonts w:ascii="宋体" w:hAnsi="宋体" w:eastAsia="宋体" w:cs="宋体"/>
                <w:color w:val="auto"/>
                <w:sz w:val="24"/>
                <w:szCs w:val="24"/>
              </w:rPr>
              <w:t>为完善怀柔区人防应急指挥系统，计划对宝山镇、琉璃庙镇人防应急指挥中心进行升级改造采购设备主要包括拼接屏、视频矩阵、音频矩阵、会议摄像头、高清视频解码器、光端机、视频会议系统、音响系统等。</w:t>
            </w:r>
            <w:r>
              <w:rPr>
                <w:rFonts w:hint="eastAsia" w:ascii="宋体" w:hAnsi="宋体" w:eastAsia="宋体" w:cs="宋体"/>
                <w:color w:val="auto"/>
                <w:kern w:val="0"/>
                <w:sz w:val="24"/>
                <w:szCs w:val="24"/>
                <w:lang w:val="en-US" w:eastAsia="zh-CN"/>
              </w:rPr>
              <w:t>具体需求详见招标文件第五章</w:t>
            </w:r>
          </w:p>
        </w:tc>
        <w:tc>
          <w:tcPr>
            <w:tcW w:w="455" w:type="pct"/>
            <w:vAlign w:val="center"/>
          </w:tcPr>
          <w:p w14:paraId="363484B9">
            <w:pPr>
              <w:keepNext w:val="0"/>
              <w:keepLines w:val="0"/>
              <w:pageBreakBefore w:val="0"/>
              <w:wordWrap/>
              <w:overflowPunct/>
              <w:topLinePunct w:val="0"/>
              <w:autoSpaceDE/>
              <w:autoSpaceDN/>
              <w:bidi w:val="0"/>
              <w:spacing w:line="360" w:lineRule="auto"/>
              <w:ind w:firstLine="0" w:firstLineChars="0"/>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本项目不接受进口产品</w:t>
            </w:r>
          </w:p>
        </w:tc>
      </w:tr>
    </w:tbl>
    <w:p w14:paraId="49D679C6">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rPr>
        <w:t>2. 项目背景/项目概述（如有）</w:t>
      </w:r>
    </w:p>
    <w:p w14:paraId="4B6357E5">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2.1</w:t>
      </w:r>
      <w:r>
        <w:rPr>
          <w:rFonts w:hint="eastAsia" w:ascii="宋体" w:hAnsi="宋体" w:eastAsia="宋体" w:cs="宋体"/>
          <w:bCs/>
          <w:color w:val="auto"/>
          <w:sz w:val="24"/>
          <w:szCs w:val="24"/>
        </w:rPr>
        <w:t>项目概况</w:t>
      </w:r>
    </w:p>
    <w:p w14:paraId="7ACFF1A4">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rPr>
        <w:t>项目概况：为完善怀柔区人防应急指挥系统，计划对宝山镇、琉璃庙镇人防应急指挥中心进行升级改造采购设备主要包括拼接屏、视频矩阵、音频矩阵、会议摄像头、高清视频解码器、光端机、视频会议系统、音响系统等。</w:t>
      </w:r>
    </w:p>
    <w:p w14:paraId="66F6E1AD">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2.2</w:t>
      </w:r>
      <w:r>
        <w:rPr>
          <w:rFonts w:hint="eastAsia" w:ascii="宋体" w:hAnsi="宋体" w:eastAsia="宋体" w:cs="宋体"/>
          <w:bCs/>
          <w:color w:val="auto"/>
          <w:sz w:val="24"/>
          <w:szCs w:val="24"/>
        </w:rPr>
        <w:t>建设地点：镇乡指挥中心建设地点为2个镇政府会议室，辖区内行政村安装村级视频会议系统。</w:t>
      </w:r>
    </w:p>
    <w:p w14:paraId="57FF23FD">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2.3</w:t>
      </w:r>
      <w:r>
        <w:rPr>
          <w:rFonts w:hint="eastAsia" w:ascii="宋体" w:hAnsi="宋体" w:eastAsia="宋体" w:cs="宋体"/>
          <w:bCs/>
          <w:color w:val="auto"/>
          <w:sz w:val="24"/>
          <w:szCs w:val="24"/>
        </w:rPr>
        <w:t>镇级指挥中心主要建设内容：拼接显示屏、视频矩阵、音频矩阵、网络传输设备、视频会设备、集中控制设备等。村级设备主要包括：显示器、光端机、音箱、麦克风等。</w:t>
      </w:r>
    </w:p>
    <w:p w14:paraId="599942E4">
      <w:pPr>
        <w:pStyle w:val="44"/>
        <w:keepNext w:val="0"/>
        <w:keepLines w:val="0"/>
        <w:pageBreakBefore w:val="0"/>
        <w:wordWrap/>
        <w:overflowPunct/>
        <w:topLinePunct w:val="0"/>
        <w:autoSpaceDE/>
        <w:autoSpaceDN/>
        <w:bidi w:val="0"/>
        <w:spacing w:after="0" w:line="360" w:lineRule="auto"/>
        <w:ind w:left="0" w:leftChars="0" w:firstLine="0" w:firstLineChars="0"/>
        <w:jc w:val="left"/>
        <w:outlineLvl w:val="1"/>
        <w:rPr>
          <w:rFonts w:hint="eastAsia" w:ascii="宋体" w:hAnsi="宋体" w:eastAsia="宋体" w:cs="宋体"/>
          <w:b/>
          <w:bCs/>
          <w:color w:val="auto"/>
          <w:sz w:val="24"/>
          <w:szCs w:val="24"/>
        </w:rPr>
      </w:pPr>
      <w:r>
        <w:rPr>
          <w:rFonts w:hint="eastAsia" w:ascii="宋体" w:hAnsi="宋体" w:eastAsia="宋体" w:cs="宋体"/>
          <w:b/>
          <w:bCs/>
          <w:color w:val="auto"/>
          <w:sz w:val="24"/>
          <w:szCs w:val="24"/>
        </w:rPr>
        <w:t>二、</w:t>
      </w:r>
      <w:r>
        <w:rPr>
          <w:rFonts w:hint="eastAsia" w:ascii="宋体" w:hAnsi="宋体" w:eastAsia="宋体" w:cs="宋体"/>
          <w:b/>
          <w:bCs/>
          <w:color w:val="auto"/>
          <w:kern w:val="44"/>
          <w:sz w:val="24"/>
          <w:szCs w:val="24"/>
        </w:rPr>
        <w:t>商务条款</w:t>
      </w:r>
    </w:p>
    <w:p w14:paraId="1FD24206">
      <w:pPr>
        <w:keepNext w:val="0"/>
        <w:keepLines w:val="0"/>
        <w:pageBreakBefore w:val="0"/>
        <w:widowControl/>
        <w:wordWrap/>
        <w:overflowPunct/>
        <w:topLinePunct w:val="0"/>
        <w:autoSpaceDE/>
        <w:autoSpaceDN/>
        <w:bidi w:val="0"/>
        <w:spacing w:line="360" w:lineRule="auto"/>
        <w:ind w:firstLine="0" w:firstLineChars="0"/>
        <w:jc w:val="left"/>
        <w:outlineLvl w:val="2"/>
        <w:rPr>
          <w:rFonts w:hint="eastAsia" w:ascii="宋体" w:hAnsi="宋体" w:eastAsia="宋体" w:cs="宋体"/>
          <w:b/>
          <w:bCs/>
          <w:color w:val="auto"/>
          <w:sz w:val="24"/>
          <w:szCs w:val="24"/>
        </w:rPr>
      </w:pPr>
      <w:bookmarkStart w:id="824" w:name="_Toc22896"/>
      <w:r>
        <w:rPr>
          <w:rFonts w:hint="eastAsia" w:ascii="宋体" w:hAnsi="宋体" w:eastAsia="宋体" w:cs="宋体"/>
          <w:b/>
          <w:bCs/>
          <w:color w:val="auto"/>
          <w:kern w:val="0"/>
          <w:sz w:val="24"/>
          <w:szCs w:val="24"/>
          <w:lang w:bidi="ar"/>
        </w:rPr>
        <w:t>1、项目概况</w:t>
      </w:r>
      <w:bookmarkEnd w:id="824"/>
    </w:p>
    <w:p w14:paraId="59AD6E8E">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highlight w:val="yellow"/>
          <w:lang w:eastAsia="zh-CN"/>
        </w:rPr>
      </w:pPr>
      <w:r>
        <w:rPr>
          <w:rFonts w:hint="eastAsia" w:ascii="宋体" w:hAnsi="宋体" w:eastAsia="宋体" w:cs="宋体"/>
          <w:color w:val="auto"/>
          <w:kern w:val="0"/>
          <w:sz w:val="24"/>
          <w:szCs w:val="24"/>
          <w:lang w:bidi="ar"/>
        </w:rPr>
        <w:t>1.1 项目编号：</w:t>
      </w:r>
      <w:r>
        <w:rPr>
          <w:rFonts w:hint="eastAsia" w:ascii="宋体" w:hAnsi="宋体" w:cs="宋体"/>
          <w:color w:val="auto"/>
          <w:kern w:val="0"/>
          <w:sz w:val="24"/>
          <w:szCs w:val="24"/>
          <w:highlight w:val="none"/>
          <w:lang w:eastAsia="zh-CN" w:bidi="ar"/>
        </w:rPr>
        <w:t>11011626210200017641-XM001</w:t>
      </w:r>
    </w:p>
    <w:p w14:paraId="0850B04E">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1.2 货物名称及数量：</w:t>
      </w:r>
      <w:r>
        <w:rPr>
          <w:rFonts w:hint="eastAsia" w:ascii="宋体" w:hAnsi="宋体" w:eastAsia="宋体" w:cs="宋体"/>
          <w:color w:val="auto"/>
          <w:kern w:val="0"/>
          <w:sz w:val="24"/>
          <w:szCs w:val="24"/>
          <w:lang w:val="en-US" w:eastAsia="zh-CN" w:bidi="ar"/>
        </w:rPr>
        <w:t>详见清单</w:t>
      </w:r>
      <w:r>
        <w:rPr>
          <w:rFonts w:hint="eastAsia" w:ascii="宋体" w:hAnsi="宋体" w:eastAsia="宋体" w:cs="宋体"/>
          <w:color w:val="auto"/>
          <w:kern w:val="0"/>
          <w:sz w:val="24"/>
          <w:szCs w:val="24"/>
          <w:lang w:bidi="ar"/>
        </w:rPr>
        <w:t>。</w:t>
      </w:r>
    </w:p>
    <w:p w14:paraId="7B34ADD2">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highlight w:val="yellow"/>
        </w:rPr>
      </w:pPr>
      <w:r>
        <w:rPr>
          <w:rFonts w:hint="eastAsia" w:ascii="宋体" w:hAnsi="宋体" w:eastAsia="宋体" w:cs="宋体"/>
          <w:color w:val="auto"/>
          <w:kern w:val="0"/>
          <w:sz w:val="24"/>
          <w:szCs w:val="24"/>
          <w:lang w:bidi="ar"/>
        </w:rPr>
        <w:t>1.3 交</w:t>
      </w:r>
      <w:r>
        <w:rPr>
          <w:rFonts w:hint="eastAsia" w:ascii="宋体" w:hAnsi="宋体" w:eastAsia="宋体" w:cs="宋体"/>
          <w:color w:val="auto"/>
          <w:kern w:val="0"/>
          <w:sz w:val="24"/>
          <w:szCs w:val="24"/>
          <w:highlight w:val="none"/>
          <w:lang w:bidi="ar"/>
        </w:rPr>
        <w:t>货期：</w:t>
      </w:r>
      <w:r>
        <w:rPr>
          <w:rFonts w:hint="eastAsia" w:ascii="宋体" w:hAnsi="宋体" w:cs="宋体"/>
          <w:color w:val="auto"/>
          <w:kern w:val="0"/>
          <w:sz w:val="24"/>
          <w:szCs w:val="24"/>
          <w:highlight w:val="none"/>
          <w:lang w:eastAsia="zh-CN" w:bidi="ar"/>
        </w:rPr>
        <w:t>自合同签订起120个日历天内完成送货、安装、调试等工作</w:t>
      </w:r>
      <w:r>
        <w:rPr>
          <w:rFonts w:hint="eastAsia" w:ascii="宋体" w:hAnsi="宋体" w:eastAsia="宋体" w:cs="宋体"/>
          <w:color w:val="auto"/>
          <w:kern w:val="0"/>
          <w:sz w:val="24"/>
          <w:szCs w:val="24"/>
          <w:highlight w:val="none"/>
          <w:lang w:bidi="ar"/>
        </w:rPr>
        <w:t>。</w:t>
      </w:r>
    </w:p>
    <w:p w14:paraId="3687CA44">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1.4 交货地点：将货物运送至采购人指定地点。</w:t>
      </w:r>
    </w:p>
    <w:p w14:paraId="3EFA31AF">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1.5 货物用途：</w:t>
      </w:r>
      <w:r>
        <w:rPr>
          <w:rFonts w:hint="eastAsia" w:ascii="宋体" w:hAnsi="宋体" w:eastAsia="宋体" w:cs="宋体"/>
          <w:color w:val="auto"/>
          <w:kern w:val="0"/>
          <w:sz w:val="24"/>
          <w:szCs w:val="24"/>
          <w:lang w:val="en-US" w:eastAsia="zh-CN" w:bidi="ar"/>
        </w:rPr>
        <w:t>完善怀柔区人防应急指挥系统</w:t>
      </w:r>
      <w:r>
        <w:rPr>
          <w:rFonts w:hint="eastAsia" w:ascii="宋体" w:hAnsi="宋体" w:eastAsia="宋体" w:cs="宋体"/>
          <w:color w:val="auto"/>
          <w:kern w:val="0"/>
          <w:sz w:val="24"/>
          <w:szCs w:val="24"/>
          <w:lang w:bidi="ar"/>
        </w:rPr>
        <w:t>。</w:t>
      </w:r>
    </w:p>
    <w:p w14:paraId="5C6CF6F7">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1.6 技术规格及参数要求：详见技术规格。</w:t>
      </w:r>
    </w:p>
    <w:p w14:paraId="6D531025">
      <w:pPr>
        <w:pStyle w:val="17"/>
        <w:keepNext w:val="0"/>
        <w:keepLines w:val="0"/>
        <w:pageBreakBefore w:val="0"/>
        <w:widowControl/>
        <w:wordWrap/>
        <w:overflowPunct/>
        <w:topLinePunct w:val="0"/>
        <w:autoSpaceDE/>
        <w:autoSpaceDN/>
        <w:bidi w:val="0"/>
        <w:adjustRightInd w:val="0"/>
        <w:snapToGrid w:val="0"/>
        <w:spacing w:before="0" w:line="360" w:lineRule="auto"/>
        <w:ind w:firstLine="0" w:firstLineChars="0"/>
        <w:jc w:val="left"/>
        <w:textAlignment w:val="baseline"/>
        <w:rPr>
          <w:rFonts w:hint="eastAsia" w:ascii="宋体" w:hAnsi="宋体" w:eastAsia="宋体" w:cs="宋体"/>
          <w:color w:val="auto"/>
          <w:sz w:val="24"/>
          <w:szCs w:val="24"/>
        </w:rPr>
      </w:pPr>
    </w:p>
    <w:p w14:paraId="2D418F69">
      <w:pPr>
        <w:keepNext w:val="0"/>
        <w:keepLines w:val="0"/>
        <w:pageBreakBefore w:val="0"/>
        <w:widowControl/>
        <w:kinsoku w:val="0"/>
        <w:wordWrap/>
        <w:overflowPunct/>
        <w:topLinePunct w:val="0"/>
        <w:autoSpaceDE/>
        <w:autoSpaceDN/>
        <w:bidi w:val="0"/>
        <w:snapToGrid w:val="0"/>
        <w:spacing w:line="360" w:lineRule="auto"/>
        <w:ind w:firstLine="0" w:firstLineChars="0"/>
        <w:jc w:val="left"/>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rPr>
        <w:t>三、技术要求</w:t>
      </w:r>
    </w:p>
    <w:p w14:paraId="098CA665">
      <w:pPr>
        <w:keepNext w:val="0"/>
        <w:keepLines w:val="0"/>
        <w:pageBreakBefore w:val="0"/>
        <w:widowControl/>
        <w:wordWrap/>
        <w:overflowPunct/>
        <w:topLinePunct w:val="0"/>
        <w:autoSpaceDE/>
        <w:autoSpaceDN/>
        <w:bidi w:val="0"/>
        <w:spacing w:line="360" w:lineRule="auto"/>
        <w:ind w:firstLine="0" w:firstLineChars="0"/>
        <w:jc w:val="left"/>
        <w:outlineLvl w:val="2"/>
        <w:rPr>
          <w:rFonts w:hint="eastAsia" w:ascii="宋体" w:hAnsi="宋体" w:eastAsia="宋体" w:cs="宋体"/>
          <w:color w:val="auto"/>
          <w:sz w:val="24"/>
          <w:szCs w:val="24"/>
        </w:rPr>
      </w:pPr>
      <w:bookmarkStart w:id="825" w:name="_Toc23304"/>
      <w:r>
        <w:rPr>
          <w:rFonts w:hint="eastAsia" w:ascii="宋体" w:hAnsi="宋体" w:cs="宋体"/>
          <w:b/>
          <w:bCs/>
          <w:color w:val="auto"/>
          <w:kern w:val="0"/>
          <w:sz w:val="24"/>
          <w:szCs w:val="24"/>
          <w:lang w:val="en-US" w:eastAsia="zh-CN" w:bidi="ar"/>
        </w:rPr>
        <w:t>1.</w:t>
      </w:r>
      <w:r>
        <w:rPr>
          <w:rFonts w:hint="eastAsia" w:ascii="宋体" w:hAnsi="宋体" w:eastAsia="宋体" w:cs="宋体"/>
          <w:b/>
          <w:bCs/>
          <w:color w:val="auto"/>
          <w:kern w:val="0"/>
          <w:sz w:val="24"/>
          <w:szCs w:val="24"/>
          <w:lang w:bidi="ar"/>
        </w:rPr>
        <w:t>采购标的需要质量、安全、技术规格、物理特性等要求。</w:t>
      </w:r>
      <w:bookmarkEnd w:id="825"/>
      <w:r>
        <w:rPr>
          <w:rFonts w:hint="eastAsia" w:ascii="宋体" w:hAnsi="宋体" w:eastAsia="宋体" w:cs="宋体"/>
          <w:color w:val="auto"/>
          <w:kern w:val="0"/>
          <w:sz w:val="24"/>
          <w:szCs w:val="24"/>
          <w:lang w:bidi="ar"/>
        </w:rPr>
        <w:t xml:space="preserve"> </w:t>
      </w:r>
    </w:p>
    <w:p w14:paraId="47569044">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bidi="ar"/>
        </w:rPr>
        <w:t xml:space="preserve">.1 质量要求可靠性高，设备能满足使用年限不低于国家标准。 </w:t>
      </w:r>
    </w:p>
    <w:p w14:paraId="0F91944D">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bidi="ar"/>
        </w:rPr>
        <w:t xml:space="preserve">.2 本项目售后服务要求 </w:t>
      </w:r>
    </w:p>
    <w:p w14:paraId="19630B7E">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b/>
          <w:bCs/>
          <w:color w:val="auto"/>
          <w:kern w:val="0"/>
          <w:sz w:val="24"/>
          <w:szCs w:val="24"/>
          <w:lang w:val="en-US" w:eastAsia="zh-CN" w:bidi="ar"/>
        </w:rPr>
        <w:t>1</w:t>
      </w:r>
      <w:r>
        <w:rPr>
          <w:rFonts w:hint="eastAsia" w:ascii="宋体" w:hAnsi="宋体" w:eastAsia="宋体" w:cs="宋体"/>
          <w:b/>
          <w:bCs/>
          <w:color w:val="auto"/>
          <w:kern w:val="0"/>
          <w:sz w:val="24"/>
          <w:szCs w:val="24"/>
          <w:lang w:bidi="ar"/>
        </w:rPr>
        <w:t xml:space="preserve">.2.1 安装和调试  </w:t>
      </w:r>
    </w:p>
    <w:p w14:paraId="4AEF08BA">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供应商负责安装、调试、培训及售后服务，供应商报价应充分考虑辅材辅料、人工等各种费用；使用方不再另行支付任何费用。 </w:t>
      </w:r>
    </w:p>
    <w:p w14:paraId="0C660BA6">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供应商负责派技术人员到现场免费进行安装调试，直至验收合格；供应商应在货物抵达现场一周前，向采购人提供安装调试及运行的进度计划表。 </w:t>
      </w:r>
    </w:p>
    <w:p w14:paraId="75311BAE">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b/>
          <w:bCs/>
          <w:color w:val="auto"/>
          <w:kern w:val="0"/>
          <w:sz w:val="24"/>
          <w:szCs w:val="24"/>
          <w:lang w:val="en-US" w:eastAsia="zh-CN" w:bidi="ar"/>
        </w:rPr>
        <w:t>1</w:t>
      </w:r>
      <w:r>
        <w:rPr>
          <w:rFonts w:hint="eastAsia" w:ascii="宋体" w:hAnsi="宋体" w:eastAsia="宋体" w:cs="宋体"/>
          <w:b/>
          <w:bCs/>
          <w:color w:val="auto"/>
          <w:kern w:val="0"/>
          <w:sz w:val="24"/>
          <w:szCs w:val="24"/>
          <w:lang w:bidi="ar"/>
        </w:rPr>
        <w:t>.3.2 技术培训</w:t>
      </w:r>
    </w:p>
    <w:p w14:paraId="396DDA1F">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供应商负责对采购人进行专业培训，直至采购人能完全操作（投标人列明具体培训计划方案），提供详细培训计划并定期进行回访。 </w:t>
      </w:r>
    </w:p>
    <w:p w14:paraId="44AC3A97">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b/>
          <w:bCs/>
          <w:color w:val="auto"/>
          <w:kern w:val="0"/>
          <w:sz w:val="24"/>
          <w:szCs w:val="24"/>
          <w:lang w:val="en-US" w:eastAsia="zh-CN" w:bidi="ar"/>
        </w:rPr>
        <w:t>1</w:t>
      </w:r>
      <w:r>
        <w:rPr>
          <w:rFonts w:hint="eastAsia" w:ascii="宋体" w:hAnsi="宋体" w:eastAsia="宋体" w:cs="宋体"/>
          <w:b/>
          <w:bCs/>
          <w:color w:val="auto"/>
          <w:kern w:val="0"/>
          <w:sz w:val="24"/>
          <w:szCs w:val="24"/>
          <w:lang w:bidi="ar"/>
        </w:rPr>
        <w:t xml:space="preserve">.3.3 售后服务承诺 </w:t>
      </w:r>
    </w:p>
    <w:p w14:paraId="3D985CBA">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bidi="ar"/>
        </w:rPr>
        <w:t>.3.3</w:t>
      </w:r>
      <w:r>
        <w:rPr>
          <w:rFonts w:hint="eastAsia" w:ascii="宋体" w:hAnsi="宋体" w:eastAsia="宋体" w:cs="宋体"/>
          <w:color w:val="auto"/>
          <w:kern w:val="0"/>
          <w:sz w:val="24"/>
          <w:szCs w:val="24"/>
          <w:highlight w:val="none"/>
          <w:lang w:bidi="ar"/>
        </w:rPr>
        <w:t>.1 免费质保期</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年，</w:t>
      </w:r>
      <w:r>
        <w:rPr>
          <w:rFonts w:hint="eastAsia" w:ascii="宋体" w:hAnsi="宋体" w:eastAsia="宋体" w:cs="宋体"/>
          <w:color w:val="auto"/>
          <w:kern w:val="0"/>
          <w:sz w:val="24"/>
          <w:szCs w:val="24"/>
          <w:lang w:bidi="ar"/>
        </w:rPr>
        <w:t xml:space="preserve">时间从全部正式验收合格之日起计算。 </w:t>
      </w:r>
    </w:p>
    <w:p w14:paraId="083DE26D">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bidi="ar"/>
        </w:rPr>
        <w:t xml:space="preserve">.3.3.2 在质保期内出现的故障供应商能保证在 2 小时内到达故障现场。一般故障在 </w:t>
      </w: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bidi="ar"/>
        </w:rPr>
        <w:t xml:space="preserve"> 小时内解决，特殊故障至少在 48 小时内解决。</w:t>
      </w:r>
    </w:p>
    <w:p w14:paraId="3E2EF4A5">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b/>
          <w:bCs/>
          <w:color w:val="auto"/>
          <w:kern w:val="0"/>
          <w:sz w:val="24"/>
          <w:szCs w:val="24"/>
          <w:lang w:val="en-US" w:eastAsia="zh-CN" w:bidi="ar"/>
        </w:rPr>
        <w:t>1</w:t>
      </w:r>
      <w:r>
        <w:rPr>
          <w:rFonts w:hint="eastAsia" w:ascii="宋体" w:hAnsi="宋体" w:eastAsia="宋体" w:cs="宋体"/>
          <w:b/>
          <w:bCs/>
          <w:color w:val="auto"/>
          <w:kern w:val="0"/>
          <w:sz w:val="24"/>
          <w:szCs w:val="24"/>
          <w:lang w:bidi="ar"/>
        </w:rPr>
        <w:t xml:space="preserve">.3.4 验收标准和验收方法： </w:t>
      </w:r>
    </w:p>
    <w:p w14:paraId="482D47DE">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设备按国家行业标准进行验收 </w:t>
      </w:r>
    </w:p>
    <w:p w14:paraId="4BBFEBF7">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kern w:val="0"/>
          <w:sz w:val="24"/>
          <w:szCs w:val="24"/>
          <w:lang w:bidi="ar"/>
        </w:rPr>
      </w:pPr>
      <w:bookmarkStart w:id="826" w:name="_Toc32506"/>
      <w:r>
        <w:rPr>
          <w:rFonts w:hint="eastAsia" w:ascii="宋体" w:hAnsi="宋体" w:cs="宋体"/>
          <w:b/>
          <w:bCs/>
          <w:color w:val="auto"/>
          <w:kern w:val="0"/>
          <w:sz w:val="24"/>
          <w:szCs w:val="24"/>
          <w:lang w:val="en-US" w:eastAsia="zh-CN" w:bidi="ar"/>
        </w:rPr>
        <w:t>2</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b/>
          <w:bCs/>
          <w:color w:val="auto"/>
          <w:kern w:val="0"/>
          <w:sz w:val="24"/>
          <w:szCs w:val="24"/>
          <w:lang w:bidi="ar"/>
        </w:rPr>
        <w:t>采购的标的数量交付地点和时间</w:t>
      </w:r>
      <w:r>
        <w:rPr>
          <w:rFonts w:hint="eastAsia" w:ascii="宋体" w:hAnsi="宋体" w:eastAsia="宋体" w:cs="宋体"/>
          <w:color w:val="auto"/>
          <w:kern w:val="0"/>
          <w:sz w:val="24"/>
          <w:szCs w:val="24"/>
          <w:lang w:bidi="ar"/>
        </w:rPr>
        <w:t>；</w:t>
      </w:r>
      <w:bookmarkEnd w:id="826"/>
      <w:r>
        <w:rPr>
          <w:rFonts w:hint="eastAsia" w:ascii="宋体" w:hAnsi="宋体" w:eastAsia="宋体" w:cs="宋体"/>
          <w:color w:val="auto"/>
          <w:kern w:val="0"/>
          <w:sz w:val="24"/>
          <w:szCs w:val="24"/>
          <w:lang w:bidi="ar"/>
        </w:rPr>
        <w:t xml:space="preserve"> </w:t>
      </w:r>
    </w:p>
    <w:p w14:paraId="7D49623F">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kern w:val="0"/>
          <w:sz w:val="24"/>
          <w:szCs w:val="24"/>
          <w:lang w:bidi="ar"/>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bidi="ar"/>
        </w:rPr>
        <w:t xml:space="preserve">.1 交货地点（货物安装地点） </w:t>
      </w:r>
    </w:p>
    <w:p w14:paraId="700A2D41">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产品交付、检验、安装使用地点：将货物运送至采购人指定地点。 </w:t>
      </w:r>
    </w:p>
    <w:p w14:paraId="4C46006F">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bidi="ar"/>
        </w:rPr>
        <w:t xml:space="preserve">.2 交货时间 </w:t>
      </w:r>
    </w:p>
    <w:p w14:paraId="4081E09F">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 xml:space="preserve">交货时间：在合同签订后以采购人要求时间交货，并安装完成通过验收； </w:t>
      </w:r>
    </w:p>
    <w:p w14:paraId="63B13BEF">
      <w:pPr>
        <w:keepNext w:val="0"/>
        <w:keepLines w:val="0"/>
        <w:pageBreakBefore w:val="0"/>
        <w:widowControl/>
        <w:wordWrap/>
        <w:overflowPunct/>
        <w:topLinePunct w:val="0"/>
        <w:autoSpaceDE/>
        <w:autoSpaceDN/>
        <w:bidi w:val="0"/>
        <w:spacing w:line="360" w:lineRule="auto"/>
        <w:ind w:firstLine="0" w:firstLineChars="0"/>
        <w:jc w:val="left"/>
        <w:outlineLvl w:val="2"/>
        <w:rPr>
          <w:rFonts w:hint="eastAsia" w:ascii="宋体" w:hAnsi="宋体" w:eastAsia="宋体" w:cs="宋体"/>
          <w:b/>
          <w:bCs/>
          <w:color w:val="auto"/>
          <w:sz w:val="24"/>
          <w:szCs w:val="24"/>
        </w:rPr>
      </w:pPr>
      <w:bookmarkStart w:id="827" w:name="_Toc4677"/>
      <w:r>
        <w:rPr>
          <w:rFonts w:hint="eastAsia" w:ascii="宋体" w:hAnsi="宋体" w:cs="宋体"/>
          <w:b/>
          <w:bCs/>
          <w:color w:val="auto"/>
          <w:kern w:val="0"/>
          <w:sz w:val="24"/>
          <w:szCs w:val="24"/>
          <w:lang w:val="en-US" w:eastAsia="zh-CN" w:bidi="ar"/>
        </w:rPr>
        <w:t>3</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b/>
          <w:bCs/>
          <w:color w:val="auto"/>
          <w:kern w:val="0"/>
          <w:sz w:val="24"/>
          <w:szCs w:val="24"/>
          <w:lang w:bidi="ar"/>
        </w:rPr>
        <w:t>采购标的需满足的服务标准，期限、效率</w:t>
      </w:r>
      <w:bookmarkEnd w:id="827"/>
      <w:r>
        <w:rPr>
          <w:rFonts w:hint="eastAsia" w:ascii="宋体" w:hAnsi="宋体" w:eastAsia="宋体" w:cs="宋体"/>
          <w:b/>
          <w:bCs/>
          <w:color w:val="auto"/>
          <w:kern w:val="0"/>
          <w:sz w:val="24"/>
          <w:szCs w:val="24"/>
          <w:lang w:bidi="ar"/>
        </w:rPr>
        <w:t xml:space="preserve"> </w:t>
      </w:r>
    </w:p>
    <w:p w14:paraId="1540ECCA">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3</w:t>
      </w:r>
      <w:r>
        <w:rPr>
          <w:rFonts w:hint="eastAsia" w:ascii="宋体" w:hAnsi="宋体" w:eastAsia="宋体" w:cs="宋体"/>
          <w:color w:val="auto"/>
          <w:kern w:val="0"/>
          <w:sz w:val="24"/>
          <w:szCs w:val="24"/>
          <w:lang w:bidi="ar"/>
        </w:rPr>
        <w:t xml:space="preserve">.1 所有设备均由供应商免费送货至采购人指定的交货地点并安装调试好，安装调试应以本需求书要求的技术参数指标为标准。 </w:t>
      </w:r>
    </w:p>
    <w:p w14:paraId="19B267CC">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3</w:t>
      </w:r>
      <w:r>
        <w:rPr>
          <w:rFonts w:hint="eastAsia" w:ascii="宋体" w:hAnsi="宋体" w:eastAsia="宋体" w:cs="宋体"/>
          <w:color w:val="auto"/>
          <w:kern w:val="0"/>
          <w:sz w:val="24"/>
          <w:szCs w:val="24"/>
          <w:lang w:bidi="ar"/>
        </w:rPr>
        <w:t xml:space="preserve">.2 应按出厂标准及国家有关要求进行包装及运输。 </w:t>
      </w:r>
    </w:p>
    <w:p w14:paraId="480A22E5">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3</w:t>
      </w:r>
      <w:r>
        <w:rPr>
          <w:rFonts w:hint="eastAsia" w:ascii="宋体" w:hAnsi="宋体" w:eastAsia="宋体" w:cs="宋体"/>
          <w:color w:val="auto"/>
          <w:kern w:val="0"/>
          <w:sz w:val="24"/>
          <w:szCs w:val="24"/>
          <w:lang w:bidi="ar"/>
        </w:rPr>
        <w:t xml:space="preserve">.3 供应商须负责对用户方的技术人员免费进行安装、操作、数据处理、维护维修等方面的培训，学会为止。请供应商说明针对采购人专业技术人员的培训计划。 </w:t>
      </w:r>
    </w:p>
    <w:p w14:paraId="751A9618">
      <w:pPr>
        <w:keepNext w:val="0"/>
        <w:keepLines w:val="0"/>
        <w:pageBreakBefore w:val="0"/>
        <w:widowControl/>
        <w:wordWrap/>
        <w:overflowPunct/>
        <w:topLinePunct w:val="0"/>
        <w:autoSpaceDE/>
        <w:autoSpaceDN/>
        <w:bidi w:val="0"/>
        <w:spacing w:line="360" w:lineRule="auto"/>
        <w:ind w:firstLine="0" w:firstLineChars="0"/>
        <w:jc w:val="left"/>
        <w:outlineLvl w:val="2"/>
        <w:rPr>
          <w:rFonts w:hint="eastAsia" w:ascii="宋体" w:hAnsi="宋体" w:eastAsia="宋体" w:cs="宋体"/>
          <w:b/>
          <w:bCs/>
          <w:color w:val="auto"/>
          <w:sz w:val="24"/>
          <w:szCs w:val="24"/>
        </w:rPr>
      </w:pPr>
      <w:bookmarkStart w:id="828" w:name="_Toc17326"/>
      <w:r>
        <w:rPr>
          <w:rFonts w:hint="eastAsia" w:ascii="宋体" w:hAnsi="宋体" w:cs="宋体"/>
          <w:b/>
          <w:bCs/>
          <w:color w:val="auto"/>
          <w:kern w:val="0"/>
          <w:sz w:val="24"/>
          <w:szCs w:val="24"/>
          <w:lang w:val="en-US" w:eastAsia="zh-CN" w:bidi="ar"/>
        </w:rPr>
        <w:t>4</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b/>
          <w:bCs/>
          <w:color w:val="auto"/>
          <w:kern w:val="0"/>
          <w:sz w:val="24"/>
          <w:szCs w:val="24"/>
          <w:lang w:bidi="ar"/>
        </w:rPr>
        <w:t>验收标准</w:t>
      </w:r>
      <w:bookmarkEnd w:id="828"/>
      <w:r>
        <w:rPr>
          <w:rFonts w:hint="eastAsia" w:ascii="宋体" w:hAnsi="宋体" w:eastAsia="宋体" w:cs="宋体"/>
          <w:b/>
          <w:bCs/>
          <w:color w:val="auto"/>
          <w:kern w:val="0"/>
          <w:sz w:val="24"/>
          <w:szCs w:val="24"/>
          <w:lang w:bidi="ar"/>
        </w:rPr>
        <w:t xml:space="preserve"> </w:t>
      </w:r>
    </w:p>
    <w:p w14:paraId="603D9D2A">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bidi="ar"/>
        </w:rPr>
        <w:t xml:space="preserve">.1 供应商提供的所有货物和服务，其质量、技术等特征必须符合国家、行业现行的标准及用户需求； </w:t>
      </w:r>
    </w:p>
    <w:p w14:paraId="277AE957">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bidi="ar"/>
        </w:rPr>
        <w:t xml:space="preserve">.2 所有设备必须有相应的详细中文说明书。 </w:t>
      </w:r>
    </w:p>
    <w:p w14:paraId="2D1A51F2">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bidi="ar"/>
        </w:rPr>
        <w:t xml:space="preserve">.3 采购人有权拒绝接受任何不合格的货物和服务，由此产生的费用及相关后果均由供应商自行承担。 </w:t>
      </w:r>
    </w:p>
    <w:p w14:paraId="443E6972">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bidi="ar"/>
        </w:rPr>
        <w:t xml:space="preserve">.4 供应商应保证，在提供本项目的货物、服务或其任何一部分不会产生因第三方依法享有的专利权、商标权或其他知识产权；如果供应商不拥有相应的知识产权，则须在报价中包括合法获取该知识产权的相关费用，并在投标文件中附有相关证明文件，如因第三方提出其专利权、商标权或其他知识产权的侵权之诉，则一切法律责任由供应商承担。 </w:t>
      </w:r>
    </w:p>
    <w:p w14:paraId="5AC1DBD0">
      <w:pPr>
        <w:keepNext w:val="0"/>
        <w:keepLines w:val="0"/>
        <w:pageBreakBefore w:val="0"/>
        <w:widowControl/>
        <w:wordWrap/>
        <w:overflowPunct/>
        <w:topLinePunct w:val="0"/>
        <w:autoSpaceDE/>
        <w:autoSpaceDN/>
        <w:bidi w:val="0"/>
        <w:spacing w:line="360" w:lineRule="auto"/>
        <w:ind w:firstLine="0" w:firstLineChars="0"/>
        <w:jc w:val="left"/>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bidi="ar"/>
        </w:rPr>
        <w:t>.5 验收按国家有关的规定、规范进行。验收时如发现所交付的设备有短装、次品、损坏或其它不符合本合同规定之情形者，采购人应做出详尽的现场记录，或由采购人和供应商双方签署备忘录。此现场记录或备忘录可用作补充、缺失和更换损坏部件的有效证据。由此产生的有关费用由供应商承担。</w:t>
      </w:r>
    </w:p>
    <w:p w14:paraId="1AF32FC9">
      <w:pPr>
        <w:keepNext w:val="0"/>
        <w:keepLines w:val="0"/>
        <w:pageBreakBefore w:val="0"/>
        <w:wordWrap/>
        <w:overflowPunct/>
        <w:topLinePunct w:val="0"/>
        <w:autoSpaceDE/>
        <w:autoSpaceDN/>
        <w:bidi w:val="0"/>
        <w:spacing w:line="360" w:lineRule="auto"/>
        <w:ind w:firstLine="0" w:firstLineChars="0"/>
        <w:jc w:val="left"/>
        <w:outlineLvl w:val="2"/>
        <w:rPr>
          <w:rFonts w:hint="eastAsia" w:ascii="宋体" w:hAnsi="宋体" w:eastAsia="宋体" w:cs="宋体"/>
          <w:b/>
          <w:color w:val="auto"/>
          <w:sz w:val="24"/>
          <w:szCs w:val="24"/>
        </w:rPr>
      </w:pPr>
      <w:bookmarkStart w:id="829" w:name="_Toc29575"/>
      <w:r>
        <w:rPr>
          <w:rFonts w:hint="eastAsia" w:ascii="宋体" w:hAnsi="宋体" w:cs="宋体"/>
          <w:b/>
          <w:color w:val="auto"/>
          <w:sz w:val="24"/>
          <w:szCs w:val="24"/>
          <w:lang w:val="en-US" w:eastAsia="zh-CN"/>
        </w:rPr>
        <w:t>5</w:t>
      </w:r>
      <w:r>
        <w:rPr>
          <w:rFonts w:hint="eastAsia" w:ascii="宋体" w:hAnsi="宋体" w:eastAsia="宋体" w:cs="宋体"/>
          <w:b/>
          <w:color w:val="auto"/>
          <w:sz w:val="24"/>
          <w:szCs w:val="24"/>
        </w:rPr>
        <w:t>.投标文件方案要求</w:t>
      </w:r>
      <w:bookmarkEnd w:id="829"/>
    </w:p>
    <w:p w14:paraId="4BDA04DC">
      <w:pPr>
        <w:pStyle w:val="43"/>
        <w:keepNext w:val="0"/>
        <w:keepLines w:val="0"/>
        <w:pageBreakBefore w:val="0"/>
        <w:wordWrap/>
        <w:overflowPunct/>
        <w:topLinePunct w:val="0"/>
        <w:autoSpaceDE/>
        <w:autoSpaceDN/>
        <w:bidi w:val="0"/>
        <w:spacing w:before="0" w:after="0" w:line="360" w:lineRule="auto"/>
        <w:ind w:firstLine="0" w:firstLineChars="0"/>
        <w:jc w:val="left"/>
        <w:rPr>
          <w:rFonts w:hint="eastAsia" w:ascii="宋体" w:hAnsi="宋体" w:eastAsia="宋体" w:cs="宋体"/>
          <w:bCs/>
          <w:color w:val="auto"/>
          <w:sz w:val="24"/>
          <w:szCs w:val="24"/>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rPr>
        <w:t>.1 供货方案：供应商应针对本项目实际情况结合过往经验分析制定供货方案，其中包括但不限于以下内容，（1）配送方式（2）供货时间（3）技术方案及保障措施（4）货物交接的具体技术方案（5）风险分析与解决方案；</w:t>
      </w:r>
    </w:p>
    <w:p w14:paraId="613EBD21">
      <w:pPr>
        <w:pStyle w:val="44"/>
        <w:keepNext w:val="0"/>
        <w:keepLines w:val="0"/>
        <w:pageBreakBefore w:val="0"/>
        <w:wordWrap/>
        <w:overflowPunct/>
        <w:topLinePunct w:val="0"/>
        <w:autoSpaceDE/>
        <w:autoSpaceDN/>
        <w:bidi w:val="0"/>
        <w:spacing w:after="0" w:line="360" w:lineRule="auto"/>
        <w:ind w:left="0" w:leftChars="0" w:firstLine="0" w:firstLineChars="0"/>
        <w:jc w:val="left"/>
        <w:rPr>
          <w:rFonts w:hint="eastAsia" w:ascii="宋体" w:hAnsi="宋体" w:eastAsia="宋体" w:cs="宋体"/>
          <w:bCs/>
          <w:color w:val="auto"/>
          <w:sz w:val="24"/>
          <w:szCs w:val="24"/>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rPr>
        <w:t>.2 项目实施方案：供应商应制定科学合理的项目实施方案，按照国家有关要求及本项目实际情况，在确保时效性的同时保证项目工作质量及实施进度，项目实施方案包括但不限于以下内容，（1）应急保障措施（2）备品备件情况（3）人员配备及整体水平；</w:t>
      </w:r>
    </w:p>
    <w:p w14:paraId="6AA1EA40">
      <w:pPr>
        <w:pStyle w:val="44"/>
        <w:keepNext w:val="0"/>
        <w:keepLines w:val="0"/>
        <w:pageBreakBefore w:val="0"/>
        <w:wordWrap/>
        <w:overflowPunct/>
        <w:topLinePunct w:val="0"/>
        <w:autoSpaceDE/>
        <w:autoSpaceDN/>
        <w:bidi w:val="0"/>
        <w:spacing w:after="0" w:line="360" w:lineRule="auto"/>
        <w:ind w:left="0" w:leftChars="0" w:firstLine="0" w:firstLineChars="0"/>
        <w:jc w:val="left"/>
        <w:rPr>
          <w:rFonts w:hint="eastAsia" w:ascii="宋体" w:hAnsi="宋体" w:eastAsia="宋体" w:cs="宋体"/>
          <w:color w:val="auto"/>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rPr>
        <w:t>.3 售后服务方案：供应商应制定合理完善的售后服务解决方案，按照国家有关要求及本项目实际情况，最大限度的保</w:t>
      </w:r>
      <w:r>
        <w:rPr>
          <w:rFonts w:hint="eastAsia" w:ascii="宋体" w:hAnsi="宋体" w:eastAsia="宋体" w:cs="宋体"/>
          <w:color w:val="auto"/>
          <w:sz w:val="24"/>
          <w:szCs w:val="24"/>
        </w:rPr>
        <w:t>证本项目所购设备质保期内外均可以连续、稳定运行，售后服务方案包括但不限于以下内容，</w:t>
      </w:r>
      <w:r>
        <w:rPr>
          <w:rFonts w:hint="eastAsia" w:ascii="宋体" w:hAnsi="宋体" w:eastAsia="宋体" w:cs="宋体"/>
          <w:color w:val="auto"/>
          <w:kern w:val="0"/>
          <w:sz w:val="24"/>
          <w:szCs w:val="24"/>
        </w:rPr>
        <w:t>（1）售后服务承诺及保障措施，（2）响应及处理周期，（3）技术服务及服务方式，（4）培训服务方案及目标，（5）培训人员整体水平</w:t>
      </w:r>
      <w:r>
        <w:rPr>
          <w:rFonts w:hint="eastAsia" w:ascii="宋体" w:hAnsi="宋体" w:eastAsia="宋体" w:cs="宋体"/>
          <w:color w:val="auto"/>
          <w:sz w:val="24"/>
          <w:szCs w:val="24"/>
        </w:rPr>
        <w:t>。</w:t>
      </w:r>
    </w:p>
    <w:p w14:paraId="351E44AA">
      <w:pPr>
        <w:pStyle w:val="44"/>
        <w:keepNext w:val="0"/>
        <w:keepLines w:val="0"/>
        <w:pageBreakBefore w:val="0"/>
        <w:wordWrap/>
        <w:overflowPunct/>
        <w:topLinePunct w:val="0"/>
        <w:autoSpaceDE/>
        <w:autoSpaceDN/>
        <w:bidi w:val="0"/>
        <w:spacing w:after="0" w:line="360" w:lineRule="auto"/>
        <w:ind w:left="0" w:leftChars="0" w:firstLine="480" w:firstLineChars="200"/>
        <w:jc w:val="left"/>
        <w:rPr>
          <w:rFonts w:hint="eastAsia" w:ascii="宋体" w:hAnsi="宋体" w:eastAsia="宋体" w:cs="宋体"/>
          <w:color w:val="auto"/>
        </w:rPr>
        <w:sectPr>
          <w:pgSz w:w="11907" w:h="16840"/>
          <w:pgMar w:top="1418" w:right="1134" w:bottom="1418" w:left="1701" w:header="851" w:footer="851" w:gutter="0"/>
          <w:pgNumType w:fmt="decimal"/>
          <w:cols w:space="720" w:num="1"/>
          <w:docGrid w:linePitch="462" w:charSpace="0"/>
        </w:sectPr>
      </w:pPr>
    </w:p>
    <w:p w14:paraId="134B4AFF">
      <w:pPr>
        <w:keepNext w:val="0"/>
        <w:keepLines w:val="0"/>
        <w:pageBreakBefore w:val="0"/>
        <w:widowControl/>
        <w:kinsoku w:val="0"/>
        <w:wordWrap/>
        <w:overflowPunct/>
        <w:topLinePunct w:val="0"/>
        <w:autoSpaceDE/>
        <w:autoSpaceDN/>
        <w:bidi w:val="0"/>
        <w:adjustRightInd/>
        <w:snapToGrid w:val="0"/>
        <w:spacing w:line="240" w:lineRule="auto"/>
        <w:ind w:firstLine="0" w:firstLineChars="0"/>
        <w:jc w:val="left"/>
        <w:textAlignment w:val="baseline"/>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标的</w:t>
      </w:r>
      <w:r>
        <w:rPr>
          <w:rFonts w:hint="eastAsia" w:ascii="宋体" w:hAnsi="宋体" w:eastAsia="宋体" w:cs="宋体"/>
          <w:color w:val="auto"/>
          <w:sz w:val="24"/>
          <w:szCs w:val="24"/>
          <w:lang w:val="en-US" w:eastAsia="zh-CN"/>
        </w:rPr>
        <w:t>清单</w:t>
      </w:r>
    </w:p>
    <w:p w14:paraId="2869CD04">
      <w:pPr>
        <w:keepNext w:val="0"/>
        <w:keepLines w:val="0"/>
        <w:pageBreakBefore w:val="0"/>
        <w:widowControl/>
        <w:kinsoku w:val="0"/>
        <w:wordWrap/>
        <w:overflowPunct/>
        <w:topLinePunct w:val="0"/>
        <w:autoSpaceDE/>
        <w:autoSpaceDN/>
        <w:bidi w:val="0"/>
        <w:adjustRightInd/>
        <w:snapToGrid w:val="0"/>
        <w:spacing w:line="240" w:lineRule="auto"/>
        <w:ind w:firstLine="0" w:firstLineChars="0"/>
        <w:jc w:val="left"/>
        <w:textAlignment w:val="baseline"/>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标注“▲”项设备为本项目核心产品，多家投标人提供的核心产品品牌相同时，通过资格审查、符合性审查的投标人按一家投标人计算，评审后得分最高的同品牌投标人获得中标人推荐资格，其他同品牌投标人不作为中标候选人。</w:t>
      </w:r>
    </w:p>
    <w:tbl>
      <w:tblPr>
        <w:tblStyle w:val="4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2482"/>
        <w:gridCol w:w="7353"/>
        <w:gridCol w:w="9"/>
        <w:gridCol w:w="661"/>
        <w:gridCol w:w="9"/>
        <w:gridCol w:w="669"/>
        <w:gridCol w:w="2482"/>
      </w:tblGrid>
      <w:tr w14:paraId="14E08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1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4712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一、宝山镇指挥中心</w:t>
            </w:r>
          </w:p>
        </w:tc>
        <w:tc>
          <w:tcPr>
            <w:tcW w:w="788" w:type="pct"/>
            <w:vMerge w:val="restart"/>
            <w:tcBorders>
              <w:top w:val="single" w:color="000000" w:sz="4" w:space="0"/>
              <w:left w:val="single" w:color="000000" w:sz="4" w:space="0"/>
              <w:right w:val="single" w:color="000000" w:sz="4" w:space="0"/>
            </w:tcBorders>
            <w:shd w:val="clear" w:color="auto" w:fill="auto"/>
            <w:vAlign w:val="center"/>
          </w:tcPr>
          <w:p w14:paraId="6AA8F2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中小企业所属行业</w:t>
            </w:r>
          </w:p>
        </w:tc>
      </w:tr>
      <w:tr w14:paraId="11F1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1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C5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标的名称</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02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规格/型号/参数配置</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4B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FD0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788" w:type="pct"/>
            <w:vMerge w:val="continue"/>
            <w:tcBorders>
              <w:left w:val="single" w:color="000000" w:sz="4" w:space="0"/>
              <w:bottom w:val="single" w:color="000000" w:sz="4" w:space="0"/>
              <w:right w:val="single" w:color="000000" w:sz="4" w:space="0"/>
            </w:tcBorders>
            <w:shd w:val="clear" w:color="auto" w:fill="auto"/>
            <w:vAlign w:val="center"/>
          </w:tcPr>
          <w:p w14:paraId="7EC438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r>
      <w:tr w14:paraId="69EC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4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BFB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配电箱</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F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指挥中心单独配置，显示系统、机柜、操作台、桌插等需单独回路控制，共计9个回路</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B80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7E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33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187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6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0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电话线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13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CAT3-UTP，305米/箱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BEF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D8F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箱</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F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9C5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E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1B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网络配线架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60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产品材质：磷青铜片、环保阻燃PC胶料，冷轧钢骨架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适用系统：网络系统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适用线径：26-22AWG（0.40mm-0.60mm）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产品尺寸：宽度：1U，长度：19英寸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使用温度：-20~75℃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01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8C4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3C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9861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95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32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理线器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33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1U</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F84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D3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8B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A74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2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8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面板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DB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TO+TP</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050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F55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90E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885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4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C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数据模块</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793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69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98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D3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792E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34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47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语音模块</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B8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CAT3</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678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4DD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C4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4553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6E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03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跳线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51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CAT-6,2米/条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8E2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E9A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1C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CDCE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8A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6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配线架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40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产品材质：磷青铜片、环保阻燃PC胶料，冷轧钢骨架，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适用系统：语音系统，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适用线径：26-22AWG（0.40mm-0.60mm），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产品尺寸：宽度：1U，长度：19英寸，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使用温度：-20~75℃。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BF4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8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5E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4573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8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8C8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机柜</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F2D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42U服务器机柜</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D1C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84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C5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F3A7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E9F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1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三层交换机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F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24个10/100/1000BASE-T以太网端口，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4个千兆SFP)交换容量758Gbps/7.58Tbps，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包转发率96/126Mpps，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支持双电源，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自带一个150W电源。</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FB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A22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C3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A2F6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6C0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3F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金属桥架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A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100*50</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EA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E2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328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2A8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C24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35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0C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RVV3*2.5，100米/盘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986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84B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86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41D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D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D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9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RVV2*1.5，100米/盘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43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A0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C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C70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07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5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光纤跳线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F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FC-SC，3米/条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5D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C23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0F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7EDA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70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13A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铠装光纤跳线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D8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FC-SC，10米/条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5B0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DCD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01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06AF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68A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4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跳线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1A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CAT-6,2米/条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63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69A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BC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E835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A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F64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C68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CAT-6,305米/箱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F4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C2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箱</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3B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71C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E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0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5E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YJV5*10,米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19E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B86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45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BF2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68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E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镀锌管</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0C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ø32，米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60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DF4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9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48E7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63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E7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8C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RVVP2*0.3</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BF2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2D3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B9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167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7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5EF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程控交换机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7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线路侧 网络接口(RJ45)x1个：WAN上联网线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网络接口(RJ45)x6个：LAN下挂IAD级联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业务侧 FXS/FXO接口(RJ45)x8个：支持选配以16线为单位(最大32FXS/16FXS+16FXO/32FXO)</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管理侧 Console(RJ45)x1个：配置网口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主控串口(RS232)x1个：115200bps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IP串口(RS232)x1个：115200bps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录音串口(RS232)x1个：115200bps</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ED3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5F5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8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4069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0E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D7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标准型话机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9F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TSD通话功能：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音频频率响应：通常在 300Hz 至 3400Hz 之间，以保证清晰的语音传输。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通话音量：可调节，一般以分贝（dB）为单位衡量。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免提通话功能：支持免提通话的距离和音质。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来电铃声选择：多种铃声可供选择。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信号和连接：有线连接方式：如 RJ11 接口。</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26A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E58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部</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39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D4C6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48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CE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电话耦合器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12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音频输入：600Ω 平衡 0dB 6.35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三芯插头音频输出：600Ω 平衡 0dB 6.35三芯插头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频响：300Hz—3400Hz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失真：≤1%</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C14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6B6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97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1A8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9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C4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网络高清摄像机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F9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支持穿越围栏、绊线入侵、区域入侵、物品遗留、快速移动、停车检测、人员聚集、物品搬移、徘徊检测多种行为检测；支持目标过滤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支持12倍光学变倍，16倍数字变倍</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采用200万像素1/2.8英寸CMOS传感器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支持超低照度，彩色：0.005Lux/F1.6黑白：0.0005Lux/F1.6</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支持H.265编码，实现超低码流传输</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水平方向360°连续旋转，垂直方向0°～90°自动翻转180°后连续监视，无监视盲区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支持300个预置位，8条巡航路径，5条巡迹路径</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支持1路音频输入和1路音频输出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内置2路报警输入和1路报警输出，支持报警联动功能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支持IP66防护等级，6000V防雷、防浪涌和防突波保护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支持AC24V±10%宽电压输入，支持POE供电（802.3at标准）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支持嵌入式安装</w:t>
            </w:r>
          </w:p>
          <w:p w14:paraId="363AF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eastAsia"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090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C94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24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52F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70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5E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监控专用电源</w:t>
            </w:r>
          </w:p>
        </w:tc>
        <w:tc>
          <w:tcPr>
            <w:tcW w:w="2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D2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12V/2A</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204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298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22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A3C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60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DE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硬盘录像机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FE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支持最大32路网络视频接入，网络性能384Mbps接入、384Mbps储存、384Mbps转发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支持不开智能 2路32M@25 fps; 2路24M@25 fps; 4路 16 MP@30 fps; 5路 12 MP@30 fps; 8路 8 MP@30 fps; 12路 5 MP@30 fps; 16路 4 MP@30 fps; 32路 1080p@30 fps解码。或开智能 1路 32 MP@25 fps; 1路 24 MP@25 fps; 2路 16 MP@30 fps; 4路 12 MP@30 fps; 6路 8 MP@30 fps; 8路 5 MP@30 fps; 12路 4 MP@30 fps; 24路 1080p@30 fps解码。最大支持16路视频回放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支持32 MP; 24 MP; 16 MP; 12 MP; 8 MP; 6 MP; 5 MP; 4 MP; 3 MP; 1080p; 960p; 720p; D1; CIF; QCIF IPC分辨率接入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支持前智能：人脸检测比对、周界防范、视频结构化、通用行为分析、立体行为分析、人群分布、人数统计、热度图、车牌识别、智能动检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支持2路后智能人脸检测比对；或4路后智能周界防范；或8路后智能智能动检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支持最大10个人脸库，共30万张人脸图片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支持16个内置SATA接口，单盘最大容量支持20T，可配置成单盘，支持Raid0、Raid1、Raid5、Raid6、Raid10、JBOD等各种数据保护模式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支持N+M集群管理功能，当主机发生故障时，备机可替换故障主机继续录像，故障恢复后，备机可将存储的录像回传至故障主机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支持iSCSI扩展存储功能，支持iSCSI方式对接IP SAN设备，实现扩容存储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支持电子云台，将全景画面中多个感兴趣区域提取成单独细节画面，当区域内有人、车目标经过时对应细节画面随目标跟踪展示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支持提供主动注册服务，前端相机支持以主动注册方式添加到设备上</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支持主动注册客户端功能，设备可以以主动注册方式添加到平台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支持16路报警输入、8路报警输出，其中1路12V1A ctrl输出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支持4个USB接口（2个前置USB2.0接口、2个后置USB3.0接口）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支持2个千兆以太网口，支持2个不同段IP地址的IPC设备接入，支持将多网口设置同一个IP地址，实现数据链路冗余</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支持2路VGA输出，2路HDMI输出。同源模式：VGA1和VGA2最大支持1080P显示，HDMI1和HDMI2最大支持4K显示；异源模式：VGA1和HDMI1 同源输出，VGA2和HDMI2 同源输出，VGA1和VGA2最大支持1080P显示，HDMI1、HDMI2最大支持4K显示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可接驳支持ONVIF、RTSP协议的第三方摄像机和主流品牌摄像机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支持Smart H.265/H.265/Smart H.264/H.264，支持一键添加IPC并自动切换到H.265</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支持IPv4、IPv6、HTTP、UPnP、NTP、 RTSP、SADP、SNMP、PPPoE、DNS、FTP、ONVIF 22.12网络协议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b/>
                <w:bCs/>
                <w:color w:val="auto"/>
                <w:sz w:val="24"/>
                <w:szCs w:val="24"/>
                <w:lang w:val="en-US" w:eastAsia="zh-CN" w:bidi="ar"/>
              </w:rPr>
              <w:t>支持云联功能，支持云联APP远程监控</w:t>
            </w:r>
            <w:r>
              <w:rPr>
                <w:rStyle w:val="259"/>
                <w:rFonts w:hint="eastAsia" w:ascii="宋体" w:hAnsi="宋体" w:eastAsia="宋体" w:cs="宋体"/>
                <w:color w:val="auto"/>
                <w:sz w:val="24"/>
                <w:szCs w:val="24"/>
                <w:lang w:val="en-US" w:eastAsia="zh-CN" w:bidi="ar"/>
              </w:rPr>
              <w:t>、预览、回放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支持硬盘、外接USB存储设备、DVD刻录等存储方式，支持U盘，eSATA方式，DVD刻录备份方式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支持切片回放功能，将录像切片等分成若干段视频进行多路同时回放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支持即时回放功能，在预览画面下回放指定通道的录像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支持抽拉式硬盘热插拔机箱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BCC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5FC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51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646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05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6D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电源时序器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3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1.额定输出电压：交流220V.50Hz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2.可控制电源：9路 前面1路 后面8路万用插座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3.前面1路直通220V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4.8路每路动作时间：1秒</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5.供电电源：CAV 50/50Hz 25A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6.每路输出带指示灯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7.单路可承受功率大功率：3000W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8.整机可承受功率：6600W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7FE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EF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2B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BFB6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DEC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28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专用硬盘</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F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4T</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B0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506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7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C99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EA2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B1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显示系统▲</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80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屏幕尺寸 55英寸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屏幕比例 16:9（宽屏）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分辨率 1920x1080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高清标准 1080p（全高清）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拼接缝隙 窄边（≤1.8mm）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组合方式 任意行×任意列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安装方式 机柜，机架，壁挂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亮度 700cd/㎡</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可视角度 178/178°</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可视区域 1209.6×680.4mm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静态对比度 1400:1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扫描频率 行频：65-70KHz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输入端口 CVBS（AV），VGA，HDMI，DVI</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其它端口 USB2.0，RS485环路纠错</w:t>
            </w:r>
          </w:p>
          <w:p w14:paraId="640B3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default"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73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1F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AB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A575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F6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7C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拼接屏机柜</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E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根据室内尺寸订制：长5.58米深0.6米，高2.7米，机柜下方距地0.9米为标准机柜设计，可安装标准设备，需对现有结构拆除，根据现场情况定制，并对拆除原结构墙恢复装饰层。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结构稳定性：能保证长期使用不变形。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配件：配备齐全且质量合格的螺丝、螺母、支架等安装配件。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拼接屏固定要求：确保拼接屏在机柜上安装牢固可靠、无晃动。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布线：机柜内设计合理的布线通道和理线架等，强弱电分离。</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电源插座：配备与拼接屏及相关设备数量、功率相匹配的电源插座或接口。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外观要求： 表面处理：平整、无划痕、无掉漆、无毛刺等。 柜门：开合灵活、关闭紧密、门锁可靠。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安全性：整体结构稳定，防止倾倒等意外发生。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边角等部位做钝化处理，防止人员意外受伤。</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兼容性：兼容不同尺寸、不同品牌（主要是安装尺寸等方面）的拼接屏。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兼容拼接屏的相关控制设备、信号传输设备等在机柜内合理放置和连接。</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0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85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0F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3F3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75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6A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拼接器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B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接口类型：支持VGA、DVI、HDMI等接口，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支持的分辨率：支持输入和输出的分辨率，1920×1080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视频编码输入：支持的信号输入接口类型，解码输出能力：支持分辨率，1920×1080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网络接口：支持RJ45 接口，10M/100M/1000M 自适应以太网口，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串行接口：支持RS-232、RS485 接口的数量，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控制方式：支持通过 PC 客户端控制等方式。</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EA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30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80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951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75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1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专用链接线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89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时延一致性：多屏间信号时延差&lt;1ms，确保画面同步无撕裂，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抖动控制：信号抖动&lt;0.5ns，避免图像闪烁或失真，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阻抗匹配：100Ω±10%，减少信号反射和驻波56，</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工作温度：-20℃～70℃，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湿度范围：5%～95% RH，无凝露，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机械强度：弯曲半径≥6D（D为线缆外径），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抗拉强度≥50N，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阻燃等级：符合UL94 V-0标准，10秒内自熄56，</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EDID管理：支持智能EDID回传，自动匹配信号源分辨率，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故障诊断：内置TDR时域反射技术，可精确定位故障点，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支持分辨率和功能：支持720、1080i、1080p、等数字信号格式，支持以太网，支持 10bit 的色深，色彩层次感更好，传输速度：能承载较高的传输带宽。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6E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EC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E9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176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FE7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46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高清混合矩阵</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1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输入接口32路:包含4路VGA接口，2路CVBS接口，6路DVI接口，20路HDMI接口；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输出接口为32路：22路DVI.2路CVBS复合视频口.4路VGA，4路HDMI。，支持叠加，漫游，跨屏。</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368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B9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4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E5E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E4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5E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EA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高清HDMI线（公对公），25米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607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F9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5A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87A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38E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A72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A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高清DVI线（公对公），25米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9B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2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3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2654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56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B9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高清HDMI线（公对公），15米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3F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EA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50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BEDC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6E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2E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94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96A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2A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E5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E82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67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6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E1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高清HDMI线（公对公），3米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33B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7B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77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001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3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04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TV信号接收器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9A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解码能力：支持的视频解码格式： MPEG-2、MPEG-4、H.264、H.265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音频解码格式，：MP3、AAC、Dolby Digital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输出接口：HDMI 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以太网接口（用于网络连接）。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USB 接口（可用于外接存储设备、升级等）。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内存容量：4G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智能功能：支持安装第三方应用程序，如视频点播应用。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具备 Wi-Fi 连接功能。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596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20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4C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1B99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4F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11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显示屏</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C0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F3.75/技术参数：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 像素间距 4.75mm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 像素直径直径3.75mm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 像素晶片构成双基色：1红、1绿（1R1G）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 显示颜色红色、绿色、黄色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 每平米像素点数44321点/㎡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 驱动方式恒压驱动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 扫描方式1/16扫描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 单元板尺寸304mm*152mm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 平均功耗双色：300 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 最大功耗双色：600 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09C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14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平米</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5E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4C05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85F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68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LED屏分组控制器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BD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接口：RJ45，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网络带载分辨率：1920×1200@60Hz，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换帧频率：60Hz，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刷新率：1920Hz，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处理深度：16bit，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灰度等级：65535，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带载面积：单卡带载 230 万像素，最宽可达 4096 点，最高可达 2560 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功能特性：支持超长条屏字幕显示，可左/右对齐、居中或滚动显示，可实现远程客户端操作，以及图像色温调节（标准、冷、暖三色可调），拥有高可靠性屏幕逐点校正技术，确保显示亮度和色度一致性，支持多发送器任意拼接级联，且能严格同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运行环境：工作温度范围为-10℃至 45℃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39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04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1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3A6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F8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0B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桌面插座</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76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strike/>
                <w:color w:val="auto"/>
                <w:sz w:val="24"/>
                <w:szCs w:val="24"/>
              </w:rPr>
            </w:pPr>
            <w:r>
              <w:rPr>
                <w:rStyle w:val="260"/>
                <w:rFonts w:hint="eastAsia" w:ascii="宋体" w:hAnsi="宋体" w:eastAsia="宋体" w:cs="宋体"/>
                <w:strike w:val="0"/>
                <w:dstrike w:val="0"/>
                <w:color w:val="auto"/>
                <w:sz w:val="24"/>
                <w:szCs w:val="24"/>
                <w:lang w:val="en-US" w:eastAsia="zh-CN" w:bidi="ar"/>
              </w:rPr>
              <w:t>按照会议桌原开洞尺寸定制嵌入式多功能插座，接口：网口*1，HDMI*1,电话*1，电源*1。</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6C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8A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1C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61FE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B7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8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视频会议主机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B1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采用数字集成电路技术，低功耗、高保真、极稳定；内置高效抑制噪声线路，防啸叫功能显著。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七种发言模式：主席专用、先进先出、后进先出、限制发言、自由讨论、压倒轮替 、申请发言；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发言人数:：1-6（人任选 ）、N（全开放）；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开机自检功能,所有按键指示灯环绕闪烁一遍，连接状态不正常时主机产生蜂鸣；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断电智能记忆功能，可记忆程序原运行状态。若意外断电后，通电即恢复最后一次设置；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通用USB录音接口，支持热插拔，可随意配搭常用电子产品使用。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具有中/英文语言切换功能；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LCD屏液晶菜单显示工作内容，直观明了；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采用轻触式开关按键控制菜单功能，设有音量调节、电话输入和总音量输出调节器；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主机最少可连接80个会议话筒单元,具四路并联输出，每路可连接20个单元,可无限增加电源扩展或数据扩展；</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内置电话耦合器输入和输出端口,可用来召开远程电话会议；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连接摄像头可实现发言实时视像追踪功能，支持4路摄像头信号输入，2路视频输出；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多种云台球机控制协议,兼容性极强:Pelco_P、VISCA、Pelco _D 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球机支持单元复位功能，可刷新重置；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RS232端口可外接PC设置结合加密型软件同步连动操作，实现计算机管理系统功能；也可连接中控，令会议设备智能化。</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B6A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F3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13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9EDF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C9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150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数字连接盒</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3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1.标准8-PIN座铜地插，用于主机单元与单元之间连接；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2.1公输入，3母输出，标准电工146插座尺寸</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A6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B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A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FDFF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7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69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数字主机专用线缆</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9C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30米；会议主机专用线缆，符合会议主机接口要求</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1A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42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6F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EBE7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6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C3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会议全频音箱</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5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1.中低音喇叭：1×10" (140磁Φ50mm)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2.高音喇叭：1×1.34" (Φ34mm)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3.分频点：内置两分频2.7KHZ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4.额定功率：300W   连续功率：600W   最大功率：1200W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5.指向性：120°×60° （H×V）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6.灵敏度（1W/1M）：97db SPL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7.最大声压级：122db SPL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8.额定阻抗（单只） 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9.频率响应：55Hz-20KHz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10.产品尺寸（W*D*H）:300W×340D×525H</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11.产品净重: 14 kg</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D39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EB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0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248D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6E0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11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会议分频音箱</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A1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单6.5寸 低音120磁35芯 高音双60磁16芯中纤黑点漆</w:t>
            </w:r>
          </w:p>
          <w:p w14:paraId="587F6E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主要技术参数：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组件（Components)：LF 1×6.5""(200mm)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HF 1×3"(纸盆高音)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连接器（Connectors)：1×NEUTRIK  Nl4</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额定功率(Enduring Power)：100Watts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最大功率(Maximum power)：200Watts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频率响应(Frequency response)：70Hz-20KHz±3dB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标称阻抗(Nominal Impedance)：8Ω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覆盖范围（HF Dispersion)：90°Hor. ×50°Vert.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重量：7kg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产品尺寸（W*D*H）:225*210*375 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B3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6D9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D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FF1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F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6B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主音箱功率放大器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64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1.输出功率(EIA 1KHz 1%THD)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2.立体声(600W×2/8Ω;900W×2/4Ω)桥接(1800W/8Ω)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3.输出接口:SPEAKON/Binding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4.频响:20Hz-20kHz,±1dB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5.输入灵敏度:0.7V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6.信噪比:≥95dB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7.失真度:≤0.03%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8.额定输出功率8 OHM 1KHz时分离度:&gt;70dB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9.阻尼系数 f=1KHz  8 OHMS:240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10.转换速率:15V/us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11.保护:Soft Start,Short Circuit,Limiter,DC Fault,AC Line Fuse,Thermal Cut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12.冷却系统:Two steps speed fan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13.电源;220-230V~50Hz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14.净重（kg）:11.3Kg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15.尺寸(WxDxH)：482×346×88mm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F38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0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2E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2A96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56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73D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补声音箱功率放大器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AC1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1.额定功率RMS：(8Ω)2×350W；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2.额定功率RMS：(4Ω)2×530W；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3.额定功率RMS：(桥接8Ω)1060W；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4.额定功率RMS：(桥接100V)800W；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5.频响：20Hz-20KHz  ±0.5dB；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6.输入灵敏度：1V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7.信噪比:≥100dB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8.失真度（THD）:≤0.03%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9.输入阻抗:20KΩ(平衡)10KΩ(非平衡)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10.额定输出功率8Ω1KHz时分离度:65dB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11.阻尼系数（5Hz-1KHz）:＞100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12.转换速率:13V/uS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13.保护功能:软启动保护  过热保护  过流保护  直流保护  射频保护</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14.冷却系统:Two step speed fan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15.电源:AC:220-230V  50Hz/60Hz机箱厚度2U；重量:9.6Kg；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16.产品尺寸（W×D×H）:482×346×88 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92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AD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F7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8CD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9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D2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全自动反馈抑制器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2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1.96KHz采样频率，32-bit DSP处理器，24-bit A/D及D/A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2.设备内置矩阵（路由）编辑功能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3.输入通道提供4组复合型（COMBO）音频输入接口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4.设备可接受较宽交流电压输入，输入范围AC90~240V 50/60Hz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5.4路增益可调的话筒放大输入，提供+48V幻象电源。</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6.可通过面板的BYPASS/ON按键切换工作模式为直通或抑制。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7.全自动窄带陷波式反馈抑制。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8.每通道独立12个固定滤波器和12个动态滤波器，可通过"系统"键来设定固定或</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动态滤波器的个数。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9.可通过面板的48个LED啸叫点指示灯，显示当前啸叫点个数。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10.带有压缩，限幅，噪声门功能。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11.单机提供30组设备数据存储，存储压缩，限幅，噪声门的参数。关机后可保存关机前的啸叫抑制状态。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12.可通过面板的"系统"键来设定密码锁定面板操作的部分或全部功能，以防止非相关人员的操作破坏机器的工作状态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13.采用液晶屏和6段LED显示输出的精确数字电平表。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14.提供模拟输入输出或数字AES 3，光纤，同轴输入输出。</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378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F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E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C22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1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1B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图示均衡器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486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1.频率响应：20HZ-20KHZ_+0.5dB@OdB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2.总谐失真 ：≤ 1%20Hz-20kHz@odB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3.输入阻抗平衡：20K ohms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4.输出阻抗平衡：100 ohms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5.最大输入电平：≥16dB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6.最大输出电平：≥15dB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7.均衡控制：31band(1/3octave)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8.中心频率：20，25，31.5，40，50，63，80，100，125，160，200，250，315，400，500，630，800，1K,1.25K,1.6K,2K,2.5K,3.15K,4K,5K,,6.3K,8K,10K,12.5K,16K,20Hz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9.信噪比：≥90dB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10.峰值灵敏度：lit earlier 3dB than clip point</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11.反馈阀值LED：≥-22dB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12.高通滤波器： 40Hz 12DB/octave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13.电源：1150V/50-60Hz230v/50~60Hz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14.能量消耗：15W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6A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E5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C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5AC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7A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17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监听音箱</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45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输入连接器:TRS (3.5) + TRS (6.35) + 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输出接口:TRS(3.5)耳机输出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反应:80 - 20 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交叉频率:2.8 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低音扬声器功率:25 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高音:1英寸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低音:3.5英寸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最大SPL: 100分贝</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输入阻抗:10K欧姆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声场范围:-6dB至+6dB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电源要求:100 - 240 v, 50/60Hz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尺寸(长宽高)：14*15.5*21CM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74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0E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44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96E0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0D8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F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调音台</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C8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1.通道：16路单声输入，2路线路输入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2.通道均衡：3 Band + Mid sweep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3.辅助输出：3组辅助发送，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4.返回：1组返回</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5.效果器：256/24Bit DSP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6.主控均衡：7段均衡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7.主输出：1路立体声输出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8.编组输出：2路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9.幻象电源：48V DC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10.USB播放：支持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11.重量（KG)：8.2KG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12.规格尺寸mm(H*W*L):120*670*440mm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038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D0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F0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D0D7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82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4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无线话筒</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94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主机工作电压：DC--12V—14V1A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工作电流：600MHA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功耗：5W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接收灵敏度：—105dBM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音频输出电压：0.3V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邻频干扰抑制：&gt;60dB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咪芯指向性：心形指向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拾音灵敏度：&gt;20dBM（1V）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发射功率：&gt;+10dBM(10MW)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麦克风功耗：120MHA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接收有效距离：无障碍直线80—150米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音频响应：50HZ—15KHZ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频率稳定度：+-0.001%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信噪比：S/N：&gt;100DB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失真度THD：&lt;0.01%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FBX一键防啸叫，彩色显示屏，声音效果饱满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CB0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C5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EB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7E8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F7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5A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DVD播放器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5D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可播放碟片：CD, CD-R, CD-R/CD-RW, Video CD/SVCD, DVD+R, DVD+RW, DVD-R, DVD-RW（视频模式）, DVD-Video</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光盘放入方式：托盘式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视频制式 NTSC/PAL 制式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逐行扫描 逐行扫描， 智能画面设置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音场解码 杜比AC-3和DTS双解码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频率响应 4Hz-44KHz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信噪比 &gt;95dB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失真度 &lt; 0.05%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41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7B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CD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B818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B8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E1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会议专用跟踪摄像机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E3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采用1/2.8英寸高品质图像传感器，最大分辨率可达1920x1080，输出帧率高达60帧/秒。</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多种光学变倍镜头：具有20X等多种光学变倍镜头选择，镜头具有72.5°无畸变宽视角。</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领先的自动聚焦技术：人眼模型图像增强，先进的自动聚焦算法使得镜头快速、准确、稳定地完成自动聚焦。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低噪声高信噪比：低噪声CMOS有效地保证了摄像机视频的超高信噪比。采用先进的2D、3D运动降噪等技术，进一步降低了噪声，同时又能确保图像清晰度。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音频输入接口：支持16000、32000、44100、48000采样频率，支持AAC、MP3、PCM音频编码，内置高品质拾音器。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超级静音云台：采用高精度步进电机以及精密电机驱动控制器，确保云台低速运行平稳，并且无噪声。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多种视频输出接口：支持DVI（HDMI分量），3G-SDI，USB、有线LAN、无线LAN接口（5GWiFi模块），3G-SDI支持在1080P60格式下传输100米。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多种音视频压缩标准：支持H.265/H.264视频压缩，支持AAC、MP3、PCM音频压缩；支持高达1920x1080分辨率60帧/秒压缩；支持2路1920x1080分辨率30帧/秒压缩；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多种网络协议：支持ONVIF、GB/T28181、RTSP、RTMP协议，同时支持RTMP推送模式，轻松链接流媒体服务器(Wowza、FMS)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多种遥控器：用户可以根据所使用的环境条件，选择红外遥控器或无线遥控器。2.4G无线遥控器不受角度、距离、红外干扰影响。支持遥控器信号透传功能，方便后端设备使用。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低功耗休眠功能：支持低功耗休眠/唤醒，休眠时功耗低于400mW。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多种控制协议：支持VISCA、PELCO-D、PELCO-P协议，支持自动识别协议。支持网络全命令VISCA控制协议。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RS232级联：支持RS232级联，方便工程安装使用，支持正装或者倒装可选。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多预置位：支持多达256个预置位(遥控器设置调用为10个)。</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D4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7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58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448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0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DEE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跟踪摄像机吊架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F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材质：铝合金，承重 ‌≤10kg‌，适配 ‌200mm 吊装孔距‌，尺寸约 ‌Φ116.5×200mm‌，根据现场高度定制。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24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AB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2C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C933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37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5C2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跟踪升降机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5255">
            <w:pPr>
              <w:keepNext w:val="0"/>
              <w:keepLines w:val="0"/>
              <w:pageBreakBefore w:val="0"/>
              <w:widowControl/>
              <w:suppressLineNumbers w:val="0"/>
              <w:kinsoku/>
              <w:wordWrap/>
              <w:overflowPunct/>
              <w:topLinePunct w:val="0"/>
              <w:autoSpaceDE/>
              <w:autoSpaceDN/>
              <w:bidi w:val="0"/>
              <w:adjustRightInd/>
              <w:snapToGrid/>
              <w:spacing w:afterAutospacing="0"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采用金属冷轧钢材质，坚固耐用。面板尺寸：适合会议桌尺寸</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支架尺寸：适合追踪摄像机。升降高度：可调节范围在10mm 至 700mm。颜色：黑色。控制方式：支持中控 RS232/RS485、无线射频遥控、线控按钮开关等多种控制方式，互不干扰。</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E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EB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20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BDA7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BE6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54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b/>
                <w:bCs/>
                <w:i w:val="0"/>
                <w:iCs w:val="0"/>
                <w:color w:val="auto"/>
                <w:kern w:val="0"/>
                <w:sz w:val="24"/>
                <w:szCs w:val="24"/>
                <w:u w:val="none"/>
                <w:lang w:val="en-US" w:eastAsia="zh-CN" w:bidi="ar"/>
              </w:rPr>
              <w:t>视频会议管理主机</w:t>
            </w:r>
            <w:r>
              <w:rPr>
                <w:rFonts w:hint="eastAsia" w:ascii="宋体" w:hAnsi="宋体" w:eastAsia="宋体" w:cs="宋体"/>
                <w:b/>
                <w:bCs/>
                <w:color w:val="auto"/>
                <w:sz w:val="24"/>
                <w:szCs w:val="24"/>
                <w:lang w:val="en-US" w:eastAsia="zh-CN"/>
              </w:rPr>
              <w:t>升级</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F5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处理器酷睿</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i5</w:t>
            </w:r>
          </w:p>
          <w:p w14:paraId="49BC2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内存≥16GB</w:t>
            </w:r>
          </w:p>
          <w:p w14:paraId="0183B7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固态硬盘≥1TB</w:t>
            </w:r>
          </w:p>
          <w:p w14:paraId="6E883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配套 23.8 英寸显示屏幕</w:t>
            </w:r>
          </w:p>
          <w:p w14:paraId="5495F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b w:val="0"/>
                <w:bCs w:val="0"/>
                <w:i w:val="0"/>
                <w:iCs w:val="0"/>
                <w:color w:val="auto"/>
                <w:kern w:val="0"/>
                <w:sz w:val="24"/>
                <w:szCs w:val="24"/>
                <w:u w:val="none"/>
                <w:lang w:val="en-US" w:eastAsia="zh-CN" w:bidi="ar"/>
              </w:rPr>
              <w:t>5.处理器：8核，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6.内存：32G，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7.主板：满足设备接入，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8.图像采集卡：满足高清信号接入，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9.需满足区高清视频会议正常召开</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85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9C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E7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2914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B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6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视频会议采集卡</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03C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输入接口‌：1×HDMI 2.0（支持 4Kp60）、1×DVI-DL、1×DP（支持 HDR10/HLG，8/10bit，YUV/RGB 4:4:4/4:2:2/4:2:0），‌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环出接口‌：1×HDMI 2.0，‌最大分辨率/帧率‌：4096×2160p @ 60/50fps（输入与环出一致），‌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接口类型‌：PCIe Gen2 x4（半高卡，尺寸约 127×111.15mm 或 130×68.9mm）</w:t>
            </w:r>
          </w:p>
          <w:p w14:paraId="56A592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‌色彩支持‌：4:4:4 / 10-bit，HDR10/HLG，3D（HDMI 1.4b）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‌软件支持‌：含 QCAP SDK（支持采集、录制、串流、画中画、裁剪、色调节等）‌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系统兼容‌：Windows 7/8/10/11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Linux‌应用‌：4K 直播、医疗影像、虚拟演播、游戏录制、广电采集</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AB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5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0C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D70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C1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56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数字会议音频处理器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47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1.输入/输出通道：2入4出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2.每个输入通道功能：静音  每个通道设立单独静音控制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3.输入阻抗平衡：20KΩ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4.输出阻抗平衡：100Ω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5.输入范围：≤17dBu</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6.频率响应：20Hz-20KHz(0~-0.5dB)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7.信噪比：＞110dB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8.失真度：＜0.01%（Output=0dBu/1KHz）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9.分离度：＞80dB(1KHz)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10.PC接口面板：1个USB接口，后板2个RS485接口（RJ-45座）,RS232接口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11.功耗：≤30W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12.重量：4.1kg</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835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47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6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F4F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50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D1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视频自动切换器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D3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12V1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满足12入1出，支持HDMI高清视频合成输出，支持自动视频分配控制，支持主席位控制。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14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1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71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D2A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E2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9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音箱线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50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100米/卷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材质无氧铜，200芯，带铝箔屏蔽抗干扰，音箱专业连接线</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C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6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1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5AF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5E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A4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B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RVV2*0.5，100米/盘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79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3F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1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3590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CA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D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E7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RVV3*0.3,100米/盘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0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AB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45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320D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D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63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集中控制系统主机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91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1、4核CPU，采用1.2GHz 主频的32位内嵌式处理器；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2、1G内存，4G Nandflash闪存，最大可扩展2T；</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3、多种通信：支持RS-232、RS-422、RS-485、DMX512、ModBus、CanBus、Zigbee通讯，可扩展KNX通讯；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4、具备端口复用功能，支持8路可自定义协议的串口，可配置RS-232、RS-485、DMX512协议，第一、第五路支持24V供电输出；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5、4路触点，每路可支持30V/1A DC，125V/0.5A AC负载；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6、支持8路可自定义的IO输入输出及红外输出，支持全频段载波的红外调制信号发送；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7、支持2路带供电CAN总线信号管理；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8、支持1路Ethernet接口；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9、支持1路红外仿真接口；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10、支持1路USB红外学习接口；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11、内置全频段载波红外学习器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12、系统可通过有线进行扩充；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13、系统可通过无线或有线扩充，单系统支持65535台总线设备扩展；</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14、可添加温度、湿度、光敏、PM2.5等环境采集器和感应器；可按照个人使用习惯和外界实时情况来自动触发指令；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15、支持自定义宏、可编辑宏、可导入或导出宏；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16、支持图形化和语句式编程；</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17、具备时间轴、多线程事件编辑功能；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18、支持操控屏直接编程，用户可自行编辑按键形式及按键的执行联动操作内容；</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19、可多平台控制，支持Android、IOS、Windows三平台同时控制；Windows平台上层控制程序，直接支持客户端应用；在提供安全KEY的前提下，可进行网页端控制。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20、主机支持一屏多机、多屏一机、多屏多机等对接方式；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21、支持语音控制、语音反馈功能；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22、支持音频信号转换控制功能，接入音频文件后，自动计算频谱，并根据频谱内容来控制外围设备；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23、系统支持主机自备份；支持操作记录保存、查询；</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24、支持双机备份；支持远程云备份；支持一键GHOST功能；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25、支持账户身份认证功能，用户管理中心建立主帐号和子帐号；</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26、支持单系统、多系统本地或异地集群管理，支持主账号、子账号实现权限转移、分配；账号控制列表的查看，实现远程互通互控；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27、支持云端数据采集、分析、处理功能；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28、具备媒体流传输功能，能够同时传输8路720P媒体流信号，实现监控与操作同时进行；</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29、可监测受控设备的实时运行状态，故障反馈；支持远程云控制、远程云调试、远程云维护；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30、搭建服务器形式的中央控制系统后，所有的中央控制主机都可以联动在一起，实现一个指令，所有中央控制主机都能够反馈触发的机制；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31、自动时钟定时设置功能，可精准执行用户自定义的时间预约功能，预约动作可精确到年月日时分秒；</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32、接口过压过流保护，抗20KV静电冲击；</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33、内部供电电压24V，功耗&lt;5W；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1B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25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38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77A8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F7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71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红外发射棒</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FA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61"/>
                <w:rFonts w:hint="eastAsia" w:ascii="宋体" w:hAnsi="宋体" w:eastAsia="宋体" w:cs="宋体"/>
                <w:color w:val="auto"/>
                <w:sz w:val="24"/>
                <w:szCs w:val="24"/>
                <w:lang w:val="en-US" w:eastAsia="zh-CN" w:bidi="ar"/>
              </w:rPr>
            </w:pPr>
            <w:r>
              <w:rPr>
                <w:rStyle w:val="261"/>
                <w:rFonts w:hint="eastAsia" w:ascii="宋体" w:hAnsi="宋体" w:eastAsia="宋体" w:cs="宋体"/>
                <w:color w:val="auto"/>
                <w:sz w:val="24"/>
                <w:szCs w:val="24"/>
                <w:lang w:val="en-US" w:eastAsia="zh-CN" w:bidi="ar"/>
              </w:rPr>
              <w:t xml:space="preserve">需配合集中控制主机，发射范围：150平方米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接收范围：150平方米</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发射波长：850nm</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发射角度：60度</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发射功率：10mW</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工作电压：与所连接的设备匹配。</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 xml:space="preserve">载波频率： 2.8MHz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最大功率输出：6Mw</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 xml:space="preserve">总谐波失真：1.5%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讯噪比：54Db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音频响应：</w:t>
            </w:r>
          </w:p>
          <w:p w14:paraId="6BEC01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61"/>
                <w:rFonts w:hint="eastAsia" w:ascii="宋体" w:hAnsi="宋体" w:eastAsia="宋体" w:cs="宋体"/>
                <w:color w:val="auto"/>
                <w:sz w:val="24"/>
                <w:szCs w:val="24"/>
                <w:lang w:val="en-US" w:eastAsia="zh-CN" w:bidi="ar"/>
              </w:rPr>
            </w:pPr>
            <w:r>
              <w:rPr>
                <w:rStyle w:val="261"/>
                <w:rFonts w:hint="eastAsia" w:ascii="宋体" w:hAnsi="宋体" w:eastAsia="宋体" w:cs="宋体"/>
                <w:color w:val="auto"/>
                <w:sz w:val="24"/>
                <w:szCs w:val="24"/>
                <w:lang w:val="en-US" w:eastAsia="zh-CN" w:bidi="ar"/>
              </w:rPr>
              <w:t>最低 50Hz</w:t>
            </w:r>
          </w:p>
          <w:p w14:paraId="63FC2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最高12KHz</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8E1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9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C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DD3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2C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8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电源控制器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DD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1、8路大电流带常开/常闭触点继电器；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2、自带配线架；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3、机架式安装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4、CAN总线通讯；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5、任意变换的网络ID设置；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6、支持手动及总线控制方式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7、配合Pandora系列中央控制系统使用。</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BF7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2F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7A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1781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541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0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无线触控屏</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E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59"/>
                <w:rFonts w:hint="eastAsia" w:ascii="宋体" w:hAnsi="宋体" w:eastAsia="宋体" w:cs="宋体"/>
                <w:color w:val="auto"/>
                <w:sz w:val="24"/>
                <w:szCs w:val="24"/>
                <w:lang w:val="en-US" w:eastAsia="zh-CN" w:bidi="ar"/>
              </w:rPr>
              <w:t>1.屏幕尺寸：至少11寸，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2.处理器核心：双核心，</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3.系统内存：2GB，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4.存储容量：16GB，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5.刷新率：120HZ，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6.支持支持802.11a/b/g/n无线协议，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7.需中兼容控系统控制软件，实现中控主机控制。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405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D6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4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AC14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6B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11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无线接收器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E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双频;支持 2.4G&amp;5G Hz；内置天线；一个千兆电口，802.11a/b/g/n； 2*2MIMO,600Mbps；网口防浪涌标准≥1500v；单天线发射功率100mw，最大发射功率20dBm；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03A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2F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0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D49A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77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42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高清视频解码器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FC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4 路本地信号采集（2 路 DVI-I 和 2 路 HDMI，HDMI 接口最大支持 4K）</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21 路 HDMI 信号输出接口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21 路 HDMI 音频输出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MPEG2/MPEG4/H.264/H.265/SVAC/MJPEG 标准网络视频流解码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 持QCIF/CIF/2CIF/HD1/D1/720P/1080P/300W/500W/600W/800W/1200W/3200W 视 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支持通过串口控制屏幕开关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每 3 个输出口一组，每组共享如下解码能力：最大支持 64 个通道同时解码，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最大支持 1 路 3200W@25fps / 3 路 1200W@15fps / 4 路 800W@30fps / 6 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600W@25fps / 8 路 500W @25fps / 9 路 400W@25fps / 10 路 300W @30fps / 16</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路 1080P @30fps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支持单屏 1/4/6/8/9/16/25/36 分割，支持 MxN 自由分割</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HDMI 输出接口支持 3840x2160,1920x1080,1280x1024，1280x720，1024x768</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五种显示分辨率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HDMI 输入接口最大支持 3840x2160 分辨率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Onvif、RTSP 协议接入，支持国标 GB28181 接入 ，支持私有协议接入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支持预案轮巡</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支持底色选择</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支持自定义分辨率输出，支持小间距 LED 对接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支持多屏融合拼接，跨屏画面毫秒级完美同步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 个 10M/100M/1000M 自适应以太网接口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加强用户保密等级：HTTP 的 MD5 加密，HTTPS 和 SSL 证书认证，TELNET 的密码修改同步应用的用户账号管理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采用标准网络协议和标准压缩算法，在各种平台上轻松实现互联互通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031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C2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80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E51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C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B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高清光端机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54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双向HDMI+音频+千兆网口</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481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D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1C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DD61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EBD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D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高清视频分配器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D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59"/>
                <w:rFonts w:hint="eastAsia" w:ascii="宋体" w:hAnsi="宋体" w:eastAsia="宋体" w:cs="宋体"/>
                <w:color w:val="auto"/>
                <w:sz w:val="24"/>
                <w:szCs w:val="24"/>
                <w:lang w:val="en-US" w:eastAsia="zh-CN" w:bidi="ar"/>
              </w:rPr>
              <w:t>1分32高清视频分配器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视频输入：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-3dB 带宽：大于 150MHz 或 350MHz，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接口：BNC或RCA，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最小电平：0.4Vp-p，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最大电平：2.0Vp-p，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耦合方式：直流耦合，</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输入阻抗：75Ω±1Ω。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信号类型：复合视频信号，</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接口：BNC（或 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最小电平：0.4Vp-p，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最大电平：6.0Vp-p，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耦合方式：直流耦合，</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直流补偿：0dB。</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8BE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3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13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50C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5C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BC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时统时频系统服务器</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06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 以中心母钟输出的定时信号建立时间参考；</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 提供1路NTP网络授时接口，支持任意时区设置；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 前面板显示年月日时分秒、卫星颗数及工作状态；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 支持windows、LINUX、UNIX、SUN SOLARIS、IBM AIX等操作系统时间同步；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 支持NTP v1.v2.v3&amp;v4(RFC1119&amp;1305),SNTP(RFC2030)等协议；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 支持DHCP功能，所有接入LAN口的网络设备，可以自动获取到IP地址；NTP服务器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 安全性能出色，提供防火墙保护，启用</w:t>
            </w:r>
            <w:r>
              <w:rPr>
                <w:rStyle w:val="262"/>
                <w:rFonts w:hint="eastAsia" w:ascii="宋体" w:hAnsi="宋体" w:eastAsia="宋体" w:cs="宋体"/>
                <w:color w:val="auto"/>
                <w:sz w:val="24"/>
                <w:szCs w:val="24"/>
                <w:lang w:val="en-US" w:eastAsia="zh-CN" w:bidi="ar"/>
              </w:rPr>
              <w:t>SYN</w:t>
            </w:r>
            <w:r>
              <w:rPr>
                <w:rStyle w:val="259"/>
                <w:rFonts w:hint="eastAsia" w:ascii="宋体" w:hAnsi="宋体" w:eastAsia="宋体" w:cs="宋体"/>
                <w:color w:val="auto"/>
                <w:sz w:val="24"/>
                <w:szCs w:val="24"/>
                <w:lang w:val="en-US" w:eastAsia="zh-CN" w:bidi="ar"/>
              </w:rPr>
              <w:t>-flood防御，地提高内部网络的安全性，降低风险；</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 支持心跳检测功能，多台时间服务器或者多个网口均可设为同一IP，互为冗余备份；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 支持WEB、SSH加密通信和软件监控设置的参数管理方式；NTP服务器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 支持WEB方式的固件升级，提供参数备份及导入，系统本地日志和远程日志发送等功能；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 提供软硬件看门狗设计，QoS功能（流量监控）和网络诊断等；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 参数设置文件可以导出与导入；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 网络配置页面支持国际化（多语言）包括中文，英文，日文，西班牙，法文，意大利，俄文，乌克兰文等等，可设置用户名密码和主机名；</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 负载、运行时间、实时流量和内存状态等实时监控；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15) 显示实时链接，包括客户端访问时间服务器的IP、通信协议和交互数据量，并以图表形式展示历史数据；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16) 只需要输入www.syn029.cn就可以登录NTP时间服务器，避免记录ip的麻烦；</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17) 内置时钟源可选温补晶振、恒温晶振、铷原子钟和驯服模块等；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 串口授时，每秒发送一次时、分、秒、年、月、日时间信息；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19) 输出定时同步信号（1PPS），TTL接口输出。</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DA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0A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9E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2FC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1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FA9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全向天线</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6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频率范围</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GPS卫星L1频点：1575MHz±5 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北斗二代B1频点：1561MHz±4 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极化方式</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右旋圆极化</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天线增益≥38dB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噪声系数≤1.5dB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反射损耗：-14dB(即驻波比≤1.5)</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P-1≥+10dBm</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干扰抑制：25dB±100MHz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供   电：3V/5V DC</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工作电流：13mA/3V  26mA/5V</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30E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0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96F4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51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16F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监控辅屏</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15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43寸，超清4K</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CE4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52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26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3E0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8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1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会议音箱</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5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2.0声道有源音箱音色清淅人声凸出，内置功率放大器、5寸全频低音喇叭、2.5寸高音喇叭。270套同时使用不串频,抗干扰性强、安装调试简单、声音清晰、性能稳定无须专人管理。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1路6.5毫米插口有线话筒输入。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一组莲花音频输入、一路莲花录播音频输出、一路莲花线路输出。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麦克风音量、音乐音量、独立调节。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外置接插式电源线放便升级安装。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铁网烤漆防护罩、配原厂支架、壁挂式安装。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音调控制：高音15KHz±12dB / 低音100Hz±12dB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尺寸：宽190mm×厚173mm×高310mm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输出功率：50W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灵敏度：90dB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信噪比：≥90dB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频率响应：20Hz-18KHz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超宽电源：90V-260V、50Hz</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C94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A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BF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B7B6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446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38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网络摄像机</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305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防暴半球传感器类型:1/2.7英寸CMOS；像素:400万最大分辨率:2688×1520；扫描方式:逐行扫描电子快门:1/3s~1/100000s（可手动或自动调节）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最低照度:0.002lux（彩色模式）；0.0002lux（黑白模式）；0lux（补光灯开启）；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信噪比:＞56dB最大补光距离:50m（红外视频监控距离） 20m（暖光视频监控距离） 8m（暖光人脸检测距离）；补光灯:2颗（红外灯）;1颗（暖光灯）调整角度:水平：0°～355°；垂直：0°～80°；旋转：0°～355°；镜头类型:电动变焦镜头接口:φ14；镜头焦距:6mm～24mm镜头光圈:F1.5；视场角:水平：17°～42°；垂直：9°～23°；对角：19°～48°；光圈控制:固定光圈；近摄距:0.5m；通用行为分析:物品遗留；物品搬移；热度图: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深度智能:支持周界防范:绊线入侵；区域入侵；快速移动（三项均支持人车分类及精准检测）；徘徊检测；人员聚集；停车检测</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SMD 3.0:第三代智能动检技术；智能场景自适应:支持人脸检测:支持人脸检测；支持跟踪；支持优选；支持抓拍；支持上报最优的人脸抓图；支持人脸增强，支持人脸曝光；支持人脸属性提取，支持6种属性8种表情:性别，年龄，眼镜，表情（愤怒，平静，高兴，悲伤，厌恶，惊讶，，困惑，害怕），口罩，胡子，支持人脸抠图区域可设:人脸， 单寸照，自定义；支持实时抓拍、优选抓拍、质量优先三种抓拍策略；支持人脸角度过滤功能；支持优选时长可设热度图:支持车辆检测:支持机动车抓拍及报警联动，支持机动车号牌识别；智能检索:配合Smart NVR实现事件录像的二次智能检索、分析和浓缩播放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视频压缩标准:H.265；H.264；H.264H；H.264B；MJPEG（仅辅码流支持）智能编码:H.264:支持； H.265:支持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AI编码:H.264:支持（压缩率≥25%）； H.265:支持（压缩率≥25%）视频帧率:50Hz 主码流（2688×1520@25fps），辅码流（704×576@25fps），第三码流（704×576@25fps） 60Hz 主码流（2688×1520@30fps），辅码流（704×480@30fps），第三码流（704×480@30fps）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视频码率:H.264:3kbps ~ 8192kbps； H.265:3kbps ~ 8192kbps；日夜转换:ICR自动切换；背光补偿:支持；强光抑制:支持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宽动态:120dB；白平衡:自动；自然光；路灯；室外；手动；区域自定义；增益控制:自动；降噪:3D降噪默认分辨率下默认码流:4096kbps（2688×1520）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防抖功能:电子防抖；透雾功能:支持；图像翻转:支持；走廊模式:90°/270°（在2688×1520分辨率及以下支持）；镜像:支持；隐私遮挡:4块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内置MIC:支持；内置扬声器:支持；音频压缩标准:PCM；G.711a；G.711Mu；G.726；AAC；MPEG2-Layer2；G.722.1；G.729；G.723</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采样率:8kHz；16kHz；32kHz；48kHz；64kHz；报警事件:无SD卡；SD卡空间不足；SD卡出错；网络断开；IP冲突；非法访问；动态检测；SMD；视频遮挡；绊线入侵；区域入侵；快速移动；物品遗留；物品搬移；徘徊检测；人员聚集；停车检测；场景变更；音频异常侦测；电压检测；虚焦侦测；安全异常；人脸检测；网络接口:1个（RJ-45网口，支持10M/100M 网络数据）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网络协议:IPv4；IPv6；HTTP；TCP；UDP；ARP；RTP ；RTSP；RTCP；RTMP；SMTP；FTP；SFTP；DHCP；DNS；DDNS；QoS；UPnP；NTP；Multicast；ICMP；IGMP；NFS；PPPoE；SNMP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接入标准:ONVIF（Profile S &amp; Profile G &amp; Profile T）；CGI；GB/T28181-2022（双国标）；云联；RTMP；GA/T1400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预览最大用户数:20个（总带宽:80M）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存储功能:云联；FTP；SFTP；Micro SD卡（最大支持512GB）；NAS恢复默认:支持一键恢复默认配置用户管理:最大支持20个用户安全模式:授权的用户名和密码；MAC地址绑定；HTTPS加密；IEEE 802.1x；网络访问控制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低照等级:星光其他功能:灯光报警；声音报警；智能补光工作电压:DC12V（±30%）；POE （802.3af）供电方式:DC12V/PoE功耗:基本功耗:3.1W（DC12V）；3.9W（POE） 最大功耗（H.265+红外+智能+电动变焦+报警喇叭暖光）:7.9W（DC12V）；9.9W（POE）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工作温度:-30℃~+60℃工作湿度:≤95%储存温度:-40℃~+60℃防护等级:IP67；IK10</w:t>
            </w:r>
          </w:p>
          <w:p w14:paraId="44E7B2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Style w:val="259"/>
                <w:rFonts w:hint="eastAsia"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D50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DC0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7B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8B9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C6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E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有线话筒</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8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1.换能方式：电容式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2.频率响应：20Hz-18KHz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3.指向性：超心型指向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4.输出阻抗（欧姆）：75Ω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5.灵敏度：-40db±2db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6.供电电压：DC3V/幻象48V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7.鹅颈长度：430mm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8.话筒重量：0.75KG</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9.输出、指示：平衡、座灯、带灯环显示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10.开关：轻触开关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11.金属座、抗手机、电磁、高频干扰</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AA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10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D6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466D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C5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6F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人防指挥系统村级主机设备终端</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B3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1.单模单纤传输；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2.双向高清视频传输；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3.双向音频传输；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4.100m/1000m网络传输；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5.POE网口1个；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6.AC220V电源输出接口2个；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7.AC220V电源输入接口1个。</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E4D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47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2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4E8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B3C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D0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显示设备</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05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50"，4K</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屏幕尺寸：50 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分辨率：1080p（1920×1080）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屏幕比例：16∶9</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背光源：LED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操作系统：andriod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屏幕显示：刷新率 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对比度 1600∶1，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可视角度：178/178 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响应时间：6ms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音频参数：音效模式支持智能音量控制，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输出功率≥5W×2，</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扬声器为： 2 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硬件配置：CPU 四核，GPU 四核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网络功能：支持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USB 媒体播放：USB 支持视频格式有 H.264 蓝光解霸、MP4、3GP、AVI、MPG、RM、RMVB、MOV、MKV、MPEG，USB 支持音频格式有 MP3、WMA、AAC，USB 支持图片格式有 JPG、JPEG、PNG、BMP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机身接口：2×HDMI 接口，1×网络接口，3×USB 接口，1×AV 输入接口，1×AV 输出接口，1×VGA 接口，1×TF 卡槽</w:t>
            </w:r>
          </w:p>
          <w:p w14:paraId="18367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63E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DB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1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FE3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DE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33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视频会议电视移动支架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F3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60-100寸/重载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20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93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B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647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E0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71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集中控制软件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C3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基于宝山镇人防应急指挥系统管理系统对，镇指挥中心与辖区内25个村进行设备集中控制管理,对所有支持TCP/IP、UDP、RS232、RS485 等设备进行通信管理，</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控制界面：按宝山镇人防应急指挥系统实际需求定制图形化界面，应用界面的分辨率适配、操作便捷性，可视化程度高，按宝山镇人防应急指挥系统实际需求设置的不同设备组合和运行状态的场景。</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C7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F6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B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26B76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6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18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时统控制软件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D6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基于宝山镇人防应急指挥系统管理系统时间统一同步管理，对系统内所有设备利用NTP、SNTP、PTP等协议进行时间统一管理。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软件算法同步精度：10毫秒至100毫秒，时间接口采用北斗时钟系统。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安全设置：如访问控制、加密传输等，以保障时间同步的安全性。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频率调整参数：用于微调本地时钟的频率，以提高同步精度。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缓冲和缓存设置：以应对网络延迟和不稳定情况。</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网络参数：支持网络延迟补偿、丢包处理策略。</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1C5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C0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5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3AAE7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F1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1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综合平台管理系统软件</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0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防应急指挥综合管理平台系统由五个大模块组成：目录服务管理软件、网络视频调度服务软件、网络视频管理控制软件、桌面用户视频控制客户端软件和监控中心视频控制客户端软件。根据宝山镇人防应急指挥系统设备及节点情况，进行定制化部署，其中网络视频管理控制软件是整个视频网络系统的核心部分。对系统上端，它负责主控软件、分控软件及系统录像软件的管理、协调、控制等工作。对系统下端，它负责视频矩阵、报警设备、视频编解码器等硬件设备的管理、控制等工作。在现实应用中，人防应急指挥综合管理平台系统可以帮助您同时进行监视、存储和捕捉高质量的音、视频数据流。同时人防应急指挥监控管理平台系统拥有虚拟矩阵功能，并为此提供了不受数量和地域限制的输入/输出端口，可用来管理来自全区多个地区的视频信号。在可扩展性和访问能力上超越了传统的模拟硬件矩阵的局限。</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7B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33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A6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7C35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56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E3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宝山寺村村委会设备安装费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20C5">
            <w:pPr>
              <w:keepNext w:val="0"/>
              <w:keepLines w:val="0"/>
              <w:pageBreakBefore w:val="0"/>
              <w:widowControl/>
              <w:numPr>
                <w:ilvl w:val="0"/>
                <w:numId w:val="15"/>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p>
          <w:p w14:paraId="23474BD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CA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140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CF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8BBD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34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6B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养渔池村村委会设备安装费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3B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DC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75A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07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F4D1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83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77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超梁子村村委会设备安装费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F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p>
          <w:p w14:paraId="6F5DDC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2.运输设备到村委会，并安装设备；</w:t>
            </w:r>
          </w:p>
          <w:p w14:paraId="2427CE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A50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D2B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A3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F84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E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3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对石村村委会设备安装费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6E46">
            <w:pPr>
              <w:keepNext w:val="0"/>
              <w:keepLines w:val="0"/>
              <w:pageBreakBefore w:val="0"/>
              <w:widowControl/>
              <w:numPr>
                <w:ilvl w:val="0"/>
                <w:numId w:val="16"/>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40045ACF">
            <w:pPr>
              <w:keepNext w:val="0"/>
              <w:keepLines w:val="0"/>
              <w:pageBreakBefore w:val="0"/>
              <w:widowControl/>
              <w:numPr>
                <w:ilvl w:val="0"/>
                <w:numId w:val="16"/>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运输设备到村委会，并安装设备；</w:t>
            </w:r>
          </w:p>
          <w:p w14:paraId="41865DAC">
            <w:pPr>
              <w:keepNext w:val="0"/>
              <w:keepLines w:val="0"/>
              <w:pageBreakBefore w:val="0"/>
              <w:widowControl/>
              <w:numPr>
                <w:ilvl w:val="0"/>
                <w:numId w:val="16"/>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CB1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4F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59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9CB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CF5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DC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西黄梁村村委会设备安装费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D5CF">
            <w:pPr>
              <w:keepNext w:val="0"/>
              <w:keepLines w:val="0"/>
              <w:pageBreakBefore w:val="0"/>
              <w:widowControl/>
              <w:numPr>
                <w:ilvl w:val="0"/>
                <w:numId w:val="17"/>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239F2B73">
            <w:pPr>
              <w:keepNext w:val="0"/>
              <w:keepLines w:val="0"/>
              <w:pageBreakBefore w:val="0"/>
              <w:widowControl/>
              <w:numPr>
                <w:ilvl w:val="0"/>
                <w:numId w:val="17"/>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运输设备到村委会，并安装设备；</w:t>
            </w:r>
          </w:p>
          <w:p w14:paraId="46826C88">
            <w:pPr>
              <w:keepNext w:val="0"/>
              <w:keepLines w:val="0"/>
              <w:pageBreakBefore w:val="0"/>
              <w:widowControl/>
              <w:numPr>
                <w:ilvl w:val="0"/>
                <w:numId w:val="17"/>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48B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56D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5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BEC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35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6F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盘道沟村村委会设备安装费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4A8D">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3ED0E0B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ED5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1A3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C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2A4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8C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8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西帽山村村委会设备安装费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722BB">
            <w:pPr>
              <w:keepNext w:val="0"/>
              <w:keepLines w:val="0"/>
              <w:pageBreakBefore w:val="0"/>
              <w:widowControl/>
              <w:numPr>
                <w:ilvl w:val="0"/>
                <w:numId w:val="19"/>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6EFA4A7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EE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C6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C89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6E17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0E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27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牛圈子村村委会设备安装费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DE76">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46D2B0C9">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运输设备到村委会，并安装设备；</w:t>
            </w:r>
          </w:p>
          <w:p w14:paraId="6005499D">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F8F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E80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75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DDB6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49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AEA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大黄木厂村村委会设备安装费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AE17">
            <w:pPr>
              <w:keepNext w:val="0"/>
              <w:keepLines w:val="0"/>
              <w:pageBreakBefore w:val="0"/>
              <w:widowControl/>
              <w:numPr>
                <w:ilvl w:val="0"/>
                <w:numId w:val="21"/>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140F6D81">
            <w:pPr>
              <w:keepNext w:val="0"/>
              <w:keepLines w:val="0"/>
              <w:pageBreakBefore w:val="0"/>
              <w:widowControl/>
              <w:numPr>
                <w:ilvl w:val="0"/>
                <w:numId w:val="21"/>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运输设备到村委会，并安装设备；</w:t>
            </w:r>
          </w:p>
          <w:p w14:paraId="6993FE25">
            <w:pPr>
              <w:keepNext w:val="0"/>
              <w:keepLines w:val="0"/>
              <w:pageBreakBefore w:val="0"/>
              <w:widowControl/>
              <w:numPr>
                <w:ilvl w:val="0"/>
                <w:numId w:val="21"/>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580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354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21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65D6E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6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6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小黄木厂村村委会设备安装费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256B">
            <w:pPr>
              <w:keepNext w:val="0"/>
              <w:keepLines w:val="0"/>
              <w:pageBreakBefore w:val="0"/>
              <w:widowControl/>
              <w:numPr>
                <w:ilvl w:val="0"/>
                <w:numId w:val="22"/>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CB0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CD0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C9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807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0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D2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下坊村村委会设备安装费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2DD4">
            <w:pPr>
              <w:keepNext w:val="0"/>
              <w:keepLines w:val="0"/>
              <w:pageBreakBefore w:val="0"/>
              <w:widowControl/>
              <w:numPr>
                <w:ilvl w:val="0"/>
                <w:numId w:val="23"/>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73B0D48F">
            <w:pPr>
              <w:keepNext w:val="0"/>
              <w:keepLines w:val="0"/>
              <w:pageBreakBefore w:val="0"/>
              <w:widowControl/>
              <w:numPr>
                <w:ilvl w:val="0"/>
                <w:numId w:val="23"/>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运输设备到村委会，并安装设备；</w:t>
            </w:r>
          </w:p>
          <w:p w14:paraId="467074D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3F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F3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CC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007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83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FE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转年村村委会设备安装费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44E8">
            <w:pPr>
              <w:keepNext w:val="0"/>
              <w:keepLines w:val="0"/>
              <w:pageBreakBefore w:val="0"/>
              <w:widowControl/>
              <w:numPr>
                <w:ilvl w:val="0"/>
                <w:numId w:val="24"/>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33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CF4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D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1F76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6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FA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杨树下村村委会设备安装费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CB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D7C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91A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EF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679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F8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44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郑栅子村村委会设备安装费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EB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8CE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063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C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614A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61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A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温栅子村村委会设备安装费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0B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D3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61D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23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712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8D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A2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下栅子村村委会设备安装费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31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3A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2B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CB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15C7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BA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87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四道河村村委会设备安装费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AB4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F02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5D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A19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9424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431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D4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道德坑村村委会设备安装费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C8A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00A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E00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55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7808F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E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C1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阳坡村村委会设备安装费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56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B26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F3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3F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8BC9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A3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55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松树台村村委会设备安装费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C5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1B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C3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5CA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3D5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AA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B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四道窝铺村村委会设备安装费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3D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66D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82C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FCC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EE35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2F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3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碾子村村委会设备安装费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7E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BF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CE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1C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9712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9E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01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菜树甸村村委会设备安装费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3C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C3D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76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47D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AAC5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FF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D6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三块石村村委会设备安装费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55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F2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D9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68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1D4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8C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F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姜村村委会设备安装费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ABC8">
            <w:pPr>
              <w:keepNext w:val="0"/>
              <w:keepLines w:val="0"/>
              <w:pageBreakBefore w:val="0"/>
              <w:widowControl/>
              <w:numPr>
                <w:ilvl w:val="0"/>
                <w:numId w:val="25"/>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拆除现有设备，并打包运至国动办物资库；</w:t>
            </w:r>
          </w:p>
          <w:p w14:paraId="2F88859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E98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85C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F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15D4F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C8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96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镇级指挥中心设备安装费</w:t>
            </w:r>
          </w:p>
        </w:tc>
        <w:tc>
          <w:tcPr>
            <w:tcW w:w="2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0F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71E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1D8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81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6ADB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21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FAD9D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二、琉璃庙镇指挥中心</w:t>
            </w:r>
          </w:p>
        </w:tc>
        <w:tc>
          <w:tcPr>
            <w:tcW w:w="788" w:type="pct"/>
            <w:vMerge w:val="restart"/>
            <w:tcBorders>
              <w:top w:val="single" w:color="000000" w:sz="4" w:space="0"/>
              <w:left w:val="single" w:color="000000" w:sz="4" w:space="0"/>
              <w:right w:val="single" w:color="000000" w:sz="4" w:space="0"/>
            </w:tcBorders>
            <w:shd w:val="clear" w:color="auto" w:fill="auto"/>
            <w:vAlign w:val="center"/>
          </w:tcPr>
          <w:p w14:paraId="40A0D0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中小企业所属行业</w:t>
            </w:r>
          </w:p>
        </w:tc>
      </w:tr>
      <w:tr w14:paraId="78DB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E3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36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名称</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D99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规格/型号/参数配置</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EB4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EB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788" w:type="pct"/>
            <w:vMerge w:val="continue"/>
            <w:tcBorders>
              <w:left w:val="single" w:color="000000" w:sz="4" w:space="0"/>
              <w:bottom w:val="single" w:color="000000" w:sz="4" w:space="0"/>
              <w:right w:val="single" w:color="000000" w:sz="4" w:space="0"/>
            </w:tcBorders>
            <w:shd w:val="clear" w:color="auto" w:fill="auto"/>
            <w:vAlign w:val="center"/>
          </w:tcPr>
          <w:p w14:paraId="2A0CC7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kern w:val="0"/>
                <w:sz w:val="24"/>
                <w:szCs w:val="24"/>
                <w:u w:val="none"/>
                <w:lang w:val="en-US" w:eastAsia="zh-CN" w:bidi="ar"/>
              </w:rPr>
            </w:pPr>
          </w:p>
        </w:tc>
      </w:tr>
      <w:tr w14:paraId="3860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21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7A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配电箱</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451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指挥中心单独配置，显示系统、机柜、操作台、桌插等需单独回路控制，共计9个回路</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272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3D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BF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03D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3D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72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电话线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828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CAT3-UTP，305米/箱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C8B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4D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箱</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672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32F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91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DF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网络配线架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8941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产品材质：磷青铜片、环保阻燃PC胶料，冷轧钢骨架。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适用系统：网络系统。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适用线径：26-22AWG（0.40mm-0.60mm），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产品尺寸：宽度：1U，长度：19英寸，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使用温度：-20~75℃。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584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A3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82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059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CD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732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理线器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80C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1U</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524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0A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98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C32B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9D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65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面板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4E7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TO+TP</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7DD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8C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65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D57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0D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C0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数据模块</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E90F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1C8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57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22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452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29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B5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语音模块</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E57A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CAT3</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3B1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4C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7A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D05D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A8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95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跳线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0DF4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CAT-6,2米/条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897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0F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4F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57A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BF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2E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配线架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7355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产品材质：磷青铜片、环保阻燃PC胶料，冷轧钢骨架，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适用系统：语音系统，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适用线径：26-22AWG（0.40mm-0.60mm），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产品尺寸：宽度：1U，长度：19英寸，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使用温度：-20~75℃。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420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B0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A1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611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7C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BF5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机柜</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A41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42U服务器机柜</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69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A1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1A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FDB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3C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57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三层交换机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BC53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24个10/100/1000BASE-T以太网端口，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4个千兆SFP)交换容量758Gbps/7.58Tbps，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包转发率96/126Mpps，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支持双电源，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自带一个150W电源。</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41A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7F6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FB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AA27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CD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FA9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金属桥架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1E3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100*50</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1E9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A1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68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E98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0D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D27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ADF1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RVV3*2.5，100米/盘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567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945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520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1FD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27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A8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C60F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RVV2*1.5，100米/盘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01B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3F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81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A6E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7B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C8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光纤跳线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7A45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FC-SC，3米/条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D3C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CE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F6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369A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6FC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BD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铠装光纤跳线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6A0E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FC-SC，10米/条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ED1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D1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8B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5EC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5B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96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跳线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D7C7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CAT-6,2米/条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3E4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69A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A0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21E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7F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F0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4E25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CAT-6,305米/箱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997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CB3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箱</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5E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3C6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2B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39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F3D8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YJV5*10,米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1B2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444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D35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6C1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11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0D8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镀锌管</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6966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ø32，米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CA9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1B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52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B3DA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F0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81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BA30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RVVP2*0.3</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9F9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BC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B2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601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49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C8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程控交换机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3675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线路侧 网络接口(RJ45)x1个：WAN上联网线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网络接口(RJ45)x6个：LAN下挂IAD级联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业务侧 FXS/FXO接口(RJ45)x8个：支持选配以16线为单位(最大32FXS/16FXS+16FXO/32FXO)</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管理侧 Console(RJ45)x1个：配置网口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(带宽10/100Mbps自适应)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主控串口(RS232)x1个：115200bps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IP串口(RS232)x1个：115200bps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录音串口(RS232)x1个：115200bps</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8FB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51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4B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F14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BA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E98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标准型话机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E2AA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音频频率响应：通常在 300Hz 至 3400Hz 之间，以保证清晰的语音传输。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通话音量：可调节，一般以分贝（dB）为单位衡量。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免提通话功能：支持免提通话的距离和音质。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来电铃声选择：多种铃声可供选择。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信号和连接：有线连接方式：如 RJ11 接口。</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4A2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F7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部</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D1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06F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A8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19A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电话耦合器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162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音频输入：600Ω 平衡 0dB 6.35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三芯插头音频输出：600Ω 平衡 0dB 6.35三芯插头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频响：300Hz—3400Hz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失真：≤1%</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FB9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6B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86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2A6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8D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B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网络高清摄像机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964FC">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支持穿越围栏、绊线入侵、区域入侵、物品遗留、快速移动、停车检测、人员聚集、物品搬移、徘徊检测多种行为检测；支持目标过滤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支持12倍光学变倍，16倍数字变倍</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采用200万像素1/2.8英寸CMOS传感器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支持超低照度，彩色：0.005Lux/F1.6黑白：0.0005Lux/F1.6</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支持H.265编码，实现超低码流传输</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水平方向360°连续旋转，垂直方向0°～90°自动翻转180°后连续监视，无监视盲区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支持300个预置位，8条巡航路径，5条巡迹路径</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支持1路音频输入和1路音频输出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内置2路报警输入和1路报警输出，支持报警联动功能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支持IP66防护等级，6000V防雷、防浪涌和防突波保护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支持AC24V±10%宽电压输入，支持POE供电（802.3at标准）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支持嵌入式安装</w:t>
            </w:r>
          </w:p>
          <w:p w14:paraId="4B0AAF43">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926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1B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EA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837E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E9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72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监控专用电源</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9732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12V/2A</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DB9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B0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FD9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7BD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B9F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7F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硬盘录像机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D54C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支持最大32路网络视频接入，网络性能384Mbps接入、384Mbps储存、384Mbps转发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支持不开智能 2路32M@25 fps; 2路24M@25 fps; 4路 16 MP@30 fps; 5路 12 MP@30 fps; 8路 8 MP@30 fps; 12路 5 MP@30 fps; 16路 4 MP@30 fps; 32路 1080p@30 fps解码。或开智能 1路 32 MP@25 fps; 1路 24 MP@25 fps; 2路 16 MP@30 fps; 4路 12 MP@30 fps; 6路 8 MP@30 fps; 8路 5 MP@30 fps; 12路 4 MP@30 fps; 24路 1080p@30 fps解码。最大支持16路视频回放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支持32 MP; 24 MP; 16 MP; 12 MP; 8 MP; 6 MP; 5 MP; 4 MP; 3 MP; 1080p; 960p; 720p; D1; CIF; QCIF IPC分辨率接入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支持前智能：人脸检测比对、周界防范、视频结构化、通用行为分析、立体行为分析、人群分布、人数统计、热度图、车牌识别、智能动检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支持2路后智能人脸检测比对；或4路后智能周界防范；或8路后智能智能动检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支持最大10个人脸库，共30万张人脸图片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支持16个内置SATA接口，单盘最大容量支持20T，可配置成单盘，支持Raid0、Raid1、Raid5、Raid6、Raid10、JBOD等各种数据保护模式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支持N+M集群管理功能，当主机发生故障时，备机可替换故障主机继续录像，故障恢复后，备机可将存储的录像回传至故障主机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支持iSCSI扩展存储功能，支持iSCSI方式对接IP SAN设备，实现扩容存储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支持电子云台，将全景画面中多个感兴趣区域提取成单独细节画面，当区域内有人、车目标经过时对应细节画面随目标跟踪展示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支持提供主动注册服务，前端相机支持以主动注册方式添加到设备上</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支持主动注册客户端功能，设备可以以主动注册方式添加到平台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支持16路报警输入、8路报警输出，其中1路12V1A ctrl输出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支持4个USB接口（2个前置USB2.0接口、2个后置USB3.0接口）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支持2个千兆以太网口，支持2个不同段IP地址的IPC设备接入，支持将多网口设置同一个IP地址，实现数据链路冗余</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支持2路VGA输出，2路HDMI输出。同源模式：VGA1和VGA2最大支持1080P显示，HDMI1和HDMI2最大支持4K显示；异源模式：VGA1和HDMI1 同源输出，VGA2和HDMI2 同源输出，VGA1和VGA2最大支持1080P显示，HDMI1、HDMI2最大支持4K显示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可接驳支持ONVIF、RTSP协议的第三方摄像机和主流品牌摄像机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支持Smart H.265/H.265/Smart H.264/H.264，支持一键添加IPC并自动切换到H.265</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支持IPv4、IPv6、HTTP、UPnP、NTP、 RTSP、SADP、SNMP、PPPoE、DNS、FTP、ONVIF 22.12网络协议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支持云联功能，支持云联APP远程监控、预览、回放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支持硬盘、外接USB存储设备、DVD刻录等存储方式，支持U盘，eSATA方式，DVD刻录备份方式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支持切片回放功能，将录像切片等分成若干段视频进行多路同时回放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支持即时回放功能，在预览画面下回放指定通道的录像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支持抽拉式硬盘热插拔机箱</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3CE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AB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A3D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52DC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5D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4E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电源时序器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9220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1.额定输出电压：交流220V.50Hz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2.可控制电源：9路 前面1路 后面8路万用插座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3.前面1路直通220V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4.8路每路动作时间：1秒</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5.供电电源：CAV 50/50Hz 25A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6.每路输出带指示灯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7.单路可承受功率大功率：3000W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8.整机可承受功率：6600W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040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D3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E6A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F26B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C5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FC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专用硬盘</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DD45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4T</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F02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0C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54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B95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AC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6BF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显示系统▲</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84260">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屏幕尺寸 55英寸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屏幕比例 16:9（宽屏）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分辨率 1920x1080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高清标准 1080p（全高清）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拼接缝隙 窄边（≤1.8mm）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组合方式 任意行×任意列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安装方式 机柜，机架，壁挂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亮度 700cd/㎡</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可视角度 178/178°</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可视区域 1209.6×680.4mm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静态对比度 1400:1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扫描频率 行频：65-70KHz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输入端口 CVBS（AV），VGA，HDMI，DVI</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其它端口 USB2.0，RS485环路纠错</w:t>
            </w:r>
          </w:p>
          <w:p w14:paraId="6E328267">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2A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E6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B0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839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F3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0B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拼接屏机柜</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AA40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根据室内尺寸订制：长8.84米深0.6米，高2.7米，机柜下方距地0.9米为标准机柜设计，可安装标准设备，机柜两侧预留高2米，宽0.8米检修门。结构稳定性：能保证长期使用不变形。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配件：配备齐全且质量合格的螺丝、螺母、支架等安装配件。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拼接屏固定要求：确保拼接屏在机柜上安装牢固可靠、无晃动。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布线：机柜内设计合理的布线通道和理线架等，强弱电分离。</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电源插座：配备与拼接屏及相关设备数量、功率相匹配的电源插座或接口。外观要求： 表面处理：平整、无划痕、无掉漆、无毛刺等。柜门：开合灵活、关闭紧密、门锁可靠。安全性：整体结构稳定，防止倾倒等意外发生。边角等部位做钝化处理，防止人员意外受伤。兼容性：兼容不同尺寸、不同品牌（主要是安装尺寸等方面）的拼接屏。兼容拼接屏的相关控制设备、信号传输设备等在机柜内合理放置和连接。</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A5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65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77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D380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684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6A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拼接器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FE8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接口类型：支持VGA、DVI、HDMI等接口，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支持的分辨率：支持输入和输出的分辨率，1920×1080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视频编码输入：支持的信号输入接口类型，解码输出能力：支持分辨率，1920×1080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网络接口：支持RJ45 接口，10M/100M/1000M 自适应以太网口，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串行接口：支持RS-232、RS485 接口的数量，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控制方式：支持通过 PC 客户端控制等方式。</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5D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EB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FC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EDC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09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96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专用链接线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186A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时延一致性：多屏间信号时延差&lt;1ms，确保画面同步无撕裂，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抖动控制：信号抖动&lt;0.5ns，避免图像闪烁或失真，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阻抗匹配：100Ω±10%，减少信号反射和驻波56，</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工作温度：-20℃～70℃，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湿度范围：5%～95% RH，无凝露，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机械强度：弯曲半径≥6D（D为线缆外径），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抗拉强度≥50N，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阻燃等级：符合UL94 V-0标准，10秒内自熄56，</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EDID管理：支持智能EDID回传，自动匹配信号源分辨率，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故障诊断：内置TDR时域反射技术，可精确定位故障点，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支持分辨率和功能：支持720、1080i、1080p、等数字信号格式，支持以太网，支持 10bit 的色深，色彩层次感更好，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传输速度：能承载较高的传输带宽。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CB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D0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E3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6DB4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3B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3B2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高清混合矩阵</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2372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输入接口32路:包含4路VGA接口，2路CVBS接口，6路DVI接口，20路HDMI接口；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输出接口为32路：22路DVI.2路CVBS复合视频口.4路VGA，4路HDMI。，支持叠加，漫游，跨屏.</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A78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28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A8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0F5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2F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D9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2246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高清HDMI线（公对公），25米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07D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66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91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2F5F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BD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8B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F634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高清DVI线（公对公），25米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02D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25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14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25C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7F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3F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C4A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高清HDMI线（公对公），15米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F6C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5A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D3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C86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8EC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FD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9CF9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高清HDMI线（公对公），5米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CDD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82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24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28A1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7E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1C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高清数据线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1808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高清HDMI线（公对公），3米</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0C5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6A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34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0BA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FC1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122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TV信号接收器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D572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解码能力：</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支持的视频解码格式： MPEG-2、MPEG-4、H.264、H.265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音频解码格式，：MP3、AAC、Dolby Digital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输出接口：HDMI 接口,以太网接口（用于网络连接）,USB 接口（可用于外接存储设备、升级等）。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内存容量：4G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智能功能：支持安装第三方应用程序，如视频点播应用，具备 Wi-Fi 连接功能。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3C9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5A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8E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1E2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931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BE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显示屏</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6344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F3.75/技术参数：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 像素间距 4.75mm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 像素直径直径3.75mm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 像素晶片构成双基色：1红、1绿（1R1G）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 显示颜色红色、绿色、黄色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 每平米像素点数44321点/㎡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 驱动方式恒压驱动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 扫描方式1/16扫描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 单元板尺寸304mm*152mm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 平均功耗双色：300 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 最大功耗双色：600 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BC1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AB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平米</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EF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D02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DB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29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LED屏分组控制器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9541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接口：RJ45，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网络带载分辨率：1920×1200@60Hz，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换帧频率：60Hz，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刷新率：1920Hz，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处理深度：16bit，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灰度等级：65535，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带载面积：单卡带载 230 万像素，最宽可达 4096 点，最高可达 2560 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功能特性：支持超长条屏字幕显示，可左/右对齐、居中或滚动显示，可实现远程客户端操作，以及图像色温调节（标准、冷、暖三色可调），拥有高可靠性屏幕逐点校正技术，确保显示亮度和色度一致性，支持多发送器任意拼接级联，且能严格同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运行环境：工作温度范围为-10℃至 45℃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AA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B9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BD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D853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31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B2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桌面插座</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A37B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strike/>
                <w:color w:val="auto"/>
                <w:sz w:val="24"/>
                <w:szCs w:val="24"/>
              </w:rPr>
            </w:pPr>
            <w:r>
              <w:rPr>
                <w:rStyle w:val="260"/>
                <w:rFonts w:hint="eastAsia" w:ascii="宋体" w:hAnsi="宋体" w:eastAsia="宋体" w:cs="宋体"/>
                <w:strike w:val="0"/>
                <w:dstrike w:val="0"/>
                <w:color w:val="auto"/>
                <w:sz w:val="24"/>
                <w:szCs w:val="24"/>
                <w:lang w:val="en-US" w:eastAsia="zh-CN" w:bidi="ar"/>
              </w:rPr>
              <w:t>按照会议桌原开洞尺寸定制嵌入式多功能插座，接口：网口*1，HDMI*1,电话*1，电源*1。</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5F6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A2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5A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7EB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5C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F4B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视频会议主机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91F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采用数字集成电路技术，低功耗、高保真、极稳定；内置高效抑制噪声线路，防啸叫功能显著。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七种发言模式：主席专用、先进先出、后进先出、限制发言、自由讨论、压倒轮替 、申请发言；</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发言人数:：1-6（人任选 ）、N（全开放）；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开机自检功能,所有按键指示灯环绕闪烁一遍，连接状态不正常时主机产生蜂鸣；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断电智能记忆功能，可记忆程序原运行状态。若意外断电后，通电即恢复最后一次设置；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通用USB录音接口，支持热插拔，可随意配搭常用电子产品使用。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具有中/英文语言切换功能；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LCD屏液晶菜单显示工作内容，直观明了；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采用轻触式开关按键控制菜单功能，设有音量调节、电话输入和总音量输出调节器；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主机最少可连接80个会议话筒单元,具四路并联输出，每路可连接20个单元,可无限增加电源扩展或数据扩展；</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内置电话耦合器输入和输出端口,可用来召开远程电话会议；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连接摄像头可实现发言实时视像追踪功能，支持4路摄像头信号输入，2路视频输出；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多种云台球机控制协议,兼容性极强:Pelco_P、VISCA、Pelco _D 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球机支持单元复位功能，可刷新重置；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RS232端口可外接PC设置结合加密型软件同步连动操作，实现计算机管理系统功能；也可连接中控，令会议设备智能化。</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492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92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CF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325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D6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62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数字连接盒</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691D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1.标准8-PIN座铜地插，用于主机单元与单元之间连接；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2.1公输入，3母输出，标准电工146插座尺寸</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CFB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02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03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B912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3BE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8D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数字主机专用线缆</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789B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30米；会议主机专用线缆，符合会议主机接口要求</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BC0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B9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DF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0A0A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7A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3B3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会议全频音箱</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DB4C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1.中低音喇叭：1×10" (140磁Φ50mm)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2.高音喇叭：1×1.34" (Φ34mm)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3.分频点：内置两分频2.7KHZ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4.额定功率：300W   连续功率：600W   最大功率：1200W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5.指向性：120°×60° （H×V）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6.灵敏度（1W/1M）：97db SPL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7.最大声压级：122db SPL</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8.额定阻抗（单只） 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9.频率响应：55Hz-20KHz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10.产品尺寸（W*D*H）:300W×340D×525H</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11.产品净重: 14 kg</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96B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19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59A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2C5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014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58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会议分频音箱</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BC9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单6.5寸 低音120磁35芯 高音双60磁16芯中纤黑点漆    </w:t>
            </w:r>
          </w:p>
          <w:p w14:paraId="47B0C3D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主要技术参数：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组件（Components)：LF 1×6.5""(200mm)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HF 1×3"(纸盆高音)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连接器（Connectors)：1×NEUTRIK  Nl4</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额定功率(Enduring Power)：100Watts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最大功率(Maximum power)：200Watts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频率响应(Frequency response)：70Hz-20KHz±3dB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标称阻抗(Nominal Impedance)：8Ω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覆盖范围（HF Dispersion)：90°Hor. ×50°Vert.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重量：7kg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产品尺寸（W*D*H）:225*210*375 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009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11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05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671B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487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81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主音箱功率放大器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3A63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1.输出功率(EIA 1KHz 1%THD)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2.立体声(600W×2/8Ω;900W×2/4Ω)桥接(1800W/8Ω)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3.输出接口:SPEAKON/Binding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4.频响:20Hz-20kHz,±1dB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5.输入灵敏度:0.7V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6.信噪比:≥95dB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7.失真度:≤0.03%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8.额定输出功率8 OHM 1KHz时分离度:&gt;70dB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9.阻尼系数 f=1KHz  8 OHMS:240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10.转换速率:15V/us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11.保护:Soft Start,Short Circuit,Limiter,DC Fault,AC Line Fuse,Thermal Cut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12.冷却系统:Two steps speed fan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13.电源;220-230V~50Hz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14.净重（kg）:11.3Kg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15.尺寸(WxDxH)：482×346×88mm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D3A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A5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F2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379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FB5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0F3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补声音箱功率放大器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5679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1.额定功率RMS：(8Ω)2×350W；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2.额定功率RMS：(4Ω)2×530W；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3.额定功率RMS：(桥接8Ω)1060W；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4.额定功率RMS：(桥接100V)800W；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5.频响：20Hz-20KHz  ±0.5dB；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6.输入灵敏度：1V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7.信噪比:≥100dB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8.失真度（THD）:≤0.03%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9.输入阻抗:20KΩ(平衡)10KΩ(非平衡)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10.额定输出功率8Ω1KHz时分离度:65dB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11.阻尼系数（5Hz-1KHz）:＞100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12.转换速率:13V/uS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13.保护功能:软启动保护  过热保护  过流保护  直流保护  射频保护</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14.冷却系统:Two step speed fan</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15.电源:AC:220-230V  50Hz/60Hz机箱厚度2U；重量:9.6Kg；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16.产品尺寸（W×D×H）:482×346×88 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179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CC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12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A87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736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BE2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全自动反馈抑制器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A17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1.96KHz采样频率，32-bit DSP处理器，24-bit A/D及D/A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2.设备内置矩阵（路由）编辑功能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3.输入通道提供4组复合型（COMBO）音频输入接口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4.设备可接受较宽交流电压输入，输入范围AC90~240V 50/60Hz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5.4路增益可调的话筒放大输入，提供+48V幻象电源。</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6.可通过面板的BYPASS/ON按键切换工作模式为直通或抑制。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7.全自动窄带陷波式反馈抑制。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8.每通道独立12个固定滤波器和12个动态滤波器，可通过"系统"键来设定固定或</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动态滤波器的个数。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9.可通过面板的48个LED啸叫点指示灯，显示当前啸叫点个数。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10.带有压缩，限幅，噪声门功能。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11.单机提供30组设备数据存储，存储压缩，限幅，噪声门的参数。关机后可保存关机前的啸叫抑制状态。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12.可通过面板的"系统"键来设定密码锁定面板操作的部分或全部功能，以防止非相关人员的操作破坏机器的工作状态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13.采用液晶屏和6段LED显示输出的精确数字电平表。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14.提供模拟输入输出或数字AES 3，光纤，同轴输入输出。</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03D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A2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A9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E8A7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2B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DC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图示均衡器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1408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1.频率响应：20HZ-20KHZ_+0.5dB@OdB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2.总谐失真 ：≤ 1%20Hz-20kHz@odB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3.输入阻抗平衡：20K ohms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4.输出阻抗平衡：100 ohms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5.最大输入电平：≥16dB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6.最大输出电平：≥15dB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7.均衡控制：31band(1/3octave)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8.中心频率：20，25，31.5，40，50，63，80，100，125，160，200，250，315，400，500，630，800，1K,1.25K,1.6K,2K,2.5K,3.15K,4K,5K,,6.3K,8K,10K,12.5K,16K,20Hz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9.信噪比：≥90dB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10.峰值灵敏度：lit earlier 3dB than clip point</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11.反馈阀值LED：≥-22dB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12.高通滤波器： 40Hz 12DB/octave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13.电源：1150V/50-60Hz230v/50~60Hz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14.能量消耗：15W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1B4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97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B7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B6FA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2BF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C4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监听音箱</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DA35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输入连接器:TRS (3.5) + TRS (6.35) + 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输出接口:TRS(3.5)耳机输出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反应:80 - 20 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交叉频率:2.8 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低音扬声器功率:25 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高音:1英寸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低音:3.5英寸</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最大SPL: 100分贝</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输入阻抗:10K欧姆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声场范围:-6dB至+6dB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电源要求:100 - 240 v, 50/60Hz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尺寸(长宽高)：14*15.5*21CM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3A8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08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29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AFE1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BC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E6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调音台</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D62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1.通道：16路单声输入，2路线路输入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2.通道均衡：3 Band + Mid sweep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3.辅助输出：3组辅助发送，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4.返回：1组返回</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5.效果器：256/24Bit DSP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6.主控均衡：7段均衡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7.主输出：1路立体声输出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8.编组输出：2路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9.幻象电源：48V DC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10.USB播放：支持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11.重量（KG)：8.2KG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12.规格尺寸mm(H*W*L):120*670*440mm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50F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9A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DB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8ACC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1D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D27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无线话筒</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6DD9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主机工作电压：DC--12V—14V1A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工作电流：600MHA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功耗：5W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接收灵敏度：—105dBM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音频输出电压：0.3V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邻频干扰抑制：&gt;60dB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咪芯指向性：心形指向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拾音灵敏度：&gt;20dBM（1V）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发射功率：&gt;+10dBM(10MW)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麦克风功耗：120MHA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接收有效距离：无障碍直线80—150米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音频响应：50HZ—15KHZ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频率稳定度：+-0.001%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信噪比：S/N：&gt;100DB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失真度THD：&lt;0.01%</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FBX一键防啸叫，彩色显示屏，声音效果饱满</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303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B8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33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8ED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DC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54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DVD播放器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B5C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可播放碟片：CD, CD-R, CD-R/CD-RW, Video CD/SVCD, DVD+R, DVD+RW, DVD-R, DVD-RW（视频模式）, DVD-Video</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光盘放入方式：托盘式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视频制式 NTSC/PAL 制式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逐行扫描 逐行扫描， 智能画面设置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音场解码 杜比AC-3和DTS双解码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频率响应 4Hz-44KHz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信噪比 &gt;95dB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失真度 &lt; 0.05%</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4BF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74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CD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84D1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76B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DD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会议专用跟踪摄像机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245A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采用1/2.8英寸高品质图像传感器，最大分辨率可达1920x1080，输出帧率高达60帧/秒。</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多种光学变倍镜头：具有20X等多种光学变倍镜头选择，镜头具有72.5°无畸变宽视角。</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领先的自动聚焦技术：人眼模型图像增强，先进的自动聚焦算法使得镜头快速、准确、稳定地完成自动聚焦。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低噪声高信噪比：低噪声CMOS有效地保证了摄像机视频的超高信噪比。采用先进的2D、3D运动降噪等技术，进一步降低了噪声，同时又能确保图像清晰度。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音频输入接口：支持16000、32000、44100、48000采样频率，支持AAC、MP3、PCM音频编码，内置高品质拾音器。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超级静音云台：采用高精度步进电机以及精密电机驱动控制器，确保云台低速运行平稳，并且无噪声。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多种视频输出接口：支持DVI（HDMI分量），3G-SDI，USB、有线LAN、无线LAN接口（5GWiFi模块），3G-SDI支持在1080P60格式下传输100米。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多种音视频压缩标准：支持H.265/H.264视频压缩，支持AAC、MP3、PCM音频压缩；支持高达1920x1080分辨率60帧/秒压缩；支持2路1920x1080分辨率30帧/秒压缩；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多种网络协议：支持ONVIF、GB/T28181、RTSP、RTMP协议，同时支持RTMP推送模式，轻松链接流媒体服务器(Wowza、FMS)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多种遥控器：用户可以根据所使用的环境条件，选择红外遥控器或无线遥控器。2.4G无线遥控器不受角度、距离、红外干扰影响。支持遥控器信号透传功能，方便后端设备使用。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低功耗休眠功能：支持低功耗休眠/唤醒，休眠时功耗低于400mW。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多种控制协议：支持VISCA、PELCO-D、PELCO-P协议，支持自动识别协议。支持网络全命令VISCA控制协议。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RS232级联：支持RS232级联，方便工程安装使用，支持正装或者倒装可选。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多预置位：支持多达256个预置位(遥控器设置调用为10个)。</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A2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0E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E8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8317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93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19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跟踪摄像机吊架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73E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材质：铝合金，承重 ‌≤10kg‌，适配 ‌200mm 吊装孔距‌，尺寸约 ‌Φ116.5×200mm‌，根据现场高度定制。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E9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2A8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AD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59F8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40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C7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跟踪升降机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A7B3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采用金属冷轧钢材质，坚固耐用。面板尺寸：适合会议桌尺寸</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支架尺寸：适合追踪摄像机。升降高度：可调节范围在10mm 至 700mm。颜色：黑色。控制方式：支持中控 RS232/RS485、无线射频遥控、线控按钮开关等多种控制方式，互不干扰。</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1F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44D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360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B6EC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92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80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视频会议管理主机升级</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24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处理器酷睿</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i5</w:t>
            </w:r>
          </w:p>
          <w:p w14:paraId="58CFEF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内存≥16GB</w:t>
            </w:r>
          </w:p>
          <w:p w14:paraId="1FCB5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固态硬盘≥1TB</w:t>
            </w:r>
          </w:p>
          <w:p w14:paraId="5D608A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配套 23.8 英寸显示屏幕</w:t>
            </w:r>
          </w:p>
          <w:p w14:paraId="12FD2FE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5.处理器：8核，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6.内存：32G，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7.主板：满足设备接入，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8.图像采集卡：满足高清信号接入，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9.需满足区高清视频会议正常召开</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67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AF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07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796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FA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84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视频会议采集卡</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CBF1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‌输入接口‌：1×HDMI 2.0（支持 4Kp60）、1×DVI-DL、1×DP（支持 HDR10/HLG，8/10bit，YUV/RGB 4:4:4/4:2:2/4:2:0），‌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环出接口‌：1×HDMI 2.0，‌最大分辨率/帧率‌：4096×2160p @ 60/50fps（输入与环出一致），‌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接口类型‌：PCIe Gen2 x4（半高卡，尺寸约 127×111.15mm 或 130×68.9mm）‌色彩支持‌：4:4:4 / 10-bit，HDR10/HLG，3D（HDMI 1.4b）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‌软件支持‌：含 QCAP SDK（支持采集、录制、串流、画中画、裁剪、色调节等）‌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系统兼容‌：Windows 7/8/10/11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Linux‌应用‌：4K 直播、医疗影像、虚拟演播、游戏录制、广电采集</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08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56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FC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974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A8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2A0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数字会议音频处理器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8907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1.输入/输出通道：2入4出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2.每个输入通道功能：静音  每个通道设立单独静音控制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3.输入阻抗平衡：20KΩ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4.输出阻抗平衡：100Ω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5.输入范围：≤17dBu</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6.频率响应：20Hz-20KHz(0~-0.5dB)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7.信噪比：＞110dB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8.失真度：＜0.01%（Output=0dBu/1KHz）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9.分离度：＞80dB(1KHz)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10.PC接口面板：1个USB接口，后板2个RS485接口（RJ-45座）,RS232接口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11.功耗：≤30W</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12.重量：4.1kg</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574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94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6D9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500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18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1A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视频自动切换器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20E9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满足12入1出，支持HDMI高清视频合成输出，支持自动视频分配控制，支持主席位控制。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0E8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E3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5C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06FC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66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83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音箱线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683E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100米/卷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材质无氧铜，200芯，带铝箔屏蔽抗干扰，音箱专业连接线</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54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58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78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A25B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26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1CD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DDB1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RVV2*0.5，100米/盘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8C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A1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E0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0E4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50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8F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824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RVV3*0.3,100米/盘</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C5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F3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盘</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14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F89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D59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30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集中控制系统主机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A55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技术参数：1、4核CPU，采用1.2GHz 主频的32位内嵌式处理器；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2、1G内存，4G Nandflash闪存，最大可扩展2T；</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3、多种通信：支持RS-232、RS-422、RS-485、DMX512、ModBus、CanBus、Zigbee通讯，可扩展KNX通讯；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4、具备端口复用功能，支持8路可自定义协议的串口，可配置RS-232、RS-485、DMX512协议，第一、第五路支持24V供电输出；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5、4路触点，每路可支持30V/1A DC，125V/0.5A AC负载；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6、支持8路可自定义的IO输入输出及红外输出，支持全频段载波的红外调制信号发送；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7、支持2路带供电CAN总线信号管理；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8、支持1路Ethernet接口；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9、支持1路红外仿真接口；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10、支持1路USB红外学习接口；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11、内置全频段载波红外学习器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12、系统可通过有线进行扩充；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13、系统可通过无线或有线扩充，单系统支持65535台总线设备扩展；</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14、可添加温度、湿度、光敏、PM2.5等环境采集器和感应器；可按照个人使用习惯和外界实时情况来自动触发指令；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15、支持自定义宏、可编辑宏、可导入或导出宏；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16、支持图形化和语句式编程；</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17、具备时间轴、多线程事件编辑功能；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18、支持操控屏直接编程，用户可自行编辑按键形式及按键的执行联动操作内容；</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19、可多平台控制，支持Android、IOS、Windows三平台同时控制；Windows平台上层控制程序，直接支持客户端应用；在提供安全KEY的前提下，可进行网页端控制。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20、主机支持一屏多机、多屏一机、多屏多机等对接方式；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21、支持语音控制、语音反馈功能；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22、支持音频信号转换控制功能，接入音频文件后，自动计算频谱，并根据频谱内容来控制外围设备；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23、系统支持主机自备份；支持操作记录保存、查询；</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24、支持双机备份；支持远程云备份；支持一键GHOST功能；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25、支持账户身份认证功能，用户管理中心建立主帐号和子帐号；</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26、支持单系统、多系统本地或异地集群管理，支持主账号、子账号实现权限转移、分配；账号控制列表的查看，实现远程互通互控；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27、支持云端数据采集、分析、处理功能；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28、具备媒体流传输功能，能够同时传输8路720P媒体流信号，实现监控与操作同时进行；</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29、可监测受控设备的实时运行状态，故障反馈；支持远程云控制、远程云调试、远程云维护；</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30、搭建服务器形式的中央控制系统后，所有的中央控制主机都可以联动在一起，实现一个指令，所有中央控制主机都能够反馈触发的机制；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31、自动时钟定时设置功能，可精准执行用户自定义的时间预约功能，预约动作可精确到年月日时分秒；</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32、接口过压过流保护，抗20KV静电冲击；</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33、内部供电电压24V，功耗&lt;5W；</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47B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64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6A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538D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634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FB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红外发射棒</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C740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 xml:space="preserve">需配合集中控制主机，发射范围：150平方米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接收范围：150平方米</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发射波长：850nm</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发射角度：60度</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发射功率：10mW</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工作电压：与所连接的设备匹配。</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 xml:space="preserve">载波频率： 2.8MHz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最大功率输出：6Mw</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 xml:space="preserve">总谐波失真：1.5% </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讯噪比：54Db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音频响应： 最低 50Hz 。最高12KHz。</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7AB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AA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BE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6C3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CD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73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电源控制器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E3F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1、8路大电流带常开/常闭触点继电器；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2、自带配线架；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3、机架式安装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4、CAN总线通讯；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5、任意变换的网络ID设置；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6、支持手动及总线控制方式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7、配合Pandora系列中央控制系统使用。</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9ED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06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5EE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6A9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275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241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无线触控屏</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2726F">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1.屏幕尺寸：至少11寸，</w:t>
            </w:r>
          </w:p>
          <w:p w14:paraId="79BF3D75">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2.处理器核心：双核心，</w:t>
            </w:r>
          </w:p>
          <w:p w14:paraId="089A1598">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3.系统内存：2GB，</w:t>
            </w:r>
          </w:p>
          <w:p w14:paraId="05CF4A45">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4.存储容量：16GB，</w:t>
            </w:r>
          </w:p>
          <w:p w14:paraId="5BB1D2A4">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5.刷新率：120HZ，</w:t>
            </w:r>
          </w:p>
          <w:p w14:paraId="11928D35">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6.支持支持802.11a/b/g/n无线协议，</w:t>
            </w:r>
          </w:p>
          <w:p w14:paraId="430B7206">
            <w:pPr>
              <w:keepNext w:val="0"/>
              <w:keepLines w:val="0"/>
              <w:pageBreakBefore w:val="0"/>
              <w:widowControl/>
              <w:suppressLineNumbers w:val="0"/>
              <w:tabs>
                <w:tab w:val="left" w:pos="2089"/>
              </w:tabs>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7.需中兼容控系统控制软件，实现中控主机控制。</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D36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88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71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327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49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C90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无线接收器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060A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双频;支持 2.4G&amp;5G Hz；内置天线；一个千兆电口，802.11a/b/g/n； 2*2MIMO,600Mbps；网口防浪涌标准≥1500v；单天线发射功率100mw，最大发射功率20dBm；</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540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FF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AC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28D35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F8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16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高清视频解码器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976B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4 路本地信号采集（2 路 DVI-I 和 2 路 HDMI，HDMI 接口最大支持 4K）</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21 路 HDMI 信号输出接口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21 路 HDMI 音频输出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MPEG2/MPEG4/H.264/H.265/SVAC/MJPEG 标准网络视频流解码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 持QCIF/CIF/2CIF/HD1/D1/720P/1080P/300W/500W/600W/800W/1200W/3200W 视 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支持通过串口控制屏幕开关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每 3 个输出口一组，每组共享如下解码能力：最大支持 64 个通道同时解码，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最大支持 1 路 3200W@25fps / 3 路 1200W@15fps / 4 路 800W@30fps / 6 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600W@25fps / 8 路 500W @25fps / 9 路 400W@25fps / 10 路 300W @30fps / 16</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路 1080P @30fps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支持单屏 1/4/6/8/9/16/25/36 分割，支持 MxN 自由分割</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HDMI 输出接口支持 3840x2160,1920x1080,1280x1024，1280x720，1024x768</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五种显示分辨率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HDMI 输入接口最大支持 3840x2160 分辨率</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Onvif、RTSP 协议接入，支持国标 GB28181 接入 ，支持私有协议接入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支持预案轮巡</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支持底色选择</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支持自定义分辨率输出，支持小间距 LED 对接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支持多屏融合拼接，跨屏画面毫秒级完美同步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支持 2 个 10M/100M/1000M 自适应以太网接口</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加强用户保密等级：HTTP 的 MD5 加密，HTTPS 和 SSL 证书认证，TELNET 的密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码修改同步应用的用户账号管理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采用标准网络协议和标准压缩算法，在各种平台上轻松实现互联互通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BB1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70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D7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458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AD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58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高清光端机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54AB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双向HDMI+音频+千兆网口</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D94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18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32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93D1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ACC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4C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高清视频分配器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EB93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b/>
                <w:bCs/>
                <w:i w:val="0"/>
                <w:iCs w:val="0"/>
                <w:color w:val="auto"/>
                <w:sz w:val="24"/>
                <w:szCs w:val="24"/>
                <w:u w:val="none"/>
              </w:rPr>
            </w:pPr>
            <w:r>
              <w:rPr>
                <w:rStyle w:val="259"/>
                <w:rFonts w:hint="eastAsia" w:ascii="宋体" w:hAnsi="宋体" w:eastAsia="宋体" w:cs="宋体"/>
                <w:color w:val="auto"/>
                <w:sz w:val="24"/>
                <w:szCs w:val="24"/>
                <w:lang w:val="en-US" w:eastAsia="zh-CN" w:bidi="ar"/>
              </w:rPr>
              <w:t>1分32高清视频分配器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视频输入：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-3dB 带宽：大于 150MHz 或 350MHz，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接口：BNC或RCA，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最小电平：0.4Vp-p，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最大电平：2.0Vp-p，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耦合方式：直流耦合，</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输入阻抗：75Ω±1Ω。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信号类型：复合视频信号，</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接口：BNC（或 RCA），</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最小电平：0.4Vp-p，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最大电平：6.0Vp-p，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耦合方式：直流耦合，</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直流补偿：0dB。</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2BA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0C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1A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66D8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37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7F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时统时频系统服务器</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398DC">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 以中心母钟输出的定时信号建立时间参考；</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 提供1路NTP网络授时接口，支持任意时区设置；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 前面板显示年月日时分秒、卫星颗数及工作状态；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 支持windows、LINUX、UNIX、SUN SOLARIS、IBM AIX等操作系统时间同步；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 支持NTP v1.v2.v3&amp;v4(RFC1119&amp;1305),SNTP(RFC2030)等协议；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 支持DHCP功能，所有接入LAN口的网络设备，可以自动获取到IP地址；NTP服务器</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 安全性能出色，提供防火墙保护，启用</w:t>
            </w:r>
            <w:r>
              <w:rPr>
                <w:rStyle w:val="262"/>
                <w:rFonts w:hint="eastAsia" w:ascii="宋体" w:hAnsi="宋体" w:eastAsia="宋体" w:cs="宋体"/>
                <w:color w:val="auto"/>
                <w:sz w:val="24"/>
                <w:szCs w:val="24"/>
                <w:lang w:val="en-US" w:eastAsia="zh-CN" w:bidi="ar"/>
              </w:rPr>
              <w:t>SYN</w:t>
            </w:r>
            <w:r>
              <w:rPr>
                <w:rStyle w:val="259"/>
                <w:rFonts w:hint="eastAsia" w:ascii="宋体" w:hAnsi="宋体" w:eastAsia="宋体" w:cs="宋体"/>
                <w:color w:val="auto"/>
                <w:sz w:val="24"/>
                <w:szCs w:val="24"/>
                <w:lang w:val="en-US" w:eastAsia="zh-CN" w:bidi="ar"/>
              </w:rPr>
              <w:t>-flood防御，地提高内部网络的安全性，降低风险；</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 支持心跳检测功能，多台时间服务器或者多个网口均可设为同一IP，互为冗余备份；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 支持WEB、SSH加密通信和软件监控设置的参数管理方式；NTP服务器；</w:t>
            </w:r>
          </w:p>
          <w:p w14:paraId="381520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10) 支持WEB方式的固件升级，提供参数备份及导入，系统本地日志和远程日志发送等功能；</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 提供软硬件看门狗设计，QoS功能（流量监控）和网络诊断等；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12) 参数设置文件可以导出与导入；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13) 网络配置页面支持国际化（多语言）包括中文，英文，日文，西班牙，法文，意大利，俄文，乌克兰文等等，可设置用户名密码和主机名；</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14) 负载、运行时间、实时流量和内存状态等实时监控；</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15) 显示实时链接，包括客户端访问时间服务器的IP、通信协议和交互数据量，并以图表形式展示历史数据；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16) 只需要输入www.syn029.cn就可以登录NTP时间服务器，避免记录ip的麻烦；</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17) 内置时钟源可选温补晶振、恒温晶振、铷原子钟和驯服模块等；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18) 串口授时，每秒发送一次时、分、秒、年、月、日时间信息；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19) 输出定时同步信号（1PPS），TTL接口输出。</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4C7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92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7D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636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C8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87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全向天线</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D0C9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频率范围</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GPS卫星L1频点：1575MHz±5 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北斗二代B1频点：1561MHz±4 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极化方式</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右旋圆极化</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天线增益≥38dB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噪声系数≤1.5dB</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反射损耗：-14dB(即驻波比≤1.5)</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P-1≥+10dBm</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干扰抑制：25dB±100MHz</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供   电：3V/5V DC</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工作电流：13mA/3V  26mA/5V</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A99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9B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9A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55896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3F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83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监控辅屏</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8AA9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43寸，超清4K</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AB1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AE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B9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968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79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84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会议音箱</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EF20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2.0声道有源音箱音色清淅人声凸出，内置功率放大器、5寸全频低音喇叭、2.5寸高音喇叭。270套同时使用不串频,抗干扰性强、安装调试简单、声音清晰、性能稳定无须专人管理。</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1路6.5毫米插口有线话筒输入。</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一组莲花音频输入、一路莲花录播音频输出、一路莲花线路输出。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麦克风音量、音乐音量、独立调节。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外置接插式电源线放便升级安装。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铁网烤漆防护罩、配原厂支架、壁挂式安装。</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音调控制：高音15KHz±12dB / 低音100Hz±12dB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尺寸：宽190mm×厚173mm×高310mm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输出功率：50W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灵敏度：90dB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信噪比：≥90dB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 xml:space="preserve">频率响应：20Hz-18KHz </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超宽电源：90V-260V、50Hz</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0FD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75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CD1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31A9A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6F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46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网络摄像机</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91021">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防暴半球传感器类型:1/2.7英寸CMOS；像素:400万最大分辨率:2688×1520；扫描方式:逐行扫描电子快门:1/3s~1/100000s（可手动或自动调节）</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最低照度:0.002lux（彩色模式）；0.0002lux（黑白模式）；0lux（补光灯开启）；</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信噪比:＞56dB最大补光距离:50m（红外视频监控距离） 20m（暖光视频监控距离） 8m（暖光人脸检测距离）；补光灯:2颗（红外灯）;1颗（暖光灯）调整角度:水平：0°～355°；垂直：0°～80°；旋转：0°～355°；镜头类型:电动变焦镜头接口:φ14；镜头焦距:6mm～24mm镜头光圈:F1.5；视场角:水平：17°～42°；垂直：9°～23°；对角：19°～48°；光圈控制:固定光圈；近摄距:0.5m；通用行为分析:物品遗留；物品搬移；热度图: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深度智能:支持周界防范:绊线入侵；区域入侵；快速移动（三项均支持人车分类及精准检测）；徘徊检测；人员聚集；停车检测</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SMD 3.0:第三代智能动检技术；智能场景自适应:支持人脸检测:支持人脸检测；支持跟踪；支持优选；支持抓拍；支持上报最优的人脸抓图；支持人脸增强，支持人脸曝光；支持人脸属性提取，支持6种属性8种表情:性别，年龄，眼镜，表情（愤怒，平静，高兴，悲伤，厌恶，惊讶，，困惑，害怕），口罩，胡子，支持人脸抠图区域可设:人脸， 单寸照，自定义；支持实时抓拍、优选抓拍、质量优先三种抓拍策略；支持人脸角度过滤功能；支持优选时长可设热度图:支持车辆检测:支持机动车抓拍及报警联动，支持机动车号牌识别；智能检索:配合Smart NVR实现事件录像的二次智能检索、分析和浓缩播放</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视频压缩标准:H.265；H.264；H.264H；H.264B；MJPEG（仅辅码流支持）智能编码:H.264:支持； H.265:支持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AI编码:H.264:支持（压缩率≥25%）； H.265:支持（压缩率≥25%）视频帧率:50Hz 主码流（2688×1520@25fps），辅码流（704×576@25fps），第三码流（704×576@25fps） 60Hz 主码流（2688×1520@30fps），辅码流（704×480@30fps），第三码流（704×480@30fps）</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视频码率:H.264:3kbps ~ 8192kbps； H.265:3kbps ~ 8192kbps；日夜转换:ICR自动切换；背光补偿:支持；强光抑制:支持</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宽动态:120dB；白平衡:自动；自然光；路灯；室外；手动；区域自定义；增益控制:自动；降噪:3D降噪默认分辨率下默认码流:4096kbps（2688×1520）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防抖功能:电子防抖；透雾功能:支持；图像翻转:支持；走廊模式:90°/270°（在2688×1520分辨率及以下支持）；镜像:支持；隐私遮挡:4块</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内置MIC:支持；内置扬声器:支持；音频压缩标准:PCM；G.711a；G.711Mu；G.726；AAC；MPEG2-Layer2；G.722.1；G.729；G.723</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音频采样率:8kHz；16kHz；32kHz；48kHz；64kHz；报警事件:无SD卡；SD卡空间不足；SD卡出错；网络断开；IP冲突；非法访问；动态检测；SMD；视频遮挡；绊线入侵；区域入侵；快速移动；物品遗留；物品搬移；徘徊检测；人员聚集；停车检测；场景变更；音频异常侦测；电压检测；虚焦侦测；安全异常；人脸检测；网络接口:1个（RJ-45网口，支持10M/100M 网络数据）</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网络协议:IPv4；IPv6；HTTP；TCP；UDP；ARP；RTP ；RTSP；RTCP；RTMP；SMTP；FTP；SFTP；DHCP；DNS；DDNS；QoS；UPnP；NTP；Multicast；ICMP；IGMP；NFS；PPPoE；SNMP</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接入标准:ONVIF（Profile S &amp; Profile G &amp; Profile T）；CGI；GB/T28181-2022（双国标）；云联；RTMP；GA/T1400</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预览最大用户数:20个（总带宽:80M）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存储功能:云联；FTP；SFTP；Micro SD卡（最大支持512GB）；NAS恢复默认:支持一键恢复默认配置用户管理:最大支持20个用户安全模式:授权的用户名和密码；MAC地址绑定；HTTPS加密；IEEE 802.1x；网络访问控制</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低照等级:星光其他功能:灯光报警；声音报警；智能补光工作电压:DC12V（±30%）；POE （802.3af）供电方式:DC12V/PoE功耗:基本功耗:3.1W（DC12V）；3.9W（POE） 最大功耗（H.265+红外+智能+电动变焦+报警喇叭暖光）:7.9W（DC12V）；9.9W（POE）</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工作温度:-30℃~+60℃工作湿度:≤95%储存温度:-40℃~+60℃防护等级:IP67；IK10</w:t>
            </w:r>
          </w:p>
          <w:p w14:paraId="7BBB147D">
            <w:pPr>
              <w:keepNext w:val="0"/>
              <w:keepLines w:val="0"/>
              <w:pageBreakBefore w:val="0"/>
              <w:widowControl/>
              <w:suppressLineNumbers w:val="0"/>
              <w:kinsoku/>
              <w:wordWrap/>
              <w:overflowPunct/>
              <w:topLinePunct w:val="0"/>
              <w:autoSpaceDE/>
              <w:autoSpaceDN/>
              <w:bidi w:val="0"/>
              <w:adjustRightInd/>
              <w:snapToGrid/>
              <w:jc w:val="left"/>
              <w:textAlignment w:val="center"/>
              <w:rPr>
                <w:rStyle w:val="259"/>
                <w:rFonts w:hint="eastAsia" w:ascii="宋体" w:hAnsi="宋体" w:eastAsia="宋体" w:cs="宋体"/>
                <w:color w:val="auto"/>
                <w:sz w:val="24"/>
                <w:szCs w:val="24"/>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9A0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D0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7A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493A6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1A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885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有线话筒</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ECBB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Style w:val="259"/>
                <w:rFonts w:hint="eastAsia" w:ascii="宋体" w:hAnsi="宋体" w:eastAsia="宋体" w:cs="宋体"/>
                <w:color w:val="auto"/>
                <w:sz w:val="24"/>
                <w:szCs w:val="24"/>
                <w:lang w:val="en-US" w:eastAsia="zh-CN" w:bidi="ar"/>
              </w:rPr>
              <w:t>技术参数：</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1.换能方式：电容式</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2.频率响应：20Hz-18KHz</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3.指向性：超心型指向</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4.输出阻抗（欧姆）：75Ω</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5.灵敏度：-40db±2db</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6.供电电压：DC3V/幻象48V</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7.鹅颈长度：430mm</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8.话筒重量：0.75KG</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9.输出、指示：平衡、座灯、带灯环显示</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10.开关：轻触开关</w:t>
            </w:r>
            <w:r>
              <w:rPr>
                <w:rStyle w:val="259"/>
                <w:rFonts w:hint="eastAsia" w:ascii="宋体" w:hAnsi="宋体" w:eastAsia="宋体" w:cs="宋体"/>
                <w:color w:val="auto"/>
                <w:sz w:val="24"/>
                <w:szCs w:val="24"/>
                <w:lang w:val="en-US" w:eastAsia="zh-CN" w:bidi="ar"/>
              </w:rPr>
              <w:br w:type="textWrapping"/>
            </w:r>
            <w:r>
              <w:rPr>
                <w:rStyle w:val="259"/>
                <w:rFonts w:hint="eastAsia" w:ascii="宋体" w:hAnsi="宋体" w:eastAsia="宋体" w:cs="宋体"/>
                <w:color w:val="auto"/>
                <w:sz w:val="24"/>
                <w:szCs w:val="24"/>
                <w:lang w:val="en-US" w:eastAsia="zh-CN" w:bidi="ar"/>
              </w:rPr>
              <w:t>11.金属座、抗手机、电磁、高频干扰</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12D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F3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F2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1E9C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AF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B2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人防指挥系统村级主机设备终端</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AB1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1.单模单纤传输；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2.双向高清视频传输；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3.双向音频传输；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4.100m/1000m网络传输；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5.POE网口1个；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6.AC220V电源输出接口2个；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7.AC220V电源输入接口1个。</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654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73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69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0BED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BC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63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显示设备</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C0CB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50"，4K</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屏幕尺寸：50 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分辨率：1080p（1920×1080）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屏幕比例：16∶9</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背光源：LED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操作系统：andriod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屏幕显示：刷新率 60Hz，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对比度 1600∶1，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可视角度：178/178 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响应时间：6ms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音频参数：音效模式支持智能音量控制，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输出功率≥5W×2，</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扬声器为： 2 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硬件配置：CPU 四核，GPU 四核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网络功能：支持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USB 媒体播放：USB 支持视频格式有 H.264 蓝光解霸、MP4、3GP、AVI、MPG、RM、RMVB、MOV、MKV、MPEG，USB 支持音频格式有 MP3、WMA、AAC，USB 支持图片格式有 JPG、JPEG、PNG、BMP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机身接口：2×HDMI 接口，1×网络接口，3×USB 接口，1×AV 输入接口，1×AV 输出接口，1×VGA 接口，1×TF 卡槽</w:t>
            </w:r>
          </w:p>
          <w:p w14:paraId="0EBDD8B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strike w:val="0"/>
                <w:dstrike w:val="0"/>
                <w:color w:val="auto"/>
                <w:sz w:val="24"/>
                <w:szCs w:val="24"/>
                <w:lang w:eastAsia="zh-CN"/>
              </w:rPr>
              <w:t>#</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提供</w:t>
            </w:r>
            <w:r>
              <w:rPr>
                <w:rFonts w:hint="eastAsia" w:ascii="宋体" w:hAnsi="宋体" w:eastAsia="宋体" w:cs="宋体"/>
                <w:b/>
                <w:bCs/>
                <w:color w:val="auto"/>
                <w:sz w:val="24"/>
                <w:szCs w:val="24"/>
              </w:rPr>
              <w:t>设备原厂开具</w:t>
            </w:r>
            <w:r>
              <w:rPr>
                <w:rFonts w:hint="eastAsia" w:ascii="宋体" w:hAnsi="宋体" w:eastAsia="宋体" w:cs="宋体"/>
                <w:b/>
                <w:bCs/>
                <w:color w:val="auto"/>
                <w:sz w:val="24"/>
                <w:szCs w:val="24"/>
                <w:lang w:val="en-US" w:eastAsia="zh-CN"/>
              </w:rPr>
              <w:t>的</w:t>
            </w:r>
            <w:r>
              <w:rPr>
                <w:rFonts w:hint="eastAsia" w:ascii="宋体" w:hAnsi="宋体" w:eastAsia="宋体" w:cs="宋体"/>
                <w:b/>
                <w:bCs/>
                <w:color w:val="auto"/>
                <w:sz w:val="24"/>
                <w:szCs w:val="24"/>
              </w:rPr>
              <w:t>授权函，授权文件须加盖生产厂商有效公章</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0A4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81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64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B4D0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505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2F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视频会议电视移动支架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3BEB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60-100寸/重载</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40A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BF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83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工业</w:t>
            </w:r>
          </w:p>
        </w:tc>
      </w:tr>
      <w:tr w14:paraId="7E3F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EB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FDB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集中控制软件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49AD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b/>
                <w:bCs/>
                <w:i w:val="0"/>
                <w:iCs w:val="0"/>
                <w:color w:val="auto"/>
                <w:sz w:val="24"/>
                <w:szCs w:val="24"/>
                <w:u w:val="none"/>
              </w:rPr>
            </w:pPr>
            <w:r>
              <w:rPr>
                <w:rStyle w:val="261"/>
                <w:rFonts w:hint="eastAsia" w:ascii="宋体" w:hAnsi="宋体" w:eastAsia="宋体" w:cs="宋体"/>
                <w:color w:val="auto"/>
                <w:sz w:val="24"/>
                <w:szCs w:val="24"/>
                <w:lang w:val="en-US" w:eastAsia="zh-CN" w:bidi="ar"/>
              </w:rPr>
              <w:t>基于琉璃庙镇人防应急指挥系统管理系统对，镇指挥中心与辖区内25个村进行设备集中控制管理,对所有支持TCP/IP、UDP、RS232、RS485 等设备进行通信管理，</w:t>
            </w:r>
            <w:r>
              <w:rPr>
                <w:rStyle w:val="261"/>
                <w:rFonts w:hint="eastAsia" w:ascii="宋体" w:hAnsi="宋体" w:eastAsia="宋体" w:cs="宋体"/>
                <w:color w:val="auto"/>
                <w:sz w:val="24"/>
                <w:szCs w:val="24"/>
                <w:lang w:val="en-US" w:eastAsia="zh-CN" w:bidi="ar"/>
              </w:rPr>
              <w:br w:type="textWrapping"/>
            </w:r>
            <w:r>
              <w:rPr>
                <w:rStyle w:val="261"/>
                <w:rFonts w:hint="eastAsia" w:ascii="宋体" w:hAnsi="宋体" w:eastAsia="宋体" w:cs="宋体"/>
                <w:color w:val="auto"/>
                <w:sz w:val="24"/>
                <w:szCs w:val="24"/>
                <w:lang w:val="en-US" w:eastAsia="zh-CN" w:bidi="ar"/>
              </w:rPr>
              <w:t>控制界面：按琉璃庙镇人防应急指挥系统实际需求定制图形化界面，应用界面的分辨率适配、操作便捷性，可视化程度高，按琉璃庙镇人防应急指挥系统实际需求设置的不同设备组合和运行状态的场景。</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361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61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D1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55BCC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02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C1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时统控制软件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8815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基于琉璃庙镇人防应急指挥系统管理系统时间统一同步管理，对系统内所有设备利用NTP、SNTP、PTP等协议进行时间统一管理。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软件算法同步精度：10毫秒至100毫秒，时间接口采用北斗时钟系统。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安全设置：如访问控制、加密传输等，以保障时间同步的安全性。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频率调整参数：用于微调本地时钟的频率，以提高同步精度。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缓冲和缓存设置：以应对网络延迟和不稳定情况。</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网络参数：支持网络延迟补偿、丢包处理策略。</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8E9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C0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7F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0647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88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30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综合平台管理系统软件</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FC39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防应急指挥综合管理平台系统由五个大模块组成：目录服务管理软件、网络视频调度服务软件、网络视频管理控制软件、桌面用户视频控制客户端软件和监控中心视频控制客户端软件。根据琉璃庙镇人防应急指挥系统设备及节点情况，进行定制化部署，其中网络视频管理控制软件是整个视频网络系统的核心部分。对系统上端，它负责主控软件、分控软件及系统录像软件的管理、协调、控制等工作。对系统下端，它负责视频矩阵、报警设备、视频编解码器等硬件设备的管理、控制等工作。在现实应用中，人防应急指挥综合管理平台系统可以帮助您同时进行监视、存储和捕捉高质量的音、视频数据流。同时人防应急指挥监控管理平台系统拥有虚拟矩阵功能，并为此提供了不受数量和地域限制的输入/输出端口，可用来管理来自全区多个地区的视频信号。在可扩展性和访问能力上超越了传统的模拟硬件矩阵的局限。</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77C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74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36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软件和信息技术服务业</w:t>
            </w:r>
          </w:p>
        </w:tc>
      </w:tr>
      <w:tr w14:paraId="69225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15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B8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后山铺村村委会设备安装费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71FA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C0C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7E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41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789A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39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44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东峪村村委会设备安装费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CC7A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36F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3C3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D7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3C2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F0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DBE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黄泉峪村村委会设备安装费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5390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77B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DD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F6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E8FF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1D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014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柏查子村村委会设备安装费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E6E8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1EB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6F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EB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16E6C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31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C21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琉璃庙村村委会设备安装费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3ADA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977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7A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A9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665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5A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0E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得田沟村村委会设备安装费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F27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85A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26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C3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026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C92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A73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碾子湾村村委会设备安装费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B4FE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38A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62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1D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7BB1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0D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FC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老公营村村委会设备安装费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784E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764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C9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7D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4DFFF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BE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05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安洲坝村村委会设备安装费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F8E4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A48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AE9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D1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04CC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74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5EE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西湾子村村委会设备安装费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F44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F63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98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6D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DD97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9B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5E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前安岭村村委会设备安装费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E4B2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778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E2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20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78C1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AE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A7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双文铺村村委会设备安装费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22ED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6A5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E3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D4F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1BED3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0B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52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青石岭村村委会设备安装费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9A1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357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58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C1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DDB3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A72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08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白河北村村委会设备安装费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8275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2BF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2CC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28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E43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44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AF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狼虎哨村村委会设备安装费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AF9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BD0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AE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0A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1D4F2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63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8A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西台子村村委会设备安装费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F442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E78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F5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4C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799A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6DA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E6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崎峰茶村村委会设备安装费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6A50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p>
          <w:p w14:paraId="15E6B13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840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AAB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4A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A23A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1A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C88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孙胡沟村村委会设备安装费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3FDE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280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C3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187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CF46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A2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495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沟门村村委会设备安装费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580E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2FC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9D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37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3E2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5B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A8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鱼水洞村村委会设备安装费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1542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77A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123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8C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0BB8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AEA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EB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河北村村委会设备安装费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8FC1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11B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9D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7C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3086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75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F2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八亩地村村委会设备安装费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CA74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C41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EC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93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527EA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83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6E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二台子村村委会设备安装费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EFCE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AFF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32A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54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29CE7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6C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B5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梁根村村委会设备安装费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3D61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8C0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2E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150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6C9FB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FF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20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长岭沟门村村委会设备安装费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AED6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614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5B1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53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r w14:paraId="1941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8A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CC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镇级指挥中心设备安装费</w:t>
            </w:r>
          </w:p>
        </w:tc>
        <w:tc>
          <w:tcPr>
            <w:tcW w:w="26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EAEC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1.拆除现有设备，并打包运至国动办物资库；</w:t>
            </w:r>
          </w:p>
          <w:p w14:paraId="300767D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2.运输设备到村委会，并安装设备；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3.调试设备，与镇级指挥中心互联互通。</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BE7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B3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87D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其他未列明行业</w:t>
            </w:r>
          </w:p>
        </w:tc>
      </w:tr>
    </w:tbl>
    <w:p w14:paraId="353D3118">
      <w:pPr>
        <w:rPr>
          <w:rFonts w:hint="eastAsia" w:ascii="宋体" w:hAnsi="宋体" w:eastAsia="宋体" w:cs="宋体"/>
          <w:b/>
          <w:color w:val="auto"/>
          <w:sz w:val="24"/>
        </w:rPr>
        <w:sectPr>
          <w:pgSz w:w="16840" w:h="11907" w:orient="landscape"/>
          <w:pgMar w:top="1701" w:right="1418" w:bottom="1134" w:left="1418" w:header="851" w:footer="851" w:gutter="0"/>
          <w:pgNumType w:fmt="decimal"/>
          <w:cols w:space="720" w:num="1"/>
          <w:docGrid w:linePitch="462" w:charSpace="0"/>
        </w:sectPr>
      </w:pPr>
      <w:r>
        <w:rPr>
          <w:rFonts w:hint="eastAsia" w:ascii="宋体" w:hAnsi="宋体" w:eastAsia="宋体" w:cs="宋体"/>
          <w:b/>
          <w:color w:val="auto"/>
          <w:sz w:val="24"/>
        </w:rPr>
        <w:br w:type="page"/>
      </w:r>
    </w:p>
    <w:p w14:paraId="4E4CC432">
      <w:pPr>
        <w:rPr>
          <w:rFonts w:hint="eastAsia" w:ascii="宋体" w:hAnsi="宋体" w:eastAsia="宋体" w:cs="宋体"/>
          <w:b/>
          <w:color w:val="auto"/>
          <w:sz w:val="24"/>
        </w:rPr>
      </w:pPr>
    </w:p>
    <w:p w14:paraId="1DDF7590">
      <w:pPr>
        <w:keepNext w:val="0"/>
        <w:keepLines w:val="0"/>
        <w:pageBreakBefore w:val="0"/>
        <w:wordWrap/>
        <w:overflowPunct/>
        <w:topLinePunct w:val="0"/>
        <w:autoSpaceDE/>
        <w:autoSpaceDN/>
        <w:bidi w:val="0"/>
        <w:spacing w:line="360" w:lineRule="auto"/>
        <w:ind w:firstLine="723" w:firstLineChars="200"/>
        <w:jc w:val="center"/>
        <w:outlineLvl w:val="0"/>
        <w:rPr>
          <w:rFonts w:hint="eastAsia" w:ascii="宋体" w:hAnsi="宋体" w:eastAsia="宋体" w:cs="宋体"/>
          <w:b/>
          <w:color w:val="auto"/>
          <w:sz w:val="36"/>
          <w:szCs w:val="36"/>
        </w:rPr>
      </w:pPr>
      <w:bookmarkStart w:id="830" w:name="_Toc99301425"/>
      <w:r>
        <w:rPr>
          <w:rFonts w:hint="eastAsia" w:ascii="宋体" w:hAnsi="宋体" w:eastAsia="宋体" w:cs="宋体"/>
          <w:b/>
          <w:color w:val="auto"/>
          <w:sz w:val="36"/>
          <w:szCs w:val="36"/>
        </w:rPr>
        <w:t>第六章   拟签订的合同文本</w:t>
      </w:r>
      <w:bookmarkEnd w:id="830"/>
    </w:p>
    <w:p w14:paraId="6DC947C1">
      <w:pPr>
        <w:spacing w:before="120" w:line="480" w:lineRule="exact"/>
        <w:jc w:val="center"/>
        <w:rPr>
          <w:rFonts w:ascii="宋体" w:hAnsi="宋体"/>
          <w:b/>
          <w:color w:val="auto"/>
          <w:sz w:val="24"/>
        </w:rPr>
      </w:pPr>
      <w:bookmarkStart w:id="831" w:name="_Toc13960"/>
      <w:bookmarkStart w:id="832" w:name="_Toc504554325"/>
      <w:r>
        <w:rPr>
          <w:rFonts w:hint="eastAsia" w:ascii="宋体" w:hAnsi="宋体"/>
          <w:b/>
          <w:color w:val="auto"/>
          <w:sz w:val="24"/>
        </w:rPr>
        <w:t>合　　　同　　　书</w:t>
      </w:r>
    </w:p>
    <w:p w14:paraId="2EF632CB">
      <w:pPr>
        <w:spacing w:before="120" w:line="480" w:lineRule="exact"/>
        <w:rPr>
          <w:rFonts w:ascii="宋体" w:hAnsi="宋体"/>
          <w:color w:val="auto"/>
          <w:sz w:val="24"/>
        </w:rPr>
      </w:pPr>
    </w:p>
    <w:p w14:paraId="2D01E825">
      <w:pPr>
        <w:spacing w:before="120" w:line="480" w:lineRule="exact"/>
        <w:ind w:firstLine="720"/>
        <w:rPr>
          <w:rFonts w:ascii="宋体" w:hAnsi="宋体"/>
          <w:color w:val="auto"/>
          <w:sz w:val="24"/>
        </w:rPr>
      </w:pPr>
      <w:r>
        <w:rPr>
          <w:rFonts w:hint="eastAsia" w:ascii="宋体" w:hAnsi="宋体"/>
          <w:color w:val="auto"/>
          <w:sz w:val="24"/>
          <w:u w:val="single"/>
        </w:rPr>
        <w:t xml:space="preserve">         　　　      </w:t>
      </w:r>
      <w:r>
        <w:rPr>
          <w:rFonts w:hint="eastAsia" w:ascii="宋体" w:hAnsi="宋体"/>
          <w:color w:val="auto"/>
          <w:sz w:val="24"/>
        </w:rPr>
        <w:t>(买方)</w:t>
      </w:r>
      <w:r>
        <w:rPr>
          <w:rFonts w:hint="eastAsia" w:ascii="宋体" w:hAnsi="宋体"/>
          <w:color w:val="auto"/>
          <w:sz w:val="24"/>
          <w:u w:val="single"/>
        </w:rPr>
        <w:t xml:space="preserve">   　　　    　　       </w:t>
      </w:r>
      <w:r>
        <w:rPr>
          <w:rFonts w:hint="eastAsia" w:ascii="宋体" w:hAnsi="宋体"/>
          <w:color w:val="auto"/>
          <w:sz w:val="24"/>
        </w:rPr>
        <w:t>(项目名称)中所需</w:t>
      </w:r>
      <w:r>
        <w:rPr>
          <w:rFonts w:hint="eastAsia" w:ascii="宋体" w:hAnsi="宋体"/>
          <w:color w:val="auto"/>
          <w:sz w:val="24"/>
          <w:u w:val="single"/>
        </w:rPr>
        <w:t xml:space="preserve"> 　　　　　　　</w:t>
      </w:r>
      <w:r>
        <w:rPr>
          <w:rFonts w:hint="eastAsia" w:ascii="宋体" w:hAnsi="宋体"/>
          <w:color w:val="auto"/>
          <w:sz w:val="24"/>
        </w:rPr>
        <w:t>(货物/服务名称)经(采购代理机构)以</w:t>
      </w:r>
      <w:r>
        <w:rPr>
          <w:rFonts w:hint="eastAsia" w:ascii="宋体" w:hAnsi="宋体"/>
          <w:color w:val="auto"/>
          <w:sz w:val="24"/>
          <w:u w:val="single"/>
        </w:rPr>
        <w:t>　　　　</w:t>
      </w:r>
      <w:r>
        <w:rPr>
          <w:rFonts w:hint="eastAsia" w:ascii="宋体" w:hAnsi="宋体"/>
          <w:color w:val="auto"/>
          <w:sz w:val="24"/>
        </w:rPr>
        <w:t>号招标文件在国内</w:t>
      </w:r>
      <w:r>
        <w:rPr>
          <w:rFonts w:hint="eastAsia" w:ascii="宋体" w:hAnsi="宋体"/>
          <w:color w:val="auto"/>
          <w:sz w:val="24"/>
          <w:u w:val="single"/>
        </w:rPr>
        <w:t>　　</w:t>
      </w:r>
      <w:r>
        <w:rPr>
          <w:rFonts w:hint="eastAsia" w:ascii="宋体" w:hAnsi="宋体"/>
          <w:color w:val="auto"/>
          <w:sz w:val="24"/>
        </w:rPr>
        <w:t>（公开/邀请）招标。经评标委员会评定</w:t>
      </w:r>
      <w:r>
        <w:rPr>
          <w:rFonts w:hint="eastAsia" w:ascii="宋体" w:hAnsi="宋体"/>
          <w:color w:val="auto"/>
          <w:sz w:val="24"/>
          <w:u w:val="single"/>
        </w:rPr>
        <w:t xml:space="preserve"> 　　        </w:t>
      </w:r>
      <w:r>
        <w:rPr>
          <w:rFonts w:hint="eastAsia" w:ascii="宋体" w:hAnsi="宋体"/>
          <w:color w:val="auto"/>
          <w:sz w:val="24"/>
        </w:rPr>
        <w:t>(卖方)为中标人。买、卖双方同意按照下面的条款和条件，签署本合同。</w:t>
      </w:r>
    </w:p>
    <w:p w14:paraId="4C5A1C46">
      <w:pPr>
        <w:spacing w:before="240" w:line="480" w:lineRule="exact"/>
        <w:rPr>
          <w:rFonts w:ascii="宋体" w:hAnsi="宋体"/>
          <w:b/>
          <w:color w:val="auto"/>
          <w:sz w:val="24"/>
        </w:rPr>
      </w:pPr>
      <w:r>
        <w:rPr>
          <w:rFonts w:hint="eastAsia" w:ascii="宋体" w:hAnsi="宋体"/>
          <w:b/>
          <w:color w:val="auto"/>
          <w:sz w:val="24"/>
        </w:rPr>
        <w:t>1、合同文件</w:t>
      </w:r>
    </w:p>
    <w:p w14:paraId="0964757E">
      <w:pPr>
        <w:spacing w:before="120" w:line="480" w:lineRule="exact"/>
        <w:ind w:firstLine="720"/>
        <w:rPr>
          <w:rFonts w:ascii="宋体" w:hAnsi="宋体"/>
          <w:color w:val="auto"/>
          <w:sz w:val="24"/>
        </w:rPr>
      </w:pPr>
      <w:r>
        <w:rPr>
          <w:rFonts w:hint="eastAsia" w:ascii="宋体" w:hAnsi="宋体"/>
          <w:color w:val="auto"/>
          <w:sz w:val="24"/>
        </w:rPr>
        <w:t>下列文件构成本合同的组成部分，应该认为是一个整体，彼此相互解释，相互补充。为便于解释，组成合同的多个文件的优先支配地位的次序如下：</w:t>
      </w:r>
    </w:p>
    <w:p w14:paraId="6D6DF77B">
      <w:pPr>
        <w:spacing w:before="120" w:line="480" w:lineRule="exact"/>
        <w:ind w:firstLine="540"/>
        <w:rPr>
          <w:rFonts w:ascii="宋体" w:hAnsi="宋体"/>
          <w:color w:val="auto"/>
          <w:sz w:val="24"/>
        </w:rPr>
      </w:pPr>
      <w:r>
        <w:rPr>
          <w:rFonts w:hint="eastAsia" w:ascii="宋体" w:hAnsi="宋体"/>
          <w:color w:val="auto"/>
          <w:sz w:val="24"/>
        </w:rPr>
        <w:t>a.</w:t>
      </w:r>
      <w:r>
        <w:rPr>
          <w:rFonts w:hint="eastAsia" w:ascii="宋体" w:hAnsi="宋体"/>
          <w:color w:val="auto"/>
          <w:sz w:val="24"/>
        </w:rPr>
        <w:tab/>
      </w:r>
      <w:r>
        <w:rPr>
          <w:rFonts w:hint="eastAsia" w:ascii="宋体" w:hAnsi="宋体"/>
          <w:color w:val="auto"/>
          <w:sz w:val="24"/>
        </w:rPr>
        <w:t>本合同书　</w:t>
      </w:r>
    </w:p>
    <w:p w14:paraId="693C44D7">
      <w:pPr>
        <w:spacing w:before="120" w:line="480" w:lineRule="exact"/>
        <w:ind w:firstLine="540"/>
        <w:rPr>
          <w:rFonts w:ascii="宋体" w:hAnsi="宋体"/>
          <w:color w:val="auto"/>
          <w:sz w:val="24"/>
        </w:rPr>
      </w:pPr>
      <w:r>
        <w:rPr>
          <w:rFonts w:hint="eastAsia" w:ascii="宋体" w:hAnsi="宋体"/>
          <w:color w:val="auto"/>
          <w:sz w:val="24"/>
        </w:rPr>
        <w:t>b.</w:t>
      </w:r>
      <w:r>
        <w:rPr>
          <w:rFonts w:hint="eastAsia" w:ascii="宋体" w:hAnsi="宋体"/>
          <w:color w:val="auto"/>
          <w:sz w:val="24"/>
        </w:rPr>
        <w:tab/>
      </w:r>
      <w:r>
        <w:rPr>
          <w:rFonts w:hint="eastAsia" w:ascii="宋体" w:hAnsi="宋体"/>
          <w:color w:val="auto"/>
          <w:sz w:val="24"/>
        </w:rPr>
        <w:t>中标通知书</w:t>
      </w:r>
    </w:p>
    <w:p w14:paraId="6CED7CDE">
      <w:pPr>
        <w:spacing w:before="120" w:line="480" w:lineRule="exact"/>
        <w:ind w:firstLine="540"/>
        <w:rPr>
          <w:rFonts w:ascii="宋体" w:hAnsi="宋体"/>
          <w:color w:val="auto"/>
          <w:sz w:val="24"/>
        </w:rPr>
      </w:pPr>
      <w:r>
        <w:rPr>
          <w:rFonts w:hint="eastAsia" w:ascii="宋体" w:hAnsi="宋体"/>
          <w:color w:val="auto"/>
          <w:sz w:val="24"/>
        </w:rPr>
        <w:t>c.</w:t>
      </w:r>
      <w:r>
        <w:rPr>
          <w:rFonts w:hint="eastAsia" w:ascii="宋体" w:hAnsi="宋体"/>
          <w:color w:val="auto"/>
          <w:sz w:val="24"/>
        </w:rPr>
        <w:tab/>
      </w:r>
      <w:r>
        <w:rPr>
          <w:rFonts w:hint="eastAsia" w:ascii="宋体" w:hAnsi="宋体"/>
          <w:color w:val="auto"/>
          <w:sz w:val="24"/>
        </w:rPr>
        <w:t>协议</w:t>
      </w:r>
    </w:p>
    <w:p w14:paraId="29B32749">
      <w:pPr>
        <w:spacing w:before="120" w:line="480" w:lineRule="exact"/>
        <w:ind w:firstLine="540"/>
        <w:rPr>
          <w:rFonts w:ascii="宋体" w:hAnsi="宋体"/>
          <w:color w:val="auto"/>
          <w:sz w:val="24"/>
        </w:rPr>
      </w:pPr>
      <w:r>
        <w:rPr>
          <w:rFonts w:hint="eastAsia" w:ascii="宋体" w:hAnsi="宋体"/>
          <w:color w:val="auto"/>
          <w:sz w:val="24"/>
        </w:rPr>
        <w:t>d.</w:t>
      </w:r>
      <w:r>
        <w:rPr>
          <w:rFonts w:hint="eastAsia" w:ascii="宋体" w:hAnsi="宋体"/>
          <w:color w:val="auto"/>
          <w:sz w:val="24"/>
        </w:rPr>
        <w:tab/>
      </w:r>
      <w:r>
        <w:rPr>
          <w:rFonts w:hint="eastAsia" w:ascii="宋体" w:hAnsi="宋体"/>
          <w:color w:val="auto"/>
          <w:sz w:val="24"/>
        </w:rPr>
        <w:t>投标文件</w:t>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(含澄清文件)</w:t>
      </w:r>
    </w:p>
    <w:p w14:paraId="6F60C718">
      <w:pPr>
        <w:spacing w:before="120" w:line="480" w:lineRule="exact"/>
        <w:ind w:firstLine="540"/>
        <w:rPr>
          <w:rFonts w:ascii="宋体" w:hAnsi="宋体"/>
          <w:color w:val="auto"/>
          <w:sz w:val="24"/>
        </w:rPr>
      </w:pPr>
      <w:r>
        <w:rPr>
          <w:rFonts w:hint="eastAsia" w:ascii="宋体" w:hAnsi="宋体"/>
          <w:color w:val="auto"/>
          <w:sz w:val="24"/>
        </w:rPr>
        <w:t>e.</w:t>
      </w:r>
      <w:r>
        <w:rPr>
          <w:rFonts w:hint="eastAsia" w:ascii="宋体" w:hAnsi="宋体"/>
          <w:color w:val="auto"/>
          <w:sz w:val="24"/>
        </w:rPr>
        <w:tab/>
      </w:r>
      <w:r>
        <w:rPr>
          <w:rFonts w:hint="eastAsia" w:ascii="宋体" w:hAnsi="宋体"/>
          <w:color w:val="auto"/>
          <w:sz w:val="24"/>
        </w:rPr>
        <w:t>招标文件</w:t>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(含招标文件补充通知)</w:t>
      </w:r>
    </w:p>
    <w:p w14:paraId="78B1BB44">
      <w:pPr>
        <w:spacing w:before="240" w:line="480" w:lineRule="exact"/>
        <w:rPr>
          <w:rFonts w:ascii="宋体" w:hAnsi="宋体"/>
          <w:b/>
          <w:color w:val="auto"/>
          <w:sz w:val="24"/>
        </w:rPr>
      </w:pPr>
      <w:r>
        <w:rPr>
          <w:rFonts w:hint="eastAsia" w:ascii="宋体" w:hAnsi="宋体"/>
          <w:b/>
          <w:color w:val="auto"/>
          <w:sz w:val="24"/>
        </w:rPr>
        <w:t>2、货物和数量</w:t>
      </w:r>
    </w:p>
    <w:p w14:paraId="331DC81A">
      <w:pPr>
        <w:spacing w:before="120" w:line="480" w:lineRule="exact"/>
        <w:ind w:firstLine="454"/>
        <w:rPr>
          <w:rFonts w:ascii="宋体" w:hAnsi="宋体"/>
          <w:color w:val="auto"/>
          <w:sz w:val="24"/>
        </w:rPr>
      </w:pPr>
      <w:r>
        <w:rPr>
          <w:rFonts w:hint="eastAsia" w:ascii="宋体" w:hAnsi="宋体"/>
          <w:color w:val="auto"/>
          <w:sz w:val="24"/>
        </w:rPr>
        <w:t>本合同货物/服务：</w:t>
      </w:r>
      <w:r>
        <w:rPr>
          <w:rFonts w:hint="eastAsia" w:ascii="宋体" w:hAnsi="宋体"/>
          <w:color w:val="auto"/>
          <w:sz w:val="24"/>
          <w:u w:val="single"/>
        </w:rPr>
        <w:t>　　　　　　　　　　　　</w:t>
      </w:r>
    </w:p>
    <w:p w14:paraId="06D340EA">
      <w:pPr>
        <w:spacing w:before="120" w:line="480" w:lineRule="exact"/>
        <w:ind w:firstLine="454"/>
        <w:rPr>
          <w:rFonts w:ascii="宋体" w:hAnsi="宋体"/>
          <w:color w:val="auto"/>
          <w:sz w:val="24"/>
        </w:rPr>
      </w:pPr>
      <w:r>
        <w:rPr>
          <w:rFonts w:hint="eastAsia" w:ascii="宋体" w:hAnsi="宋体"/>
          <w:color w:val="auto"/>
          <w:sz w:val="24"/>
        </w:rPr>
        <w:t>数量：</w:t>
      </w:r>
      <w:r>
        <w:rPr>
          <w:rFonts w:hint="eastAsia" w:ascii="宋体" w:hAnsi="宋体"/>
          <w:color w:val="auto"/>
          <w:sz w:val="24"/>
          <w:u w:val="single"/>
        </w:rPr>
        <w:t>　　　　　　　　　　　　　　　</w:t>
      </w:r>
    </w:p>
    <w:p w14:paraId="0CBBF881">
      <w:pPr>
        <w:spacing w:before="240" w:line="480" w:lineRule="exact"/>
        <w:rPr>
          <w:rFonts w:ascii="宋体" w:hAnsi="宋体"/>
          <w:b/>
          <w:color w:val="auto"/>
          <w:sz w:val="24"/>
        </w:rPr>
      </w:pPr>
      <w:r>
        <w:rPr>
          <w:rFonts w:hint="eastAsia" w:ascii="宋体" w:hAnsi="宋体"/>
          <w:b/>
          <w:color w:val="auto"/>
          <w:sz w:val="24"/>
        </w:rPr>
        <w:t>3、合同总金额</w:t>
      </w:r>
    </w:p>
    <w:p w14:paraId="0780292E">
      <w:pPr>
        <w:spacing w:before="120" w:line="480" w:lineRule="exact"/>
        <w:ind w:firstLine="454"/>
        <w:rPr>
          <w:rFonts w:ascii="宋体" w:hAnsi="宋体"/>
          <w:color w:val="auto"/>
          <w:sz w:val="24"/>
        </w:rPr>
      </w:pPr>
      <w:r>
        <w:rPr>
          <w:rFonts w:hint="eastAsia" w:ascii="宋体" w:hAnsi="宋体"/>
          <w:color w:val="auto"/>
          <w:sz w:val="24"/>
        </w:rPr>
        <w:t>本合同总金额为</w:t>
      </w:r>
      <w:r>
        <w:rPr>
          <w:rFonts w:hint="eastAsia" w:ascii="宋体" w:hAnsi="宋体"/>
          <w:color w:val="auto"/>
          <w:sz w:val="24"/>
          <w:u w:val="single"/>
        </w:rPr>
        <w:t xml:space="preserve">    　　   </w:t>
      </w:r>
      <w:r>
        <w:rPr>
          <w:rFonts w:hint="eastAsia" w:ascii="宋体" w:hAnsi="宋体"/>
          <w:color w:val="auto"/>
          <w:sz w:val="24"/>
        </w:rPr>
        <w:t>元人民币。</w:t>
      </w:r>
    </w:p>
    <w:p w14:paraId="156C3EE2">
      <w:pPr>
        <w:spacing w:before="120" w:line="480" w:lineRule="exact"/>
        <w:ind w:firstLine="454"/>
        <w:rPr>
          <w:rFonts w:ascii="宋体" w:hAnsi="宋体"/>
          <w:color w:val="auto"/>
          <w:sz w:val="24"/>
          <w:u w:val="single"/>
        </w:rPr>
      </w:pPr>
      <w:r>
        <w:rPr>
          <w:rFonts w:hint="eastAsia" w:ascii="宋体" w:hAnsi="宋体"/>
          <w:color w:val="auto"/>
          <w:sz w:val="24"/>
        </w:rPr>
        <w:t>分项价格：</w:t>
      </w:r>
      <w:r>
        <w:rPr>
          <w:rFonts w:hint="eastAsia" w:ascii="宋体" w:hAnsi="宋体"/>
          <w:color w:val="auto"/>
          <w:sz w:val="24"/>
          <w:u w:val="single"/>
        </w:rPr>
        <w:t>　　　　　　　　　　　　</w:t>
      </w:r>
    </w:p>
    <w:p w14:paraId="19EC92D1">
      <w:pPr>
        <w:spacing w:before="240" w:line="480" w:lineRule="exact"/>
        <w:rPr>
          <w:rFonts w:ascii="宋体" w:hAnsi="宋体"/>
          <w:b/>
          <w:color w:val="auto"/>
          <w:sz w:val="24"/>
        </w:rPr>
      </w:pPr>
      <w:r>
        <w:rPr>
          <w:rFonts w:hint="eastAsia" w:ascii="宋体" w:hAnsi="宋体"/>
          <w:b/>
          <w:color w:val="auto"/>
          <w:sz w:val="24"/>
        </w:rPr>
        <w:t>4、付款方式</w:t>
      </w:r>
    </w:p>
    <w:p w14:paraId="06350F75">
      <w:pPr>
        <w:spacing w:before="120" w:line="480" w:lineRule="exact"/>
        <w:ind w:firstLine="480"/>
        <w:rPr>
          <w:rFonts w:ascii="宋体" w:hAnsi="宋体"/>
          <w:color w:val="auto"/>
          <w:sz w:val="24"/>
        </w:rPr>
      </w:pPr>
      <w:r>
        <w:rPr>
          <w:rFonts w:hint="eastAsia" w:ascii="宋体" w:hAnsi="宋体"/>
          <w:color w:val="auto"/>
          <w:sz w:val="24"/>
        </w:rPr>
        <w:t>本合同的付款方式为：</w:t>
      </w:r>
      <w:r>
        <w:rPr>
          <w:rFonts w:hint="eastAsia" w:ascii="宋体" w:hAnsi="宋体"/>
          <w:color w:val="auto"/>
          <w:sz w:val="24"/>
          <w:u w:val="single"/>
        </w:rPr>
        <w:t>　　　　　　　　　　　　　　　</w:t>
      </w:r>
    </w:p>
    <w:p w14:paraId="1A0705E0">
      <w:pPr>
        <w:spacing w:before="240" w:line="480" w:lineRule="exact"/>
        <w:rPr>
          <w:rFonts w:ascii="宋体" w:hAnsi="宋体"/>
          <w:b/>
          <w:color w:val="auto"/>
          <w:sz w:val="24"/>
        </w:rPr>
      </w:pPr>
      <w:r>
        <w:rPr>
          <w:rFonts w:hint="eastAsia" w:ascii="宋体" w:hAnsi="宋体"/>
          <w:b/>
          <w:color w:val="auto"/>
          <w:sz w:val="24"/>
        </w:rPr>
        <w:t>5、本合同货物服务的交货（实施）时间及交货（实施）地点</w:t>
      </w:r>
    </w:p>
    <w:p w14:paraId="007395E6">
      <w:pPr>
        <w:spacing w:before="120" w:line="480" w:lineRule="exact"/>
        <w:ind w:firstLine="480"/>
        <w:rPr>
          <w:rFonts w:ascii="宋体" w:hAnsi="宋体"/>
          <w:color w:val="auto"/>
          <w:sz w:val="24"/>
        </w:rPr>
      </w:pPr>
      <w:r>
        <w:rPr>
          <w:rFonts w:hint="eastAsia" w:ascii="宋体" w:hAnsi="宋体"/>
          <w:color w:val="auto"/>
          <w:sz w:val="24"/>
        </w:rPr>
        <w:t>交货（实施）时间：</w:t>
      </w:r>
      <w:r>
        <w:rPr>
          <w:rFonts w:hint="eastAsia" w:ascii="宋体" w:hAnsi="宋体"/>
          <w:color w:val="auto"/>
          <w:sz w:val="24"/>
          <w:u w:val="single"/>
        </w:rPr>
        <w:t>　　　　　　　　　　　　　　　　</w:t>
      </w:r>
    </w:p>
    <w:p w14:paraId="7E681035">
      <w:pPr>
        <w:spacing w:before="120" w:line="480" w:lineRule="exact"/>
        <w:ind w:firstLine="480"/>
        <w:rPr>
          <w:rFonts w:ascii="宋体" w:hAnsi="宋体"/>
          <w:color w:val="auto"/>
          <w:sz w:val="24"/>
        </w:rPr>
      </w:pPr>
      <w:r>
        <w:rPr>
          <w:rFonts w:hint="eastAsia" w:ascii="宋体" w:hAnsi="宋体"/>
          <w:color w:val="auto"/>
          <w:sz w:val="24"/>
        </w:rPr>
        <w:t>交货（实施）地点：</w:t>
      </w:r>
      <w:r>
        <w:rPr>
          <w:rFonts w:hint="eastAsia" w:ascii="宋体" w:hAnsi="宋体"/>
          <w:color w:val="auto"/>
          <w:sz w:val="24"/>
          <w:u w:val="single"/>
        </w:rPr>
        <w:t>　　　　　　　　　　　　　　　　</w:t>
      </w:r>
    </w:p>
    <w:p w14:paraId="5A1EC72F">
      <w:pPr>
        <w:spacing w:before="240" w:line="480" w:lineRule="exact"/>
        <w:rPr>
          <w:rFonts w:ascii="宋体" w:hAnsi="宋体"/>
          <w:b/>
          <w:color w:val="auto"/>
          <w:sz w:val="24"/>
        </w:rPr>
      </w:pPr>
      <w:r>
        <w:rPr>
          <w:rFonts w:hint="eastAsia" w:ascii="宋体" w:hAnsi="宋体"/>
          <w:b/>
          <w:color w:val="auto"/>
          <w:sz w:val="24"/>
        </w:rPr>
        <w:t>6、合同的生效。</w:t>
      </w:r>
    </w:p>
    <w:p w14:paraId="2FCBEAEE">
      <w:pPr>
        <w:spacing w:before="120" w:line="480" w:lineRule="exact"/>
        <w:ind w:firstLine="454"/>
        <w:rPr>
          <w:rFonts w:ascii="宋体" w:hAnsi="宋体"/>
          <w:color w:val="auto"/>
          <w:sz w:val="24"/>
        </w:rPr>
      </w:pPr>
      <w:r>
        <w:rPr>
          <w:rFonts w:hint="eastAsia" w:ascii="宋体" w:hAnsi="宋体"/>
          <w:color w:val="auto"/>
          <w:sz w:val="24"/>
        </w:rPr>
        <w:t>本合同经双方全权代表签署、加盖单位印章生效。</w:t>
      </w:r>
    </w:p>
    <w:p w14:paraId="4C5F74F7">
      <w:pPr>
        <w:spacing w:before="120" w:line="360" w:lineRule="auto"/>
        <w:rPr>
          <w:rFonts w:hint="eastAsia" w:ascii="宋体" w:hAnsi="宋体"/>
          <w:color w:val="auto"/>
          <w:sz w:val="24"/>
        </w:rPr>
      </w:pPr>
    </w:p>
    <w:p w14:paraId="2120AE98">
      <w:pPr>
        <w:spacing w:before="120" w:line="360" w:lineRule="auto"/>
        <w:rPr>
          <w:rFonts w:ascii="宋体" w:hAnsi="宋体"/>
          <w:color w:val="auto"/>
          <w:sz w:val="24"/>
          <w:u w:val="single"/>
        </w:rPr>
      </w:pPr>
      <w:r>
        <w:rPr>
          <w:rFonts w:hint="eastAsia" w:ascii="宋体" w:hAnsi="宋体"/>
          <w:color w:val="auto"/>
          <w:sz w:val="24"/>
        </w:rPr>
        <w:t>　　买　方：</w:t>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卖　方：</w:t>
      </w:r>
    </w:p>
    <w:p w14:paraId="6EF089C4">
      <w:pPr>
        <w:spacing w:before="120" w:line="360" w:lineRule="auto"/>
        <w:rPr>
          <w:rFonts w:ascii="宋体" w:hAnsi="宋体"/>
          <w:color w:val="auto"/>
          <w:sz w:val="24"/>
        </w:rPr>
      </w:pPr>
    </w:p>
    <w:p w14:paraId="1A2AE43B">
      <w:pPr>
        <w:spacing w:before="120" w:line="360" w:lineRule="auto"/>
        <w:rPr>
          <w:rFonts w:ascii="宋体" w:hAnsi="宋体"/>
          <w:color w:val="auto"/>
          <w:sz w:val="24"/>
        </w:rPr>
      </w:pPr>
      <w:r>
        <w:rPr>
          <w:rFonts w:hint="eastAsia" w:ascii="宋体" w:hAnsi="宋体"/>
          <w:color w:val="auto"/>
          <w:sz w:val="24"/>
        </w:rPr>
        <w:t>　　名　称：(印章)　　　　　　　　　名　称：(印章)</w:t>
      </w:r>
    </w:p>
    <w:p w14:paraId="07E3EF36">
      <w:pPr>
        <w:spacing w:before="120" w:line="360" w:lineRule="auto"/>
        <w:rPr>
          <w:rFonts w:ascii="宋体" w:hAnsi="宋体"/>
          <w:color w:val="auto"/>
          <w:sz w:val="24"/>
        </w:rPr>
      </w:pPr>
    </w:p>
    <w:p w14:paraId="765BBDE4">
      <w:pPr>
        <w:spacing w:before="120" w:line="360" w:lineRule="auto"/>
        <w:ind w:firstLine="480" w:firstLineChars="200"/>
        <w:rPr>
          <w:rFonts w:ascii="宋体" w:hAnsi="宋体"/>
          <w:color w:val="auto"/>
          <w:sz w:val="24"/>
        </w:rPr>
      </w:pPr>
      <w:r>
        <w:rPr>
          <w:rFonts w:hint="eastAsia" w:ascii="宋体" w:hAnsi="宋体"/>
          <w:color w:val="auto"/>
          <w:sz w:val="24"/>
        </w:rPr>
        <w:t>年　月　日　　　　　　　　　　　年　月　日</w:t>
      </w:r>
    </w:p>
    <w:p w14:paraId="69E475F7">
      <w:pPr>
        <w:spacing w:before="120" w:line="360" w:lineRule="auto"/>
        <w:rPr>
          <w:rFonts w:ascii="宋体" w:hAnsi="宋体"/>
          <w:color w:val="auto"/>
          <w:sz w:val="24"/>
        </w:rPr>
      </w:pPr>
    </w:p>
    <w:p w14:paraId="1B37FFC4">
      <w:pPr>
        <w:spacing w:before="120" w:line="360" w:lineRule="auto"/>
        <w:rPr>
          <w:rFonts w:ascii="宋体" w:hAnsi="宋体"/>
          <w:color w:val="auto"/>
          <w:sz w:val="24"/>
          <w:u w:val="single"/>
        </w:rPr>
      </w:pPr>
      <w:r>
        <w:rPr>
          <w:rFonts w:hint="eastAsia" w:ascii="宋体" w:hAnsi="宋体"/>
          <w:color w:val="auto"/>
          <w:sz w:val="24"/>
        </w:rPr>
        <w:t>　　授权代表(签字)：</w:t>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 xml:space="preserve">       </w:t>
      </w:r>
      <w:r>
        <w:rPr>
          <w:rFonts w:hint="eastAsia" w:ascii="宋体" w:hAnsi="宋体"/>
          <w:color w:val="auto"/>
          <w:sz w:val="24"/>
        </w:rPr>
        <w:tab/>
      </w:r>
      <w:r>
        <w:rPr>
          <w:rFonts w:hint="eastAsia" w:ascii="宋体" w:hAnsi="宋体"/>
          <w:color w:val="auto"/>
          <w:sz w:val="24"/>
        </w:rPr>
        <w:t>授权代表(签字)：</w:t>
      </w:r>
    </w:p>
    <w:p w14:paraId="2D028274">
      <w:pPr>
        <w:spacing w:before="120" w:line="360" w:lineRule="auto"/>
        <w:rPr>
          <w:rFonts w:ascii="宋体" w:hAnsi="宋体"/>
          <w:color w:val="auto"/>
          <w:sz w:val="24"/>
          <w:u w:val="single"/>
        </w:rPr>
      </w:pPr>
      <w:r>
        <w:rPr>
          <w:rFonts w:hint="eastAsia" w:ascii="宋体" w:hAnsi="宋体"/>
          <w:color w:val="auto"/>
          <w:sz w:val="24"/>
        </w:rPr>
        <w:t>　　地　　址：</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地　　址：</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p>
    <w:p w14:paraId="262FD519">
      <w:pPr>
        <w:spacing w:before="120" w:line="360" w:lineRule="auto"/>
        <w:rPr>
          <w:rFonts w:ascii="宋体" w:hAnsi="宋体"/>
          <w:color w:val="auto"/>
          <w:sz w:val="24"/>
          <w:u w:val="single"/>
        </w:rPr>
      </w:pPr>
      <w:r>
        <w:rPr>
          <w:rFonts w:hint="eastAsia" w:ascii="宋体" w:hAnsi="宋体"/>
          <w:color w:val="auto"/>
          <w:sz w:val="24"/>
        </w:rPr>
        <w:t>　　邮政编码：</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邮政编码：</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p>
    <w:p w14:paraId="54E56E35">
      <w:pPr>
        <w:spacing w:before="120" w:line="360" w:lineRule="auto"/>
        <w:rPr>
          <w:rFonts w:ascii="宋体" w:hAnsi="宋体"/>
          <w:color w:val="auto"/>
          <w:sz w:val="24"/>
          <w:u w:val="single"/>
        </w:rPr>
      </w:pPr>
      <w:r>
        <w:rPr>
          <w:rFonts w:hint="eastAsia" w:ascii="宋体" w:hAnsi="宋体"/>
          <w:color w:val="auto"/>
          <w:sz w:val="24"/>
        </w:rPr>
        <w:t>　　电　　话：</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电　　话：</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p>
    <w:p w14:paraId="0ADF3495">
      <w:pPr>
        <w:spacing w:before="120" w:line="360" w:lineRule="auto"/>
        <w:rPr>
          <w:rFonts w:ascii="宋体" w:hAnsi="宋体"/>
          <w:color w:val="auto"/>
          <w:sz w:val="24"/>
          <w:u w:val="single"/>
        </w:rPr>
      </w:pPr>
      <w:r>
        <w:rPr>
          <w:rFonts w:hint="eastAsia" w:ascii="宋体" w:hAnsi="宋体"/>
          <w:color w:val="auto"/>
          <w:sz w:val="24"/>
        </w:rPr>
        <w:t>　　开户银行：</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开户银行：</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p>
    <w:p w14:paraId="3A43B64F">
      <w:pPr>
        <w:spacing w:line="360" w:lineRule="auto"/>
        <w:rPr>
          <w:rFonts w:hint="eastAsia" w:ascii="宋体" w:hAnsi="宋体"/>
          <w:b/>
          <w:bCs/>
          <w:color w:val="auto"/>
          <w:sz w:val="28"/>
          <w:szCs w:val="28"/>
        </w:rPr>
      </w:pPr>
      <w:r>
        <w:rPr>
          <w:rFonts w:hint="eastAsia" w:ascii="宋体" w:hAnsi="宋体"/>
          <w:color w:val="auto"/>
          <w:sz w:val="24"/>
        </w:rPr>
        <w:t>　　帐　　号：</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帐　　号：</w:t>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r>
        <w:rPr>
          <w:rFonts w:hint="eastAsia" w:ascii="宋体" w:hAnsi="宋体"/>
          <w:color w:val="auto"/>
          <w:sz w:val="24"/>
          <w:u w:val="single"/>
        </w:rPr>
        <w:tab/>
      </w:r>
    </w:p>
    <w:p w14:paraId="712E95DA">
      <w:pPr>
        <w:spacing w:line="360" w:lineRule="auto"/>
        <w:rPr>
          <w:rFonts w:hint="eastAsia" w:ascii="宋体" w:hAnsi="宋体"/>
          <w:b/>
          <w:bCs/>
          <w:color w:val="auto"/>
          <w:sz w:val="28"/>
          <w:szCs w:val="28"/>
        </w:rPr>
      </w:pPr>
      <w:r>
        <w:rPr>
          <w:rFonts w:hint="eastAsia" w:ascii="宋体" w:hAnsi="宋体"/>
          <w:b/>
          <w:bCs/>
          <w:color w:val="auto"/>
          <w:sz w:val="28"/>
          <w:szCs w:val="28"/>
        </w:rPr>
        <w:br w:type="page"/>
      </w:r>
      <w:r>
        <w:rPr>
          <w:rFonts w:hint="eastAsia" w:ascii="宋体" w:hAnsi="宋体"/>
          <w:b/>
          <w:bCs/>
          <w:color w:val="auto"/>
          <w:sz w:val="28"/>
          <w:szCs w:val="28"/>
        </w:rPr>
        <w:t>合同一般条款</w:t>
      </w:r>
    </w:p>
    <w:p w14:paraId="3C430DDD">
      <w:pPr>
        <w:pStyle w:val="5"/>
        <w:tabs>
          <w:tab w:val="left" w:pos="900"/>
        </w:tabs>
        <w:spacing w:line="360" w:lineRule="auto"/>
        <w:rPr>
          <w:rFonts w:hAnsi="宋体"/>
          <w:color w:val="auto"/>
          <w:szCs w:val="24"/>
        </w:rPr>
      </w:pPr>
      <w:bookmarkStart w:id="833" w:name="_Ref467378463"/>
      <w:bookmarkStart w:id="834" w:name="_Ref467379195"/>
      <w:bookmarkStart w:id="835" w:name="_Ref467378404"/>
      <w:bookmarkStart w:id="836" w:name="_Toc310195732"/>
      <w:bookmarkStart w:id="837" w:name="_Ref467379205"/>
      <w:bookmarkStart w:id="838" w:name="_Ref467379109"/>
      <w:bookmarkStart w:id="839" w:name="_Toc487900349"/>
      <w:bookmarkStart w:id="840" w:name="_Toc413930817"/>
      <w:bookmarkStart w:id="841" w:name="_Ref467379101"/>
      <w:bookmarkStart w:id="842" w:name="_Ref467379214"/>
      <w:bookmarkStart w:id="843" w:name="_Ref467379225"/>
      <w:bookmarkStart w:id="844" w:name="_Ref467378499"/>
      <w:bookmarkStart w:id="845" w:name="_Ref467379094"/>
      <w:bookmarkStart w:id="846" w:name="_Toc329875482"/>
      <w:bookmarkStart w:id="847" w:name="_Toc310521908"/>
      <w:r>
        <w:rPr>
          <w:rFonts w:hint="eastAsia" w:hAnsi="宋体"/>
          <w:color w:val="auto"/>
          <w:szCs w:val="24"/>
        </w:rPr>
        <w:t>1. 定义</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14:paraId="35C9B576">
      <w:pPr>
        <w:tabs>
          <w:tab w:val="left" w:pos="900"/>
        </w:tabs>
        <w:spacing w:line="360" w:lineRule="auto"/>
        <w:rPr>
          <w:rFonts w:ascii="宋体" w:hAnsi="宋体"/>
          <w:color w:val="auto"/>
          <w:sz w:val="24"/>
        </w:rPr>
      </w:pPr>
      <w:r>
        <w:rPr>
          <w:rFonts w:hint="eastAsia" w:ascii="宋体" w:hAnsi="宋体"/>
          <w:color w:val="auto"/>
          <w:sz w:val="24"/>
        </w:rPr>
        <w:t>本合同中的下列术语应解释为：</w:t>
      </w:r>
    </w:p>
    <w:p w14:paraId="5219644E">
      <w:pPr>
        <w:spacing w:before="120" w:line="360" w:lineRule="auto"/>
        <w:rPr>
          <w:rFonts w:ascii="宋体" w:hAnsi="宋体"/>
          <w:color w:val="auto"/>
          <w:sz w:val="24"/>
        </w:rPr>
      </w:pPr>
      <w:r>
        <w:rPr>
          <w:rFonts w:hint="eastAsia" w:ascii="宋体" w:hAnsi="宋体"/>
          <w:color w:val="auto"/>
          <w:sz w:val="24"/>
        </w:rPr>
        <w:t>1.1 “合同”系指买卖双方签署的、合同格式中载明的买卖双方所达成的协议，包括所有的附件、附录和构成合同的其它文件。</w:t>
      </w:r>
    </w:p>
    <w:p w14:paraId="34371599">
      <w:pPr>
        <w:spacing w:before="120" w:line="360" w:lineRule="auto"/>
        <w:rPr>
          <w:rFonts w:ascii="宋体" w:hAnsi="宋体"/>
          <w:color w:val="auto"/>
          <w:sz w:val="24"/>
        </w:rPr>
      </w:pPr>
      <w:r>
        <w:rPr>
          <w:rFonts w:hint="eastAsia" w:ascii="宋体" w:hAnsi="宋体"/>
          <w:color w:val="auto"/>
          <w:sz w:val="24"/>
        </w:rPr>
        <w:t>1.2 “合同价”系指根据合同约定，卖方在完全履行合同义务后买方应付给卖方的价格。</w:t>
      </w:r>
    </w:p>
    <w:p w14:paraId="3CDCB916">
      <w:pPr>
        <w:spacing w:before="120" w:line="360" w:lineRule="auto"/>
        <w:rPr>
          <w:rFonts w:ascii="宋体" w:hAnsi="宋体"/>
          <w:color w:val="auto"/>
          <w:sz w:val="24"/>
        </w:rPr>
      </w:pPr>
      <w:r>
        <w:rPr>
          <w:rFonts w:hint="eastAsia" w:ascii="宋体" w:hAnsi="宋体"/>
          <w:color w:val="auto"/>
          <w:sz w:val="24"/>
        </w:rPr>
        <w:t>1.3 “货物”系指卖方根据合同约定须向买方提供的一切设备、机械、仪表、备件、工具、手册等其它相关资料。</w:t>
      </w:r>
    </w:p>
    <w:p w14:paraId="053E4A77">
      <w:pPr>
        <w:spacing w:before="120" w:line="360" w:lineRule="auto"/>
        <w:rPr>
          <w:rFonts w:ascii="宋体" w:hAnsi="宋体"/>
          <w:color w:val="auto"/>
          <w:sz w:val="24"/>
        </w:rPr>
      </w:pPr>
      <w:r>
        <w:rPr>
          <w:rFonts w:hint="eastAsia" w:ascii="宋体" w:hAnsi="宋体"/>
          <w:color w:val="auto"/>
          <w:sz w:val="24"/>
        </w:rPr>
        <w:t>1.4 “服务”系指根据合同约定卖方承担与供货有关的辅助服务，如运输、保险、及安装、调试、提供技术援助、培训和其他类似的服务。</w:t>
      </w:r>
    </w:p>
    <w:p w14:paraId="5A67B048">
      <w:pPr>
        <w:spacing w:before="120" w:line="360" w:lineRule="auto"/>
        <w:rPr>
          <w:rFonts w:ascii="宋体" w:hAnsi="宋体"/>
          <w:color w:val="auto"/>
          <w:sz w:val="24"/>
        </w:rPr>
      </w:pPr>
      <w:bookmarkStart w:id="848" w:name="_Ref467378840"/>
      <w:r>
        <w:rPr>
          <w:rFonts w:hint="eastAsia" w:ascii="宋体" w:hAnsi="宋体"/>
          <w:color w:val="auto"/>
          <w:sz w:val="24"/>
        </w:rPr>
        <w:t>1.5 “买方”系指采购人或购买货物的单位。</w:t>
      </w:r>
      <w:bookmarkEnd w:id="848"/>
    </w:p>
    <w:p w14:paraId="50FCC2DC">
      <w:pPr>
        <w:spacing w:before="120" w:line="360" w:lineRule="auto"/>
        <w:rPr>
          <w:rFonts w:ascii="宋体" w:hAnsi="宋体"/>
          <w:color w:val="auto"/>
          <w:sz w:val="24"/>
        </w:rPr>
      </w:pPr>
      <w:bookmarkStart w:id="849" w:name="_Ref467379400"/>
      <w:r>
        <w:rPr>
          <w:rFonts w:hint="eastAsia" w:ascii="宋体" w:hAnsi="宋体"/>
          <w:color w:val="auto"/>
          <w:sz w:val="24"/>
        </w:rPr>
        <w:t>1.6 “卖方”系指根据合同约定提供货物及相关服务的投标人，即中标人。</w:t>
      </w:r>
      <w:bookmarkEnd w:id="849"/>
    </w:p>
    <w:p w14:paraId="1A9835BE">
      <w:pPr>
        <w:tabs>
          <w:tab w:val="left" w:pos="900"/>
        </w:tabs>
        <w:spacing w:before="120" w:line="360" w:lineRule="auto"/>
        <w:rPr>
          <w:rFonts w:ascii="宋体" w:hAnsi="宋体"/>
          <w:color w:val="auto"/>
          <w:sz w:val="24"/>
        </w:rPr>
      </w:pPr>
      <w:bookmarkStart w:id="850" w:name="_Ref467379436"/>
      <w:r>
        <w:rPr>
          <w:rFonts w:hint="eastAsia" w:ascii="宋体" w:hAnsi="宋体"/>
          <w:color w:val="auto"/>
          <w:sz w:val="24"/>
        </w:rPr>
        <w:t>1.7 “现场”系指合同约定货物将要运至和安装的地点。</w:t>
      </w:r>
      <w:bookmarkEnd w:id="850"/>
    </w:p>
    <w:p w14:paraId="2011099D">
      <w:pPr>
        <w:spacing w:before="120" w:line="360" w:lineRule="auto"/>
        <w:rPr>
          <w:rFonts w:ascii="宋体" w:hAnsi="宋体"/>
          <w:color w:val="auto"/>
          <w:sz w:val="24"/>
        </w:rPr>
      </w:pPr>
      <w:r>
        <w:rPr>
          <w:rFonts w:hint="eastAsia" w:ascii="宋体" w:hAnsi="宋体"/>
          <w:color w:val="auto"/>
          <w:sz w:val="24"/>
        </w:rPr>
        <w:t>1.8 “验收”系指合同双方依据强制性的国家技术质量规范和合同约定，确认合同项下的货物符合合同规定的活动。</w:t>
      </w:r>
    </w:p>
    <w:p w14:paraId="2F8DDB48">
      <w:pPr>
        <w:pStyle w:val="5"/>
        <w:spacing w:line="360" w:lineRule="auto"/>
        <w:rPr>
          <w:rFonts w:hAnsi="宋体"/>
          <w:color w:val="auto"/>
          <w:szCs w:val="24"/>
        </w:rPr>
      </w:pPr>
      <w:bookmarkStart w:id="851" w:name="_Toc329875483"/>
      <w:bookmarkStart w:id="852" w:name="_Toc413930818"/>
      <w:bookmarkStart w:id="853" w:name="_Toc310195733"/>
      <w:bookmarkStart w:id="854" w:name="_Toc487900350"/>
      <w:bookmarkStart w:id="855" w:name="_Toc310521909"/>
      <w:r>
        <w:rPr>
          <w:rFonts w:hint="eastAsia" w:hAnsi="宋体"/>
          <w:color w:val="auto"/>
          <w:szCs w:val="24"/>
        </w:rPr>
        <w:t>2．技术规范</w:t>
      </w:r>
      <w:bookmarkEnd w:id="851"/>
      <w:bookmarkEnd w:id="852"/>
      <w:bookmarkEnd w:id="853"/>
      <w:bookmarkEnd w:id="854"/>
      <w:bookmarkEnd w:id="855"/>
    </w:p>
    <w:p w14:paraId="2282F6D5">
      <w:pPr>
        <w:tabs>
          <w:tab w:val="left" w:pos="900"/>
        </w:tabs>
        <w:spacing w:before="120" w:line="360" w:lineRule="auto"/>
        <w:rPr>
          <w:rFonts w:ascii="宋体" w:hAnsi="宋体"/>
          <w:color w:val="auto"/>
          <w:sz w:val="24"/>
        </w:rPr>
      </w:pPr>
      <w:r>
        <w:rPr>
          <w:rFonts w:hint="eastAsia" w:ascii="宋体" w:hAnsi="宋体"/>
          <w:color w:val="auto"/>
          <w:sz w:val="24"/>
        </w:rPr>
        <w:t>2.1 提交货物的技术规范应与谈判文件规定的技术规范和技术规范附件(如果有的话)及其报价文件的技术规范偏差表(如果被买方接受的话)相一致。若技术规范中无相应说明，则以国家有关部门最新颁布的相应标准及规范为准。</w:t>
      </w:r>
    </w:p>
    <w:p w14:paraId="5653EC14">
      <w:pPr>
        <w:pStyle w:val="5"/>
        <w:spacing w:line="360" w:lineRule="auto"/>
        <w:rPr>
          <w:rFonts w:hAnsi="宋体"/>
          <w:color w:val="auto"/>
          <w:szCs w:val="24"/>
        </w:rPr>
      </w:pPr>
      <w:bookmarkStart w:id="856" w:name="_Toc413930819"/>
      <w:bookmarkStart w:id="857" w:name="_Toc487900351"/>
      <w:bookmarkStart w:id="858" w:name="_Toc310195734"/>
      <w:bookmarkStart w:id="859" w:name="_Toc310521910"/>
      <w:bookmarkStart w:id="860" w:name="_Toc329875484"/>
      <w:r>
        <w:rPr>
          <w:rFonts w:hint="eastAsia" w:hAnsi="宋体"/>
          <w:color w:val="auto"/>
          <w:szCs w:val="24"/>
        </w:rPr>
        <w:t>3. 知识产权</w:t>
      </w:r>
      <w:bookmarkEnd w:id="856"/>
      <w:bookmarkEnd w:id="857"/>
      <w:bookmarkEnd w:id="858"/>
      <w:bookmarkEnd w:id="859"/>
      <w:bookmarkEnd w:id="860"/>
    </w:p>
    <w:p w14:paraId="754F684E">
      <w:pPr>
        <w:spacing w:before="120" w:line="360" w:lineRule="auto"/>
        <w:rPr>
          <w:rFonts w:ascii="宋体" w:hAnsi="宋体"/>
          <w:color w:val="auto"/>
          <w:sz w:val="24"/>
        </w:rPr>
      </w:pPr>
      <w:r>
        <w:rPr>
          <w:rFonts w:hint="eastAsia" w:ascii="宋体" w:hAnsi="宋体"/>
          <w:color w:val="auto"/>
          <w:sz w:val="24"/>
        </w:rPr>
        <w:t>3.1 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582CD768">
      <w:pPr>
        <w:pStyle w:val="5"/>
        <w:spacing w:line="360" w:lineRule="auto"/>
        <w:rPr>
          <w:rFonts w:hAnsi="宋体"/>
          <w:color w:val="auto"/>
          <w:szCs w:val="24"/>
        </w:rPr>
      </w:pPr>
      <w:bookmarkStart w:id="861" w:name="_Toc310521911"/>
      <w:bookmarkStart w:id="862" w:name="_Toc310195735"/>
      <w:bookmarkStart w:id="863" w:name="_Toc329875485"/>
      <w:bookmarkStart w:id="864" w:name="_Toc487900352"/>
      <w:bookmarkStart w:id="865" w:name="_Toc413930820"/>
      <w:r>
        <w:rPr>
          <w:rFonts w:hint="eastAsia" w:hAnsi="宋体"/>
          <w:color w:val="auto"/>
          <w:szCs w:val="24"/>
        </w:rPr>
        <w:t>4. 包装要求</w:t>
      </w:r>
      <w:bookmarkEnd w:id="861"/>
      <w:bookmarkEnd w:id="862"/>
      <w:bookmarkEnd w:id="863"/>
      <w:bookmarkEnd w:id="864"/>
      <w:bookmarkEnd w:id="865"/>
    </w:p>
    <w:p w14:paraId="292969DF">
      <w:pPr>
        <w:spacing w:before="120" w:line="360" w:lineRule="auto"/>
        <w:rPr>
          <w:rFonts w:ascii="宋体" w:hAnsi="宋体"/>
          <w:color w:val="auto"/>
          <w:sz w:val="24"/>
        </w:rPr>
      </w:pPr>
      <w:r>
        <w:rPr>
          <w:rFonts w:hint="eastAsia" w:ascii="宋体" w:hAnsi="宋体"/>
          <w:color w:val="auto"/>
          <w:sz w:val="24"/>
        </w:rPr>
        <w:t>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7905E8CD">
      <w:pPr>
        <w:spacing w:before="120" w:line="360" w:lineRule="auto"/>
        <w:rPr>
          <w:rFonts w:ascii="宋体" w:hAnsi="宋体"/>
          <w:color w:val="auto"/>
          <w:sz w:val="24"/>
        </w:rPr>
      </w:pPr>
      <w:r>
        <w:rPr>
          <w:rFonts w:hint="eastAsia" w:ascii="宋体" w:hAnsi="宋体"/>
          <w:color w:val="auto"/>
          <w:sz w:val="24"/>
        </w:rPr>
        <w:t>4.2 每件包装箱内应附一份详细装箱单和质量合格证。</w:t>
      </w:r>
    </w:p>
    <w:p w14:paraId="74FCAF6A">
      <w:pPr>
        <w:pStyle w:val="5"/>
        <w:spacing w:line="360" w:lineRule="auto"/>
        <w:rPr>
          <w:rFonts w:hAnsi="宋体"/>
          <w:color w:val="auto"/>
          <w:szCs w:val="24"/>
        </w:rPr>
      </w:pPr>
      <w:bookmarkStart w:id="866" w:name="_Toc310521912"/>
      <w:bookmarkStart w:id="867" w:name="_Toc487900353"/>
      <w:bookmarkStart w:id="868" w:name="_Toc310195736"/>
      <w:bookmarkStart w:id="869" w:name="_Toc413930821"/>
      <w:bookmarkStart w:id="870" w:name="_Toc329875486"/>
      <w:r>
        <w:rPr>
          <w:rFonts w:hint="eastAsia" w:hAnsi="宋体"/>
          <w:color w:val="auto"/>
          <w:szCs w:val="24"/>
        </w:rPr>
        <w:t>5. 装运标志</w:t>
      </w:r>
      <w:bookmarkEnd w:id="866"/>
      <w:bookmarkEnd w:id="867"/>
      <w:bookmarkEnd w:id="868"/>
      <w:bookmarkEnd w:id="869"/>
      <w:bookmarkEnd w:id="870"/>
    </w:p>
    <w:p w14:paraId="7B05DD87">
      <w:pPr>
        <w:spacing w:before="120" w:line="360" w:lineRule="auto"/>
        <w:ind w:left="720" w:hanging="720"/>
        <w:rPr>
          <w:rFonts w:ascii="宋体" w:hAnsi="宋体"/>
          <w:color w:val="auto"/>
          <w:sz w:val="24"/>
        </w:rPr>
      </w:pPr>
      <w:r>
        <w:rPr>
          <w:rFonts w:hint="eastAsia" w:ascii="宋体" w:hAnsi="宋体"/>
          <w:color w:val="auto"/>
          <w:sz w:val="24"/>
        </w:rPr>
        <w:t>5.1 卖方应在每一包装箱的四侧用不褪色的油漆以醒目的中文字样做出下列标记：</w:t>
      </w:r>
    </w:p>
    <w:p w14:paraId="464D6E57">
      <w:pPr>
        <w:spacing w:line="360" w:lineRule="auto"/>
        <w:ind w:left="1276"/>
        <w:rPr>
          <w:rFonts w:ascii="宋体" w:hAnsi="宋体"/>
          <w:color w:val="auto"/>
          <w:sz w:val="24"/>
        </w:rPr>
      </w:pPr>
      <w:r>
        <w:rPr>
          <w:rFonts w:hint="eastAsia" w:ascii="宋体" w:hAnsi="宋体"/>
          <w:color w:val="auto"/>
          <w:sz w:val="24"/>
        </w:rPr>
        <w:t>收货人：</w:t>
      </w:r>
    </w:p>
    <w:p w14:paraId="3670004A">
      <w:pPr>
        <w:spacing w:line="360" w:lineRule="auto"/>
        <w:ind w:left="1276"/>
        <w:rPr>
          <w:rFonts w:ascii="宋体" w:hAnsi="宋体"/>
          <w:color w:val="auto"/>
          <w:sz w:val="24"/>
        </w:rPr>
      </w:pPr>
      <w:r>
        <w:rPr>
          <w:rFonts w:hint="eastAsia" w:ascii="宋体" w:hAnsi="宋体"/>
          <w:color w:val="auto"/>
          <w:sz w:val="24"/>
        </w:rPr>
        <w:t>合同号：</w:t>
      </w:r>
    </w:p>
    <w:p w14:paraId="0167D53D">
      <w:pPr>
        <w:spacing w:line="360" w:lineRule="auto"/>
        <w:ind w:left="1276"/>
        <w:rPr>
          <w:rFonts w:ascii="宋体" w:hAnsi="宋体"/>
          <w:color w:val="auto"/>
          <w:sz w:val="24"/>
        </w:rPr>
      </w:pPr>
      <w:r>
        <w:rPr>
          <w:rFonts w:hint="eastAsia" w:ascii="宋体" w:hAnsi="宋体"/>
          <w:color w:val="auto"/>
          <w:sz w:val="24"/>
        </w:rPr>
        <w:t>装运标志：</w:t>
      </w:r>
    </w:p>
    <w:p w14:paraId="7CDCA4E7">
      <w:pPr>
        <w:spacing w:line="360" w:lineRule="auto"/>
        <w:ind w:left="1276"/>
        <w:rPr>
          <w:rFonts w:ascii="宋体" w:hAnsi="宋体"/>
          <w:color w:val="auto"/>
          <w:sz w:val="24"/>
        </w:rPr>
      </w:pPr>
      <w:r>
        <w:rPr>
          <w:rFonts w:hint="eastAsia" w:ascii="宋体" w:hAnsi="宋体"/>
          <w:color w:val="auto"/>
          <w:sz w:val="24"/>
        </w:rPr>
        <w:t>收货人代号：</w:t>
      </w:r>
    </w:p>
    <w:p w14:paraId="593AEFB3">
      <w:pPr>
        <w:spacing w:line="360" w:lineRule="auto"/>
        <w:ind w:left="1276"/>
        <w:rPr>
          <w:rFonts w:ascii="宋体" w:hAnsi="宋体"/>
          <w:color w:val="auto"/>
          <w:sz w:val="24"/>
        </w:rPr>
      </w:pPr>
      <w:r>
        <w:rPr>
          <w:rFonts w:hint="eastAsia" w:ascii="宋体" w:hAnsi="宋体"/>
          <w:color w:val="auto"/>
          <w:sz w:val="24"/>
        </w:rPr>
        <w:t>目的地：</w:t>
      </w:r>
    </w:p>
    <w:p w14:paraId="68D2E576">
      <w:pPr>
        <w:spacing w:line="360" w:lineRule="auto"/>
        <w:ind w:left="1276"/>
        <w:rPr>
          <w:rFonts w:ascii="宋体" w:hAnsi="宋体"/>
          <w:color w:val="auto"/>
          <w:sz w:val="24"/>
        </w:rPr>
      </w:pPr>
      <w:r>
        <w:rPr>
          <w:rFonts w:hint="eastAsia" w:ascii="宋体" w:hAnsi="宋体"/>
          <w:color w:val="auto"/>
          <w:sz w:val="24"/>
        </w:rPr>
        <w:t>货物名称、品目号和箱号：</w:t>
      </w:r>
    </w:p>
    <w:p w14:paraId="7704019A">
      <w:pPr>
        <w:spacing w:line="360" w:lineRule="auto"/>
        <w:ind w:left="1276"/>
        <w:rPr>
          <w:rFonts w:ascii="宋体" w:hAnsi="宋体"/>
          <w:color w:val="auto"/>
          <w:sz w:val="24"/>
        </w:rPr>
      </w:pPr>
      <w:r>
        <w:rPr>
          <w:rFonts w:hint="eastAsia" w:ascii="宋体" w:hAnsi="宋体"/>
          <w:color w:val="auto"/>
          <w:sz w:val="24"/>
        </w:rPr>
        <w:t>毛重／净重：</w:t>
      </w:r>
    </w:p>
    <w:p w14:paraId="7C9C97A1">
      <w:pPr>
        <w:spacing w:line="360" w:lineRule="auto"/>
        <w:ind w:left="1276"/>
        <w:rPr>
          <w:rFonts w:ascii="宋体" w:hAnsi="宋体"/>
          <w:color w:val="auto"/>
          <w:sz w:val="24"/>
        </w:rPr>
      </w:pPr>
      <w:r>
        <w:rPr>
          <w:rFonts w:hint="eastAsia" w:ascii="宋体" w:hAnsi="宋体"/>
          <w:color w:val="auto"/>
          <w:sz w:val="24"/>
        </w:rPr>
        <w:t>尺寸(长×宽×高以厘米计)：</w:t>
      </w:r>
    </w:p>
    <w:p w14:paraId="6C3154CB">
      <w:pPr>
        <w:spacing w:before="120" w:line="360" w:lineRule="auto"/>
        <w:rPr>
          <w:rFonts w:ascii="宋体" w:hAnsi="宋体"/>
          <w:color w:val="auto"/>
          <w:sz w:val="24"/>
        </w:rPr>
      </w:pPr>
      <w:r>
        <w:rPr>
          <w:rFonts w:hint="eastAsia" w:ascii="宋体" w:hAnsi="宋体"/>
          <w:color w:val="auto"/>
          <w:sz w:val="24"/>
        </w:rPr>
        <w:t>5.2 如果货物单件重量在2吨或2吨以上，卖方应在每件包装箱的两侧用中文和适当的运输标记，标明“重心”和“吊装点”，以便装卸和搬运。根据货物的特点和运输的不同要求， 卖方应在包装箱上清楚地标有“小心轻放”、“防潮”、 “勿倒置”等字样和其他适当的标志。</w:t>
      </w:r>
    </w:p>
    <w:p w14:paraId="349CAF7C">
      <w:pPr>
        <w:pStyle w:val="5"/>
        <w:spacing w:line="360" w:lineRule="auto"/>
        <w:rPr>
          <w:rFonts w:hAnsi="宋体"/>
          <w:color w:val="auto"/>
          <w:szCs w:val="24"/>
        </w:rPr>
      </w:pPr>
      <w:bookmarkStart w:id="871" w:name="_Toc310521913"/>
      <w:bookmarkStart w:id="872" w:name="_Toc487900354"/>
      <w:bookmarkStart w:id="873" w:name="_Ref467378541"/>
      <w:bookmarkStart w:id="874" w:name="_Ref467378591"/>
      <w:bookmarkStart w:id="875" w:name="_Ref467379536"/>
      <w:bookmarkStart w:id="876" w:name="_Toc310195737"/>
      <w:bookmarkStart w:id="877" w:name="_Ref467379527"/>
      <w:bookmarkStart w:id="878" w:name="_Toc413930822"/>
      <w:bookmarkStart w:id="879" w:name="_Ref467379542"/>
      <w:bookmarkStart w:id="880" w:name="_Toc329875487"/>
      <w:r>
        <w:rPr>
          <w:rFonts w:hint="eastAsia" w:hAnsi="宋体"/>
          <w:color w:val="auto"/>
          <w:szCs w:val="24"/>
        </w:rPr>
        <w:t>6. 交货方式</w:t>
      </w:r>
      <w:bookmarkEnd w:id="871"/>
      <w:bookmarkEnd w:id="872"/>
      <w:bookmarkEnd w:id="873"/>
      <w:bookmarkEnd w:id="874"/>
      <w:bookmarkEnd w:id="875"/>
      <w:bookmarkEnd w:id="876"/>
      <w:bookmarkEnd w:id="877"/>
      <w:bookmarkEnd w:id="878"/>
      <w:bookmarkEnd w:id="879"/>
      <w:bookmarkEnd w:id="880"/>
    </w:p>
    <w:p w14:paraId="4ECF9805">
      <w:pPr>
        <w:spacing w:before="120" w:line="360" w:lineRule="auto"/>
        <w:rPr>
          <w:rFonts w:ascii="宋体" w:hAnsi="宋体"/>
          <w:color w:val="auto"/>
          <w:sz w:val="24"/>
        </w:rPr>
      </w:pPr>
      <w:bookmarkStart w:id="881" w:name="_Ref467379657"/>
      <w:r>
        <w:rPr>
          <w:rFonts w:hint="eastAsia" w:ascii="宋体" w:hAnsi="宋体"/>
          <w:color w:val="auto"/>
          <w:sz w:val="24"/>
        </w:rPr>
        <w:t>6.1 交货方式一般为下列其中一种，具体在合同特殊条款中规定。</w:t>
      </w:r>
      <w:bookmarkEnd w:id="881"/>
    </w:p>
    <w:p w14:paraId="436A9588">
      <w:pPr>
        <w:spacing w:before="120" w:line="360" w:lineRule="auto"/>
        <w:rPr>
          <w:rFonts w:ascii="宋体" w:hAnsi="宋体"/>
          <w:color w:val="auto"/>
          <w:sz w:val="24"/>
        </w:rPr>
      </w:pPr>
      <w:r>
        <w:rPr>
          <w:rFonts w:hint="eastAsia" w:ascii="宋体" w:hAnsi="宋体"/>
          <w:color w:val="auto"/>
          <w:sz w:val="24"/>
        </w:rPr>
        <w:t>6.1.1 现场交货：卖方负责办理运输和保险，将货物运抵现场。有关运输和保险的一切费用由卖方承担。所有货物运抵现场的日期为交货日期。</w:t>
      </w:r>
    </w:p>
    <w:p w14:paraId="1A431B1B">
      <w:pPr>
        <w:spacing w:before="120" w:line="360" w:lineRule="auto"/>
        <w:rPr>
          <w:rFonts w:ascii="宋体" w:hAnsi="宋体"/>
          <w:color w:val="auto"/>
          <w:sz w:val="24"/>
        </w:rPr>
      </w:pPr>
      <w:r>
        <w:rPr>
          <w:rFonts w:hint="eastAsia" w:ascii="宋体" w:hAnsi="宋体"/>
          <w:color w:val="auto"/>
          <w:sz w:val="24"/>
        </w:rPr>
        <w:t>6.1.2 工厂交货：由卖方负责代办运输和保险事宜。运输费和保险费由买方承担。运输部门出具收据的日期为交货日期。</w:t>
      </w:r>
    </w:p>
    <w:p w14:paraId="089E6947">
      <w:pPr>
        <w:spacing w:before="120" w:line="360" w:lineRule="auto"/>
        <w:ind w:left="960" w:hanging="960"/>
        <w:rPr>
          <w:rFonts w:ascii="宋体" w:hAnsi="宋体"/>
          <w:color w:val="auto"/>
          <w:sz w:val="24"/>
        </w:rPr>
      </w:pPr>
      <w:r>
        <w:rPr>
          <w:rFonts w:hint="eastAsia" w:ascii="宋体" w:hAnsi="宋体"/>
          <w:color w:val="auto"/>
          <w:sz w:val="24"/>
        </w:rPr>
        <w:t>6.1.3 买方自提货物：由买方在合同规定地点自行办理提货。提单日期为交货日期。</w:t>
      </w:r>
    </w:p>
    <w:p w14:paraId="63382186">
      <w:pPr>
        <w:spacing w:before="120" w:line="360" w:lineRule="auto"/>
        <w:ind w:left="2"/>
        <w:rPr>
          <w:rFonts w:ascii="宋体" w:hAnsi="宋体"/>
          <w:color w:val="auto"/>
          <w:sz w:val="24"/>
        </w:rPr>
      </w:pPr>
      <w:r>
        <w:rPr>
          <w:rFonts w:hint="eastAsia" w:ascii="宋体" w:hAnsi="宋体"/>
          <w:color w:val="auto"/>
          <w:sz w:val="24"/>
        </w:rPr>
        <w:t>6.2 卖方应在合同规定的交货期10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14:paraId="5B61DC34">
      <w:pPr>
        <w:tabs>
          <w:tab w:val="left" w:pos="0"/>
        </w:tabs>
        <w:spacing w:before="120" w:line="360" w:lineRule="auto"/>
        <w:rPr>
          <w:rFonts w:ascii="宋体" w:hAnsi="宋体"/>
          <w:color w:val="auto"/>
          <w:sz w:val="24"/>
        </w:rPr>
      </w:pPr>
      <w:r>
        <w:rPr>
          <w:rFonts w:hint="eastAsia" w:ascii="宋体" w:hAnsi="宋体"/>
          <w:color w:val="auto"/>
          <w:sz w:val="24"/>
        </w:rPr>
        <w:t>6.3 在现场交货和工厂交货条件下，卖方装运的货物不应超过合同规定的数量或重量。否则，卖方应对超运部分引起的一切后果负责。</w:t>
      </w:r>
    </w:p>
    <w:p w14:paraId="6577E8E4">
      <w:pPr>
        <w:pStyle w:val="5"/>
        <w:spacing w:line="360" w:lineRule="auto"/>
        <w:rPr>
          <w:rFonts w:hAnsi="宋体"/>
          <w:color w:val="auto"/>
          <w:szCs w:val="24"/>
        </w:rPr>
      </w:pPr>
      <w:bookmarkStart w:id="882" w:name="_Toc310521914"/>
      <w:bookmarkStart w:id="883" w:name="_Toc329875488"/>
      <w:bookmarkStart w:id="884" w:name="_Toc413930823"/>
      <w:bookmarkStart w:id="885" w:name="_Toc487900355"/>
      <w:bookmarkStart w:id="886" w:name="_Toc310195738"/>
      <w:r>
        <w:rPr>
          <w:rFonts w:hint="eastAsia" w:hAnsi="宋体"/>
          <w:color w:val="auto"/>
          <w:szCs w:val="24"/>
        </w:rPr>
        <w:t>7. 装运通知</w:t>
      </w:r>
      <w:bookmarkEnd w:id="882"/>
      <w:bookmarkEnd w:id="883"/>
      <w:bookmarkEnd w:id="884"/>
      <w:bookmarkEnd w:id="885"/>
      <w:bookmarkEnd w:id="886"/>
    </w:p>
    <w:p w14:paraId="056FE299">
      <w:pPr>
        <w:spacing w:before="120" w:line="360" w:lineRule="auto"/>
        <w:rPr>
          <w:rFonts w:ascii="宋体" w:hAnsi="宋体"/>
          <w:color w:val="auto"/>
          <w:sz w:val="24"/>
        </w:rPr>
      </w:pPr>
      <w:r>
        <w:rPr>
          <w:rFonts w:hint="eastAsia" w:ascii="宋体" w:hAnsi="宋体"/>
          <w:color w:val="auto"/>
          <w:sz w:val="24"/>
        </w:rPr>
        <w:t>7.1 在现场交货和工厂交货条件下的货物，在卖方已通知买方货物已备妥待运输后24小时之内，卖方应将合同号、货名、数量、毛重、总体积(立方米)、发票金额、运输工具名称及装运日期，以电报或传真通知买方。</w:t>
      </w:r>
    </w:p>
    <w:p w14:paraId="71509988">
      <w:pPr>
        <w:pStyle w:val="258"/>
        <w:spacing w:line="360" w:lineRule="auto"/>
        <w:ind w:left="0" w:firstLine="0"/>
        <w:rPr>
          <w:rFonts w:ascii="宋体" w:hAnsi="宋体"/>
          <w:color w:val="auto"/>
          <w:sz w:val="24"/>
          <w:szCs w:val="24"/>
        </w:rPr>
      </w:pPr>
      <w:r>
        <w:rPr>
          <w:rFonts w:hint="eastAsia" w:ascii="宋体" w:hAnsi="宋体"/>
          <w:color w:val="auto"/>
          <w:sz w:val="24"/>
          <w:szCs w:val="24"/>
        </w:rPr>
        <w:t>7.2 如因卖方延误将上述内容用电报或传真通知买方，由此引起的一切后果损失应由卖方负责。</w:t>
      </w:r>
    </w:p>
    <w:p w14:paraId="21C2C120">
      <w:pPr>
        <w:pStyle w:val="5"/>
        <w:spacing w:line="360" w:lineRule="auto"/>
        <w:rPr>
          <w:rFonts w:hAnsi="宋体"/>
          <w:color w:val="auto"/>
          <w:szCs w:val="24"/>
        </w:rPr>
      </w:pPr>
      <w:bookmarkStart w:id="887" w:name="_Toc487900356"/>
      <w:bookmarkStart w:id="888" w:name="_Toc310521915"/>
      <w:bookmarkStart w:id="889" w:name="_Toc310195739"/>
      <w:bookmarkStart w:id="890" w:name="_Toc329875489"/>
      <w:bookmarkStart w:id="891" w:name="_Toc413930824"/>
      <w:r>
        <w:rPr>
          <w:rFonts w:hint="eastAsia" w:hAnsi="宋体"/>
          <w:color w:val="auto"/>
          <w:szCs w:val="24"/>
        </w:rPr>
        <w:t>8. 保险</w:t>
      </w:r>
      <w:bookmarkEnd w:id="887"/>
      <w:bookmarkEnd w:id="888"/>
      <w:bookmarkEnd w:id="889"/>
      <w:bookmarkEnd w:id="890"/>
      <w:bookmarkEnd w:id="891"/>
    </w:p>
    <w:p w14:paraId="35BC9CCC">
      <w:pPr>
        <w:spacing w:before="120" w:line="360" w:lineRule="auto"/>
        <w:rPr>
          <w:rFonts w:ascii="宋体" w:hAnsi="宋体"/>
          <w:color w:val="auto"/>
          <w:sz w:val="24"/>
        </w:rPr>
      </w:pPr>
      <w:r>
        <w:rPr>
          <w:rFonts w:hint="eastAsia" w:ascii="宋体" w:hAnsi="宋体"/>
          <w:color w:val="auto"/>
          <w:sz w:val="24"/>
        </w:rPr>
        <w:t>8.1 如果货物是按现场交货方式或工厂交货方式报价的，由卖方办理保险，按照发票金额的100％办理“一切险”，保险范围包括卖方承诺装运的货物；如果货物是按买方自提货物方式报价的，其保险由买方办理。</w:t>
      </w:r>
    </w:p>
    <w:p w14:paraId="02D36CE2">
      <w:pPr>
        <w:pStyle w:val="5"/>
        <w:spacing w:line="360" w:lineRule="auto"/>
        <w:rPr>
          <w:rFonts w:hAnsi="宋体"/>
          <w:color w:val="auto"/>
          <w:szCs w:val="24"/>
        </w:rPr>
      </w:pPr>
      <w:bookmarkStart w:id="892" w:name="_Toc329875490"/>
      <w:bookmarkStart w:id="893" w:name="_Toc413930825"/>
      <w:bookmarkStart w:id="894" w:name="_Toc310195740"/>
      <w:bookmarkStart w:id="895" w:name="_Ref467379807"/>
      <w:bookmarkStart w:id="896" w:name="_Toc487900357"/>
      <w:bookmarkStart w:id="897" w:name="_Ref467379793"/>
      <w:bookmarkStart w:id="898" w:name="_Toc310521916"/>
      <w:r>
        <w:rPr>
          <w:rFonts w:hint="eastAsia" w:hAnsi="宋体"/>
          <w:color w:val="auto"/>
          <w:szCs w:val="24"/>
        </w:rPr>
        <w:t>9 付款条件</w:t>
      </w:r>
      <w:bookmarkEnd w:id="892"/>
      <w:bookmarkEnd w:id="893"/>
      <w:bookmarkEnd w:id="894"/>
      <w:bookmarkEnd w:id="895"/>
      <w:bookmarkEnd w:id="896"/>
      <w:bookmarkEnd w:id="897"/>
      <w:bookmarkEnd w:id="898"/>
    </w:p>
    <w:p w14:paraId="2A1F791C">
      <w:pPr>
        <w:spacing w:before="120" w:line="360" w:lineRule="auto"/>
        <w:rPr>
          <w:rFonts w:ascii="宋体" w:hAnsi="宋体"/>
          <w:color w:val="auto"/>
          <w:sz w:val="24"/>
        </w:rPr>
      </w:pPr>
      <w:r>
        <w:rPr>
          <w:rFonts w:hint="eastAsia" w:ascii="宋体" w:hAnsi="宋体"/>
          <w:color w:val="auto"/>
          <w:sz w:val="24"/>
        </w:rPr>
        <w:t>9.1</w:t>
      </w:r>
      <w:r>
        <w:rPr>
          <w:rFonts w:hint="eastAsia" w:ascii="宋体" w:hAnsi="宋体"/>
          <w:color w:val="auto"/>
          <w:sz w:val="24"/>
          <w:highlight w:val="none"/>
        </w:rPr>
        <w:t xml:space="preserve"> 付款条件见“合同专用条款”</w:t>
      </w:r>
      <w:r>
        <w:rPr>
          <w:rFonts w:hint="eastAsia" w:ascii="宋体" w:hAnsi="宋体"/>
          <w:color w:val="auto"/>
          <w:sz w:val="24"/>
        </w:rPr>
        <w:t>。</w:t>
      </w:r>
    </w:p>
    <w:p w14:paraId="63156D6A">
      <w:pPr>
        <w:pStyle w:val="5"/>
        <w:spacing w:line="360" w:lineRule="auto"/>
        <w:rPr>
          <w:rFonts w:hAnsi="宋体"/>
          <w:color w:val="auto"/>
          <w:szCs w:val="24"/>
        </w:rPr>
      </w:pPr>
      <w:bookmarkStart w:id="899" w:name="_Toc310195741"/>
      <w:bookmarkStart w:id="900" w:name="_Ref467379923"/>
      <w:bookmarkStart w:id="901" w:name="_Ref467379863"/>
      <w:bookmarkStart w:id="902" w:name="_Ref467379852"/>
      <w:bookmarkStart w:id="903" w:name="_Toc310521917"/>
      <w:bookmarkStart w:id="904" w:name="_Toc487900358"/>
      <w:bookmarkStart w:id="905" w:name="_Toc329875491"/>
      <w:bookmarkStart w:id="906" w:name="_Toc413930826"/>
      <w:r>
        <w:rPr>
          <w:rFonts w:hint="eastAsia" w:hAnsi="宋体"/>
          <w:color w:val="auto"/>
          <w:szCs w:val="24"/>
        </w:rPr>
        <w:t>10 .技术资料</w:t>
      </w:r>
      <w:bookmarkEnd w:id="899"/>
      <w:bookmarkEnd w:id="900"/>
      <w:bookmarkEnd w:id="901"/>
      <w:bookmarkEnd w:id="902"/>
      <w:bookmarkEnd w:id="903"/>
      <w:bookmarkEnd w:id="904"/>
      <w:bookmarkEnd w:id="905"/>
      <w:bookmarkEnd w:id="906"/>
    </w:p>
    <w:p w14:paraId="0BC718D1">
      <w:pPr>
        <w:spacing w:before="120" w:line="360" w:lineRule="auto"/>
        <w:rPr>
          <w:rFonts w:ascii="宋体" w:hAnsi="宋体"/>
          <w:color w:val="auto"/>
          <w:sz w:val="24"/>
        </w:rPr>
      </w:pPr>
      <w:r>
        <w:rPr>
          <w:rFonts w:hint="eastAsia" w:ascii="宋体" w:hAnsi="宋体"/>
          <w:color w:val="auto"/>
          <w:sz w:val="24"/>
        </w:rPr>
        <w:t>10.1 合同项下技术资料(除合同特殊条款规定外)将以下列方式交付：</w:t>
      </w:r>
    </w:p>
    <w:p w14:paraId="23EE56C3">
      <w:pPr>
        <w:spacing w:before="120" w:line="360" w:lineRule="auto"/>
        <w:rPr>
          <w:rFonts w:ascii="宋体" w:hAnsi="宋体"/>
          <w:color w:val="auto"/>
          <w:sz w:val="24"/>
        </w:rPr>
      </w:pPr>
      <w:r>
        <w:rPr>
          <w:rFonts w:hint="eastAsia" w:ascii="宋体" w:hAnsi="宋体"/>
          <w:color w:val="auto"/>
          <w:sz w:val="24"/>
        </w:rPr>
        <w:t>合同生效后</w:t>
      </w:r>
      <w:r>
        <w:rPr>
          <w:rFonts w:hint="eastAsia" w:ascii="宋体" w:hAnsi="宋体"/>
          <w:color w:val="auto"/>
          <w:sz w:val="24"/>
          <w:u w:val="single"/>
        </w:rPr>
        <w:t xml:space="preserve"> </w:t>
      </w:r>
      <w:r>
        <w:rPr>
          <w:rFonts w:hint="eastAsia" w:ascii="宋体" w:hAnsi="宋体"/>
          <w:color w:val="auto"/>
          <w:sz w:val="24"/>
          <w:u w:val="single"/>
          <w:lang w:val="en-US" w:eastAsia="zh-CN"/>
        </w:rPr>
        <w:t>7</w:t>
      </w:r>
      <w:r>
        <w:rPr>
          <w:rFonts w:hint="eastAsia" w:ascii="宋体" w:hAnsi="宋体"/>
          <w:color w:val="auto"/>
          <w:sz w:val="24"/>
          <w:u w:val="single"/>
        </w:rPr>
        <w:t xml:space="preserve">0 </w:t>
      </w:r>
      <w:r>
        <w:rPr>
          <w:rFonts w:hint="eastAsia" w:ascii="宋体" w:hAnsi="宋体"/>
          <w:color w:val="auto"/>
          <w:sz w:val="24"/>
        </w:rPr>
        <w:t>天之内，卖方应将货物的中文技术资料一套，如目录索引、图纸、操作手册、使用指南、维修指南和／或服务手册和示意图寄给买方。</w:t>
      </w:r>
    </w:p>
    <w:p w14:paraId="2B475374">
      <w:pPr>
        <w:spacing w:before="120" w:line="360" w:lineRule="auto"/>
        <w:rPr>
          <w:rFonts w:ascii="宋体" w:hAnsi="宋体"/>
          <w:color w:val="auto"/>
          <w:sz w:val="24"/>
        </w:rPr>
      </w:pPr>
      <w:r>
        <w:rPr>
          <w:rFonts w:hint="eastAsia" w:ascii="宋体" w:hAnsi="宋体"/>
          <w:color w:val="auto"/>
          <w:sz w:val="24"/>
        </w:rPr>
        <w:t>10.2 另外一套完整的上述资料应包装好随同每批货物一起发运。</w:t>
      </w:r>
    </w:p>
    <w:p w14:paraId="7E0C7F60">
      <w:pPr>
        <w:spacing w:before="120" w:line="360" w:lineRule="auto"/>
        <w:rPr>
          <w:rFonts w:ascii="宋体" w:hAnsi="宋体"/>
          <w:color w:val="auto"/>
          <w:sz w:val="24"/>
        </w:rPr>
      </w:pPr>
      <w:r>
        <w:rPr>
          <w:rFonts w:hint="eastAsia" w:ascii="宋体" w:hAnsi="宋体"/>
          <w:color w:val="auto"/>
          <w:sz w:val="24"/>
        </w:rPr>
        <w:t>10.3 如果买方确认卖方提供的技术资料不完整或在运输过程中丢失，卖方将在收到买方通知后</w:t>
      </w:r>
      <w:r>
        <w:rPr>
          <w:rFonts w:hint="eastAsia" w:ascii="宋体" w:hAnsi="宋体"/>
          <w:color w:val="auto"/>
          <w:sz w:val="24"/>
          <w:u w:val="single"/>
        </w:rPr>
        <w:t xml:space="preserve"> 3 </w:t>
      </w:r>
      <w:r>
        <w:rPr>
          <w:rFonts w:hint="eastAsia" w:ascii="宋体" w:hAnsi="宋体"/>
          <w:color w:val="auto"/>
          <w:sz w:val="24"/>
        </w:rPr>
        <w:t>天内将这些资料免费寄给买方。</w:t>
      </w:r>
    </w:p>
    <w:p w14:paraId="6EDA296E">
      <w:pPr>
        <w:pStyle w:val="5"/>
        <w:spacing w:line="360" w:lineRule="auto"/>
        <w:rPr>
          <w:rFonts w:hAnsi="宋体"/>
          <w:color w:val="auto"/>
          <w:szCs w:val="24"/>
        </w:rPr>
      </w:pPr>
      <w:bookmarkStart w:id="907" w:name="_Ref467377798"/>
      <w:bookmarkStart w:id="908" w:name="_Toc413930827"/>
      <w:bookmarkStart w:id="909" w:name="_Toc310195742"/>
      <w:bookmarkStart w:id="910" w:name="_Toc487900359"/>
      <w:bookmarkStart w:id="911" w:name="_Ref467379946"/>
      <w:bookmarkStart w:id="912" w:name="_Ref467379937"/>
      <w:bookmarkStart w:id="913" w:name="_Toc329875492"/>
      <w:bookmarkStart w:id="914" w:name="_Toc310521918"/>
      <w:bookmarkStart w:id="915" w:name="_Ref467377962"/>
      <w:r>
        <w:rPr>
          <w:rFonts w:hint="eastAsia" w:hAnsi="宋体"/>
          <w:color w:val="auto"/>
          <w:szCs w:val="24"/>
        </w:rPr>
        <w:t>11. 质量保证</w:t>
      </w:r>
      <w:bookmarkEnd w:id="907"/>
      <w:bookmarkEnd w:id="908"/>
      <w:bookmarkEnd w:id="909"/>
      <w:bookmarkEnd w:id="910"/>
      <w:bookmarkEnd w:id="911"/>
      <w:bookmarkEnd w:id="912"/>
      <w:bookmarkEnd w:id="913"/>
      <w:bookmarkEnd w:id="914"/>
      <w:bookmarkEnd w:id="915"/>
    </w:p>
    <w:p w14:paraId="1E867E18">
      <w:pPr>
        <w:spacing w:line="360" w:lineRule="auto"/>
        <w:rPr>
          <w:rFonts w:ascii="宋体" w:hAnsi="宋体"/>
          <w:color w:val="auto"/>
          <w:sz w:val="24"/>
        </w:rPr>
      </w:pPr>
      <w:r>
        <w:rPr>
          <w:rFonts w:hint="eastAsia" w:ascii="宋体" w:hAnsi="宋体"/>
          <w:color w:val="auto"/>
          <w:sz w:val="24"/>
        </w:rPr>
        <w:t>11.1 卖方应保证货物是全新、未使用过的，并完全符合强制性的国家技术质量规范和合同规定的质量、规格、性能和技术规范等的要求。</w:t>
      </w:r>
    </w:p>
    <w:p w14:paraId="47E8E19C">
      <w:pPr>
        <w:spacing w:line="360" w:lineRule="auto"/>
        <w:rPr>
          <w:rFonts w:ascii="宋体" w:hAnsi="宋体"/>
          <w:color w:val="auto"/>
          <w:sz w:val="24"/>
        </w:rPr>
      </w:pPr>
      <w:r>
        <w:rPr>
          <w:rFonts w:hint="eastAsia" w:ascii="宋体" w:hAnsi="宋体"/>
          <w:color w:val="auto"/>
          <w:sz w:val="24"/>
        </w:rPr>
        <w:t>11.2 卖方应保证所提供的货物经正确安装、正常运转和保养，在其使用寿命期内应具有符合质量要求和产品说明书的性能。在货物质量保证期之内，卖方应对由于设计、工艺或材料的缺陷而发生的任何不足或故障负责。</w:t>
      </w:r>
    </w:p>
    <w:p w14:paraId="29080AA6">
      <w:pPr>
        <w:spacing w:before="120" w:line="360" w:lineRule="auto"/>
        <w:rPr>
          <w:rFonts w:ascii="宋体" w:hAnsi="宋体"/>
          <w:color w:val="auto"/>
          <w:sz w:val="24"/>
        </w:rPr>
      </w:pPr>
      <w:r>
        <w:rPr>
          <w:rFonts w:hint="eastAsia" w:ascii="宋体" w:hAnsi="宋体"/>
          <w:color w:val="auto"/>
          <w:sz w:val="24"/>
        </w:rPr>
        <w:t xml:space="preserve">11.3 根据买方按检验标准自己检验结果或委托有资质的相关质检机构的检验结果，或者在质量保证期内，如果货物的数量、质量或规格与合同不符，或证实货物是有缺陷的，包括潜在的缺陷或使用不符合要求的材料等，买方应尽快以书面形式通知卖方。卖方在收到通知后最迟 </w:t>
      </w:r>
      <w:r>
        <w:rPr>
          <w:rFonts w:hint="eastAsia" w:ascii="宋体" w:hAnsi="宋体"/>
          <w:color w:val="auto"/>
          <w:sz w:val="24"/>
          <w:u w:val="single"/>
        </w:rPr>
        <w:t>7</w:t>
      </w:r>
      <w:r>
        <w:rPr>
          <w:rFonts w:hint="eastAsia" w:ascii="宋体" w:hAnsi="宋体"/>
          <w:color w:val="auto"/>
          <w:sz w:val="24"/>
        </w:rPr>
        <w:t>天内应免费维修或更换有缺陷的货物或部件。</w:t>
      </w:r>
    </w:p>
    <w:p w14:paraId="4932FBEA">
      <w:pPr>
        <w:spacing w:before="120" w:line="360" w:lineRule="auto"/>
        <w:rPr>
          <w:rFonts w:ascii="宋体" w:hAnsi="宋体"/>
          <w:color w:val="auto"/>
          <w:sz w:val="24"/>
        </w:rPr>
      </w:pPr>
      <w:r>
        <w:rPr>
          <w:rFonts w:hint="eastAsia" w:ascii="宋体" w:hAnsi="宋体"/>
          <w:color w:val="auto"/>
          <w:sz w:val="24"/>
        </w:rPr>
        <w:t>11.4 如果卖方在收到通知后</w:t>
      </w:r>
      <w:r>
        <w:rPr>
          <w:rFonts w:hint="eastAsia" w:ascii="宋体" w:hAnsi="宋体"/>
          <w:color w:val="auto"/>
          <w:sz w:val="24"/>
          <w:u w:val="single"/>
        </w:rPr>
        <w:t xml:space="preserve">  7 </w:t>
      </w:r>
      <w:r>
        <w:rPr>
          <w:rFonts w:hint="eastAsia" w:ascii="宋体" w:hAnsi="宋体"/>
          <w:color w:val="auto"/>
          <w:sz w:val="24"/>
        </w:rPr>
        <w:t>天内没有弥补缺陷，买方可采取必要的补救措施，但由此引发的风险和费用将由卖方承担。</w:t>
      </w:r>
    </w:p>
    <w:p w14:paraId="78F6680C">
      <w:pPr>
        <w:spacing w:before="120" w:line="360" w:lineRule="auto"/>
        <w:rPr>
          <w:rFonts w:ascii="宋体" w:hAnsi="宋体"/>
          <w:b/>
          <w:color w:val="auto"/>
          <w:sz w:val="24"/>
        </w:rPr>
      </w:pPr>
      <w:r>
        <w:rPr>
          <w:rFonts w:hint="eastAsia" w:ascii="宋体" w:hAnsi="宋体"/>
          <w:color w:val="auto"/>
          <w:sz w:val="24"/>
        </w:rPr>
        <w:t>11.5 合同项下货物的</w:t>
      </w:r>
      <w:r>
        <w:rPr>
          <w:rFonts w:hint="eastAsia" w:ascii="宋体" w:hAnsi="宋体"/>
          <w:color w:val="auto"/>
          <w:sz w:val="24"/>
          <w:highlight w:val="none"/>
        </w:rPr>
        <w:t>质量保证期为自货物通过最终验收起</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36 </w:t>
      </w:r>
      <w:r>
        <w:rPr>
          <w:rFonts w:hint="eastAsia" w:ascii="宋体" w:hAnsi="宋体"/>
          <w:color w:val="auto"/>
          <w:sz w:val="24"/>
          <w:highlight w:val="none"/>
        </w:rPr>
        <w:t>个月。</w:t>
      </w:r>
      <w:r>
        <w:rPr>
          <w:rFonts w:hint="eastAsia" w:ascii="宋体" w:hAnsi="宋体"/>
          <w:b/>
          <w:color w:val="auto"/>
          <w:sz w:val="24"/>
        </w:rPr>
        <w:t>详见合同专用条款.</w:t>
      </w:r>
    </w:p>
    <w:p w14:paraId="15F23489">
      <w:pPr>
        <w:pStyle w:val="5"/>
        <w:spacing w:line="360" w:lineRule="auto"/>
        <w:rPr>
          <w:rFonts w:hAnsi="宋体"/>
          <w:color w:val="auto"/>
          <w:szCs w:val="24"/>
        </w:rPr>
      </w:pPr>
      <w:bookmarkStart w:id="916" w:name="_Toc487900360"/>
      <w:bookmarkStart w:id="917" w:name="_Ref467378018"/>
      <w:bookmarkStart w:id="918" w:name="_Toc310521919"/>
      <w:bookmarkStart w:id="919" w:name="_Toc329875493"/>
      <w:bookmarkStart w:id="920" w:name="_Toc413930828"/>
      <w:bookmarkStart w:id="921" w:name="_Toc310195743"/>
      <w:r>
        <w:rPr>
          <w:rFonts w:hint="eastAsia" w:hAnsi="宋体"/>
          <w:color w:val="auto"/>
          <w:szCs w:val="24"/>
        </w:rPr>
        <w:t>12. 检验</w:t>
      </w:r>
      <w:bookmarkEnd w:id="916"/>
      <w:bookmarkEnd w:id="917"/>
      <w:r>
        <w:rPr>
          <w:rFonts w:hint="eastAsia" w:hAnsi="宋体"/>
          <w:color w:val="auto"/>
          <w:szCs w:val="24"/>
        </w:rPr>
        <w:t>和验收</w:t>
      </w:r>
      <w:bookmarkEnd w:id="918"/>
      <w:bookmarkEnd w:id="919"/>
      <w:bookmarkEnd w:id="920"/>
      <w:bookmarkEnd w:id="921"/>
    </w:p>
    <w:p w14:paraId="32B35975">
      <w:pPr>
        <w:spacing w:before="120" w:line="360" w:lineRule="auto"/>
        <w:rPr>
          <w:rFonts w:ascii="宋体" w:hAnsi="宋体"/>
          <w:color w:val="auto"/>
          <w:sz w:val="24"/>
        </w:rPr>
      </w:pPr>
      <w:r>
        <w:rPr>
          <w:rFonts w:hint="eastAsia" w:ascii="宋体" w:hAnsi="宋体"/>
          <w:color w:val="auto"/>
          <w:sz w:val="24"/>
        </w:rPr>
        <w:t>12.1 在交货前，制造商应对货物的质量、规格、性能、数量和重量等进行详细而全面的检验，并出具证明货物符合合同规定的文件。制造商检验的结果和细节应在文件中加以说明。该文件将作为申请付款单据的一部分，但有关质量、规格、性能、数量或重量的检验不应视为最终检验。</w:t>
      </w:r>
    </w:p>
    <w:p w14:paraId="2D486335">
      <w:pPr>
        <w:spacing w:before="120" w:line="360" w:lineRule="auto"/>
        <w:rPr>
          <w:rFonts w:ascii="宋体" w:hAnsi="宋体"/>
          <w:color w:val="auto"/>
          <w:sz w:val="24"/>
        </w:rPr>
      </w:pPr>
      <w:r>
        <w:rPr>
          <w:rFonts w:hint="eastAsia" w:ascii="宋体" w:hAnsi="宋体"/>
          <w:color w:val="auto"/>
          <w:sz w:val="24"/>
        </w:rPr>
        <w:t>12.2 货物运抵现场后，买方应在</w:t>
      </w:r>
      <w:r>
        <w:rPr>
          <w:rFonts w:hint="eastAsia" w:ascii="宋体" w:hAnsi="宋体"/>
          <w:color w:val="auto"/>
          <w:sz w:val="24"/>
          <w:u w:val="single"/>
        </w:rPr>
        <w:t xml:space="preserve">  </w:t>
      </w:r>
      <w:r>
        <w:rPr>
          <w:rFonts w:hint="eastAsia" w:ascii="宋体" w:hAnsi="宋体"/>
          <w:color w:val="auto"/>
          <w:sz w:val="24"/>
          <w:u w:val="single"/>
          <w:lang w:val="en-US" w:eastAsia="zh-CN"/>
        </w:rPr>
        <w:t>9</w:t>
      </w:r>
      <w:r>
        <w:rPr>
          <w:rFonts w:hint="eastAsia" w:ascii="宋体" w:hAnsi="宋体"/>
          <w:color w:val="auto"/>
          <w:sz w:val="24"/>
          <w:u w:val="single"/>
        </w:rPr>
        <w:t xml:space="preserve">0  </w:t>
      </w:r>
      <w:r>
        <w:rPr>
          <w:rFonts w:hint="eastAsia" w:ascii="宋体" w:hAnsi="宋体"/>
          <w:color w:val="auto"/>
          <w:sz w:val="24"/>
        </w:rPr>
        <w:t>日内组织验收，并制作验收备忘录，签署验收意见并报政府采购监督管理部门备案。</w:t>
      </w:r>
    </w:p>
    <w:p w14:paraId="2698AEDC">
      <w:pPr>
        <w:spacing w:line="360" w:lineRule="auto"/>
        <w:ind w:left="1"/>
        <w:rPr>
          <w:rFonts w:ascii="宋体" w:hAnsi="宋体"/>
          <w:color w:val="auto"/>
          <w:sz w:val="24"/>
        </w:rPr>
      </w:pPr>
      <w:r>
        <w:rPr>
          <w:rFonts w:hint="eastAsia" w:ascii="宋体" w:hAnsi="宋体"/>
          <w:color w:val="auto"/>
          <w:sz w:val="24"/>
        </w:rPr>
        <w:t>12.3 如果任何被检验或测试的货物不能满足规格的要求，买方可以拒绝接受该货物，卖方应更换被拒绝的货物，或者免费进行必要的修改以满足规格的要求。</w:t>
      </w:r>
    </w:p>
    <w:p w14:paraId="4763D46C">
      <w:pPr>
        <w:spacing w:before="120" w:line="360" w:lineRule="auto"/>
        <w:rPr>
          <w:rFonts w:ascii="宋体" w:hAnsi="宋体"/>
          <w:color w:val="auto"/>
          <w:sz w:val="24"/>
        </w:rPr>
      </w:pPr>
      <w:r>
        <w:rPr>
          <w:rFonts w:hint="eastAsia" w:ascii="宋体" w:hAnsi="宋体"/>
          <w:color w:val="auto"/>
          <w:sz w:val="24"/>
        </w:rPr>
        <w:t>12.4 买方有在货物制造过程中派人员监造的权利, 卖方有义务为买方监造人员行使该权利提供方便。</w:t>
      </w:r>
    </w:p>
    <w:p w14:paraId="38DE91FC">
      <w:pPr>
        <w:spacing w:before="120" w:line="360" w:lineRule="auto"/>
        <w:ind w:left="960" w:hanging="960"/>
        <w:rPr>
          <w:rFonts w:ascii="宋体" w:hAnsi="宋体"/>
          <w:color w:val="auto"/>
          <w:sz w:val="24"/>
        </w:rPr>
      </w:pPr>
      <w:r>
        <w:rPr>
          <w:rFonts w:hint="eastAsia" w:ascii="宋体" w:hAnsi="宋体"/>
          <w:color w:val="auto"/>
          <w:sz w:val="24"/>
        </w:rPr>
        <w:t>12.5 制造厂对所供货物进行机械运转试验和性能试验时，必须提前通知买方。</w:t>
      </w:r>
    </w:p>
    <w:p w14:paraId="4C85A25F">
      <w:pPr>
        <w:pStyle w:val="5"/>
        <w:spacing w:line="360" w:lineRule="auto"/>
        <w:rPr>
          <w:rFonts w:hAnsi="宋体"/>
          <w:color w:val="auto"/>
          <w:szCs w:val="24"/>
        </w:rPr>
      </w:pPr>
      <w:bookmarkStart w:id="922" w:name="_Toc310521920"/>
      <w:bookmarkStart w:id="923" w:name="_Toc310195744"/>
      <w:bookmarkStart w:id="924" w:name="_Toc329875494"/>
      <w:bookmarkStart w:id="925" w:name="_Toc413930829"/>
      <w:bookmarkStart w:id="926" w:name="_Toc487900361"/>
      <w:r>
        <w:rPr>
          <w:rFonts w:hint="eastAsia" w:hAnsi="宋体"/>
          <w:color w:val="auto"/>
          <w:szCs w:val="24"/>
        </w:rPr>
        <w:t>13. 索赔</w:t>
      </w:r>
      <w:bookmarkEnd w:id="922"/>
      <w:bookmarkEnd w:id="923"/>
      <w:bookmarkEnd w:id="924"/>
      <w:bookmarkEnd w:id="925"/>
      <w:bookmarkEnd w:id="926"/>
    </w:p>
    <w:p w14:paraId="0F2EA58B">
      <w:pPr>
        <w:spacing w:before="120" w:line="360" w:lineRule="auto"/>
        <w:rPr>
          <w:rFonts w:ascii="宋体" w:hAnsi="宋体"/>
          <w:color w:val="auto"/>
          <w:sz w:val="24"/>
        </w:rPr>
      </w:pPr>
      <w:r>
        <w:rPr>
          <w:rFonts w:hint="eastAsia" w:ascii="宋体" w:hAnsi="宋体"/>
          <w:color w:val="auto"/>
          <w:sz w:val="24"/>
        </w:rPr>
        <w:t>13.1 如果货物的质量、规格、数量、重量等与合同不符，或在第11.5规定的质量保证期内证实货物是有缺陷的，包括潜在的缺陷或使用不符合要求的材料，买方有权根据有资质的质检机构的检验结果向卖方提出索赔。但责任应由保险公司或运输部门承担的除外。</w:t>
      </w:r>
    </w:p>
    <w:p w14:paraId="519CDE78">
      <w:pPr>
        <w:spacing w:before="120" w:line="360" w:lineRule="auto"/>
        <w:rPr>
          <w:rFonts w:ascii="宋体" w:hAnsi="宋体"/>
          <w:color w:val="auto"/>
          <w:sz w:val="24"/>
        </w:rPr>
      </w:pPr>
      <w:bookmarkStart w:id="927" w:name="_Ref467378076"/>
      <w:r>
        <w:rPr>
          <w:rFonts w:hint="eastAsia" w:ascii="宋体" w:hAnsi="宋体"/>
          <w:color w:val="auto"/>
          <w:sz w:val="24"/>
        </w:rPr>
        <w:t>13.2 在根据合同第11条和第12条规定的检验期和质量保证期内，如果卖方对买方提出的索赔负有责任，卖方应按照买方同意的下列一种或多种方式解决索赔事宜：</w:t>
      </w:r>
      <w:bookmarkEnd w:id="927"/>
    </w:p>
    <w:p w14:paraId="1614690C">
      <w:pPr>
        <w:spacing w:before="120" w:line="360" w:lineRule="auto"/>
        <w:rPr>
          <w:rFonts w:ascii="宋体" w:hAnsi="宋体"/>
          <w:color w:val="auto"/>
          <w:sz w:val="24"/>
        </w:rPr>
      </w:pPr>
      <w:r>
        <w:rPr>
          <w:rFonts w:hint="eastAsia" w:ascii="宋体" w:hAnsi="宋体"/>
          <w:color w:val="auto"/>
          <w:sz w:val="24"/>
        </w:rPr>
        <w:t>13.2.1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4054F1D9">
      <w:pPr>
        <w:spacing w:before="120" w:line="360" w:lineRule="auto"/>
        <w:rPr>
          <w:rFonts w:ascii="宋体" w:hAnsi="宋体"/>
          <w:color w:val="auto"/>
          <w:sz w:val="24"/>
        </w:rPr>
      </w:pPr>
      <w:r>
        <w:rPr>
          <w:rFonts w:hint="eastAsia" w:ascii="宋体" w:hAnsi="宋体"/>
          <w:color w:val="auto"/>
          <w:sz w:val="24"/>
        </w:rPr>
        <w:t>13.2.2 根据货物低劣程度、损坏程度以及买方所遭受损失的数额，经买卖双方商定降低货物的价格，或由有权的部门评估，以降低后的价格或评估价格为准。</w:t>
      </w:r>
    </w:p>
    <w:p w14:paraId="38CB255C">
      <w:pPr>
        <w:spacing w:before="120" w:line="360" w:lineRule="auto"/>
        <w:rPr>
          <w:rFonts w:ascii="宋体" w:hAnsi="宋体"/>
          <w:color w:val="auto"/>
          <w:sz w:val="24"/>
        </w:rPr>
      </w:pPr>
      <w:r>
        <w:rPr>
          <w:rFonts w:hint="eastAsia" w:ascii="宋体" w:hAnsi="宋体"/>
          <w:color w:val="auto"/>
          <w:sz w:val="24"/>
        </w:rPr>
        <w:t>13.2.3 用符合规格、质量和性能要求的新零件、部件或货物来更换有缺陷的部分或／和修补缺陷部分，卖方应承担一切费用和风险并负担买方所发生的一切直接费用。同时，卖方应按合同第11条规定，相应延长修补或更换件的质量保证期。</w:t>
      </w:r>
    </w:p>
    <w:p w14:paraId="78EB005B">
      <w:pPr>
        <w:spacing w:before="120" w:line="360" w:lineRule="auto"/>
        <w:rPr>
          <w:rFonts w:ascii="宋体" w:hAnsi="宋体"/>
          <w:color w:val="auto"/>
          <w:sz w:val="24"/>
        </w:rPr>
      </w:pPr>
      <w:r>
        <w:rPr>
          <w:rFonts w:hint="eastAsia" w:ascii="宋体" w:hAnsi="宋体"/>
          <w:color w:val="auto"/>
          <w:sz w:val="24"/>
        </w:rPr>
        <w:t>13.3 如果在买方发出索赔通知后</w:t>
      </w:r>
      <w:r>
        <w:rPr>
          <w:rFonts w:hint="eastAsia" w:ascii="宋体" w:hAnsi="宋体"/>
          <w:color w:val="auto"/>
          <w:sz w:val="24"/>
          <w:u w:val="single"/>
        </w:rPr>
        <w:t xml:space="preserve"> 7 </w:t>
      </w:r>
      <w:r>
        <w:rPr>
          <w:rFonts w:hint="eastAsia" w:ascii="宋体" w:hAnsi="宋体"/>
          <w:color w:val="auto"/>
          <w:sz w:val="24"/>
        </w:rPr>
        <w:t>天内，卖方未作答复，上述索赔应视为已被卖方接受。如卖方未能在买方提出索赔通知后</w:t>
      </w:r>
      <w:r>
        <w:rPr>
          <w:rFonts w:hint="eastAsia" w:ascii="宋体" w:hAnsi="宋体"/>
          <w:color w:val="auto"/>
          <w:sz w:val="24"/>
          <w:u w:val="single"/>
        </w:rPr>
        <w:t xml:space="preserve"> 7 </w:t>
      </w:r>
      <w:r>
        <w:rPr>
          <w:rFonts w:hint="eastAsia" w:ascii="宋体" w:hAnsi="宋体"/>
          <w:color w:val="auto"/>
          <w:sz w:val="24"/>
        </w:rPr>
        <w:t>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14:paraId="4F47386A">
      <w:pPr>
        <w:pStyle w:val="5"/>
        <w:spacing w:line="360" w:lineRule="auto"/>
        <w:rPr>
          <w:rFonts w:hAnsi="宋体"/>
          <w:color w:val="auto"/>
          <w:szCs w:val="24"/>
        </w:rPr>
      </w:pPr>
      <w:bookmarkStart w:id="928" w:name="_Toc310521921"/>
      <w:bookmarkStart w:id="929" w:name="_Toc329875495"/>
      <w:bookmarkStart w:id="930" w:name="_Toc310195745"/>
      <w:bookmarkStart w:id="931" w:name="_Toc413930830"/>
      <w:bookmarkStart w:id="932" w:name="_Toc487900362"/>
      <w:r>
        <w:rPr>
          <w:rFonts w:hint="eastAsia" w:hAnsi="宋体"/>
          <w:color w:val="auto"/>
          <w:szCs w:val="24"/>
        </w:rPr>
        <w:t>14. 迟延交货</w:t>
      </w:r>
      <w:bookmarkEnd w:id="928"/>
      <w:bookmarkEnd w:id="929"/>
      <w:bookmarkEnd w:id="930"/>
      <w:bookmarkEnd w:id="931"/>
      <w:bookmarkEnd w:id="932"/>
    </w:p>
    <w:p w14:paraId="52EED635">
      <w:pPr>
        <w:spacing w:before="120" w:line="360" w:lineRule="auto"/>
        <w:ind w:left="901" w:hanging="960"/>
        <w:rPr>
          <w:rFonts w:ascii="宋体" w:hAnsi="宋体"/>
          <w:color w:val="auto"/>
          <w:sz w:val="24"/>
        </w:rPr>
      </w:pPr>
      <w:r>
        <w:rPr>
          <w:rFonts w:hint="eastAsia" w:ascii="宋体" w:hAnsi="宋体"/>
          <w:color w:val="auto"/>
          <w:sz w:val="24"/>
        </w:rPr>
        <w:t>14.1 卖方应按照“货物需求一览表及技术规格”中买方规定的时间表交货和提供服务。</w:t>
      </w:r>
    </w:p>
    <w:p w14:paraId="1F317AE2">
      <w:pPr>
        <w:spacing w:before="120" w:line="360" w:lineRule="auto"/>
        <w:ind w:left="960" w:hanging="960"/>
        <w:rPr>
          <w:rFonts w:ascii="宋体" w:hAnsi="宋体"/>
          <w:color w:val="auto"/>
          <w:sz w:val="24"/>
        </w:rPr>
      </w:pPr>
      <w:r>
        <w:rPr>
          <w:rFonts w:hint="eastAsia" w:ascii="宋体" w:hAnsi="宋体"/>
          <w:color w:val="auto"/>
          <w:sz w:val="24"/>
        </w:rPr>
        <w:t>14.2 如果卖方无正当理由迟延交货，买方有权提出违约损失赔偿或解除合同。</w:t>
      </w:r>
    </w:p>
    <w:p w14:paraId="1A87BE18">
      <w:pPr>
        <w:spacing w:before="120" w:line="360" w:lineRule="auto"/>
        <w:rPr>
          <w:rFonts w:ascii="宋体" w:hAnsi="宋体"/>
          <w:color w:val="auto"/>
          <w:sz w:val="24"/>
        </w:rPr>
      </w:pPr>
      <w:r>
        <w:rPr>
          <w:rFonts w:hint="eastAsia" w:ascii="宋体" w:hAnsi="宋体"/>
          <w:color w:val="auto"/>
          <w:sz w:val="24"/>
        </w:rPr>
        <w:t>14.3 在履行合同过程中，如果卖方遇到不能按时交货和提供服务的情况，应及时以书面形式将不能按时交货的理由、预期延误时间通知买方。买方收到卖方通知后，认为其理由正当的，可酌情延长交货时间。</w:t>
      </w:r>
    </w:p>
    <w:p w14:paraId="5C352393">
      <w:pPr>
        <w:pStyle w:val="5"/>
        <w:spacing w:line="360" w:lineRule="auto"/>
        <w:rPr>
          <w:rFonts w:hAnsi="宋体"/>
          <w:color w:val="auto"/>
          <w:szCs w:val="24"/>
        </w:rPr>
      </w:pPr>
      <w:bookmarkStart w:id="933" w:name="_Toc329875496"/>
      <w:bookmarkStart w:id="934" w:name="_Toc487900363"/>
      <w:bookmarkStart w:id="935" w:name="_Toc413930831"/>
      <w:bookmarkStart w:id="936" w:name="_Toc310521922"/>
      <w:bookmarkStart w:id="937" w:name="_Toc310195746"/>
      <w:r>
        <w:rPr>
          <w:rFonts w:hint="eastAsia" w:hAnsi="宋体"/>
          <w:color w:val="auto"/>
          <w:szCs w:val="24"/>
        </w:rPr>
        <w:t>15. 违约赔偿</w:t>
      </w:r>
      <w:bookmarkEnd w:id="933"/>
      <w:bookmarkEnd w:id="934"/>
      <w:bookmarkEnd w:id="935"/>
      <w:bookmarkEnd w:id="936"/>
      <w:bookmarkEnd w:id="937"/>
    </w:p>
    <w:p w14:paraId="563476CF">
      <w:pPr>
        <w:spacing w:before="120" w:line="360" w:lineRule="auto"/>
        <w:rPr>
          <w:rFonts w:ascii="宋体" w:hAnsi="宋体"/>
          <w:color w:val="auto"/>
          <w:sz w:val="24"/>
        </w:rPr>
      </w:pPr>
      <w:r>
        <w:rPr>
          <w:rFonts w:hint="eastAsia" w:ascii="宋体" w:hAnsi="宋体"/>
          <w:color w:val="auto"/>
          <w:sz w:val="24"/>
        </w:rPr>
        <w:t>15.1 除合同第16条规定外，如果卖方没有按照合同规定的时间交货和提供服务，买方可要求卖方支付违约金。违约金按每周迟交货物或未提供服务交货价的0.5%计收。但违约金的最高限额为迟交货物或没有提供服务的合同价的</w:t>
      </w:r>
      <w:r>
        <w:rPr>
          <w:rFonts w:hint="eastAsia" w:ascii="宋体" w:hAnsi="宋体"/>
          <w:color w:val="auto"/>
          <w:sz w:val="24"/>
          <w:lang w:val="en-US" w:eastAsia="zh-CN"/>
        </w:rPr>
        <w:t>10</w:t>
      </w:r>
      <w:r>
        <w:rPr>
          <w:rFonts w:hint="eastAsia" w:ascii="宋体" w:hAnsi="宋体"/>
          <w:color w:val="auto"/>
          <w:sz w:val="24"/>
        </w:rPr>
        <w:t>%。一周按7天计算，不足7天按一周计算。如果达到最高限额，买方有权解除合同。</w:t>
      </w:r>
    </w:p>
    <w:p w14:paraId="56A69FBF">
      <w:pPr>
        <w:pStyle w:val="5"/>
        <w:spacing w:line="360" w:lineRule="auto"/>
        <w:rPr>
          <w:rFonts w:hAnsi="宋体"/>
          <w:color w:val="auto"/>
          <w:szCs w:val="24"/>
        </w:rPr>
      </w:pPr>
      <w:bookmarkStart w:id="938" w:name="_Toc413930832"/>
      <w:bookmarkStart w:id="939" w:name="_Toc329875497"/>
      <w:bookmarkStart w:id="940" w:name="_Toc310521923"/>
      <w:bookmarkStart w:id="941" w:name="_Toc310195747"/>
      <w:bookmarkStart w:id="942" w:name="_Toc487900364"/>
      <w:bookmarkStart w:id="943" w:name="_Ref467378121"/>
      <w:r>
        <w:rPr>
          <w:rFonts w:hint="eastAsia" w:hAnsi="宋体"/>
          <w:color w:val="auto"/>
          <w:szCs w:val="24"/>
        </w:rPr>
        <w:t>16. 不可抗力</w:t>
      </w:r>
      <w:bookmarkEnd w:id="938"/>
      <w:bookmarkEnd w:id="939"/>
      <w:bookmarkEnd w:id="940"/>
      <w:bookmarkEnd w:id="941"/>
      <w:bookmarkEnd w:id="942"/>
      <w:bookmarkEnd w:id="943"/>
    </w:p>
    <w:p w14:paraId="427F4187">
      <w:pPr>
        <w:spacing w:before="120" w:line="360" w:lineRule="auto"/>
        <w:rPr>
          <w:rFonts w:ascii="宋体" w:hAnsi="宋体"/>
          <w:color w:val="auto"/>
          <w:sz w:val="24"/>
        </w:rPr>
      </w:pPr>
      <w:r>
        <w:rPr>
          <w:rFonts w:hint="eastAsia" w:ascii="宋体" w:hAnsi="宋体"/>
          <w:color w:val="auto"/>
          <w:sz w:val="24"/>
        </w:rPr>
        <w:t>16.1 如果双方中任何一方遭遇法律规定的不可抗力，致使合同履行受阻时，履行合同的期限应予延长，延长的期限应相当于不可抗力所影响的时间。</w:t>
      </w:r>
    </w:p>
    <w:p w14:paraId="046F3DF7">
      <w:pPr>
        <w:spacing w:before="120" w:line="360" w:lineRule="auto"/>
        <w:rPr>
          <w:rFonts w:ascii="宋体" w:hAnsi="宋体"/>
          <w:color w:val="auto"/>
          <w:sz w:val="24"/>
        </w:rPr>
      </w:pPr>
      <w:r>
        <w:rPr>
          <w:rFonts w:hint="eastAsia" w:ascii="宋体" w:hAnsi="宋体"/>
          <w:color w:val="auto"/>
          <w:sz w:val="24"/>
        </w:rPr>
        <w:t>16.2 受事故影响的一方应在不可抗力的事故发生后尽快书面形式通知另一方，并在事故发生后</w:t>
      </w:r>
      <w:r>
        <w:rPr>
          <w:rFonts w:hint="eastAsia" w:ascii="宋体" w:hAnsi="宋体"/>
          <w:color w:val="auto"/>
          <w:sz w:val="24"/>
          <w:u w:val="single"/>
        </w:rPr>
        <w:t xml:space="preserve">  14  </w:t>
      </w:r>
      <w:r>
        <w:rPr>
          <w:rFonts w:hint="eastAsia" w:ascii="宋体" w:hAnsi="宋体"/>
          <w:color w:val="auto"/>
          <w:sz w:val="24"/>
        </w:rPr>
        <w:t>天内，将有关部门出具的证明文件送达另一方。</w:t>
      </w:r>
    </w:p>
    <w:p w14:paraId="141881C6">
      <w:pPr>
        <w:spacing w:before="120" w:line="360" w:lineRule="auto"/>
        <w:rPr>
          <w:rFonts w:ascii="宋体" w:hAnsi="宋体"/>
          <w:color w:val="auto"/>
          <w:sz w:val="24"/>
        </w:rPr>
      </w:pPr>
      <w:r>
        <w:rPr>
          <w:rFonts w:hint="eastAsia" w:ascii="宋体" w:hAnsi="宋体"/>
          <w:color w:val="auto"/>
          <w:sz w:val="24"/>
        </w:rPr>
        <w:t>16.3不可抗力使合同的某些内容有变更必要的， 双方应通过协商在</w:t>
      </w:r>
      <w:r>
        <w:rPr>
          <w:rFonts w:hint="eastAsia" w:ascii="宋体" w:hAnsi="宋体"/>
          <w:color w:val="auto"/>
          <w:sz w:val="24"/>
          <w:u w:val="single"/>
        </w:rPr>
        <w:t xml:space="preserve"> 28 </w:t>
      </w:r>
      <w:r>
        <w:rPr>
          <w:rFonts w:hint="eastAsia" w:ascii="宋体" w:hAnsi="宋体"/>
          <w:color w:val="auto"/>
          <w:sz w:val="24"/>
        </w:rPr>
        <w:t>日内达成进一步履行合同的协议，因不可抗力致使合同不能履行的，合同终止。</w:t>
      </w:r>
    </w:p>
    <w:p w14:paraId="72A21F2F">
      <w:pPr>
        <w:pStyle w:val="5"/>
        <w:spacing w:line="360" w:lineRule="auto"/>
        <w:rPr>
          <w:rFonts w:hAnsi="宋体"/>
          <w:color w:val="auto"/>
          <w:szCs w:val="24"/>
        </w:rPr>
      </w:pPr>
      <w:bookmarkStart w:id="944" w:name="_Toc413930833"/>
      <w:bookmarkStart w:id="945" w:name="_Toc329875498"/>
      <w:bookmarkStart w:id="946" w:name="_Toc487900365"/>
      <w:bookmarkStart w:id="947" w:name="_Toc310521924"/>
      <w:bookmarkStart w:id="948" w:name="_Toc310195748"/>
      <w:r>
        <w:rPr>
          <w:rFonts w:hint="eastAsia" w:hAnsi="宋体"/>
          <w:color w:val="auto"/>
          <w:szCs w:val="24"/>
        </w:rPr>
        <w:t>17. 税费</w:t>
      </w:r>
      <w:bookmarkEnd w:id="944"/>
      <w:bookmarkEnd w:id="945"/>
      <w:bookmarkEnd w:id="946"/>
      <w:bookmarkEnd w:id="947"/>
      <w:bookmarkEnd w:id="948"/>
    </w:p>
    <w:p w14:paraId="2508B977">
      <w:pPr>
        <w:spacing w:before="120" w:line="360" w:lineRule="auto"/>
        <w:ind w:left="960" w:hanging="960"/>
        <w:rPr>
          <w:rFonts w:ascii="宋体" w:hAnsi="宋体"/>
          <w:color w:val="auto"/>
          <w:sz w:val="24"/>
        </w:rPr>
      </w:pPr>
      <w:r>
        <w:rPr>
          <w:rFonts w:hint="eastAsia" w:ascii="宋体" w:hAnsi="宋体"/>
          <w:color w:val="auto"/>
          <w:sz w:val="24"/>
        </w:rPr>
        <w:t>17.1 与本合同有关的一切税费均适用中华人民共和国法律的相关规定。</w:t>
      </w:r>
    </w:p>
    <w:p w14:paraId="33B6038E">
      <w:pPr>
        <w:pStyle w:val="5"/>
        <w:spacing w:line="360" w:lineRule="auto"/>
        <w:rPr>
          <w:rFonts w:hAnsi="宋体"/>
          <w:color w:val="auto"/>
          <w:szCs w:val="24"/>
        </w:rPr>
      </w:pPr>
      <w:bookmarkStart w:id="949" w:name="_Toc487900366"/>
      <w:bookmarkStart w:id="950" w:name="_Toc310195749"/>
      <w:bookmarkStart w:id="951" w:name="_Toc329875499"/>
      <w:bookmarkStart w:id="952" w:name="_Toc310521925"/>
      <w:bookmarkStart w:id="953" w:name="_Toc413930834"/>
      <w:r>
        <w:rPr>
          <w:rFonts w:hint="eastAsia" w:hAnsi="宋体"/>
          <w:color w:val="auto"/>
          <w:szCs w:val="24"/>
        </w:rPr>
        <w:t>18. 仲裁</w:t>
      </w:r>
      <w:bookmarkEnd w:id="949"/>
      <w:bookmarkEnd w:id="950"/>
      <w:bookmarkEnd w:id="951"/>
      <w:bookmarkEnd w:id="952"/>
      <w:bookmarkEnd w:id="953"/>
    </w:p>
    <w:p w14:paraId="1FF8BF5C">
      <w:pPr>
        <w:spacing w:before="120" w:line="360" w:lineRule="auto"/>
        <w:rPr>
          <w:rFonts w:ascii="宋体" w:hAnsi="宋体"/>
          <w:color w:val="auto"/>
          <w:sz w:val="24"/>
        </w:rPr>
      </w:pPr>
      <w:r>
        <w:rPr>
          <w:rFonts w:hint="eastAsia" w:ascii="宋体" w:hAnsi="宋体"/>
          <w:color w:val="auto"/>
          <w:sz w:val="24"/>
        </w:rPr>
        <w:t>18.1 买卖双方应通过友好协商，解决在执行本合同中所发生的或与本合同有关的一切争端。如果协商不成的，任何一方均可申请北京仲裁委员会进行仲裁。</w:t>
      </w:r>
    </w:p>
    <w:p w14:paraId="0793548A">
      <w:pPr>
        <w:spacing w:before="120" w:line="360" w:lineRule="auto"/>
        <w:rPr>
          <w:rFonts w:ascii="宋体" w:hAnsi="宋体"/>
          <w:color w:val="auto"/>
          <w:sz w:val="24"/>
        </w:rPr>
      </w:pPr>
      <w:r>
        <w:rPr>
          <w:rFonts w:hint="eastAsia" w:ascii="宋体" w:hAnsi="宋体"/>
          <w:color w:val="auto"/>
          <w:sz w:val="24"/>
        </w:rPr>
        <w:t>18.2 仲裁裁决应为最终裁决，对双方均具有约束力，当事人应当履行。当事人一方在规定时间内不履行仲裁机构的仲裁裁决的，另一方可以申请人民法院强制执行。</w:t>
      </w:r>
    </w:p>
    <w:p w14:paraId="48B67DCF">
      <w:pPr>
        <w:tabs>
          <w:tab w:val="left" w:pos="900"/>
        </w:tabs>
        <w:spacing w:before="120" w:line="360" w:lineRule="auto"/>
        <w:rPr>
          <w:rFonts w:ascii="宋体" w:hAnsi="宋体"/>
          <w:color w:val="auto"/>
          <w:sz w:val="24"/>
        </w:rPr>
      </w:pPr>
      <w:r>
        <w:rPr>
          <w:rFonts w:hint="eastAsia" w:ascii="宋体" w:hAnsi="宋体"/>
          <w:color w:val="auto"/>
          <w:sz w:val="24"/>
        </w:rPr>
        <w:t>18.3 仲裁费除仲裁机构另有裁决外，应由败诉方负担。</w:t>
      </w:r>
    </w:p>
    <w:p w14:paraId="28E2ECDC">
      <w:pPr>
        <w:spacing w:before="120" w:line="360" w:lineRule="auto"/>
        <w:rPr>
          <w:rFonts w:ascii="宋体" w:hAnsi="宋体"/>
          <w:color w:val="auto"/>
          <w:sz w:val="24"/>
        </w:rPr>
      </w:pPr>
      <w:r>
        <w:rPr>
          <w:rFonts w:hint="eastAsia" w:ascii="宋体" w:hAnsi="宋体"/>
          <w:color w:val="auto"/>
          <w:sz w:val="24"/>
        </w:rPr>
        <w:t>18.4 在仲裁期间，除正在进行仲裁的合同条款外，合同的其它部分应继续执行。</w:t>
      </w:r>
    </w:p>
    <w:p w14:paraId="402C469F">
      <w:pPr>
        <w:pStyle w:val="5"/>
        <w:spacing w:line="360" w:lineRule="auto"/>
        <w:rPr>
          <w:rFonts w:hAnsi="宋体"/>
          <w:color w:val="auto"/>
          <w:szCs w:val="24"/>
        </w:rPr>
      </w:pPr>
      <w:bookmarkStart w:id="954" w:name="_Toc310521926"/>
      <w:bookmarkStart w:id="955" w:name="_Toc487900367"/>
      <w:bookmarkStart w:id="956" w:name="_Toc413930835"/>
      <w:bookmarkStart w:id="957" w:name="_Toc310195750"/>
      <w:bookmarkStart w:id="958" w:name="_Toc329875500"/>
      <w:r>
        <w:rPr>
          <w:rFonts w:hint="eastAsia" w:hAnsi="宋体"/>
          <w:color w:val="auto"/>
          <w:szCs w:val="24"/>
        </w:rPr>
        <w:t>19. 违约解除合同</w:t>
      </w:r>
      <w:bookmarkEnd w:id="954"/>
      <w:bookmarkEnd w:id="955"/>
      <w:bookmarkEnd w:id="956"/>
      <w:bookmarkEnd w:id="957"/>
      <w:bookmarkEnd w:id="958"/>
    </w:p>
    <w:p w14:paraId="65BEAB5E">
      <w:pPr>
        <w:spacing w:before="120" w:line="360" w:lineRule="auto"/>
        <w:rPr>
          <w:rFonts w:ascii="宋体" w:hAnsi="宋体"/>
          <w:color w:val="auto"/>
          <w:sz w:val="24"/>
        </w:rPr>
      </w:pPr>
      <w:bookmarkStart w:id="959" w:name="_Ref467378234"/>
      <w:r>
        <w:rPr>
          <w:rFonts w:hint="eastAsia" w:ascii="宋体" w:hAnsi="宋体"/>
          <w:color w:val="auto"/>
          <w:sz w:val="24"/>
        </w:rPr>
        <w:t>19.1 在卖方违约的情况下，买方经政府采购监督管理部门同意后，可向卖方发出书面通知，部分或全部终止合同。同时保留向卖方追诉的权利。</w:t>
      </w:r>
      <w:bookmarkEnd w:id="959"/>
    </w:p>
    <w:p w14:paraId="6E36738F">
      <w:pPr>
        <w:spacing w:before="120" w:line="360" w:lineRule="auto"/>
        <w:rPr>
          <w:rFonts w:ascii="宋体" w:hAnsi="宋体"/>
          <w:color w:val="auto"/>
          <w:sz w:val="24"/>
        </w:rPr>
      </w:pPr>
      <w:r>
        <w:rPr>
          <w:rFonts w:hint="eastAsia" w:ascii="宋体" w:hAnsi="宋体"/>
          <w:color w:val="auto"/>
          <w:sz w:val="24"/>
        </w:rPr>
        <w:t xml:space="preserve">19.1.1 卖方未能在合同规定的限期或买方同意延长的限期内，提供全部或部分货物的； </w:t>
      </w:r>
    </w:p>
    <w:p w14:paraId="76B2DBBD">
      <w:pPr>
        <w:spacing w:before="120" w:line="360" w:lineRule="auto"/>
        <w:rPr>
          <w:rFonts w:ascii="宋体" w:hAnsi="宋体"/>
          <w:color w:val="auto"/>
          <w:sz w:val="24"/>
        </w:rPr>
      </w:pPr>
      <w:r>
        <w:rPr>
          <w:rFonts w:hint="eastAsia" w:ascii="宋体" w:hAnsi="宋体"/>
          <w:color w:val="auto"/>
          <w:sz w:val="24"/>
        </w:rPr>
        <w:t>19.1.2 卖方未能履行合同规定的其它主要义务的；</w:t>
      </w:r>
    </w:p>
    <w:p w14:paraId="362BFAFB">
      <w:pPr>
        <w:spacing w:before="120" w:line="360" w:lineRule="auto"/>
        <w:rPr>
          <w:rFonts w:ascii="宋体" w:hAnsi="宋体"/>
          <w:color w:val="auto"/>
          <w:sz w:val="24"/>
        </w:rPr>
      </w:pPr>
      <w:r>
        <w:rPr>
          <w:rFonts w:hint="eastAsia" w:ascii="宋体" w:hAnsi="宋体"/>
          <w:color w:val="auto"/>
          <w:sz w:val="24"/>
        </w:rPr>
        <w:t>19.1.3 买方认为卖方在本合同履行过程中有腐败和欺诈行为的。</w:t>
      </w:r>
    </w:p>
    <w:p w14:paraId="7E1E2882">
      <w:pPr>
        <w:spacing w:before="120" w:line="360" w:lineRule="auto"/>
        <w:rPr>
          <w:rFonts w:ascii="宋体" w:hAnsi="宋体"/>
          <w:color w:val="auto"/>
          <w:sz w:val="24"/>
        </w:rPr>
      </w:pPr>
      <w:r>
        <w:rPr>
          <w:rFonts w:hint="eastAsia" w:ascii="宋体" w:hAnsi="宋体"/>
          <w:color w:val="auto"/>
          <w:sz w:val="24"/>
        </w:rPr>
        <w:t>19.1.3.1“腐败行为”和“欺诈行为”定义如下:</w:t>
      </w:r>
    </w:p>
    <w:p w14:paraId="39CA7F42">
      <w:pPr>
        <w:spacing w:before="120" w:line="360" w:lineRule="auto"/>
        <w:rPr>
          <w:rFonts w:ascii="宋体" w:hAnsi="宋体"/>
          <w:color w:val="auto"/>
          <w:sz w:val="24"/>
        </w:rPr>
      </w:pPr>
      <w:r>
        <w:rPr>
          <w:rFonts w:hint="eastAsia" w:ascii="宋体" w:hAnsi="宋体"/>
          <w:color w:val="auto"/>
          <w:sz w:val="24"/>
        </w:rPr>
        <w:t>19.1.3.1.1“腐败行为”是指提供/给予/接受或索取任何有价值的东西来影响买方在合同签定、履行过程中的行为。</w:t>
      </w:r>
    </w:p>
    <w:p w14:paraId="6E08EFCD">
      <w:pPr>
        <w:spacing w:before="120" w:line="360" w:lineRule="auto"/>
        <w:rPr>
          <w:rFonts w:ascii="宋体" w:hAnsi="宋体"/>
          <w:color w:val="auto"/>
          <w:sz w:val="24"/>
        </w:rPr>
      </w:pPr>
      <w:r>
        <w:rPr>
          <w:rFonts w:hint="eastAsia" w:ascii="宋体" w:hAnsi="宋体"/>
          <w:color w:val="auto"/>
          <w:sz w:val="24"/>
        </w:rPr>
        <w:t>19.1.3.1.2“欺诈行为”是指为了影响合同签定、履行过程中，以谎报事实的方法，损害买方的利益的行为。</w:t>
      </w:r>
    </w:p>
    <w:p w14:paraId="2228C647">
      <w:pPr>
        <w:spacing w:before="120" w:line="360" w:lineRule="auto"/>
        <w:rPr>
          <w:rFonts w:ascii="宋体" w:hAnsi="宋体"/>
          <w:color w:val="auto"/>
          <w:sz w:val="24"/>
        </w:rPr>
      </w:pPr>
      <w:r>
        <w:rPr>
          <w:rFonts w:hint="eastAsia" w:ascii="宋体" w:hAnsi="宋体"/>
          <w:color w:val="auto"/>
          <w:sz w:val="24"/>
        </w:rPr>
        <w:t>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14:paraId="2E7EFD0D">
      <w:pPr>
        <w:pStyle w:val="5"/>
        <w:spacing w:line="360" w:lineRule="auto"/>
        <w:rPr>
          <w:rFonts w:hAnsi="宋体"/>
          <w:color w:val="auto"/>
          <w:szCs w:val="24"/>
        </w:rPr>
      </w:pPr>
      <w:bookmarkStart w:id="960" w:name="_Toc413930836"/>
      <w:bookmarkStart w:id="961" w:name="_Toc329875501"/>
      <w:bookmarkStart w:id="962" w:name="_Toc487900368"/>
      <w:bookmarkStart w:id="963" w:name="_Toc310195751"/>
      <w:bookmarkStart w:id="964" w:name="_Toc310521927"/>
      <w:r>
        <w:rPr>
          <w:rFonts w:hint="eastAsia" w:hAnsi="宋体"/>
          <w:color w:val="auto"/>
          <w:szCs w:val="24"/>
        </w:rPr>
        <w:t>20. 破产终止合同</w:t>
      </w:r>
      <w:bookmarkEnd w:id="960"/>
      <w:bookmarkEnd w:id="961"/>
      <w:bookmarkEnd w:id="962"/>
      <w:bookmarkEnd w:id="963"/>
      <w:bookmarkEnd w:id="964"/>
    </w:p>
    <w:p w14:paraId="576D6915">
      <w:pPr>
        <w:spacing w:before="120" w:line="360" w:lineRule="auto"/>
        <w:rPr>
          <w:rFonts w:ascii="宋体" w:hAnsi="宋体"/>
          <w:color w:val="auto"/>
          <w:sz w:val="24"/>
        </w:rPr>
      </w:pPr>
      <w:r>
        <w:rPr>
          <w:rFonts w:hint="eastAsia" w:ascii="宋体" w:hAnsi="宋体"/>
          <w:color w:val="auto"/>
          <w:sz w:val="24"/>
        </w:rPr>
        <w:t>20.1 如果卖方破产或无清偿能力时，买方经报政府采购监督管理部门同意后，可在任何时候以书面通知卖方，提出终止合同而不给卖方补偿。该合同的终止将不损害或影响买方已经采取或将要采取的任何行动或补救措施的权利。</w:t>
      </w:r>
    </w:p>
    <w:p w14:paraId="144F4CCE">
      <w:pPr>
        <w:pStyle w:val="5"/>
        <w:spacing w:line="360" w:lineRule="auto"/>
        <w:rPr>
          <w:rFonts w:hAnsi="宋体"/>
          <w:color w:val="auto"/>
          <w:szCs w:val="24"/>
        </w:rPr>
      </w:pPr>
      <w:bookmarkStart w:id="965" w:name="_Toc413930837"/>
      <w:bookmarkStart w:id="966" w:name="_Toc487900369"/>
      <w:bookmarkStart w:id="967" w:name="_Toc329875502"/>
      <w:bookmarkStart w:id="968" w:name="_Toc310521928"/>
      <w:bookmarkStart w:id="969" w:name="_Toc310195752"/>
      <w:r>
        <w:rPr>
          <w:rFonts w:hint="eastAsia" w:hAnsi="宋体"/>
          <w:color w:val="auto"/>
          <w:szCs w:val="24"/>
        </w:rPr>
        <w:t>21. 转让和分包</w:t>
      </w:r>
      <w:bookmarkEnd w:id="965"/>
      <w:bookmarkEnd w:id="966"/>
      <w:bookmarkEnd w:id="967"/>
      <w:bookmarkEnd w:id="968"/>
      <w:bookmarkEnd w:id="969"/>
    </w:p>
    <w:p w14:paraId="72FD8F1C">
      <w:pPr>
        <w:spacing w:before="120" w:line="360" w:lineRule="auto"/>
        <w:rPr>
          <w:rFonts w:ascii="宋体" w:hAnsi="宋体"/>
          <w:color w:val="auto"/>
          <w:sz w:val="24"/>
        </w:rPr>
      </w:pPr>
      <w:r>
        <w:rPr>
          <w:rFonts w:hint="eastAsia" w:ascii="宋体" w:hAnsi="宋体"/>
          <w:color w:val="auto"/>
          <w:sz w:val="24"/>
        </w:rPr>
        <w:t xml:space="preserve">21.1 </w:t>
      </w:r>
      <w:r>
        <w:rPr>
          <w:rFonts w:hint="eastAsia" w:ascii="宋体" w:hAnsi="宋体"/>
          <w:b/>
          <w:color w:val="auto"/>
          <w:sz w:val="24"/>
        </w:rPr>
        <w:t>政府采购合同不能转让。</w:t>
      </w:r>
    </w:p>
    <w:p w14:paraId="202429F9">
      <w:pPr>
        <w:spacing w:before="120" w:line="360" w:lineRule="auto"/>
        <w:rPr>
          <w:rFonts w:ascii="宋体" w:hAnsi="宋体"/>
          <w:color w:val="auto"/>
          <w:sz w:val="24"/>
        </w:rPr>
      </w:pPr>
      <w:r>
        <w:rPr>
          <w:rFonts w:hint="eastAsia" w:ascii="宋体" w:hAnsi="宋体"/>
          <w:color w:val="auto"/>
          <w:sz w:val="24"/>
        </w:rPr>
        <w:t>21.2 经买方和政府采购监督管理部门事先书面同意 卖方可以将合同项下非主体、非关键性工作分包给他人完成。接受分包的人应当具备相应的资格条件，并不得再次分包。分包不能解除卖方履行本合同的责任和义务。</w:t>
      </w:r>
    </w:p>
    <w:p w14:paraId="59178000">
      <w:pPr>
        <w:pStyle w:val="5"/>
        <w:spacing w:line="360" w:lineRule="auto"/>
        <w:rPr>
          <w:rFonts w:hAnsi="宋体"/>
          <w:color w:val="auto"/>
          <w:szCs w:val="24"/>
        </w:rPr>
      </w:pPr>
      <w:bookmarkStart w:id="970" w:name="_Toc329875503"/>
      <w:bookmarkStart w:id="971" w:name="_Toc310195753"/>
      <w:bookmarkStart w:id="972" w:name="_Toc310521929"/>
      <w:bookmarkStart w:id="973" w:name="_Toc487900370"/>
      <w:bookmarkStart w:id="974" w:name="_Toc413930838"/>
      <w:r>
        <w:rPr>
          <w:rFonts w:hint="eastAsia" w:hAnsi="宋体"/>
          <w:color w:val="auto"/>
          <w:szCs w:val="24"/>
        </w:rPr>
        <w:t>22. 合同修改</w:t>
      </w:r>
      <w:bookmarkEnd w:id="970"/>
      <w:bookmarkEnd w:id="971"/>
      <w:bookmarkEnd w:id="972"/>
      <w:bookmarkEnd w:id="973"/>
      <w:bookmarkEnd w:id="974"/>
    </w:p>
    <w:p w14:paraId="2499B210">
      <w:pPr>
        <w:spacing w:before="120" w:line="360" w:lineRule="auto"/>
        <w:rPr>
          <w:rFonts w:ascii="宋体" w:hAnsi="宋体"/>
          <w:color w:val="auto"/>
          <w:sz w:val="24"/>
        </w:rPr>
      </w:pPr>
      <w:r>
        <w:rPr>
          <w:rFonts w:hint="eastAsia" w:ascii="宋体" w:hAnsi="宋体"/>
          <w:color w:val="auto"/>
          <w:sz w:val="24"/>
        </w:rPr>
        <w:t>22.1 买方和卖方都不得擅自变更本合同，但合同继续履行将损害国家和社会公共利益的除外。如必须对合同条款进行改动时，由双方当事人提出书面的合同修改意见，并经政府采购监督管理部门同意后签署。</w:t>
      </w:r>
    </w:p>
    <w:p w14:paraId="5EDCA16D">
      <w:pPr>
        <w:pStyle w:val="5"/>
        <w:spacing w:line="360" w:lineRule="auto"/>
        <w:rPr>
          <w:rFonts w:hAnsi="宋体"/>
          <w:color w:val="auto"/>
          <w:szCs w:val="24"/>
        </w:rPr>
      </w:pPr>
      <w:bookmarkStart w:id="975" w:name="_Toc413930839"/>
      <w:bookmarkStart w:id="976" w:name="_Toc310521930"/>
      <w:bookmarkStart w:id="977" w:name="_Toc329875504"/>
      <w:bookmarkStart w:id="978" w:name="_Toc487900371"/>
      <w:bookmarkStart w:id="979" w:name="_Toc310195754"/>
      <w:r>
        <w:rPr>
          <w:rFonts w:hint="eastAsia" w:hAnsi="宋体"/>
          <w:color w:val="auto"/>
          <w:szCs w:val="24"/>
        </w:rPr>
        <w:t>23. 通知</w:t>
      </w:r>
      <w:bookmarkEnd w:id="975"/>
      <w:bookmarkEnd w:id="976"/>
      <w:bookmarkEnd w:id="977"/>
      <w:bookmarkEnd w:id="978"/>
      <w:bookmarkEnd w:id="979"/>
    </w:p>
    <w:p w14:paraId="6D76057B">
      <w:pPr>
        <w:spacing w:before="120" w:line="360" w:lineRule="auto"/>
        <w:rPr>
          <w:rFonts w:ascii="宋体" w:hAnsi="宋体"/>
          <w:color w:val="auto"/>
          <w:sz w:val="24"/>
        </w:rPr>
      </w:pPr>
      <w:r>
        <w:rPr>
          <w:rFonts w:hint="eastAsia" w:ascii="宋体" w:hAnsi="宋体"/>
          <w:color w:val="auto"/>
          <w:sz w:val="24"/>
        </w:rPr>
        <w:t>23.1 本合同任何一方给另一方的通知，都应以书面形式发送，而另一方也应以书面形式确认并发送到对方明确的地址。</w:t>
      </w:r>
    </w:p>
    <w:p w14:paraId="753FAC51">
      <w:pPr>
        <w:pStyle w:val="5"/>
        <w:spacing w:line="360" w:lineRule="auto"/>
        <w:rPr>
          <w:rFonts w:hAnsi="宋体"/>
          <w:color w:val="auto"/>
          <w:szCs w:val="24"/>
        </w:rPr>
      </w:pPr>
      <w:bookmarkStart w:id="980" w:name="_Toc310195755"/>
      <w:bookmarkStart w:id="981" w:name="_Toc413930840"/>
      <w:bookmarkStart w:id="982" w:name="_Toc487900372"/>
      <w:bookmarkStart w:id="983" w:name="_Toc310521931"/>
      <w:bookmarkStart w:id="984" w:name="_Toc329875505"/>
      <w:r>
        <w:rPr>
          <w:rFonts w:hint="eastAsia" w:hAnsi="宋体"/>
          <w:color w:val="auto"/>
          <w:szCs w:val="24"/>
        </w:rPr>
        <w:t>24. 计量单位</w:t>
      </w:r>
      <w:bookmarkEnd w:id="980"/>
      <w:bookmarkEnd w:id="981"/>
      <w:bookmarkEnd w:id="982"/>
      <w:bookmarkEnd w:id="983"/>
      <w:bookmarkEnd w:id="984"/>
    </w:p>
    <w:p w14:paraId="1CE6A8EA">
      <w:pPr>
        <w:spacing w:before="120" w:line="360" w:lineRule="auto"/>
        <w:rPr>
          <w:rFonts w:ascii="宋体" w:hAnsi="宋体"/>
          <w:color w:val="auto"/>
          <w:sz w:val="24"/>
        </w:rPr>
      </w:pPr>
      <w:r>
        <w:rPr>
          <w:rFonts w:hint="eastAsia" w:ascii="宋体" w:hAnsi="宋体"/>
          <w:color w:val="auto"/>
          <w:sz w:val="24"/>
        </w:rPr>
        <w:t>24.1 除技术规范中另有规定外,计量单位均使用国家法定计量单位。</w:t>
      </w:r>
    </w:p>
    <w:p w14:paraId="0EFB3414">
      <w:pPr>
        <w:pStyle w:val="5"/>
        <w:spacing w:line="360" w:lineRule="auto"/>
        <w:rPr>
          <w:rFonts w:hAnsi="宋体"/>
          <w:color w:val="auto"/>
          <w:szCs w:val="24"/>
        </w:rPr>
      </w:pPr>
      <w:bookmarkStart w:id="985" w:name="_Toc413930841"/>
      <w:bookmarkStart w:id="986" w:name="_Toc310195756"/>
      <w:bookmarkStart w:id="987" w:name="_Toc310521932"/>
      <w:bookmarkStart w:id="988" w:name="_Toc329875506"/>
      <w:bookmarkStart w:id="989" w:name="_Toc487900373"/>
      <w:r>
        <w:rPr>
          <w:rFonts w:hint="eastAsia" w:hAnsi="宋体"/>
          <w:color w:val="auto"/>
          <w:szCs w:val="24"/>
        </w:rPr>
        <w:t>25. 适用法律</w:t>
      </w:r>
      <w:bookmarkEnd w:id="985"/>
      <w:bookmarkEnd w:id="986"/>
      <w:bookmarkEnd w:id="987"/>
      <w:bookmarkEnd w:id="988"/>
      <w:bookmarkEnd w:id="989"/>
    </w:p>
    <w:p w14:paraId="28AEA36D">
      <w:pPr>
        <w:spacing w:before="120" w:line="360" w:lineRule="auto"/>
        <w:rPr>
          <w:rFonts w:ascii="宋体" w:hAnsi="宋体"/>
          <w:color w:val="auto"/>
          <w:sz w:val="24"/>
        </w:rPr>
      </w:pPr>
      <w:r>
        <w:rPr>
          <w:rFonts w:hint="eastAsia" w:ascii="宋体" w:hAnsi="宋体"/>
          <w:color w:val="auto"/>
          <w:sz w:val="24"/>
        </w:rPr>
        <w:t>25.1 本合同应按照中华人民共和国的法律进行解释。</w:t>
      </w:r>
    </w:p>
    <w:p w14:paraId="11BB1DF0">
      <w:pPr>
        <w:pStyle w:val="5"/>
        <w:spacing w:line="360" w:lineRule="auto"/>
        <w:rPr>
          <w:rFonts w:hAnsi="宋体"/>
          <w:color w:val="auto"/>
          <w:szCs w:val="24"/>
        </w:rPr>
      </w:pPr>
      <w:bookmarkStart w:id="990" w:name="_Toc487900374"/>
      <w:bookmarkStart w:id="991" w:name="_Toc329875507"/>
      <w:bookmarkStart w:id="992" w:name="_Toc310521933"/>
      <w:bookmarkStart w:id="993" w:name="_Toc310195757"/>
      <w:bookmarkStart w:id="994" w:name="_Toc413930842"/>
      <w:r>
        <w:rPr>
          <w:rFonts w:hint="eastAsia" w:hAnsi="宋体"/>
          <w:color w:val="auto"/>
          <w:szCs w:val="24"/>
        </w:rPr>
        <w:t>26. 合同生效</w:t>
      </w:r>
      <w:bookmarkEnd w:id="990"/>
      <w:r>
        <w:rPr>
          <w:rFonts w:hint="eastAsia" w:hAnsi="宋体"/>
          <w:color w:val="auto"/>
          <w:szCs w:val="24"/>
        </w:rPr>
        <w:t>和其它</w:t>
      </w:r>
      <w:bookmarkEnd w:id="991"/>
      <w:bookmarkEnd w:id="992"/>
      <w:bookmarkEnd w:id="993"/>
      <w:bookmarkEnd w:id="994"/>
    </w:p>
    <w:p w14:paraId="231B6002">
      <w:pPr>
        <w:pStyle w:val="72"/>
        <w:spacing w:line="360" w:lineRule="auto"/>
        <w:ind w:left="2" w:firstLine="0"/>
        <w:rPr>
          <w:rFonts w:hAnsi="宋体"/>
          <w:color w:val="auto"/>
          <w:sz w:val="24"/>
          <w:szCs w:val="24"/>
        </w:rPr>
      </w:pPr>
      <w:r>
        <w:rPr>
          <w:rFonts w:hint="eastAsia" w:hAnsi="宋体"/>
          <w:color w:val="auto"/>
          <w:sz w:val="24"/>
          <w:szCs w:val="24"/>
        </w:rPr>
        <w:t xml:space="preserve">26.1 </w:t>
      </w:r>
      <w:r>
        <w:rPr>
          <w:rFonts w:hint="eastAsia" w:hAnsi="宋体"/>
          <w:color w:val="auto"/>
          <w:kern w:val="2"/>
          <w:sz w:val="24"/>
          <w:szCs w:val="24"/>
        </w:rPr>
        <w:t>政府采购项目的采购合同内容的确定应以谈判文件和报价文件为基础，不得违背其实质性内容。政府采购项目的采购合同自签订之日起七个工作日内，买方应当将合同副本报同级政府采购监督管理部门备案。合同将在双方签字盖章后开始生效。</w:t>
      </w:r>
    </w:p>
    <w:p w14:paraId="32614DA9">
      <w:pPr>
        <w:spacing w:line="360" w:lineRule="auto"/>
        <w:rPr>
          <w:color w:val="auto"/>
        </w:rPr>
      </w:pPr>
      <w:r>
        <w:rPr>
          <w:rFonts w:hint="eastAsia" w:ascii="宋体" w:hAnsi="宋体"/>
          <w:color w:val="auto"/>
          <w:sz w:val="24"/>
          <w:szCs w:val="24"/>
        </w:rPr>
        <w:t>26.2 本合同一式</w:t>
      </w:r>
      <w:r>
        <w:rPr>
          <w:rFonts w:hint="eastAsia" w:ascii="宋体" w:hAnsi="宋体"/>
          <w:color w:val="auto"/>
          <w:sz w:val="24"/>
          <w:szCs w:val="24"/>
          <w:u w:val="single"/>
          <w:lang w:val="en-US" w:eastAsia="zh-CN"/>
        </w:rPr>
        <w:t>5</w:t>
      </w:r>
      <w:r>
        <w:rPr>
          <w:rFonts w:hint="eastAsia" w:ascii="宋体" w:hAnsi="宋体"/>
          <w:color w:val="auto"/>
          <w:sz w:val="24"/>
          <w:szCs w:val="24"/>
        </w:rPr>
        <w:t>份，具有同等法律效力。买方执</w:t>
      </w:r>
      <w:r>
        <w:rPr>
          <w:rFonts w:hint="eastAsia" w:ascii="宋体" w:hAnsi="宋体"/>
          <w:color w:val="auto"/>
          <w:sz w:val="24"/>
          <w:szCs w:val="24"/>
          <w:u w:val="single"/>
        </w:rPr>
        <w:t>2</w:t>
      </w:r>
      <w:r>
        <w:rPr>
          <w:rFonts w:hint="eastAsia" w:ascii="宋体" w:hAnsi="宋体"/>
          <w:color w:val="auto"/>
          <w:sz w:val="24"/>
          <w:szCs w:val="24"/>
        </w:rPr>
        <w:t>份，卖方,执</w:t>
      </w:r>
      <w:r>
        <w:rPr>
          <w:rFonts w:hint="eastAsia" w:ascii="宋体" w:hAnsi="宋体"/>
          <w:color w:val="auto"/>
          <w:sz w:val="24"/>
          <w:szCs w:val="24"/>
          <w:u w:val="single"/>
        </w:rPr>
        <w:t>2</w:t>
      </w:r>
      <w:r>
        <w:rPr>
          <w:rFonts w:hint="eastAsia" w:ascii="宋体" w:hAnsi="宋体"/>
          <w:color w:val="auto"/>
          <w:sz w:val="24"/>
          <w:szCs w:val="24"/>
        </w:rPr>
        <w:t>份，采购代理机构执</w:t>
      </w:r>
      <w:r>
        <w:rPr>
          <w:rFonts w:hint="eastAsia" w:ascii="宋体" w:hAnsi="宋体"/>
          <w:color w:val="auto"/>
          <w:sz w:val="24"/>
          <w:szCs w:val="24"/>
          <w:u w:val="single"/>
          <w:lang w:val="en-US" w:eastAsia="zh-CN"/>
        </w:rPr>
        <w:t>1</w:t>
      </w:r>
      <w:r>
        <w:rPr>
          <w:rFonts w:hint="eastAsia" w:ascii="宋体" w:hAnsi="宋体"/>
          <w:color w:val="auto"/>
          <w:sz w:val="24"/>
          <w:szCs w:val="24"/>
        </w:rPr>
        <w:t>份。</w:t>
      </w:r>
      <w:bookmarkEnd w:id="831"/>
      <w:bookmarkEnd w:id="832"/>
    </w:p>
    <w:p w14:paraId="4CC6D8CA">
      <w:pPr>
        <w:spacing w:line="360" w:lineRule="auto"/>
        <w:rPr>
          <w:color w:val="auto"/>
        </w:rPr>
      </w:pPr>
    </w:p>
    <w:p w14:paraId="3B125FD7">
      <w:pPr>
        <w:spacing w:line="360" w:lineRule="auto"/>
        <w:rPr>
          <w:color w:val="auto"/>
        </w:rPr>
      </w:pPr>
    </w:p>
    <w:p w14:paraId="7599C0B0">
      <w:pPr>
        <w:spacing w:before="120" w:line="360" w:lineRule="auto"/>
        <w:jc w:val="center"/>
        <w:rPr>
          <w:rFonts w:hint="eastAsia" w:ascii="宋体" w:hAnsi="宋体" w:eastAsia="宋体" w:cs="宋体"/>
          <w:color w:val="auto"/>
        </w:rPr>
      </w:pPr>
      <w:r>
        <w:rPr>
          <w:color w:val="auto"/>
        </w:rPr>
        <w:br w:type="page"/>
      </w:r>
      <w:r>
        <w:rPr>
          <w:rFonts w:hint="eastAsia" w:ascii="宋体" w:hAnsi="宋体" w:eastAsia="宋体" w:cs="宋体"/>
          <w:b/>
          <w:bCs/>
          <w:color w:val="auto"/>
          <w:sz w:val="28"/>
          <w:szCs w:val="28"/>
        </w:rPr>
        <w:t>合同专用条款</w:t>
      </w:r>
    </w:p>
    <w:p w14:paraId="3944E85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合同专用条款是合同一般条款的补充和修改。如果两者之间有抵触，应以专用条款为准。合同专用条款的序号将与合同一般条款序号相对应。</w:t>
      </w:r>
    </w:p>
    <w:p w14:paraId="736AA48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b/>
          <w:color w:val="auto"/>
          <w:sz w:val="24"/>
        </w:rPr>
      </w:pPr>
      <w:r>
        <w:rPr>
          <w:rFonts w:hint="eastAsia" w:ascii="宋体" w:hAnsi="宋体" w:eastAsia="宋体" w:cs="宋体"/>
          <w:bCs/>
          <w:color w:val="auto"/>
          <w:sz w:val="24"/>
        </w:rPr>
        <w:t>1、定义</w:t>
      </w:r>
      <w:r>
        <w:rPr>
          <w:rFonts w:hint="eastAsia" w:ascii="宋体" w:hAnsi="宋体" w:eastAsia="宋体" w:cs="宋体"/>
          <w:b/>
          <w:color w:val="auto"/>
          <w:sz w:val="24"/>
        </w:rPr>
        <w:t>：</w:t>
      </w:r>
    </w:p>
    <w:p w14:paraId="2F21903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1.5  买方：本合同买方系指：</w:t>
      </w:r>
      <w:r>
        <w:rPr>
          <w:rFonts w:hint="eastAsia" w:ascii="宋体" w:hAnsi="宋体" w:cs="宋体"/>
          <w:color w:val="auto"/>
          <w:sz w:val="24"/>
          <w:u w:val="single"/>
          <w:lang w:val="en-US" w:eastAsia="zh-CN"/>
        </w:rPr>
        <w:t>北京市怀柔区国防动员办公室</w:t>
      </w:r>
      <w:r>
        <w:rPr>
          <w:rFonts w:hint="eastAsia" w:ascii="宋体" w:hAnsi="宋体" w:eastAsia="宋体" w:cs="宋体"/>
          <w:color w:val="auto"/>
          <w:sz w:val="24"/>
        </w:rPr>
        <w:t>。</w:t>
      </w:r>
    </w:p>
    <w:p w14:paraId="0629983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1.6  卖方：本合同卖方系指：</w:t>
      </w:r>
      <w:r>
        <w:rPr>
          <w:rFonts w:hint="eastAsia" w:ascii="宋体" w:hAnsi="宋体" w:eastAsia="宋体" w:cs="宋体"/>
          <w:color w:val="auto"/>
          <w:sz w:val="24"/>
          <w:u w:val="single"/>
        </w:rPr>
        <w:t>本项目中标单位（乙方）</w:t>
      </w:r>
      <w:r>
        <w:rPr>
          <w:rFonts w:hint="eastAsia" w:ascii="宋体" w:hAnsi="宋体" w:eastAsia="宋体" w:cs="宋体"/>
          <w:color w:val="auto"/>
          <w:sz w:val="24"/>
        </w:rPr>
        <w:t>。</w:t>
      </w:r>
    </w:p>
    <w:p w14:paraId="559EA3F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1.7  现场：本合同项下的服务地点位于：</w:t>
      </w:r>
      <w:r>
        <w:rPr>
          <w:rFonts w:hint="eastAsia" w:ascii="宋体" w:hAnsi="宋体" w:eastAsia="宋体" w:cs="宋体"/>
          <w:color w:val="auto"/>
          <w:sz w:val="24"/>
          <w:u w:val="single"/>
        </w:rPr>
        <w:t>用户指定</w:t>
      </w:r>
      <w:r>
        <w:rPr>
          <w:rFonts w:hint="eastAsia" w:ascii="宋体" w:hAnsi="宋体" w:eastAsia="宋体" w:cs="宋体"/>
          <w:color w:val="auto"/>
          <w:sz w:val="24"/>
        </w:rPr>
        <w:t>。</w:t>
      </w:r>
    </w:p>
    <w:p w14:paraId="53C61E5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6</w:t>
      </w:r>
      <w:r>
        <w:rPr>
          <w:rFonts w:hint="eastAsia" w:ascii="宋体" w:hAnsi="宋体" w:eastAsia="宋体" w:cs="宋体"/>
          <w:color w:val="auto"/>
          <w:sz w:val="24"/>
        </w:rPr>
        <w:t>、 交货方式</w:t>
      </w:r>
    </w:p>
    <w:p w14:paraId="0D08944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lang w:val="en-US" w:eastAsia="zh-CN"/>
        </w:rPr>
        <w:t>6</w:t>
      </w:r>
      <w:r>
        <w:rPr>
          <w:rFonts w:hint="eastAsia" w:ascii="宋体" w:hAnsi="宋体" w:eastAsia="宋体" w:cs="宋体"/>
          <w:color w:val="auto"/>
          <w:sz w:val="24"/>
        </w:rPr>
        <w:t>.1　本合同项下的产品交货方式为:</w:t>
      </w:r>
      <w:r>
        <w:rPr>
          <w:rFonts w:hint="eastAsia" w:ascii="宋体" w:hAnsi="宋体" w:eastAsia="宋体" w:cs="宋体"/>
          <w:color w:val="auto"/>
          <w:sz w:val="24"/>
          <w:highlight w:val="none"/>
          <w:u w:val="single"/>
        </w:rPr>
        <w:t>免费上门送货、安装、调试，所发生的各种费用均包含在投标报价之内，</w:t>
      </w:r>
      <w:r>
        <w:rPr>
          <w:rFonts w:hint="eastAsia" w:ascii="宋体" w:hAnsi="宋体" w:eastAsia="宋体" w:cs="宋体"/>
          <w:color w:val="auto"/>
          <w:sz w:val="24"/>
          <w:highlight w:val="none"/>
          <w:u w:val="single"/>
          <w:lang w:val="en-US" w:eastAsia="zh-CN"/>
        </w:rPr>
        <w:t>买方</w:t>
      </w:r>
      <w:r>
        <w:rPr>
          <w:rFonts w:hint="eastAsia" w:ascii="宋体" w:hAnsi="宋体" w:eastAsia="宋体" w:cs="宋体"/>
          <w:color w:val="auto"/>
          <w:sz w:val="24"/>
          <w:highlight w:val="none"/>
          <w:u w:val="single"/>
        </w:rPr>
        <w:t>在实施过程中不再另行支付。</w:t>
      </w:r>
    </w:p>
    <w:p w14:paraId="5F6BC4D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bCs/>
          <w:color w:val="auto"/>
          <w:sz w:val="24"/>
          <w:highlight w:val="none"/>
          <w:u w:val="single"/>
          <w:lang w:eastAsia="zh-CN"/>
        </w:rPr>
      </w:pPr>
      <w:r>
        <w:rPr>
          <w:rFonts w:hint="eastAsia" w:ascii="宋体" w:hAnsi="宋体" w:eastAsia="宋体" w:cs="宋体"/>
          <w:color w:val="auto"/>
          <w:sz w:val="24"/>
          <w:highlight w:val="none"/>
          <w:lang w:val="en-US" w:eastAsia="zh-CN"/>
        </w:rPr>
        <w:t>6.2</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交货期:</w:t>
      </w:r>
      <w:r>
        <w:rPr>
          <w:rFonts w:hint="eastAsia" w:ascii="宋体" w:hAnsi="宋体" w:cs="宋体"/>
          <w:color w:val="auto"/>
          <w:sz w:val="24"/>
          <w:highlight w:val="none"/>
          <w:u w:val="single"/>
          <w:lang w:eastAsia="zh-CN"/>
        </w:rPr>
        <w:t>自合同签订起120个日历天内完成送货、安装、调试等工作</w:t>
      </w:r>
      <w:r>
        <w:rPr>
          <w:rFonts w:hint="eastAsia" w:ascii="宋体" w:hAnsi="宋体" w:eastAsia="宋体" w:cs="宋体"/>
          <w:color w:val="auto"/>
          <w:sz w:val="24"/>
          <w:highlight w:val="none"/>
          <w:u w:val="single"/>
          <w:lang w:eastAsia="zh-CN"/>
        </w:rPr>
        <w:t>。</w:t>
      </w:r>
    </w:p>
    <w:p w14:paraId="014854C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9.付款</w:t>
      </w:r>
    </w:p>
    <w:p w14:paraId="354A4F2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9</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 xml:space="preserve"> 付款条件:</w:t>
      </w:r>
      <w:r>
        <w:rPr>
          <w:rFonts w:hint="eastAsia" w:ascii="宋体" w:hAnsi="宋体" w:eastAsia="宋体" w:cs="宋体"/>
          <w:color w:val="auto"/>
          <w:sz w:val="24"/>
          <w:highlight w:val="none"/>
          <w:u w:val="single"/>
        </w:rPr>
        <w:t>分</w:t>
      </w:r>
      <w:r>
        <w:rPr>
          <w:rFonts w:hint="eastAsia" w:ascii="宋体" w:hAnsi="宋体" w:cs="宋体"/>
          <w:color w:val="auto"/>
          <w:sz w:val="24"/>
          <w:highlight w:val="none"/>
          <w:u w:val="single"/>
          <w:lang w:val="en-US" w:eastAsia="zh-CN"/>
        </w:rPr>
        <w:t>3</w:t>
      </w:r>
      <w:r>
        <w:rPr>
          <w:rFonts w:hint="eastAsia" w:ascii="宋体" w:hAnsi="宋体" w:eastAsia="宋体" w:cs="宋体"/>
          <w:color w:val="auto"/>
          <w:sz w:val="24"/>
          <w:highlight w:val="none"/>
          <w:u w:val="single"/>
        </w:rPr>
        <w:t>次支付</w:t>
      </w:r>
    </w:p>
    <w:p w14:paraId="0B9B1504">
      <w:pPr>
        <w:pStyle w:val="43"/>
        <w:keepNext w:val="0"/>
        <w:keepLines w:val="0"/>
        <w:pageBreakBefore w:val="0"/>
        <w:widowControl/>
        <w:numPr>
          <w:ilvl w:val="0"/>
          <w:numId w:val="26"/>
        </w:numPr>
        <w:kinsoku w:val="0"/>
        <w:wordWrap/>
        <w:overflowPunct/>
        <w:topLinePunct w:val="0"/>
        <w:autoSpaceDE w:val="0"/>
        <w:autoSpaceDN w:val="0"/>
        <w:bidi w:val="0"/>
        <w:adjustRightInd w:val="0"/>
        <w:snapToGrid w:val="0"/>
        <w:spacing w:before="0" w:after="0" w:line="360" w:lineRule="auto"/>
        <w:ind w:left="0" w:leftChars="0" w:firstLine="480" w:firstLineChars="200"/>
        <w:textAlignment w:val="baseline"/>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签订合同后先支付合同总金额的</w:t>
      </w:r>
      <w:r>
        <w:rPr>
          <w:rFonts w:hint="eastAsia" w:cs="宋体"/>
          <w:color w:val="auto"/>
          <w:sz w:val="24"/>
          <w:highlight w:val="none"/>
          <w:u w:val="none"/>
          <w:lang w:val="en-US" w:eastAsia="zh-CN"/>
        </w:rPr>
        <w:t>40</w:t>
      </w:r>
      <w:r>
        <w:rPr>
          <w:rFonts w:hint="eastAsia" w:ascii="宋体" w:hAnsi="宋体" w:eastAsia="宋体" w:cs="宋体"/>
          <w:color w:val="auto"/>
          <w:sz w:val="24"/>
          <w:highlight w:val="none"/>
          <w:u w:val="none"/>
          <w:lang w:val="en-US" w:eastAsia="zh-CN"/>
        </w:rPr>
        <w:t>%；</w:t>
      </w:r>
    </w:p>
    <w:p w14:paraId="775B7906">
      <w:pPr>
        <w:pStyle w:val="43"/>
        <w:keepNext w:val="0"/>
        <w:keepLines w:val="0"/>
        <w:pageBreakBefore w:val="0"/>
        <w:widowControl/>
        <w:numPr>
          <w:ilvl w:val="0"/>
          <w:numId w:val="26"/>
        </w:numPr>
        <w:kinsoku w:val="0"/>
        <w:wordWrap/>
        <w:overflowPunct/>
        <w:topLinePunct w:val="0"/>
        <w:autoSpaceDE w:val="0"/>
        <w:autoSpaceDN w:val="0"/>
        <w:bidi w:val="0"/>
        <w:adjustRightInd w:val="0"/>
        <w:snapToGrid w:val="0"/>
        <w:spacing w:before="0" w:after="0" w:line="360" w:lineRule="auto"/>
        <w:ind w:left="0" w:leftChars="0" w:firstLine="480" w:firstLineChars="200"/>
        <w:textAlignment w:val="baseline"/>
        <w:rPr>
          <w:rFonts w:hint="eastAsia"/>
          <w:color w:val="auto"/>
          <w:lang w:val="en-US" w:eastAsia="zh-CN"/>
        </w:rPr>
      </w:pPr>
      <w:r>
        <w:rPr>
          <w:rFonts w:hint="eastAsia" w:ascii="宋体" w:hAnsi="宋体" w:cs="宋体"/>
          <w:color w:val="auto"/>
          <w:sz w:val="24"/>
          <w:highlight w:val="none"/>
          <w:u w:val="none"/>
          <w:lang w:val="en-US" w:eastAsia="zh-CN"/>
        </w:rPr>
        <w:t>产品到货后</w:t>
      </w:r>
      <w:r>
        <w:rPr>
          <w:rFonts w:hint="eastAsia" w:ascii="宋体" w:hAnsi="宋体" w:eastAsia="宋体" w:cs="宋体"/>
          <w:color w:val="auto"/>
          <w:sz w:val="24"/>
          <w:highlight w:val="none"/>
          <w:u w:val="none"/>
          <w:lang w:val="en-US" w:eastAsia="zh-CN"/>
        </w:rPr>
        <w:t>支付合同总金额</w:t>
      </w:r>
      <w:r>
        <w:rPr>
          <w:rFonts w:hint="eastAsia" w:ascii="宋体" w:hAnsi="宋体" w:cs="宋体"/>
          <w:color w:val="auto"/>
          <w:sz w:val="24"/>
          <w:highlight w:val="none"/>
          <w:u w:val="none"/>
          <w:lang w:val="en-US" w:eastAsia="zh-CN"/>
        </w:rPr>
        <w:t>的40</w:t>
      </w:r>
      <w:r>
        <w:rPr>
          <w:rFonts w:hint="eastAsia" w:ascii="宋体" w:hAnsi="宋体" w:eastAsia="宋体" w:cs="宋体"/>
          <w:color w:val="auto"/>
          <w:sz w:val="24"/>
          <w:highlight w:val="none"/>
          <w:u w:val="none"/>
          <w:lang w:val="en-US" w:eastAsia="zh-CN"/>
        </w:rPr>
        <w:t>%</w:t>
      </w:r>
      <w:r>
        <w:rPr>
          <w:rFonts w:hint="eastAsia" w:ascii="宋体" w:hAnsi="宋体" w:cs="宋体"/>
          <w:color w:val="auto"/>
          <w:sz w:val="24"/>
          <w:highlight w:val="none"/>
          <w:u w:val="none"/>
          <w:lang w:val="en-US" w:eastAsia="zh-CN"/>
        </w:rPr>
        <w:t>；</w:t>
      </w:r>
    </w:p>
    <w:p w14:paraId="04F01E56">
      <w:pPr>
        <w:pStyle w:val="44"/>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80" w:firstLineChars="200"/>
        <w:textAlignment w:val="baseline"/>
        <w:rPr>
          <w:rFonts w:hint="eastAsia" w:ascii="宋体" w:hAnsi="宋体" w:eastAsia="宋体" w:cs="宋体"/>
          <w:color w:val="auto"/>
          <w:sz w:val="24"/>
          <w:highlight w:val="none"/>
          <w:u w:val="none"/>
          <w:lang w:val="en-US" w:eastAsia="zh-CN"/>
        </w:rPr>
      </w:pPr>
      <w:r>
        <w:rPr>
          <w:rFonts w:hint="eastAsia" w:ascii="宋体" w:hAnsi="宋体" w:cs="宋体"/>
          <w:color w:val="auto"/>
          <w:sz w:val="24"/>
          <w:highlight w:val="none"/>
          <w:u w:val="none"/>
          <w:lang w:val="en-US" w:eastAsia="zh-CN"/>
        </w:rPr>
        <w:t>3</w:t>
      </w:r>
      <w:r>
        <w:rPr>
          <w:rFonts w:hint="eastAsia" w:ascii="宋体" w:hAnsi="宋体" w:eastAsia="宋体" w:cs="宋体"/>
          <w:color w:val="auto"/>
          <w:sz w:val="24"/>
          <w:highlight w:val="none"/>
          <w:u w:val="none"/>
          <w:lang w:val="en-US" w:eastAsia="zh-CN"/>
        </w:rPr>
        <w:t>）项目完成</w:t>
      </w:r>
      <w:r>
        <w:rPr>
          <w:rFonts w:hint="eastAsia" w:ascii="宋体" w:hAnsi="宋体" w:cs="宋体"/>
          <w:color w:val="auto"/>
          <w:sz w:val="24"/>
          <w:highlight w:val="none"/>
          <w:u w:val="none"/>
          <w:lang w:val="en-US" w:eastAsia="zh-CN"/>
        </w:rPr>
        <w:t>并</w:t>
      </w:r>
      <w:r>
        <w:rPr>
          <w:rFonts w:hint="eastAsia" w:ascii="宋体" w:hAnsi="宋体" w:eastAsia="宋体" w:cs="宋体"/>
          <w:color w:val="auto"/>
          <w:sz w:val="24"/>
          <w:highlight w:val="none"/>
          <w:u w:val="none"/>
          <w:lang w:val="en-US" w:eastAsia="zh-CN"/>
        </w:rPr>
        <w:t>验收合格后支付</w:t>
      </w:r>
      <w:r>
        <w:rPr>
          <w:rFonts w:hint="eastAsia" w:ascii="宋体" w:hAnsi="宋体" w:cs="宋体"/>
          <w:color w:val="auto"/>
          <w:sz w:val="24"/>
          <w:highlight w:val="none"/>
          <w:u w:val="none"/>
          <w:lang w:val="en-US" w:eastAsia="zh-CN"/>
        </w:rPr>
        <w:t>剩余尾款</w:t>
      </w:r>
      <w:r>
        <w:rPr>
          <w:rFonts w:hint="eastAsia" w:ascii="宋体" w:hAnsi="宋体" w:eastAsia="宋体" w:cs="宋体"/>
          <w:color w:val="auto"/>
          <w:sz w:val="24"/>
          <w:highlight w:val="none"/>
          <w:u w:val="none"/>
          <w:lang w:val="en-US" w:eastAsia="zh-CN"/>
        </w:rPr>
        <w:t>。</w:t>
      </w:r>
    </w:p>
    <w:p w14:paraId="2E7CC616">
      <w:pPr>
        <w:pStyle w:val="43"/>
        <w:keepNext w:val="0"/>
        <w:keepLines w:val="0"/>
        <w:pageBreakBefore w:val="0"/>
        <w:numPr>
          <w:ilvl w:val="0"/>
          <w:numId w:val="0"/>
        </w:numPr>
        <w:wordWrap/>
        <w:overflowPunct/>
        <w:topLinePunct w:val="0"/>
        <w:bidi w:val="0"/>
        <w:spacing w:before="0" w:after="0" w:line="360" w:lineRule="auto"/>
        <w:ind w:left="0" w:leftChars="0" w:firstLine="480" w:firstLineChars="200"/>
        <w:rPr>
          <w:rFonts w:hint="eastAsia" w:ascii="宋体" w:hAnsi="宋体" w:eastAsia="宋体" w:cs="宋体"/>
          <w:color w:val="auto"/>
          <w:sz w:val="24"/>
          <w:highlight w:val="none"/>
          <w:u w:val="none"/>
          <w:lang w:eastAsia="zh-CN"/>
        </w:rPr>
      </w:pPr>
      <w:r>
        <w:rPr>
          <w:rFonts w:hint="eastAsia" w:ascii="宋体" w:hAnsi="宋体" w:eastAsia="宋体" w:cs="宋体"/>
          <w:color w:val="auto"/>
          <w:sz w:val="24"/>
          <w:highlight w:val="none"/>
          <w:u w:val="none"/>
          <w:lang w:val="en-US" w:eastAsia="zh-CN"/>
        </w:rPr>
        <w:t>每次支付费用前，卖方应向买方出具等额的增值税普通发票。买方未收到卖方提供的正规发票前，可拒绝付款，且不承担逾期付款的违约责</w:t>
      </w:r>
      <w:r>
        <w:rPr>
          <w:rFonts w:hint="eastAsia" w:ascii="宋体" w:hAnsi="宋体" w:eastAsia="宋体" w:cs="宋体"/>
          <w:color w:val="auto"/>
          <w:sz w:val="24"/>
          <w:highlight w:val="none"/>
          <w:u w:val="none"/>
          <w:lang w:eastAsia="zh-CN"/>
        </w:rPr>
        <w:t>。</w:t>
      </w:r>
    </w:p>
    <w:p w14:paraId="540936B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9.2履约保证金</w:t>
      </w:r>
    </w:p>
    <w:p w14:paraId="56F84C92">
      <w:pPr>
        <w:keepNext w:val="0"/>
        <w:keepLines w:val="0"/>
        <w:pageBreakBefore w:val="0"/>
        <w:wordWrap/>
        <w:overflowPunct/>
        <w:topLinePunct w:val="0"/>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履约保证金金额：</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highlight w:val="none"/>
          <w:u w:val="none"/>
          <w:lang w:val="en-US" w:eastAsia="zh-CN"/>
        </w:rPr>
        <w:t>总</w:t>
      </w:r>
      <w:r>
        <w:rPr>
          <w:rFonts w:hint="eastAsia" w:ascii="宋体" w:hAnsi="宋体" w:eastAsia="宋体" w:cs="宋体"/>
          <w:color w:val="auto"/>
          <w:sz w:val="24"/>
          <w:szCs w:val="24"/>
          <w:highlight w:val="none"/>
          <w:lang w:val="en-US" w:eastAsia="zh-CN"/>
        </w:rPr>
        <w:t>金额的</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lang w:val="en-US" w:eastAsia="zh-CN"/>
        </w:rPr>
        <w:t>%，人民币：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元；</w:t>
      </w:r>
    </w:p>
    <w:p w14:paraId="058FCA1E">
      <w:pPr>
        <w:keepNext w:val="0"/>
        <w:keepLines w:val="0"/>
        <w:pageBreakBefore w:val="0"/>
        <w:wordWrap/>
        <w:overflowPunct/>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履约保证金形式：</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支票</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电汇</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转账</w:t>
      </w:r>
    </w:p>
    <w:p w14:paraId="1A2A2D9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color w:val="auto"/>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履约保证金递交时间：</w:t>
      </w:r>
      <w:r>
        <w:rPr>
          <w:rFonts w:hint="eastAsia" w:ascii="宋体" w:hAnsi="宋体" w:cs="宋体"/>
          <w:color w:val="auto"/>
          <w:sz w:val="24"/>
          <w:szCs w:val="24"/>
          <w:highlight w:val="none"/>
          <w:lang w:eastAsia="zh-CN"/>
        </w:rPr>
        <w:t>签订合同后7个日历日中标人内提供相应的履约保证金，项目完成并验收合格后15个日历日内，退还</w:t>
      </w:r>
      <w:r>
        <w:rPr>
          <w:rFonts w:hint="eastAsia" w:ascii="宋体" w:hAnsi="宋体" w:eastAsia="宋体" w:cs="宋体"/>
          <w:color w:val="auto"/>
          <w:sz w:val="24"/>
          <w:szCs w:val="24"/>
          <w:highlight w:val="none"/>
        </w:rPr>
        <w:t>履约保证金</w:t>
      </w:r>
      <w:r>
        <w:rPr>
          <w:rFonts w:hint="eastAsia" w:ascii="宋体" w:hAnsi="宋体" w:cs="宋体"/>
          <w:color w:val="auto"/>
          <w:sz w:val="24"/>
          <w:szCs w:val="24"/>
          <w:highlight w:val="none"/>
          <w:lang w:eastAsia="zh-CN"/>
        </w:rPr>
        <w:t>。</w:t>
      </w:r>
    </w:p>
    <w:p w14:paraId="4B79D88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、质量保证:</w:t>
      </w:r>
    </w:p>
    <w:p w14:paraId="7D1DAF0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.1  卖方在收到通知后</w:t>
      </w:r>
      <w:r>
        <w:rPr>
          <w:rFonts w:hint="eastAsia" w:ascii="宋体" w:hAnsi="宋体" w:eastAsia="宋体" w:cs="宋体"/>
          <w:color w:val="auto"/>
          <w:sz w:val="24"/>
          <w:highlight w:val="none"/>
          <w:u w:val="single"/>
        </w:rPr>
        <w:t xml:space="preserve"> 7 </w:t>
      </w:r>
      <w:r>
        <w:rPr>
          <w:rFonts w:hint="eastAsia" w:ascii="宋体" w:hAnsi="宋体" w:eastAsia="宋体" w:cs="宋体"/>
          <w:color w:val="auto"/>
          <w:sz w:val="24"/>
          <w:highlight w:val="none"/>
        </w:rPr>
        <w:t>天内应免费维修或更换有缺陷的产品或部件。</w:t>
      </w:r>
    </w:p>
    <w:p w14:paraId="424476C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.2  如果卖方在收到通知后</w:t>
      </w:r>
      <w:r>
        <w:rPr>
          <w:rFonts w:hint="eastAsia" w:ascii="宋体" w:hAnsi="宋体" w:eastAsia="宋体" w:cs="宋体"/>
          <w:color w:val="auto"/>
          <w:sz w:val="24"/>
          <w:highlight w:val="none"/>
          <w:u w:val="single"/>
        </w:rPr>
        <w:t xml:space="preserve"> 7 </w:t>
      </w:r>
      <w:r>
        <w:rPr>
          <w:rFonts w:hint="eastAsia" w:ascii="宋体" w:hAnsi="宋体" w:eastAsia="宋体" w:cs="宋体"/>
          <w:color w:val="auto"/>
          <w:sz w:val="24"/>
          <w:highlight w:val="none"/>
        </w:rPr>
        <w:t>天内没有弥补缺陷，买方可采取必要的补救措施，但风险和费用将由卖方承担。</w:t>
      </w:r>
    </w:p>
    <w:p w14:paraId="1835E6B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11.3 </w:t>
      </w:r>
      <w:r>
        <w:rPr>
          <w:rFonts w:hint="eastAsia" w:ascii="宋体" w:hAnsi="宋体" w:eastAsia="宋体" w:cs="宋体"/>
          <w:color w:val="auto"/>
          <w:sz w:val="24"/>
          <w:highlight w:val="none"/>
        </w:rPr>
        <w:t xml:space="preserve"> 合同项下产品的质量保证期为自产品通过最终验收起</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2</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年。</w:t>
      </w:r>
    </w:p>
    <w:p w14:paraId="7A882B2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、检验和验收:</w:t>
      </w:r>
      <w:r>
        <w:rPr>
          <w:rFonts w:hint="eastAsia" w:ascii="宋体" w:hAnsi="宋体" w:eastAsia="宋体" w:cs="宋体"/>
          <w:color w:val="auto"/>
          <w:sz w:val="24"/>
          <w:highlight w:val="none"/>
          <w:u w:val="single"/>
        </w:rPr>
        <w:t>按合同约定</w:t>
      </w:r>
      <w:r>
        <w:rPr>
          <w:rFonts w:hint="eastAsia" w:ascii="宋体" w:hAnsi="宋体" w:eastAsia="宋体" w:cs="宋体"/>
          <w:color w:val="auto"/>
          <w:sz w:val="24"/>
          <w:highlight w:val="none"/>
        </w:rPr>
        <w:t>。</w:t>
      </w:r>
    </w:p>
    <w:p w14:paraId="4F6F639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u w:val="single"/>
        </w:rPr>
      </w:pPr>
      <w:r>
        <w:rPr>
          <w:rFonts w:hint="eastAsia" w:ascii="宋体" w:hAnsi="宋体" w:eastAsia="宋体" w:cs="宋体"/>
          <w:color w:val="auto"/>
          <w:sz w:val="24"/>
          <w:lang w:val="en-US" w:eastAsia="zh-CN"/>
        </w:rPr>
        <w:t>13</w:t>
      </w:r>
      <w:r>
        <w:rPr>
          <w:rFonts w:hint="eastAsia" w:ascii="宋体" w:hAnsi="宋体" w:eastAsia="宋体" w:cs="宋体"/>
          <w:color w:val="auto"/>
          <w:sz w:val="24"/>
        </w:rPr>
        <w:t>、索赔:</w:t>
      </w:r>
      <w:r>
        <w:rPr>
          <w:rFonts w:hint="eastAsia" w:ascii="宋体" w:hAnsi="宋体" w:eastAsia="宋体" w:cs="宋体"/>
          <w:color w:val="auto"/>
          <w:sz w:val="24"/>
          <w:u w:val="single"/>
        </w:rPr>
        <w:t>按合同约定</w:t>
      </w:r>
      <w:r>
        <w:rPr>
          <w:rFonts w:hint="eastAsia" w:ascii="宋体" w:hAnsi="宋体" w:eastAsia="宋体" w:cs="宋体"/>
          <w:color w:val="auto"/>
          <w:sz w:val="24"/>
        </w:rPr>
        <w:t>。</w:t>
      </w:r>
    </w:p>
    <w:p w14:paraId="6EA8E35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16</w:t>
      </w:r>
      <w:r>
        <w:rPr>
          <w:rFonts w:hint="eastAsia" w:ascii="宋体" w:hAnsi="宋体" w:eastAsia="宋体" w:cs="宋体"/>
          <w:color w:val="auto"/>
          <w:sz w:val="24"/>
        </w:rPr>
        <w:t>、不可抗力:</w:t>
      </w:r>
    </w:p>
    <w:p w14:paraId="6C425D2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16.2</w:t>
      </w:r>
      <w:r>
        <w:rPr>
          <w:rFonts w:hint="eastAsia" w:ascii="宋体" w:hAnsi="宋体" w:eastAsia="宋体" w:cs="宋体"/>
          <w:color w:val="auto"/>
          <w:sz w:val="24"/>
        </w:rPr>
        <w:t>不可抗力通知送达时间:事故发生后</w:t>
      </w:r>
      <w:r>
        <w:rPr>
          <w:rFonts w:hint="eastAsia" w:ascii="宋体" w:hAnsi="宋体" w:eastAsia="宋体" w:cs="宋体"/>
          <w:color w:val="auto"/>
          <w:sz w:val="24"/>
          <w:u w:val="single"/>
        </w:rPr>
        <w:t>7</w:t>
      </w:r>
      <w:r>
        <w:rPr>
          <w:rFonts w:hint="eastAsia" w:ascii="宋体" w:hAnsi="宋体" w:eastAsia="宋体" w:cs="宋体"/>
          <w:color w:val="auto"/>
          <w:sz w:val="24"/>
        </w:rPr>
        <w:t>天内。</w:t>
      </w:r>
    </w:p>
    <w:p w14:paraId="6009A7D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26</w:t>
      </w:r>
      <w:r>
        <w:rPr>
          <w:rFonts w:hint="eastAsia" w:ascii="宋体" w:hAnsi="宋体" w:eastAsia="宋体" w:cs="宋体"/>
          <w:color w:val="auto"/>
          <w:sz w:val="24"/>
        </w:rPr>
        <w:t>.  合同生效和其它</w:t>
      </w:r>
    </w:p>
    <w:p w14:paraId="3B33D32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 xml:space="preserve">26.1 </w:t>
      </w:r>
      <w:r>
        <w:rPr>
          <w:rFonts w:hint="eastAsia" w:ascii="宋体" w:hAnsi="宋体" w:eastAsia="宋体" w:cs="宋体"/>
          <w:color w:val="auto"/>
          <w:sz w:val="24"/>
        </w:rPr>
        <w:t>争议解决</w:t>
      </w:r>
    </w:p>
    <w:p w14:paraId="4B24F44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lang w:val="en-US" w:eastAsia="zh-CN"/>
        </w:rPr>
        <w:t>26.1</w:t>
      </w:r>
      <w:r>
        <w:rPr>
          <w:rFonts w:hint="eastAsia" w:ascii="宋体" w:hAnsi="宋体" w:eastAsia="宋体" w:cs="宋体"/>
          <w:color w:val="auto"/>
          <w:sz w:val="24"/>
        </w:rPr>
        <w:t>.1 买卖双方应通过友好协商，解决在执行本合同中所发生的或与本合同有关的一切争端。如果协商不成的，任何一方均可向合同签订地（北京市</w:t>
      </w:r>
      <w:r>
        <w:rPr>
          <w:rFonts w:hint="eastAsia" w:ascii="宋体" w:hAnsi="宋体" w:eastAsia="宋体" w:cs="宋体"/>
          <w:color w:val="auto"/>
          <w:sz w:val="24"/>
          <w:lang w:val="en-US" w:eastAsia="zh-CN"/>
        </w:rPr>
        <w:t>怀柔区</w:t>
      </w:r>
      <w:r>
        <w:rPr>
          <w:rFonts w:hint="eastAsia" w:ascii="宋体" w:hAnsi="宋体" w:eastAsia="宋体" w:cs="宋体"/>
          <w:color w:val="auto"/>
          <w:sz w:val="24"/>
        </w:rPr>
        <w:t>）有管辖权的人民法院申请诉讼裁决。</w:t>
      </w:r>
      <w:r>
        <w:rPr>
          <w:rFonts w:hint="eastAsia" w:ascii="宋体" w:hAnsi="宋体" w:eastAsia="宋体" w:cs="宋体"/>
          <w:color w:val="auto"/>
          <w:sz w:val="24"/>
          <w:lang w:eastAsia="zh-CN"/>
        </w:rPr>
        <w:t>诉讼过程中发生的包括但不限于诉讼费、律师代理费、保全费、鉴定费等费用由败诉方承担。</w:t>
      </w:r>
    </w:p>
    <w:p w14:paraId="750D408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18.2 在诉讼期间，除正在进行诉讼的合同条款外，合同的其它部分应继续执行。</w:t>
      </w:r>
    </w:p>
    <w:p w14:paraId="4F082474">
      <w:pPr>
        <w:keepNext w:val="0"/>
        <w:keepLines w:val="0"/>
        <w:pageBreakBefore w:val="0"/>
        <w:wordWrap/>
        <w:overflowPunct/>
        <w:topLinePunct w:val="0"/>
        <w:bidi w:val="0"/>
        <w:spacing w:line="360" w:lineRule="auto"/>
        <w:ind w:firstLine="480" w:firstLineChars="200"/>
        <w:jc w:val="both"/>
        <w:outlineLvl w:val="0"/>
        <w:rPr>
          <w:rFonts w:hint="eastAsia" w:ascii="宋体" w:hAnsi="宋体" w:eastAsia="宋体" w:cs="宋体"/>
          <w:color w:val="auto"/>
          <w:sz w:val="24"/>
        </w:rPr>
      </w:pPr>
      <w:r>
        <w:rPr>
          <w:rFonts w:hint="eastAsia" w:ascii="宋体" w:hAnsi="宋体" w:eastAsia="宋体" w:cs="宋体"/>
          <w:color w:val="auto"/>
          <w:sz w:val="24"/>
        </w:rPr>
        <w:t>其他专用条款还包括本招标文件中的项目服务要求及在合同谈判时具体协商的有关内容。</w:t>
      </w:r>
      <w:bookmarkStart w:id="995" w:name="_Toc99301426"/>
    </w:p>
    <w:p w14:paraId="4ACB41D9">
      <w:pPr>
        <w:rPr>
          <w:rFonts w:hint="eastAsia" w:ascii="宋体" w:hAnsi="宋体" w:eastAsia="宋体" w:cs="宋体"/>
          <w:color w:val="auto"/>
          <w:sz w:val="24"/>
        </w:rPr>
      </w:pPr>
      <w:r>
        <w:rPr>
          <w:rFonts w:hint="eastAsia" w:ascii="宋体" w:hAnsi="宋体" w:eastAsia="宋体" w:cs="宋体"/>
          <w:color w:val="auto"/>
          <w:sz w:val="24"/>
        </w:rPr>
        <w:br w:type="page"/>
      </w:r>
    </w:p>
    <w:p w14:paraId="6525C813">
      <w:pPr>
        <w:keepNext w:val="0"/>
        <w:keepLines w:val="0"/>
        <w:pageBreakBefore w:val="0"/>
        <w:wordWrap/>
        <w:overflowPunct/>
        <w:topLinePunct w:val="0"/>
        <w:bidi w:val="0"/>
        <w:spacing w:line="360" w:lineRule="auto"/>
        <w:ind w:firstLine="723" w:firstLineChars="200"/>
        <w:jc w:val="center"/>
        <w:outlineLvl w:val="0"/>
        <w:rPr>
          <w:rFonts w:hint="eastAsia" w:ascii="宋体" w:hAnsi="宋体" w:eastAsia="宋体" w:cs="宋体"/>
          <w:b/>
          <w:color w:val="auto"/>
          <w:sz w:val="36"/>
          <w:szCs w:val="36"/>
        </w:rPr>
      </w:pPr>
      <w:r>
        <w:rPr>
          <w:rFonts w:hint="eastAsia" w:ascii="宋体" w:hAnsi="宋体" w:eastAsia="宋体" w:cs="宋体"/>
          <w:b/>
          <w:color w:val="auto"/>
          <w:sz w:val="36"/>
          <w:szCs w:val="36"/>
        </w:rPr>
        <w:t>第七章   投标文件格式</w:t>
      </w:r>
      <w:bookmarkEnd w:id="995"/>
    </w:p>
    <w:p w14:paraId="37528496">
      <w:pPr>
        <w:tabs>
          <w:tab w:val="left" w:pos="900"/>
          <w:tab w:val="left" w:pos="1980"/>
        </w:tabs>
        <w:snapToGrid w:val="0"/>
        <w:spacing w:line="360" w:lineRule="auto"/>
        <w:ind w:left="142"/>
        <w:rPr>
          <w:rFonts w:hint="eastAsia" w:ascii="宋体" w:hAnsi="宋体" w:eastAsia="宋体" w:cs="宋体"/>
          <w:b/>
          <w:color w:val="auto"/>
          <w:sz w:val="24"/>
        </w:rPr>
      </w:pPr>
    </w:p>
    <w:p w14:paraId="571F8FDA">
      <w:pPr>
        <w:tabs>
          <w:tab w:val="left" w:pos="900"/>
          <w:tab w:val="left" w:pos="1980"/>
        </w:tabs>
        <w:snapToGrid w:val="0"/>
        <w:spacing w:line="360" w:lineRule="auto"/>
        <w:ind w:left="142"/>
        <w:rPr>
          <w:rFonts w:hint="eastAsia" w:ascii="宋体" w:hAnsi="宋体" w:eastAsia="宋体" w:cs="宋体"/>
          <w:b/>
          <w:color w:val="auto"/>
          <w:sz w:val="24"/>
        </w:rPr>
      </w:pPr>
    </w:p>
    <w:p w14:paraId="6A436BD3">
      <w:pPr>
        <w:tabs>
          <w:tab w:val="left" w:pos="900"/>
          <w:tab w:val="left" w:pos="1980"/>
        </w:tabs>
        <w:snapToGrid w:val="0"/>
        <w:spacing w:line="360" w:lineRule="auto"/>
        <w:ind w:left="142"/>
        <w:rPr>
          <w:rFonts w:hint="eastAsia" w:ascii="宋体" w:hAnsi="宋体" w:eastAsia="宋体" w:cs="宋体"/>
          <w:color w:val="auto"/>
          <w:sz w:val="24"/>
        </w:rPr>
      </w:pPr>
      <w:r>
        <w:rPr>
          <w:rFonts w:hint="eastAsia" w:ascii="宋体" w:hAnsi="宋体" w:eastAsia="宋体" w:cs="宋体"/>
          <w:b/>
          <w:color w:val="auto"/>
          <w:sz w:val="24"/>
        </w:rPr>
        <w:t>投标人编制文件须知</w:t>
      </w:r>
    </w:p>
    <w:p w14:paraId="5794A211">
      <w:pPr>
        <w:tabs>
          <w:tab w:val="left" w:pos="900"/>
          <w:tab w:val="left" w:pos="1980"/>
        </w:tabs>
        <w:snapToGrid w:val="0"/>
        <w:spacing w:line="360" w:lineRule="auto"/>
        <w:ind w:left="142"/>
        <w:rPr>
          <w:rFonts w:hint="eastAsia" w:ascii="宋体" w:hAnsi="宋体" w:eastAsia="宋体" w:cs="宋体"/>
          <w:color w:val="auto"/>
          <w:sz w:val="24"/>
        </w:rPr>
      </w:pPr>
      <w:r>
        <w:rPr>
          <w:rFonts w:hint="eastAsia" w:ascii="宋体" w:hAnsi="宋体" w:eastAsia="宋体" w:cs="宋体"/>
          <w:color w:val="auto"/>
          <w:sz w:val="24"/>
        </w:rPr>
        <w:t>1、投标人按照本部分的顺序编制投标文件（资格证明文件）、投标文件（商务技术文件），编制中涉及格式资料的，应按照本部分提供的内容和格式（所有表格的格式可扩展）填写提交。</w:t>
      </w:r>
    </w:p>
    <w:p w14:paraId="7704F82F">
      <w:pPr>
        <w:tabs>
          <w:tab w:val="left" w:pos="900"/>
          <w:tab w:val="left" w:pos="1980"/>
        </w:tabs>
        <w:snapToGrid w:val="0"/>
        <w:spacing w:line="360" w:lineRule="auto"/>
        <w:ind w:left="142"/>
        <w:rPr>
          <w:rFonts w:hint="eastAsia" w:ascii="宋体" w:hAnsi="宋体" w:eastAsia="宋体" w:cs="宋体"/>
          <w:color w:val="auto"/>
          <w:kern w:val="0"/>
          <w:sz w:val="24"/>
        </w:rPr>
      </w:pPr>
      <w:r>
        <w:rPr>
          <w:rFonts w:hint="eastAsia" w:ascii="宋体" w:hAnsi="宋体" w:eastAsia="宋体" w:cs="宋体"/>
          <w:color w:val="auto"/>
          <w:sz w:val="24"/>
        </w:rPr>
        <w:t>2、</w:t>
      </w:r>
      <w:r>
        <w:rPr>
          <w:rFonts w:hint="eastAsia" w:ascii="宋体" w:hAnsi="宋体" w:eastAsia="宋体" w:cs="宋体"/>
          <w:color w:val="auto"/>
          <w:kern w:val="0"/>
          <w:sz w:val="24"/>
        </w:rPr>
        <w:t>对于招标文件中标记了“实质性格式”文件的，</w:t>
      </w:r>
      <w:r>
        <w:rPr>
          <w:rFonts w:hint="eastAsia" w:ascii="宋体" w:hAnsi="宋体" w:eastAsia="宋体" w:cs="宋体"/>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rPr>
        <w:t>否则</w:t>
      </w:r>
      <w:r>
        <w:rPr>
          <w:rFonts w:hint="eastAsia" w:ascii="宋体" w:hAnsi="宋体" w:eastAsia="宋体" w:cs="宋体"/>
          <w:b/>
          <w:color w:val="auto"/>
          <w:kern w:val="0"/>
          <w:sz w:val="24"/>
        </w:rPr>
        <w:t>投标无效</w:t>
      </w:r>
      <w:r>
        <w:rPr>
          <w:rFonts w:hint="eastAsia" w:ascii="宋体" w:hAnsi="宋体" w:eastAsia="宋体" w:cs="宋体"/>
          <w:color w:val="auto"/>
          <w:kern w:val="0"/>
          <w:sz w:val="24"/>
        </w:rPr>
        <w:t>。未标记“实质性格式”的文件和招标文件未提供格式的内容，可由投标人自行编写。</w:t>
      </w:r>
    </w:p>
    <w:p w14:paraId="108576B7">
      <w:pPr>
        <w:tabs>
          <w:tab w:val="left" w:pos="900"/>
          <w:tab w:val="left" w:pos="1980"/>
        </w:tabs>
        <w:snapToGrid w:val="0"/>
        <w:spacing w:line="360" w:lineRule="auto"/>
        <w:ind w:left="142"/>
        <w:rPr>
          <w:rFonts w:hint="eastAsia" w:ascii="宋体" w:hAnsi="宋体" w:eastAsia="宋体" w:cs="宋体"/>
          <w:color w:val="auto"/>
          <w:sz w:val="24"/>
        </w:rPr>
      </w:pPr>
      <w:r>
        <w:rPr>
          <w:rFonts w:hint="eastAsia" w:ascii="宋体" w:hAnsi="宋体" w:eastAsia="宋体" w:cs="宋体"/>
          <w:color w:val="auto"/>
          <w:sz w:val="24"/>
        </w:rPr>
        <w:t>3、全部声明和问题的回答及所附材料必须是真实的、准确的和完整的。</w:t>
      </w:r>
    </w:p>
    <w:p w14:paraId="4756F944">
      <w:pPr>
        <w:widowControl/>
        <w:jc w:val="left"/>
        <w:rPr>
          <w:rFonts w:hint="eastAsia" w:ascii="宋体" w:hAnsi="宋体" w:eastAsia="宋体" w:cs="宋体"/>
          <w:color w:val="auto"/>
          <w:sz w:val="24"/>
        </w:rPr>
      </w:pPr>
      <w:r>
        <w:rPr>
          <w:rFonts w:hint="eastAsia" w:ascii="宋体" w:hAnsi="宋体" w:eastAsia="宋体" w:cs="宋体"/>
          <w:color w:val="auto"/>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7F11FE4A">
      <w:pPr>
        <w:keepNext/>
        <w:keepLines/>
        <w:autoSpaceDE w:val="0"/>
        <w:autoSpaceDN w:val="0"/>
        <w:adjustRightInd w:val="0"/>
        <w:spacing w:before="120" w:line="300" w:lineRule="auto"/>
        <w:jc w:val="left"/>
        <w:outlineLvl w:val="1"/>
        <w:rPr>
          <w:rFonts w:hint="eastAsia" w:ascii="宋体" w:hAnsi="宋体" w:eastAsia="宋体" w:cs="宋体"/>
          <w:b/>
          <w:color w:val="auto"/>
          <w:kern w:val="0"/>
          <w:sz w:val="30"/>
          <w:szCs w:val="20"/>
        </w:rPr>
      </w:pPr>
      <w:r>
        <w:rPr>
          <w:rFonts w:hint="eastAsia" w:ascii="宋体" w:hAnsi="宋体" w:eastAsia="宋体" w:cs="宋体"/>
          <w:b/>
          <w:color w:val="auto"/>
          <w:spacing w:val="20"/>
          <w:sz w:val="24"/>
        </w:rPr>
        <w:t>一、资格证明文件格式</w:t>
      </w:r>
    </w:p>
    <w:p w14:paraId="15A0B5EE">
      <w:pPr>
        <w:rPr>
          <w:rFonts w:hint="eastAsia" w:ascii="宋体" w:hAnsi="宋体" w:eastAsia="宋体" w:cs="宋体"/>
          <w:b/>
          <w:color w:val="auto"/>
          <w:spacing w:val="20"/>
          <w:szCs w:val="21"/>
        </w:rPr>
      </w:pPr>
    </w:p>
    <w:p w14:paraId="7611BB31">
      <w:pPr>
        <w:rPr>
          <w:rFonts w:hint="eastAsia" w:ascii="宋体" w:hAnsi="宋体" w:eastAsia="宋体" w:cs="宋体"/>
          <w:b/>
          <w:color w:val="auto"/>
          <w:sz w:val="24"/>
        </w:rPr>
      </w:pPr>
      <w:r>
        <w:rPr>
          <w:rFonts w:hint="eastAsia" w:ascii="宋体" w:hAnsi="宋体" w:eastAsia="宋体" w:cs="宋体"/>
          <w:b/>
          <w:color w:val="auto"/>
          <w:spacing w:val="20"/>
          <w:sz w:val="24"/>
        </w:rPr>
        <w:t>投标文件（资格证明文件）</w:t>
      </w:r>
      <w:r>
        <w:rPr>
          <w:rFonts w:hint="eastAsia" w:ascii="宋体" w:hAnsi="宋体" w:eastAsia="宋体" w:cs="宋体"/>
          <w:b/>
          <w:color w:val="auto"/>
          <w:sz w:val="24"/>
        </w:rPr>
        <w:t>封面（非实质性格式）</w:t>
      </w:r>
    </w:p>
    <w:p w14:paraId="53913CB0">
      <w:pPr>
        <w:jc w:val="center"/>
        <w:rPr>
          <w:rFonts w:hint="eastAsia" w:ascii="宋体" w:hAnsi="宋体" w:eastAsia="宋体" w:cs="宋体"/>
          <w:color w:val="auto"/>
          <w:szCs w:val="21"/>
        </w:rPr>
      </w:pPr>
    </w:p>
    <w:p w14:paraId="0EFF60F5">
      <w:pPr>
        <w:jc w:val="center"/>
        <w:rPr>
          <w:rFonts w:hint="eastAsia" w:ascii="宋体" w:hAnsi="宋体" w:eastAsia="宋体" w:cs="宋体"/>
          <w:b/>
          <w:color w:val="auto"/>
          <w:spacing w:val="60"/>
          <w:sz w:val="84"/>
          <w:szCs w:val="84"/>
        </w:rPr>
      </w:pPr>
      <w:r>
        <w:rPr>
          <w:rFonts w:hint="eastAsia" w:ascii="宋体" w:hAnsi="宋体" w:eastAsia="宋体" w:cs="宋体"/>
          <w:b/>
          <w:color w:val="auto"/>
          <w:spacing w:val="60"/>
          <w:sz w:val="84"/>
          <w:szCs w:val="84"/>
        </w:rPr>
        <w:t>投 标 文 件</w:t>
      </w:r>
    </w:p>
    <w:p w14:paraId="328D5F52">
      <w:pPr>
        <w:jc w:val="center"/>
        <w:rPr>
          <w:rFonts w:hint="eastAsia" w:ascii="宋体" w:hAnsi="宋体" w:eastAsia="宋体" w:cs="宋体"/>
          <w:b/>
          <w:color w:val="auto"/>
          <w:spacing w:val="60"/>
          <w:sz w:val="52"/>
          <w:szCs w:val="52"/>
        </w:rPr>
      </w:pPr>
      <w:r>
        <w:rPr>
          <w:rFonts w:hint="eastAsia" w:ascii="宋体" w:hAnsi="宋体" w:eastAsia="宋体" w:cs="宋体"/>
          <w:b/>
          <w:color w:val="auto"/>
          <w:spacing w:val="60"/>
          <w:sz w:val="52"/>
          <w:szCs w:val="52"/>
        </w:rPr>
        <w:t>（资格证明文件）</w:t>
      </w:r>
    </w:p>
    <w:p w14:paraId="45832976">
      <w:pPr>
        <w:ind w:firstLine="542" w:firstLineChars="150"/>
        <w:rPr>
          <w:rFonts w:hint="eastAsia" w:ascii="宋体" w:hAnsi="宋体" w:eastAsia="宋体" w:cs="宋体"/>
          <w:b/>
          <w:color w:val="auto"/>
          <w:spacing w:val="20"/>
          <w:sz w:val="32"/>
          <w:szCs w:val="32"/>
        </w:rPr>
      </w:pPr>
    </w:p>
    <w:p w14:paraId="6A7285B2">
      <w:pPr>
        <w:ind w:firstLine="542" w:firstLineChars="150"/>
        <w:rPr>
          <w:rFonts w:hint="eastAsia" w:ascii="宋体" w:hAnsi="宋体" w:eastAsia="宋体" w:cs="宋体"/>
          <w:b/>
          <w:color w:val="auto"/>
          <w:spacing w:val="20"/>
          <w:sz w:val="32"/>
          <w:szCs w:val="32"/>
        </w:rPr>
      </w:pPr>
    </w:p>
    <w:p w14:paraId="5CA16C53">
      <w:pPr>
        <w:ind w:firstLine="542" w:firstLineChars="150"/>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项目名称:</w:t>
      </w:r>
    </w:p>
    <w:p w14:paraId="7BF6F7C4">
      <w:pPr>
        <w:ind w:firstLine="542" w:firstLineChars="150"/>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项目编号/包号：</w:t>
      </w:r>
    </w:p>
    <w:p w14:paraId="69724A7B">
      <w:pPr>
        <w:ind w:firstLine="542" w:firstLineChars="150"/>
        <w:rPr>
          <w:rFonts w:hint="eastAsia" w:ascii="宋体" w:hAnsi="宋体" w:eastAsia="宋体" w:cs="宋体"/>
          <w:b/>
          <w:color w:val="auto"/>
          <w:spacing w:val="20"/>
          <w:sz w:val="32"/>
          <w:szCs w:val="32"/>
        </w:rPr>
      </w:pPr>
    </w:p>
    <w:p w14:paraId="60B38A5B">
      <w:pPr>
        <w:ind w:firstLine="542" w:firstLineChars="150"/>
        <w:rPr>
          <w:rFonts w:hint="eastAsia" w:ascii="宋体" w:hAnsi="宋体" w:eastAsia="宋体" w:cs="宋体"/>
          <w:b/>
          <w:color w:val="auto"/>
          <w:spacing w:val="20"/>
          <w:sz w:val="32"/>
          <w:szCs w:val="32"/>
        </w:rPr>
      </w:pPr>
    </w:p>
    <w:p w14:paraId="6903C32D">
      <w:pPr>
        <w:jc w:val="center"/>
        <w:rPr>
          <w:rFonts w:hint="eastAsia" w:ascii="宋体" w:hAnsi="宋体" w:eastAsia="宋体" w:cs="宋体"/>
          <w:b/>
          <w:color w:val="auto"/>
          <w:sz w:val="32"/>
          <w:szCs w:val="32"/>
        </w:rPr>
      </w:pPr>
    </w:p>
    <w:p w14:paraId="5F4092EE">
      <w:pPr>
        <w:jc w:val="center"/>
        <w:rPr>
          <w:rFonts w:hint="eastAsia" w:ascii="宋体" w:hAnsi="宋体" w:eastAsia="宋体" w:cs="宋体"/>
          <w:b/>
          <w:color w:val="auto"/>
          <w:sz w:val="32"/>
          <w:szCs w:val="32"/>
        </w:rPr>
      </w:pPr>
    </w:p>
    <w:p w14:paraId="4A892511">
      <w:pPr>
        <w:jc w:val="center"/>
        <w:rPr>
          <w:rFonts w:hint="eastAsia" w:ascii="宋体" w:hAnsi="宋体" w:eastAsia="宋体" w:cs="宋体"/>
          <w:b/>
          <w:color w:val="auto"/>
          <w:sz w:val="32"/>
          <w:szCs w:val="32"/>
        </w:rPr>
      </w:pPr>
    </w:p>
    <w:p w14:paraId="34E75F49">
      <w:pPr>
        <w:jc w:val="center"/>
        <w:rPr>
          <w:rFonts w:hint="eastAsia" w:ascii="宋体" w:hAnsi="宋体" w:eastAsia="宋体" w:cs="宋体"/>
          <w:b/>
          <w:color w:val="auto"/>
          <w:spacing w:val="20"/>
          <w:sz w:val="32"/>
          <w:szCs w:val="32"/>
        </w:rPr>
      </w:pPr>
    </w:p>
    <w:p w14:paraId="592F76AD">
      <w:pPr>
        <w:jc w:val="center"/>
        <w:rPr>
          <w:rFonts w:hint="eastAsia" w:ascii="宋体" w:hAnsi="宋体" w:eastAsia="宋体" w:cs="宋体"/>
          <w:b/>
          <w:color w:val="auto"/>
          <w:spacing w:val="20"/>
          <w:sz w:val="32"/>
          <w:szCs w:val="32"/>
        </w:rPr>
      </w:pPr>
    </w:p>
    <w:p w14:paraId="1AB3A6CF">
      <w:pPr>
        <w:jc w:val="center"/>
        <w:rPr>
          <w:rFonts w:hint="eastAsia" w:ascii="宋体" w:hAnsi="宋体" w:eastAsia="宋体" w:cs="宋体"/>
          <w:b/>
          <w:color w:val="auto"/>
          <w:spacing w:val="20"/>
          <w:sz w:val="32"/>
          <w:szCs w:val="32"/>
        </w:rPr>
      </w:pPr>
    </w:p>
    <w:p w14:paraId="0642CA3A">
      <w:pPr>
        <w:spacing w:line="360" w:lineRule="auto"/>
        <w:ind w:firstLine="1445" w:firstLineChars="400"/>
        <w:jc w:val="left"/>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投标人名称：</w:t>
      </w:r>
    </w:p>
    <w:p w14:paraId="59E0A1AD">
      <w:pPr>
        <w:jc w:val="center"/>
        <w:rPr>
          <w:rFonts w:hint="eastAsia" w:ascii="宋体" w:hAnsi="宋体" w:eastAsia="宋体" w:cs="宋体"/>
          <w:b/>
          <w:color w:val="auto"/>
          <w:sz w:val="32"/>
          <w:szCs w:val="32"/>
        </w:rPr>
      </w:pPr>
    </w:p>
    <w:p w14:paraId="05F00F17">
      <w:pPr>
        <w:rPr>
          <w:rFonts w:hint="eastAsia" w:ascii="宋体" w:hAnsi="宋体" w:eastAsia="宋体" w:cs="宋体"/>
          <w:b/>
          <w:color w:val="auto"/>
        </w:rPr>
      </w:pPr>
      <w:r>
        <w:rPr>
          <w:rFonts w:hint="eastAsia" w:ascii="宋体" w:hAnsi="宋体" w:eastAsia="宋体" w:cs="宋体"/>
          <w:b/>
          <w:color w:val="auto"/>
          <w:spacing w:val="20"/>
          <w:sz w:val="32"/>
          <w:szCs w:val="32"/>
        </w:rPr>
        <w:br w:type="page"/>
      </w:r>
    </w:p>
    <w:p w14:paraId="3C08DD3C">
      <w:pPr>
        <w:numPr>
          <w:ilvl w:val="0"/>
          <w:numId w:val="27"/>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rPr>
        <w:t>满足《中华人民共和国政府采购法》第二十二条规定</w:t>
      </w:r>
    </w:p>
    <w:p w14:paraId="335B0FC5">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t>1-1 营业执照等证明文件</w:t>
      </w:r>
    </w:p>
    <w:p w14:paraId="4DB789E5">
      <w:pPr>
        <w:tabs>
          <w:tab w:val="left" w:pos="1080"/>
        </w:tabs>
        <w:snapToGrid w:val="0"/>
        <w:rPr>
          <w:rFonts w:hint="eastAsia" w:ascii="宋体" w:hAnsi="宋体" w:eastAsia="宋体" w:cs="宋体"/>
          <w:color w:val="auto"/>
          <w:sz w:val="24"/>
        </w:rPr>
      </w:pPr>
    </w:p>
    <w:p w14:paraId="26BAA4AA">
      <w:pPr>
        <w:widowControl/>
        <w:jc w:val="left"/>
        <w:rPr>
          <w:rFonts w:hint="eastAsia" w:ascii="宋体" w:hAnsi="宋体" w:eastAsia="宋体" w:cs="宋体"/>
          <w:color w:val="auto"/>
          <w:sz w:val="24"/>
          <w:szCs w:val="20"/>
        </w:rPr>
      </w:pPr>
      <w:r>
        <w:rPr>
          <w:rFonts w:hint="eastAsia" w:ascii="宋体" w:hAnsi="宋体" w:eastAsia="宋体" w:cs="宋体"/>
          <w:color w:val="auto"/>
          <w:sz w:val="24"/>
        </w:rPr>
        <w:br w:type="page"/>
      </w:r>
    </w:p>
    <w:p w14:paraId="0BDFA0F2">
      <w:pPr>
        <w:pStyle w:val="5"/>
        <w:rPr>
          <w:rFonts w:hint="eastAsia" w:ascii="宋体" w:hAnsi="宋体" w:eastAsia="宋体" w:cs="宋体"/>
          <w:b w:val="0"/>
          <w:bCs/>
          <w:color w:val="auto"/>
          <w:u w:val="none"/>
        </w:rPr>
      </w:pPr>
      <w:r>
        <w:rPr>
          <w:rFonts w:hint="eastAsia" w:ascii="宋体" w:hAnsi="宋体" w:eastAsia="宋体" w:cs="宋体"/>
          <w:b w:val="0"/>
          <w:color w:val="auto"/>
          <w:u w:val="none"/>
        </w:rPr>
        <w:t>1-2 投标人资格声明书</w:t>
      </w:r>
    </w:p>
    <w:p w14:paraId="4D48093A">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投标人资格声明书</w:t>
      </w:r>
    </w:p>
    <w:p w14:paraId="6801255F">
      <w:pPr>
        <w:tabs>
          <w:tab w:val="left" w:pos="5580"/>
        </w:tabs>
        <w:spacing w:line="360" w:lineRule="auto"/>
        <w:rPr>
          <w:rFonts w:hint="eastAsia" w:ascii="宋体" w:hAnsi="宋体" w:eastAsia="宋体" w:cs="宋体"/>
          <w:color w:val="auto"/>
          <w:sz w:val="24"/>
        </w:rPr>
      </w:pPr>
    </w:p>
    <w:p w14:paraId="22445EFE">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采购人或采购代理机构</w:t>
      </w:r>
    </w:p>
    <w:p w14:paraId="5F64A9FE">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在参与本次项目投标中，我单位承诺：</w:t>
      </w:r>
    </w:p>
    <w:p w14:paraId="37371033">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具有良好的商业信誉和健全的财务会计制度；</w:t>
      </w:r>
    </w:p>
    <w:p w14:paraId="14BACCC6">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具有履行合同所必需的设备和专业技术能力；</w:t>
      </w:r>
    </w:p>
    <w:p w14:paraId="70F5D3B6">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有依法缴纳税收和社会保障资金的良好记录；</w:t>
      </w:r>
    </w:p>
    <w:p w14:paraId="76D1DB67">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1305A73">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我单位不属于政府采购法律、行政法规规定的公益一类事业单位、或使用事业编制且由财政拨款保障的群团组织（仅适用于政府购买服务项目）；</w:t>
      </w:r>
    </w:p>
    <w:p w14:paraId="1443378B">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我单位不存在为采购项目提供整体设计、规范编制或者项目管理、监理、检测等服务后，再参加该采购项目的其他采购活动的情形（单一来源采购项目除外）；</w:t>
      </w:r>
    </w:p>
    <w:p w14:paraId="20B5C38E">
      <w:pPr>
        <w:numPr>
          <w:ilvl w:val="0"/>
          <w:numId w:val="28"/>
        </w:numPr>
        <w:spacing w:line="360" w:lineRule="auto"/>
        <w:ind w:left="1134"/>
        <w:rPr>
          <w:rFonts w:hint="eastAsia" w:ascii="宋体" w:hAnsi="宋体" w:eastAsia="宋体" w:cs="宋体"/>
          <w:color w:val="auto"/>
          <w:sz w:val="24"/>
          <w:szCs w:val="22"/>
        </w:rPr>
      </w:pPr>
      <w:r>
        <w:rPr>
          <w:rFonts w:hint="eastAsia" w:ascii="宋体" w:hAnsi="宋体" w:eastAsia="宋体" w:cs="宋体"/>
          <w:color w:val="auto"/>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D98A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6B34006">
            <w:pPr>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4574" w:type="dxa"/>
            <w:vAlign w:val="center"/>
          </w:tcPr>
          <w:p w14:paraId="0355818C">
            <w:pPr>
              <w:jc w:val="center"/>
              <w:rPr>
                <w:rFonts w:hint="eastAsia" w:ascii="宋体" w:hAnsi="宋体" w:eastAsia="宋体" w:cs="宋体"/>
                <w:color w:val="auto"/>
                <w:sz w:val="24"/>
              </w:rPr>
            </w:pPr>
            <w:r>
              <w:rPr>
                <w:rFonts w:hint="eastAsia" w:ascii="宋体" w:hAnsi="宋体" w:eastAsia="宋体" w:cs="宋体"/>
                <w:color w:val="auto"/>
                <w:sz w:val="24"/>
              </w:rPr>
              <w:t>单位名称</w:t>
            </w:r>
          </w:p>
        </w:tc>
        <w:tc>
          <w:tcPr>
            <w:tcW w:w="2976" w:type="dxa"/>
            <w:vAlign w:val="center"/>
          </w:tcPr>
          <w:p w14:paraId="65DD3E40">
            <w:pPr>
              <w:jc w:val="center"/>
              <w:rPr>
                <w:rFonts w:hint="eastAsia" w:ascii="宋体" w:hAnsi="宋体" w:eastAsia="宋体" w:cs="宋体"/>
                <w:color w:val="auto"/>
                <w:sz w:val="24"/>
              </w:rPr>
            </w:pPr>
            <w:r>
              <w:rPr>
                <w:rFonts w:hint="eastAsia" w:ascii="宋体" w:hAnsi="宋体" w:eastAsia="宋体" w:cs="宋体"/>
                <w:color w:val="auto"/>
                <w:sz w:val="24"/>
              </w:rPr>
              <w:t>相互关系</w:t>
            </w:r>
          </w:p>
        </w:tc>
      </w:tr>
      <w:tr w14:paraId="012E1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574466B">
            <w:pPr>
              <w:jc w:val="center"/>
              <w:rPr>
                <w:rFonts w:hint="eastAsia" w:ascii="宋体" w:hAnsi="宋体" w:eastAsia="宋体" w:cs="宋体"/>
                <w:color w:val="auto"/>
                <w:sz w:val="24"/>
              </w:rPr>
            </w:pPr>
            <w:r>
              <w:rPr>
                <w:rFonts w:hint="eastAsia" w:ascii="宋体" w:hAnsi="宋体" w:eastAsia="宋体" w:cs="宋体"/>
                <w:color w:val="auto"/>
                <w:sz w:val="24"/>
              </w:rPr>
              <w:t>1</w:t>
            </w:r>
          </w:p>
        </w:tc>
        <w:tc>
          <w:tcPr>
            <w:tcW w:w="4574" w:type="dxa"/>
            <w:vAlign w:val="center"/>
          </w:tcPr>
          <w:p w14:paraId="439865C3">
            <w:pPr>
              <w:jc w:val="center"/>
              <w:rPr>
                <w:rFonts w:hint="eastAsia" w:ascii="宋体" w:hAnsi="宋体" w:eastAsia="宋体" w:cs="宋体"/>
                <w:color w:val="auto"/>
                <w:sz w:val="24"/>
              </w:rPr>
            </w:pPr>
          </w:p>
        </w:tc>
        <w:tc>
          <w:tcPr>
            <w:tcW w:w="2976" w:type="dxa"/>
            <w:vAlign w:val="center"/>
          </w:tcPr>
          <w:p w14:paraId="522FAEEE">
            <w:pPr>
              <w:jc w:val="center"/>
              <w:rPr>
                <w:rFonts w:hint="eastAsia" w:ascii="宋体" w:hAnsi="宋体" w:eastAsia="宋体" w:cs="宋体"/>
                <w:color w:val="auto"/>
                <w:sz w:val="24"/>
              </w:rPr>
            </w:pPr>
          </w:p>
        </w:tc>
      </w:tr>
      <w:tr w14:paraId="305C4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6011B5A">
            <w:pPr>
              <w:jc w:val="center"/>
              <w:rPr>
                <w:rFonts w:hint="eastAsia" w:ascii="宋体" w:hAnsi="宋体" w:eastAsia="宋体" w:cs="宋体"/>
                <w:color w:val="auto"/>
                <w:sz w:val="24"/>
              </w:rPr>
            </w:pPr>
            <w:r>
              <w:rPr>
                <w:rFonts w:hint="eastAsia" w:ascii="宋体" w:hAnsi="宋体" w:eastAsia="宋体" w:cs="宋体"/>
                <w:color w:val="auto"/>
                <w:sz w:val="24"/>
              </w:rPr>
              <w:t>2</w:t>
            </w:r>
          </w:p>
        </w:tc>
        <w:tc>
          <w:tcPr>
            <w:tcW w:w="4574" w:type="dxa"/>
            <w:vAlign w:val="center"/>
          </w:tcPr>
          <w:p w14:paraId="33D547E8">
            <w:pPr>
              <w:jc w:val="center"/>
              <w:rPr>
                <w:rFonts w:hint="eastAsia" w:ascii="宋体" w:hAnsi="宋体" w:eastAsia="宋体" w:cs="宋体"/>
                <w:color w:val="auto"/>
                <w:sz w:val="24"/>
              </w:rPr>
            </w:pPr>
          </w:p>
        </w:tc>
        <w:tc>
          <w:tcPr>
            <w:tcW w:w="2976" w:type="dxa"/>
            <w:vAlign w:val="center"/>
          </w:tcPr>
          <w:p w14:paraId="7909B05A">
            <w:pPr>
              <w:jc w:val="center"/>
              <w:rPr>
                <w:rFonts w:hint="eastAsia" w:ascii="宋体" w:hAnsi="宋体" w:eastAsia="宋体" w:cs="宋体"/>
                <w:color w:val="auto"/>
                <w:sz w:val="24"/>
              </w:rPr>
            </w:pPr>
          </w:p>
        </w:tc>
      </w:tr>
      <w:tr w14:paraId="2C87B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FAEE80">
            <w:pPr>
              <w:jc w:val="center"/>
              <w:rPr>
                <w:rFonts w:hint="eastAsia" w:ascii="宋体" w:hAnsi="宋体" w:eastAsia="宋体" w:cs="宋体"/>
                <w:color w:val="auto"/>
                <w:sz w:val="24"/>
              </w:rPr>
            </w:pPr>
            <w:r>
              <w:rPr>
                <w:rFonts w:hint="eastAsia" w:ascii="宋体" w:hAnsi="宋体" w:eastAsia="宋体" w:cs="宋体"/>
                <w:color w:val="auto"/>
                <w:sz w:val="24"/>
              </w:rPr>
              <w:t>…</w:t>
            </w:r>
          </w:p>
        </w:tc>
        <w:tc>
          <w:tcPr>
            <w:tcW w:w="4574" w:type="dxa"/>
            <w:vAlign w:val="center"/>
          </w:tcPr>
          <w:p w14:paraId="069F7C6D">
            <w:pPr>
              <w:jc w:val="center"/>
              <w:rPr>
                <w:rFonts w:hint="eastAsia" w:ascii="宋体" w:hAnsi="宋体" w:eastAsia="宋体" w:cs="宋体"/>
                <w:color w:val="auto"/>
                <w:sz w:val="24"/>
              </w:rPr>
            </w:pPr>
          </w:p>
        </w:tc>
        <w:tc>
          <w:tcPr>
            <w:tcW w:w="2976" w:type="dxa"/>
            <w:vAlign w:val="center"/>
          </w:tcPr>
          <w:p w14:paraId="557BEB42">
            <w:pPr>
              <w:jc w:val="center"/>
              <w:rPr>
                <w:rFonts w:hint="eastAsia" w:ascii="宋体" w:hAnsi="宋体" w:eastAsia="宋体" w:cs="宋体"/>
                <w:color w:val="auto"/>
                <w:sz w:val="24"/>
              </w:rPr>
            </w:pPr>
          </w:p>
        </w:tc>
      </w:tr>
    </w:tbl>
    <w:p w14:paraId="5AFA9103">
      <w:pPr>
        <w:rPr>
          <w:rFonts w:hint="eastAsia" w:ascii="宋体" w:hAnsi="宋体" w:eastAsia="宋体" w:cs="宋体"/>
          <w:color w:val="auto"/>
        </w:rPr>
      </w:pPr>
    </w:p>
    <w:p w14:paraId="02A8BA6F">
      <w:pPr>
        <w:ind w:firstLine="480" w:firstLineChars="200"/>
        <w:rPr>
          <w:rFonts w:hint="eastAsia" w:ascii="宋体" w:hAnsi="宋体" w:eastAsia="宋体" w:cs="宋体"/>
          <w:color w:val="auto"/>
          <w:sz w:val="24"/>
          <w:szCs w:val="22"/>
        </w:rPr>
      </w:pPr>
      <w:r>
        <w:rPr>
          <w:rFonts w:hint="eastAsia" w:ascii="宋体" w:hAnsi="宋体" w:eastAsia="宋体" w:cs="宋体"/>
          <w:color w:val="auto"/>
          <w:sz w:val="24"/>
        </w:rPr>
        <w:t>上述声明真实有效，否则我方负全部责任。</w:t>
      </w:r>
    </w:p>
    <w:p w14:paraId="48AC3220">
      <w:pPr>
        <w:spacing w:line="360" w:lineRule="auto"/>
        <w:rPr>
          <w:rFonts w:hint="eastAsia" w:ascii="宋体" w:hAnsi="宋体" w:eastAsia="宋体" w:cs="宋体"/>
          <w:color w:val="auto"/>
          <w:sz w:val="24"/>
        </w:rPr>
      </w:pPr>
    </w:p>
    <w:p w14:paraId="4EB3BAAF">
      <w:pPr>
        <w:autoSpaceDE w:val="0"/>
        <w:autoSpaceDN w:val="0"/>
        <w:adjustRightInd w:val="0"/>
        <w:snapToGrid w:val="0"/>
        <w:spacing w:before="25" w:after="25" w:line="360" w:lineRule="auto"/>
        <w:jc w:val="right"/>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    ____________</w:t>
      </w:r>
    </w:p>
    <w:p w14:paraId="59EC6D56">
      <w:pPr>
        <w:spacing w:line="360" w:lineRule="auto"/>
        <w:ind w:right="360" w:firstLine="480"/>
        <w:jc w:val="right"/>
        <w:rPr>
          <w:rFonts w:hint="eastAsia" w:ascii="宋体" w:hAnsi="宋体" w:eastAsia="宋体" w:cs="宋体"/>
          <w:color w:val="auto"/>
          <w:sz w:val="24"/>
        </w:rPr>
      </w:pPr>
      <w:r>
        <w:rPr>
          <w:rFonts w:hint="eastAsia" w:ascii="宋体" w:hAnsi="宋体" w:eastAsia="宋体" w:cs="宋体"/>
          <w:color w:val="auto"/>
          <w:sz w:val="24"/>
          <w:szCs w:val="20"/>
        </w:rPr>
        <w:t xml:space="preserve">日期：_____年______月______日   </w:t>
      </w:r>
    </w:p>
    <w:p w14:paraId="2E9E097B">
      <w:pPr>
        <w:spacing w:line="360" w:lineRule="auto"/>
        <w:rPr>
          <w:rFonts w:hint="eastAsia" w:ascii="宋体" w:hAnsi="宋体" w:eastAsia="宋体" w:cs="宋体"/>
          <w:color w:val="auto"/>
          <w:sz w:val="24"/>
        </w:rPr>
      </w:pPr>
      <w:r>
        <w:rPr>
          <w:rFonts w:hint="eastAsia" w:ascii="宋体" w:hAnsi="宋体" w:eastAsia="宋体" w:cs="宋体"/>
          <w:color w:val="auto"/>
          <w:sz w:val="24"/>
        </w:rPr>
        <w:t>说明：供应商承诺不实的，依据《政府采购法》第七十七条“提供虚假材料谋取中标、成交的”有关规定予以处理。</w:t>
      </w:r>
    </w:p>
    <w:p w14:paraId="3D1CB34E">
      <w:pPr>
        <w:tabs>
          <w:tab w:val="left" w:pos="5580"/>
        </w:tabs>
        <w:spacing w:line="360" w:lineRule="auto"/>
        <w:rPr>
          <w:rFonts w:hint="eastAsia" w:ascii="宋体" w:hAnsi="宋体" w:eastAsia="宋体" w:cs="宋体"/>
          <w:color w:val="auto"/>
          <w:sz w:val="24"/>
        </w:rPr>
        <w:sectPr>
          <w:pgSz w:w="11907" w:h="16840"/>
          <w:pgMar w:top="1418" w:right="1134" w:bottom="1418" w:left="1701" w:header="851" w:footer="851" w:gutter="0"/>
          <w:pgNumType w:fmt="decimal"/>
          <w:cols w:space="720" w:num="1"/>
          <w:docGrid w:linePitch="462" w:charSpace="0"/>
        </w:sectPr>
      </w:pPr>
    </w:p>
    <w:p w14:paraId="43200C28">
      <w:pPr>
        <w:numPr>
          <w:ilvl w:val="0"/>
          <w:numId w:val="27"/>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t>落实政府采购政策需满足的资格要求（如有）</w:t>
      </w:r>
    </w:p>
    <w:p w14:paraId="0C24E9F7">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t>2-1 中小企业政策证明文件</w:t>
      </w:r>
    </w:p>
    <w:p w14:paraId="795BAD3A">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说明：</w:t>
      </w:r>
    </w:p>
    <w:p w14:paraId="00DB0847">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AC273E9">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C6336B0">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CC81211">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（4）如本项目（包）预留部分采购项目预算专门面向中小企业采购，且要求供应商以联合体形式参加采购活动</w:t>
      </w:r>
      <w:r>
        <w:rPr>
          <w:rFonts w:hint="eastAsia" w:ascii="宋体" w:hAnsi="宋体" w:eastAsia="宋体" w:cs="宋体"/>
          <w:color w:val="auto"/>
        </w:rPr>
        <w:t>，</w:t>
      </w:r>
      <w:bookmarkStart w:id="996" w:name="_Hlk145526067"/>
      <w:r>
        <w:rPr>
          <w:rFonts w:hint="eastAsia" w:ascii="宋体" w:hAnsi="宋体" w:eastAsia="宋体" w:cs="宋体"/>
          <w:color w:val="auto"/>
          <w:sz w:val="24"/>
        </w:rPr>
        <w:t>如供应商为联合体的，</w:t>
      </w:r>
      <w:bookmarkEnd w:id="996"/>
      <w:r>
        <w:rPr>
          <w:rFonts w:hint="eastAsia" w:ascii="宋体" w:hAnsi="宋体" w:eastAsia="宋体" w:cs="宋体"/>
          <w:color w:val="auto"/>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017D3B0">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（5）中小企业声明函填写注意事项</w:t>
      </w:r>
    </w:p>
    <w:p w14:paraId="1DD551F6">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1）《中小企业声明函》由参加政府采购活动的投标人出具。联合体投标的，《中小企业声明函》可由牵头人出具。</w:t>
      </w:r>
    </w:p>
    <w:p w14:paraId="5C59F98B">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738547C">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3）对于多标的采购项目，投标人应充分、准确地了解所提供货物的制造企业、提供服务的承接企业信息。对相关情况了解不清楚的，不建议填报本声明函。</w:t>
      </w:r>
    </w:p>
    <w:p w14:paraId="711FC1A7">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0B1D1BD">
      <w:pPr>
        <w:tabs>
          <w:tab w:val="left" w:pos="5580"/>
        </w:tabs>
        <w:spacing w:line="360" w:lineRule="auto"/>
        <w:rPr>
          <w:rFonts w:hint="eastAsia" w:ascii="宋体" w:hAnsi="宋体" w:eastAsia="宋体" w:cs="宋体"/>
          <w:color w:val="auto"/>
          <w:sz w:val="24"/>
        </w:rPr>
      </w:pPr>
    </w:p>
    <w:p w14:paraId="6C2AFCBC">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2FB60244">
      <w:pPr>
        <w:pStyle w:val="6"/>
        <w:rPr>
          <w:rFonts w:hint="eastAsia" w:ascii="宋体" w:hAnsi="宋体" w:eastAsia="宋体" w:cs="宋体"/>
          <w:color w:val="auto"/>
          <w:sz w:val="24"/>
        </w:rPr>
      </w:pPr>
      <w:r>
        <w:rPr>
          <w:rFonts w:hint="eastAsia" w:ascii="宋体" w:hAnsi="宋体" w:eastAsia="宋体" w:cs="宋体"/>
          <w:color w:val="auto"/>
        </w:rPr>
        <w:t>2-1-1 中小企业证明文件</w:t>
      </w:r>
    </w:p>
    <w:p w14:paraId="6F38B188">
      <w:pPr>
        <w:spacing w:before="240" w:beforeLines="100" w:after="240" w:afterLines="100" w:line="360" w:lineRule="auto"/>
        <w:jc w:val="center"/>
        <w:rPr>
          <w:b/>
          <w:color w:val="auto"/>
          <w:sz w:val="36"/>
          <w:szCs w:val="36"/>
        </w:rPr>
      </w:pPr>
      <w:r>
        <w:rPr>
          <w:b/>
          <w:bCs/>
          <w:color w:val="auto"/>
          <w:sz w:val="36"/>
          <w:szCs w:val="36"/>
        </w:rPr>
        <w:t>中小企业声明函（货物）格式</w:t>
      </w:r>
    </w:p>
    <w:p w14:paraId="3844E794">
      <w:pPr>
        <w:spacing w:line="360" w:lineRule="auto"/>
        <w:ind w:firstLine="504"/>
        <w:rPr>
          <w:color w:val="auto"/>
          <w:spacing w:val="6"/>
          <w:sz w:val="24"/>
        </w:rPr>
      </w:pPr>
      <w:r>
        <w:rPr>
          <w:color w:val="auto"/>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C50FB4C">
      <w:pPr>
        <w:spacing w:line="360" w:lineRule="auto"/>
        <w:ind w:firstLine="504"/>
        <w:rPr>
          <w:color w:val="auto"/>
          <w:spacing w:val="6"/>
          <w:sz w:val="24"/>
        </w:rPr>
      </w:pPr>
      <w:r>
        <w:rPr>
          <w:color w:val="auto"/>
          <w:spacing w:val="6"/>
          <w:sz w:val="24"/>
        </w:rPr>
        <w:t>1.</w:t>
      </w:r>
      <w:r>
        <w:rPr>
          <w:color w:val="auto"/>
          <w:spacing w:val="6"/>
          <w:sz w:val="24"/>
          <w:u w:val="single"/>
        </w:rPr>
        <w:t>（标的名称）</w:t>
      </w:r>
      <w:r>
        <w:rPr>
          <w:color w:val="auto"/>
          <w:spacing w:val="6"/>
          <w:sz w:val="24"/>
        </w:rPr>
        <w:t>，属于</w:t>
      </w:r>
      <w:r>
        <w:rPr>
          <w:color w:val="auto"/>
          <w:spacing w:val="6"/>
          <w:sz w:val="24"/>
          <w:u w:val="single"/>
        </w:rPr>
        <w:t>（采购文件中明确的所属行业）</w:t>
      </w:r>
      <w:r>
        <w:rPr>
          <w:color w:val="auto"/>
          <w:spacing w:val="6"/>
          <w:sz w:val="24"/>
        </w:rPr>
        <w:t>行业；制造商为</w:t>
      </w:r>
      <w:r>
        <w:rPr>
          <w:color w:val="auto"/>
          <w:spacing w:val="6"/>
          <w:sz w:val="24"/>
          <w:u w:val="single"/>
        </w:rPr>
        <w:t>（企业名称）</w:t>
      </w:r>
      <w:r>
        <w:rPr>
          <w:color w:val="auto"/>
          <w:spacing w:val="6"/>
          <w:sz w:val="24"/>
        </w:rPr>
        <w:t>，从业人员______人，营业收入为______万元，资产总额为______万元</w:t>
      </w:r>
      <w:r>
        <w:rPr>
          <w:color w:val="auto"/>
          <w:spacing w:val="6"/>
          <w:sz w:val="24"/>
          <w:vertAlign w:val="superscript"/>
        </w:rPr>
        <w:t>1</w:t>
      </w:r>
      <w:r>
        <w:rPr>
          <w:color w:val="auto"/>
          <w:spacing w:val="6"/>
          <w:sz w:val="24"/>
        </w:rPr>
        <w:t>，属于</w:t>
      </w:r>
      <w:r>
        <w:rPr>
          <w:color w:val="auto"/>
          <w:spacing w:val="6"/>
          <w:sz w:val="24"/>
          <w:u w:val="single"/>
        </w:rPr>
        <w:t>（中型企业、小型企业、微型企业）</w:t>
      </w:r>
      <w:r>
        <w:rPr>
          <w:color w:val="auto"/>
          <w:spacing w:val="6"/>
          <w:sz w:val="24"/>
        </w:rPr>
        <w:t>；</w:t>
      </w:r>
    </w:p>
    <w:p w14:paraId="2A0BA670">
      <w:pPr>
        <w:spacing w:line="360" w:lineRule="auto"/>
        <w:ind w:firstLine="504"/>
        <w:rPr>
          <w:color w:val="auto"/>
          <w:spacing w:val="6"/>
          <w:sz w:val="24"/>
        </w:rPr>
      </w:pPr>
      <w:r>
        <w:rPr>
          <w:color w:val="auto"/>
          <w:spacing w:val="6"/>
          <w:sz w:val="24"/>
        </w:rPr>
        <w:t>2.</w:t>
      </w:r>
      <w:r>
        <w:rPr>
          <w:color w:val="auto"/>
          <w:spacing w:val="6"/>
          <w:sz w:val="24"/>
          <w:u w:val="single"/>
        </w:rPr>
        <w:t>（标的名称）</w:t>
      </w:r>
      <w:r>
        <w:rPr>
          <w:color w:val="auto"/>
          <w:spacing w:val="6"/>
          <w:sz w:val="24"/>
        </w:rPr>
        <w:t>，属于</w:t>
      </w:r>
      <w:r>
        <w:rPr>
          <w:color w:val="auto"/>
          <w:spacing w:val="6"/>
          <w:sz w:val="24"/>
          <w:u w:val="single"/>
        </w:rPr>
        <w:t>（采购文件中明确的所属行业）</w:t>
      </w:r>
      <w:r>
        <w:rPr>
          <w:color w:val="auto"/>
          <w:spacing w:val="6"/>
          <w:sz w:val="24"/>
        </w:rPr>
        <w:t>行业；制造商为</w:t>
      </w:r>
      <w:r>
        <w:rPr>
          <w:color w:val="auto"/>
          <w:spacing w:val="6"/>
          <w:sz w:val="24"/>
          <w:u w:val="single"/>
        </w:rPr>
        <w:t>（企业名称）</w:t>
      </w:r>
      <w:r>
        <w:rPr>
          <w:color w:val="auto"/>
          <w:spacing w:val="6"/>
          <w:sz w:val="24"/>
        </w:rPr>
        <w:t>，从业人员______人，营业收入为______万元，资产总额为______万元，属于</w:t>
      </w:r>
      <w:r>
        <w:rPr>
          <w:color w:val="auto"/>
          <w:spacing w:val="6"/>
          <w:sz w:val="24"/>
          <w:u w:val="single"/>
        </w:rPr>
        <w:t>（中型企业、小型企业、微型企业）</w:t>
      </w:r>
      <w:r>
        <w:rPr>
          <w:color w:val="auto"/>
          <w:spacing w:val="6"/>
          <w:sz w:val="24"/>
        </w:rPr>
        <w:t>；</w:t>
      </w:r>
    </w:p>
    <w:p w14:paraId="7916EBFD">
      <w:pPr>
        <w:spacing w:line="360" w:lineRule="auto"/>
        <w:ind w:firstLine="504"/>
        <w:rPr>
          <w:color w:val="auto"/>
          <w:spacing w:val="6"/>
          <w:sz w:val="24"/>
        </w:rPr>
      </w:pPr>
      <w:r>
        <w:rPr>
          <w:color w:val="auto"/>
          <w:spacing w:val="6"/>
          <w:sz w:val="24"/>
        </w:rPr>
        <w:t>……</w:t>
      </w:r>
    </w:p>
    <w:p w14:paraId="010734DD">
      <w:pPr>
        <w:spacing w:line="360" w:lineRule="auto"/>
        <w:ind w:firstLine="504"/>
        <w:rPr>
          <w:color w:val="auto"/>
          <w:spacing w:val="6"/>
          <w:sz w:val="24"/>
        </w:rPr>
      </w:pPr>
      <w:r>
        <w:rPr>
          <w:color w:val="auto"/>
          <w:spacing w:val="6"/>
          <w:sz w:val="24"/>
        </w:rPr>
        <w:t>以上企业，不属于大企业的分支机构，不存在控股股东为大企业的情形，也不存在与大企业的负责人为同一人的情形。</w:t>
      </w:r>
    </w:p>
    <w:p w14:paraId="6061F7E2">
      <w:pPr>
        <w:spacing w:line="360" w:lineRule="auto"/>
        <w:ind w:firstLine="504"/>
        <w:rPr>
          <w:color w:val="auto"/>
          <w:spacing w:val="6"/>
          <w:sz w:val="24"/>
        </w:rPr>
      </w:pPr>
      <w:r>
        <w:rPr>
          <w:color w:val="auto"/>
          <w:spacing w:val="6"/>
          <w:sz w:val="24"/>
        </w:rPr>
        <w:t>本企业对上述声明内容的真实性负责。如有虚假，将依法承担相应责任。</w:t>
      </w:r>
    </w:p>
    <w:p w14:paraId="3F18CB95">
      <w:pPr>
        <w:spacing w:line="360" w:lineRule="auto"/>
        <w:ind w:firstLine="504"/>
        <w:rPr>
          <w:color w:val="auto"/>
          <w:spacing w:val="6"/>
          <w:sz w:val="24"/>
        </w:rPr>
      </w:pPr>
    </w:p>
    <w:p w14:paraId="2EEFDD1D">
      <w:pPr>
        <w:spacing w:line="360" w:lineRule="auto"/>
        <w:ind w:right="360" w:firstLine="480"/>
        <w:jc w:val="right"/>
        <w:rPr>
          <w:color w:val="auto"/>
          <w:sz w:val="24"/>
        </w:rPr>
      </w:pPr>
      <w:r>
        <w:rPr>
          <w:color w:val="auto"/>
          <w:sz w:val="24"/>
        </w:rPr>
        <w:t>企业名称（盖章）：________</w:t>
      </w:r>
    </w:p>
    <w:p w14:paraId="55AA7936">
      <w:pPr>
        <w:spacing w:line="360" w:lineRule="auto"/>
        <w:ind w:right="360" w:firstLine="480"/>
        <w:jc w:val="right"/>
        <w:rPr>
          <w:rFonts w:hint="eastAsia" w:ascii="宋体" w:hAnsi="宋体" w:eastAsia="宋体" w:cs="宋体"/>
          <w:color w:val="auto"/>
          <w:sz w:val="24"/>
        </w:rPr>
      </w:pPr>
      <w:r>
        <w:rPr>
          <w:color w:val="auto"/>
          <w:sz w:val="24"/>
        </w:rPr>
        <w:t>日 期：________</w:t>
      </w:r>
    </w:p>
    <w:p w14:paraId="557EA339">
      <w:pPr>
        <w:adjustRightInd w:val="0"/>
        <w:snapToGrid w:val="0"/>
        <w:jc w:val="left"/>
        <w:rPr>
          <w:rFonts w:hint="eastAsia" w:ascii="宋体" w:hAnsi="宋体" w:eastAsia="宋体" w:cs="宋体"/>
          <w:color w:val="auto"/>
          <w:sz w:val="24"/>
          <w:szCs w:val="21"/>
        </w:rPr>
      </w:pPr>
    </w:p>
    <w:p w14:paraId="45434760">
      <w:pPr>
        <w:adjustRightInd w:val="0"/>
        <w:snapToGrid w:val="0"/>
        <w:jc w:val="left"/>
        <w:rPr>
          <w:rFonts w:hint="eastAsia" w:ascii="宋体" w:hAnsi="宋体" w:eastAsia="宋体" w:cs="宋体"/>
          <w:color w:val="auto"/>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9CC761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38D539F">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vertAlign w:val="superscript"/>
              </w:rPr>
              <w:t>1</w:t>
            </w:r>
            <w:r>
              <w:rPr>
                <w:rFonts w:hint="eastAsia" w:ascii="宋体" w:hAnsi="宋体" w:eastAsia="宋体" w:cs="宋体"/>
                <w:color w:val="auto"/>
                <w:szCs w:val="21"/>
              </w:rPr>
              <w:t>从业人员、营业收入、资产总额填报上一年度数据，无上一年度数据的新成立企业可不填报。</w:t>
            </w:r>
          </w:p>
        </w:tc>
      </w:tr>
    </w:tbl>
    <w:p w14:paraId="34DD2633">
      <w:pPr>
        <w:adjustRightInd w:val="0"/>
        <w:snapToGrid w:val="0"/>
        <w:jc w:val="left"/>
        <w:rPr>
          <w:rFonts w:hint="eastAsia" w:ascii="宋体" w:hAnsi="宋体" w:eastAsia="宋体" w:cs="宋体"/>
          <w:color w:val="auto"/>
          <w:szCs w:val="21"/>
          <w:vertAlign w:val="superscript"/>
        </w:rPr>
      </w:pPr>
    </w:p>
    <w:p w14:paraId="550A43A2">
      <w:pPr>
        <w:spacing w:line="360" w:lineRule="auto"/>
        <w:ind w:right="360" w:firstLine="480"/>
        <w:jc w:val="right"/>
        <w:rPr>
          <w:rFonts w:hint="eastAsia" w:ascii="宋体" w:hAnsi="宋体" w:eastAsia="宋体" w:cs="宋体"/>
          <w:color w:val="auto"/>
          <w:sz w:val="24"/>
        </w:rPr>
      </w:pPr>
    </w:p>
    <w:p w14:paraId="6E904CD6">
      <w:pPr>
        <w:spacing w:line="360" w:lineRule="auto"/>
        <w:ind w:right="360" w:firstLine="480"/>
        <w:jc w:val="right"/>
        <w:rPr>
          <w:rFonts w:hint="eastAsia" w:ascii="宋体" w:hAnsi="宋体" w:eastAsia="宋体" w:cs="宋体"/>
          <w:color w:val="auto"/>
          <w:sz w:val="24"/>
        </w:rPr>
      </w:pPr>
    </w:p>
    <w:p w14:paraId="6C31B789">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62DEDF37">
      <w:pPr>
        <w:spacing w:before="240" w:beforeLines="100" w:after="240" w:afterLines="100" w:line="360" w:lineRule="auto"/>
        <w:jc w:val="center"/>
        <w:rPr>
          <w:rFonts w:hint="eastAsia" w:ascii="宋体" w:hAnsi="宋体" w:eastAsia="宋体" w:cs="宋体"/>
          <w:b/>
          <w:color w:val="auto"/>
          <w:sz w:val="36"/>
          <w:szCs w:val="36"/>
        </w:rPr>
      </w:pPr>
      <w:r>
        <w:rPr>
          <w:rFonts w:hint="eastAsia" w:ascii="宋体" w:hAnsi="宋体" w:eastAsia="宋体" w:cs="宋体"/>
          <w:b/>
          <w:bCs/>
          <w:color w:val="auto"/>
          <w:sz w:val="36"/>
          <w:szCs w:val="36"/>
        </w:rPr>
        <w:t>残疾人福利性单位声明函格式</w:t>
      </w:r>
      <w:r>
        <w:rPr>
          <w:rFonts w:hint="eastAsia" w:ascii="宋体" w:hAnsi="宋体" w:eastAsia="宋体" w:cs="宋体"/>
          <w:b/>
          <w:color w:val="auto"/>
          <w:sz w:val="36"/>
          <w:szCs w:val="36"/>
        </w:rPr>
        <w:t xml:space="preserve">       </w:t>
      </w:r>
    </w:p>
    <w:p w14:paraId="4F6AB193">
      <w:pPr>
        <w:spacing w:line="588" w:lineRule="exact"/>
        <w:ind w:firstLine="504"/>
        <w:rPr>
          <w:rFonts w:hint="eastAsia" w:ascii="宋体" w:hAnsi="宋体" w:eastAsia="宋体" w:cs="宋体"/>
          <w:color w:val="auto"/>
          <w:spacing w:val="6"/>
          <w:sz w:val="24"/>
        </w:rPr>
      </w:pPr>
      <w:r>
        <w:rPr>
          <w:rFonts w:hint="eastAsia" w:ascii="宋体" w:hAnsi="宋体" w:eastAsia="宋体" w:cs="宋体"/>
          <w:color w:val="auto"/>
          <w:spacing w:val="6"/>
          <w:sz w:val="24"/>
        </w:rPr>
        <w:t>本单位郑重声明，根据《财政部 民政部 中国残疾人联合会关于促进残疾人就业政府采购政策的通知》（财库</w:t>
      </w:r>
      <w:r>
        <w:rPr>
          <w:rFonts w:hint="eastAsia" w:ascii="宋体" w:hAnsi="宋体" w:eastAsia="宋体" w:cs="宋体"/>
          <w:color w:val="auto"/>
          <w:sz w:val="24"/>
        </w:rPr>
        <w:t>〔2017〕 141</w:t>
      </w:r>
      <w:r>
        <w:rPr>
          <w:rFonts w:hint="eastAsia" w:ascii="宋体" w:hAnsi="宋体" w:eastAsia="宋体" w:cs="宋体"/>
          <w:color w:val="auto"/>
          <w:spacing w:val="6"/>
          <w:sz w:val="24"/>
        </w:rPr>
        <w:t>号）的规定，本单位</w:t>
      </w:r>
      <w:r>
        <w:rPr>
          <w:rFonts w:hint="eastAsia" w:ascii="宋体" w:hAnsi="宋体" w:eastAsia="宋体" w:cs="宋体"/>
          <w:b/>
          <w:color w:val="auto"/>
          <w:sz w:val="24"/>
        </w:rPr>
        <w:t>（请进行选择）</w:t>
      </w:r>
      <w:r>
        <w:rPr>
          <w:rFonts w:hint="eastAsia" w:ascii="宋体" w:hAnsi="宋体" w:eastAsia="宋体" w:cs="宋体"/>
          <w:color w:val="auto"/>
          <w:spacing w:val="6"/>
          <w:sz w:val="24"/>
        </w:rPr>
        <w:t>：</w:t>
      </w:r>
    </w:p>
    <w:p w14:paraId="0B921728">
      <w:pPr>
        <w:spacing w:line="588" w:lineRule="exact"/>
        <w:ind w:firstLine="482"/>
        <w:rPr>
          <w:rFonts w:hint="eastAsia" w:ascii="宋体" w:hAnsi="宋体" w:eastAsia="宋体" w:cs="宋体"/>
          <w:b/>
          <w:color w:val="auto"/>
          <w:spacing w:val="6"/>
          <w:sz w:val="24"/>
        </w:rPr>
      </w:pPr>
      <w:r>
        <w:rPr>
          <w:rFonts w:hint="eastAsia" w:ascii="宋体" w:hAnsi="宋体" w:eastAsia="宋体" w:cs="宋体"/>
          <w:b/>
          <w:color w:val="auto"/>
          <w:sz w:val="24"/>
        </w:rPr>
        <w:t>□</w:t>
      </w:r>
      <w:r>
        <w:rPr>
          <w:rFonts w:hint="eastAsia" w:ascii="宋体" w:hAnsi="宋体" w:eastAsia="宋体" w:cs="宋体"/>
          <w:b/>
          <w:color w:val="auto"/>
          <w:spacing w:val="6"/>
          <w:sz w:val="24"/>
        </w:rPr>
        <w:t>不属于符合条件的残疾人福利性单位。</w:t>
      </w:r>
    </w:p>
    <w:p w14:paraId="5CC27CBE">
      <w:pPr>
        <w:spacing w:line="588" w:lineRule="exact"/>
        <w:ind w:firstLine="482"/>
        <w:rPr>
          <w:rFonts w:hint="eastAsia" w:ascii="宋体" w:hAnsi="宋体" w:eastAsia="宋体" w:cs="宋体"/>
          <w:color w:val="auto"/>
          <w:spacing w:val="6"/>
          <w:sz w:val="24"/>
        </w:rPr>
      </w:pPr>
      <w:r>
        <w:rPr>
          <w:rFonts w:hint="eastAsia" w:ascii="宋体" w:hAnsi="宋体" w:eastAsia="宋体" w:cs="宋体"/>
          <w:b/>
          <w:color w:val="auto"/>
          <w:sz w:val="24"/>
        </w:rPr>
        <w:t>□</w:t>
      </w:r>
      <w:r>
        <w:rPr>
          <w:rFonts w:hint="eastAsia" w:ascii="宋体" w:hAnsi="宋体" w:eastAsia="宋体" w:cs="宋体"/>
          <w:b/>
          <w:color w:val="auto"/>
          <w:spacing w:val="6"/>
          <w:sz w:val="24"/>
        </w:rPr>
        <w:t>属于符合条件的残疾人福利性单位，</w:t>
      </w:r>
      <w:r>
        <w:rPr>
          <w:rFonts w:hint="eastAsia" w:ascii="宋体" w:hAnsi="宋体" w:eastAsia="宋体" w:cs="宋体"/>
          <w:color w:val="auto"/>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F288C5E">
      <w:pPr>
        <w:spacing w:line="588" w:lineRule="exact"/>
        <w:ind w:firstLine="506" w:firstLineChars="200"/>
        <w:rPr>
          <w:rFonts w:hint="eastAsia" w:ascii="宋体" w:hAnsi="宋体" w:eastAsia="宋体" w:cs="宋体"/>
          <w:color w:val="auto"/>
          <w:spacing w:val="6"/>
          <w:sz w:val="24"/>
        </w:rPr>
      </w:pPr>
      <w:r>
        <w:rPr>
          <w:rFonts w:hint="eastAsia" w:ascii="宋体" w:hAnsi="宋体" w:eastAsia="宋体" w:cs="宋体"/>
          <w:b/>
          <w:color w:val="auto"/>
          <w:spacing w:val="6"/>
          <w:sz w:val="24"/>
        </w:rPr>
        <w:t>本单位对上述声明的真实性负责。如有虚假，将依法承担相应责任。</w:t>
      </w:r>
    </w:p>
    <w:p w14:paraId="0C490539">
      <w:pPr>
        <w:spacing w:line="588" w:lineRule="exact"/>
        <w:ind w:firstLine="504" w:firstLineChars="200"/>
        <w:rPr>
          <w:rFonts w:hint="eastAsia" w:ascii="宋体" w:hAnsi="宋体" w:eastAsia="宋体" w:cs="宋体"/>
          <w:color w:val="auto"/>
          <w:spacing w:val="6"/>
          <w:sz w:val="24"/>
        </w:rPr>
      </w:pPr>
    </w:p>
    <w:p w14:paraId="45ED2368">
      <w:pPr>
        <w:spacing w:line="588" w:lineRule="exact"/>
        <w:ind w:firstLine="504" w:firstLineChars="200"/>
        <w:rPr>
          <w:rFonts w:hint="eastAsia" w:ascii="宋体" w:hAnsi="宋体" w:eastAsia="宋体" w:cs="宋体"/>
          <w:color w:val="auto"/>
          <w:spacing w:val="6"/>
          <w:sz w:val="24"/>
        </w:rPr>
      </w:pPr>
    </w:p>
    <w:p w14:paraId="2A150857">
      <w:pPr>
        <w:tabs>
          <w:tab w:val="left" w:pos="4860"/>
        </w:tabs>
        <w:spacing w:line="588" w:lineRule="exact"/>
        <w:ind w:right="1560" w:firstLine="504" w:firstLineChars="200"/>
        <w:jc w:val="center"/>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单位名称（盖章）：</w:t>
      </w:r>
    </w:p>
    <w:p w14:paraId="62FDF927">
      <w:pPr>
        <w:tabs>
          <w:tab w:val="left" w:pos="4860"/>
        </w:tabs>
        <w:spacing w:line="588" w:lineRule="exact"/>
        <w:ind w:right="1560" w:firstLine="504" w:firstLineChars="200"/>
        <w:jc w:val="center"/>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日  期：</w:t>
      </w:r>
    </w:p>
    <w:p w14:paraId="61CAB539">
      <w:pPr>
        <w:widowControl/>
        <w:jc w:val="left"/>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294FA8D4">
      <w:pPr>
        <w:pStyle w:val="6"/>
        <w:rPr>
          <w:rFonts w:hint="eastAsia" w:ascii="宋体" w:hAnsi="宋体" w:eastAsia="宋体" w:cs="宋体"/>
          <w:color w:val="auto"/>
        </w:rPr>
      </w:pPr>
      <w:r>
        <w:rPr>
          <w:rFonts w:hint="eastAsia" w:ascii="宋体" w:hAnsi="宋体" w:eastAsia="宋体" w:cs="宋体"/>
          <w:color w:val="auto"/>
        </w:rPr>
        <w:t>2-1-2 拟分包情况说明及分包意向协议</w:t>
      </w:r>
    </w:p>
    <w:p w14:paraId="41A092B0">
      <w:pPr>
        <w:autoSpaceDE w:val="0"/>
        <w:autoSpaceDN w:val="0"/>
        <w:adjustRightInd w:val="0"/>
        <w:jc w:val="center"/>
        <w:rPr>
          <w:rFonts w:hint="eastAsia" w:ascii="宋体" w:hAnsi="宋体" w:eastAsia="宋体" w:cs="宋体"/>
          <w:color w:val="auto"/>
          <w:sz w:val="30"/>
          <w:szCs w:val="30"/>
        </w:rPr>
      </w:pPr>
    </w:p>
    <w:p w14:paraId="08AC861A">
      <w:pPr>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拟分包情况说明</w:t>
      </w:r>
    </w:p>
    <w:p w14:paraId="57A0C88B">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（采购人或采购代理机构）</w:t>
      </w:r>
    </w:p>
    <w:p w14:paraId="6FE2B1D3">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D411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2748032">
            <w:pPr>
              <w:pStyle w:val="251"/>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287" w:type="dxa"/>
            <w:vAlign w:val="center"/>
          </w:tcPr>
          <w:p w14:paraId="188A2705">
            <w:pPr>
              <w:pStyle w:val="251"/>
              <w:jc w:val="center"/>
              <w:rPr>
                <w:rFonts w:hint="eastAsia" w:ascii="宋体" w:hAnsi="宋体" w:eastAsia="宋体" w:cs="宋体"/>
                <w:color w:val="auto"/>
                <w:sz w:val="24"/>
              </w:rPr>
            </w:pPr>
            <w:r>
              <w:rPr>
                <w:rFonts w:hint="eastAsia" w:ascii="宋体" w:hAnsi="宋体" w:eastAsia="宋体" w:cs="宋体"/>
                <w:color w:val="auto"/>
                <w:sz w:val="24"/>
              </w:rPr>
              <w:t>分包承担</w:t>
            </w:r>
          </w:p>
          <w:p w14:paraId="1DAAA6A3">
            <w:pPr>
              <w:pStyle w:val="251"/>
              <w:jc w:val="center"/>
              <w:rPr>
                <w:rFonts w:hint="eastAsia" w:ascii="宋体" w:hAnsi="宋体" w:eastAsia="宋体" w:cs="宋体"/>
                <w:color w:val="auto"/>
                <w:sz w:val="24"/>
              </w:rPr>
            </w:pPr>
            <w:r>
              <w:rPr>
                <w:rFonts w:hint="eastAsia" w:ascii="宋体" w:hAnsi="宋体" w:eastAsia="宋体" w:cs="宋体"/>
                <w:color w:val="auto"/>
                <w:sz w:val="24"/>
              </w:rPr>
              <w:t>主体名称</w:t>
            </w:r>
          </w:p>
        </w:tc>
        <w:tc>
          <w:tcPr>
            <w:tcW w:w="1513" w:type="dxa"/>
            <w:vAlign w:val="center"/>
          </w:tcPr>
          <w:p w14:paraId="22838AD1">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分包承担</w:t>
            </w:r>
          </w:p>
          <w:p w14:paraId="6D6AE103">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主体类型</w:t>
            </w:r>
          </w:p>
          <w:p w14:paraId="703E0998">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（选择）</w:t>
            </w:r>
          </w:p>
        </w:tc>
        <w:tc>
          <w:tcPr>
            <w:tcW w:w="1125" w:type="dxa"/>
            <w:vAlign w:val="center"/>
          </w:tcPr>
          <w:p w14:paraId="0A76B748">
            <w:pPr>
              <w:pStyle w:val="251"/>
              <w:jc w:val="center"/>
              <w:rPr>
                <w:rFonts w:hint="eastAsia" w:ascii="宋体" w:hAnsi="宋体" w:eastAsia="宋体" w:cs="宋体"/>
                <w:color w:val="auto"/>
                <w:sz w:val="24"/>
              </w:rPr>
            </w:pPr>
            <w:r>
              <w:rPr>
                <w:rFonts w:hint="eastAsia" w:ascii="宋体" w:hAnsi="宋体" w:eastAsia="宋体" w:cs="宋体"/>
                <w:color w:val="auto"/>
                <w:sz w:val="24"/>
              </w:rPr>
              <w:t>资质等级</w:t>
            </w:r>
          </w:p>
        </w:tc>
        <w:tc>
          <w:tcPr>
            <w:tcW w:w="1558" w:type="dxa"/>
            <w:vAlign w:val="center"/>
          </w:tcPr>
          <w:p w14:paraId="055C76DA">
            <w:pPr>
              <w:pStyle w:val="251"/>
              <w:jc w:val="center"/>
              <w:rPr>
                <w:rFonts w:hint="eastAsia" w:ascii="宋体" w:hAnsi="宋体" w:eastAsia="宋体" w:cs="宋体"/>
                <w:color w:val="auto"/>
                <w:sz w:val="24"/>
              </w:rPr>
            </w:pPr>
            <w:r>
              <w:rPr>
                <w:rFonts w:hint="eastAsia" w:ascii="宋体" w:hAnsi="宋体" w:eastAsia="宋体" w:cs="宋体"/>
                <w:color w:val="auto"/>
                <w:sz w:val="24"/>
              </w:rPr>
              <w:t>拟分包</w:t>
            </w:r>
          </w:p>
          <w:p w14:paraId="1EB80DDB">
            <w:pPr>
              <w:pStyle w:val="251"/>
              <w:jc w:val="center"/>
              <w:rPr>
                <w:rFonts w:hint="eastAsia" w:ascii="宋体" w:hAnsi="宋体" w:eastAsia="宋体" w:cs="宋体"/>
                <w:color w:val="auto"/>
                <w:sz w:val="24"/>
              </w:rPr>
            </w:pPr>
            <w:r>
              <w:rPr>
                <w:rFonts w:hint="eastAsia" w:ascii="宋体" w:hAnsi="宋体" w:eastAsia="宋体" w:cs="宋体"/>
                <w:color w:val="auto"/>
                <w:sz w:val="24"/>
              </w:rPr>
              <w:t>合同内容</w:t>
            </w:r>
          </w:p>
        </w:tc>
        <w:tc>
          <w:tcPr>
            <w:tcW w:w="1498" w:type="dxa"/>
            <w:vAlign w:val="center"/>
          </w:tcPr>
          <w:p w14:paraId="29C5CD31">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拟分包</w:t>
            </w:r>
          </w:p>
          <w:p w14:paraId="18E068B8">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合同金额</w:t>
            </w:r>
          </w:p>
          <w:p w14:paraId="34172117">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（人民币元）</w:t>
            </w:r>
          </w:p>
        </w:tc>
        <w:tc>
          <w:tcPr>
            <w:tcW w:w="1564" w:type="dxa"/>
            <w:vAlign w:val="center"/>
          </w:tcPr>
          <w:p w14:paraId="27D63566">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占该采购包</w:t>
            </w:r>
          </w:p>
          <w:p w14:paraId="4752D5FB">
            <w:pPr>
              <w:pStyle w:val="251"/>
              <w:jc w:val="center"/>
              <w:rPr>
                <w:rFonts w:hint="eastAsia" w:ascii="宋体" w:hAnsi="宋体" w:eastAsia="宋体" w:cs="宋体"/>
                <w:b/>
                <w:color w:val="auto"/>
                <w:sz w:val="24"/>
                <w:lang w:eastAsia="zh-CN"/>
              </w:rPr>
            </w:pPr>
            <w:r>
              <w:rPr>
                <w:rFonts w:hint="eastAsia" w:ascii="宋体" w:hAnsi="宋体" w:eastAsia="宋体" w:cs="宋体"/>
                <w:b/>
                <w:color w:val="auto"/>
                <w:sz w:val="24"/>
                <w:lang w:eastAsia="zh-CN"/>
              </w:rPr>
              <w:t>合同金额的</w:t>
            </w:r>
          </w:p>
          <w:p w14:paraId="220C7558">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比例（%）</w:t>
            </w:r>
          </w:p>
        </w:tc>
      </w:tr>
      <w:tr w14:paraId="44FE4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D25BFFC">
            <w:pPr>
              <w:pStyle w:val="251"/>
              <w:jc w:val="center"/>
              <w:rPr>
                <w:rFonts w:hint="eastAsia" w:ascii="宋体" w:hAnsi="宋体" w:eastAsia="宋体" w:cs="宋体"/>
                <w:color w:val="auto"/>
                <w:sz w:val="24"/>
              </w:rPr>
            </w:pPr>
            <w:r>
              <w:rPr>
                <w:rFonts w:hint="eastAsia" w:ascii="宋体" w:hAnsi="宋体" w:eastAsia="宋体" w:cs="宋体"/>
                <w:color w:val="auto"/>
                <w:sz w:val="24"/>
              </w:rPr>
              <w:t>1</w:t>
            </w:r>
          </w:p>
        </w:tc>
        <w:tc>
          <w:tcPr>
            <w:tcW w:w="1287" w:type="dxa"/>
            <w:vAlign w:val="center"/>
          </w:tcPr>
          <w:p w14:paraId="641BD585">
            <w:pPr>
              <w:pStyle w:val="251"/>
              <w:jc w:val="center"/>
              <w:rPr>
                <w:rFonts w:hint="eastAsia" w:ascii="宋体" w:hAnsi="宋体" w:eastAsia="宋体" w:cs="宋体"/>
                <w:color w:val="auto"/>
                <w:sz w:val="30"/>
              </w:rPr>
            </w:pPr>
          </w:p>
        </w:tc>
        <w:tc>
          <w:tcPr>
            <w:tcW w:w="1513" w:type="dxa"/>
            <w:vAlign w:val="center"/>
          </w:tcPr>
          <w:p w14:paraId="43138078">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□中型企业</w:t>
            </w:r>
          </w:p>
          <w:p w14:paraId="693FBCA7">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□小微企业</w:t>
            </w:r>
          </w:p>
          <w:p w14:paraId="07354EE2">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□其他</w:t>
            </w:r>
          </w:p>
        </w:tc>
        <w:tc>
          <w:tcPr>
            <w:tcW w:w="1125" w:type="dxa"/>
            <w:vAlign w:val="center"/>
          </w:tcPr>
          <w:p w14:paraId="43787383">
            <w:pPr>
              <w:pStyle w:val="251"/>
              <w:jc w:val="center"/>
              <w:rPr>
                <w:rFonts w:hint="eastAsia" w:ascii="宋体" w:hAnsi="宋体" w:eastAsia="宋体" w:cs="宋体"/>
                <w:color w:val="auto"/>
                <w:sz w:val="30"/>
                <w:lang w:eastAsia="zh-CN"/>
              </w:rPr>
            </w:pPr>
          </w:p>
        </w:tc>
        <w:tc>
          <w:tcPr>
            <w:tcW w:w="1558" w:type="dxa"/>
            <w:vAlign w:val="center"/>
          </w:tcPr>
          <w:p w14:paraId="1A8B159E">
            <w:pPr>
              <w:pStyle w:val="251"/>
              <w:jc w:val="center"/>
              <w:rPr>
                <w:rFonts w:hint="eastAsia" w:ascii="宋体" w:hAnsi="宋体" w:eastAsia="宋体" w:cs="宋体"/>
                <w:color w:val="auto"/>
                <w:sz w:val="30"/>
                <w:lang w:eastAsia="zh-CN"/>
              </w:rPr>
            </w:pPr>
          </w:p>
        </w:tc>
        <w:tc>
          <w:tcPr>
            <w:tcW w:w="1498" w:type="dxa"/>
            <w:vAlign w:val="center"/>
          </w:tcPr>
          <w:p w14:paraId="6CF71F92">
            <w:pPr>
              <w:pStyle w:val="251"/>
              <w:jc w:val="center"/>
              <w:rPr>
                <w:rFonts w:hint="eastAsia" w:ascii="宋体" w:hAnsi="宋体" w:eastAsia="宋体" w:cs="宋体"/>
                <w:color w:val="auto"/>
                <w:sz w:val="30"/>
                <w:lang w:eastAsia="zh-CN"/>
              </w:rPr>
            </w:pPr>
          </w:p>
        </w:tc>
        <w:tc>
          <w:tcPr>
            <w:tcW w:w="1564" w:type="dxa"/>
            <w:vAlign w:val="center"/>
          </w:tcPr>
          <w:p w14:paraId="49D24A23">
            <w:pPr>
              <w:pStyle w:val="251"/>
              <w:jc w:val="center"/>
              <w:rPr>
                <w:rFonts w:hint="eastAsia" w:ascii="宋体" w:hAnsi="宋体" w:eastAsia="宋体" w:cs="宋体"/>
                <w:color w:val="auto"/>
                <w:sz w:val="30"/>
                <w:lang w:eastAsia="zh-CN"/>
              </w:rPr>
            </w:pPr>
          </w:p>
        </w:tc>
      </w:tr>
      <w:tr w14:paraId="5A04A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16EDCA">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2</w:t>
            </w:r>
          </w:p>
        </w:tc>
        <w:tc>
          <w:tcPr>
            <w:tcW w:w="1287" w:type="dxa"/>
            <w:vAlign w:val="center"/>
          </w:tcPr>
          <w:p w14:paraId="0C465C73">
            <w:pPr>
              <w:pStyle w:val="251"/>
              <w:jc w:val="center"/>
              <w:rPr>
                <w:rFonts w:hint="eastAsia" w:ascii="宋体" w:hAnsi="宋体" w:eastAsia="宋体" w:cs="宋体"/>
                <w:color w:val="auto"/>
                <w:sz w:val="30"/>
              </w:rPr>
            </w:pPr>
          </w:p>
        </w:tc>
        <w:tc>
          <w:tcPr>
            <w:tcW w:w="1513" w:type="dxa"/>
            <w:vAlign w:val="center"/>
          </w:tcPr>
          <w:p w14:paraId="3BA721E9">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□中型企业</w:t>
            </w:r>
          </w:p>
          <w:p w14:paraId="4B53E9A9">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□小微企业</w:t>
            </w:r>
          </w:p>
          <w:p w14:paraId="14AE1CCF">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□其他</w:t>
            </w:r>
          </w:p>
        </w:tc>
        <w:tc>
          <w:tcPr>
            <w:tcW w:w="1125" w:type="dxa"/>
            <w:vAlign w:val="center"/>
          </w:tcPr>
          <w:p w14:paraId="05657BC2">
            <w:pPr>
              <w:pStyle w:val="251"/>
              <w:jc w:val="center"/>
              <w:rPr>
                <w:rFonts w:hint="eastAsia" w:ascii="宋体" w:hAnsi="宋体" w:eastAsia="宋体" w:cs="宋体"/>
                <w:color w:val="auto"/>
                <w:sz w:val="30"/>
                <w:lang w:eastAsia="zh-CN"/>
              </w:rPr>
            </w:pPr>
          </w:p>
        </w:tc>
        <w:tc>
          <w:tcPr>
            <w:tcW w:w="1558" w:type="dxa"/>
            <w:vAlign w:val="center"/>
          </w:tcPr>
          <w:p w14:paraId="1FC58EC2">
            <w:pPr>
              <w:pStyle w:val="251"/>
              <w:jc w:val="center"/>
              <w:rPr>
                <w:rFonts w:hint="eastAsia" w:ascii="宋体" w:hAnsi="宋体" w:eastAsia="宋体" w:cs="宋体"/>
                <w:color w:val="auto"/>
                <w:sz w:val="30"/>
                <w:lang w:eastAsia="zh-CN"/>
              </w:rPr>
            </w:pPr>
          </w:p>
        </w:tc>
        <w:tc>
          <w:tcPr>
            <w:tcW w:w="1498" w:type="dxa"/>
            <w:vAlign w:val="center"/>
          </w:tcPr>
          <w:p w14:paraId="15DC7434">
            <w:pPr>
              <w:pStyle w:val="251"/>
              <w:jc w:val="center"/>
              <w:rPr>
                <w:rFonts w:hint="eastAsia" w:ascii="宋体" w:hAnsi="宋体" w:eastAsia="宋体" w:cs="宋体"/>
                <w:color w:val="auto"/>
                <w:sz w:val="30"/>
                <w:lang w:eastAsia="zh-CN"/>
              </w:rPr>
            </w:pPr>
          </w:p>
        </w:tc>
        <w:tc>
          <w:tcPr>
            <w:tcW w:w="1564" w:type="dxa"/>
            <w:vAlign w:val="center"/>
          </w:tcPr>
          <w:p w14:paraId="68C8E38A">
            <w:pPr>
              <w:pStyle w:val="251"/>
              <w:jc w:val="center"/>
              <w:rPr>
                <w:rFonts w:hint="eastAsia" w:ascii="宋体" w:hAnsi="宋体" w:eastAsia="宋体" w:cs="宋体"/>
                <w:color w:val="auto"/>
                <w:sz w:val="30"/>
                <w:lang w:eastAsia="zh-CN"/>
              </w:rPr>
            </w:pPr>
          </w:p>
        </w:tc>
      </w:tr>
      <w:tr w14:paraId="44FCA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0015E7E">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p>
        </w:tc>
        <w:tc>
          <w:tcPr>
            <w:tcW w:w="1287" w:type="dxa"/>
            <w:vAlign w:val="center"/>
          </w:tcPr>
          <w:p w14:paraId="3295C356">
            <w:pPr>
              <w:pStyle w:val="251"/>
              <w:jc w:val="center"/>
              <w:rPr>
                <w:rFonts w:hint="eastAsia" w:ascii="宋体" w:hAnsi="宋体" w:eastAsia="宋体" w:cs="宋体"/>
                <w:color w:val="auto"/>
                <w:sz w:val="30"/>
              </w:rPr>
            </w:pPr>
          </w:p>
        </w:tc>
        <w:tc>
          <w:tcPr>
            <w:tcW w:w="1513" w:type="dxa"/>
            <w:vAlign w:val="center"/>
          </w:tcPr>
          <w:p w14:paraId="0C0D6081">
            <w:pPr>
              <w:pStyle w:val="251"/>
              <w:tabs>
                <w:tab w:val="left" w:pos="235"/>
              </w:tabs>
              <w:jc w:val="center"/>
              <w:rPr>
                <w:rFonts w:hint="eastAsia" w:ascii="宋体" w:hAnsi="宋体" w:eastAsia="宋体" w:cs="宋体"/>
                <w:color w:val="auto"/>
                <w:sz w:val="24"/>
              </w:rPr>
            </w:pPr>
          </w:p>
        </w:tc>
        <w:tc>
          <w:tcPr>
            <w:tcW w:w="1125" w:type="dxa"/>
            <w:vAlign w:val="center"/>
          </w:tcPr>
          <w:p w14:paraId="6824538D">
            <w:pPr>
              <w:pStyle w:val="251"/>
              <w:jc w:val="center"/>
              <w:rPr>
                <w:rFonts w:hint="eastAsia" w:ascii="宋体" w:hAnsi="宋体" w:eastAsia="宋体" w:cs="宋体"/>
                <w:color w:val="auto"/>
                <w:sz w:val="30"/>
              </w:rPr>
            </w:pPr>
          </w:p>
        </w:tc>
        <w:tc>
          <w:tcPr>
            <w:tcW w:w="1558" w:type="dxa"/>
            <w:vAlign w:val="center"/>
          </w:tcPr>
          <w:p w14:paraId="62394E25">
            <w:pPr>
              <w:pStyle w:val="251"/>
              <w:jc w:val="center"/>
              <w:rPr>
                <w:rFonts w:hint="eastAsia" w:ascii="宋体" w:hAnsi="宋体" w:eastAsia="宋体" w:cs="宋体"/>
                <w:color w:val="auto"/>
                <w:sz w:val="30"/>
              </w:rPr>
            </w:pPr>
          </w:p>
        </w:tc>
        <w:tc>
          <w:tcPr>
            <w:tcW w:w="1498" w:type="dxa"/>
            <w:vAlign w:val="center"/>
          </w:tcPr>
          <w:p w14:paraId="4EF9FE11">
            <w:pPr>
              <w:pStyle w:val="251"/>
              <w:jc w:val="center"/>
              <w:rPr>
                <w:rFonts w:hint="eastAsia" w:ascii="宋体" w:hAnsi="宋体" w:eastAsia="宋体" w:cs="宋体"/>
                <w:color w:val="auto"/>
                <w:sz w:val="30"/>
              </w:rPr>
            </w:pPr>
          </w:p>
        </w:tc>
        <w:tc>
          <w:tcPr>
            <w:tcW w:w="1564" w:type="dxa"/>
            <w:vAlign w:val="center"/>
          </w:tcPr>
          <w:p w14:paraId="0A4FDF82">
            <w:pPr>
              <w:pStyle w:val="251"/>
              <w:jc w:val="center"/>
              <w:rPr>
                <w:rFonts w:hint="eastAsia" w:ascii="宋体" w:hAnsi="宋体" w:eastAsia="宋体" w:cs="宋体"/>
                <w:color w:val="auto"/>
                <w:sz w:val="30"/>
              </w:rPr>
            </w:pPr>
          </w:p>
        </w:tc>
      </w:tr>
      <w:tr w14:paraId="5522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DD011B6">
            <w:pPr>
              <w:pStyle w:val="251"/>
              <w:ind w:right="57" w:rightChars="27"/>
              <w:jc w:val="right"/>
              <w:rPr>
                <w:rFonts w:hint="eastAsia" w:ascii="宋体" w:hAnsi="宋体" w:eastAsia="宋体" w:cs="宋体"/>
                <w:color w:val="auto"/>
                <w:sz w:val="24"/>
                <w:lang w:eastAsia="zh-CN"/>
              </w:rPr>
            </w:pPr>
            <w:r>
              <w:rPr>
                <w:rFonts w:hint="eastAsia" w:ascii="宋体" w:hAnsi="宋体" w:eastAsia="宋体" w:cs="宋体"/>
                <w:color w:val="auto"/>
                <w:sz w:val="24"/>
                <w:lang w:eastAsia="zh-CN"/>
              </w:rPr>
              <w:t>合计：</w:t>
            </w:r>
          </w:p>
        </w:tc>
        <w:tc>
          <w:tcPr>
            <w:tcW w:w="1498" w:type="dxa"/>
            <w:vAlign w:val="center"/>
          </w:tcPr>
          <w:p w14:paraId="1590B6A0">
            <w:pPr>
              <w:pStyle w:val="251"/>
              <w:jc w:val="center"/>
              <w:rPr>
                <w:rFonts w:hint="eastAsia" w:ascii="宋体" w:hAnsi="宋体" w:eastAsia="宋体" w:cs="宋体"/>
                <w:color w:val="auto"/>
                <w:sz w:val="30"/>
              </w:rPr>
            </w:pPr>
          </w:p>
        </w:tc>
        <w:tc>
          <w:tcPr>
            <w:tcW w:w="1564" w:type="dxa"/>
            <w:vAlign w:val="center"/>
          </w:tcPr>
          <w:p w14:paraId="6CC8D793">
            <w:pPr>
              <w:pStyle w:val="251"/>
              <w:jc w:val="center"/>
              <w:rPr>
                <w:rFonts w:hint="eastAsia" w:ascii="宋体" w:hAnsi="宋体" w:eastAsia="宋体" w:cs="宋体"/>
                <w:color w:val="auto"/>
                <w:sz w:val="30"/>
              </w:rPr>
            </w:pPr>
          </w:p>
        </w:tc>
      </w:tr>
    </w:tbl>
    <w:p w14:paraId="36F56B6E">
      <w:pPr>
        <w:adjustRightInd w:val="0"/>
        <w:snapToGrid w:val="0"/>
        <w:spacing w:line="360" w:lineRule="auto"/>
        <w:ind w:firstLine="480" w:firstLineChars="200"/>
        <w:jc w:val="left"/>
        <w:rPr>
          <w:rFonts w:hint="eastAsia" w:ascii="宋体" w:hAnsi="宋体" w:eastAsia="宋体" w:cs="宋体"/>
          <w:color w:val="auto"/>
          <w:sz w:val="24"/>
        </w:rPr>
      </w:pPr>
    </w:p>
    <w:p w14:paraId="69CF4CCD">
      <w:pPr>
        <w:adjustRightInd w:val="0"/>
        <w:snapToGrid w:val="0"/>
        <w:spacing w:line="360" w:lineRule="auto"/>
        <w:jc w:val="left"/>
        <w:rPr>
          <w:rFonts w:hint="eastAsia" w:ascii="宋体" w:hAnsi="宋体" w:eastAsia="宋体" w:cs="宋体"/>
          <w:color w:val="auto"/>
          <w:sz w:val="24"/>
        </w:rPr>
      </w:pPr>
    </w:p>
    <w:p w14:paraId="4A6C8BF1">
      <w:pPr>
        <w:autoSpaceDE w:val="0"/>
        <w:autoSpaceDN w:val="0"/>
        <w:adjustRightInd w:val="0"/>
        <w:snapToGrid w:val="0"/>
        <w:spacing w:before="25" w:after="25" w:line="360" w:lineRule="auto"/>
        <w:jc w:val="right"/>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：____________</w:t>
      </w:r>
    </w:p>
    <w:p w14:paraId="2C290520">
      <w:pPr>
        <w:spacing w:line="360" w:lineRule="auto"/>
        <w:ind w:right="-57" w:firstLine="480"/>
        <w:jc w:val="right"/>
        <w:rPr>
          <w:rFonts w:hint="eastAsia" w:ascii="宋体" w:hAnsi="宋体" w:eastAsia="宋体" w:cs="宋体"/>
          <w:color w:val="auto"/>
          <w:sz w:val="24"/>
        </w:rPr>
      </w:pPr>
      <w:r>
        <w:rPr>
          <w:rFonts w:hint="eastAsia" w:ascii="宋体" w:hAnsi="宋体" w:eastAsia="宋体" w:cs="宋体"/>
          <w:color w:val="auto"/>
          <w:sz w:val="24"/>
          <w:szCs w:val="20"/>
        </w:rPr>
        <w:t>日期：_____年______月______日</w:t>
      </w:r>
    </w:p>
    <w:p w14:paraId="2CB1AF00">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注：</w:t>
      </w:r>
    </w:p>
    <w:p w14:paraId="3BADC97B">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0FF0552C">
      <w:pPr>
        <w:adjustRightInd w:val="0"/>
        <w:snapToGrid w:val="0"/>
        <w:spacing w:line="360" w:lineRule="auto"/>
        <w:jc w:val="left"/>
        <w:rPr>
          <w:rFonts w:hint="eastAsia" w:ascii="宋体" w:hAnsi="宋体" w:eastAsia="宋体" w:cs="宋体"/>
          <w:color w:val="auto"/>
          <w:sz w:val="30"/>
          <w:szCs w:val="30"/>
        </w:rPr>
      </w:pPr>
    </w:p>
    <w:p w14:paraId="7BA66A4B">
      <w:pPr>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color w:val="auto"/>
          <w:sz w:val="30"/>
          <w:szCs w:val="30"/>
        </w:rPr>
        <w:br w:type="page"/>
      </w:r>
      <w:r>
        <w:rPr>
          <w:rFonts w:hint="eastAsia" w:ascii="宋体" w:hAnsi="宋体" w:eastAsia="宋体" w:cs="宋体"/>
          <w:b/>
          <w:color w:val="auto"/>
          <w:sz w:val="36"/>
          <w:szCs w:val="36"/>
        </w:rPr>
        <w:t>分包意向协议</w:t>
      </w:r>
    </w:p>
    <w:p w14:paraId="53B8F65C">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甲方（投标人）：________</w:t>
      </w:r>
    </w:p>
    <w:p w14:paraId="7F5E3757">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乙方（拟分包单位）：________</w:t>
      </w:r>
    </w:p>
    <w:p w14:paraId="6FC3242C">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甲方承诺，一旦在_________（采购项目名称）（项目编号/包号为：_______）招标采购项目中获得采购合同，将按照下述约定将合同项下部分内容分包给乙方：</w:t>
      </w:r>
    </w:p>
    <w:p w14:paraId="39D7188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1.分包内容：_____。</w:t>
      </w:r>
    </w:p>
    <w:p w14:paraId="727B3CD0">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2.分包金额：_____，该金额占该采购包合同金额的比例为___%。</w:t>
      </w:r>
    </w:p>
    <w:p w14:paraId="76F5885F">
      <w:pPr>
        <w:adjustRightInd w:val="0"/>
        <w:snapToGrid w:val="0"/>
        <w:spacing w:line="360" w:lineRule="auto"/>
        <w:ind w:firstLine="480" w:firstLineChars="200"/>
        <w:jc w:val="left"/>
        <w:rPr>
          <w:rFonts w:hint="eastAsia" w:ascii="宋体" w:hAnsi="宋体" w:eastAsia="宋体" w:cs="宋体"/>
          <w:bCs/>
          <w:color w:val="auto"/>
          <w:sz w:val="24"/>
        </w:rPr>
      </w:pPr>
      <w:r>
        <w:rPr>
          <w:rFonts w:hint="eastAsia" w:ascii="宋体" w:hAnsi="宋体" w:eastAsia="宋体" w:cs="宋体"/>
          <w:color w:val="auto"/>
          <w:sz w:val="24"/>
        </w:rPr>
        <w:t>乙方承诺将在上述情况下与甲方签订分包合同。</w:t>
      </w:r>
    </w:p>
    <w:p w14:paraId="1D925370">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本协议自各方盖章之日起生效，如甲方未在该项目（采购包）中标，本协议自动终止。</w:t>
      </w:r>
    </w:p>
    <w:p w14:paraId="7479575D">
      <w:pPr>
        <w:spacing w:line="360" w:lineRule="auto"/>
        <w:ind w:firstLine="471"/>
        <w:rPr>
          <w:rFonts w:hint="eastAsia" w:ascii="宋体" w:hAnsi="宋体" w:eastAsia="宋体" w:cs="宋体"/>
          <w:b/>
          <w:color w:val="auto"/>
          <w:sz w:val="24"/>
        </w:rPr>
      </w:pPr>
    </w:p>
    <w:p w14:paraId="60B38927">
      <w:pPr>
        <w:spacing w:line="360" w:lineRule="auto"/>
        <w:ind w:firstLine="471"/>
        <w:rPr>
          <w:rFonts w:hint="eastAsia" w:ascii="宋体" w:hAnsi="宋体" w:eastAsia="宋体" w:cs="宋体"/>
          <w:b/>
          <w:color w:val="auto"/>
          <w:sz w:val="24"/>
        </w:rPr>
      </w:pPr>
      <w:r>
        <w:rPr>
          <w:rFonts w:hint="eastAsia" w:ascii="宋体" w:hAnsi="宋体" w:eastAsia="宋体" w:cs="宋体"/>
          <w:color w:val="auto"/>
          <w:sz w:val="24"/>
        </w:rPr>
        <w:t>甲方（盖章）：_________                 乙方（盖章）：_________</w:t>
      </w:r>
    </w:p>
    <w:p w14:paraId="73FAB558">
      <w:pPr>
        <w:spacing w:line="360" w:lineRule="auto"/>
        <w:ind w:left="480"/>
        <w:jc w:val="right"/>
        <w:rPr>
          <w:rFonts w:hint="eastAsia" w:ascii="宋体" w:hAnsi="宋体" w:eastAsia="宋体" w:cs="宋体"/>
          <w:color w:val="auto"/>
          <w:sz w:val="24"/>
        </w:rPr>
      </w:pPr>
    </w:p>
    <w:p w14:paraId="7E23CD40">
      <w:pPr>
        <w:wordWrap w:val="0"/>
        <w:spacing w:line="360" w:lineRule="auto"/>
        <w:ind w:left="480"/>
        <w:jc w:val="right"/>
        <w:rPr>
          <w:rFonts w:hint="eastAsia" w:ascii="宋体" w:hAnsi="宋体" w:eastAsia="宋体" w:cs="宋体"/>
          <w:b/>
          <w:color w:val="auto"/>
          <w:sz w:val="24"/>
        </w:rPr>
      </w:pPr>
      <w:r>
        <w:rPr>
          <w:rFonts w:hint="eastAsia" w:ascii="宋体" w:hAnsi="宋体" w:eastAsia="宋体" w:cs="宋体"/>
          <w:color w:val="auto"/>
          <w:sz w:val="24"/>
          <w:szCs w:val="20"/>
        </w:rPr>
        <w:t xml:space="preserve">日期：_____年______月______日   </w:t>
      </w:r>
    </w:p>
    <w:p w14:paraId="4D76B155">
      <w:pPr>
        <w:tabs>
          <w:tab w:val="left" w:pos="8280"/>
        </w:tabs>
        <w:spacing w:line="360" w:lineRule="auto"/>
        <w:ind w:firstLine="480"/>
        <w:rPr>
          <w:rFonts w:hint="eastAsia" w:ascii="宋体" w:hAnsi="宋体" w:eastAsia="宋体" w:cs="宋体"/>
          <w:color w:val="auto"/>
          <w:sz w:val="24"/>
        </w:rPr>
      </w:pPr>
    </w:p>
    <w:p w14:paraId="2D9887F6">
      <w:pPr>
        <w:tabs>
          <w:tab w:val="left" w:pos="8280"/>
        </w:tabs>
        <w:spacing w:line="360" w:lineRule="auto"/>
        <w:rPr>
          <w:rFonts w:hint="eastAsia" w:ascii="宋体" w:hAnsi="宋体" w:eastAsia="宋体" w:cs="宋体"/>
          <w:color w:val="auto"/>
          <w:sz w:val="24"/>
        </w:rPr>
      </w:pPr>
      <w:r>
        <w:rPr>
          <w:rFonts w:hint="eastAsia" w:ascii="宋体" w:hAnsi="宋体" w:eastAsia="宋体" w:cs="宋体"/>
          <w:color w:val="auto"/>
          <w:sz w:val="24"/>
        </w:rPr>
        <w:t>注：</w:t>
      </w:r>
    </w:p>
    <w:p w14:paraId="2A0490A1">
      <w:pPr>
        <w:tabs>
          <w:tab w:val="left" w:pos="8280"/>
        </w:tabs>
        <w:spacing w:line="360" w:lineRule="auto"/>
        <w:rPr>
          <w:rFonts w:hint="eastAsia" w:ascii="宋体" w:hAnsi="宋体" w:eastAsia="宋体" w:cs="宋体"/>
          <w:color w:val="auto"/>
          <w:sz w:val="24"/>
        </w:rPr>
      </w:pPr>
      <w:r>
        <w:rPr>
          <w:rFonts w:hint="eastAsia" w:ascii="宋体" w:hAnsi="宋体" w:eastAsia="宋体" w:cs="宋体"/>
          <w:color w:val="auto"/>
          <w:sz w:val="24"/>
        </w:rPr>
        <w:t>本协议仅在投标人“为落实政府采购政策”而向中小企业分包时必须提供，否则</w:t>
      </w:r>
      <w:r>
        <w:rPr>
          <w:rFonts w:hint="eastAsia" w:ascii="宋体" w:hAnsi="宋体" w:eastAsia="宋体" w:cs="宋体"/>
          <w:b/>
          <w:color w:val="auto"/>
          <w:sz w:val="24"/>
        </w:rPr>
        <w:t>投标无效</w:t>
      </w:r>
      <w:r>
        <w:rPr>
          <w:rFonts w:hint="eastAsia" w:ascii="宋体" w:hAnsi="宋体" w:eastAsia="宋体" w:cs="宋体"/>
          <w:color w:val="auto"/>
          <w:sz w:val="24"/>
        </w:rPr>
        <w:t>；且投标人须与所有拟分包单位分别签订《分包意向协议》，每单位签订一份，并在投标文件中提交全部协议原件的电子件，否则</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0643A335">
      <w:pPr>
        <w:widowControl/>
        <w:jc w:val="left"/>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17E8B04A">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t xml:space="preserve">2-2 </w:t>
      </w:r>
      <w:r>
        <w:rPr>
          <w:rFonts w:hint="eastAsia" w:ascii="宋体" w:hAnsi="宋体" w:eastAsia="宋体" w:cs="宋体"/>
          <w:color w:val="auto"/>
          <w:sz w:val="24"/>
        </w:rPr>
        <w:t>其它落实政府采购政策的资格要求</w:t>
      </w:r>
      <w:r>
        <w:rPr>
          <w:rFonts w:hint="eastAsia" w:ascii="宋体" w:hAnsi="宋体" w:eastAsia="宋体" w:cs="宋体"/>
          <w:color w:val="auto"/>
          <w:sz w:val="24"/>
          <w:szCs w:val="20"/>
        </w:rPr>
        <w:t>（如有）</w:t>
      </w:r>
    </w:p>
    <w:p w14:paraId="4AC6EC51">
      <w:pPr>
        <w:widowControl/>
        <w:jc w:val="left"/>
        <w:rPr>
          <w:rFonts w:hint="eastAsia" w:ascii="宋体" w:hAnsi="宋体" w:eastAsia="宋体" w:cs="宋体"/>
          <w:color w:val="auto"/>
          <w:sz w:val="24"/>
        </w:rPr>
      </w:pPr>
    </w:p>
    <w:p w14:paraId="493A66FB">
      <w:pPr>
        <w:widowControl/>
        <w:jc w:val="left"/>
        <w:rPr>
          <w:rFonts w:hint="eastAsia" w:ascii="宋体" w:hAnsi="宋体" w:eastAsia="宋体" w:cs="宋体"/>
          <w:color w:val="auto"/>
          <w:sz w:val="24"/>
        </w:rPr>
      </w:pPr>
      <w:r>
        <w:rPr>
          <w:rFonts w:hint="eastAsia" w:ascii="宋体" w:hAnsi="宋体" w:eastAsia="宋体" w:cs="宋体"/>
          <w:color w:val="auto"/>
          <w:sz w:val="24"/>
        </w:rPr>
        <w:br w:type="page"/>
      </w:r>
    </w:p>
    <w:p w14:paraId="484DD4BD">
      <w:pPr>
        <w:numPr>
          <w:ilvl w:val="0"/>
          <w:numId w:val="27"/>
        </w:numPr>
        <w:tabs>
          <w:tab w:val="left" w:pos="360"/>
        </w:tabs>
        <w:snapToGrid w:val="0"/>
        <w:spacing w:line="360" w:lineRule="auto"/>
        <w:outlineLvl w:val="1"/>
        <w:rPr>
          <w:rFonts w:hint="eastAsia" w:ascii="宋体" w:hAnsi="宋体" w:eastAsia="宋体" w:cs="宋体"/>
          <w:color w:val="auto"/>
          <w:sz w:val="24"/>
        </w:rPr>
      </w:pPr>
      <w:r>
        <w:rPr>
          <w:rFonts w:hint="eastAsia" w:ascii="宋体" w:hAnsi="宋体" w:eastAsia="宋体" w:cs="宋体"/>
          <w:color w:val="auto"/>
          <w:sz w:val="24"/>
        </w:rPr>
        <w:t>本项目的特定资格要求</w:t>
      </w:r>
      <w:r>
        <w:rPr>
          <w:rFonts w:hint="eastAsia" w:ascii="宋体" w:hAnsi="宋体" w:eastAsia="宋体" w:cs="宋体"/>
          <w:color w:val="auto"/>
          <w:sz w:val="24"/>
          <w:szCs w:val="20"/>
        </w:rPr>
        <w:t>（如有）</w:t>
      </w:r>
    </w:p>
    <w:p w14:paraId="4DBB3EF2">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t>3-1 联合协议（如有）</w:t>
      </w:r>
    </w:p>
    <w:p w14:paraId="6FB6384A">
      <w:pPr>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联合协议</w:t>
      </w:r>
    </w:p>
    <w:p w14:paraId="4B8D879C">
      <w:pPr>
        <w:spacing w:line="360" w:lineRule="auto"/>
        <w:ind w:firstLine="828" w:firstLineChars="345"/>
        <w:rPr>
          <w:rFonts w:hint="eastAsia" w:ascii="宋体" w:hAnsi="宋体" w:eastAsia="宋体" w:cs="宋体"/>
          <w:bCs/>
          <w:color w:val="auto"/>
        </w:rPr>
      </w:pPr>
      <w:r>
        <w:rPr>
          <w:rFonts w:hint="eastAsia" w:ascii="宋体" w:hAnsi="宋体" w:eastAsia="宋体" w:cs="宋体"/>
          <w:bCs/>
          <w:color w:val="auto"/>
          <w:sz w:val="24"/>
        </w:rPr>
        <w:t>______ 、 _____ 及 _____就“________（项目名称）</w:t>
      </w:r>
      <w:r>
        <w:rPr>
          <w:rFonts w:hint="eastAsia" w:ascii="宋体" w:hAnsi="宋体" w:eastAsia="宋体" w:cs="宋体"/>
          <w:color w:val="auto"/>
          <w:sz w:val="24"/>
        </w:rPr>
        <w:t>”____包</w:t>
      </w:r>
      <w:r>
        <w:rPr>
          <w:rFonts w:hint="eastAsia" w:ascii="宋体" w:hAnsi="宋体" w:eastAsia="宋体" w:cs="宋体"/>
          <w:bCs/>
          <w:color w:val="auto"/>
          <w:sz w:val="24"/>
        </w:rPr>
        <w:t>招标项目的投标事宜，经各方充分协商一致，达成如下协议：</w:t>
      </w:r>
    </w:p>
    <w:p w14:paraId="69FC69B2">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由_________牵头，_________、__________参加，组成联合体共同进行招标项目的投标工作。</w:t>
      </w:r>
    </w:p>
    <w:p w14:paraId="111F9441">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联合体中标后，联合体各方共同与采购人签订合同，就采购合同约定的事项对采购人承担连带责任。</w:t>
      </w:r>
    </w:p>
    <w:p w14:paraId="24B3B523">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联合体各方均同意由牵头人代表其他联合体成员单位按招标文件要求出具《授权委托书》。</w:t>
      </w:r>
    </w:p>
    <w:p w14:paraId="259715F5">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牵头人为项目的总负责单位；组织各参加方进行项目实施工作。</w:t>
      </w:r>
    </w:p>
    <w:p w14:paraId="4CF9CE60">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______负责_____，具体工作范围、内容以投标文件及合同为准。</w:t>
      </w:r>
    </w:p>
    <w:p w14:paraId="4EEAEA58">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______负责_____，具体工作范围、内容以投标文件及合同为准。</w:t>
      </w:r>
    </w:p>
    <w:p w14:paraId="3E25EE73">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______负责_____（如有），具体工作范围、内容以投标文件及合同为准。</w:t>
      </w:r>
    </w:p>
    <w:p w14:paraId="22A0F914">
      <w:pPr>
        <w:numPr>
          <w:ilvl w:val="0"/>
          <w:numId w:val="29"/>
        </w:numPr>
        <w:spacing w:line="360" w:lineRule="auto"/>
        <w:rPr>
          <w:rFonts w:hint="eastAsia" w:ascii="宋体" w:hAnsi="宋体" w:eastAsia="宋体" w:cs="宋体"/>
          <w:color w:val="auto"/>
          <w:sz w:val="24"/>
        </w:rPr>
      </w:pPr>
      <w:r>
        <w:rPr>
          <w:rFonts w:hint="eastAsia" w:ascii="宋体" w:hAnsi="宋体" w:eastAsia="宋体" w:cs="宋体"/>
          <w:color w:val="auto"/>
          <w:sz w:val="24"/>
        </w:rPr>
        <w:t>本项目联合协议合同总额为________元，联合体各成员按照如下比例分摊（按联合体成员分别列明）：</w:t>
      </w:r>
    </w:p>
    <w:p w14:paraId="573EC285">
      <w:pPr>
        <w:tabs>
          <w:tab w:val="left" w:pos="720"/>
          <w:tab w:val="left" w:pos="900"/>
        </w:tabs>
        <w:spacing w:line="360" w:lineRule="auto"/>
        <w:ind w:left="851"/>
        <w:rPr>
          <w:rFonts w:hint="eastAsia" w:ascii="宋体" w:hAnsi="宋体" w:eastAsia="宋体" w:cs="宋体"/>
          <w:color w:val="auto"/>
          <w:sz w:val="24"/>
          <w:szCs w:val="20"/>
        </w:rPr>
      </w:pPr>
      <w:r>
        <w:rPr>
          <w:rFonts w:hint="eastAsia" w:ascii="宋体" w:hAnsi="宋体" w:eastAsia="宋体" w:cs="宋体"/>
          <w:color w:val="auto"/>
          <w:sz w:val="24"/>
          <w:szCs w:val="20"/>
        </w:rPr>
        <w:t>（1）</w:t>
      </w:r>
      <w:r>
        <w:rPr>
          <w:rFonts w:hint="eastAsia" w:ascii="宋体" w:hAnsi="宋体" w:eastAsia="宋体" w:cs="宋体"/>
          <w:bCs/>
          <w:color w:val="auto"/>
          <w:sz w:val="24"/>
          <w:szCs w:val="20"/>
        </w:rPr>
        <w:t>______</w:t>
      </w:r>
      <w:r>
        <w:rPr>
          <w:rFonts w:hint="eastAsia" w:ascii="宋体" w:hAnsi="宋体" w:eastAsia="宋体" w:cs="宋体"/>
          <w:color w:val="auto"/>
          <w:sz w:val="24"/>
          <w:szCs w:val="20"/>
        </w:rPr>
        <w:t>为□大型企业□中型企业、□小微企业（包含监狱企业、残疾人福利性单位）、□其他，合同金额为_____元；</w:t>
      </w:r>
    </w:p>
    <w:p w14:paraId="7E219E47">
      <w:pPr>
        <w:tabs>
          <w:tab w:val="left" w:pos="720"/>
          <w:tab w:val="left" w:pos="900"/>
        </w:tabs>
        <w:spacing w:line="360" w:lineRule="auto"/>
        <w:ind w:left="851"/>
        <w:rPr>
          <w:rFonts w:hint="eastAsia" w:ascii="宋体" w:hAnsi="宋体" w:eastAsia="宋体" w:cs="宋体"/>
          <w:color w:val="auto"/>
          <w:sz w:val="24"/>
          <w:szCs w:val="20"/>
        </w:rPr>
      </w:pPr>
      <w:r>
        <w:rPr>
          <w:rFonts w:hint="eastAsia" w:ascii="宋体" w:hAnsi="宋体" w:eastAsia="宋体" w:cs="宋体"/>
          <w:color w:val="auto"/>
          <w:sz w:val="24"/>
          <w:szCs w:val="20"/>
        </w:rPr>
        <w:t>（2）</w:t>
      </w:r>
      <w:r>
        <w:rPr>
          <w:rFonts w:hint="eastAsia" w:ascii="宋体" w:hAnsi="宋体" w:eastAsia="宋体" w:cs="宋体"/>
          <w:bCs/>
          <w:color w:val="auto"/>
          <w:sz w:val="24"/>
          <w:szCs w:val="20"/>
        </w:rPr>
        <w:t>______</w:t>
      </w:r>
      <w:r>
        <w:rPr>
          <w:rFonts w:hint="eastAsia" w:ascii="宋体" w:hAnsi="宋体" w:eastAsia="宋体" w:cs="宋体"/>
          <w:color w:val="auto"/>
          <w:sz w:val="24"/>
          <w:szCs w:val="20"/>
        </w:rPr>
        <w:t>为□大型企业□中型企业、□小微企业（包含监狱企业、残疾人福利性单位）、□其他，合同金额为_____元；</w:t>
      </w:r>
    </w:p>
    <w:p w14:paraId="02C4AEB6">
      <w:pPr>
        <w:tabs>
          <w:tab w:val="left" w:pos="720"/>
          <w:tab w:val="left" w:pos="900"/>
        </w:tabs>
        <w:spacing w:line="360" w:lineRule="auto"/>
        <w:ind w:left="851"/>
        <w:rPr>
          <w:rFonts w:hint="eastAsia" w:ascii="宋体" w:hAnsi="宋体" w:eastAsia="宋体" w:cs="宋体"/>
          <w:color w:val="auto"/>
          <w:sz w:val="24"/>
          <w:szCs w:val="20"/>
        </w:rPr>
      </w:pPr>
      <w:r>
        <w:rPr>
          <w:rFonts w:hint="eastAsia" w:ascii="宋体" w:hAnsi="宋体" w:eastAsia="宋体" w:cs="宋体"/>
          <w:color w:val="auto"/>
          <w:sz w:val="24"/>
          <w:szCs w:val="20"/>
        </w:rPr>
        <w:t>（…）</w:t>
      </w:r>
      <w:r>
        <w:rPr>
          <w:rFonts w:hint="eastAsia" w:ascii="宋体" w:hAnsi="宋体" w:eastAsia="宋体" w:cs="宋体"/>
          <w:bCs/>
          <w:color w:val="auto"/>
          <w:sz w:val="24"/>
          <w:szCs w:val="20"/>
        </w:rPr>
        <w:t>______</w:t>
      </w:r>
      <w:r>
        <w:rPr>
          <w:rFonts w:hint="eastAsia" w:ascii="宋体" w:hAnsi="宋体" w:eastAsia="宋体" w:cs="宋体"/>
          <w:color w:val="auto"/>
          <w:sz w:val="24"/>
          <w:szCs w:val="20"/>
        </w:rPr>
        <w:t>为□大型企业□中型企业、□小微企业（包含监狱企业、残疾人福利性单位）、□其他，合同金额为_____元。</w:t>
      </w:r>
    </w:p>
    <w:p w14:paraId="1553C5C7">
      <w:pPr>
        <w:numPr>
          <w:ilvl w:val="0"/>
          <w:numId w:val="29"/>
        </w:numPr>
        <w:tabs>
          <w:tab w:val="left" w:pos="993"/>
        </w:tabs>
        <w:spacing w:line="360" w:lineRule="auto"/>
        <w:rPr>
          <w:rFonts w:hint="eastAsia" w:ascii="宋体" w:hAnsi="宋体" w:eastAsia="宋体" w:cs="宋体"/>
          <w:bCs/>
          <w:color w:val="auto"/>
          <w:sz w:val="24"/>
        </w:rPr>
      </w:pPr>
      <w:r>
        <w:rPr>
          <w:rFonts w:hint="eastAsia" w:ascii="宋体" w:hAnsi="宋体" w:eastAsia="宋体" w:cs="宋体"/>
          <w:bCs/>
          <w:color w:val="auto"/>
          <w:sz w:val="24"/>
        </w:rPr>
        <w:t>以联合体形式参加政府采购活动的，联合体各方不得再单独参加或者与其他供应商另外组成联合体参加同一合同项下的政府采购活动。</w:t>
      </w:r>
    </w:p>
    <w:p w14:paraId="15B16700">
      <w:pPr>
        <w:numPr>
          <w:ilvl w:val="0"/>
          <w:numId w:val="29"/>
        </w:numPr>
        <w:spacing w:line="360" w:lineRule="auto"/>
        <w:rPr>
          <w:rFonts w:hint="eastAsia" w:ascii="宋体" w:hAnsi="宋体" w:eastAsia="宋体" w:cs="宋体"/>
          <w:bCs/>
          <w:color w:val="auto"/>
          <w:sz w:val="24"/>
        </w:rPr>
      </w:pPr>
      <w:r>
        <w:rPr>
          <w:rFonts w:hint="eastAsia" w:ascii="宋体" w:hAnsi="宋体" w:eastAsia="宋体" w:cs="宋体"/>
          <w:bCs/>
          <w:color w:val="auto"/>
          <w:sz w:val="24"/>
        </w:rPr>
        <w:t>其他约定（如有）：_______。</w:t>
      </w:r>
    </w:p>
    <w:p w14:paraId="3138BAE1">
      <w:pPr>
        <w:tabs>
          <w:tab w:val="left" w:pos="780"/>
        </w:tabs>
        <w:spacing w:line="360" w:lineRule="auto"/>
        <w:ind w:firstLine="480" w:firstLineChars="200"/>
        <w:rPr>
          <w:rFonts w:hint="eastAsia" w:ascii="宋体" w:hAnsi="宋体" w:eastAsia="宋体" w:cs="宋体"/>
          <w:color w:val="auto"/>
          <w:sz w:val="24"/>
        </w:rPr>
      </w:pPr>
      <w:r>
        <w:rPr>
          <w:rFonts w:hint="eastAsia" w:ascii="宋体" w:hAnsi="宋体" w:eastAsia="宋体" w:cs="宋体"/>
          <w:bCs/>
          <w:color w:val="auto"/>
          <w:sz w:val="24"/>
        </w:rPr>
        <w:t>本协议自各方盖章后生效，采购合同履行完毕后自动失效。如未中标，本协议自动终止。</w:t>
      </w:r>
      <w:r>
        <w:rPr>
          <w:rFonts w:hint="eastAsia" w:ascii="宋体" w:hAnsi="宋体" w:eastAsia="宋体" w:cs="宋体"/>
          <w:color w:val="auto"/>
          <w:sz w:val="24"/>
        </w:rPr>
        <w:br w:type="page"/>
      </w:r>
    </w:p>
    <w:p w14:paraId="0C622A1C">
      <w:pPr>
        <w:spacing w:line="360" w:lineRule="auto"/>
        <w:ind w:firstLine="471"/>
        <w:rPr>
          <w:rFonts w:hint="eastAsia" w:ascii="宋体" w:hAnsi="宋体" w:eastAsia="宋体" w:cs="宋体"/>
          <w:color w:val="auto"/>
          <w:sz w:val="24"/>
        </w:rPr>
      </w:pPr>
      <w:r>
        <w:rPr>
          <w:rFonts w:hint="eastAsia" w:ascii="宋体" w:hAnsi="宋体" w:eastAsia="宋体" w:cs="宋体"/>
          <w:color w:val="auto"/>
          <w:sz w:val="24"/>
        </w:rPr>
        <w:t>联合体牵头人名称：</w:t>
      </w:r>
      <w:r>
        <w:rPr>
          <w:rFonts w:hint="eastAsia" w:ascii="宋体" w:hAnsi="宋体" w:eastAsia="宋体" w:cs="宋体"/>
          <w:color w:val="auto"/>
          <w:sz w:val="24"/>
          <w:szCs w:val="20"/>
        </w:rPr>
        <w:t>______</w:t>
      </w:r>
      <w:r>
        <w:rPr>
          <w:rFonts w:hint="eastAsia" w:ascii="宋体" w:hAnsi="宋体" w:eastAsia="宋体" w:cs="宋体"/>
          <w:color w:val="auto"/>
          <w:sz w:val="24"/>
        </w:rPr>
        <w:tab/>
      </w:r>
      <w:r>
        <w:rPr>
          <w:rFonts w:hint="eastAsia" w:ascii="宋体" w:hAnsi="宋体" w:eastAsia="宋体" w:cs="宋体"/>
          <w:color w:val="auto"/>
          <w:sz w:val="24"/>
        </w:rPr>
        <w:tab/>
      </w:r>
      <w:r>
        <w:rPr>
          <w:rFonts w:hint="eastAsia" w:ascii="宋体" w:hAnsi="宋体" w:eastAsia="宋体" w:cs="宋体"/>
          <w:color w:val="auto"/>
          <w:sz w:val="24"/>
        </w:rPr>
        <w:tab/>
      </w:r>
      <w:r>
        <w:rPr>
          <w:rFonts w:hint="eastAsia" w:ascii="宋体" w:hAnsi="宋体" w:eastAsia="宋体" w:cs="宋体"/>
          <w:color w:val="auto"/>
          <w:sz w:val="24"/>
        </w:rPr>
        <w:tab/>
      </w:r>
      <w:r>
        <w:rPr>
          <w:rFonts w:hint="eastAsia" w:ascii="宋体" w:hAnsi="宋体" w:eastAsia="宋体" w:cs="宋体"/>
          <w:color w:val="auto"/>
          <w:sz w:val="24"/>
        </w:rPr>
        <w:tab/>
      </w:r>
      <w:r>
        <w:rPr>
          <w:rFonts w:hint="eastAsia" w:ascii="宋体" w:hAnsi="宋体" w:eastAsia="宋体" w:cs="宋体"/>
          <w:color w:val="auto"/>
          <w:sz w:val="24"/>
        </w:rPr>
        <w:t xml:space="preserve"> 联合体成员名称：</w:t>
      </w:r>
      <w:r>
        <w:rPr>
          <w:rFonts w:hint="eastAsia" w:ascii="宋体" w:hAnsi="宋体" w:eastAsia="宋体" w:cs="宋体"/>
          <w:color w:val="auto"/>
          <w:sz w:val="24"/>
          <w:szCs w:val="20"/>
        </w:rPr>
        <w:t>______</w:t>
      </w:r>
    </w:p>
    <w:p w14:paraId="034836DC">
      <w:pPr>
        <w:spacing w:line="360" w:lineRule="auto"/>
        <w:ind w:firstLine="471"/>
        <w:rPr>
          <w:rFonts w:hint="eastAsia" w:ascii="宋体" w:hAnsi="宋体" w:eastAsia="宋体" w:cs="宋体"/>
          <w:color w:val="auto"/>
          <w:sz w:val="24"/>
        </w:rPr>
      </w:pPr>
      <w:r>
        <w:rPr>
          <w:rFonts w:hint="eastAsia" w:ascii="宋体" w:hAnsi="宋体" w:eastAsia="宋体" w:cs="宋体"/>
          <w:color w:val="auto"/>
          <w:sz w:val="24"/>
        </w:rPr>
        <w:t>盖章：</w:t>
      </w:r>
      <w:r>
        <w:rPr>
          <w:rFonts w:hint="eastAsia" w:ascii="宋体" w:hAnsi="宋体" w:eastAsia="宋体" w:cs="宋体"/>
          <w:color w:val="auto"/>
          <w:sz w:val="24"/>
          <w:szCs w:val="20"/>
        </w:rPr>
        <w:t>______</w:t>
      </w:r>
      <w:r>
        <w:rPr>
          <w:rFonts w:hint="eastAsia" w:ascii="宋体" w:hAnsi="宋体" w:eastAsia="宋体" w:cs="宋体"/>
          <w:color w:val="auto"/>
          <w:sz w:val="24"/>
        </w:rPr>
        <w:t xml:space="preserve">                           盖章：</w:t>
      </w:r>
      <w:r>
        <w:rPr>
          <w:rFonts w:hint="eastAsia" w:ascii="宋体" w:hAnsi="宋体" w:eastAsia="宋体" w:cs="宋体"/>
          <w:color w:val="auto"/>
          <w:sz w:val="24"/>
          <w:szCs w:val="20"/>
        </w:rPr>
        <w:t>______</w:t>
      </w:r>
    </w:p>
    <w:p w14:paraId="5DBBD791">
      <w:pPr>
        <w:spacing w:line="360" w:lineRule="auto"/>
        <w:ind w:firstLine="471"/>
        <w:rPr>
          <w:rFonts w:hint="eastAsia" w:ascii="宋体" w:hAnsi="宋体" w:eastAsia="宋体" w:cs="宋体"/>
          <w:color w:val="auto"/>
          <w:sz w:val="24"/>
        </w:rPr>
      </w:pPr>
    </w:p>
    <w:p w14:paraId="128FF0AE">
      <w:pPr>
        <w:spacing w:line="360" w:lineRule="auto"/>
        <w:ind w:firstLine="471"/>
        <w:rPr>
          <w:rFonts w:hint="eastAsia" w:ascii="宋体" w:hAnsi="宋体" w:eastAsia="宋体" w:cs="宋体"/>
          <w:color w:val="auto"/>
          <w:sz w:val="24"/>
        </w:rPr>
      </w:pPr>
    </w:p>
    <w:p w14:paraId="61E87AC4">
      <w:pPr>
        <w:spacing w:line="360" w:lineRule="auto"/>
        <w:ind w:firstLine="471"/>
        <w:rPr>
          <w:rFonts w:hint="eastAsia" w:ascii="宋体" w:hAnsi="宋体" w:eastAsia="宋体" w:cs="宋体"/>
          <w:color w:val="auto"/>
          <w:sz w:val="24"/>
        </w:rPr>
      </w:pPr>
      <w:r>
        <w:rPr>
          <w:rFonts w:hint="eastAsia" w:ascii="宋体" w:hAnsi="宋体" w:eastAsia="宋体" w:cs="宋体"/>
          <w:color w:val="auto"/>
          <w:sz w:val="24"/>
        </w:rPr>
        <w:t>联合体成员名称：</w:t>
      </w:r>
      <w:r>
        <w:rPr>
          <w:rFonts w:hint="eastAsia" w:ascii="宋体" w:hAnsi="宋体" w:eastAsia="宋体" w:cs="宋体"/>
          <w:color w:val="auto"/>
          <w:sz w:val="24"/>
          <w:szCs w:val="20"/>
        </w:rPr>
        <w:t>______</w:t>
      </w:r>
    </w:p>
    <w:p w14:paraId="24ED557C">
      <w:pPr>
        <w:spacing w:line="360" w:lineRule="auto"/>
        <w:ind w:firstLine="471"/>
        <w:rPr>
          <w:rFonts w:hint="eastAsia" w:ascii="宋体" w:hAnsi="宋体" w:eastAsia="宋体" w:cs="宋体"/>
          <w:color w:val="auto"/>
          <w:sz w:val="24"/>
        </w:rPr>
      </w:pPr>
      <w:r>
        <w:rPr>
          <w:rFonts w:hint="eastAsia" w:ascii="宋体" w:hAnsi="宋体" w:eastAsia="宋体" w:cs="宋体"/>
          <w:color w:val="auto"/>
          <w:sz w:val="24"/>
        </w:rPr>
        <w:t>盖章：</w:t>
      </w:r>
      <w:r>
        <w:rPr>
          <w:rFonts w:hint="eastAsia" w:ascii="宋体" w:hAnsi="宋体" w:eastAsia="宋体" w:cs="宋体"/>
          <w:color w:val="auto"/>
          <w:sz w:val="24"/>
          <w:szCs w:val="20"/>
        </w:rPr>
        <w:t>______</w:t>
      </w:r>
      <w:r>
        <w:rPr>
          <w:rFonts w:hint="eastAsia" w:ascii="宋体" w:hAnsi="宋体" w:eastAsia="宋体" w:cs="宋体"/>
          <w:color w:val="auto"/>
          <w:sz w:val="24"/>
        </w:rPr>
        <w:t xml:space="preserve">                                </w:t>
      </w:r>
    </w:p>
    <w:p w14:paraId="7E029E36">
      <w:pPr>
        <w:spacing w:line="360" w:lineRule="auto"/>
        <w:ind w:firstLine="471"/>
        <w:rPr>
          <w:rFonts w:hint="eastAsia" w:ascii="宋体" w:hAnsi="宋体" w:eastAsia="宋体" w:cs="宋体"/>
          <w:color w:val="auto"/>
          <w:sz w:val="24"/>
        </w:rPr>
      </w:pPr>
    </w:p>
    <w:p w14:paraId="62293535">
      <w:pPr>
        <w:spacing w:line="360" w:lineRule="auto"/>
        <w:ind w:firstLine="471"/>
        <w:rPr>
          <w:rFonts w:hint="eastAsia" w:ascii="宋体" w:hAnsi="宋体" w:eastAsia="宋体" w:cs="宋体"/>
          <w:color w:val="auto"/>
          <w:sz w:val="24"/>
        </w:rPr>
      </w:pPr>
    </w:p>
    <w:p w14:paraId="3BF4BAA6">
      <w:pPr>
        <w:spacing w:line="360" w:lineRule="auto"/>
        <w:ind w:left="480"/>
        <w:jc w:val="right"/>
        <w:rPr>
          <w:rFonts w:hint="eastAsia" w:ascii="宋体" w:hAnsi="宋体" w:eastAsia="宋体" w:cs="宋体"/>
          <w:color w:val="auto"/>
          <w:sz w:val="24"/>
        </w:rPr>
      </w:pPr>
    </w:p>
    <w:p w14:paraId="68A7E3FA">
      <w:pPr>
        <w:spacing w:line="360" w:lineRule="auto"/>
        <w:ind w:left="480"/>
        <w:jc w:val="right"/>
        <w:rPr>
          <w:rFonts w:hint="eastAsia" w:ascii="宋体" w:hAnsi="宋体" w:eastAsia="宋体" w:cs="宋体"/>
          <w:color w:val="auto"/>
          <w:sz w:val="24"/>
        </w:rPr>
      </w:pPr>
      <w:r>
        <w:rPr>
          <w:rFonts w:hint="eastAsia" w:ascii="宋体" w:hAnsi="宋体" w:eastAsia="宋体" w:cs="宋体"/>
          <w:color w:val="auto"/>
          <w:sz w:val="24"/>
          <w:szCs w:val="20"/>
        </w:rPr>
        <w:t>日期：_____年______月______日</w:t>
      </w:r>
    </w:p>
    <w:p w14:paraId="7B982942">
      <w:pPr>
        <w:spacing w:line="360" w:lineRule="auto"/>
        <w:ind w:left="480"/>
        <w:jc w:val="right"/>
        <w:rPr>
          <w:rFonts w:hint="eastAsia" w:ascii="宋体" w:hAnsi="宋体" w:eastAsia="宋体" w:cs="宋体"/>
          <w:b/>
          <w:color w:val="auto"/>
          <w:sz w:val="24"/>
        </w:rPr>
      </w:pPr>
    </w:p>
    <w:p w14:paraId="00238FC0">
      <w:pPr>
        <w:tabs>
          <w:tab w:val="left" w:pos="8280"/>
        </w:tabs>
        <w:spacing w:line="360" w:lineRule="auto"/>
        <w:ind w:firstLine="480"/>
        <w:rPr>
          <w:rFonts w:hint="eastAsia" w:ascii="宋体" w:hAnsi="宋体" w:eastAsia="宋体" w:cs="宋体"/>
          <w:color w:val="auto"/>
          <w:sz w:val="24"/>
        </w:rPr>
      </w:pPr>
    </w:p>
    <w:p w14:paraId="72832624">
      <w:pPr>
        <w:tabs>
          <w:tab w:val="left" w:pos="8280"/>
        </w:tabs>
        <w:spacing w:line="360" w:lineRule="auto"/>
        <w:ind w:firstLine="480"/>
        <w:rPr>
          <w:rFonts w:hint="eastAsia" w:ascii="宋体" w:hAnsi="宋体" w:eastAsia="宋体" w:cs="宋体"/>
          <w:color w:val="auto"/>
          <w:sz w:val="24"/>
        </w:rPr>
      </w:pPr>
    </w:p>
    <w:p w14:paraId="799C9679">
      <w:pPr>
        <w:spacing w:line="360" w:lineRule="auto"/>
        <w:ind w:left="719" w:leftChars="228" w:hanging="240" w:hangingChars="100"/>
        <w:rPr>
          <w:rFonts w:hint="eastAsia" w:ascii="宋体" w:hAnsi="宋体" w:eastAsia="宋体" w:cs="宋体"/>
          <w:color w:val="auto"/>
          <w:sz w:val="24"/>
        </w:rPr>
      </w:pPr>
      <w:r>
        <w:rPr>
          <w:rFonts w:hint="eastAsia" w:ascii="宋体" w:hAnsi="宋体" w:eastAsia="宋体" w:cs="宋体"/>
          <w:color w:val="auto"/>
          <w:sz w:val="24"/>
        </w:rPr>
        <w:t>注：</w:t>
      </w:r>
    </w:p>
    <w:p w14:paraId="5F39F680">
      <w:pPr>
        <w:spacing w:line="360" w:lineRule="auto"/>
        <w:ind w:left="719" w:leftChars="228" w:hanging="240" w:hangingChars="100"/>
        <w:rPr>
          <w:rFonts w:hint="eastAsia" w:ascii="宋体" w:hAnsi="宋体" w:eastAsia="宋体" w:cs="宋体"/>
          <w:color w:val="auto"/>
          <w:sz w:val="24"/>
        </w:rPr>
      </w:pPr>
      <w:r>
        <w:rPr>
          <w:rFonts w:hint="eastAsia" w:ascii="宋体" w:hAnsi="宋体" w:eastAsia="宋体" w:cs="宋体"/>
          <w:color w:val="auto"/>
          <w:sz w:val="24"/>
        </w:rPr>
        <w:t>1. 如本项目（包）接受供应商以联合体形式参加采购活动，且供应商以联合体形式参与时，须提供《联合协议》，否则</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2FC06D01">
      <w:pPr>
        <w:spacing w:line="360" w:lineRule="auto"/>
        <w:ind w:left="719" w:leftChars="228" w:hanging="240" w:hangingChars="100"/>
        <w:rPr>
          <w:rFonts w:hint="eastAsia" w:ascii="宋体" w:hAnsi="宋体" w:eastAsia="宋体" w:cs="宋体"/>
          <w:color w:val="auto"/>
          <w:sz w:val="24"/>
        </w:rPr>
      </w:pPr>
      <w:r>
        <w:rPr>
          <w:rFonts w:hint="eastAsia" w:ascii="宋体" w:hAnsi="宋体" w:eastAsia="宋体" w:cs="宋体"/>
          <w:color w:val="auto"/>
          <w:sz w:val="24"/>
        </w:rPr>
        <w:t>2. 联合体各方成员须在本协议上共同盖章。</w:t>
      </w:r>
    </w:p>
    <w:p w14:paraId="35D4DFAC">
      <w:pPr>
        <w:spacing w:line="360" w:lineRule="auto"/>
        <w:ind w:left="719" w:leftChars="228" w:hanging="240" w:hangingChars="100"/>
        <w:rPr>
          <w:rFonts w:hint="eastAsia" w:ascii="宋体" w:hAnsi="宋体" w:eastAsia="宋体" w:cs="宋体"/>
          <w:color w:val="auto"/>
          <w:sz w:val="24"/>
        </w:rPr>
      </w:pPr>
      <w:r>
        <w:rPr>
          <w:rFonts w:hint="eastAsia" w:ascii="宋体" w:hAnsi="宋体" w:eastAsia="宋体" w:cs="宋体"/>
          <w:color w:val="auto"/>
          <w:sz w:val="24"/>
        </w:rPr>
        <w:br w:type="page"/>
      </w:r>
    </w:p>
    <w:p w14:paraId="470BEA0D">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t>3-2 其他特定资格要求</w:t>
      </w:r>
    </w:p>
    <w:p w14:paraId="019B879C">
      <w:pPr>
        <w:widowControl/>
        <w:jc w:val="left"/>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14292DE5">
      <w:pPr>
        <w:numPr>
          <w:ilvl w:val="0"/>
          <w:numId w:val="27"/>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t>投标保证金凭证/交款单据电子件</w:t>
      </w:r>
    </w:p>
    <w:p w14:paraId="4BB0DEA0">
      <w:pPr>
        <w:spacing w:line="360" w:lineRule="auto"/>
        <w:rPr>
          <w:rFonts w:hint="eastAsia" w:ascii="宋体" w:hAnsi="宋体" w:eastAsia="宋体" w:cs="宋体"/>
          <w:color w:val="auto"/>
          <w:sz w:val="24"/>
          <w:szCs w:val="20"/>
        </w:rPr>
      </w:pPr>
    </w:p>
    <w:p w14:paraId="0788A535">
      <w:pPr>
        <w:spacing w:line="360" w:lineRule="auto"/>
        <w:rPr>
          <w:rFonts w:hint="eastAsia" w:ascii="宋体" w:hAnsi="宋体" w:eastAsia="宋体" w:cs="宋体"/>
          <w:color w:val="auto"/>
          <w:sz w:val="24"/>
          <w:szCs w:val="20"/>
        </w:rPr>
      </w:pPr>
    </w:p>
    <w:p w14:paraId="3F14A240">
      <w:pPr>
        <w:widowControl/>
        <w:jc w:val="left"/>
        <w:rPr>
          <w:rFonts w:hint="eastAsia" w:ascii="宋体" w:hAnsi="宋体" w:eastAsia="宋体" w:cs="宋体"/>
          <w:color w:val="auto"/>
          <w:kern w:val="0"/>
          <w:sz w:val="24"/>
          <w:szCs w:val="20"/>
        </w:rPr>
      </w:pPr>
      <w:r>
        <w:rPr>
          <w:rFonts w:hint="eastAsia" w:ascii="宋体" w:hAnsi="宋体" w:eastAsia="宋体" w:cs="宋体"/>
          <w:color w:val="auto"/>
          <w:sz w:val="24"/>
          <w:szCs w:val="20"/>
        </w:rPr>
        <w:br w:type="page"/>
      </w:r>
    </w:p>
    <w:p w14:paraId="26E64916">
      <w:pPr>
        <w:keepNext/>
        <w:keepLines/>
        <w:autoSpaceDE w:val="0"/>
        <w:autoSpaceDN w:val="0"/>
        <w:adjustRightInd w:val="0"/>
        <w:spacing w:before="120" w:line="300" w:lineRule="auto"/>
        <w:jc w:val="left"/>
        <w:outlineLvl w:val="1"/>
        <w:rPr>
          <w:rFonts w:hint="eastAsia" w:ascii="宋体" w:hAnsi="宋体" w:eastAsia="宋体" w:cs="宋体"/>
          <w:b/>
          <w:color w:val="auto"/>
          <w:spacing w:val="20"/>
          <w:sz w:val="24"/>
        </w:rPr>
      </w:pPr>
      <w:r>
        <w:rPr>
          <w:rFonts w:hint="eastAsia" w:ascii="宋体" w:hAnsi="宋体" w:eastAsia="宋体" w:cs="宋体"/>
          <w:b/>
          <w:color w:val="auto"/>
          <w:spacing w:val="20"/>
          <w:sz w:val="24"/>
        </w:rPr>
        <w:t>二、商务技术文件格式</w:t>
      </w:r>
    </w:p>
    <w:p w14:paraId="1823B3FE">
      <w:pPr>
        <w:rPr>
          <w:rFonts w:hint="eastAsia" w:ascii="宋体" w:hAnsi="宋体" w:eastAsia="宋体" w:cs="宋体"/>
          <w:b/>
          <w:color w:val="auto"/>
          <w:spacing w:val="20"/>
          <w:szCs w:val="21"/>
        </w:rPr>
      </w:pPr>
    </w:p>
    <w:p w14:paraId="57B61051">
      <w:pPr>
        <w:rPr>
          <w:rFonts w:hint="eastAsia" w:ascii="宋体" w:hAnsi="宋体" w:eastAsia="宋体" w:cs="宋体"/>
          <w:b/>
          <w:color w:val="auto"/>
          <w:sz w:val="24"/>
        </w:rPr>
      </w:pPr>
      <w:r>
        <w:rPr>
          <w:rFonts w:hint="eastAsia" w:ascii="宋体" w:hAnsi="宋体" w:eastAsia="宋体" w:cs="宋体"/>
          <w:b/>
          <w:color w:val="auto"/>
          <w:spacing w:val="20"/>
          <w:sz w:val="24"/>
        </w:rPr>
        <w:t>投标文件（商务技术文件）</w:t>
      </w:r>
      <w:r>
        <w:rPr>
          <w:rFonts w:hint="eastAsia" w:ascii="宋体" w:hAnsi="宋体" w:eastAsia="宋体" w:cs="宋体"/>
          <w:b/>
          <w:color w:val="auto"/>
          <w:sz w:val="24"/>
        </w:rPr>
        <w:t>封面（非实质性格式）</w:t>
      </w:r>
    </w:p>
    <w:p w14:paraId="1A39B123">
      <w:pPr>
        <w:jc w:val="center"/>
        <w:rPr>
          <w:rFonts w:hint="eastAsia" w:ascii="宋体" w:hAnsi="宋体" w:eastAsia="宋体" w:cs="宋体"/>
          <w:color w:val="auto"/>
          <w:szCs w:val="21"/>
        </w:rPr>
      </w:pPr>
    </w:p>
    <w:p w14:paraId="5173DDAB">
      <w:pPr>
        <w:jc w:val="center"/>
        <w:rPr>
          <w:rFonts w:hint="eastAsia" w:ascii="宋体" w:hAnsi="宋体" w:eastAsia="宋体" w:cs="宋体"/>
          <w:b/>
          <w:color w:val="auto"/>
          <w:spacing w:val="60"/>
          <w:sz w:val="84"/>
          <w:szCs w:val="84"/>
        </w:rPr>
      </w:pPr>
      <w:r>
        <w:rPr>
          <w:rFonts w:hint="eastAsia" w:ascii="宋体" w:hAnsi="宋体" w:eastAsia="宋体" w:cs="宋体"/>
          <w:b/>
          <w:color w:val="auto"/>
          <w:spacing w:val="60"/>
          <w:sz w:val="84"/>
          <w:szCs w:val="84"/>
        </w:rPr>
        <w:t>投 标 文 件</w:t>
      </w:r>
    </w:p>
    <w:p w14:paraId="30AD083A">
      <w:pPr>
        <w:jc w:val="center"/>
        <w:rPr>
          <w:rFonts w:hint="eastAsia" w:ascii="宋体" w:hAnsi="宋体" w:eastAsia="宋体" w:cs="宋体"/>
          <w:b/>
          <w:color w:val="auto"/>
          <w:spacing w:val="60"/>
          <w:sz w:val="52"/>
          <w:szCs w:val="52"/>
        </w:rPr>
      </w:pPr>
      <w:r>
        <w:rPr>
          <w:rFonts w:hint="eastAsia" w:ascii="宋体" w:hAnsi="宋体" w:eastAsia="宋体" w:cs="宋体"/>
          <w:b/>
          <w:color w:val="auto"/>
          <w:spacing w:val="60"/>
          <w:sz w:val="52"/>
          <w:szCs w:val="52"/>
        </w:rPr>
        <w:t>（商务技术文件）</w:t>
      </w:r>
    </w:p>
    <w:p w14:paraId="1E030075">
      <w:pPr>
        <w:ind w:firstLine="542" w:firstLineChars="150"/>
        <w:rPr>
          <w:rFonts w:hint="eastAsia" w:ascii="宋体" w:hAnsi="宋体" w:eastAsia="宋体" w:cs="宋体"/>
          <w:b/>
          <w:color w:val="auto"/>
          <w:spacing w:val="20"/>
          <w:sz w:val="32"/>
          <w:szCs w:val="32"/>
        </w:rPr>
      </w:pPr>
    </w:p>
    <w:p w14:paraId="65C9E85D">
      <w:pPr>
        <w:ind w:firstLine="542" w:firstLineChars="150"/>
        <w:rPr>
          <w:rFonts w:hint="eastAsia" w:ascii="宋体" w:hAnsi="宋体" w:eastAsia="宋体" w:cs="宋体"/>
          <w:b/>
          <w:color w:val="auto"/>
          <w:spacing w:val="20"/>
          <w:sz w:val="32"/>
          <w:szCs w:val="32"/>
        </w:rPr>
      </w:pPr>
    </w:p>
    <w:p w14:paraId="60ED095E">
      <w:pPr>
        <w:ind w:firstLine="542" w:firstLineChars="150"/>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项目名称:</w:t>
      </w:r>
    </w:p>
    <w:p w14:paraId="72D7451C">
      <w:pPr>
        <w:ind w:firstLine="542" w:firstLineChars="150"/>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项目编号/包号：</w:t>
      </w:r>
    </w:p>
    <w:p w14:paraId="52F16BE9">
      <w:pPr>
        <w:ind w:firstLine="542" w:firstLineChars="150"/>
        <w:rPr>
          <w:rFonts w:hint="eastAsia" w:ascii="宋体" w:hAnsi="宋体" w:eastAsia="宋体" w:cs="宋体"/>
          <w:b/>
          <w:color w:val="auto"/>
          <w:spacing w:val="20"/>
          <w:sz w:val="32"/>
          <w:szCs w:val="32"/>
        </w:rPr>
      </w:pPr>
    </w:p>
    <w:p w14:paraId="6280330C">
      <w:pPr>
        <w:ind w:firstLine="542" w:firstLineChars="150"/>
        <w:rPr>
          <w:rFonts w:hint="eastAsia" w:ascii="宋体" w:hAnsi="宋体" w:eastAsia="宋体" w:cs="宋体"/>
          <w:b/>
          <w:color w:val="auto"/>
          <w:spacing w:val="20"/>
          <w:sz w:val="32"/>
          <w:szCs w:val="32"/>
        </w:rPr>
      </w:pPr>
    </w:p>
    <w:p w14:paraId="547882FC">
      <w:pPr>
        <w:jc w:val="center"/>
        <w:rPr>
          <w:rFonts w:hint="eastAsia" w:ascii="宋体" w:hAnsi="宋体" w:eastAsia="宋体" w:cs="宋体"/>
          <w:b/>
          <w:color w:val="auto"/>
          <w:sz w:val="32"/>
          <w:szCs w:val="32"/>
        </w:rPr>
      </w:pPr>
    </w:p>
    <w:p w14:paraId="3F49E93C">
      <w:pPr>
        <w:jc w:val="center"/>
        <w:rPr>
          <w:rFonts w:hint="eastAsia" w:ascii="宋体" w:hAnsi="宋体" w:eastAsia="宋体" w:cs="宋体"/>
          <w:b/>
          <w:color w:val="auto"/>
          <w:sz w:val="32"/>
          <w:szCs w:val="32"/>
        </w:rPr>
      </w:pPr>
    </w:p>
    <w:p w14:paraId="2E06D4F7">
      <w:pPr>
        <w:jc w:val="center"/>
        <w:rPr>
          <w:rFonts w:hint="eastAsia" w:ascii="宋体" w:hAnsi="宋体" w:eastAsia="宋体" w:cs="宋体"/>
          <w:b/>
          <w:color w:val="auto"/>
          <w:sz w:val="32"/>
          <w:szCs w:val="32"/>
        </w:rPr>
      </w:pPr>
    </w:p>
    <w:p w14:paraId="74E0445A">
      <w:pPr>
        <w:jc w:val="center"/>
        <w:rPr>
          <w:rFonts w:hint="eastAsia" w:ascii="宋体" w:hAnsi="宋体" w:eastAsia="宋体" w:cs="宋体"/>
          <w:b/>
          <w:color w:val="auto"/>
          <w:spacing w:val="20"/>
          <w:sz w:val="32"/>
          <w:szCs w:val="32"/>
        </w:rPr>
      </w:pPr>
    </w:p>
    <w:p w14:paraId="23669F10">
      <w:pPr>
        <w:jc w:val="center"/>
        <w:rPr>
          <w:rFonts w:hint="eastAsia" w:ascii="宋体" w:hAnsi="宋体" w:eastAsia="宋体" w:cs="宋体"/>
          <w:b/>
          <w:color w:val="auto"/>
          <w:spacing w:val="20"/>
          <w:sz w:val="32"/>
          <w:szCs w:val="32"/>
        </w:rPr>
      </w:pPr>
    </w:p>
    <w:p w14:paraId="3D015C0A">
      <w:pPr>
        <w:jc w:val="center"/>
        <w:rPr>
          <w:rFonts w:hint="eastAsia" w:ascii="宋体" w:hAnsi="宋体" w:eastAsia="宋体" w:cs="宋体"/>
          <w:b/>
          <w:color w:val="auto"/>
          <w:spacing w:val="20"/>
          <w:sz w:val="32"/>
          <w:szCs w:val="32"/>
        </w:rPr>
      </w:pPr>
    </w:p>
    <w:p w14:paraId="5A512948">
      <w:pPr>
        <w:spacing w:line="360" w:lineRule="auto"/>
        <w:ind w:firstLine="1445" w:firstLineChars="400"/>
        <w:jc w:val="left"/>
        <w:rPr>
          <w:rFonts w:hint="eastAsia" w:ascii="宋体" w:hAnsi="宋体" w:eastAsia="宋体" w:cs="宋体"/>
          <w:b/>
          <w:color w:val="auto"/>
          <w:spacing w:val="20"/>
          <w:sz w:val="32"/>
          <w:szCs w:val="32"/>
        </w:rPr>
      </w:pPr>
      <w:r>
        <w:rPr>
          <w:rFonts w:hint="eastAsia" w:ascii="宋体" w:hAnsi="宋体" w:eastAsia="宋体" w:cs="宋体"/>
          <w:b/>
          <w:color w:val="auto"/>
          <w:spacing w:val="20"/>
          <w:sz w:val="32"/>
          <w:szCs w:val="32"/>
        </w:rPr>
        <w:t>投标人名称：</w:t>
      </w:r>
    </w:p>
    <w:p w14:paraId="412DE550">
      <w:pPr>
        <w:jc w:val="center"/>
        <w:rPr>
          <w:rFonts w:hint="eastAsia" w:ascii="宋体" w:hAnsi="宋体" w:eastAsia="宋体" w:cs="宋体"/>
          <w:b/>
          <w:color w:val="auto"/>
          <w:sz w:val="32"/>
          <w:szCs w:val="32"/>
        </w:rPr>
      </w:pPr>
    </w:p>
    <w:p w14:paraId="63DD2661">
      <w:pPr>
        <w:widowControl/>
        <w:jc w:val="left"/>
        <w:rPr>
          <w:rFonts w:hint="eastAsia" w:ascii="宋体" w:hAnsi="宋体" w:eastAsia="宋体" w:cs="宋体"/>
          <w:b/>
          <w:color w:val="auto"/>
          <w:sz w:val="24"/>
        </w:rPr>
      </w:pPr>
      <w:r>
        <w:rPr>
          <w:rFonts w:hint="eastAsia" w:ascii="宋体" w:hAnsi="宋体" w:eastAsia="宋体" w:cs="宋体"/>
          <w:b/>
          <w:color w:val="auto"/>
          <w:sz w:val="24"/>
        </w:rPr>
        <w:br w:type="page"/>
      </w:r>
    </w:p>
    <w:p w14:paraId="1A4BA530">
      <w:pPr>
        <w:numPr>
          <w:ilvl w:val="0"/>
          <w:numId w:val="30"/>
        </w:numPr>
        <w:tabs>
          <w:tab w:val="left" w:pos="360"/>
        </w:tabs>
        <w:snapToGrid w:val="0"/>
        <w:spacing w:line="360" w:lineRule="auto"/>
        <w:outlineLvl w:val="1"/>
        <w:rPr>
          <w:rFonts w:hint="eastAsia" w:ascii="宋体" w:hAnsi="宋体" w:eastAsia="宋体" w:cs="宋体"/>
          <w:color w:val="auto"/>
          <w:sz w:val="24"/>
          <w:szCs w:val="20"/>
        </w:rPr>
      </w:pPr>
      <w:bookmarkStart w:id="997" w:name="_Hlt520343000"/>
      <w:bookmarkEnd w:id="997"/>
      <w:bookmarkStart w:id="998" w:name="_Hlt520274121"/>
      <w:bookmarkEnd w:id="998"/>
      <w:bookmarkStart w:id="999" w:name="_Hlt520343392"/>
      <w:bookmarkEnd w:id="999"/>
      <w:bookmarkStart w:id="1000" w:name="_Hlt520274065"/>
      <w:bookmarkEnd w:id="1000"/>
      <w:bookmarkStart w:id="1001" w:name="_Hlt520271212"/>
      <w:bookmarkEnd w:id="1001"/>
      <w:bookmarkStart w:id="1002" w:name="_Hlt520350918"/>
      <w:bookmarkEnd w:id="1002"/>
      <w:bookmarkStart w:id="1003" w:name="_Hlt520274407"/>
      <w:bookmarkEnd w:id="1003"/>
      <w:bookmarkStart w:id="1004" w:name="_Hlt520355504"/>
      <w:bookmarkEnd w:id="1004"/>
      <w:bookmarkStart w:id="1005" w:name="_Hlt520273711"/>
      <w:bookmarkEnd w:id="1005"/>
      <w:bookmarkStart w:id="1006" w:name="_Hlt520274393"/>
      <w:bookmarkEnd w:id="1006"/>
      <w:bookmarkStart w:id="1007" w:name="_Toc480942349"/>
      <w:bookmarkStart w:id="1008" w:name="_Ref467988698"/>
      <w:bookmarkStart w:id="1009" w:name="_Toc142311058"/>
      <w:bookmarkStart w:id="1010" w:name="_Toc195842921"/>
      <w:bookmarkStart w:id="1011" w:name="_Toc150480794"/>
      <w:bookmarkStart w:id="1012" w:name="_Toc226965829"/>
      <w:bookmarkStart w:id="1013" w:name="_Toc226965746"/>
      <w:bookmarkStart w:id="1014" w:name="_Toc226337252"/>
      <w:bookmarkStart w:id="1015" w:name="_Toc520356217"/>
      <w:bookmarkStart w:id="1016" w:name="_Toc150774761"/>
      <w:bookmarkStart w:id="1017" w:name="_Toc127151556"/>
      <w:bookmarkStart w:id="1018" w:name="_Toc226309800"/>
      <w:r>
        <w:rPr>
          <w:rFonts w:hint="eastAsia" w:ascii="宋体" w:hAnsi="宋体" w:eastAsia="宋体" w:cs="宋体"/>
          <w:color w:val="auto"/>
          <w:sz w:val="24"/>
        </w:rPr>
        <w:t>投标</w:t>
      </w:r>
      <w:bookmarkEnd w:id="1007"/>
      <w:bookmarkEnd w:id="1008"/>
      <w:r>
        <w:rPr>
          <w:rFonts w:hint="eastAsia" w:ascii="宋体" w:hAnsi="宋体" w:eastAsia="宋体" w:cs="宋体"/>
          <w:color w:val="auto"/>
          <w:sz w:val="24"/>
        </w:rPr>
        <w:t>书</w:t>
      </w:r>
      <w:bookmarkEnd w:id="1009"/>
      <w:bookmarkEnd w:id="1010"/>
      <w:bookmarkEnd w:id="1011"/>
      <w:bookmarkEnd w:id="1012"/>
      <w:bookmarkEnd w:id="1013"/>
      <w:bookmarkEnd w:id="1014"/>
      <w:bookmarkEnd w:id="1015"/>
      <w:bookmarkEnd w:id="1016"/>
      <w:bookmarkEnd w:id="1017"/>
      <w:bookmarkEnd w:id="1018"/>
      <w:r>
        <w:rPr>
          <w:rFonts w:hint="eastAsia" w:ascii="宋体" w:hAnsi="宋体" w:eastAsia="宋体" w:cs="宋体"/>
          <w:color w:val="auto"/>
          <w:sz w:val="24"/>
          <w:szCs w:val="20"/>
        </w:rPr>
        <w:t>（实质性格式）</w:t>
      </w:r>
    </w:p>
    <w:p w14:paraId="0089E2B5">
      <w:pPr>
        <w:tabs>
          <w:tab w:val="left" w:pos="5580"/>
        </w:tabs>
        <w:spacing w:line="360" w:lineRule="auto"/>
        <w:rPr>
          <w:rFonts w:hint="eastAsia" w:ascii="宋体" w:hAnsi="宋体" w:eastAsia="宋体" w:cs="宋体"/>
          <w:color w:val="auto"/>
          <w:sz w:val="24"/>
        </w:rPr>
      </w:pPr>
    </w:p>
    <w:p w14:paraId="53570F5B">
      <w:pPr>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投标书</w:t>
      </w:r>
    </w:p>
    <w:p w14:paraId="0DD7A6E7">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（采购人或采购代理机构）</w:t>
      </w:r>
    </w:p>
    <w:p w14:paraId="4C790D2E">
      <w:pPr>
        <w:tabs>
          <w:tab w:val="left" w:pos="5580"/>
        </w:tabs>
        <w:spacing w:line="360" w:lineRule="auto"/>
        <w:rPr>
          <w:rFonts w:hint="eastAsia" w:ascii="宋体" w:hAnsi="宋体" w:eastAsia="宋体" w:cs="宋体"/>
          <w:color w:val="auto"/>
          <w:sz w:val="24"/>
          <w:szCs w:val="20"/>
        </w:rPr>
      </w:pPr>
    </w:p>
    <w:p w14:paraId="2658EFB4">
      <w:pPr>
        <w:tabs>
          <w:tab w:val="left" w:pos="5580"/>
        </w:tabs>
        <w:spacing w:line="360" w:lineRule="auto"/>
        <w:ind w:firstLine="408"/>
        <w:rPr>
          <w:rFonts w:hint="eastAsia" w:ascii="宋体" w:hAnsi="宋体" w:eastAsia="宋体" w:cs="宋体"/>
          <w:color w:val="auto"/>
          <w:sz w:val="24"/>
          <w:szCs w:val="20"/>
        </w:rPr>
      </w:pPr>
      <w:r>
        <w:rPr>
          <w:rFonts w:hint="eastAsia" w:ascii="宋体" w:hAnsi="宋体" w:eastAsia="宋体" w:cs="宋体"/>
          <w:color w:val="auto"/>
          <w:sz w:val="24"/>
          <w:szCs w:val="20"/>
        </w:rPr>
        <w:t>我方参加你方就___________（项目名称，项目编号/包号）组织的招标活动，并对此项目进行投标。</w:t>
      </w:r>
    </w:p>
    <w:p w14:paraId="2BD59188">
      <w:pPr>
        <w:tabs>
          <w:tab w:val="left" w:pos="5580"/>
        </w:tabs>
        <w:spacing w:line="360" w:lineRule="auto"/>
        <w:ind w:firstLine="408"/>
        <w:rPr>
          <w:rFonts w:hint="eastAsia" w:ascii="宋体" w:hAnsi="宋体" w:eastAsia="宋体" w:cs="宋体"/>
          <w:color w:val="auto"/>
          <w:sz w:val="24"/>
          <w:szCs w:val="20"/>
        </w:rPr>
      </w:pPr>
      <w:r>
        <w:rPr>
          <w:rFonts w:hint="eastAsia" w:ascii="宋体" w:hAnsi="宋体" w:eastAsia="宋体" w:cs="宋体"/>
          <w:color w:val="auto"/>
          <w:sz w:val="24"/>
          <w:szCs w:val="20"/>
        </w:rPr>
        <w:t>1. 我方</w:t>
      </w:r>
      <w:r>
        <w:rPr>
          <w:rFonts w:hint="eastAsia" w:ascii="宋体" w:hAnsi="宋体" w:eastAsia="宋体" w:cs="宋体"/>
          <w:color w:val="auto"/>
          <w:sz w:val="24"/>
        </w:rPr>
        <w:t>已详细审查全部招标文件</w:t>
      </w:r>
      <w:r>
        <w:rPr>
          <w:rFonts w:hint="eastAsia" w:ascii="宋体" w:hAnsi="宋体" w:eastAsia="宋体" w:cs="宋体"/>
          <w:color w:val="auto"/>
          <w:sz w:val="24"/>
          <w:szCs w:val="20"/>
        </w:rPr>
        <w:t>，自愿参与投标并承诺如下：</w:t>
      </w:r>
    </w:p>
    <w:p w14:paraId="18295F8D">
      <w:pPr>
        <w:tabs>
          <w:tab w:val="left" w:pos="720"/>
          <w:tab w:val="left" w:pos="900"/>
        </w:tabs>
        <w:spacing w:line="360" w:lineRule="auto"/>
        <w:ind w:left="360" w:firstLine="72" w:firstLineChars="30"/>
        <w:rPr>
          <w:rFonts w:hint="eastAsia" w:ascii="宋体" w:hAnsi="宋体" w:eastAsia="宋体" w:cs="宋体"/>
          <w:color w:val="auto"/>
          <w:sz w:val="24"/>
          <w:szCs w:val="20"/>
        </w:rPr>
      </w:pPr>
      <w:r>
        <w:rPr>
          <w:rFonts w:hint="eastAsia" w:ascii="宋体" w:hAnsi="宋体" w:eastAsia="宋体" w:cs="宋体"/>
          <w:color w:val="auto"/>
          <w:sz w:val="24"/>
          <w:szCs w:val="20"/>
        </w:rPr>
        <w:t>（1）本投标有效期为自提交投标文件的截止之日起</w:t>
      </w:r>
      <w:r>
        <w:rPr>
          <w:rFonts w:hint="eastAsia" w:ascii="宋体" w:hAnsi="宋体" w:eastAsia="宋体" w:cs="宋体"/>
          <w:color w:val="auto"/>
          <w:sz w:val="24"/>
        </w:rPr>
        <w:t>_____</w:t>
      </w:r>
      <w:r>
        <w:rPr>
          <w:rFonts w:hint="eastAsia" w:ascii="宋体" w:hAnsi="宋体" w:eastAsia="宋体" w:cs="宋体"/>
          <w:color w:val="auto"/>
          <w:sz w:val="24"/>
          <w:szCs w:val="20"/>
        </w:rPr>
        <w:t>个日历日。</w:t>
      </w:r>
    </w:p>
    <w:p w14:paraId="2319E977">
      <w:pPr>
        <w:tabs>
          <w:tab w:val="left" w:pos="720"/>
          <w:tab w:val="left" w:pos="900"/>
        </w:tabs>
        <w:spacing w:line="360" w:lineRule="auto"/>
        <w:ind w:left="360" w:firstLine="72" w:firstLineChars="30"/>
        <w:rPr>
          <w:rFonts w:hint="eastAsia" w:ascii="宋体" w:hAnsi="宋体" w:eastAsia="宋体" w:cs="宋体"/>
          <w:color w:val="auto"/>
          <w:sz w:val="24"/>
          <w:szCs w:val="20"/>
        </w:rPr>
      </w:pPr>
      <w:r>
        <w:rPr>
          <w:rFonts w:hint="eastAsia" w:ascii="宋体" w:hAnsi="宋体" w:eastAsia="宋体" w:cs="宋体"/>
          <w:color w:val="auto"/>
          <w:sz w:val="24"/>
          <w:szCs w:val="20"/>
        </w:rPr>
        <w:t>（2）除合同条款及采购需求偏离表列出的偏离外，我方响应招标文件的全部要求。</w:t>
      </w:r>
    </w:p>
    <w:p w14:paraId="6BEF6A3E">
      <w:pPr>
        <w:tabs>
          <w:tab w:val="left" w:pos="5580"/>
        </w:tabs>
        <w:spacing w:line="360" w:lineRule="auto"/>
        <w:ind w:firstLine="420" w:firstLineChars="175"/>
        <w:rPr>
          <w:rFonts w:hint="eastAsia" w:ascii="宋体" w:hAnsi="宋体" w:eastAsia="宋体" w:cs="宋体"/>
          <w:color w:val="auto"/>
          <w:sz w:val="24"/>
          <w:szCs w:val="20"/>
        </w:rPr>
      </w:pPr>
      <w:r>
        <w:rPr>
          <w:rFonts w:hint="eastAsia" w:ascii="宋体" w:hAnsi="宋体" w:eastAsia="宋体" w:cs="宋体"/>
          <w:color w:val="auto"/>
          <w:sz w:val="24"/>
          <w:szCs w:val="20"/>
        </w:rPr>
        <w:t>（3）我方已提供的全部文件资料是真实、准确的，并对此承担一切法律后果。</w:t>
      </w:r>
    </w:p>
    <w:p w14:paraId="3576FAE0">
      <w:pPr>
        <w:tabs>
          <w:tab w:val="left" w:pos="5580"/>
        </w:tabs>
        <w:spacing w:line="360" w:lineRule="auto"/>
        <w:ind w:firstLine="420" w:firstLineChars="175"/>
        <w:rPr>
          <w:rFonts w:hint="eastAsia" w:ascii="宋体" w:hAnsi="宋体" w:eastAsia="宋体" w:cs="宋体"/>
          <w:color w:val="auto"/>
          <w:sz w:val="24"/>
        </w:rPr>
      </w:pPr>
      <w:r>
        <w:rPr>
          <w:rFonts w:hint="eastAsia" w:ascii="宋体" w:hAnsi="宋体" w:eastAsia="宋体" w:cs="宋体"/>
          <w:color w:val="auto"/>
          <w:sz w:val="24"/>
          <w:szCs w:val="20"/>
        </w:rPr>
        <w:t>（4）如我方中标，我方将在法律规定的期限内与你方签订合同，按照招标文件要求提交履约保证金，并在合同约定的期限内完成合同规定的全部义务。</w:t>
      </w:r>
    </w:p>
    <w:p w14:paraId="46A39411">
      <w:pPr>
        <w:spacing w:line="360" w:lineRule="auto"/>
        <w:ind w:left="420"/>
        <w:rPr>
          <w:rFonts w:hint="eastAsia" w:ascii="宋体" w:hAnsi="宋体" w:eastAsia="宋体" w:cs="宋体"/>
          <w:color w:val="auto"/>
          <w:sz w:val="24"/>
        </w:rPr>
      </w:pPr>
      <w:r>
        <w:rPr>
          <w:rFonts w:hint="eastAsia" w:ascii="宋体" w:hAnsi="宋体" w:eastAsia="宋体" w:cs="宋体"/>
          <w:color w:val="auto"/>
          <w:sz w:val="24"/>
        </w:rPr>
        <w:t>2. 其他补充条款（如有）：</w:t>
      </w:r>
      <w:r>
        <w:rPr>
          <w:rFonts w:hint="eastAsia" w:ascii="宋体" w:hAnsi="宋体" w:eastAsia="宋体" w:cs="宋体"/>
          <w:color w:val="auto"/>
          <w:sz w:val="24"/>
          <w:szCs w:val="20"/>
        </w:rPr>
        <w:t>___________</w:t>
      </w:r>
      <w:r>
        <w:rPr>
          <w:rFonts w:hint="eastAsia" w:ascii="宋体" w:hAnsi="宋体" w:eastAsia="宋体" w:cs="宋体"/>
          <w:color w:val="auto"/>
          <w:sz w:val="24"/>
        </w:rPr>
        <w:t>。</w:t>
      </w:r>
    </w:p>
    <w:p w14:paraId="428E0556">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与本投标有关的一切正式往来信函请寄：</w:t>
      </w:r>
    </w:p>
    <w:p w14:paraId="280FF2E0">
      <w:pPr>
        <w:tabs>
          <w:tab w:val="left" w:pos="5580"/>
        </w:tabs>
        <w:spacing w:line="360" w:lineRule="auto"/>
        <w:ind w:left="420"/>
        <w:rPr>
          <w:rFonts w:hint="eastAsia" w:ascii="宋体" w:hAnsi="宋体" w:eastAsia="宋体" w:cs="宋体"/>
          <w:color w:val="auto"/>
          <w:sz w:val="24"/>
          <w:szCs w:val="20"/>
        </w:rPr>
      </w:pPr>
    </w:p>
    <w:p w14:paraId="78E429AE">
      <w:pPr>
        <w:tabs>
          <w:tab w:val="left" w:pos="5580"/>
        </w:tabs>
        <w:spacing w:line="360" w:lineRule="auto"/>
        <w:ind w:left="420"/>
        <w:rPr>
          <w:rFonts w:hint="eastAsia" w:ascii="宋体" w:hAnsi="宋体" w:eastAsia="宋体" w:cs="宋体"/>
          <w:color w:val="auto"/>
          <w:sz w:val="24"/>
          <w:szCs w:val="20"/>
        </w:rPr>
      </w:pPr>
      <w:r>
        <w:rPr>
          <w:rFonts w:hint="eastAsia" w:ascii="宋体" w:hAnsi="宋体" w:eastAsia="宋体" w:cs="宋体"/>
          <w:color w:val="auto"/>
          <w:sz w:val="24"/>
          <w:szCs w:val="20"/>
        </w:rPr>
        <w:t>地址_________________________     传真____________________________</w:t>
      </w:r>
    </w:p>
    <w:p w14:paraId="2AD1CD24">
      <w:pPr>
        <w:tabs>
          <w:tab w:val="left" w:pos="5580"/>
        </w:tabs>
        <w:spacing w:line="360" w:lineRule="auto"/>
        <w:ind w:left="420"/>
        <w:rPr>
          <w:rFonts w:hint="eastAsia" w:ascii="宋体" w:hAnsi="宋体" w:eastAsia="宋体" w:cs="宋体"/>
          <w:color w:val="auto"/>
          <w:sz w:val="24"/>
          <w:szCs w:val="20"/>
        </w:rPr>
      </w:pPr>
      <w:r>
        <w:rPr>
          <w:rFonts w:hint="eastAsia" w:ascii="宋体" w:hAnsi="宋体" w:eastAsia="宋体" w:cs="宋体"/>
          <w:color w:val="auto"/>
          <w:sz w:val="24"/>
          <w:szCs w:val="20"/>
        </w:rPr>
        <w:t>电话_________________________     电子函件________________________</w:t>
      </w:r>
    </w:p>
    <w:p w14:paraId="3863206F">
      <w:pPr>
        <w:tabs>
          <w:tab w:val="left" w:pos="5580"/>
        </w:tabs>
        <w:spacing w:line="360" w:lineRule="auto"/>
        <w:ind w:left="420"/>
        <w:rPr>
          <w:rFonts w:hint="eastAsia" w:ascii="宋体" w:hAnsi="宋体" w:eastAsia="宋体" w:cs="宋体"/>
          <w:color w:val="auto"/>
          <w:sz w:val="24"/>
          <w:szCs w:val="20"/>
        </w:rPr>
      </w:pPr>
    </w:p>
    <w:p w14:paraId="6EB36202">
      <w:pPr>
        <w:tabs>
          <w:tab w:val="left" w:pos="5580"/>
        </w:tabs>
        <w:spacing w:line="360" w:lineRule="auto"/>
        <w:ind w:left="420"/>
        <w:rPr>
          <w:rFonts w:hint="eastAsia" w:ascii="宋体" w:hAnsi="宋体" w:eastAsia="宋体" w:cs="宋体"/>
          <w:color w:val="auto"/>
          <w:sz w:val="24"/>
          <w:szCs w:val="20"/>
        </w:rPr>
      </w:pPr>
      <w:r>
        <w:rPr>
          <w:rFonts w:hint="eastAsia" w:ascii="宋体" w:hAnsi="宋体" w:eastAsia="宋体" w:cs="宋体"/>
          <w:color w:val="auto"/>
          <w:sz w:val="24"/>
          <w:szCs w:val="20"/>
        </w:rPr>
        <w:t>投标人名称（加盖公章） ___________</w:t>
      </w:r>
    </w:p>
    <w:p w14:paraId="12A54713">
      <w:pPr>
        <w:tabs>
          <w:tab w:val="left" w:pos="5580"/>
        </w:tabs>
        <w:spacing w:line="360" w:lineRule="auto"/>
        <w:ind w:left="420"/>
        <w:rPr>
          <w:rFonts w:hint="eastAsia" w:ascii="宋体" w:hAnsi="宋体" w:eastAsia="宋体" w:cs="宋体"/>
          <w:color w:val="auto"/>
          <w:sz w:val="24"/>
          <w:szCs w:val="20"/>
        </w:rPr>
      </w:pPr>
      <w:r>
        <w:rPr>
          <w:rFonts w:hint="eastAsia" w:ascii="宋体" w:hAnsi="宋体" w:eastAsia="宋体" w:cs="宋体"/>
          <w:color w:val="auto"/>
          <w:sz w:val="24"/>
          <w:szCs w:val="20"/>
        </w:rPr>
        <w:t xml:space="preserve">日期：_____年______月______日    </w:t>
      </w:r>
    </w:p>
    <w:p w14:paraId="0DFCB013">
      <w:pPr>
        <w:tabs>
          <w:tab w:val="left" w:pos="5580"/>
        </w:tabs>
        <w:spacing w:line="360" w:lineRule="auto"/>
        <w:ind w:left="420"/>
        <w:rPr>
          <w:rFonts w:hint="eastAsia" w:ascii="宋体" w:hAnsi="宋体" w:eastAsia="宋体" w:cs="宋体"/>
          <w:color w:val="auto"/>
          <w:sz w:val="24"/>
          <w:szCs w:val="20"/>
          <w:u w:val="single"/>
        </w:rPr>
      </w:pPr>
    </w:p>
    <w:p w14:paraId="3BDA80A1">
      <w:pPr>
        <w:widowControl/>
        <w:jc w:val="left"/>
        <w:rPr>
          <w:rFonts w:hint="eastAsia" w:ascii="宋体" w:hAnsi="宋体" w:eastAsia="宋体" w:cs="宋体"/>
          <w:color w:val="auto"/>
          <w:sz w:val="24"/>
        </w:rPr>
      </w:pPr>
      <w:bookmarkStart w:id="1019" w:name="_Hlt520356243"/>
      <w:bookmarkEnd w:id="1019"/>
      <w:bookmarkStart w:id="1020" w:name="_Hlt520355938"/>
      <w:bookmarkEnd w:id="1020"/>
      <w:bookmarkStart w:id="1021" w:name="_Toc305158825"/>
      <w:bookmarkStart w:id="1022" w:name="_Toc226965747"/>
      <w:bookmarkStart w:id="1023" w:name="_Toc264969247"/>
      <w:bookmarkStart w:id="1024" w:name="_Ref467988705"/>
      <w:bookmarkStart w:id="1025" w:name="_Toc226965830"/>
      <w:bookmarkStart w:id="1026" w:name="_Toc226309801"/>
      <w:bookmarkStart w:id="1027" w:name="_Toc520356218"/>
      <w:bookmarkStart w:id="1028" w:name="_Toc480942350"/>
      <w:bookmarkStart w:id="1029" w:name="_Toc305158899"/>
      <w:bookmarkStart w:id="1030" w:name="_Toc226337253"/>
      <w:bookmarkStart w:id="1031" w:name="_Toc265228395"/>
      <w:bookmarkStart w:id="1032" w:name="_Toc142311059"/>
      <w:bookmarkStart w:id="1033" w:name="_Toc150480795"/>
      <w:bookmarkStart w:id="1034" w:name="_Toc195842922"/>
      <w:bookmarkStart w:id="1035" w:name="_Toc150774762"/>
      <w:bookmarkStart w:id="1036" w:name="_Toc127151557"/>
      <w:r>
        <w:rPr>
          <w:rFonts w:hint="eastAsia" w:ascii="宋体" w:hAnsi="宋体" w:eastAsia="宋体" w:cs="宋体"/>
          <w:color w:val="auto"/>
          <w:sz w:val="24"/>
        </w:rPr>
        <w:br w:type="page"/>
      </w:r>
    </w:p>
    <w:p w14:paraId="62221B91">
      <w:pPr>
        <w:numPr>
          <w:ilvl w:val="0"/>
          <w:numId w:val="30"/>
        </w:numPr>
        <w:tabs>
          <w:tab w:val="left" w:pos="360"/>
        </w:tabs>
        <w:snapToGrid w:val="0"/>
        <w:spacing w:line="360" w:lineRule="auto"/>
        <w:outlineLvl w:val="1"/>
        <w:rPr>
          <w:rFonts w:hint="eastAsia" w:ascii="宋体" w:hAnsi="宋体" w:eastAsia="宋体" w:cs="宋体"/>
          <w:color w:val="auto"/>
          <w:sz w:val="24"/>
        </w:rPr>
      </w:pPr>
      <w:r>
        <w:rPr>
          <w:rFonts w:hint="eastAsia" w:ascii="宋体" w:hAnsi="宋体" w:eastAsia="宋体" w:cs="宋体"/>
          <w:color w:val="auto"/>
          <w:sz w:val="24"/>
        </w:rPr>
        <w:t>授权委托书（实质性格式）</w:t>
      </w:r>
    </w:p>
    <w:p w14:paraId="618F8567">
      <w:pPr>
        <w:spacing w:line="360" w:lineRule="exact"/>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授权委托书</w:t>
      </w:r>
    </w:p>
    <w:p w14:paraId="02F5B4DC">
      <w:pPr>
        <w:spacing w:line="360" w:lineRule="auto"/>
        <w:ind w:firstLine="420"/>
        <w:rPr>
          <w:rFonts w:hint="eastAsia" w:ascii="宋体" w:hAnsi="宋体" w:eastAsia="宋体" w:cs="宋体"/>
          <w:color w:val="auto"/>
          <w:sz w:val="24"/>
          <w:szCs w:val="20"/>
        </w:rPr>
      </w:pPr>
    </w:p>
    <w:p w14:paraId="107F583E">
      <w:pPr>
        <w:spacing w:line="360" w:lineRule="auto"/>
        <w:ind w:firstLine="420"/>
        <w:rPr>
          <w:rFonts w:hint="eastAsia" w:ascii="宋体" w:hAnsi="宋体" w:eastAsia="宋体" w:cs="宋体"/>
          <w:color w:val="auto"/>
          <w:sz w:val="24"/>
          <w:szCs w:val="20"/>
        </w:rPr>
      </w:pPr>
      <w:r>
        <w:rPr>
          <w:rFonts w:hint="eastAsia" w:ascii="宋体" w:hAnsi="宋体" w:eastAsia="宋体" w:cs="宋体"/>
          <w:color w:val="auto"/>
          <w:sz w:val="24"/>
          <w:szCs w:val="20"/>
        </w:rPr>
        <w:t>本人</w:t>
      </w:r>
      <w:r>
        <w:rPr>
          <w:rFonts w:hint="eastAsia" w:ascii="宋体" w:hAnsi="宋体" w:eastAsia="宋体" w:cs="宋体"/>
          <w:color w:val="auto"/>
          <w:sz w:val="24"/>
          <w:lang w:val="zh-CN"/>
        </w:rPr>
        <w:t>_______</w:t>
      </w:r>
      <w:r>
        <w:rPr>
          <w:rFonts w:hint="eastAsia" w:ascii="宋体" w:hAnsi="宋体" w:eastAsia="宋体" w:cs="宋体"/>
          <w:color w:val="auto"/>
          <w:sz w:val="24"/>
          <w:szCs w:val="20"/>
        </w:rPr>
        <w:t>（姓名）系</w:t>
      </w:r>
      <w:r>
        <w:rPr>
          <w:rFonts w:hint="eastAsia" w:ascii="宋体" w:hAnsi="宋体" w:eastAsia="宋体" w:cs="宋体"/>
          <w:color w:val="auto"/>
          <w:sz w:val="24"/>
          <w:lang w:val="zh-CN"/>
        </w:rPr>
        <w:t>________________</w:t>
      </w:r>
      <w:r>
        <w:rPr>
          <w:rFonts w:hint="eastAsia" w:ascii="宋体" w:hAnsi="宋体" w:eastAsia="宋体" w:cs="宋体"/>
          <w:color w:val="auto"/>
          <w:sz w:val="24"/>
          <w:szCs w:val="20"/>
        </w:rPr>
        <w:t>（投标人名称）的法定代表人（单位负责人），现委托</w:t>
      </w:r>
      <w:r>
        <w:rPr>
          <w:rFonts w:hint="eastAsia" w:ascii="宋体" w:hAnsi="宋体" w:eastAsia="宋体" w:cs="宋体"/>
          <w:color w:val="auto"/>
          <w:sz w:val="24"/>
          <w:lang w:val="zh-CN"/>
        </w:rPr>
        <w:t>_______</w:t>
      </w:r>
      <w:r>
        <w:rPr>
          <w:rFonts w:hint="eastAsia" w:ascii="宋体" w:hAnsi="宋体" w:eastAsia="宋体" w:cs="宋体"/>
          <w:color w:val="auto"/>
          <w:sz w:val="24"/>
          <w:szCs w:val="20"/>
        </w:rPr>
        <w:t>（姓名）为我方代理人。代理人根据授权，以我方名义签署、澄清确认、提交、撤回、修改</w:t>
      </w:r>
      <w:r>
        <w:rPr>
          <w:rFonts w:hint="eastAsia" w:ascii="宋体" w:hAnsi="宋体" w:eastAsia="宋体" w:cs="宋体"/>
          <w:color w:val="auto"/>
          <w:sz w:val="24"/>
          <w:lang w:val="zh-CN"/>
        </w:rPr>
        <w:t>________________</w:t>
      </w:r>
      <w:r>
        <w:rPr>
          <w:rFonts w:hint="eastAsia" w:ascii="宋体" w:hAnsi="宋体" w:eastAsia="宋体" w:cs="宋体"/>
          <w:color w:val="auto"/>
          <w:sz w:val="24"/>
          <w:szCs w:val="20"/>
        </w:rPr>
        <w:t>（项目名称）投标文件和处理有关事宜，其法律后果由我方承担。</w:t>
      </w:r>
    </w:p>
    <w:p w14:paraId="72E62C21">
      <w:pPr>
        <w:spacing w:line="360" w:lineRule="auto"/>
        <w:ind w:firstLine="420"/>
        <w:rPr>
          <w:rFonts w:hint="eastAsia" w:ascii="宋体" w:hAnsi="宋体" w:eastAsia="宋体" w:cs="宋体"/>
          <w:color w:val="auto"/>
          <w:sz w:val="24"/>
          <w:szCs w:val="20"/>
        </w:rPr>
      </w:pPr>
      <w:r>
        <w:rPr>
          <w:rFonts w:hint="eastAsia" w:ascii="宋体" w:hAnsi="宋体" w:eastAsia="宋体" w:cs="宋体"/>
          <w:color w:val="auto"/>
          <w:sz w:val="24"/>
          <w:szCs w:val="20"/>
        </w:rPr>
        <w:t>委托期限：自本授权委托书签署之日起至投标有效期届满之日止。</w:t>
      </w:r>
    </w:p>
    <w:p w14:paraId="0CB765A8">
      <w:pPr>
        <w:spacing w:line="360" w:lineRule="auto"/>
        <w:ind w:firstLine="420"/>
        <w:rPr>
          <w:rFonts w:hint="eastAsia" w:ascii="宋体" w:hAnsi="宋体" w:eastAsia="宋体" w:cs="宋体"/>
          <w:color w:val="auto"/>
          <w:sz w:val="24"/>
          <w:szCs w:val="20"/>
        </w:rPr>
      </w:pPr>
      <w:r>
        <w:rPr>
          <w:rFonts w:hint="eastAsia" w:ascii="宋体" w:hAnsi="宋体" w:eastAsia="宋体" w:cs="宋体"/>
          <w:color w:val="auto"/>
          <w:sz w:val="24"/>
          <w:szCs w:val="20"/>
        </w:rPr>
        <w:t>代理人无转委托权。</w:t>
      </w:r>
      <w:r>
        <w:rPr>
          <w:rFonts w:hint="eastAsia" w:ascii="宋体" w:hAnsi="宋体" w:eastAsia="宋体" w:cs="宋体"/>
          <w:color w:val="auto"/>
          <w:sz w:val="24"/>
          <w:szCs w:val="20"/>
        </w:rPr>
        <w:cr/>
      </w:r>
    </w:p>
    <w:p w14:paraId="39FA893F">
      <w:pPr>
        <w:spacing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：________________</w:t>
      </w:r>
    </w:p>
    <w:p w14:paraId="59CEC886">
      <w:pPr>
        <w:spacing w:line="360" w:lineRule="auto"/>
        <w:rPr>
          <w:rFonts w:hint="eastAsia" w:ascii="宋体" w:hAnsi="宋体" w:eastAsia="宋体" w:cs="宋体"/>
          <w:color w:val="auto"/>
          <w:sz w:val="24"/>
          <w:szCs w:val="20"/>
        </w:rPr>
      </w:pPr>
      <w:r>
        <w:rPr>
          <w:rFonts w:hint="eastAsia" w:ascii="宋体" w:hAnsi="宋体" w:eastAsia="宋体" w:cs="宋体"/>
          <w:color w:val="auto"/>
          <w:sz w:val="24"/>
          <w:szCs w:val="20"/>
        </w:rPr>
        <w:t>法定代表人（单位负责人）（签字或签章）：</w:t>
      </w:r>
      <w:r>
        <w:rPr>
          <w:rFonts w:hint="eastAsia" w:ascii="宋体" w:hAnsi="宋体" w:eastAsia="宋体" w:cs="宋体"/>
          <w:color w:val="auto"/>
          <w:sz w:val="24"/>
          <w:lang w:val="zh-CN"/>
        </w:rPr>
        <w:t>________________</w:t>
      </w:r>
    </w:p>
    <w:p w14:paraId="5E5AF45D">
      <w:pPr>
        <w:autoSpaceDE w:val="0"/>
        <w:autoSpaceDN w:val="0"/>
        <w:adjustRightInd w:val="0"/>
        <w:snapToGrid w:val="0"/>
        <w:spacing w:line="360" w:lineRule="auto"/>
        <w:rPr>
          <w:rFonts w:hint="eastAsia" w:ascii="宋体" w:hAnsi="宋体" w:eastAsia="宋体" w:cs="宋体"/>
          <w:color w:val="auto"/>
          <w:sz w:val="24"/>
          <w:lang w:val="zh-CN"/>
        </w:rPr>
      </w:pPr>
      <w:r>
        <w:rPr>
          <w:rFonts w:hint="eastAsia" w:ascii="宋体" w:hAnsi="宋体" w:eastAsia="宋体" w:cs="宋体"/>
          <w:color w:val="auto"/>
          <w:sz w:val="24"/>
        </w:rPr>
        <w:t>委托代理人（签字或签章）：</w:t>
      </w:r>
      <w:r>
        <w:rPr>
          <w:rFonts w:hint="eastAsia" w:ascii="宋体" w:hAnsi="宋体" w:eastAsia="宋体" w:cs="宋体"/>
          <w:color w:val="auto"/>
          <w:sz w:val="24"/>
          <w:lang w:val="zh-CN"/>
        </w:rPr>
        <w:t>________________</w:t>
      </w:r>
      <w:r>
        <w:rPr>
          <w:rFonts w:hint="eastAsia" w:ascii="宋体" w:hAnsi="宋体" w:eastAsia="宋体" w:cs="宋体"/>
          <w:color w:val="auto"/>
          <w:sz w:val="24"/>
        </w:rPr>
        <w:t xml:space="preserve">    </w:t>
      </w:r>
      <w:r>
        <w:rPr>
          <w:rFonts w:hint="eastAsia" w:ascii="宋体" w:hAnsi="宋体" w:eastAsia="宋体" w:cs="宋体"/>
          <w:color w:val="auto"/>
          <w:sz w:val="24"/>
          <w:lang w:val="zh-CN"/>
        </w:rPr>
        <w:t xml:space="preserve">                      </w:t>
      </w:r>
    </w:p>
    <w:p w14:paraId="23EED6A7">
      <w:pPr>
        <w:autoSpaceDE w:val="0"/>
        <w:autoSpaceDN w:val="0"/>
        <w:adjustRightInd w:val="0"/>
        <w:snapToGrid w:val="0"/>
        <w:spacing w:line="360" w:lineRule="auto"/>
        <w:rPr>
          <w:rFonts w:hint="eastAsia" w:ascii="宋体" w:hAnsi="宋体" w:eastAsia="宋体" w:cs="宋体"/>
          <w:color w:val="auto"/>
          <w:sz w:val="24"/>
          <w:lang w:val="zh-CN"/>
        </w:rPr>
      </w:pPr>
      <w:r>
        <w:rPr>
          <w:rFonts w:hint="eastAsia" w:ascii="宋体" w:hAnsi="宋体" w:eastAsia="宋体" w:cs="宋体"/>
          <w:color w:val="auto"/>
          <w:sz w:val="24"/>
        </w:rPr>
        <w:t>日期：_____年______月______日</w:t>
      </w:r>
    </w:p>
    <w:p w14:paraId="0FFD9116">
      <w:pPr>
        <w:tabs>
          <w:tab w:val="left" w:pos="5580"/>
        </w:tabs>
        <w:spacing w:line="360" w:lineRule="auto"/>
        <w:ind w:firstLine="480" w:firstLineChars="200"/>
        <w:rPr>
          <w:rFonts w:hint="eastAsia" w:ascii="宋体" w:hAnsi="宋体" w:eastAsia="宋体" w:cs="宋体"/>
          <w:color w:val="auto"/>
          <w:sz w:val="24"/>
          <w:szCs w:val="20"/>
        </w:rPr>
      </w:pPr>
    </w:p>
    <w:p w14:paraId="5C6B49E1">
      <w:pPr>
        <w:tabs>
          <w:tab w:val="left" w:pos="5580"/>
        </w:tabs>
        <w:spacing w:line="360" w:lineRule="auto"/>
        <w:rPr>
          <w:rFonts w:hint="eastAsia" w:ascii="宋体" w:hAnsi="宋体" w:eastAsia="宋体" w:cs="宋体"/>
          <w:color w:val="auto"/>
          <w:sz w:val="24"/>
          <w:szCs w:val="20"/>
        </w:rPr>
      </w:pPr>
      <w:r>
        <w:rPr>
          <w:rFonts w:hint="eastAsia" w:ascii="宋体" w:hAnsi="宋体" w:eastAsia="宋体" w:cs="宋体"/>
          <w:color w:val="auto"/>
          <w:sz w:val="24"/>
          <w:szCs w:val="20"/>
        </w:rPr>
        <w:t>附：法定代表人（单位负责人）及委托代理人身份证明文件电子件：</w:t>
      </w:r>
    </w:p>
    <w:p w14:paraId="4173B416">
      <w:pPr>
        <w:tabs>
          <w:tab w:val="left" w:pos="5580"/>
        </w:tabs>
        <w:spacing w:line="360" w:lineRule="auto"/>
        <w:jc w:val="left"/>
        <w:rPr>
          <w:rFonts w:hint="eastAsia" w:ascii="宋体" w:hAnsi="宋体" w:eastAsia="宋体" w:cs="宋体"/>
          <w:color w:val="auto"/>
          <w:sz w:val="24"/>
          <w:szCs w:val="20"/>
        </w:rPr>
      </w:pPr>
    </w:p>
    <w:p w14:paraId="6C926627">
      <w:pPr>
        <w:tabs>
          <w:tab w:val="left" w:pos="5580"/>
        </w:tabs>
        <w:spacing w:line="360" w:lineRule="auto"/>
        <w:jc w:val="left"/>
        <w:rPr>
          <w:rFonts w:hint="eastAsia" w:ascii="宋体" w:hAnsi="宋体" w:eastAsia="宋体" w:cs="宋体"/>
          <w:color w:val="auto"/>
          <w:sz w:val="24"/>
          <w:szCs w:val="20"/>
        </w:rPr>
      </w:pPr>
    </w:p>
    <w:p w14:paraId="1E722EEE">
      <w:pPr>
        <w:tabs>
          <w:tab w:val="left" w:pos="5580"/>
        </w:tabs>
        <w:spacing w:line="360" w:lineRule="auto"/>
        <w:jc w:val="left"/>
        <w:rPr>
          <w:rFonts w:hint="eastAsia" w:ascii="宋体" w:hAnsi="宋体" w:eastAsia="宋体" w:cs="宋体"/>
          <w:color w:val="auto"/>
          <w:sz w:val="24"/>
          <w:szCs w:val="20"/>
        </w:rPr>
      </w:pPr>
    </w:p>
    <w:p w14:paraId="2CB0E697">
      <w:pPr>
        <w:tabs>
          <w:tab w:val="left" w:pos="5580"/>
        </w:tabs>
        <w:spacing w:line="360" w:lineRule="auto"/>
        <w:jc w:val="left"/>
        <w:rPr>
          <w:rFonts w:hint="eastAsia" w:ascii="宋体" w:hAnsi="宋体" w:eastAsia="宋体" w:cs="宋体"/>
          <w:color w:val="auto"/>
          <w:sz w:val="24"/>
          <w:szCs w:val="20"/>
        </w:rPr>
      </w:pPr>
    </w:p>
    <w:p w14:paraId="459E4D90">
      <w:pPr>
        <w:tabs>
          <w:tab w:val="left" w:pos="5580"/>
        </w:tabs>
        <w:spacing w:line="360"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说明：</w:t>
      </w:r>
    </w:p>
    <w:p w14:paraId="020B2135">
      <w:pPr>
        <w:tabs>
          <w:tab w:val="left" w:pos="5580"/>
        </w:tabs>
        <w:spacing w:line="360"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1.若供应商为事业单位或其他组织或分支机构，则法定代表人（单位负责人）处的签署人可为单位负责人。</w:t>
      </w:r>
    </w:p>
    <w:p w14:paraId="3CE2E514">
      <w:pPr>
        <w:tabs>
          <w:tab w:val="left" w:pos="5580"/>
        </w:tabs>
        <w:spacing w:line="360"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4DC19981">
      <w:pPr>
        <w:tabs>
          <w:tab w:val="left" w:pos="5580"/>
        </w:tabs>
        <w:spacing w:line="360"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3.供应商为自然人的情形，可不提供本《授权委托书》。</w:t>
      </w:r>
    </w:p>
    <w:p w14:paraId="0221EE28">
      <w:pPr>
        <w:tabs>
          <w:tab w:val="left" w:pos="5580"/>
        </w:tabs>
        <w:spacing w:line="360" w:lineRule="auto"/>
        <w:jc w:val="left"/>
        <w:rPr>
          <w:rFonts w:hint="eastAsia" w:ascii="宋体" w:hAnsi="宋体" w:eastAsia="宋体" w:cs="宋体"/>
          <w:color w:val="auto"/>
          <w:sz w:val="30"/>
          <w:szCs w:val="30"/>
        </w:rPr>
      </w:pPr>
      <w:r>
        <w:rPr>
          <w:rFonts w:hint="eastAsia" w:ascii="宋体" w:hAnsi="宋体" w:eastAsia="宋体" w:cs="宋体"/>
          <w:color w:val="auto"/>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color w:val="auto"/>
          <w:sz w:val="24"/>
          <w:szCs w:val="20"/>
        </w:rPr>
        <w:t>双面</w:t>
      </w:r>
      <w:r>
        <w:rPr>
          <w:rFonts w:hint="eastAsia" w:ascii="宋体" w:hAnsi="宋体" w:eastAsia="宋体" w:cs="宋体"/>
          <w:color w:val="auto"/>
          <w:sz w:val="24"/>
          <w:szCs w:val="20"/>
        </w:rPr>
        <w:t>电子件。</w:t>
      </w:r>
      <w:r>
        <w:rPr>
          <w:rFonts w:hint="eastAsia" w:ascii="宋体" w:hAnsi="宋体" w:eastAsia="宋体" w:cs="宋体"/>
          <w:color w:val="auto"/>
          <w:sz w:val="30"/>
          <w:szCs w:val="30"/>
        </w:rPr>
        <w:br w:type="page"/>
      </w:r>
    </w:p>
    <w:p w14:paraId="54678506">
      <w:pPr>
        <w:spacing w:line="360" w:lineRule="exact"/>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法定代表人（单位负责人）身份证明</w:t>
      </w:r>
    </w:p>
    <w:p w14:paraId="01C1BEFB">
      <w:pPr>
        <w:kinsoku w:val="0"/>
        <w:overflowPunct w:val="0"/>
        <w:spacing w:line="200" w:lineRule="exact"/>
        <w:rPr>
          <w:rFonts w:hint="eastAsia" w:ascii="宋体" w:hAnsi="宋体" w:eastAsia="宋体" w:cs="宋体"/>
          <w:color w:val="auto"/>
          <w:sz w:val="20"/>
          <w:szCs w:val="20"/>
        </w:rPr>
      </w:pPr>
    </w:p>
    <w:p w14:paraId="1DE02EE4">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（采购人或采购代理机构）</w:t>
      </w:r>
    </w:p>
    <w:p w14:paraId="51D05413">
      <w:pPr>
        <w:pStyle w:val="17"/>
        <w:tabs>
          <w:tab w:val="left" w:pos="2412"/>
          <w:tab w:val="left" w:pos="3883"/>
          <w:tab w:val="left" w:pos="5352"/>
          <w:tab w:val="left" w:pos="6821"/>
        </w:tabs>
        <w:kinsoku w:val="0"/>
        <w:overflowPunct w:val="0"/>
        <w:spacing w:line="335" w:lineRule="exact"/>
        <w:ind w:firstLine="480" w:firstLineChars="200"/>
        <w:rPr>
          <w:rFonts w:hint="eastAsia" w:ascii="宋体" w:hAnsi="宋体" w:eastAsia="宋体" w:cs="宋体"/>
          <w:color w:val="auto"/>
        </w:rPr>
      </w:pPr>
      <w:r>
        <w:rPr>
          <w:rFonts w:hint="eastAsia" w:ascii="宋体" w:hAnsi="宋体" w:eastAsia="宋体" w:cs="宋体"/>
          <w:color w:val="auto"/>
        </w:rPr>
        <w:t>兹证明，</w:t>
      </w:r>
    </w:p>
    <w:p w14:paraId="304726CA">
      <w:pPr>
        <w:pStyle w:val="17"/>
        <w:tabs>
          <w:tab w:val="left" w:pos="1690"/>
          <w:tab w:val="left" w:pos="3400"/>
          <w:tab w:val="left" w:pos="5110"/>
          <w:tab w:val="left" w:pos="6821"/>
        </w:tabs>
        <w:kinsoku w:val="0"/>
        <w:overflowPunct w:val="0"/>
        <w:spacing w:line="335" w:lineRule="exact"/>
        <w:rPr>
          <w:rFonts w:hint="eastAsia" w:ascii="宋体" w:hAnsi="宋体" w:eastAsia="宋体" w:cs="宋体"/>
          <w:color w:val="auto"/>
        </w:rPr>
      </w:pPr>
      <w:r>
        <w:rPr>
          <w:rFonts w:hint="eastAsia" w:ascii="宋体" w:hAnsi="宋体" w:eastAsia="宋体" w:cs="宋体"/>
          <w:color w:val="auto"/>
        </w:rPr>
        <w:t>姓名：____性别：____年龄：____职务：____</w:t>
      </w:r>
    </w:p>
    <w:p w14:paraId="487AE800">
      <w:pPr>
        <w:pStyle w:val="17"/>
        <w:tabs>
          <w:tab w:val="left" w:pos="2412"/>
          <w:tab w:val="left" w:pos="3883"/>
          <w:tab w:val="left" w:pos="5352"/>
          <w:tab w:val="left" w:pos="6821"/>
        </w:tabs>
        <w:kinsoku w:val="0"/>
        <w:overflowPunct w:val="0"/>
        <w:spacing w:line="335" w:lineRule="exact"/>
        <w:rPr>
          <w:rFonts w:hint="eastAsia" w:ascii="宋体" w:hAnsi="宋体" w:eastAsia="宋体" w:cs="宋体"/>
          <w:color w:val="auto"/>
        </w:rPr>
      </w:pPr>
    </w:p>
    <w:p w14:paraId="60C3C65F">
      <w:pPr>
        <w:pStyle w:val="17"/>
        <w:tabs>
          <w:tab w:val="left" w:pos="2250"/>
          <w:tab w:val="left" w:pos="2412"/>
          <w:tab w:val="left" w:pos="3883"/>
          <w:tab w:val="left" w:pos="5352"/>
          <w:tab w:val="left" w:pos="6821"/>
          <w:tab w:val="clear" w:pos="567"/>
        </w:tabs>
        <w:kinsoku w:val="0"/>
        <w:overflowPunct w:val="0"/>
        <w:spacing w:line="335" w:lineRule="exact"/>
        <w:rPr>
          <w:rFonts w:hint="eastAsia" w:ascii="宋体" w:hAnsi="宋体" w:eastAsia="宋体" w:cs="宋体"/>
          <w:color w:val="auto"/>
        </w:rPr>
      </w:pPr>
      <w:r>
        <w:rPr>
          <w:rFonts w:hint="eastAsia" w:ascii="宋体" w:hAnsi="宋体" w:eastAsia="宋体" w:cs="宋体"/>
          <w:color w:val="auto"/>
        </w:rPr>
        <w:t>系</w:t>
      </w:r>
      <w:r>
        <w:rPr>
          <w:rFonts w:hint="eastAsia" w:ascii="宋体" w:hAnsi="宋体" w:eastAsia="宋体" w:cs="宋体"/>
          <w:color w:val="auto"/>
          <w:u w:val="single"/>
        </w:rPr>
        <w:tab/>
      </w:r>
      <w:r>
        <w:rPr>
          <w:rFonts w:hint="eastAsia" w:ascii="宋体" w:hAnsi="宋体" w:eastAsia="宋体" w:cs="宋体"/>
          <w:color w:val="auto"/>
        </w:rPr>
        <w:t>（投标人名称）的法定代表人（单位负责人）。</w:t>
      </w:r>
    </w:p>
    <w:p w14:paraId="45E1D138">
      <w:pPr>
        <w:pStyle w:val="17"/>
        <w:tabs>
          <w:tab w:val="left" w:pos="2412"/>
          <w:tab w:val="left" w:pos="3883"/>
          <w:tab w:val="left" w:pos="5352"/>
          <w:tab w:val="left" w:pos="6821"/>
        </w:tabs>
        <w:kinsoku w:val="0"/>
        <w:overflowPunct w:val="0"/>
        <w:spacing w:line="335" w:lineRule="exact"/>
        <w:rPr>
          <w:rFonts w:hint="eastAsia" w:ascii="宋体" w:hAnsi="宋体" w:eastAsia="宋体" w:cs="宋体"/>
          <w:color w:val="auto"/>
        </w:rPr>
      </w:pPr>
    </w:p>
    <w:p w14:paraId="06ADFD39">
      <w:pPr>
        <w:pStyle w:val="17"/>
        <w:kinsoku w:val="0"/>
        <w:overflowPunct w:val="0"/>
        <w:spacing w:line="583" w:lineRule="auto"/>
        <w:ind w:right="-46"/>
        <w:rPr>
          <w:rFonts w:hint="eastAsia" w:ascii="宋体" w:hAnsi="宋体" w:eastAsia="宋体" w:cs="宋体"/>
          <w:color w:val="auto"/>
          <w:szCs w:val="20"/>
        </w:rPr>
      </w:pPr>
      <w:r>
        <w:rPr>
          <w:rFonts w:hint="eastAsia" w:ascii="宋体" w:hAnsi="宋体" w:eastAsia="宋体" w:cs="宋体"/>
          <w:color w:val="auto"/>
          <w:szCs w:val="20"/>
        </w:rPr>
        <w:t>附：法定代表人（单位负责人）身份证或护照等身份证明文件电子件：</w:t>
      </w:r>
    </w:p>
    <w:p w14:paraId="701432BA">
      <w:pPr>
        <w:pStyle w:val="17"/>
        <w:kinsoku w:val="0"/>
        <w:overflowPunct w:val="0"/>
        <w:spacing w:line="583" w:lineRule="auto"/>
        <w:ind w:right="4305"/>
        <w:rPr>
          <w:rFonts w:hint="eastAsia" w:ascii="宋体" w:hAnsi="宋体" w:eastAsia="宋体" w:cs="宋体"/>
          <w:color w:val="auto"/>
          <w:spacing w:val="-3"/>
        </w:rPr>
      </w:pPr>
    </w:p>
    <w:p w14:paraId="0A0F0D62">
      <w:pPr>
        <w:autoSpaceDE w:val="0"/>
        <w:autoSpaceDN w:val="0"/>
        <w:adjustRightInd w:val="0"/>
        <w:snapToGrid w:val="0"/>
        <w:spacing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：________________</w:t>
      </w:r>
    </w:p>
    <w:p w14:paraId="05CD7CF1">
      <w:pPr>
        <w:pStyle w:val="17"/>
        <w:kinsoku w:val="0"/>
        <w:overflowPunct w:val="0"/>
        <w:spacing w:line="583" w:lineRule="auto"/>
        <w:ind w:right="95"/>
        <w:rPr>
          <w:rFonts w:hint="eastAsia" w:ascii="宋体" w:hAnsi="宋体" w:eastAsia="宋体" w:cs="宋体"/>
          <w:color w:val="auto"/>
          <w:spacing w:val="-3"/>
        </w:rPr>
      </w:pPr>
      <w:r>
        <w:rPr>
          <w:rFonts w:hint="eastAsia" w:ascii="宋体" w:hAnsi="宋体" w:eastAsia="宋体" w:cs="宋体"/>
          <w:color w:val="auto"/>
          <w:spacing w:val="-3"/>
        </w:rPr>
        <w:t>法定代表人（</w:t>
      </w:r>
      <w:r>
        <w:rPr>
          <w:rFonts w:hint="eastAsia" w:ascii="宋体" w:hAnsi="宋体" w:eastAsia="宋体" w:cs="宋体"/>
          <w:color w:val="auto"/>
        </w:rPr>
        <w:t>单位负责人</w:t>
      </w:r>
      <w:r>
        <w:rPr>
          <w:rFonts w:hint="eastAsia" w:ascii="宋体" w:hAnsi="宋体" w:eastAsia="宋体" w:cs="宋体"/>
          <w:color w:val="auto"/>
          <w:spacing w:val="-3"/>
        </w:rPr>
        <w:t>）（签字或签章）：_______</w:t>
      </w:r>
    </w:p>
    <w:p w14:paraId="29D0AC08">
      <w:pPr>
        <w:autoSpaceDE w:val="0"/>
        <w:autoSpaceDN w:val="0"/>
        <w:adjustRightInd w:val="0"/>
        <w:snapToGrid w:val="0"/>
        <w:spacing w:line="360" w:lineRule="auto"/>
        <w:rPr>
          <w:rFonts w:hint="eastAsia" w:ascii="宋体" w:hAnsi="宋体" w:eastAsia="宋体" w:cs="宋体"/>
          <w:color w:val="auto"/>
          <w:sz w:val="24"/>
        </w:rPr>
      </w:pPr>
    </w:p>
    <w:p w14:paraId="279AEFEA">
      <w:pPr>
        <w:autoSpaceDE w:val="0"/>
        <w:autoSpaceDN w:val="0"/>
        <w:adjustRightInd w:val="0"/>
        <w:snapToGrid w:val="0"/>
        <w:spacing w:line="360" w:lineRule="auto"/>
        <w:rPr>
          <w:rFonts w:hint="eastAsia" w:ascii="宋体" w:hAnsi="宋体" w:eastAsia="宋体" w:cs="宋体"/>
          <w:color w:val="auto"/>
          <w:sz w:val="24"/>
          <w:lang w:val="zh-CN"/>
        </w:rPr>
      </w:pPr>
      <w:r>
        <w:rPr>
          <w:rFonts w:hint="eastAsia" w:ascii="宋体" w:hAnsi="宋体" w:eastAsia="宋体" w:cs="宋体"/>
          <w:color w:val="auto"/>
          <w:sz w:val="24"/>
        </w:rPr>
        <w:t>日期：_____年______月______日</w:t>
      </w:r>
    </w:p>
    <w:p w14:paraId="16089D1C">
      <w:pPr>
        <w:widowControl/>
        <w:jc w:val="left"/>
        <w:rPr>
          <w:rFonts w:hint="eastAsia" w:ascii="宋体" w:hAnsi="宋体" w:eastAsia="宋体" w:cs="宋体"/>
          <w:i/>
          <w:color w:val="auto"/>
          <w:sz w:val="24"/>
          <w:szCs w:val="20"/>
          <w:u w:val="single"/>
        </w:rPr>
      </w:pPr>
    </w:p>
    <w:p w14:paraId="2DC8EBA6">
      <w:pPr>
        <w:widowControl/>
        <w:jc w:val="left"/>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1B192924">
      <w:pPr>
        <w:numPr>
          <w:ilvl w:val="0"/>
          <w:numId w:val="30"/>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t>开标一览表</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Fonts w:hint="eastAsia" w:ascii="宋体" w:hAnsi="宋体" w:eastAsia="宋体" w:cs="宋体"/>
          <w:color w:val="auto"/>
          <w:sz w:val="24"/>
          <w:szCs w:val="20"/>
        </w:rPr>
        <w:t>（实质性格式）</w:t>
      </w:r>
    </w:p>
    <w:p w14:paraId="55F97824">
      <w:pPr>
        <w:spacing w:line="360" w:lineRule="exact"/>
        <w:jc w:val="center"/>
        <w:rPr>
          <w:rFonts w:hint="eastAsia" w:ascii="宋体" w:hAnsi="宋体" w:eastAsia="宋体" w:cs="宋体"/>
          <w:b/>
          <w:color w:val="auto"/>
          <w:sz w:val="36"/>
          <w:szCs w:val="36"/>
        </w:rPr>
      </w:pPr>
      <w:bookmarkStart w:id="1037" w:name="_Toc164608827"/>
      <w:bookmarkStart w:id="1038" w:name="_Toc226337254"/>
      <w:bookmarkStart w:id="1039" w:name="_Toc226965831"/>
      <w:bookmarkStart w:id="1040" w:name="_Toc265228396"/>
      <w:bookmarkStart w:id="1041" w:name="_Toc195842923"/>
      <w:bookmarkStart w:id="1042" w:name="_Toc226309802"/>
      <w:bookmarkStart w:id="1043" w:name="_Toc226965748"/>
      <w:bookmarkStart w:id="1044" w:name="_Toc164608672"/>
      <w:bookmarkStart w:id="1045" w:name="_Toc264969248"/>
      <w:bookmarkStart w:id="1046" w:name="_Toc305158900"/>
      <w:bookmarkStart w:id="1047" w:name="_Toc305158826"/>
      <w:r>
        <w:rPr>
          <w:rFonts w:hint="eastAsia" w:ascii="宋体" w:hAnsi="宋体" w:eastAsia="宋体" w:cs="宋体"/>
          <w:b/>
          <w:color w:val="auto"/>
          <w:sz w:val="36"/>
          <w:szCs w:val="36"/>
        </w:rPr>
        <w:t>开标一览表</w:t>
      </w:r>
      <w:bookmarkEnd w:id="1037"/>
      <w:bookmarkEnd w:id="1038"/>
      <w:bookmarkEnd w:id="1039"/>
      <w:bookmarkEnd w:id="1040"/>
      <w:bookmarkEnd w:id="1041"/>
      <w:bookmarkEnd w:id="1042"/>
      <w:bookmarkEnd w:id="1043"/>
      <w:bookmarkEnd w:id="1044"/>
      <w:bookmarkEnd w:id="1045"/>
      <w:bookmarkEnd w:id="1046"/>
      <w:bookmarkEnd w:id="1047"/>
    </w:p>
    <w:p w14:paraId="6EFF8069">
      <w:pPr>
        <w:tabs>
          <w:tab w:val="left" w:pos="1800"/>
          <w:tab w:val="left" w:pos="5580"/>
        </w:tabs>
        <w:spacing w:line="360" w:lineRule="auto"/>
        <w:jc w:val="left"/>
        <w:rPr>
          <w:rFonts w:hint="eastAsia" w:ascii="宋体" w:hAnsi="宋体" w:eastAsia="宋体" w:cs="宋体"/>
          <w:i/>
          <w:color w:val="auto"/>
          <w:sz w:val="24"/>
        </w:rPr>
      </w:pPr>
    </w:p>
    <w:p w14:paraId="36E09F4E">
      <w:pPr>
        <w:tabs>
          <w:tab w:val="left" w:pos="1800"/>
          <w:tab w:val="left" w:pos="5580"/>
        </w:tabs>
        <w:spacing w:line="360" w:lineRule="auto"/>
        <w:ind w:firstLine="240" w:firstLineChars="100"/>
        <w:jc w:val="left"/>
        <w:rPr>
          <w:rFonts w:hint="eastAsia" w:ascii="宋体" w:hAnsi="宋体" w:eastAsia="宋体" w:cs="宋体"/>
          <w:color w:val="auto"/>
          <w:sz w:val="24"/>
          <w:u w:val="single"/>
        </w:rPr>
      </w:pPr>
      <w:r>
        <w:rPr>
          <w:rFonts w:hint="eastAsia" w:ascii="宋体" w:hAnsi="宋体" w:eastAsia="宋体" w:cs="宋体"/>
          <w:color w:val="auto"/>
          <w:sz w:val="24"/>
        </w:rPr>
        <w:t>项目编号：_____________________     项目名称：____________</w:t>
      </w:r>
    </w:p>
    <w:tbl>
      <w:tblPr>
        <w:tblStyle w:val="45"/>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5AED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9213C8C">
            <w:pPr>
              <w:tabs>
                <w:tab w:val="left" w:pos="5580"/>
              </w:tabs>
              <w:jc w:val="center"/>
              <w:rPr>
                <w:rFonts w:hint="eastAsia" w:ascii="宋体" w:hAnsi="宋体" w:eastAsia="宋体" w:cs="宋体"/>
                <w:b/>
                <w:color w:val="auto"/>
                <w:sz w:val="24"/>
              </w:rPr>
            </w:pPr>
            <w:r>
              <w:rPr>
                <w:rFonts w:hint="eastAsia" w:ascii="宋体" w:hAnsi="宋体" w:eastAsia="宋体" w:cs="宋体"/>
                <w:b/>
                <w:color w:val="auto"/>
                <w:sz w:val="24"/>
              </w:rPr>
              <w:t>包号</w:t>
            </w:r>
          </w:p>
        </w:tc>
        <w:tc>
          <w:tcPr>
            <w:tcW w:w="1502" w:type="pct"/>
            <w:vMerge w:val="restart"/>
            <w:vAlign w:val="center"/>
          </w:tcPr>
          <w:p w14:paraId="1F7A348E">
            <w:pPr>
              <w:tabs>
                <w:tab w:val="left" w:pos="5580"/>
              </w:tabs>
              <w:jc w:val="center"/>
              <w:rPr>
                <w:rFonts w:hint="eastAsia" w:ascii="宋体" w:hAnsi="宋体" w:eastAsia="宋体" w:cs="宋体"/>
                <w:b/>
                <w:color w:val="auto"/>
                <w:sz w:val="24"/>
              </w:rPr>
            </w:pPr>
            <w:r>
              <w:rPr>
                <w:rFonts w:hint="eastAsia" w:ascii="宋体" w:hAnsi="宋体" w:eastAsia="宋体" w:cs="宋体"/>
                <w:b/>
                <w:color w:val="auto"/>
                <w:sz w:val="24"/>
              </w:rPr>
              <w:t>投标人名称</w:t>
            </w:r>
          </w:p>
        </w:tc>
        <w:tc>
          <w:tcPr>
            <w:tcW w:w="1609" w:type="pct"/>
            <w:gridSpan w:val="2"/>
            <w:vAlign w:val="center"/>
          </w:tcPr>
          <w:p w14:paraId="5204B0BE">
            <w:pPr>
              <w:tabs>
                <w:tab w:val="left" w:pos="5580"/>
              </w:tabs>
              <w:jc w:val="center"/>
              <w:rPr>
                <w:rFonts w:hint="eastAsia" w:ascii="宋体" w:hAnsi="宋体" w:eastAsia="宋体" w:cs="宋体"/>
                <w:b/>
                <w:color w:val="auto"/>
                <w:sz w:val="24"/>
              </w:rPr>
            </w:pPr>
            <w:r>
              <w:rPr>
                <w:rFonts w:hint="eastAsia" w:ascii="宋体" w:hAnsi="宋体" w:eastAsia="宋体" w:cs="宋体"/>
                <w:b/>
                <w:color w:val="auto"/>
                <w:sz w:val="24"/>
              </w:rPr>
              <w:t>投标报价</w:t>
            </w:r>
          </w:p>
        </w:tc>
        <w:tc>
          <w:tcPr>
            <w:tcW w:w="1609" w:type="pct"/>
            <w:vMerge w:val="restart"/>
            <w:vAlign w:val="center"/>
          </w:tcPr>
          <w:p w14:paraId="57AF8524">
            <w:pPr>
              <w:tabs>
                <w:tab w:val="left" w:pos="5580"/>
              </w:tabs>
              <w:jc w:val="center"/>
              <w:rPr>
                <w:rFonts w:hint="eastAsia" w:ascii="宋体" w:hAnsi="宋体" w:eastAsia="宋体" w:cs="宋体"/>
                <w:b/>
                <w:color w:val="auto"/>
                <w:sz w:val="24"/>
              </w:rPr>
            </w:pPr>
            <w:r>
              <w:rPr>
                <w:rFonts w:hint="eastAsia" w:ascii="宋体" w:hAnsi="宋体" w:eastAsia="宋体" w:cs="宋体"/>
                <w:b/>
                <w:bCs/>
                <w:color w:val="auto"/>
                <w:sz w:val="24"/>
              </w:rPr>
              <w:t>合同履行期限</w:t>
            </w:r>
          </w:p>
        </w:tc>
      </w:tr>
      <w:tr w14:paraId="100C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245882B0">
            <w:pPr>
              <w:tabs>
                <w:tab w:val="left" w:pos="5580"/>
              </w:tabs>
              <w:jc w:val="center"/>
              <w:rPr>
                <w:rFonts w:hint="eastAsia" w:ascii="宋体" w:hAnsi="宋体" w:eastAsia="宋体" w:cs="宋体"/>
                <w:color w:val="auto"/>
                <w:sz w:val="24"/>
              </w:rPr>
            </w:pPr>
          </w:p>
        </w:tc>
        <w:tc>
          <w:tcPr>
            <w:tcW w:w="1502" w:type="pct"/>
            <w:vMerge w:val="continue"/>
            <w:vAlign w:val="center"/>
          </w:tcPr>
          <w:p w14:paraId="2D704FC9">
            <w:pPr>
              <w:tabs>
                <w:tab w:val="left" w:pos="5580"/>
              </w:tabs>
              <w:jc w:val="center"/>
              <w:rPr>
                <w:rFonts w:hint="eastAsia" w:ascii="宋体" w:hAnsi="宋体" w:eastAsia="宋体" w:cs="宋体"/>
                <w:color w:val="auto"/>
                <w:sz w:val="24"/>
              </w:rPr>
            </w:pPr>
          </w:p>
        </w:tc>
        <w:tc>
          <w:tcPr>
            <w:tcW w:w="805" w:type="pct"/>
            <w:vAlign w:val="center"/>
          </w:tcPr>
          <w:p w14:paraId="6F0DF7F9">
            <w:pPr>
              <w:tabs>
                <w:tab w:val="left" w:pos="5580"/>
              </w:tabs>
              <w:jc w:val="center"/>
              <w:rPr>
                <w:rFonts w:hint="eastAsia" w:ascii="宋体" w:hAnsi="宋体" w:eastAsia="宋体" w:cs="宋体"/>
                <w:b/>
                <w:color w:val="auto"/>
                <w:sz w:val="24"/>
              </w:rPr>
            </w:pPr>
            <w:r>
              <w:rPr>
                <w:rFonts w:hint="eastAsia" w:ascii="宋体" w:hAnsi="宋体" w:eastAsia="宋体" w:cs="宋体"/>
                <w:b/>
                <w:color w:val="auto"/>
                <w:sz w:val="24"/>
              </w:rPr>
              <w:t>大写</w:t>
            </w:r>
          </w:p>
        </w:tc>
        <w:tc>
          <w:tcPr>
            <w:tcW w:w="804" w:type="pct"/>
            <w:vAlign w:val="center"/>
          </w:tcPr>
          <w:p w14:paraId="018627F1">
            <w:pPr>
              <w:tabs>
                <w:tab w:val="left" w:pos="5580"/>
              </w:tabs>
              <w:jc w:val="center"/>
              <w:rPr>
                <w:rFonts w:hint="eastAsia" w:ascii="宋体" w:hAnsi="宋体" w:eastAsia="宋体" w:cs="宋体"/>
                <w:b/>
                <w:color w:val="auto"/>
                <w:sz w:val="24"/>
              </w:rPr>
            </w:pPr>
            <w:r>
              <w:rPr>
                <w:rFonts w:hint="eastAsia" w:ascii="宋体" w:hAnsi="宋体" w:eastAsia="宋体" w:cs="宋体"/>
                <w:b/>
                <w:color w:val="auto"/>
                <w:sz w:val="24"/>
              </w:rPr>
              <w:t>小写</w:t>
            </w:r>
          </w:p>
        </w:tc>
        <w:tc>
          <w:tcPr>
            <w:tcW w:w="1609" w:type="pct"/>
            <w:vMerge w:val="continue"/>
            <w:vAlign w:val="center"/>
          </w:tcPr>
          <w:p w14:paraId="1489460A">
            <w:pPr>
              <w:tabs>
                <w:tab w:val="left" w:pos="5580"/>
              </w:tabs>
              <w:jc w:val="center"/>
              <w:rPr>
                <w:rFonts w:hint="eastAsia" w:ascii="宋体" w:hAnsi="宋体" w:eastAsia="宋体" w:cs="宋体"/>
                <w:b/>
                <w:color w:val="auto"/>
                <w:sz w:val="24"/>
              </w:rPr>
            </w:pPr>
          </w:p>
        </w:tc>
      </w:tr>
      <w:tr w14:paraId="11AA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4D6B0E65">
            <w:pPr>
              <w:tabs>
                <w:tab w:val="left" w:pos="5580"/>
              </w:tabs>
              <w:jc w:val="center"/>
              <w:rPr>
                <w:rFonts w:hint="eastAsia" w:ascii="宋体" w:hAnsi="宋体" w:eastAsia="宋体" w:cs="宋体"/>
                <w:color w:val="auto"/>
                <w:sz w:val="24"/>
              </w:rPr>
            </w:pPr>
          </w:p>
        </w:tc>
        <w:tc>
          <w:tcPr>
            <w:tcW w:w="1502" w:type="pct"/>
            <w:vAlign w:val="center"/>
          </w:tcPr>
          <w:p w14:paraId="4CD78D6B">
            <w:pPr>
              <w:tabs>
                <w:tab w:val="left" w:pos="5580"/>
              </w:tabs>
              <w:jc w:val="center"/>
              <w:rPr>
                <w:rFonts w:hint="eastAsia" w:ascii="宋体" w:hAnsi="宋体" w:eastAsia="宋体" w:cs="宋体"/>
                <w:color w:val="auto"/>
                <w:sz w:val="24"/>
              </w:rPr>
            </w:pPr>
          </w:p>
        </w:tc>
        <w:tc>
          <w:tcPr>
            <w:tcW w:w="805" w:type="pct"/>
            <w:vAlign w:val="center"/>
          </w:tcPr>
          <w:p w14:paraId="185BF367">
            <w:pPr>
              <w:tabs>
                <w:tab w:val="left" w:pos="5580"/>
              </w:tabs>
              <w:jc w:val="center"/>
              <w:rPr>
                <w:rFonts w:hint="eastAsia" w:ascii="宋体" w:hAnsi="宋体" w:eastAsia="宋体" w:cs="宋体"/>
                <w:color w:val="auto"/>
                <w:sz w:val="24"/>
              </w:rPr>
            </w:pPr>
          </w:p>
        </w:tc>
        <w:tc>
          <w:tcPr>
            <w:tcW w:w="804" w:type="pct"/>
            <w:vAlign w:val="center"/>
          </w:tcPr>
          <w:p w14:paraId="11FA5F50">
            <w:pPr>
              <w:tabs>
                <w:tab w:val="left" w:pos="5580"/>
              </w:tabs>
              <w:jc w:val="center"/>
              <w:rPr>
                <w:rFonts w:hint="eastAsia" w:ascii="宋体" w:hAnsi="宋体" w:eastAsia="宋体" w:cs="宋体"/>
                <w:color w:val="auto"/>
                <w:sz w:val="24"/>
              </w:rPr>
            </w:pPr>
          </w:p>
        </w:tc>
        <w:tc>
          <w:tcPr>
            <w:tcW w:w="1609" w:type="pct"/>
            <w:vAlign w:val="center"/>
          </w:tcPr>
          <w:p w14:paraId="27EBFADB">
            <w:pPr>
              <w:tabs>
                <w:tab w:val="left" w:pos="5580"/>
              </w:tabs>
              <w:jc w:val="center"/>
              <w:rPr>
                <w:rFonts w:hint="eastAsia" w:ascii="宋体" w:hAnsi="宋体" w:eastAsia="宋体" w:cs="宋体"/>
                <w:color w:val="auto"/>
                <w:sz w:val="24"/>
              </w:rPr>
            </w:pPr>
          </w:p>
        </w:tc>
      </w:tr>
    </w:tbl>
    <w:p w14:paraId="25BD25B8">
      <w:pPr>
        <w:autoSpaceDE w:val="0"/>
        <w:autoSpaceDN w:val="0"/>
        <w:adjustRightInd w:val="0"/>
        <w:jc w:val="left"/>
        <w:rPr>
          <w:rFonts w:hint="eastAsia" w:ascii="宋体" w:hAnsi="宋体" w:eastAsia="宋体" w:cs="宋体"/>
          <w:color w:val="auto"/>
          <w:kern w:val="0"/>
          <w:sz w:val="24"/>
        </w:rPr>
      </w:pPr>
    </w:p>
    <w:p w14:paraId="4DBA5243">
      <w:pPr>
        <w:autoSpaceDE w:val="0"/>
        <w:autoSpaceDN w:val="0"/>
        <w:adjustRightInd w:val="0"/>
        <w:jc w:val="left"/>
        <w:rPr>
          <w:rFonts w:hint="eastAsia" w:ascii="宋体" w:hAnsi="宋体" w:eastAsia="宋体" w:cs="宋体"/>
          <w:color w:val="auto"/>
          <w:sz w:val="24"/>
          <w:szCs w:val="20"/>
        </w:rPr>
      </w:pPr>
      <w:r>
        <w:rPr>
          <w:rFonts w:hint="eastAsia" w:ascii="宋体" w:hAnsi="宋体" w:eastAsia="宋体" w:cs="宋体"/>
          <w:color w:val="auto"/>
          <w:kern w:val="0"/>
          <w:sz w:val="24"/>
        </w:rPr>
        <w:t>注：1</w:t>
      </w:r>
      <w:r>
        <w:rPr>
          <w:rFonts w:hint="eastAsia" w:ascii="宋体" w:hAnsi="宋体" w:eastAsia="宋体" w:cs="宋体"/>
          <w:color w:val="auto"/>
          <w:sz w:val="24"/>
          <w:szCs w:val="20"/>
        </w:rPr>
        <w:t>.此表中，每包的投标报价应和《投标分项报价表》中的总价相一致。</w:t>
      </w:r>
    </w:p>
    <w:p w14:paraId="6CDDCC22">
      <w:pPr>
        <w:tabs>
          <w:tab w:val="left" w:pos="5580"/>
        </w:tabs>
        <w:ind w:firstLine="480" w:firstLineChars="200"/>
        <w:rPr>
          <w:rFonts w:hint="eastAsia" w:ascii="宋体" w:hAnsi="宋体" w:eastAsia="宋体" w:cs="宋体"/>
          <w:color w:val="auto"/>
          <w:sz w:val="24"/>
          <w:szCs w:val="20"/>
        </w:rPr>
      </w:pPr>
      <w:r>
        <w:rPr>
          <w:rFonts w:hint="eastAsia" w:ascii="宋体" w:hAnsi="宋体" w:eastAsia="宋体" w:cs="宋体"/>
          <w:color w:val="auto"/>
          <w:sz w:val="24"/>
          <w:szCs w:val="20"/>
        </w:rPr>
        <w:t>2.本表必须按包分别填写。</w:t>
      </w:r>
    </w:p>
    <w:p w14:paraId="37675910">
      <w:pPr>
        <w:autoSpaceDE w:val="0"/>
        <w:autoSpaceDN w:val="0"/>
        <w:adjustRightInd w:val="0"/>
        <w:snapToGrid w:val="0"/>
        <w:spacing w:before="25" w:after="25" w:line="360" w:lineRule="auto"/>
        <w:rPr>
          <w:rFonts w:hint="eastAsia" w:ascii="宋体" w:hAnsi="宋体" w:eastAsia="宋体" w:cs="宋体"/>
          <w:color w:val="auto"/>
          <w:sz w:val="24"/>
          <w:lang w:val="zh-CN"/>
        </w:rPr>
      </w:pPr>
    </w:p>
    <w:p w14:paraId="45875613">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lang w:val="zh-CN"/>
        </w:rPr>
        <w:t xml:space="preserve">                         </w:t>
      </w:r>
    </w:p>
    <w:p w14:paraId="60DDE23C">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：____________</w:t>
      </w:r>
    </w:p>
    <w:p w14:paraId="0E851EDE">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szCs w:val="20"/>
        </w:rPr>
        <w:t xml:space="preserve">日期：_____年______月______日   </w:t>
      </w:r>
    </w:p>
    <w:p w14:paraId="570B5CCC">
      <w:pPr>
        <w:widowControl/>
        <w:jc w:val="left"/>
        <w:rPr>
          <w:rFonts w:hint="eastAsia" w:ascii="宋体" w:hAnsi="宋体" w:eastAsia="宋体" w:cs="宋体"/>
          <w:color w:val="auto"/>
          <w:sz w:val="24"/>
          <w:szCs w:val="20"/>
        </w:rPr>
      </w:pPr>
      <w:bookmarkStart w:id="1048" w:name="_Toc127151558"/>
      <w:bookmarkStart w:id="1049" w:name="_Toc305158827"/>
      <w:bookmarkStart w:id="1050" w:name="_Toc150480796"/>
      <w:bookmarkStart w:id="1051" w:name="_Toc226337255"/>
      <w:bookmarkStart w:id="1052" w:name="_Toc195842924"/>
      <w:bookmarkStart w:id="1053" w:name="_Toc305158901"/>
      <w:bookmarkStart w:id="1054" w:name="_Toc265228397"/>
      <w:bookmarkStart w:id="1055" w:name="_Toc226309803"/>
      <w:bookmarkStart w:id="1056" w:name="_Toc226965832"/>
      <w:bookmarkStart w:id="1057" w:name="_Toc150774763"/>
      <w:bookmarkStart w:id="1058" w:name="_Toc142311060"/>
      <w:bookmarkStart w:id="1059" w:name="_Toc264969249"/>
      <w:bookmarkStart w:id="1060" w:name="_Toc226965749"/>
    </w:p>
    <w:p w14:paraId="7438917C">
      <w:pPr>
        <w:widowControl/>
        <w:jc w:val="left"/>
        <w:rPr>
          <w:rFonts w:hint="eastAsia" w:ascii="宋体" w:hAnsi="宋体" w:eastAsia="宋体" w:cs="宋体"/>
          <w:color w:val="auto"/>
          <w:sz w:val="24"/>
          <w:szCs w:val="20"/>
        </w:rPr>
      </w:pPr>
    </w:p>
    <w:p w14:paraId="6A979B60">
      <w:pPr>
        <w:numPr>
          <w:ilvl w:val="0"/>
          <w:numId w:val="30"/>
        </w:numPr>
        <w:tabs>
          <w:tab w:val="left" w:pos="360"/>
        </w:tabs>
        <w:snapToGrid w:val="0"/>
        <w:spacing w:line="360" w:lineRule="auto"/>
        <w:outlineLvl w:val="1"/>
        <w:rPr>
          <w:rFonts w:hint="eastAsia" w:ascii="宋体" w:hAnsi="宋体" w:eastAsia="宋体" w:cs="宋体"/>
          <w:color w:val="auto"/>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664A2A7C">
      <w:pPr>
        <w:numPr>
          <w:ilvl w:val="0"/>
          <w:numId w:val="30"/>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t>投标分项报价表</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Fonts w:hint="eastAsia" w:ascii="宋体" w:hAnsi="宋体" w:eastAsia="宋体" w:cs="宋体"/>
          <w:color w:val="auto"/>
          <w:sz w:val="24"/>
          <w:szCs w:val="20"/>
        </w:rPr>
        <w:t>（实质性格式）</w:t>
      </w:r>
    </w:p>
    <w:p w14:paraId="5C52AD4F">
      <w:pPr>
        <w:spacing w:line="360" w:lineRule="exact"/>
        <w:jc w:val="center"/>
        <w:rPr>
          <w:rFonts w:hint="eastAsia" w:ascii="宋体" w:hAnsi="宋体" w:eastAsia="宋体" w:cs="宋体"/>
          <w:color w:val="auto"/>
          <w:sz w:val="36"/>
          <w:szCs w:val="36"/>
        </w:rPr>
      </w:pPr>
    </w:p>
    <w:p w14:paraId="4FE02861">
      <w:pPr>
        <w:spacing w:line="360" w:lineRule="exact"/>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投标分项报价表</w:t>
      </w:r>
    </w:p>
    <w:p w14:paraId="64D9881A">
      <w:pPr>
        <w:spacing w:line="260" w:lineRule="exact"/>
        <w:jc w:val="center"/>
        <w:rPr>
          <w:rFonts w:hint="eastAsia" w:ascii="宋体" w:hAnsi="宋体" w:eastAsia="宋体" w:cs="宋体"/>
          <w:color w:val="auto"/>
          <w:sz w:val="36"/>
          <w:szCs w:val="36"/>
        </w:rPr>
      </w:pPr>
    </w:p>
    <w:p w14:paraId="3F8CA756">
      <w:pPr>
        <w:tabs>
          <w:tab w:val="left" w:pos="1800"/>
          <w:tab w:val="left" w:pos="5580"/>
        </w:tabs>
        <w:rPr>
          <w:rFonts w:hint="eastAsia" w:ascii="宋体" w:hAnsi="宋体" w:eastAsia="宋体" w:cs="宋体"/>
          <w:color w:val="auto"/>
          <w:sz w:val="24"/>
        </w:rPr>
      </w:pPr>
      <w:r>
        <w:rPr>
          <w:rFonts w:hint="eastAsia" w:ascii="宋体" w:hAnsi="宋体" w:eastAsia="宋体" w:cs="宋体"/>
          <w:color w:val="auto"/>
          <w:sz w:val="24"/>
        </w:rPr>
        <w:t>项目编号/包号：___________ 项目名称：__________报价单位：人民币元</w:t>
      </w:r>
    </w:p>
    <w:tbl>
      <w:tblPr>
        <w:tblStyle w:val="45"/>
        <w:tblW w:w="51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273"/>
        <w:gridCol w:w="1047"/>
        <w:gridCol w:w="918"/>
        <w:gridCol w:w="1706"/>
        <w:gridCol w:w="1223"/>
        <w:gridCol w:w="1223"/>
        <w:gridCol w:w="1223"/>
        <w:gridCol w:w="1103"/>
        <w:gridCol w:w="1347"/>
        <w:gridCol w:w="1062"/>
        <w:gridCol w:w="815"/>
        <w:gridCol w:w="1020"/>
      </w:tblGrid>
      <w:tr w14:paraId="37EF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252" w:type="pct"/>
            <w:vAlign w:val="center"/>
          </w:tcPr>
          <w:p w14:paraId="4842879F">
            <w:pPr>
              <w:adjustRightInd w:val="0"/>
              <w:snapToGrid w:val="0"/>
              <w:jc w:val="center"/>
              <w:rPr>
                <w:b/>
                <w:color w:val="auto"/>
                <w:sz w:val="24"/>
              </w:rPr>
            </w:pPr>
            <w:r>
              <w:rPr>
                <w:b/>
                <w:color w:val="auto"/>
                <w:sz w:val="24"/>
              </w:rPr>
              <w:t>序号</w:t>
            </w:r>
          </w:p>
        </w:tc>
        <w:tc>
          <w:tcPr>
            <w:tcW w:w="433" w:type="pct"/>
            <w:vAlign w:val="center"/>
          </w:tcPr>
          <w:p w14:paraId="2CAE71D9">
            <w:pPr>
              <w:adjustRightInd w:val="0"/>
              <w:snapToGrid w:val="0"/>
              <w:jc w:val="center"/>
              <w:rPr>
                <w:b/>
                <w:color w:val="auto"/>
                <w:sz w:val="24"/>
              </w:rPr>
            </w:pPr>
            <w:r>
              <w:rPr>
                <w:b/>
                <w:color w:val="auto"/>
                <w:sz w:val="24"/>
              </w:rPr>
              <w:t>分项名称</w:t>
            </w:r>
          </w:p>
        </w:tc>
        <w:tc>
          <w:tcPr>
            <w:tcW w:w="356" w:type="pct"/>
            <w:vAlign w:val="center"/>
          </w:tcPr>
          <w:p w14:paraId="0180ACEA">
            <w:pPr>
              <w:adjustRightInd w:val="0"/>
              <w:snapToGrid w:val="0"/>
              <w:jc w:val="center"/>
              <w:rPr>
                <w:b/>
                <w:color w:val="auto"/>
                <w:sz w:val="24"/>
              </w:rPr>
            </w:pPr>
            <w:r>
              <w:rPr>
                <w:b/>
                <w:color w:val="auto"/>
                <w:sz w:val="24"/>
              </w:rPr>
              <w:t>制造商</w:t>
            </w:r>
          </w:p>
        </w:tc>
        <w:tc>
          <w:tcPr>
            <w:tcW w:w="312" w:type="pct"/>
            <w:vAlign w:val="center"/>
          </w:tcPr>
          <w:p w14:paraId="09AF4467">
            <w:pPr>
              <w:adjustRightInd w:val="0"/>
              <w:snapToGrid w:val="0"/>
              <w:jc w:val="center"/>
              <w:rPr>
                <w:b/>
                <w:color w:val="auto"/>
                <w:sz w:val="24"/>
              </w:rPr>
            </w:pPr>
            <w:r>
              <w:rPr>
                <w:b/>
                <w:color w:val="auto"/>
                <w:sz w:val="24"/>
              </w:rPr>
              <w:t>产地/国别</w:t>
            </w:r>
          </w:p>
        </w:tc>
        <w:tc>
          <w:tcPr>
            <w:tcW w:w="580" w:type="pct"/>
            <w:vAlign w:val="center"/>
          </w:tcPr>
          <w:p w14:paraId="62E00627">
            <w:pPr>
              <w:jc w:val="center"/>
              <w:rPr>
                <w:b/>
                <w:color w:val="auto"/>
                <w:sz w:val="24"/>
              </w:rPr>
            </w:pPr>
            <w:r>
              <w:rPr>
                <w:b/>
                <w:color w:val="auto"/>
                <w:sz w:val="24"/>
              </w:rPr>
              <w:t>制造商</w:t>
            </w:r>
          </w:p>
          <w:p w14:paraId="240B4574">
            <w:pPr>
              <w:adjustRightInd w:val="0"/>
              <w:snapToGrid w:val="0"/>
              <w:jc w:val="center"/>
              <w:rPr>
                <w:b/>
                <w:color w:val="auto"/>
                <w:sz w:val="24"/>
              </w:rPr>
            </w:pPr>
            <w:r>
              <w:rPr>
                <w:b/>
                <w:color w:val="auto"/>
                <w:sz w:val="24"/>
              </w:rPr>
              <w:t>统一</w:t>
            </w:r>
            <w:r>
              <w:rPr>
                <w:rFonts w:hint="eastAsia"/>
                <w:b/>
                <w:color w:val="auto"/>
                <w:sz w:val="24"/>
              </w:rPr>
              <w:t>社会</w:t>
            </w:r>
            <w:r>
              <w:rPr>
                <w:b/>
                <w:color w:val="auto"/>
                <w:sz w:val="24"/>
              </w:rPr>
              <w:t>信用代码</w:t>
            </w:r>
          </w:p>
        </w:tc>
        <w:tc>
          <w:tcPr>
            <w:tcW w:w="416" w:type="pct"/>
            <w:vAlign w:val="center"/>
          </w:tcPr>
          <w:p w14:paraId="1A9F140B">
            <w:pPr>
              <w:jc w:val="center"/>
              <w:rPr>
                <w:b/>
                <w:color w:val="auto"/>
                <w:sz w:val="24"/>
              </w:rPr>
            </w:pPr>
            <w:r>
              <w:rPr>
                <w:b/>
                <w:color w:val="auto"/>
                <w:sz w:val="24"/>
              </w:rPr>
              <w:t>制造商</w:t>
            </w:r>
          </w:p>
          <w:p w14:paraId="2BA8EF3A">
            <w:pPr>
              <w:adjustRightInd w:val="0"/>
              <w:snapToGrid w:val="0"/>
              <w:jc w:val="center"/>
              <w:rPr>
                <w:b/>
                <w:color w:val="auto"/>
                <w:sz w:val="24"/>
              </w:rPr>
            </w:pPr>
            <w:r>
              <w:rPr>
                <w:b/>
                <w:color w:val="auto"/>
                <w:sz w:val="24"/>
              </w:rPr>
              <w:t>规模</w:t>
            </w:r>
          </w:p>
        </w:tc>
        <w:tc>
          <w:tcPr>
            <w:tcW w:w="416" w:type="pct"/>
            <w:vAlign w:val="center"/>
          </w:tcPr>
          <w:p w14:paraId="11E577E8">
            <w:pPr>
              <w:adjustRightInd w:val="0"/>
              <w:snapToGrid w:val="0"/>
              <w:jc w:val="center"/>
              <w:rPr>
                <w:b/>
                <w:color w:val="auto"/>
                <w:sz w:val="24"/>
              </w:rPr>
            </w:pPr>
            <w:r>
              <w:rPr>
                <w:b/>
                <w:color w:val="auto"/>
                <w:sz w:val="24"/>
              </w:rPr>
              <w:t>制造商所属性别</w:t>
            </w:r>
          </w:p>
        </w:tc>
        <w:tc>
          <w:tcPr>
            <w:tcW w:w="416" w:type="pct"/>
            <w:vAlign w:val="center"/>
          </w:tcPr>
          <w:p w14:paraId="61F22C01">
            <w:pPr>
              <w:adjustRightInd w:val="0"/>
              <w:snapToGrid w:val="0"/>
              <w:jc w:val="center"/>
              <w:rPr>
                <w:b/>
                <w:color w:val="auto"/>
                <w:sz w:val="24"/>
              </w:rPr>
            </w:pPr>
            <w:r>
              <w:rPr>
                <w:b/>
                <w:color w:val="auto"/>
                <w:sz w:val="24"/>
              </w:rPr>
              <w:t>外商投资类型</w:t>
            </w:r>
          </w:p>
        </w:tc>
        <w:tc>
          <w:tcPr>
            <w:tcW w:w="375" w:type="pct"/>
            <w:vAlign w:val="center"/>
          </w:tcPr>
          <w:p w14:paraId="7CFDE0CC">
            <w:pPr>
              <w:adjustRightInd w:val="0"/>
              <w:snapToGrid w:val="0"/>
              <w:jc w:val="center"/>
              <w:rPr>
                <w:b/>
                <w:color w:val="auto"/>
                <w:sz w:val="24"/>
              </w:rPr>
            </w:pPr>
            <w:r>
              <w:rPr>
                <w:b/>
                <w:color w:val="auto"/>
                <w:sz w:val="24"/>
              </w:rPr>
              <w:t>品牌</w:t>
            </w:r>
          </w:p>
        </w:tc>
        <w:tc>
          <w:tcPr>
            <w:tcW w:w="458" w:type="pct"/>
            <w:vAlign w:val="center"/>
          </w:tcPr>
          <w:p w14:paraId="290D91C1">
            <w:pPr>
              <w:adjustRightInd w:val="0"/>
              <w:snapToGrid w:val="0"/>
              <w:jc w:val="center"/>
              <w:rPr>
                <w:b/>
                <w:color w:val="auto"/>
                <w:sz w:val="24"/>
              </w:rPr>
            </w:pPr>
            <w:r>
              <w:rPr>
                <w:b/>
                <w:color w:val="auto"/>
                <w:sz w:val="24"/>
              </w:rPr>
              <w:t>规格、型号</w:t>
            </w:r>
          </w:p>
        </w:tc>
        <w:tc>
          <w:tcPr>
            <w:tcW w:w="356" w:type="pct"/>
            <w:vAlign w:val="center"/>
          </w:tcPr>
          <w:p w14:paraId="4F5AFAE0">
            <w:pPr>
              <w:adjustRightInd w:val="0"/>
              <w:snapToGrid w:val="0"/>
              <w:jc w:val="center"/>
              <w:rPr>
                <w:b/>
                <w:color w:val="auto"/>
                <w:sz w:val="24"/>
              </w:rPr>
            </w:pPr>
            <w:r>
              <w:rPr>
                <w:b/>
                <w:color w:val="auto"/>
                <w:sz w:val="24"/>
              </w:rPr>
              <w:t>单价（元）</w:t>
            </w:r>
          </w:p>
        </w:tc>
        <w:tc>
          <w:tcPr>
            <w:tcW w:w="277" w:type="pct"/>
            <w:vAlign w:val="center"/>
          </w:tcPr>
          <w:p w14:paraId="2F55162A">
            <w:pPr>
              <w:adjustRightInd w:val="0"/>
              <w:snapToGrid w:val="0"/>
              <w:jc w:val="center"/>
              <w:rPr>
                <w:b/>
                <w:color w:val="auto"/>
                <w:sz w:val="24"/>
              </w:rPr>
            </w:pPr>
            <w:r>
              <w:rPr>
                <w:b/>
                <w:color w:val="auto"/>
                <w:sz w:val="24"/>
              </w:rPr>
              <w:t>数量</w:t>
            </w:r>
          </w:p>
        </w:tc>
        <w:tc>
          <w:tcPr>
            <w:tcW w:w="347" w:type="pct"/>
            <w:vAlign w:val="center"/>
          </w:tcPr>
          <w:p w14:paraId="64B06D61">
            <w:pPr>
              <w:adjustRightInd w:val="0"/>
              <w:snapToGrid w:val="0"/>
              <w:jc w:val="center"/>
              <w:rPr>
                <w:b/>
                <w:color w:val="auto"/>
                <w:sz w:val="24"/>
              </w:rPr>
            </w:pPr>
            <w:r>
              <w:rPr>
                <w:b/>
                <w:color w:val="auto"/>
                <w:sz w:val="24"/>
              </w:rPr>
              <w:t>合价（元）</w:t>
            </w:r>
          </w:p>
        </w:tc>
      </w:tr>
      <w:tr w14:paraId="0E40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52" w:type="pct"/>
            <w:vAlign w:val="center"/>
          </w:tcPr>
          <w:p w14:paraId="7AA00132">
            <w:pPr>
              <w:adjustRightInd w:val="0"/>
              <w:snapToGrid w:val="0"/>
              <w:jc w:val="left"/>
              <w:rPr>
                <w:rFonts w:hint="eastAsia" w:ascii="宋体" w:hAnsi="宋体" w:eastAsia="宋体" w:cs="宋体"/>
                <w:color w:val="auto"/>
                <w:sz w:val="24"/>
              </w:rPr>
            </w:pPr>
            <w:r>
              <w:rPr>
                <w:rFonts w:hint="eastAsia" w:ascii="宋体" w:hAnsi="宋体" w:eastAsia="宋体" w:cs="宋体"/>
                <w:color w:val="auto"/>
                <w:sz w:val="24"/>
              </w:rPr>
              <w:t>1</w:t>
            </w:r>
          </w:p>
        </w:tc>
        <w:tc>
          <w:tcPr>
            <w:tcW w:w="433" w:type="pct"/>
            <w:vAlign w:val="center"/>
          </w:tcPr>
          <w:p w14:paraId="1C7BF822">
            <w:pPr>
              <w:adjustRightInd w:val="0"/>
              <w:snapToGrid w:val="0"/>
              <w:jc w:val="left"/>
              <w:rPr>
                <w:color w:val="auto"/>
                <w:sz w:val="24"/>
              </w:rPr>
            </w:pPr>
          </w:p>
        </w:tc>
        <w:tc>
          <w:tcPr>
            <w:tcW w:w="356" w:type="pct"/>
            <w:vAlign w:val="center"/>
          </w:tcPr>
          <w:p w14:paraId="6DB0055B">
            <w:pPr>
              <w:adjustRightInd w:val="0"/>
              <w:snapToGrid w:val="0"/>
              <w:jc w:val="left"/>
              <w:rPr>
                <w:color w:val="auto"/>
                <w:sz w:val="24"/>
              </w:rPr>
            </w:pPr>
          </w:p>
        </w:tc>
        <w:tc>
          <w:tcPr>
            <w:tcW w:w="312" w:type="pct"/>
          </w:tcPr>
          <w:p w14:paraId="0A402791">
            <w:pPr>
              <w:adjustRightInd w:val="0"/>
              <w:snapToGrid w:val="0"/>
              <w:jc w:val="left"/>
              <w:rPr>
                <w:color w:val="auto"/>
                <w:sz w:val="24"/>
              </w:rPr>
            </w:pPr>
          </w:p>
        </w:tc>
        <w:tc>
          <w:tcPr>
            <w:tcW w:w="580" w:type="pct"/>
            <w:vAlign w:val="center"/>
          </w:tcPr>
          <w:p w14:paraId="1280CA33">
            <w:pPr>
              <w:adjustRightInd w:val="0"/>
              <w:snapToGrid w:val="0"/>
              <w:jc w:val="center"/>
              <w:rPr>
                <w:color w:val="auto"/>
                <w:sz w:val="24"/>
              </w:rPr>
            </w:pPr>
          </w:p>
        </w:tc>
        <w:tc>
          <w:tcPr>
            <w:tcW w:w="416" w:type="pct"/>
            <w:vAlign w:val="center"/>
          </w:tcPr>
          <w:p w14:paraId="53C4DF89">
            <w:pPr>
              <w:adjustRightInd w:val="0"/>
              <w:snapToGrid w:val="0"/>
              <w:jc w:val="center"/>
              <w:rPr>
                <w:color w:val="auto"/>
                <w:sz w:val="24"/>
              </w:rPr>
            </w:pPr>
          </w:p>
        </w:tc>
        <w:tc>
          <w:tcPr>
            <w:tcW w:w="416" w:type="pct"/>
          </w:tcPr>
          <w:p w14:paraId="447B824C">
            <w:pPr>
              <w:adjustRightInd w:val="0"/>
              <w:snapToGrid w:val="0"/>
              <w:jc w:val="center"/>
              <w:rPr>
                <w:color w:val="auto"/>
                <w:sz w:val="24"/>
              </w:rPr>
            </w:pPr>
          </w:p>
        </w:tc>
        <w:tc>
          <w:tcPr>
            <w:tcW w:w="416" w:type="pct"/>
          </w:tcPr>
          <w:p w14:paraId="40F7E70C">
            <w:pPr>
              <w:adjustRightInd w:val="0"/>
              <w:snapToGrid w:val="0"/>
              <w:jc w:val="center"/>
              <w:rPr>
                <w:color w:val="auto"/>
                <w:sz w:val="24"/>
              </w:rPr>
            </w:pPr>
          </w:p>
        </w:tc>
        <w:tc>
          <w:tcPr>
            <w:tcW w:w="375" w:type="pct"/>
            <w:vAlign w:val="center"/>
          </w:tcPr>
          <w:p w14:paraId="2383A53B">
            <w:pPr>
              <w:adjustRightInd w:val="0"/>
              <w:snapToGrid w:val="0"/>
              <w:jc w:val="center"/>
              <w:rPr>
                <w:color w:val="auto"/>
                <w:sz w:val="24"/>
              </w:rPr>
            </w:pPr>
          </w:p>
        </w:tc>
        <w:tc>
          <w:tcPr>
            <w:tcW w:w="458" w:type="pct"/>
            <w:vAlign w:val="center"/>
          </w:tcPr>
          <w:p w14:paraId="19793E00">
            <w:pPr>
              <w:adjustRightInd w:val="0"/>
              <w:snapToGrid w:val="0"/>
              <w:jc w:val="left"/>
              <w:rPr>
                <w:color w:val="auto"/>
                <w:sz w:val="24"/>
              </w:rPr>
            </w:pPr>
          </w:p>
        </w:tc>
        <w:tc>
          <w:tcPr>
            <w:tcW w:w="356" w:type="pct"/>
            <w:vAlign w:val="center"/>
          </w:tcPr>
          <w:p w14:paraId="41DEBC2D">
            <w:pPr>
              <w:adjustRightInd w:val="0"/>
              <w:snapToGrid w:val="0"/>
              <w:jc w:val="left"/>
              <w:rPr>
                <w:color w:val="auto"/>
                <w:sz w:val="24"/>
              </w:rPr>
            </w:pPr>
          </w:p>
        </w:tc>
        <w:tc>
          <w:tcPr>
            <w:tcW w:w="277" w:type="pct"/>
            <w:vAlign w:val="center"/>
          </w:tcPr>
          <w:p w14:paraId="59DDFB0D">
            <w:pPr>
              <w:adjustRightInd w:val="0"/>
              <w:snapToGrid w:val="0"/>
              <w:jc w:val="left"/>
              <w:rPr>
                <w:color w:val="auto"/>
                <w:sz w:val="24"/>
              </w:rPr>
            </w:pPr>
          </w:p>
        </w:tc>
        <w:tc>
          <w:tcPr>
            <w:tcW w:w="347" w:type="pct"/>
            <w:vAlign w:val="center"/>
          </w:tcPr>
          <w:p w14:paraId="172B3795">
            <w:pPr>
              <w:adjustRightInd w:val="0"/>
              <w:snapToGrid w:val="0"/>
              <w:jc w:val="left"/>
              <w:rPr>
                <w:color w:val="auto"/>
                <w:sz w:val="24"/>
              </w:rPr>
            </w:pPr>
          </w:p>
        </w:tc>
      </w:tr>
      <w:tr w14:paraId="790B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52" w:type="pct"/>
            <w:vAlign w:val="center"/>
          </w:tcPr>
          <w:p w14:paraId="429D7487">
            <w:pPr>
              <w:adjustRightInd w:val="0"/>
              <w:snapToGrid w:val="0"/>
              <w:jc w:val="left"/>
              <w:rPr>
                <w:rFonts w:hint="eastAsia" w:ascii="宋体" w:hAnsi="宋体" w:eastAsia="宋体" w:cs="宋体"/>
                <w:color w:val="auto"/>
                <w:sz w:val="24"/>
              </w:rPr>
            </w:pPr>
            <w:r>
              <w:rPr>
                <w:rFonts w:hint="eastAsia" w:ascii="宋体" w:hAnsi="宋体" w:eastAsia="宋体" w:cs="宋体"/>
                <w:color w:val="auto"/>
                <w:sz w:val="24"/>
              </w:rPr>
              <w:t>2</w:t>
            </w:r>
          </w:p>
        </w:tc>
        <w:tc>
          <w:tcPr>
            <w:tcW w:w="433" w:type="pct"/>
            <w:vAlign w:val="center"/>
          </w:tcPr>
          <w:p w14:paraId="2F932F10">
            <w:pPr>
              <w:adjustRightInd w:val="0"/>
              <w:snapToGrid w:val="0"/>
              <w:jc w:val="left"/>
              <w:rPr>
                <w:color w:val="auto"/>
                <w:sz w:val="24"/>
              </w:rPr>
            </w:pPr>
          </w:p>
        </w:tc>
        <w:tc>
          <w:tcPr>
            <w:tcW w:w="356" w:type="pct"/>
            <w:vAlign w:val="center"/>
          </w:tcPr>
          <w:p w14:paraId="6AE38049">
            <w:pPr>
              <w:adjustRightInd w:val="0"/>
              <w:snapToGrid w:val="0"/>
              <w:jc w:val="left"/>
              <w:rPr>
                <w:color w:val="auto"/>
                <w:sz w:val="24"/>
              </w:rPr>
            </w:pPr>
          </w:p>
        </w:tc>
        <w:tc>
          <w:tcPr>
            <w:tcW w:w="312" w:type="pct"/>
          </w:tcPr>
          <w:p w14:paraId="7CEB84CD">
            <w:pPr>
              <w:adjustRightInd w:val="0"/>
              <w:snapToGrid w:val="0"/>
              <w:jc w:val="left"/>
              <w:rPr>
                <w:color w:val="auto"/>
                <w:sz w:val="24"/>
              </w:rPr>
            </w:pPr>
          </w:p>
        </w:tc>
        <w:tc>
          <w:tcPr>
            <w:tcW w:w="580" w:type="pct"/>
            <w:vAlign w:val="center"/>
          </w:tcPr>
          <w:p w14:paraId="36175C45">
            <w:pPr>
              <w:adjustRightInd w:val="0"/>
              <w:snapToGrid w:val="0"/>
              <w:jc w:val="center"/>
              <w:rPr>
                <w:color w:val="auto"/>
                <w:sz w:val="24"/>
              </w:rPr>
            </w:pPr>
          </w:p>
        </w:tc>
        <w:tc>
          <w:tcPr>
            <w:tcW w:w="416" w:type="pct"/>
            <w:vAlign w:val="center"/>
          </w:tcPr>
          <w:p w14:paraId="27605F01">
            <w:pPr>
              <w:adjustRightInd w:val="0"/>
              <w:snapToGrid w:val="0"/>
              <w:jc w:val="center"/>
              <w:rPr>
                <w:color w:val="auto"/>
                <w:sz w:val="24"/>
              </w:rPr>
            </w:pPr>
          </w:p>
        </w:tc>
        <w:tc>
          <w:tcPr>
            <w:tcW w:w="416" w:type="pct"/>
          </w:tcPr>
          <w:p w14:paraId="028BE2D3">
            <w:pPr>
              <w:adjustRightInd w:val="0"/>
              <w:snapToGrid w:val="0"/>
              <w:jc w:val="center"/>
              <w:rPr>
                <w:color w:val="auto"/>
                <w:sz w:val="24"/>
              </w:rPr>
            </w:pPr>
          </w:p>
        </w:tc>
        <w:tc>
          <w:tcPr>
            <w:tcW w:w="416" w:type="pct"/>
          </w:tcPr>
          <w:p w14:paraId="37BCF6E0">
            <w:pPr>
              <w:adjustRightInd w:val="0"/>
              <w:snapToGrid w:val="0"/>
              <w:jc w:val="center"/>
              <w:rPr>
                <w:color w:val="auto"/>
                <w:sz w:val="24"/>
              </w:rPr>
            </w:pPr>
          </w:p>
        </w:tc>
        <w:tc>
          <w:tcPr>
            <w:tcW w:w="375" w:type="pct"/>
            <w:vAlign w:val="center"/>
          </w:tcPr>
          <w:p w14:paraId="54410E68">
            <w:pPr>
              <w:adjustRightInd w:val="0"/>
              <w:snapToGrid w:val="0"/>
              <w:jc w:val="center"/>
              <w:rPr>
                <w:color w:val="auto"/>
                <w:sz w:val="24"/>
              </w:rPr>
            </w:pPr>
          </w:p>
        </w:tc>
        <w:tc>
          <w:tcPr>
            <w:tcW w:w="458" w:type="pct"/>
            <w:vAlign w:val="center"/>
          </w:tcPr>
          <w:p w14:paraId="5370ED92">
            <w:pPr>
              <w:adjustRightInd w:val="0"/>
              <w:snapToGrid w:val="0"/>
              <w:jc w:val="left"/>
              <w:rPr>
                <w:color w:val="auto"/>
                <w:sz w:val="24"/>
              </w:rPr>
            </w:pPr>
          </w:p>
        </w:tc>
        <w:tc>
          <w:tcPr>
            <w:tcW w:w="356" w:type="pct"/>
            <w:vAlign w:val="center"/>
          </w:tcPr>
          <w:p w14:paraId="20386357">
            <w:pPr>
              <w:adjustRightInd w:val="0"/>
              <w:snapToGrid w:val="0"/>
              <w:jc w:val="left"/>
              <w:rPr>
                <w:color w:val="auto"/>
                <w:sz w:val="24"/>
              </w:rPr>
            </w:pPr>
          </w:p>
        </w:tc>
        <w:tc>
          <w:tcPr>
            <w:tcW w:w="277" w:type="pct"/>
            <w:vAlign w:val="center"/>
          </w:tcPr>
          <w:p w14:paraId="4681AB24">
            <w:pPr>
              <w:adjustRightInd w:val="0"/>
              <w:snapToGrid w:val="0"/>
              <w:jc w:val="left"/>
              <w:rPr>
                <w:color w:val="auto"/>
                <w:sz w:val="24"/>
              </w:rPr>
            </w:pPr>
          </w:p>
        </w:tc>
        <w:tc>
          <w:tcPr>
            <w:tcW w:w="347" w:type="pct"/>
            <w:vAlign w:val="center"/>
          </w:tcPr>
          <w:p w14:paraId="56EBE68B">
            <w:pPr>
              <w:adjustRightInd w:val="0"/>
              <w:snapToGrid w:val="0"/>
              <w:jc w:val="left"/>
              <w:rPr>
                <w:color w:val="auto"/>
                <w:sz w:val="24"/>
              </w:rPr>
            </w:pPr>
          </w:p>
        </w:tc>
      </w:tr>
      <w:tr w14:paraId="51F9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52" w:type="pct"/>
            <w:vAlign w:val="center"/>
          </w:tcPr>
          <w:p w14:paraId="519D53CD">
            <w:pPr>
              <w:adjustRightInd w:val="0"/>
              <w:snapToGrid w:val="0"/>
              <w:jc w:val="left"/>
              <w:rPr>
                <w:rFonts w:hint="eastAsia" w:ascii="宋体" w:hAnsi="宋体" w:eastAsia="宋体" w:cs="宋体"/>
                <w:color w:val="auto"/>
                <w:sz w:val="24"/>
              </w:rPr>
            </w:pPr>
            <w:r>
              <w:rPr>
                <w:rFonts w:hint="eastAsia" w:ascii="宋体" w:hAnsi="宋体" w:eastAsia="宋体" w:cs="宋体"/>
                <w:color w:val="auto"/>
                <w:sz w:val="24"/>
              </w:rPr>
              <w:t>3</w:t>
            </w:r>
          </w:p>
        </w:tc>
        <w:tc>
          <w:tcPr>
            <w:tcW w:w="433" w:type="pct"/>
            <w:vAlign w:val="center"/>
          </w:tcPr>
          <w:p w14:paraId="511EA7AC">
            <w:pPr>
              <w:adjustRightInd w:val="0"/>
              <w:snapToGrid w:val="0"/>
              <w:jc w:val="left"/>
              <w:rPr>
                <w:color w:val="auto"/>
                <w:sz w:val="24"/>
              </w:rPr>
            </w:pPr>
          </w:p>
        </w:tc>
        <w:tc>
          <w:tcPr>
            <w:tcW w:w="356" w:type="pct"/>
            <w:vAlign w:val="center"/>
          </w:tcPr>
          <w:p w14:paraId="01B8B02F">
            <w:pPr>
              <w:adjustRightInd w:val="0"/>
              <w:snapToGrid w:val="0"/>
              <w:jc w:val="left"/>
              <w:rPr>
                <w:color w:val="auto"/>
                <w:sz w:val="24"/>
              </w:rPr>
            </w:pPr>
          </w:p>
        </w:tc>
        <w:tc>
          <w:tcPr>
            <w:tcW w:w="312" w:type="pct"/>
          </w:tcPr>
          <w:p w14:paraId="7C55D222">
            <w:pPr>
              <w:adjustRightInd w:val="0"/>
              <w:snapToGrid w:val="0"/>
              <w:jc w:val="left"/>
              <w:rPr>
                <w:color w:val="auto"/>
                <w:sz w:val="24"/>
              </w:rPr>
            </w:pPr>
          </w:p>
        </w:tc>
        <w:tc>
          <w:tcPr>
            <w:tcW w:w="580" w:type="pct"/>
            <w:vAlign w:val="center"/>
          </w:tcPr>
          <w:p w14:paraId="440FAFDD">
            <w:pPr>
              <w:adjustRightInd w:val="0"/>
              <w:snapToGrid w:val="0"/>
              <w:jc w:val="center"/>
              <w:rPr>
                <w:color w:val="auto"/>
                <w:sz w:val="24"/>
              </w:rPr>
            </w:pPr>
          </w:p>
        </w:tc>
        <w:tc>
          <w:tcPr>
            <w:tcW w:w="416" w:type="pct"/>
            <w:vAlign w:val="center"/>
          </w:tcPr>
          <w:p w14:paraId="52BDC5CF">
            <w:pPr>
              <w:adjustRightInd w:val="0"/>
              <w:snapToGrid w:val="0"/>
              <w:jc w:val="center"/>
              <w:rPr>
                <w:color w:val="auto"/>
                <w:sz w:val="24"/>
              </w:rPr>
            </w:pPr>
          </w:p>
        </w:tc>
        <w:tc>
          <w:tcPr>
            <w:tcW w:w="416" w:type="pct"/>
          </w:tcPr>
          <w:p w14:paraId="1AC062BC">
            <w:pPr>
              <w:adjustRightInd w:val="0"/>
              <w:snapToGrid w:val="0"/>
              <w:jc w:val="center"/>
              <w:rPr>
                <w:color w:val="auto"/>
                <w:sz w:val="24"/>
              </w:rPr>
            </w:pPr>
          </w:p>
        </w:tc>
        <w:tc>
          <w:tcPr>
            <w:tcW w:w="416" w:type="pct"/>
          </w:tcPr>
          <w:p w14:paraId="61AC8C28">
            <w:pPr>
              <w:adjustRightInd w:val="0"/>
              <w:snapToGrid w:val="0"/>
              <w:jc w:val="center"/>
              <w:rPr>
                <w:color w:val="auto"/>
                <w:sz w:val="24"/>
              </w:rPr>
            </w:pPr>
          </w:p>
        </w:tc>
        <w:tc>
          <w:tcPr>
            <w:tcW w:w="375" w:type="pct"/>
            <w:vAlign w:val="center"/>
          </w:tcPr>
          <w:p w14:paraId="183D679D">
            <w:pPr>
              <w:adjustRightInd w:val="0"/>
              <w:snapToGrid w:val="0"/>
              <w:jc w:val="center"/>
              <w:rPr>
                <w:color w:val="auto"/>
                <w:sz w:val="24"/>
              </w:rPr>
            </w:pPr>
          </w:p>
        </w:tc>
        <w:tc>
          <w:tcPr>
            <w:tcW w:w="458" w:type="pct"/>
            <w:vAlign w:val="center"/>
          </w:tcPr>
          <w:p w14:paraId="65C8C284">
            <w:pPr>
              <w:adjustRightInd w:val="0"/>
              <w:snapToGrid w:val="0"/>
              <w:jc w:val="left"/>
              <w:rPr>
                <w:color w:val="auto"/>
                <w:sz w:val="24"/>
              </w:rPr>
            </w:pPr>
          </w:p>
        </w:tc>
        <w:tc>
          <w:tcPr>
            <w:tcW w:w="356" w:type="pct"/>
            <w:vAlign w:val="center"/>
          </w:tcPr>
          <w:p w14:paraId="14BEFE54">
            <w:pPr>
              <w:adjustRightInd w:val="0"/>
              <w:snapToGrid w:val="0"/>
              <w:jc w:val="left"/>
              <w:rPr>
                <w:color w:val="auto"/>
                <w:sz w:val="24"/>
              </w:rPr>
            </w:pPr>
          </w:p>
        </w:tc>
        <w:tc>
          <w:tcPr>
            <w:tcW w:w="277" w:type="pct"/>
            <w:vAlign w:val="center"/>
          </w:tcPr>
          <w:p w14:paraId="55B952C7">
            <w:pPr>
              <w:adjustRightInd w:val="0"/>
              <w:snapToGrid w:val="0"/>
              <w:jc w:val="left"/>
              <w:rPr>
                <w:color w:val="auto"/>
                <w:sz w:val="24"/>
              </w:rPr>
            </w:pPr>
          </w:p>
        </w:tc>
        <w:tc>
          <w:tcPr>
            <w:tcW w:w="347" w:type="pct"/>
            <w:vAlign w:val="center"/>
          </w:tcPr>
          <w:p w14:paraId="79B1D2B0">
            <w:pPr>
              <w:adjustRightInd w:val="0"/>
              <w:snapToGrid w:val="0"/>
              <w:jc w:val="left"/>
              <w:rPr>
                <w:color w:val="auto"/>
                <w:sz w:val="24"/>
              </w:rPr>
            </w:pPr>
          </w:p>
        </w:tc>
      </w:tr>
      <w:tr w14:paraId="5D1A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52" w:type="pct"/>
            <w:vAlign w:val="center"/>
          </w:tcPr>
          <w:p w14:paraId="33CF9F72">
            <w:pPr>
              <w:adjustRightInd w:val="0"/>
              <w:snapToGrid w:val="0"/>
              <w:jc w:val="left"/>
              <w:rPr>
                <w:rFonts w:hint="eastAsia" w:ascii="宋体" w:hAnsi="宋体" w:eastAsia="宋体" w:cs="宋体"/>
                <w:color w:val="auto"/>
                <w:sz w:val="24"/>
              </w:rPr>
            </w:pPr>
            <w:r>
              <w:rPr>
                <w:rFonts w:hint="eastAsia" w:ascii="宋体" w:hAnsi="宋体" w:eastAsia="宋体" w:cs="宋体"/>
                <w:color w:val="auto"/>
                <w:sz w:val="24"/>
              </w:rPr>
              <w:t>4</w:t>
            </w:r>
          </w:p>
        </w:tc>
        <w:tc>
          <w:tcPr>
            <w:tcW w:w="433" w:type="pct"/>
            <w:vAlign w:val="center"/>
          </w:tcPr>
          <w:p w14:paraId="49858E41">
            <w:pPr>
              <w:adjustRightInd w:val="0"/>
              <w:snapToGrid w:val="0"/>
              <w:jc w:val="left"/>
              <w:rPr>
                <w:color w:val="auto"/>
                <w:sz w:val="24"/>
              </w:rPr>
            </w:pPr>
          </w:p>
        </w:tc>
        <w:tc>
          <w:tcPr>
            <w:tcW w:w="356" w:type="pct"/>
            <w:vAlign w:val="center"/>
          </w:tcPr>
          <w:p w14:paraId="016F690D">
            <w:pPr>
              <w:adjustRightInd w:val="0"/>
              <w:snapToGrid w:val="0"/>
              <w:jc w:val="left"/>
              <w:rPr>
                <w:color w:val="auto"/>
                <w:sz w:val="24"/>
              </w:rPr>
            </w:pPr>
          </w:p>
        </w:tc>
        <w:tc>
          <w:tcPr>
            <w:tcW w:w="312" w:type="pct"/>
          </w:tcPr>
          <w:p w14:paraId="7A32E439">
            <w:pPr>
              <w:adjustRightInd w:val="0"/>
              <w:snapToGrid w:val="0"/>
              <w:jc w:val="left"/>
              <w:rPr>
                <w:color w:val="auto"/>
                <w:sz w:val="24"/>
              </w:rPr>
            </w:pPr>
          </w:p>
        </w:tc>
        <w:tc>
          <w:tcPr>
            <w:tcW w:w="580" w:type="pct"/>
            <w:vAlign w:val="center"/>
          </w:tcPr>
          <w:p w14:paraId="7E9A0C98">
            <w:pPr>
              <w:adjustRightInd w:val="0"/>
              <w:snapToGrid w:val="0"/>
              <w:jc w:val="center"/>
              <w:rPr>
                <w:color w:val="auto"/>
                <w:sz w:val="24"/>
              </w:rPr>
            </w:pPr>
          </w:p>
        </w:tc>
        <w:tc>
          <w:tcPr>
            <w:tcW w:w="416" w:type="pct"/>
            <w:vAlign w:val="center"/>
          </w:tcPr>
          <w:p w14:paraId="1DC6B0A6">
            <w:pPr>
              <w:adjustRightInd w:val="0"/>
              <w:snapToGrid w:val="0"/>
              <w:jc w:val="center"/>
              <w:rPr>
                <w:color w:val="auto"/>
                <w:sz w:val="24"/>
              </w:rPr>
            </w:pPr>
          </w:p>
        </w:tc>
        <w:tc>
          <w:tcPr>
            <w:tcW w:w="416" w:type="pct"/>
          </w:tcPr>
          <w:p w14:paraId="2F3A1B4D">
            <w:pPr>
              <w:adjustRightInd w:val="0"/>
              <w:snapToGrid w:val="0"/>
              <w:jc w:val="center"/>
              <w:rPr>
                <w:color w:val="auto"/>
                <w:sz w:val="24"/>
              </w:rPr>
            </w:pPr>
          </w:p>
        </w:tc>
        <w:tc>
          <w:tcPr>
            <w:tcW w:w="416" w:type="pct"/>
          </w:tcPr>
          <w:p w14:paraId="4101F7E2">
            <w:pPr>
              <w:adjustRightInd w:val="0"/>
              <w:snapToGrid w:val="0"/>
              <w:jc w:val="center"/>
              <w:rPr>
                <w:color w:val="auto"/>
                <w:sz w:val="24"/>
              </w:rPr>
            </w:pPr>
          </w:p>
        </w:tc>
        <w:tc>
          <w:tcPr>
            <w:tcW w:w="375" w:type="pct"/>
            <w:vAlign w:val="center"/>
          </w:tcPr>
          <w:p w14:paraId="67A0AA7C">
            <w:pPr>
              <w:adjustRightInd w:val="0"/>
              <w:snapToGrid w:val="0"/>
              <w:jc w:val="center"/>
              <w:rPr>
                <w:color w:val="auto"/>
                <w:sz w:val="24"/>
              </w:rPr>
            </w:pPr>
          </w:p>
        </w:tc>
        <w:tc>
          <w:tcPr>
            <w:tcW w:w="458" w:type="pct"/>
            <w:vAlign w:val="center"/>
          </w:tcPr>
          <w:p w14:paraId="6B744B35">
            <w:pPr>
              <w:adjustRightInd w:val="0"/>
              <w:snapToGrid w:val="0"/>
              <w:jc w:val="left"/>
              <w:rPr>
                <w:color w:val="auto"/>
                <w:sz w:val="24"/>
              </w:rPr>
            </w:pPr>
          </w:p>
        </w:tc>
        <w:tc>
          <w:tcPr>
            <w:tcW w:w="356" w:type="pct"/>
            <w:vAlign w:val="center"/>
          </w:tcPr>
          <w:p w14:paraId="6287F69A">
            <w:pPr>
              <w:adjustRightInd w:val="0"/>
              <w:snapToGrid w:val="0"/>
              <w:jc w:val="left"/>
              <w:rPr>
                <w:color w:val="auto"/>
                <w:sz w:val="24"/>
              </w:rPr>
            </w:pPr>
          </w:p>
        </w:tc>
        <w:tc>
          <w:tcPr>
            <w:tcW w:w="277" w:type="pct"/>
            <w:vAlign w:val="center"/>
          </w:tcPr>
          <w:p w14:paraId="6E55933D">
            <w:pPr>
              <w:adjustRightInd w:val="0"/>
              <w:snapToGrid w:val="0"/>
              <w:jc w:val="left"/>
              <w:rPr>
                <w:color w:val="auto"/>
                <w:sz w:val="24"/>
              </w:rPr>
            </w:pPr>
          </w:p>
        </w:tc>
        <w:tc>
          <w:tcPr>
            <w:tcW w:w="347" w:type="pct"/>
            <w:vAlign w:val="center"/>
          </w:tcPr>
          <w:p w14:paraId="3B5AEAA9">
            <w:pPr>
              <w:adjustRightInd w:val="0"/>
              <w:snapToGrid w:val="0"/>
              <w:jc w:val="left"/>
              <w:rPr>
                <w:color w:val="auto"/>
                <w:sz w:val="24"/>
              </w:rPr>
            </w:pPr>
          </w:p>
        </w:tc>
      </w:tr>
      <w:tr w14:paraId="09E9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52" w:type="pct"/>
            <w:vAlign w:val="center"/>
          </w:tcPr>
          <w:p w14:paraId="7D14101C">
            <w:pPr>
              <w:adjustRightInd w:val="0"/>
              <w:snapToGrid w:val="0"/>
              <w:jc w:val="left"/>
              <w:rPr>
                <w:rFonts w:hint="eastAsia" w:ascii="宋体" w:hAnsi="宋体" w:eastAsia="宋体" w:cs="宋体"/>
                <w:color w:val="auto"/>
                <w:sz w:val="24"/>
              </w:rPr>
            </w:pPr>
            <w:r>
              <w:rPr>
                <w:rFonts w:hint="eastAsia" w:ascii="宋体" w:hAnsi="宋体" w:eastAsia="宋体" w:cs="宋体"/>
                <w:color w:val="auto"/>
                <w:sz w:val="24"/>
              </w:rPr>
              <w:t>…</w:t>
            </w:r>
          </w:p>
        </w:tc>
        <w:tc>
          <w:tcPr>
            <w:tcW w:w="433" w:type="pct"/>
            <w:vAlign w:val="center"/>
          </w:tcPr>
          <w:p w14:paraId="5A2EE84F">
            <w:pPr>
              <w:adjustRightInd w:val="0"/>
              <w:snapToGrid w:val="0"/>
              <w:jc w:val="left"/>
              <w:rPr>
                <w:color w:val="auto"/>
                <w:sz w:val="24"/>
              </w:rPr>
            </w:pPr>
          </w:p>
        </w:tc>
        <w:tc>
          <w:tcPr>
            <w:tcW w:w="356" w:type="pct"/>
            <w:vAlign w:val="center"/>
          </w:tcPr>
          <w:p w14:paraId="742609C0">
            <w:pPr>
              <w:adjustRightInd w:val="0"/>
              <w:snapToGrid w:val="0"/>
              <w:jc w:val="left"/>
              <w:rPr>
                <w:color w:val="auto"/>
                <w:sz w:val="24"/>
              </w:rPr>
            </w:pPr>
          </w:p>
        </w:tc>
        <w:tc>
          <w:tcPr>
            <w:tcW w:w="312" w:type="pct"/>
          </w:tcPr>
          <w:p w14:paraId="609573A7">
            <w:pPr>
              <w:adjustRightInd w:val="0"/>
              <w:snapToGrid w:val="0"/>
              <w:jc w:val="left"/>
              <w:rPr>
                <w:color w:val="auto"/>
                <w:sz w:val="24"/>
              </w:rPr>
            </w:pPr>
          </w:p>
        </w:tc>
        <w:tc>
          <w:tcPr>
            <w:tcW w:w="580" w:type="pct"/>
            <w:vAlign w:val="center"/>
          </w:tcPr>
          <w:p w14:paraId="2B231480">
            <w:pPr>
              <w:adjustRightInd w:val="0"/>
              <w:snapToGrid w:val="0"/>
              <w:jc w:val="center"/>
              <w:rPr>
                <w:color w:val="auto"/>
                <w:sz w:val="24"/>
              </w:rPr>
            </w:pPr>
          </w:p>
        </w:tc>
        <w:tc>
          <w:tcPr>
            <w:tcW w:w="416" w:type="pct"/>
            <w:vAlign w:val="center"/>
          </w:tcPr>
          <w:p w14:paraId="0FEF0FE5">
            <w:pPr>
              <w:adjustRightInd w:val="0"/>
              <w:snapToGrid w:val="0"/>
              <w:jc w:val="center"/>
              <w:rPr>
                <w:color w:val="auto"/>
                <w:sz w:val="24"/>
              </w:rPr>
            </w:pPr>
          </w:p>
        </w:tc>
        <w:tc>
          <w:tcPr>
            <w:tcW w:w="416" w:type="pct"/>
          </w:tcPr>
          <w:p w14:paraId="77521F79">
            <w:pPr>
              <w:adjustRightInd w:val="0"/>
              <w:snapToGrid w:val="0"/>
              <w:jc w:val="center"/>
              <w:rPr>
                <w:color w:val="auto"/>
                <w:sz w:val="24"/>
              </w:rPr>
            </w:pPr>
          </w:p>
        </w:tc>
        <w:tc>
          <w:tcPr>
            <w:tcW w:w="416" w:type="pct"/>
          </w:tcPr>
          <w:p w14:paraId="26B02EBA">
            <w:pPr>
              <w:adjustRightInd w:val="0"/>
              <w:snapToGrid w:val="0"/>
              <w:jc w:val="center"/>
              <w:rPr>
                <w:color w:val="auto"/>
                <w:sz w:val="24"/>
              </w:rPr>
            </w:pPr>
          </w:p>
        </w:tc>
        <w:tc>
          <w:tcPr>
            <w:tcW w:w="375" w:type="pct"/>
            <w:vAlign w:val="center"/>
          </w:tcPr>
          <w:p w14:paraId="397BDEE1">
            <w:pPr>
              <w:adjustRightInd w:val="0"/>
              <w:snapToGrid w:val="0"/>
              <w:jc w:val="center"/>
              <w:rPr>
                <w:color w:val="auto"/>
                <w:sz w:val="24"/>
              </w:rPr>
            </w:pPr>
          </w:p>
        </w:tc>
        <w:tc>
          <w:tcPr>
            <w:tcW w:w="458" w:type="pct"/>
            <w:vAlign w:val="center"/>
          </w:tcPr>
          <w:p w14:paraId="28655080">
            <w:pPr>
              <w:adjustRightInd w:val="0"/>
              <w:snapToGrid w:val="0"/>
              <w:jc w:val="left"/>
              <w:rPr>
                <w:color w:val="auto"/>
                <w:sz w:val="24"/>
              </w:rPr>
            </w:pPr>
          </w:p>
        </w:tc>
        <w:tc>
          <w:tcPr>
            <w:tcW w:w="356" w:type="pct"/>
            <w:vAlign w:val="center"/>
          </w:tcPr>
          <w:p w14:paraId="2C52FA35">
            <w:pPr>
              <w:adjustRightInd w:val="0"/>
              <w:snapToGrid w:val="0"/>
              <w:jc w:val="left"/>
              <w:rPr>
                <w:color w:val="auto"/>
                <w:sz w:val="24"/>
              </w:rPr>
            </w:pPr>
          </w:p>
        </w:tc>
        <w:tc>
          <w:tcPr>
            <w:tcW w:w="277" w:type="pct"/>
            <w:vAlign w:val="center"/>
          </w:tcPr>
          <w:p w14:paraId="5889F1D1">
            <w:pPr>
              <w:adjustRightInd w:val="0"/>
              <w:snapToGrid w:val="0"/>
              <w:jc w:val="left"/>
              <w:rPr>
                <w:color w:val="auto"/>
                <w:sz w:val="24"/>
              </w:rPr>
            </w:pPr>
          </w:p>
        </w:tc>
        <w:tc>
          <w:tcPr>
            <w:tcW w:w="347" w:type="pct"/>
            <w:vAlign w:val="center"/>
          </w:tcPr>
          <w:p w14:paraId="02DF4187">
            <w:pPr>
              <w:adjustRightInd w:val="0"/>
              <w:snapToGrid w:val="0"/>
              <w:jc w:val="left"/>
              <w:rPr>
                <w:color w:val="auto"/>
                <w:sz w:val="24"/>
              </w:rPr>
            </w:pPr>
          </w:p>
        </w:tc>
      </w:tr>
      <w:tr w14:paraId="2D77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375" w:type="pct"/>
            <w:gridSpan w:val="11"/>
            <w:vAlign w:val="center"/>
          </w:tcPr>
          <w:p w14:paraId="69F3F2AE">
            <w:pPr>
              <w:adjustRightInd w:val="0"/>
              <w:snapToGrid w:val="0"/>
              <w:jc w:val="right"/>
              <w:rPr>
                <w:b/>
                <w:bCs/>
                <w:color w:val="auto"/>
                <w:sz w:val="24"/>
              </w:rPr>
            </w:pPr>
            <w:r>
              <w:rPr>
                <w:rFonts w:hint="eastAsia"/>
                <w:b/>
                <w:bCs/>
                <w:color w:val="auto"/>
                <w:sz w:val="24"/>
              </w:rPr>
              <w:t>总价（元）</w:t>
            </w:r>
          </w:p>
        </w:tc>
        <w:tc>
          <w:tcPr>
            <w:tcW w:w="277" w:type="pct"/>
            <w:vAlign w:val="center"/>
          </w:tcPr>
          <w:p w14:paraId="1B290553">
            <w:pPr>
              <w:adjustRightInd w:val="0"/>
              <w:snapToGrid w:val="0"/>
              <w:jc w:val="left"/>
              <w:rPr>
                <w:color w:val="auto"/>
                <w:sz w:val="24"/>
              </w:rPr>
            </w:pPr>
          </w:p>
        </w:tc>
        <w:tc>
          <w:tcPr>
            <w:tcW w:w="347" w:type="pct"/>
            <w:vAlign w:val="center"/>
          </w:tcPr>
          <w:p w14:paraId="3BB0AA82">
            <w:pPr>
              <w:adjustRightInd w:val="0"/>
              <w:snapToGrid w:val="0"/>
              <w:jc w:val="left"/>
              <w:rPr>
                <w:color w:val="auto"/>
                <w:sz w:val="24"/>
              </w:rPr>
            </w:pPr>
          </w:p>
        </w:tc>
      </w:tr>
    </w:tbl>
    <w:p w14:paraId="368838C0">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说明：制造商规模请填写“大型”、“中型”、“小型”、“微型”或“其他”，中小企业的定义见第二章《投标人须知》。</w:t>
      </w:r>
    </w:p>
    <w:p w14:paraId="33FFE7A9">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制造商所属性别请填写“男”或“女”， 指拥有制造商51%以上绝对所有权的性别；绝对所有权拥有者可以是一个人，也可以是多人合计计算。</w:t>
      </w:r>
    </w:p>
    <w:p w14:paraId="58C24120">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外商投资类型请填写“外商单独投资”、“外商部分投资”或“内资”。</w:t>
      </w:r>
    </w:p>
    <w:p w14:paraId="778D7565">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注：1.本表应按包分别填写。</w:t>
      </w:r>
    </w:p>
    <w:p w14:paraId="691081B9">
      <w:pPr>
        <w:tabs>
          <w:tab w:val="left" w:pos="1800"/>
          <w:tab w:val="left" w:pos="5580"/>
        </w:tabs>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2.如果不提供分项报价将视为没有实质性响应招标文件。</w:t>
      </w:r>
    </w:p>
    <w:p w14:paraId="51B7A0A5">
      <w:pPr>
        <w:tabs>
          <w:tab w:val="left" w:pos="1800"/>
          <w:tab w:val="left" w:pos="5580"/>
        </w:tabs>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3.上述各项的详细规格（如有），可另页描述。</w:t>
      </w:r>
    </w:p>
    <w:p w14:paraId="22C87C0D">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lang w:val="zh-CN"/>
        </w:rPr>
        <w:t xml:space="preserve">                  </w:t>
      </w:r>
    </w:p>
    <w:p w14:paraId="79226F6A">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：____________</w:t>
      </w:r>
    </w:p>
    <w:p w14:paraId="66F0A1B2">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szCs w:val="20"/>
        </w:rPr>
        <w:t xml:space="preserve">日期：_____年______月______日   </w:t>
      </w:r>
    </w:p>
    <w:p w14:paraId="36E689C4">
      <w:pPr>
        <w:numPr>
          <w:ilvl w:val="0"/>
          <w:numId w:val="30"/>
        </w:numPr>
        <w:tabs>
          <w:tab w:val="left" w:pos="360"/>
        </w:tabs>
        <w:snapToGrid w:val="0"/>
        <w:spacing w:line="360" w:lineRule="auto"/>
        <w:outlineLvl w:val="1"/>
        <w:rPr>
          <w:rFonts w:hint="eastAsia" w:ascii="宋体" w:hAnsi="宋体" w:eastAsia="宋体" w:cs="宋体"/>
          <w:color w:val="auto"/>
          <w:sz w:val="24"/>
          <w:szCs w:val="20"/>
        </w:rPr>
        <w:sectPr>
          <w:pgSz w:w="16840" w:h="11907" w:orient="landscape"/>
          <w:pgMar w:top="1701" w:right="1418" w:bottom="1134" w:left="1418" w:header="851" w:footer="851" w:gutter="0"/>
          <w:pgNumType w:fmt="decimal"/>
          <w:cols w:space="720" w:num="1"/>
          <w:docGrid w:linePitch="462" w:charSpace="0"/>
        </w:sectPr>
      </w:pPr>
      <w:bookmarkStart w:id="1061" w:name="_Toc226337258"/>
      <w:bookmarkStart w:id="1062" w:name="_Toc226965752"/>
      <w:bookmarkStart w:id="1063" w:name="_Toc150774765"/>
      <w:bookmarkStart w:id="1064" w:name="_Toc305158830"/>
      <w:bookmarkStart w:id="1065" w:name="_Toc195842927"/>
      <w:bookmarkStart w:id="1066" w:name="_Toc150480798"/>
      <w:bookmarkStart w:id="1067" w:name="_Toc142311062"/>
      <w:bookmarkStart w:id="1068" w:name="_Toc226965835"/>
      <w:bookmarkStart w:id="1069" w:name="_Toc265228400"/>
      <w:bookmarkStart w:id="1070" w:name="_Toc264969252"/>
      <w:bookmarkStart w:id="1071" w:name="_Toc127151562"/>
      <w:bookmarkStart w:id="1072" w:name="_Toc305158904"/>
      <w:bookmarkStart w:id="1073" w:name="_Toc226309806"/>
      <w:bookmarkStart w:id="1074" w:name="_Toc127151561"/>
      <w:bookmarkStart w:id="1075" w:name="_Toc226965834"/>
      <w:bookmarkStart w:id="1076" w:name="_Toc264969251"/>
      <w:bookmarkStart w:id="1077" w:name="_Toc150480797"/>
      <w:bookmarkStart w:id="1078" w:name="_Toc150774764"/>
      <w:bookmarkStart w:id="1079" w:name="_Toc226337257"/>
      <w:bookmarkStart w:id="1080" w:name="_Toc142311061"/>
      <w:bookmarkStart w:id="1081" w:name="_Toc195842926"/>
      <w:bookmarkStart w:id="1082" w:name="_Toc226965751"/>
      <w:bookmarkStart w:id="1083" w:name="_Toc265228399"/>
      <w:bookmarkStart w:id="1084" w:name="_Toc305158903"/>
      <w:bookmarkStart w:id="1085" w:name="_Toc226309805"/>
      <w:bookmarkStart w:id="1086" w:name="_Toc305158829"/>
    </w:p>
    <w:p w14:paraId="3EC10A1C">
      <w:pPr>
        <w:numPr>
          <w:ilvl w:val="0"/>
          <w:numId w:val="30"/>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t>合同条款偏离表</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Fonts w:hint="eastAsia" w:ascii="宋体" w:hAnsi="宋体" w:eastAsia="宋体" w:cs="宋体"/>
          <w:color w:val="auto"/>
          <w:sz w:val="24"/>
          <w:szCs w:val="20"/>
        </w:rPr>
        <w:t>（实质性格式）</w:t>
      </w:r>
    </w:p>
    <w:p w14:paraId="1655A63D">
      <w:pPr>
        <w:spacing w:line="360" w:lineRule="auto"/>
        <w:rPr>
          <w:rFonts w:hint="eastAsia" w:ascii="宋体" w:hAnsi="宋体" w:eastAsia="宋体" w:cs="宋体"/>
          <w:color w:val="auto"/>
          <w:sz w:val="24"/>
          <w:szCs w:val="20"/>
        </w:rPr>
      </w:pPr>
    </w:p>
    <w:p w14:paraId="6B2CDF00">
      <w:pPr>
        <w:tabs>
          <w:tab w:val="left" w:pos="2775"/>
          <w:tab w:val="center" w:pos="4153"/>
        </w:tabs>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合同条款偏离表</w:t>
      </w:r>
    </w:p>
    <w:p w14:paraId="50F8D26F">
      <w:pPr>
        <w:spacing w:line="360" w:lineRule="auto"/>
        <w:rPr>
          <w:rFonts w:hint="eastAsia" w:ascii="宋体" w:hAnsi="宋体" w:eastAsia="宋体" w:cs="宋体"/>
          <w:color w:val="auto"/>
          <w:sz w:val="24"/>
          <w:szCs w:val="20"/>
        </w:rPr>
      </w:pPr>
    </w:p>
    <w:p w14:paraId="70AB9F43">
      <w:pPr>
        <w:tabs>
          <w:tab w:val="left" w:pos="1800"/>
          <w:tab w:val="left" w:pos="5580"/>
        </w:tabs>
        <w:spacing w:line="360" w:lineRule="auto"/>
        <w:ind w:firstLine="360" w:firstLineChars="150"/>
        <w:jc w:val="left"/>
        <w:rPr>
          <w:rFonts w:hint="eastAsia" w:ascii="宋体" w:hAnsi="宋体" w:eastAsia="宋体" w:cs="宋体"/>
          <w:color w:val="auto"/>
          <w:sz w:val="24"/>
        </w:rPr>
      </w:pPr>
      <w:r>
        <w:rPr>
          <w:rFonts w:hint="eastAsia" w:ascii="宋体" w:hAnsi="宋体" w:eastAsia="宋体" w:cs="宋体"/>
          <w:color w:val="auto"/>
          <w:sz w:val="24"/>
        </w:rPr>
        <w:t>项目编号/包号：_____________________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1774"/>
        <w:gridCol w:w="1675"/>
        <w:gridCol w:w="1675"/>
        <w:gridCol w:w="1875"/>
        <w:gridCol w:w="1134"/>
      </w:tblGrid>
      <w:tr w14:paraId="01E6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67BF59">
            <w:pPr>
              <w:adjustRightInd w:val="0"/>
              <w:snapToGrid w:val="0"/>
              <w:jc w:val="center"/>
              <w:rPr>
                <w:rFonts w:hint="eastAsia" w:ascii="宋体" w:hAnsi="宋体" w:eastAsia="宋体" w:cs="宋体"/>
                <w:color w:val="auto"/>
                <w:sz w:val="24"/>
              </w:rPr>
            </w:pPr>
            <w:bookmarkStart w:id="1087" w:name="_Hlk144279231"/>
            <w:r>
              <w:rPr>
                <w:rFonts w:hint="eastAsia" w:ascii="宋体" w:hAnsi="宋体" w:eastAsia="宋体" w:cs="宋体"/>
                <w:color w:val="auto"/>
                <w:sz w:val="24"/>
              </w:rPr>
              <w:t>序号</w:t>
            </w:r>
          </w:p>
        </w:tc>
        <w:tc>
          <w:tcPr>
            <w:tcW w:w="1646" w:type="dxa"/>
            <w:vAlign w:val="center"/>
          </w:tcPr>
          <w:p w14:paraId="0AE1C2C8">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szCs w:val="21"/>
              </w:rPr>
              <w:t>招标文件</w:t>
            </w:r>
            <w:r>
              <w:rPr>
                <w:rFonts w:hint="eastAsia" w:ascii="宋体" w:hAnsi="宋体" w:eastAsia="宋体" w:cs="宋体"/>
                <w:color w:val="auto"/>
                <w:sz w:val="24"/>
              </w:rPr>
              <w:t>条目号（页码）</w:t>
            </w:r>
          </w:p>
        </w:tc>
        <w:tc>
          <w:tcPr>
            <w:tcW w:w="1688" w:type="dxa"/>
            <w:vAlign w:val="center"/>
          </w:tcPr>
          <w:p w14:paraId="6D20A07D">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szCs w:val="21"/>
              </w:rPr>
              <w:t>招标文件</w:t>
            </w:r>
            <w:r>
              <w:rPr>
                <w:rFonts w:hint="eastAsia" w:ascii="宋体" w:hAnsi="宋体" w:eastAsia="宋体" w:cs="宋体"/>
                <w:color w:val="auto"/>
                <w:sz w:val="24"/>
              </w:rPr>
              <w:t>要求</w:t>
            </w:r>
          </w:p>
        </w:tc>
        <w:tc>
          <w:tcPr>
            <w:tcW w:w="1688" w:type="dxa"/>
            <w:vAlign w:val="center"/>
          </w:tcPr>
          <w:p w14:paraId="40047B23">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投标文件内容</w:t>
            </w:r>
          </w:p>
        </w:tc>
        <w:tc>
          <w:tcPr>
            <w:tcW w:w="1925" w:type="dxa"/>
            <w:vAlign w:val="center"/>
          </w:tcPr>
          <w:p w14:paraId="5152765F">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偏离情况</w:t>
            </w:r>
          </w:p>
        </w:tc>
        <w:tc>
          <w:tcPr>
            <w:tcW w:w="1045" w:type="dxa"/>
            <w:vAlign w:val="center"/>
          </w:tcPr>
          <w:p w14:paraId="7609AC75">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说明</w:t>
            </w:r>
          </w:p>
        </w:tc>
      </w:tr>
      <w:tr w14:paraId="7805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551EB54">
            <w:pPr>
              <w:adjustRightInd w:val="0"/>
              <w:snapToGrid w:val="0"/>
              <w:jc w:val="left"/>
              <w:rPr>
                <w:rFonts w:hint="eastAsia" w:ascii="宋体" w:hAnsi="宋体" w:eastAsia="宋体" w:cs="宋体"/>
                <w:bCs/>
                <w:color w:val="auto"/>
                <w:sz w:val="24"/>
              </w:rPr>
            </w:pPr>
            <w:r>
              <w:rPr>
                <w:rFonts w:hint="eastAsia" w:ascii="宋体" w:hAnsi="宋体" w:eastAsia="宋体" w:cs="宋体"/>
                <w:b/>
                <w:color w:val="auto"/>
                <w:sz w:val="24"/>
              </w:rPr>
              <w:t>对本项目合同条款的偏离情况</w:t>
            </w:r>
            <w:r>
              <w:rPr>
                <w:rFonts w:hint="eastAsia" w:ascii="宋体" w:hAnsi="宋体" w:eastAsia="宋体" w:cs="宋体"/>
                <w:bCs/>
                <w:color w:val="auto"/>
                <w:sz w:val="24"/>
              </w:rPr>
              <w:t>（应进行选择，未选择</w:t>
            </w:r>
            <w:r>
              <w:rPr>
                <w:rFonts w:hint="eastAsia" w:ascii="宋体" w:hAnsi="宋体" w:eastAsia="宋体" w:cs="宋体"/>
                <w:b/>
                <w:color w:val="auto"/>
                <w:sz w:val="24"/>
              </w:rPr>
              <w:t>投标无效</w:t>
            </w:r>
            <w:r>
              <w:rPr>
                <w:rFonts w:hint="eastAsia" w:ascii="宋体" w:hAnsi="宋体" w:eastAsia="宋体" w:cs="宋体"/>
                <w:bCs/>
                <w:color w:val="auto"/>
                <w:sz w:val="24"/>
              </w:rPr>
              <w:t>）：</w:t>
            </w:r>
          </w:p>
          <w:p w14:paraId="4779C25C">
            <w:pPr>
              <w:adjustRightInd w:val="0"/>
              <w:snapToGrid w:val="0"/>
              <w:jc w:val="left"/>
              <w:rPr>
                <w:rFonts w:hint="eastAsia" w:ascii="宋体" w:hAnsi="宋体" w:eastAsia="宋体" w:cs="宋体"/>
                <w:color w:val="auto"/>
                <w:sz w:val="24"/>
              </w:rPr>
            </w:pPr>
            <w:r>
              <w:rPr>
                <w:rFonts w:hint="eastAsia" w:ascii="宋体" w:hAnsi="宋体" w:eastAsia="宋体" w:cs="宋体"/>
                <w:b/>
                <w:color w:val="auto"/>
                <w:sz w:val="24"/>
              </w:rPr>
              <w:t>□无偏离</w:t>
            </w:r>
            <w:r>
              <w:rPr>
                <w:rFonts w:hint="eastAsia" w:ascii="宋体" w:hAnsi="宋体" w:eastAsia="宋体" w:cs="宋体"/>
                <w:color w:val="auto"/>
                <w:sz w:val="24"/>
              </w:rPr>
              <w:t>（</w:t>
            </w:r>
            <w:r>
              <w:rPr>
                <w:rFonts w:hint="eastAsia" w:ascii="宋体" w:hAnsi="宋体" w:eastAsia="宋体" w:cs="宋体"/>
                <w:color w:val="auto"/>
                <w:sz w:val="24"/>
                <w:szCs w:val="21"/>
              </w:rPr>
              <w:t>如无偏离，仅选择无偏离即可；</w:t>
            </w:r>
            <w:r>
              <w:rPr>
                <w:rFonts w:hint="eastAsia" w:ascii="宋体" w:hAnsi="宋体" w:eastAsia="宋体" w:cs="宋体"/>
                <w:bCs/>
                <w:color w:val="auto"/>
                <w:sz w:val="24"/>
              </w:rPr>
              <w:t>无偏离即为</w:t>
            </w:r>
            <w:r>
              <w:rPr>
                <w:rFonts w:hint="eastAsia" w:ascii="宋体" w:hAnsi="宋体" w:eastAsia="宋体" w:cs="宋体"/>
                <w:color w:val="auto"/>
                <w:sz w:val="24"/>
              </w:rPr>
              <w:t>对合同条款中的所有要求，均视作供应商已对之理解和响应。）</w:t>
            </w:r>
          </w:p>
          <w:p w14:paraId="557187C0">
            <w:pPr>
              <w:adjustRightInd w:val="0"/>
              <w:snapToGrid w:val="0"/>
              <w:jc w:val="left"/>
              <w:rPr>
                <w:rFonts w:hint="eastAsia" w:ascii="宋体" w:hAnsi="宋体" w:eastAsia="宋体" w:cs="宋体"/>
                <w:color w:val="auto"/>
                <w:sz w:val="24"/>
              </w:rPr>
            </w:pPr>
            <w:r>
              <w:rPr>
                <w:rFonts w:hint="eastAsia" w:ascii="宋体" w:hAnsi="宋体" w:eastAsia="宋体" w:cs="宋体"/>
                <w:b/>
                <w:color w:val="auto"/>
                <w:sz w:val="24"/>
              </w:rPr>
              <w:t>□有偏离</w:t>
            </w:r>
            <w:r>
              <w:rPr>
                <w:rFonts w:hint="eastAsia" w:ascii="宋体" w:hAnsi="宋体" w:eastAsia="宋体" w:cs="宋体"/>
                <w:color w:val="auto"/>
                <w:sz w:val="24"/>
              </w:rPr>
              <w:t>（</w:t>
            </w:r>
            <w:r>
              <w:rPr>
                <w:rFonts w:hint="eastAsia" w:ascii="宋体" w:hAnsi="宋体" w:eastAsia="宋体" w:cs="宋体"/>
                <w:color w:val="auto"/>
                <w:sz w:val="24"/>
                <w:szCs w:val="21"/>
              </w:rPr>
              <w:t>如有偏离，</w:t>
            </w:r>
            <w:r>
              <w:rPr>
                <w:rFonts w:hint="eastAsia" w:ascii="宋体" w:hAnsi="宋体" w:eastAsia="宋体" w:cs="宋体"/>
                <w:color w:val="auto"/>
                <w:sz w:val="24"/>
              </w:rPr>
              <w:t>则应在本表中对负偏离项逐一列明，否则</w:t>
            </w:r>
            <w:r>
              <w:rPr>
                <w:rFonts w:hint="eastAsia" w:ascii="宋体" w:hAnsi="宋体" w:eastAsia="宋体" w:cs="宋体"/>
                <w:b/>
                <w:bCs/>
                <w:color w:val="auto"/>
                <w:sz w:val="24"/>
              </w:rPr>
              <w:t>投标无效</w:t>
            </w:r>
            <w:r>
              <w:rPr>
                <w:rFonts w:hint="eastAsia" w:ascii="宋体" w:hAnsi="宋体" w:eastAsia="宋体" w:cs="宋体"/>
                <w:color w:val="auto"/>
                <w:sz w:val="24"/>
              </w:rPr>
              <w:t>；对合同条款中的所有要求，除本表列明的偏离外，均视作供应商已对之理解和响应。）</w:t>
            </w:r>
          </w:p>
        </w:tc>
      </w:tr>
      <w:tr w14:paraId="6D58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26523F1">
            <w:pPr>
              <w:adjustRightInd w:val="0"/>
              <w:snapToGrid w:val="0"/>
              <w:jc w:val="center"/>
              <w:rPr>
                <w:rFonts w:hint="eastAsia" w:ascii="宋体" w:hAnsi="宋体" w:eastAsia="宋体" w:cs="宋体"/>
                <w:color w:val="auto"/>
                <w:sz w:val="24"/>
              </w:rPr>
            </w:pPr>
          </w:p>
        </w:tc>
        <w:tc>
          <w:tcPr>
            <w:tcW w:w="1646" w:type="dxa"/>
            <w:vAlign w:val="center"/>
          </w:tcPr>
          <w:p w14:paraId="7C6CF3D7">
            <w:pPr>
              <w:adjustRightInd w:val="0"/>
              <w:snapToGrid w:val="0"/>
              <w:jc w:val="center"/>
              <w:rPr>
                <w:rFonts w:hint="eastAsia" w:ascii="宋体" w:hAnsi="宋体" w:eastAsia="宋体" w:cs="宋体"/>
                <w:color w:val="auto"/>
                <w:sz w:val="24"/>
              </w:rPr>
            </w:pPr>
          </w:p>
        </w:tc>
        <w:tc>
          <w:tcPr>
            <w:tcW w:w="1688" w:type="dxa"/>
            <w:vAlign w:val="center"/>
          </w:tcPr>
          <w:p w14:paraId="2289F997">
            <w:pPr>
              <w:adjustRightInd w:val="0"/>
              <w:snapToGrid w:val="0"/>
              <w:jc w:val="center"/>
              <w:rPr>
                <w:rFonts w:hint="eastAsia" w:ascii="宋体" w:hAnsi="宋体" w:eastAsia="宋体" w:cs="宋体"/>
                <w:color w:val="auto"/>
                <w:sz w:val="24"/>
              </w:rPr>
            </w:pPr>
          </w:p>
        </w:tc>
        <w:tc>
          <w:tcPr>
            <w:tcW w:w="1688" w:type="dxa"/>
            <w:vAlign w:val="center"/>
          </w:tcPr>
          <w:p w14:paraId="22E2EF03">
            <w:pPr>
              <w:adjustRightInd w:val="0"/>
              <w:snapToGrid w:val="0"/>
              <w:jc w:val="center"/>
              <w:rPr>
                <w:rFonts w:hint="eastAsia" w:ascii="宋体" w:hAnsi="宋体" w:eastAsia="宋体" w:cs="宋体"/>
                <w:color w:val="auto"/>
                <w:sz w:val="24"/>
              </w:rPr>
            </w:pPr>
          </w:p>
        </w:tc>
        <w:tc>
          <w:tcPr>
            <w:tcW w:w="1925" w:type="dxa"/>
            <w:vAlign w:val="center"/>
          </w:tcPr>
          <w:p w14:paraId="0FA1A95A">
            <w:pPr>
              <w:adjustRightInd w:val="0"/>
              <w:snapToGrid w:val="0"/>
              <w:jc w:val="center"/>
              <w:rPr>
                <w:rFonts w:hint="eastAsia" w:ascii="宋体" w:hAnsi="宋体" w:eastAsia="宋体" w:cs="宋体"/>
                <w:color w:val="auto"/>
                <w:sz w:val="24"/>
              </w:rPr>
            </w:pPr>
          </w:p>
        </w:tc>
        <w:tc>
          <w:tcPr>
            <w:tcW w:w="1045" w:type="dxa"/>
            <w:vAlign w:val="center"/>
          </w:tcPr>
          <w:p w14:paraId="61FD1324">
            <w:pPr>
              <w:adjustRightInd w:val="0"/>
              <w:snapToGrid w:val="0"/>
              <w:jc w:val="center"/>
              <w:rPr>
                <w:rFonts w:hint="eastAsia" w:ascii="宋体" w:hAnsi="宋体" w:eastAsia="宋体" w:cs="宋体"/>
                <w:color w:val="auto"/>
                <w:sz w:val="24"/>
              </w:rPr>
            </w:pPr>
          </w:p>
        </w:tc>
      </w:tr>
      <w:tr w14:paraId="6941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1D17F6D">
            <w:pPr>
              <w:adjustRightInd w:val="0"/>
              <w:snapToGrid w:val="0"/>
              <w:jc w:val="center"/>
              <w:rPr>
                <w:rFonts w:hint="eastAsia" w:ascii="宋体" w:hAnsi="宋体" w:eastAsia="宋体" w:cs="宋体"/>
                <w:color w:val="auto"/>
                <w:sz w:val="24"/>
              </w:rPr>
            </w:pPr>
          </w:p>
        </w:tc>
        <w:tc>
          <w:tcPr>
            <w:tcW w:w="1646" w:type="dxa"/>
            <w:vAlign w:val="center"/>
          </w:tcPr>
          <w:p w14:paraId="72FA0B4F">
            <w:pPr>
              <w:adjustRightInd w:val="0"/>
              <w:snapToGrid w:val="0"/>
              <w:jc w:val="center"/>
              <w:rPr>
                <w:rFonts w:hint="eastAsia" w:ascii="宋体" w:hAnsi="宋体" w:eastAsia="宋体" w:cs="宋体"/>
                <w:color w:val="auto"/>
                <w:sz w:val="24"/>
              </w:rPr>
            </w:pPr>
          </w:p>
        </w:tc>
        <w:tc>
          <w:tcPr>
            <w:tcW w:w="1688" w:type="dxa"/>
            <w:vAlign w:val="center"/>
          </w:tcPr>
          <w:p w14:paraId="4AE0B4BD">
            <w:pPr>
              <w:adjustRightInd w:val="0"/>
              <w:snapToGrid w:val="0"/>
              <w:jc w:val="center"/>
              <w:rPr>
                <w:rFonts w:hint="eastAsia" w:ascii="宋体" w:hAnsi="宋体" w:eastAsia="宋体" w:cs="宋体"/>
                <w:color w:val="auto"/>
                <w:sz w:val="24"/>
              </w:rPr>
            </w:pPr>
          </w:p>
        </w:tc>
        <w:tc>
          <w:tcPr>
            <w:tcW w:w="1688" w:type="dxa"/>
            <w:vAlign w:val="center"/>
          </w:tcPr>
          <w:p w14:paraId="17F9F7F2">
            <w:pPr>
              <w:adjustRightInd w:val="0"/>
              <w:snapToGrid w:val="0"/>
              <w:jc w:val="center"/>
              <w:rPr>
                <w:rFonts w:hint="eastAsia" w:ascii="宋体" w:hAnsi="宋体" w:eastAsia="宋体" w:cs="宋体"/>
                <w:color w:val="auto"/>
                <w:sz w:val="24"/>
              </w:rPr>
            </w:pPr>
          </w:p>
        </w:tc>
        <w:tc>
          <w:tcPr>
            <w:tcW w:w="1925" w:type="dxa"/>
            <w:vAlign w:val="center"/>
          </w:tcPr>
          <w:p w14:paraId="13DF7509">
            <w:pPr>
              <w:adjustRightInd w:val="0"/>
              <w:snapToGrid w:val="0"/>
              <w:jc w:val="center"/>
              <w:rPr>
                <w:rFonts w:hint="eastAsia" w:ascii="宋体" w:hAnsi="宋体" w:eastAsia="宋体" w:cs="宋体"/>
                <w:color w:val="auto"/>
                <w:sz w:val="24"/>
              </w:rPr>
            </w:pPr>
          </w:p>
        </w:tc>
        <w:tc>
          <w:tcPr>
            <w:tcW w:w="1045" w:type="dxa"/>
            <w:vAlign w:val="center"/>
          </w:tcPr>
          <w:p w14:paraId="5CFC0726">
            <w:pPr>
              <w:adjustRightInd w:val="0"/>
              <w:snapToGrid w:val="0"/>
              <w:jc w:val="center"/>
              <w:rPr>
                <w:rFonts w:hint="eastAsia" w:ascii="宋体" w:hAnsi="宋体" w:eastAsia="宋体" w:cs="宋体"/>
                <w:color w:val="auto"/>
                <w:sz w:val="24"/>
              </w:rPr>
            </w:pPr>
          </w:p>
        </w:tc>
      </w:tr>
      <w:tr w14:paraId="1000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BD57D51">
            <w:pPr>
              <w:adjustRightInd w:val="0"/>
              <w:snapToGrid w:val="0"/>
              <w:jc w:val="center"/>
              <w:rPr>
                <w:rFonts w:hint="eastAsia" w:ascii="宋体" w:hAnsi="宋体" w:eastAsia="宋体" w:cs="宋体"/>
                <w:color w:val="auto"/>
                <w:sz w:val="24"/>
              </w:rPr>
            </w:pPr>
          </w:p>
        </w:tc>
        <w:tc>
          <w:tcPr>
            <w:tcW w:w="1646" w:type="dxa"/>
            <w:vAlign w:val="center"/>
          </w:tcPr>
          <w:p w14:paraId="1C3C0F96">
            <w:pPr>
              <w:adjustRightInd w:val="0"/>
              <w:snapToGrid w:val="0"/>
              <w:jc w:val="center"/>
              <w:rPr>
                <w:rFonts w:hint="eastAsia" w:ascii="宋体" w:hAnsi="宋体" w:eastAsia="宋体" w:cs="宋体"/>
                <w:color w:val="auto"/>
                <w:sz w:val="24"/>
              </w:rPr>
            </w:pPr>
          </w:p>
        </w:tc>
        <w:tc>
          <w:tcPr>
            <w:tcW w:w="1688" w:type="dxa"/>
            <w:vAlign w:val="center"/>
          </w:tcPr>
          <w:p w14:paraId="7D6FFEA6">
            <w:pPr>
              <w:adjustRightInd w:val="0"/>
              <w:snapToGrid w:val="0"/>
              <w:jc w:val="center"/>
              <w:rPr>
                <w:rFonts w:hint="eastAsia" w:ascii="宋体" w:hAnsi="宋体" w:eastAsia="宋体" w:cs="宋体"/>
                <w:color w:val="auto"/>
                <w:sz w:val="24"/>
              </w:rPr>
            </w:pPr>
          </w:p>
        </w:tc>
        <w:tc>
          <w:tcPr>
            <w:tcW w:w="1688" w:type="dxa"/>
            <w:vAlign w:val="center"/>
          </w:tcPr>
          <w:p w14:paraId="50FC6745">
            <w:pPr>
              <w:adjustRightInd w:val="0"/>
              <w:snapToGrid w:val="0"/>
              <w:jc w:val="center"/>
              <w:rPr>
                <w:rFonts w:hint="eastAsia" w:ascii="宋体" w:hAnsi="宋体" w:eastAsia="宋体" w:cs="宋体"/>
                <w:color w:val="auto"/>
                <w:sz w:val="24"/>
              </w:rPr>
            </w:pPr>
          </w:p>
        </w:tc>
        <w:tc>
          <w:tcPr>
            <w:tcW w:w="1925" w:type="dxa"/>
            <w:vAlign w:val="center"/>
          </w:tcPr>
          <w:p w14:paraId="0E565A1B">
            <w:pPr>
              <w:adjustRightInd w:val="0"/>
              <w:snapToGrid w:val="0"/>
              <w:jc w:val="center"/>
              <w:rPr>
                <w:rFonts w:hint="eastAsia" w:ascii="宋体" w:hAnsi="宋体" w:eastAsia="宋体" w:cs="宋体"/>
                <w:color w:val="auto"/>
                <w:sz w:val="24"/>
              </w:rPr>
            </w:pPr>
          </w:p>
        </w:tc>
        <w:tc>
          <w:tcPr>
            <w:tcW w:w="1045" w:type="dxa"/>
            <w:vAlign w:val="center"/>
          </w:tcPr>
          <w:p w14:paraId="162CCF8B">
            <w:pPr>
              <w:adjustRightInd w:val="0"/>
              <w:snapToGrid w:val="0"/>
              <w:jc w:val="center"/>
              <w:rPr>
                <w:rFonts w:hint="eastAsia" w:ascii="宋体" w:hAnsi="宋体" w:eastAsia="宋体" w:cs="宋体"/>
                <w:color w:val="auto"/>
                <w:sz w:val="24"/>
              </w:rPr>
            </w:pPr>
          </w:p>
        </w:tc>
      </w:tr>
      <w:tr w14:paraId="697F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DCEAB3E">
            <w:pPr>
              <w:adjustRightInd w:val="0"/>
              <w:snapToGrid w:val="0"/>
              <w:jc w:val="center"/>
              <w:rPr>
                <w:rFonts w:hint="eastAsia" w:ascii="宋体" w:hAnsi="宋体" w:eastAsia="宋体" w:cs="宋体"/>
                <w:color w:val="auto"/>
                <w:sz w:val="24"/>
              </w:rPr>
            </w:pPr>
          </w:p>
        </w:tc>
        <w:tc>
          <w:tcPr>
            <w:tcW w:w="1646" w:type="dxa"/>
            <w:vAlign w:val="center"/>
          </w:tcPr>
          <w:p w14:paraId="1B4F855D">
            <w:pPr>
              <w:adjustRightInd w:val="0"/>
              <w:snapToGrid w:val="0"/>
              <w:jc w:val="center"/>
              <w:rPr>
                <w:rFonts w:hint="eastAsia" w:ascii="宋体" w:hAnsi="宋体" w:eastAsia="宋体" w:cs="宋体"/>
                <w:color w:val="auto"/>
                <w:sz w:val="24"/>
              </w:rPr>
            </w:pPr>
          </w:p>
        </w:tc>
        <w:tc>
          <w:tcPr>
            <w:tcW w:w="1688" w:type="dxa"/>
            <w:vAlign w:val="center"/>
          </w:tcPr>
          <w:p w14:paraId="7B3680F5">
            <w:pPr>
              <w:adjustRightInd w:val="0"/>
              <w:snapToGrid w:val="0"/>
              <w:jc w:val="center"/>
              <w:rPr>
                <w:rFonts w:hint="eastAsia" w:ascii="宋体" w:hAnsi="宋体" w:eastAsia="宋体" w:cs="宋体"/>
                <w:color w:val="auto"/>
                <w:sz w:val="24"/>
              </w:rPr>
            </w:pPr>
          </w:p>
        </w:tc>
        <w:tc>
          <w:tcPr>
            <w:tcW w:w="1688" w:type="dxa"/>
            <w:vAlign w:val="center"/>
          </w:tcPr>
          <w:p w14:paraId="55D5FACE">
            <w:pPr>
              <w:adjustRightInd w:val="0"/>
              <w:snapToGrid w:val="0"/>
              <w:jc w:val="center"/>
              <w:rPr>
                <w:rFonts w:hint="eastAsia" w:ascii="宋体" w:hAnsi="宋体" w:eastAsia="宋体" w:cs="宋体"/>
                <w:color w:val="auto"/>
                <w:sz w:val="24"/>
              </w:rPr>
            </w:pPr>
          </w:p>
        </w:tc>
        <w:tc>
          <w:tcPr>
            <w:tcW w:w="1925" w:type="dxa"/>
            <w:vAlign w:val="center"/>
          </w:tcPr>
          <w:p w14:paraId="53242D7A">
            <w:pPr>
              <w:adjustRightInd w:val="0"/>
              <w:snapToGrid w:val="0"/>
              <w:jc w:val="center"/>
              <w:rPr>
                <w:rFonts w:hint="eastAsia" w:ascii="宋体" w:hAnsi="宋体" w:eastAsia="宋体" w:cs="宋体"/>
                <w:color w:val="auto"/>
                <w:sz w:val="24"/>
              </w:rPr>
            </w:pPr>
          </w:p>
        </w:tc>
        <w:tc>
          <w:tcPr>
            <w:tcW w:w="1045" w:type="dxa"/>
            <w:vAlign w:val="center"/>
          </w:tcPr>
          <w:p w14:paraId="125500DC">
            <w:pPr>
              <w:adjustRightInd w:val="0"/>
              <w:snapToGrid w:val="0"/>
              <w:jc w:val="center"/>
              <w:rPr>
                <w:rFonts w:hint="eastAsia" w:ascii="宋体" w:hAnsi="宋体" w:eastAsia="宋体" w:cs="宋体"/>
                <w:color w:val="auto"/>
                <w:sz w:val="24"/>
              </w:rPr>
            </w:pPr>
          </w:p>
        </w:tc>
      </w:tr>
      <w:bookmarkEnd w:id="1087"/>
    </w:tbl>
    <w:p w14:paraId="44B3FE8F">
      <w:pPr>
        <w:tabs>
          <w:tab w:val="left" w:pos="1800"/>
          <w:tab w:val="left" w:pos="5580"/>
        </w:tabs>
        <w:jc w:val="left"/>
        <w:rPr>
          <w:rFonts w:hint="eastAsia" w:ascii="宋体" w:hAnsi="宋体" w:eastAsia="宋体" w:cs="宋体"/>
          <w:color w:val="auto"/>
          <w:sz w:val="24"/>
        </w:rPr>
      </w:pPr>
    </w:p>
    <w:p w14:paraId="34C3088A">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注：“偏离情况”列应据实填写“正偏离”或“负偏离”。</w:t>
      </w:r>
    </w:p>
    <w:p w14:paraId="401A9921">
      <w:pPr>
        <w:spacing w:line="360" w:lineRule="auto"/>
        <w:rPr>
          <w:rFonts w:hint="eastAsia" w:ascii="宋体" w:hAnsi="宋体" w:eastAsia="宋体" w:cs="宋体"/>
          <w:color w:val="auto"/>
          <w:sz w:val="24"/>
          <w:szCs w:val="20"/>
        </w:rPr>
      </w:pPr>
    </w:p>
    <w:p w14:paraId="371AE60F">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lang w:val="zh-CN"/>
        </w:rPr>
        <w:t xml:space="preserve">                      </w:t>
      </w:r>
    </w:p>
    <w:p w14:paraId="0E85173D">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    ____________</w:t>
      </w:r>
    </w:p>
    <w:p w14:paraId="04452AB2">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szCs w:val="20"/>
        </w:rPr>
        <w:t xml:space="preserve">日期：_____年______月______日   </w:t>
      </w:r>
    </w:p>
    <w:p w14:paraId="37BA4458">
      <w:pPr>
        <w:numPr>
          <w:ilvl w:val="0"/>
          <w:numId w:val="30"/>
        </w:numPr>
        <w:tabs>
          <w:tab w:val="left" w:pos="360"/>
        </w:tabs>
        <w:snapToGrid w:val="0"/>
        <w:spacing w:line="360" w:lineRule="auto"/>
        <w:outlineLvl w:val="1"/>
        <w:rPr>
          <w:rFonts w:hint="eastAsia" w:ascii="宋体" w:hAnsi="宋体" w:eastAsia="宋体" w:cs="宋体"/>
          <w:color w:val="auto"/>
          <w:sz w:val="24"/>
          <w:szCs w:val="20"/>
        </w:rPr>
      </w:pPr>
      <w:r>
        <w:rPr>
          <w:rFonts w:hint="eastAsia" w:ascii="宋体" w:hAnsi="宋体" w:eastAsia="宋体" w:cs="宋体"/>
          <w:color w:val="auto"/>
          <w:sz w:val="24"/>
          <w:szCs w:val="20"/>
        </w:rPr>
        <w:br w:type="page"/>
      </w:r>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Fonts w:hint="eastAsia" w:ascii="宋体" w:hAnsi="宋体" w:eastAsia="宋体" w:cs="宋体"/>
          <w:color w:val="auto"/>
          <w:sz w:val="24"/>
          <w:szCs w:val="20"/>
        </w:rPr>
        <w:t>采购需求偏离表（实质性格式）</w:t>
      </w:r>
    </w:p>
    <w:p w14:paraId="4D52BB34">
      <w:pPr>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采购需求偏离表</w:t>
      </w:r>
    </w:p>
    <w:p w14:paraId="593D83A1">
      <w:pPr>
        <w:tabs>
          <w:tab w:val="left" w:pos="1800"/>
          <w:tab w:val="left" w:pos="5580"/>
        </w:tabs>
        <w:spacing w:line="360" w:lineRule="auto"/>
        <w:ind w:firstLine="360" w:firstLineChars="150"/>
        <w:jc w:val="left"/>
        <w:rPr>
          <w:rFonts w:hint="eastAsia" w:ascii="宋体" w:hAnsi="宋体" w:eastAsia="宋体" w:cs="宋体"/>
          <w:color w:val="auto"/>
          <w:sz w:val="24"/>
          <w:u w:val="single"/>
        </w:rPr>
      </w:pPr>
      <w:r>
        <w:rPr>
          <w:rFonts w:hint="eastAsia" w:ascii="宋体" w:hAnsi="宋体" w:eastAsia="宋体" w:cs="宋体"/>
          <w:color w:val="auto"/>
          <w:sz w:val="24"/>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472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CE05833">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482" w:type="dxa"/>
            <w:vAlign w:val="center"/>
          </w:tcPr>
          <w:p w14:paraId="2FC95457">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招标文件条目号(页码)</w:t>
            </w:r>
          </w:p>
        </w:tc>
        <w:tc>
          <w:tcPr>
            <w:tcW w:w="2384" w:type="dxa"/>
            <w:vAlign w:val="center"/>
          </w:tcPr>
          <w:p w14:paraId="78462A8A">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招标文件要求</w:t>
            </w:r>
          </w:p>
        </w:tc>
        <w:tc>
          <w:tcPr>
            <w:tcW w:w="2126" w:type="dxa"/>
            <w:vAlign w:val="center"/>
          </w:tcPr>
          <w:p w14:paraId="37C2D5F3">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投标响应内容</w:t>
            </w:r>
          </w:p>
        </w:tc>
        <w:tc>
          <w:tcPr>
            <w:tcW w:w="1875" w:type="dxa"/>
            <w:vAlign w:val="center"/>
          </w:tcPr>
          <w:p w14:paraId="17073A60">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偏离情况</w:t>
            </w:r>
          </w:p>
        </w:tc>
        <w:tc>
          <w:tcPr>
            <w:tcW w:w="1009" w:type="dxa"/>
            <w:vAlign w:val="center"/>
          </w:tcPr>
          <w:p w14:paraId="28882155">
            <w:pPr>
              <w:adjustRightInd w:val="0"/>
              <w:snapToGrid w:val="0"/>
              <w:jc w:val="center"/>
              <w:rPr>
                <w:rFonts w:hint="eastAsia" w:ascii="宋体" w:hAnsi="宋体" w:eastAsia="宋体" w:cs="宋体"/>
                <w:color w:val="auto"/>
                <w:sz w:val="24"/>
              </w:rPr>
            </w:pPr>
            <w:r>
              <w:rPr>
                <w:rFonts w:hint="eastAsia" w:ascii="宋体" w:hAnsi="宋体" w:eastAsia="宋体" w:cs="宋体"/>
                <w:color w:val="auto"/>
                <w:sz w:val="24"/>
              </w:rPr>
              <w:t>说明</w:t>
            </w:r>
          </w:p>
        </w:tc>
      </w:tr>
      <w:tr w14:paraId="79AA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9E639E6">
            <w:pPr>
              <w:adjustRightInd w:val="0"/>
              <w:snapToGrid w:val="0"/>
              <w:jc w:val="center"/>
              <w:rPr>
                <w:rFonts w:hint="eastAsia" w:ascii="宋体" w:hAnsi="宋体" w:eastAsia="宋体" w:cs="宋体"/>
                <w:color w:val="auto"/>
                <w:sz w:val="24"/>
              </w:rPr>
            </w:pPr>
          </w:p>
        </w:tc>
        <w:tc>
          <w:tcPr>
            <w:tcW w:w="1482" w:type="dxa"/>
            <w:vAlign w:val="center"/>
          </w:tcPr>
          <w:p w14:paraId="55911B70">
            <w:pPr>
              <w:adjustRightInd w:val="0"/>
              <w:snapToGrid w:val="0"/>
              <w:jc w:val="center"/>
              <w:rPr>
                <w:rFonts w:hint="eastAsia" w:ascii="宋体" w:hAnsi="宋体" w:eastAsia="宋体" w:cs="宋体"/>
                <w:color w:val="auto"/>
                <w:sz w:val="24"/>
              </w:rPr>
            </w:pPr>
          </w:p>
        </w:tc>
        <w:tc>
          <w:tcPr>
            <w:tcW w:w="2384" w:type="dxa"/>
            <w:vAlign w:val="center"/>
          </w:tcPr>
          <w:p w14:paraId="4FA5D770">
            <w:pPr>
              <w:adjustRightInd w:val="0"/>
              <w:snapToGrid w:val="0"/>
              <w:jc w:val="center"/>
              <w:rPr>
                <w:rFonts w:hint="eastAsia" w:ascii="宋体" w:hAnsi="宋体" w:eastAsia="宋体" w:cs="宋体"/>
                <w:color w:val="auto"/>
                <w:sz w:val="24"/>
              </w:rPr>
            </w:pPr>
          </w:p>
        </w:tc>
        <w:tc>
          <w:tcPr>
            <w:tcW w:w="2126" w:type="dxa"/>
            <w:vAlign w:val="center"/>
          </w:tcPr>
          <w:p w14:paraId="614B41B9">
            <w:pPr>
              <w:adjustRightInd w:val="0"/>
              <w:snapToGrid w:val="0"/>
              <w:jc w:val="center"/>
              <w:rPr>
                <w:rFonts w:hint="eastAsia" w:ascii="宋体" w:hAnsi="宋体" w:eastAsia="宋体" w:cs="宋体"/>
                <w:color w:val="auto"/>
                <w:sz w:val="24"/>
              </w:rPr>
            </w:pPr>
          </w:p>
        </w:tc>
        <w:tc>
          <w:tcPr>
            <w:tcW w:w="1875" w:type="dxa"/>
            <w:vAlign w:val="center"/>
          </w:tcPr>
          <w:p w14:paraId="2F309D33">
            <w:pPr>
              <w:adjustRightInd w:val="0"/>
              <w:snapToGrid w:val="0"/>
              <w:jc w:val="center"/>
              <w:rPr>
                <w:rFonts w:hint="eastAsia" w:ascii="宋体" w:hAnsi="宋体" w:eastAsia="宋体" w:cs="宋体"/>
                <w:color w:val="auto"/>
                <w:sz w:val="24"/>
              </w:rPr>
            </w:pPr>
          </w:p>
        </w:tc>
        <w:tc>
          <w:tcPr>
            <w:tcW w:w="1009" w:type="dxa"/>
            <w:vAlign w:val="center"/>
          </w:tcPr>
          <w:p w14:paraId="0EF8073D">
            <w:pPr>
              <w:adjustRightInd w:val="0"/>
              <w:snapToGrid w:val="0"/>
              <w:jc w:val="center"/>
              <w:rPr>
                <w:rFonts w:hint="eastAsia" w:ascii="宋体" w:hAnsi="宋体" w:eastAsia="宋体" w:cs="宋体"/>
                <w:color w:val="auto"/>
                <w:sz w:val="24"/>
              </w:rPr>
            </w:pPr>
          </w:p>
        </w:tc>
      </w:tr>
      <w:tr w14:paraId="6656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152F7F">
            <w:pPr>
              <w:adjustRightInd w:val="0"/>
              <w:snapToGrid w:val="0"/>
              <w:jc w:val="center"/>
              <w:rPr>
                <w:rFonts w:hint="eastAsia" w:ascii="宋体" w:hAnsi="宋体" w:eastAsia="宋体" w:cs="宋体"/>
                <w:color w:val="auto"/>
                <w:sz w:val="24"/>
              </w:rPr>
            </w:pPr>
          </w:p>
        </w:tc>
        <w:tc>
          <w:tcPr>
            <w:tcW w:w="1482" w:type="dxa"/>
            <w:vAlign w:val="center"/>
          </w:tcPr>
          <w:p w14:paraId="587A8E7D">
            <w:pPr>
              <w:adjustRightInd w:val="0"/>
              <w:snapToGrid w:val="0"/>
              <w:jc w:val="center"/>
              <w:rPr>
                <w:rFonts w:hint="eastAsia" w:ascii="宋体" w:hAnsi="宋体" w:eastAsia="宋体" w:cs="宋体"/>
                <w:color w:val="auto"/>
                <w:sz w:val="24"/>
              </w:rPr>
            </w:pPr>
          </w:p>
        </w:tc>
        <w:tc>
          <w:tcPr>
            <w:tcW w:w="2384" w:type="dxa"/>
            <w:vAlign w:val="center"/>
          </w:tcPr>
          <w:p w14:paraId="78F5EEEF">
            <w:pPr>
              <w:adjustRightInd w:val="0"/>
              <w:snapToGrid w:val="0"/>
              <w:jc w:val="center"/>
              <w:rPr>
                <w:rFonts w:hint="eastAsia" w:ascii="宋体" w:hAnsi="宋体" w:eastAsia="宋体" w:cs="宋体"/>
                <w:color w:val="auto"/>
                <w:sz w:val="24"/>
              </w:rPr>
            </w:pPr>
          </w:p>
        </w:tc>
        <w:tc>
          <w:tcPr>
            <w:tcW w:w="2126" w:type="dxa"/>
            <w:vAlign w:val="center"/>
          </w:tcPr>
          <w:p w14:paraId="2B05286C">
            <w:pPr>
              <w:adjustRightInd w:val="0"/>
              <w:snapToGrid w:val="0"/>
              <w:jc w:val="center"/>
              <w:rPr>
                <w:rFonts w:hint="eastAsia" w:ascii="宋体" w:hAnsi="宋体" w:eastAsia="宋体" w:cs="宋体"/>
                <w:color w:val="auto"/>
                <w:sz w:val="24"/>
              </w:rPr>
            </w:pPr>
          </w:p>
        </w:tc>
        <w:tc>
          <w:tcPr>
            <w:tcW w:w="1875" w:type="dxa"/>
            <w:vAlign w:val="center"/>
          </w:tcPr>
          <w:p w14:paraId="417BA1D4">
            <w:pPr>
              <w:adjustRightInd w:val="0"/>
              <w:snapToGrid w:val="0"/>
              <w:jc w:val="center"/>
              <w:rPr>
                <w:rFonts w:hint="eastAsia" w:ascii="宋体" w:hAnsi="宋体" w:eastAsia="宋体" w:cs="宋体"/>
                <w:color w:val="auto"/>
                <w:sz w:val="24"/>
              </w:rPr>
            </w:pPr>
          </w:p>
        </w:tc>
        <w:tc>
          <w:tcPr>
            <w:tcW w:w="1009" w:type="dxa"/>
            <w:vAlign w:val="center"/>
          </w:tcPr>
          <w:p w14:paraId="4C3DBC6F">
            <w:pPr>
              <w:adjustRightInd w:val="0"/>
              <w:snapToGrid w:val="0"/>
              <w:jc w:val="center"/>
              <w:rPr>
                <w:rFonts w:hint="eastAsia" w:ascii="宋体" w:hAnsi="宋体" w:eastAsia="宋体" w:cs="宋体"/>
                <w:color w:val="auto"/>
                <w:sz w:val="24"/>
              </w:rPr>
            </w:pPr>
          </w:p>
        </w:tc>
      </w:tr>
      <w:tr w14:paraId="5B73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EBF736E">
            <w:pPr>
              <w:adjustRightInd w:val="0"/>
              <w:snapToGrid w:val="0"/>
              <w:jc w:val="center"/>
              <w:rPr>
                <w:rFonts w:hint="eastAsia" w:ascii="宋体" w:hAnsi="宋体" w:eastAsia="宋体" w:cs="宋体"/>
                <w:color w:val="auto"/>
                <w:sz w:val="24"/>
              </w:rPr>
            </w:pPr>
          </w:p>
        </w:tc>
        <w:tc>
          <w:tcPr>
            <w:tcW w:w="1482" w:type="dxa"/>
            <w:vAlign w:val="center"/>
          </w:tcPr>
          <w:p w14:paraId="3B59BCFC">
            <w:pPr>
              <w:adjustRightInd w:val="0"/>
              <w:snapToGrid w:val="0"/>
              <w:jc w:val="center"/>
              <w:rPr>
                <w:rFonts w:hint="eastAsia" w:ascii="宋体" w:hAnsi="宋体" w:eastAsia="宋体" w:cs="宋体"/>
                <w:color w:val="auto"/>
                <w:sz w:val="24"/>
              </w:rPr>
            </w:pPr>
          </w:p>
        </w:tc>
        <w:tc>
          <w:tcPr>
            <w:tcW w:w="2384" w:type="dxa"/>
            <w:vAlign w:val="center"/>
          </w:tcPr>
          <w:p w14:paraId="2D87EDDE">
            <w:pPr>
              <w:adjustRightInd w:val="0"/>
              <w:snapToGrid w:val="0"/>
              <w:jc w:val="center"/>
              <w:rPr>
                <w:rFonts w:hint="eastAsia" w:ascii="宋体" w:hAnsi="宋体" w:eastAsia="宋体" w:cs="宋体"/>
                <w:color w:val="auto"/>
                <w:sz w:val="24"/>
              </w:rPr>
            </w:pPr>
          </w:p>
        </w:tc>
        <w:tc>
          <w:tcPr>
            <w:tcW w:w="2126" w:type="dxa"/>
            <w:vAlign w:val="center"/>
          </w:tcPr>
          <w:p w14:paraId="0D3414CE">
            <w:pPr>
              <w:adjustRightInd w:val="0"/>
              <w:snapToGrid w:val="0"/>
              <w:jc w:val="center"/>
              <w:rPr>
                <w:rFonts w:hint="eastAsia" w:ascii="宋体" w:hAnsi="宋体" w:eastAsia="宋体" w:cs="宋体"/>
                <w:color w:val="auto"/>
                <w:sz w:val="24"/>
              </w:rPr>
            </w:pPr>
          </w:p>
        </w:tc>
        <w:tc>
          <w:tcPr>
            <w:tcW w:w="1875" w:type="dxa"/>
            <w:vAlign w:val="center"/>
          </w:tcPr>
          <w:p w14:paraId="57DEC01F">
            <w:pPr>
              <w:adjustRightInd w:val="0"/>
              <w:snapToGrid w:val="0"/>
              <w:jc w:val="center"/>
              <w:rPr>
                <w:rFonts w:hint="eastAsia" w:ascii="宋体" w:hAnsi="宋体" w:eastAsia="宋体" w:cs="宋体"/>
                <w:color w:val="auto"/>
                <w:sz w:val="24"/>
              </w:rPr>
            </w:pPr>
          </w:p>
        </w:tc>
        <w:tc>
          <w:tcPr>
            <w:tcW w:w="1009" w:type="dxa"/>
            <w:vAlign w:val="center"/>
          </w:tcPr>
          <w:p w14:paraId="2AC77904">
            <w:pPr>
              <w:adjustRightInd w:val="0"/>
              <w:snapToGrid w:val="0"/>
              <w:jc w:val="center"/>
              <w:rPr>
                <w:rFonts w:hint="eastAsia" w:ascii="宋体" w:hAnsi="宋体" w:eastAsia="宋体" w:cs="宋体"/>
                <w:color w:val="auto"/>
                <w:sz w:val="24"/>
              </w:rPr>
            </w:pPr>
          </w:p>
        </w:tc>
      </w:tr>
      <w:tr w14:paraId="4E0E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B55D1E8">
            <w:pPr>
              <w:adjustRightInd w:val="0"/>
              <w:snapToGrid w:val="0"/>
              <w:jc w:val="center"/>
              <w:rPr>
                <w:rFonts w:hint="eastAsia" w:ascii="宋体" w:hAnsi="宋体" w:eastAsia="宋体" w:cs="宋体"/>
                <w:color w:val="auto"/>
                <w:sz w:val="24"/>
              </w:rPr>
            </w:pPr>
          </w:p>
        </w:tc>
        <w:tc>
          <w:tcPr>
            <w:tcW w:w="1482" w:type="dxa"/>
            <w:vAlign w:val="center"/>
          </w:tcPr>
          <w:p w14:paraId="1FA8647E">
            <w:pPr>
              <w:adjustRightInd w:val="0"/>
              <w:snapToGrid w:val="0"/>
              <w:jc w:val="center"/>
              <w:rPr>
                <w:rFonts w:hint="eastAsia" w:ascii="宋体" w:hAnsi="宋体" w:eastAsia="宋体" w:cs="宋体"/>
                <w:color w:val="auto"/>
                <w:sz w:val="24"/>
              </w:rPr>
            </w:pPr>
          </w:p>
        </w:tc>
        <w:tc>
          <w:tcPr>
            <w:tcW w:w="2384" w:type="dxa"/>
            <w:vAlign w:val="center"/>
          </w:tcPr>
          <w:p w14:paraId="68D9BE00">
            <w:pPr>
              <w:adjustRightInd w:val="0"/>
              <w:snapToGrid w:val="0"/>
              <w:jc w:val="center"/>
              <w:rPr>
                <w:rFonts w:hint="eastAsia" w:ascii="宋体" w:hAnsi="宋体" w:eastAsia="宋体" w:cs="宋体"/>
                <w:color w:val="auto"/>
                <w:sz w:val="24"/>
              </w:rPr>
            </w:pPr>
          </w:p>
        </w:tc>
        <w:tc>
          <w:tcPr>
            <w:tcW w:w="2126" w:type="dxa"/>
            <w:vAlign w:val="center"/>
          </w:tcPr>
          <w:p w14:paraId="30C921A7">
            <w:pPr>
              <w:adjustRightInd w:val="0"/>
              <w:snapToGrid w:val="0"/>
              <w:jc w:val="center"/>
              <w:rPr>
                <w:rFonts w:hint="eastAsia" w:ascii="宋体" w:hAnsi="宋体" w:eastAsia="宋体" w:cs="宋体"/>
                <w:color w:val="auto"/>
                <w:sz w:val="24"/>
              </w:rPr>
            </w:pPr>
          </w:p>
        </w:tc>
        <w:tc>
          <w:tcPr>
            <w:tcW w:w="1875" w:type="dxa"/>
            <w:vAlign w:val="center"/>
          </w:tcPr>
          <w:p w14:paraId="16AC3CFC">
            <w:pPr>
              <w:adjustRightInd w:val="0"/>
              <w:snapToGrid w:val="0"/>
              <w:jc w:val="center"/>
              <w:rPr>
                <w:rFonts w:hint="eastAsia" w:ascii="宋体" w:hAnsi="宋体" w:eastAsia="宋体" w:cs="宋体"/>
                <w:color w:val="auto"/>
                <w:sz w:val="24"/>
              </w:rPr>
            </w:pPr>
          </w:p>
        </w:tc>
        <w:tc>
          <w:tcPr>
            <w:tcW w:w="1009" w:type="dxa"/>
            <w:vAlign w:val="center"/>
          </w:tcPr>
          <w:p w14:paraId="04B6B481">
            <w:pPr>
              <w:adjustRightInd w:val="0"/>
              <w:snapToGrid w:val="0"/>
              <w:jc w:val="center"/>
              <w:rPr>
                <w:rFonts w:hint="eastAsia" w:ascii="宋体" w:hAnsi="宋体" w:eastAsia="宋体" w:cs="宋体"/>
                <w:color w:val="auto"/>
                <w:sz w:val="24"/>
              </w:rPr>
            </w:pPr>
          </w:p>
        </w:tc>
      </w:tr>
      <w:tr w14:paraId="45D2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674958">
            <w:pPr>
              <w:adjustRightInd w:val="0"/>
              <w:snapToGrid w:val="0"/>
              <w:jc w:val="center"/>
              <w:rPr>
                <w:rFonts w:hint="eastAsia" w:ascii="宋体" w:hAnsi="宋体" w:eastAsia="宋体" w:cs="宋体"/>
                <w:color w:val="auto"/>
                <w:sz w:val="24"/>
              </w:rPr>
            </w:pPr>
          </w:p>
        </w:tc>
        <w:tc>
          <w:tcPr>
            <w:tcW w:w="1482" w:type="dxa"/>
            <w:vAlign w:val="center"/>
          </w:tcPr>
          <w:p w14:paraId="3673C7ED">
            <w:pPr>
              <w:adjustRightInd w:val="0"/>
              <w:snapToGrid w:val="0"/>
              <w:jc w:val="center"/>
              <w:rPr>
                <w:rFonts w:hint="eastAsia" w:ascii="宋体" w:hAnsi="宋体" w:eastAsia="宋体" w:cs="宋体"/>
                <w:color w:val="auto"/>
                <w:sz w:val="24"/>
              </w:rPr>
            </w:pPr>
          </w:p>
        </w:tc>
        <w:tc>
          <w:tcPr>
            <w:tcW w:w="2384" w:type="dxa"/>
            <w:vAlign w:val="center"/>
          </w:tcPr>
          <w:p w14:paraId="44B8037B">
            <w:pPr>
              <w:adjustRightInd w:val="0"/>
              <w:snapToGrid w:val="0"/>
              <w:jc w:val="center"/>
              <w:rPr>
                <w:rFonts w:hint="eastAsia" w:ascii="宋体" w:hAnsi="宋体" w:eastAsia="宋体" w:cs="宋体"/>
                <w:color w:val="auto"/>
                <w:sz w:val="24"/>
              </w:rPr>
            </w:pPr>
          </w:p>
        </w:tc>
        <w:tc>
          <w:tcPr>
            <w:tcW w:w="2126" w:type="dxa"/>
            <w:vAlign w:val="center"/>
          </w:tcPr>
          <w:p w14:paraId="0BC92A8F">
            <w:pPr>
              <w:adjustRightInd w:val="0"/>
              <w:snapToGrid w:val="0"/>
              <w:jc w:val="center"/>
              <w:rPr>
                <w:rFonts w:hint="eastAsia" w:ascii="宋体" w:hAnsi="宋体" w:eastAsia="宋体" w:cs="宋体"/>
                <w:color w:val="auto"/>
                <w:sz w:val="24"/>
              </w:rPr>
            </w:pPr>
          </w:p>
        </w:tc>
        <w:tc>
          <w:tcPr>
            <w:tcW w:w="1875" w:type="dxa"/>
            <w:vAlign w:val="center"/>
          </w:tcPr>
          <w:p w14:paraId="4508356B">
            <w:pPr>
              <w:adjustRightInd w:val="0"/>
              <w:snapToGrid w:val="0"/>
              <w:jc w:val="center"/>
              <w:rPr>
                <w:rFonts w:hint="eastAsia" w:ascii="宋体" w:hAnsi="宋体" w:eastAsia="宋体" w:cs="宋体"/>
                <w:color w:val="auto"/>
                <w:sz w:val="24"/>
              </w:rPr>
            </w:pPr>
          </w:p>
        </w:tc>
        <w:tc>
          <w:tcPr>
            <w:tcW w:w="1009" w:type="dxa"/>
            <w:vAlign w:val="center"/>
          </w:tcPr>
          <w:p w14:paraId="37BC302D">
            <w:pPr>
              <w:adjustRightInd w:val="0"/>
              <w:snapToGrid w:val="0"/>
              <w:jc w:val="center"/>
              <w:rPr>
                <w:rFonts w:hint="eastAsia" w:ascii="宋体" w:hAnsi="宋体" w:eastAsia="宋体" w:cs="宋体"/>
                <w:color w:val="auto"/>
                <w:sz w:val="24"/>
              </w:rPr>
            </w:pPr>
          </w:p>
        </w:tc>
      </w:tr>
      <w:tr w14:paraId="3C14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3285E4F">
            <w:pPr>
              <w:adjustRightInd w:val="0"/>
              <w:snapToGrid w:val="0"/>
              <w:jc w:val="center"/>
              <w:rPr>
                <w:rFonts w:hint="eastAsia" w:ascii="宋体" w:hAnsi="宋体" w:eastAsia="宋体" w:cs="宋体"/>
                <w:color w:val="auto"/>
                <w:sz w:val="24"/>
              </w:rPr>
            </w:pPr>
          </w:p>
        </w:tc>
        <w:tc>
          <w:tcPr>
            <w:tcW w:w="1482" w:type="dxa"/>
            <w:vAlign w:val="center"/>
          </w:tcPr>
          <w:p w14:paraId="715EDE93">
            <w:pPr>
              <w:adjustRightInd w:val="0"/>
              <w:snapToGrid w:val="0"/>
              <w:jc w:val="center"/>
              <w:rPr>
                <w:rFonts w:hint="eastAsia" w:ascii="宋体" w:hAnsi="宋体" w:eastAsia="宋体" w:cs="宋体"/>
                <w:color w:val="auto"/>
                <w:sz w:val="24"/>
              </w:rPr>
            </w:pPr>
          </w:p>
        </w:tc>
        <w:tc>
          <w:tcPr>
            <w:tcW w:w="2384" w:type="dxa"/>
            <w:vAlign w:val="center"/>
          </w:tcPr>
          <w:p w14:paraId="799FF6CF">
            <w:pPr>
              <w:adjustRightInd w:val="0"/>
              <w:snapToGrid w:val="0"/>
              <w:jc w:val="center"/>
              <w:rPr>
                <w:rFonts w:hint="eastAsia" w:ascii="宋体" w:hAnsi="宋体" w:eastAsia="宋体" w:cs="宋体"/>
                <w:color w:val="auto"/>
                <w:sz w:val="24"/>
              </w:rPr>
            </w:pPr>
          </w:p>
        </w:tc>
        <w:tc>
          <w:tcPr>
            <w:tcW w:w="2126" w:type="dxa"/>
            <w:vAlign w:val="center"/>
          </w:tcPr>
          <w:p w14:paraId="7AD26525">
            <w:pPr>
              <w:adjustRightInd w:val="0"/>
              <w:snapToGrid w:val="0"/>
              <w:jc w:val="center"/>
              <w:rPr>
                <w:rFonts w:hint="eastAsia" w:ascii="宋体" w:hAnsi="宋体" w:eastAsia="宋体" w:cs="宋体"/>
                <w:color w:val="auto"/>
                <w:sz w:val="24"/>
              </w:rPr>
            </w:pPr>
          </w:p>
        </w:tc>
        <w:tc>
          <w:tcPr>
            <w:tcW w:w="1875" w:type="dxa"/>
            <w:vAlign w:val="center"/>
          </w:tcPr>
          <w:p w14:paraId="61286459">
            <w:pPr>
              <w:adjustRightInd w:val="0"/>
              <w:snapToGrid w:val="0"/>
              <w:jc w:val="center"/>
              <w:rPr>
                <w:rFonts w:hint="eastAsia" w:ascii="宋体" w:hAnsi="宋体" w:eastAsia="宋体" w:cs="宋体"/>
                <w:color w:val="auto"/>
                <w:sz w:val="24"/>
              </w:rPr>
            </w:pPr>
          </w:p>
        </w:tc>
        <w:tc>
          <w:tcPr>
            <w:tcW w:w="1009" w:type="dxa"/>
            <w:vAlign w:val="center"/>
          </w:tcPr>
          <w:p w14:paraId="16DE3948">
            <w:pPr>
              <w:adjustRightInd w:val="0"/>
              <w:snapToGrid w:val="0"/>
              <w:jc w:val="center"/>
              <w:rPr>
                <w:rFonts w:hint="eastAsia" w:ascii="宋体" w:hAnsi="宋体" w:eastAsia="宋体" w:cs="宋体"/>
                <w:color w:val="auto"/>
                <w:sz w:val="24"/>
              </w:rPr>
            </w:pPr>
          </w:p>
        </w:tc>
      </w:tr>
    </w:tbl>
    <w:p w14:paraId="37DACEAF">
      <w:pPr>
        <w:tabs>
          <w:tab w:val="left" w:pos="1800"/>
          <w:tab w:val="left" w:pos="5580"/>
        </w:tabs>
        <w:spacing w:line="360" w:lineRule="auto"/>
        <w:ind w:firstLine="360" w:firstLineChars="150"/>
        <w:jc w:val="left"/>
        <w:rPr>
          <w:rFonts w:hint="eastAsia" w:ascii="宋体" w:hAnsi="宋体" w:eastAsia="宋体" w:cs="宋体"/>
          <w:color w:val="auto"/>
          <w:sz w:val="24"/>
          <w:u w:val="single"/>
        </w:rPr>
      </w:pPr>
    </w:p>
    <w:p w14:paraId="70DE0615">
      <w:pPr>
        <w:tabs>
          <w:tab w:val="left" w:pos="1800"/>
          <w:tab w:val="left" w:pos="5580"/>
        </w:tabs>
        <w:spacing w:line="360" w:lineRule="auto"/>
        <w:ind w:firstLine="360" w:firstLineChars="150"/>
        <w:jc w:val="left"/>
        <w:rPr>
          <w:rFonts w:hint="eastAsia" w:ascii="宋体" w:hAnsi="宋体" w:eastAsia="宋体" w:cs="宋体"/>
          <w:color w:val="auto"/>
          <w:sz w:val="24"/>
          <w:u w:val="single"/>
        </w:rPr>
      </w:pPr>
    </w:p>
    <w:p w14:paraId="0071B79B">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注：</w:t>
      </w:r>
    </w:p>
    <w:p w14:paraId="26C2C63A">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1. 对招标文件中的所有商务、技术要求，除本表所列明的所有偏离外，均视作供应商已对之理解和响应。此表中若无任何文字说明，内容为空白的，</w:t>
      </w:r>
      <w:r>
        <w:rPr>
          <w:rFonts w:hint="eastAsia" w:ascii="宋体" w:hAnsi="宋体" w:eastAsia="宋体" w:cs="宋体"/>
          <w:b/>
          <w:color w:val="auto"/>
          <w:sz w:val="24"/>
        </w:rPr>
        <w:t>投标无效。</w:t>
      </w:r>
    </w:p>
    <w:p w14:paraId="158313A0">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2.“偏离情况”列应据实填写“无偏离”、“正偏离”或“负偏离”。</w:t>
      </w:r>
    </w:p>
    <w:p w14:paraId="301DFD65">
      <w:pPr>
        <w:tabs>
          <w:tab w:val="left" w:pos="1800"/>
          <w:tab w:val="left" w:pos="5580"/>
        </w:tabs>
        <w:jc w:val="left"/>
        <w:rPr>
          <w:rFonts w:hint="eastAsia" w:ascii="宋体" w:hAnsi="宋体" w:eastAsia="宋体" w:cs="宋体"/>
          <w:color w:val="auto"/>
          <w:sz w:val="24"/>
        </w:rPr>
      </w:pPr>
    </w:p>
    <w:p w14:paraId="3E1F266B">
      <w:pPr>
        <w:tabs>
          <w:tab w:val="left" w:pos="1800"/>
          <w:tab w:val="left" w:pos="5580"/>
        </w:tabs>
        <w:jc w:val="left"/>
        <w:rPr>
          <w:rFonts w:hint="eastAsia" w:ascii="宋体" w:hAnsi="宋体" w:eastAsia="宋体" w:cs="宋体"/>
          <w:color w:val="auto"/>
          <w:sz w:val="24"/>
        </w:rPr>
      </w:pPr>
    </w:p>
    <w:p w14:paraId="2F7D6540">
      <w:pPr>
        <w:rPr>
          <w:rFonts w:hint="eastAsia" w:ascii="宋体" w:hAnsi="宋体" w:eastAsia="宋体" w:cs="宋体"/>
          <w:color w:val="auto"/>
          <w:sz w:val="24"/>
          <w:szCs w:val="20"/>
        </w:rPr>
      </w:pPr>
    </w:p>
    <w:p w14:paraId="253C39F3">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lang w:val="zh-CN"/>
        </w:rPr>
        <w:t xml:space="preserve">                  </w:t>
      </w:r>
    </w:p>
    <w:p w14:paraId="4E344747">
      <w:pPr>
        <w:autoSpaceDE w:val="0"/>
        <w:autoSpaceDN w:val="0"/>
        <w:adjustRightInd w:val="0"/>
        <w:snapToGrid w:val="0"/>
        <w:spacing w:before="25" w:after="25" w:line="360" w:lineRule="auto"/>
        <w:rPr>
          <w:rFonts w:hint="eastAsia" w:ascii="宋体" w:hAnsi="宋体" w:eastAsia="宋体" w:cs="宋体"/>
          <w:color w:val="auto"/>
          <w:sz w:val="24"/>
          <w:lang w:val="zh-CN"/>
        </w:rPr>
      </w:pPr>
      <w:r>
        <w:rPr>
          <w:rFonts w:hint="eastAsia" w:ascii="宋体" w:hAnsi="宋体" w:eastAsia="宋体" w:cs="宋体"/>
          <w:color w:val="auto"/>
          <w:sz w:val="24"/>
        </w:rPr>
        <w:t>投标人名称（加盖公章）</w:t>
      </w:r>
      <w:r>
        <w:rPr>
          <w:rFonts w:hint="eastAsia" w:ascii="宋体" w:hAnsi="宋体" w:eastAsia="宋体" w:cs="宋体"/>
          <w:color w:val="auto"/>
          <w:sz w:val="24"/>
          <w:lang w:val="zh-CN"/>
        </w:rPr>
        <w:t>：    ____________</w:t>
      </w:r>
    </w:p>
    <w:p w14:paraId="2EC3F602">
      <w:pPr>
        <w:autoSpaceDE w:val="0"/>
        <w:autoSpaceDN w:val="0"/>
        <w:adjustRightInd w:val="0"/>
        <w:snapToGrid w:val="0"/>
        <w:spacing w:before="25" w:after="25" w:line="360" w:lineRule="auto"/>
        <w:rPr>
          <w:rFonts w:hint="eastAsia" w:ascii="宋体" w:hAnsi="宋体" w:eastAsia="宋体" w:cs="宋体"/>
          <w:color w:val="auto"/>
          <w:sz w:val="24"/>
          <w:szCs w:val="20"/>
        </w:rPr>
      </w:pPr>
      <w:r>
        <w:rPr>
          <w:rFonts w:hint="eastAsia" w:ascii="宋体" w:hAnsi="宋体" w:eastAsia="宋体" w:cs="宋体"/>
          <w:color w:val="auto"/>
          <w:sz w:val="24"/>
          <w:szCs w:val="20"/>
        </w:rPr>
        <w:t xml:space="preserve">日期：_____年______月______日   </w:t>
      </w:r>
    </w:p>
    <w:p w14:paraId="7257C55A">
      <w:pPr>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23A2F8FE">
      <w:pPr>
        <w:numPr>
          <w:ilvl w:val="0"/>
          <w:numId w:val="31"/>
        </w:numPr>
        <w:tabs>
          <w:tab w:val="left" w:pos="360"/>
        </w:tabs>
        <w:snapToGrid w:val="0"/>
        <w:spacing w:line="360" w:lineRule="auto"/>
        <w:outlineLvl w:val="1"/>
        <w:rPr>
          <w:color w:val="auto"/>
          <w:sz w:val="24"/>
          <w:szCs w:val="20"/>
        </w:rPr>
      </w:pPr>
      <w:r>
        <w:rPr>
          <w:rFonts w:hint="eastAsia"/>
          <w:color w:val="auto"/>
          <w:sz w:val="24"/>
          <w:szCs w:val="20"/>
        </w:rPr>
        <w:t>本国产品标准证明文件</w:t>
      </w:r>
    </w:p>
    <w:p w14:paraId="62341196">
      <w:pPr>
        <w:pStyle w:val="39"/>
        <w:shd w:val="clear" w:color="auto" w:fill="FFFFFF"/>
        <w:spacing w:before="30" w:beforeAutospacing="0" w:after="30" w:afterAutospacing="0"/>
        <w:jc w:val="center"/>
        <w:rPr>
          <w:color w:val="auto"/>
          <w:sz w:val="36"/>
          <w:szCs w:val="36"/>
        </w:rPr>
      </w:pPr>
      <w:r>
        <w:rPr>
          <w:rStyle w:val="49"/>
          <w:rFonts w:hint="eastAsia"/>
          <w:color w:val="auto"/>
          <w:sz w:val="36"/>
          <w:szCs w:val="36"/>
          <w:shd w:val="clear" w:color="auto" w:fill="FFFFFF"/>
        </w:rPr>
        <w:t>关于符合本国产品标准的声明函</w:t>
      </w:r>
    </w:p>
    <w:p w14:paraId="200EFC0D">
      <w:pPr>
        <w:pStyle w:val="39"/>
        <w:shd w:val="clear" w:color="auto" w:fill="FFFFFF"/>
        <w:spacing w:before="30" w:beforeAutospacing="0" w:after="30" w:afterAutospacing="0"/>
        <w:ind w:firstLine="420"/>
        <w:rPr>
          <w:color w:val="auto"/>
        </w:rPr>
      </w:pPr>
    </w:p>
    <w:p w14:paraId="040A87DA">
      <w:pPr>
        <w:pStyle w:val="39"/>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818D8E1">
      <w:pPr>
        <w:pStyle w:val="39"/>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1.</w:t>
      </w:r>
      <w:r>
        <w:rPr>
          <w:rStyle w:val="52"/>
          <w:rFonts w:hint="eastAsia"/>
          <w:color w:val="auto"/>
          <w:u w:val="single"/>
          <w:shd w:val="clear" w:color="auto" w:fill="FFFFFF"/>
        </w:rPr>
        <w:t>（产品名称1）</w:t>
      </w:r>
      <w:r>
        <w:rPr>
          <w:rStyle w:val="52"/>
          <w:rFonts w:hint="eastAsia"/>
          <w:color w:val="auto"/>
          <w:shd w:val="clear" w:color="auto" w:fill="FFFFFF"/>
          <w:vertAlign w:val="superscript"/>
        </w:rPr>
        <w:t>1</w:t>
      </w:r>
      <w:r>
        <w:rPr>
          <w:rFonts w:hint="eastAsia"/>
          <w:color w:val="auto"/>
          <w:shd w:val="clear" w:color="auto" w:fill="FFFFFF"/>
        </w:rPr>
        <w:t>，生产厂为</w:t>
      </w:r>
      <w:r>
        <w:rPr>
          <w:rStyle w:val="52"/>
          <w:rFonts w:hint="eastAsia"/>
          <w:color w:val="auto"/>
          <w:u w:val="single"/>
          <w:shd w:val="clear" w:color="auto" w:fill="FFFFFF"/>
        </w:rPr>
        <w:t>（厂名）</w:t>
      </w:r>
      <w:r>
        <w:rPr>
          <w:rStyle w:val="52"/>
          <w:rFonts w:hint="eastAsia"/>
          <w:color w:val="auto"/>
          <w:shd w:val="clear" w:color="auto" w:fill="FFFFFF"/>
          <w:vertAlign w:val="superscript"/>
        </w:rPr>
        <w:t>2</w:t>
      </w:r>
      <w:r>
        <w:rPr>
          <w:rFonts w:hint="eastAsia"/>
          <w:color w:val="auto"/>
          <w:shd w:val="clear" w:color="auto" w:fill="FFFFFF"/>
        </w:rPr>
        <w:t>，厂址为</w:t>
      </w:r>
      <w:r>
        <w:rPr>
          <w:rStyle w:val="52"/>
          <w:rFonts w:hint="eastAsia"/>
          <w:color w:val="auto"/>
          <w:u w:val="single"/>
          <w:shd w:val="clear" w:color="auto" w:fill="FFFFFF"/>
        </w:rPr>
        <w:t>（生产厂址）</w:t>
      </w:r>
      <w:r>
        <w:rPr>
          <w:rFonts w:hint="eastAsia"/>
          <w:color w:val="auto"/>
          <w:shd w:val="clear" w:color="auto" w:fill="FFFFFF"/>
        </w:rPr>
        <w:t>。</w:t>
      </w:r>
      <w:r>
        <w:rPr>
          <w:rStyle w:val="52"/>
          <w:rFonts w:hint="eastAsia"/>
          <w:color w:val="auto"/>
          <w:u w:val="single"/>
          <w:shd w:val="clear" w:color="auto" w:fill="FFFFFF"/>
        </w:rPr>
        <w:t>（产品名称1）</w:t>
      </w:r>
      <w:r>
        <w:rPr>
          <w:rFonts w:hint="eastAsia"/>
          <w:color w:val="auto"/>
          <w:shd w:val="clear" w:color="auto" w:fill="FFFFFF"/>
        </w:rPr>
        <w:t>的中国境内生产的组件成本占比≥</w:t>
      </w:r>
      <w:r>
        <w:rPr>
          <w:rStyle w:val="52"/>
          <w:rFonts w:hint="eastAsia"/>
          <w:color w:val="auto"/>
          <w:u w:val="single"/>
          <w:shd w:val="clear" w:color="auto" w:fill="FFFFFF"/>
        </w:rPr>
        <w:t>（规定比例）</w:t>
      </w:r>
      <w:r>
        <w:rPr>
          <w:rStyle w:val="52"/>
          <w:rFonts w:hint="eastAsia"/>
          <w:color w:val="auto"/>
          <w:shd w:val="clear" w:color="auto" w:fill="FFFFFF"/>
          <w:vertAlign w:val="superscript"/>
        </w:rPr>
        <w:t>3</w:t>
      </w:r>
      <w:r>
        <w:rPr>
          <w:rFonts w:hint="eastAsia"/>
          <w:color w:val="auto"/>
          <w:shd w:val="clear" w:color="auto" w:fill="FFFFFF"/>
        </w:rPr>
        <w:t>。</w:t>
      </w:r>
      <w:r>
        <w:rPr>
          <w:rStyle w:val="52"/>
          <w:rFonts w:hint="eastAsia"/>
          <w:color w:val="auto"/>
          <w:u w:val="single"/>
          <w:shd w:val="clear" w:color="auto" w:fill="FFFFFF"/>
        </w:rPr>
        <w:t>（产品名称1）</w:t>
      </w:r>
      <w:r>
        <w:rPr>
          <w:rFonts w:hint="eastAsia"/>
          <w:color w:val="auto"/>
          <w:shd w:val="clear" w:color="auto" w:fill="FFFFFF"/>
        </w:rPr>
        <w:t>的</w:t>
      </w:r>
      <w:r>
        <w:rPr>
          <w:rStyle w:val="52"/>
          <w:rFonts w:hint="eastAsia"/>
          <w:color w:val="auto"/>
          <w:u w:val="single"/>
          <w:shd w:val="clear" w:color="auto" w:fill="FFFFFF"/>
        </w:rPr>
        <w:t>（关键组件）</w:t>
      </w:r>
      <w:r>
        <w:rPr>
          <w:rStyle w:val="52"/>
          <w:rFonts w:hint="eastAsia"/>
          <w:color w:val="auto"/>
          <w:shd w:val="clear" w:color="auto" w:fill="FFFFFF"/>
          <w:vertAlign w:val="superscript"/>
        </w:rPr>
        <w:t>4</w:t>
      </w:r>
      <w:r>
        <w:rPr>
          <w:rFonts w:hint="eastAsia"/>
          <w:color w:val="auto"/>
          <w:shd w:val="clear" w:color="auto" w:fill="FFFFFF"/>
        </w:rPr>
        <w:t>在中国境内生产。</w:t>
      </w:r>
      <w:r>
        <w:rPr>
          <w:rStyle w:val="52"/>
          <w:rFonts w:hint="eastAsia"/>
          <w:color w:val="auto"/>
          <w:u w:val="single"/>
          <w:shd w:val="clear" w:color="auto" w:fill="FFFFFF"/>
        </w:rPr>
        <w:t>（产品名称1）</w:t>
      </w:r>
      <w:r>
        <w:rPr>
          <w:rFonts w:hint="eastAsia"/>
          <w:color w:val="auto"/>
          <w:shd w:val="clear" w:color="auto" w:fill="FFFFFF"/>
        </w:rPr>
        <w:t>的</w:t>
      </w:r>
      <w:r>
        <w:rPr>
          <w:rStyle w:val="52"/>
          <w:rFonts w:hint="eastAsia"/>
          <w:color w:val="auto"/>
          <w:u w:val="single"/>
          <w:shd w:val="clear" w:color="auto" w:fill="FFFFFF"/>
        </w:rPr>
        <w:t>（关键工序）</w:t>
      </w:r>
      <w:r>
        <w:rPr>
          <w:rStyle w:val="52"/>
          <w:rFonts w:hint="eastAsia"/>
          <w:color w:val="auto"/>
          <w:shd w:val="clear" w:color="auto" w:fill="FFFFFF"/>
          <w:vertAlign w:val="superscript"/>
        </w:rPr>
        <w:t>5</w:t>
      </w:r>
      <w:r>
        <w:rPr>
          <w:rFonts w:hint="eastAsia"/>
          <w:color w:val="auto"/>
          <w:shd w:val="clear" w:color="auto" w:fill="FFFFFF"/>
        </w:rPr>
        <w:t>在中国境内完成。</w:t>
      </w:r>
    </w:p>
    <w:p w14:paraId="3198B16E">
      <w:pPr>
        <w:pStyle w:val="39"/>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2.</w:t>
      </w:r>
      <w:r>
        <w:rPr>
          <w:rStyle w:val="52"/>
          <w:rFonts w:hint="eastAsia"/>
          <w:color w:val="auto"/>
          <w:u w:val="single"/>
          <w:shd w:val="clear" w:color="auto" w:fill="FFFFFF"/>
        </w:rPr>
        <w:t>（产品名称2）</w:t>
      </w:r>
      <w:r>
        <w:rPr>
          <w:rFonts w:hint="eastAsia"/>
          <w:color w:val="auto"/>
          <w:shd w:val="clear" w:color="auto" w:fill="FFFFFF"/>
        </w:rPr>
        <w:t>，生产厂为</w:t>
      </w:r>
      <w:r>
        <w:rPr>
          <w:rStyle w:val="52"/>
          <w:rFonts w:hint="eastAsia"/>
          <w:color w:val="auto"/>
          <w:u w:val="single"/>
          <w:shd w:val="clear" w:color="auto" w:fill="FFFFFF"/>
        </w:rPr>
        <w:t>（厂名）</w:t>
      </w:r>
      <w:r>
        <w:rPr>
          <w:rFonts w:hint="eastAsia"/>
          <w:color w:val="auto"/>
          <w:shd w:val="clear" w:color="auto" w:fill="FFFFFF"/>
        </w:rPr>
        <w:t>，厂址为</w:t>
      </w:r>
      <w:r>
        <w:rPr>
          <w:rStyle w:val="52"/>
          <w:rFonts w:hint="eastAsia"/>
          <w:color w:val="auto"/>
          <w:u w:val="single"/>
          <w:shd w:val="clear" w:color="auto" w:fill="FFFFFF"/>
        </w:rPr>
        <w:t>（生产厂址）</w:t>
      </w:r>
      <w:r>
        <w:rPr>
          <w:rFonts w:hint="eastAsia"/>
          <w:color w:val="auto"/>
          <w:shd w:val="clear" w:color="auto" w:fill="FFFFFF"/>
        </w:rPr>
        <w:t>。</w:t>
      </w:r>
      <w:r>
        <w:rPr>
          <w:rStyle w:val="52"/>
          <w:rFonts w:hint="eastAsia"/>
          <w:color w:val="auto"/>
          <w:u w:val="single"/>
          <w:shd w:val="clear" w:color="auto" w:fill="FFFFFF"/>
        </w:rPr>
        <w:t>（产品名称2）</w:t>
      </w:r>
      <w:r>
        <w:rPr>
          <w:rFonts w:hint="eastAsia"/>
          <w:color w:val="auto"/>
          <w:shd w:val="clear" w:color="auto" w:fill="FFFFFF"/>
        </w:rPr>
        <w:t>的中国境内生产的组件成本占比≥</w:t>
      </w:r>
      <w:r>
        <w:rPr>
          <w:rStyle w:val="52"/>
          <w:rFonts w:hint="eastAsia"/>
          <w:color w:val="auto"/>
          <w:u w:val="single"/>
          <w:shd w:val="clear" w:color="auto" w:fill="FFFFFF"/>
        </w:rPr>
        <w:t>（规定比例）</w:t>
      </w:r>
      <w:r>
        <w:rPr>
          <w:rFonts w:hint="eastAsia"/>
          <w:color w:val="auto"/>
          <w:shd w:val="clear" w:color="auto" w:fill="FFFFFF"/>
        </w:rPr>
        <w:t>。</w:t>
      </w:r>
      <w:r>
        <w:rPr>
          <w:rStyle w:val="52"/>
          <w:rFonts w:hint="eastAsia"/>
          <w:color w:val="auto"/>
          <w:u w:val="single"/>
          <w:shd w:val="clear" w:color="auto" w:fill="FFFFFF"/>
        </w:rPr>
        <w:t>（产品名称2）</w:t>
      </w:r>
      <w:r>
        <w:rPr>
          <w:rFonts w:hint="eastAsia"/>
          <w:color w:val="auto"/>
          <w:shd w:val="clear" w:color="auto" w:fill="FFFFFF"/>
        </w:rPr>
        <w:t>的</w:t>
      </w:r>
      <w:r>
        <w:rPr>
          <w:rStyle w:val="52"/>
          <w:rFonts w:hint="eastAsia"/>
          <w:color w:val="auto"/>
          <w:u w:val="single"/>
          <w:shd w:val="clear" w:color="auto" w:fill="FFFFFF"/>
        </w:rPr>
        <w:t>（关键组件）</w:t>
      </w:r>
      <w:r>
        <w:rPr>
          <w:rFonts w:hint="eastAsia"/>
          <w:color w:val="auto"/>
          <w:shd w:val="clear" w:color="auto" w:fill="FFFFFF"/>
        </w:rPr>
        <w:t>在中国境内生产。</w:t>
      </w:r>
      <w:r>
        <w:rPr>
          <w:rStyle w:val="52"/>
          <w:rFonts w:hint="eastAsia"/>
          <w:color w:val="auto"/>
          <w:u w:val="single"/>
          <w:shd w:val="clear" w:color="auto" w:fill="FFFFFF"/>
        </w:rPr>
        <w:t>（产品名称2）</w:t>
      </w:r>
      <w:r>
        <w:rPr>
          <w:rFonts w:hint="eastAsia"/>
          <w:color w:val="auto"/>
          <w:shd w:val="clear" w:color="auto" w:fill="FFFFFF"/>
        </w:rPr>
        <w:t>的</w:t>
      </w:r>
      <w:r>
        <w:rPr>
          <w:rStyle w:val="52"/>
          <w:rFonts w:hint="eastAsia"/>
          <w:color w:val="auto"/>
          <w:u w:val="single"/>
          <w:shd w:val="clear" w:color="auto" w:fill="FFFFFF"/>
        </w:rPr>
        <w:t>（关键工序）</w:t>
      </w:r>
      <w:r>
        <w:rPr>
          <w:rFonts w:hint="eastAsia"/>
          <w:color w:val="auto"/>
          <w:shd w:val="clear" w:color="auto" w:fill="FFFFFF"/>
        </w:rPr>
        <w:t>在中国境内完成。</w:t>
      </w:r>
    </w:p>
    <w:p w14:paraId="68B52206">
      <w:pPr>
        <w:pStyle w:val="39"/>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w:t>
      </w:r>
    </w:p>
    <w:p w14:paraId="07C63681">
      <w:pPr>
        <w:pStyle w:val="39"/>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本公司（单位）对上述声明内容的真实性负责。如有虚假，愿承担相应法律责任。</w:t>
      </w:r>
    </w:p>
    <w:p w14:paraId="0B8B01F0">
      <w:pPr>
        <w:pStyle w:val="39"/>
        <w:shd w:val="clear" w:color="auto" w:fill="FFFFFF"/>
        <w:spacing w:before="0" w:beforeAutospacing="0" w:after="0" w:afterAutospacing="0" w:line="360" w:lineRule="auto"/>
        <w:rPr>
          <w:color w:val="auto"/>
        </w:rPr>
      </w:pPr>
    </w:p>
    <w:p w14:paraId="0DC8C3F3">
      <w:pPr>
        <w:pStyle w:val="39"/>
        <w:shd w:val="clear" w:color="auto" w:fill="FFFFFF"/>
        <w:spacing w:before="0" w:beforeAutospacing="0" w:after="0" w:afterAutospacing="0" w:line="360" w:lineRule="auto"/>
        <w:jc w:val="right"/>
        <w:rPr>
          <w:color w:val="auto"/>
          <w:shd w:val="clear" w:color="auto" w:fill="FFFFFF"/>
        </w:rPr>
      </w:pPr>
    </w:p>
    <w:p w14:paraId="12A4971A">
      <w:pPr>
        <w:pStyle w:val="39"/>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14:paraId="63C66FF7">
      <w:pPr>
        <w:pStyle w:val="39"/>
        <w:shd w:val="clear" w:color="auto" w:fill="FFFFFF"/>
        <w:spacing w:before="0" w:beforeAutospacing="0" w:after="0" w:afterAutospacing="0" w:line="360" w:lineRule="auto"/>
        <w:jc w:val="right"/>
        <w:rPr>
          <w:color w:val="auto"/>
        </w:rPr>
      </w:pPr>
      <w:r>
        <w:rPr>
          <w:rFonts w:hint="eastAsia"/>
          <w:color w:val="auto"/>
          <w:shd w:val="clear" w:color="auto" w:fill="FFFFFF"/>
        </w:rPr>
        <w:t>日期：　     年　  月　  日         </w:t>
      </w:r>
    </w:p>
    <w:p w14:paraId="5FE3D4A6">
      <w:pPr>
        <w:pStyle w:val="39"/>
        <w:shd w:val="clear" w:color="auto" w:fill="FFFFFF"/>
        <w:spacing w:before="0" w:beforeAutospacing="0" w:after="0" w:afterAutospacing="0" w:line="360" w:lineRule="auto"/>
        <w:rPr>
          <w:color w:val="auto"/>
          <w:shd w:val="clear" w:color="auto" w:fill="FFFFFF"/>
        </w:rPr>
      </w:pPr>
    </w:p>
    <w:p w14:paraId="6395E346">
      <w:pPr>
        <w:pStyle w:val="39"/>
        <w:shd w:val="clear" w:color="auto" w:fill="FFFFFF"/>
        <w:spacing w:before="0" w:beforeAutospacing="0" w:after="0" w:afterAutospacing="0" w:line="360" w:lineRule="auto"/>
        <w:rPr>
          <w:color w:val="auto"/>
          <w:shd w:val="clear" w:color="auto" w:fill="FFFFFF"/>
        </w:rPr>
      </w:pPr>
    </w:p>
    <w:p w14:paraId="3E3BB140">
      <w:pPr>
        <w:spacing w:line="360" w:lineRule="auto"/>
        <w:ind w:left="484" w:leftChars="1" w:hanging="482" w:hangingChars="201"/>
        <w:rPr>
          <w:color w:val="auto"/>
          <w:sz w:val="24"/>
          <w:szCs w:val="24"/>
          <w:shd w:val="clear" w:color="auto" w:fill="FFFFFF"/>
        </w:rPr>
      </w:pPr>
      <w:r>
        <w:rPr>
          <w:color w:val="auto"/>
          <w:sz w:val="24"/>
          <w:szCs w:val="24"/>
          <w:shd w:val="clear" w:color="auto" w:fill="FFFFFF"/>
        </w:rPr>
        <w:t>注：1.产品如有型号，请在“产品名称”栏一并填写。</w:t>
      </w:r>
    </w:p>
    <w:p w14:paraId="5F10CEDC">
      <w:pPr>
        <w:spacing w:line="360" w:lineRule="auto"/>
        <w:ind w:left="420" w:leftChars="200"/>
        <w:rPr>
          <w:color w:val="auto"/>
          <w:sz w:val="24"/>
          <w:szCs w:val="24"/>
          <w:shd w:val="clear" w:color="auto" w:fill="FFFFFF"/>
        </w:rPr>
      </w:pPr>
      <w:r>
        <w:rPr>
          <w:color w:val="auto"/>
          <w:sz w:val="24"/>
          <w:szCs w:val="24"/>
          <w:shd w:val="clear" w:color="auto" w:fill="FFFFFF"/>
        </w:rPr>
        <w:t>2.生产厂名与厂址应与生产厂营业执照载明的相关信息保持一致。</w:t>
      </w:r>
    </w:p>
    <w:p w14:paraId="5DB49C12">
      <w:pPr>
        <w:spacing w:line="360" w:lineRule="auto"/>
        <w:ind w:left="420" w:leftChars="200"/>
        <w:rPr>
          <w:color w:val="auto"/>
          <w:sz w:val="24"/>
          <w:szCs w:val="24"/>
          <w:shd w:val="clear" w:color="auto" w:fill="FFFFFF"/>
        </w:rPr>
      </w:pPr>
      <w:r>
        <w:rPr>
          <w:color w:val="auto"/>
          <w:sz w:val="24"/>
          <w:szCs w:val="24"/>
          <w:shd w:val="clear" w:color="auto" w:fill="FFFFFF"/>
        </w:rPr>
        <w:t>3.该产品的中国境内生产的组件成本占比相关要求实施前，“规定比例”栏可不填。</w:t>
      </w:r>
    </w:p>
    <w:p w14:paraId="77FB6CBB">
      <w:pPr>
        <w:spacing w:line="360" w:lineRule="auto"/>
        <w:ind w:left="420" w:leftChars="200"/>
        <w:rPr>
          <w:color w:val="auto"/>
          <w:sz w:val="24"/>
          <w:szCs w:val="24"/>
          <w:shd w:val="clear" w:color="auto" w:fill="FFFFFF"/>
        </w:rPr>
      </w:pPr>
      <w:r>
        <w:rPr>
          <w:color w:val="auto"/>
          <w:sz w:val="24"/>
          <w:szCs w:val="24"/>
          <w:shd w:val="clear" w:color="auto" w:fill="FFFFFF"/>
        </w:rPr>
        <w:t>4.该产品的关键组件要求实施前，“关键组件”栏可不填。</w:t>
      </w:r>
    </w:p>
    <w:p w14:paraId="5C64E130">
      <w:pPr>
        <w:spacing w:line="360" w:lineRule="auto"/>
        <w:ind w:left="420" w:leftChars="200"/>
        <w:rPr>
          <w:color w:val="auto"/>
          <w:sz w:val="24"/>
          <w:szCs w:val="24"/>
          <w:shd w:val="clear" w:color="auto" w:fill="FFFFFF"/>
        </w:rPr>
      </w:pPr>
      <w:r>
        <w:rPr>
          <w:color w:val="auto"/>
          <w:sz w:val="24"/>
          <w:szCs w:val="24"/>
          <w:shd w:val="clear" w:color="auto" w:fill="FFFFFF"/>
        </w:rPr>
        <w:t>5.该产品的关键工序要求实施前，“关键工序”栏可不填。</w:t>
      </w:r>
    </w:p>
    <w:p w14:paraId="18312306">
      <w:pPr>
        <w:rPr>
          <w:color w:val="auto"/>
          <w:sz w:val="24"/>
          <w:szCs w:val="24"/>
          <w:shd w:val="clear" w:color="auto" w:fill="FFFFFF"/>
        </w:rPr>
      </w:pPr>
      <w:r>
        <w:rPr>
          <w:color w:val="auto"/>
          <w:sz w:val="24"/>
          <w:szCs w:val="24"/>
          <w:shd w:val="clear" w:color="auto" w:fill="FFFFFF"/>
        </w:rPr>
        <w:br w:type="page"/>
      </w:r>
    </w:p>
    <w:p w14:paraId="25601626">
      <w:pPr>
        <w:pStyle w:val="39"/>
        <w:shd w:val="clear" w:color="auto" w:fill="FFFFFF"/>
        <w:spacing w:before="30" w:beforeAutospacing="0" w:after="30" w:afterAutospacing="0"/>
        <w:jc w:val="center"/>
        <w:rPr>
          <w:rStyle w:val="49"/>
          <w:color w:val="auto"/>
          <w:sz w:val="36"/>
          <w:szCs w:val="36"/>
        </w:rPr>
      </w:pPr>
      <w:r>
        <w:rPr>
          <w:rStyle w:val="49"/>
          <w:rFonts w:hint="eastAsia"/>
          <w:color w:val="auto"/>
          <w:sz w:val="36"/>
          <w:szCs w:val="36"/>
        </w:rPr>
        <w:t>产品成本占比承诺函</w:t>
      </w:r>
    </w:p>
    <w:p w14:paraId="34DF909C">
      <w:pPr>
        <w:pStyle w:val="39"/>
        <w:shd w:val="clear" w:color="auto" w:fill="FFFFFF"/>
        <w:spacing w:before="30" w:beforeAutospacing="0" w:after="30" w:afterAutospacing="0"/>
        <w:rPr>
          <w:rStyle w:val="49"/>
          <w:color w:val="auto"/>
          <w:sz w:val="36"/>
          <w:szCs w:val="36"/>
        </w:rPr>
      </w:pPr>
    </w:p>
    <w:p w14:paraId="7D69AAC3">
      <w:pPr>
        <w:widowControl/>
        <w:spacing w:line="360" w:lineRule="auto"/>
        <w:ind w:firstLine="480" w:firstLineChars="200"/>
        <w:jc w:val="left"/>
        <w:rPr>
          <w:color w:val="auto"/>
          <w:sz w:val="24"/>
          <w:shd w:val="clear" w:color="auto" w:fill="FFFFFF"/>
        </w:rPr>
      </w:pPr>
      <w:r>
        <w:rPr>
          <w:rFonts w:hint="eastAsia"/>
          <w:color w:val="auto"/>
          <w:sz w:val="24"/>
          <w:shd w:val="clear" w:color="auto" w:fill="FFFFFF"/>
        </w:rPr>
        <w:t>我公司（单位）郑重承诺，我公司已阅读并理解《国务院办公厅关于在政府采购中实施本国产品标准及相关政策的通知》（国办发〔</w:t>
      </w:r>
      <w:r>
        <w:rPr>
          <w:color w:val="auto"/>
          <w:sz w:val="24"/>
          <w:shd w:val="clear" w:color="auto" w:fill="FFFFFF"/>
        </w:rPr>
        <w:t>2025</w:t>
      </w:r>
      <w:r>
        <w:rPr>
          <w:rFonts w:hint="eastAsia"/>
          <w:color w:val="auto"/>
          <w:sz w:val="24"/>
          <w:shd w:val="clear" w:color="auto" w:fill="FFFFFF"/>
        </w:rPr>
        <w:t>〕</w:t>
      </w:r>
      <w:r>
        <w:rPr>
          <w:color w:val="auto"/>
          <w:sz w:val="24"/>
          <w:shd w:val="clear" w:color="auto" w:fill="FFFFFF"/>
        </w:rPr>
        <w:t>34</w:t>
      </w:r>
      <w:r>
        <w:rPr>
          <w:rFonts w:hint="eastAsia"/>
          <w:color w:val="auto"/>
          <w:sz w:val="24"/>
          <w:shd w:val="clear" w:color="auto" w:fill="FFFFFF"/>
        </w:rPr>
        <w:t>号）的规定。据此承诺如下：</w:t>
      </w:r>
    </w:p>
    <w:p w14:paraId="525F4B92">
      <w:pPr>
        <w:widowControl/>
        <w:spacing w:line="360" w:lineRule="auto"/>
        <w:ind w:firstLine="480" w:firstLineChars="200"/>
        <w:jc w:val="left"/>
        <w:rPr>
          <w:color w:val="auto"/>
          <w:spacing w:val="6"/>
          <w:sz w:val="24"/>
        </w:rPr>
      </w:pPr>
      <w:r>
        <w:rPr>
          <w:rFonts w:hint="eastAsia"/>
          <w:color w:val="auto"/>
          <w:sz w:val="24"/>
          <w:shd w:val="clear" w:color="auto" w:fill="FFFFFF"/>
        </w:rPr>
        <w:t>为本采购项目或者采购包提供的符合本国产品标准的产品成本之和占提供的全部产品成本之和的比例为</w:t>
      </w:r>
      <w:r>
        <w:rPr>
          <w:color w:val="auto"/>
          <w:spacing w:val="6"/>
          <w:sz w:val="24"/>
        </w:rPr>
        <w:t>______%</w:t>
      </w:r>
      <w:r>
        <w:rPr>
          <w:rFonts w:hint="eastAsia"/>
          <w:color w:val="auto"/>
          <w:spacing w:val="6"/>
          <w:sz w:val="24"/>
        </w:rPr>
        <w:t>。</w:t>
      </w:r>
    </w:p>
    <w:p w14:paraId="03FA91B6">
      <w:pPr>
        <w:widowControl/>
        <w:spacing w:line="360" w:lineRule="auto"/>
        <w:ind w:firstLine="480" w:firstLineChars="200"/>
        <w:jc w:val="left"/>
        <w:rPr>
          <w:color w:val="auto"/>
          <w:sz w:val="24"/>
        </w:rPr>
      </w:pPr>
    </w:p>
    <w:p w14:paraId="04A2AE70">
      <w:pPr>
        <w:pStyle w:val="39"/>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14:paraId="395FF415">
      <w:pPr>
        <w:widowControl/>
        <w:spacing w:line="360" w:lineRule="auto"/>
        <w:ind w:firstLine="480" w:firstLineChars="200"/>
        <w:jc w:val="right"/>
        <w:rPr>
          <w:color w:val="auto"/>
          <w:sz w:val="24"/>
        </w:rPr>
      </w:pPr>
      <w:r>
        <w:rPr>
          <w:rFonts w:hint="eastAsia"/>
          <w:color w:val="auto"/>
          <w:sz w:val="24"/>
          <w:shd w:val="clear" w:color="auto" w:fill="FFFFFF"/>
        </w:rPr>
        <w:t>日期：　     </w:t>
      </w:r>
      <w:r>
        <w:rPr>
          <w:rFonts w:hint="eastAsia" w:ascii="宋体" w:hAnsi="宋体" w:cs="宋体"/>
          <w:color w:val="auto"/>
          <w:sz w:val="24"/>
          <w:shd w:val="clear" w:color="auto" w:fill="FFFFFF"/>
        </w:rPr>
        <w:t>年　</w:t>
      </w:r>
      <w:r>
        <w:rPr>
          <w:rFonts w:hint="eastAsia"/>
          <w:color w:val="auto"/>
          <w:sz w:val="24"/>
          <w:shd w:val="clear" w:color="auto" w:fill="FFFFFF"/>
        </w:rPr>
        <w:t>  </w:t>
      </w:r>
      <w:r>
        <w:rPr>
          <w:rFonts w:hint="eastAsia" w:ascii="宋体" w:hAnsi="宋体" w:cs="宋体"/>
          <w:color w:val="auto"/>
          <w:sz w:val="24"/>
          <w:shd w:val="clear" w:color="auto" w:fill="FFFFFF"/>
        </w:rPr>
        <w:t>月　</w:t>
      </w:r>
      <w:r>
        <w:rPr>
          <w:rFonts w:hint="eastAsia"/>
          <w:color w:val="auto"/>
          <w:sz w:val="24"/>
          <w:shd w:val="clear" w:color="auto" w:fill="FFFFFF"/>
        </w:rPr>
        <w:t>  </w:t>
      </w:r>
      <w:r>
        <w:rPr>
          <w:rFonts w:hint="eastAsia" w:ascii="宋体" w:hAnsi="宋体" w:cs="宋体"/>
          <w:color w:val="auto"/>
          <w:sz w:val="24"/>
          <w:shd w:val="clear" w:color="auto" w:fill="FFFFFF"/>
        </w:rPr>
        <w:t>日</w:t>
      </w:r>
      <w:r>
        <w:rPr>
          <w:rFonts w:hint="eastAsia"/>
          <w:color w:val="auto"/>
          <w:sz w:val="24"/>
          <w:shd w:val="clear" w:color="auto" w:fill="FFFFFF"/>
        </w:rPr>
        <w:t>     </w:t>
      </w:r>
    </w:p>
    <w:p w14:paraId="6A86B335">
      <w:pPr>
        <w:widowControl/>
        <w:spacing w:line="360" w:lineRule="auto"/>
        <w:jc w:val="left"/>
        <w:rPr>
          <w:color w:val="auto"/>
          <w:sz w:val="24"/>
        </w:rPr>
      </w:pPr>
    </w:p>
    <w:p w14:paraId="6E180550">
      <w:pPr>
        <w:widowControl/>
        <w:spacing w:line="360" w:lineRule="auto"/>
        <w:jc w:val="left"/>
        <w:rPr>
          <w:color w:val="auto"/>
          <w:sz w:val="24"/>
        </w:rPr>
      </w:pPr>
    </w:p>
    <w:p w14:paraId="06F0660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w:t>
      </w:r>
    </w:p>
    <w:p w14:paraId="2EEA5A8F">
      <w:pPr>
        <w:spacing w:line="360" w:lineRule="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1. 本承诺函应按包分别提供。</w:t>
      </w:r>
    </w:p>
    <w:p w14:paraId="26DF6E50">
      <w:pPr>
        <w:spacing w:line="360" w:lineRule="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2. 单一产品采购无须提供本承诺函；供应商提供产品全部为本国产品，且提供了《关于符合本国产品标准的声明函》时，无须提供本承诺函。</w:t>
      </w:r>
    </w:p>
    <w:p w14:paraId="62E8B431">
      <w:pPr>
        <w:spacing w:line="360" w:lineRule="auto"/>
        <w:rPr>
          <w:rFonts w:hint="eastAsia"/>
          <w:color w:val="auto"/>
          <w:sz w:val="24"/>
          <w:szCs w:val="24"/>
          <w:shd w:val="clear" w:color="auto" w:fill="FFFFFF"/>
          <w:lang w:val="zh-CN"/>
        </w:rPr>
      </w:pPr>
      <w:r>
        <w:rPr>
          <w:rFonts w:hint="eastAsia" w:ascii="宋体" w:hAnsi="宋体" w:eastAsia="宋体" w:cs="宋体"/>
          <w:color w:val="auto"/>
          <w:sz w:val="24"/>
          <w:szCs w:val="24"/>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color w:val="auto"/>
          <w:sz w:val="24"/>
          <w:szCs w:val="24"/>
        </w:rPr>
        <w:t>价格评审优惠</w:t>
      </w:r>
      <w:r>
        <w:rPr>
          <w:rFonts w:hint="eastAsia" w:ascii="宋体" w:hAnsi="宋体" w:eastAsia="宋体" w:cs="宋体"/>
          <w:color w:val="auto"/>
          <w:sz w:val="24"/>
          <w:szCs w:val="24"/>
          <w:shd w:val="clear" w:color="auto" w:fill="FFFFFF"/>
        </w:rPr>
        <w:t>。</w:t>
      </w:r>
    </w:p>
    <w:p w14:paraId="0DDA771D">
      <w:pPr>
        <w:rPr>
          <w:rFonts w:hint="eastAsia" w:ascii="宋体" w:hAnsi="宋体" w:eastAsia="宋体" w:cs="宋体"/>
          <w:color w:val="auto"/>
          <w:kern w:val="2"/>
          <w:sz w:val="24"/>
          <w:szCs w:val="20"/>
          <w:lang w:val="en-US" w:eastAsia="zh-CN" w:bidi="ar-SA"/>
        </w:rPr>
      </w:pPr>
      <w:r>
        <w:rPr>
          <w:rFonts w:hint="eastAsia" w:ascii="宋体" w:hAnsi="宋体" w:eastAsia="宋体" w:cs="宋体"/>
          <w:color w:val="auto"/>
          <w:kern w:val="2"/>
          <w:sz w:val="24"/>
          <w:szCs w:val="20"/>
          <w:lang w:val="en-US" w:eastAsia="zh-CN" w:bidi="ar-SA"/>
        </w:rPr>
        <w:br w:type="page"/>
      </w:r>
    </w:p>
    <w:p w14:paraId="1F645FE5">
      <w:pPr>
        <w:widowControl/>
        <w:jc w:val="left"/>
        <w:rPr>
          <w:rFonts w:hint="eastAsia" w:ascii="宋体" w:hAnsi="宋体" w:eastAsia="宋体" w:cs="宋体"/>
          <w:color w:val="auto"/>
          <w:sz w:val="24"/>
          <w:szCs w:val="20"/>
        </w:rPr>
      </w:pPr>
      <w:r>
        <w:rPr>
          <w:rFonts w:hint="eastAsia" w:ascii="宋体" w:hAnsi="宋体" w:cs="宋体"/>
          <w:color w:val="auto"/>
          <w:kern w:val="2"/>
          <w:sz w:val="24"/>
          <w:szCs w:val="20"/>
          <w:lang w:val="en-US" w:eastAsia="zh-CN" w:bidi="ar-SA"/>
        </w:rPr>
        <w:t xml:space="preserve">8   </w:t>
      </w:r>
      <w:r>
        <w:rPr>
          <w:rFonts w:hint="eastAsia" w:ascii="宋体" w:hAnsi="宋体" w:eastAsia="宋体" w:cs="宋体"/>
          <w:color w:val="auto"/>
          <w:sz w:val="24"/>
          <w:szCs w:val="20"/>
        </w:rPr>
        <w:t>中小企业证明文件</w:t>
      </w:r>
    </w:p>
    <w:p w14:paraId="4D7E36AE">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说明：</w:t>
      </w:r>
    </w:p>
    <w:p w14:paraId="4F1178DB">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146DC8A">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92E61FC">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3）对于多标的采购项目，投标人应充分、准确地了解所提供货物的制造企业、提供服务的承接企业信息。对相关情况了解不清楚的，不建议填报本声明函。</w:t>
      </w:r>
    </w:p>
    <w:p w14:paraId="07D83968">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73CAAA2B">
      <w:pPr>
        <w:spacing w:before="240" w:beforeLines="100" w:after="240" w:afterLines="100" w:line="360" w:lineRule="auto"/>
        <w:jc w:val="center"/>
        <w:rPr>
          <w:b/>
          <w:color w:val="auto"/>
          <w:sz w:val="36"/>
          <w:szCs w:val="36"/>
        </w:rPr>
      </w:pPr>
      <w:r>
        <w:rPr>
          <w:rFonts w:hint="eastAsia" w:ascii="宋体" w:hAnsi="宋体" w:eastAsia="宋体" w:cs="宋体"/>
          <w:color w:val="auto"/>
          <w:sz w:val="24"/>
        </w:rPr>
        <w:br w:type="page"/>
      </w:r>
      <w:r>
        <w:rPr>
          <w:b/>
          <w:bCs/>
          <w:color w:val="auto"/>
          <w:sz w:val="36"/>
          <w:szCs w:val="36"/>
        </w:rPr>
        <w:t>中小企业声明函（货物）格式</w:t>
      </w:r>
    </w:p>
    <w:p w14:paraId="79FBBBE2">
      <w:pPr>
        <w:autoSpaceDE w:val="0"/>
        <w:autoSpaceDN w:val="0"/>
        <w:spacing w:line="360" w:lineRule="auto"/>
        <w:ind w:left="220" w:right="415" w:firstLine="640"/>
        <w:jc w:val="left"/>
        <w:rPr>
          <w:color w:val="auto"/>
          <w:kern w:val="0"/>
          <w:sz w:val="24"/>
        </w:rPr>
      </w:pPr>
      <w:r>
        <w:rPr>
          <w:color w:val="auto"/>
          <w:kern w:val="0"/>
          <w:sz w:val="24"/>
        </w:rPr>
        <w:t>本公司（联合体）郑重声明，根据《政府采购促进中小企业发展管理办法》（财库﹝2020﹞46号）的规定，本公司（联合体）参加</w:t>
      </w:r>
      <w:r>
        <w:rPr>
          <w:i w:val="0"/>
          <w:iCs/>
          <w:color w:val="auto"/>
          <w:kern w:val="0"/>
          <w:sz w:val="24"/>
          <w:u w:val="single"/>
        </w:rPr>
        <w:t>（单位名称）</w:t>
      </w:r>
      <w:r>
        <w:rPr>
          <w:color w:val="auto"/>
          <w:kern w:val="0"/>
          <w:sz w:val="24"/>
        </w:rPr>
        <w:t>的</w:t>
      </w:r>
      <w:r>
        <w:rPr>
          <w:i w:val="0"/>
          <w:iCs/>
          <w:color w:val="auto"/>
          <w:kern w:val="0"/>
          <w:sz w:val="24"/>
          <w:u w:val="single"/>
        </w:rPr>
        <w:t>（项目名称）</w:t>
      </w:r>
      <w:r>
        <w:rPr>
          <w:color w:val="auto"/>
          <w:kern w:val="0"/>
          <w:sz w:val="24"/>
        </w:rPr>
        <w:t>采购活动，提供的货物全部由符合政策要求的中小企业制造。相关企业（含联合体中的中小企业、签订分包意向协议的中小企业）的具体情况如下：</w:t>
      </w:r>
    </w:p>
    <w:p w14:paraId="30859353">
      <w:pPr>
        <w:numPr>
          <w:ilvl w:val="0"/>
          <w:numId w:val="32"/>
        </w:numPr>
        <w:tabs>
          <w:tab w:val="left" w:pos="1183"/>
          <w:tab w:val="left" w:pos="1484"/>
          <w:tab w:val="left" w:pos="4662"/>
          <w:tab w:val="left" w:pos="6903"/>
        </w:tabs>
        <w:autoSpaceDE w:val="0"/>
        <w:autoSpaceDN w:val="0"/>
        <w:spacing w:line="360" w:lineRule="auto"/>
        <w:ind w:right="169" w:firstLine="646"/>
        <w:jc w:val="left"/>
        <w:rPr>
          <w:color w:val="auto"/>
          <w:kern w:val="0"/>
          <w:sz w:val="24"/>
          <w:u w:color="000000"/>
        </w:rPr>
      </w:pPr>
      <w:r>
        <w:rPr>
          <w:i w:val="0"/>
          <w:iCs/>
          <w:color w:val="auto"/>
          <w:kern w:val="0"/>
          <w:sz w:val="24"/>
          <w:u w:val="single" w:color="000000"/>
        </w:rPr>
        <w:t>（标的名称）</w:t>
      </w:r>
      <w:r>
        <w:rPr>
          <w:color w:val="auto"/>
          <w:kern w:val="0"/>
          <w:sz w:val="24"/>
          <w:u w:color="000000"/>
        </w:rPr>
        <w:t>，属于</w:t>
      </w:r>
      <w:r>
        <w:rPr>
          <w:i w:val="0"/>
          <w:iCs/>
          <w:color w:val="auto"/>
          <w:kern w:val="0"/>
          <w:sz w:val="24"/>
          <w:u w:color="000000"/>
        </w:rPr>
        <w:t>（</w:t>
      </w:r>
      <w:r>
        <w:rPr>
          <w:i w:val="0"/>
          <w:iCs/>
          <w:color w:val="auto"/>
          <w:kern w:val="0"/>
          <w:sz w:val="24"/>
          <w:u w:val="single" w:color="000000"/>
        </w:rPr>
        <w:t>采购文件中明确的所属行业）行业</w:t>
      </w:r>
      <w:r>
        <w:rPr>
          <w:color w:val="auto"/>
          <w:kern w:val="0"/>
          <w:sz w:val="24"/>
          <w:u w:color="000000"/>
        </w:rPr>
        <w:t>；制造商为</w:t>
      </w:r>
      <w:r>
        <w:rPr>
          <w:i w:val="0"/>
          <w:iCs/>
          <w:color w:val="auto"/>
          <w:kern w:val="0"/>
          <w:sz w:val="24"/>
          <w:u w:val="single" w:color="000000"/>
        </w:rPr>
        <w:t>（企业名称）</w:t>
      </w:r>
      <w:r>
        <w:rPr>
          <w:color w:val="auto"/>
          <w:kern w:val="0"/>
          <w:sz w:val="24"/>
          <w:u w:color="000000"/>
        </w:rPr>
        <w:t>，从业人员</w:t>
      </w:r>
      <w:r>
        <w:rPr>
          <w:color w:val="auto"/>
          <w:kern w:val="0"/>
          <w:sz w:val="24"/>
          <w:u w:val="single" w:color="000000"/>
        </w:rPr>
        <w:tab/>
      </w:r>
      <w:r>
        <w:rPr>
          <w:color w:val="auto"/>
          <w:kern w:val="0"/>
          <w:sz w:val="24"/>
          <w:u w:color="000000"/>
        </w:rPr>
        <w:t>人，营业收入为</w:t>
      </w:r>
      <w:r>
        <w:rPr>
          <w:color w:val="auto"/>
          <w:kern w:val="0"/>
          <w:sz w:val="24"/>
          <w:u w:val="single" w:color="000000"/>
        </w:rPr>
        <w:tab/>
      </w:r>
      <w:r>
        <w:rPr>
          <w:color w:val="auto"/>
          <w:kern w:val="0"/>
          <w:sz w:val="24"/>
          <w:u w:color="000000"/>
        </w:rPr>
        <w:t>万元，资产总额为</w:t>
      </w:r>
      <w:r>
        <w:rPr>
          <w:color w:val="auto"/>
          <w:kern w:val="0"/>
          <w:sz w:val="24"/>
          <w:u w:val="single" w:color="000000"/>
        </w:rPr>
        <w:tab/>
      </w:r>
      <w:r>
        <w:rPr>
          <w:color w:val="auto"/>
          <w:kern w:val="0"/>
          <w:sz w:val="24"/>
          <w:u w:color="000000"/>
        </w:rPr>
        <w:t>万元</w:t>
      </w:r>
      <w:r>
        <w:rPr>
          <w:color w:val="auto"/>
        </w:rPr>
        <w:fldChar w:fldCharType="begin"/>
      </w:r>
      <w:r>
        <w:rPr>
          <w:color w:val="auto"/>
        </w:rPr>
        <w:instrText xml:space="preserve"> HYPERLINK \l "_bookmark0" </w:instrText>
      </w:r>
      <w:r>
        <w:rPr>
          <w:color w:val="auto"/>
        </w:rPr>
        <w:fldChar w:fldCharType="separate"/>
      </w:r>
      <w:r>
        <w:rPr>
          <w:color w:val="auto"/>
          <w:kern w:val="0"/>
          <w:position w:val="16"/>
          <w:sz w:val="24"/>
          <w:u w:color="000000"/>
        </w:rPr>
        <w:t>1</w:t>
      </w:r>
      <w:r>
        <w:rPr>
          <w:color w:val="auto"/>
          <w:kern w:val="0"/>
          <w:position w:val="16"/>
          <w:sz w:val="24"/>
          <w:u w:color="000000"/>
        </w:rPr>
        <w:fldChar w:fldCharType="end"/>
      </w:r>
      <w:r>
        <w:rPr>
          <w:color w:val="auto"/>
          <w:kern w:val="0"/>
          <w:sz w:val="24"/>
          <w:u w:color="000000"/>
        </w:rPr>
        <w:t>，属于</w:t>
      </w:r>
      <w:r>
        <w:rPr>
          <w:i w:val="0"/>
          <w:iCs/>
          <w:color w:val="auto"/>
          <w:kern w:val="0"/>
          <w:sz w:val="24"/>
          <w:u w:val="single" w:color="000000"/>
        </w:rPr>
        <w:t>（中型企业、小型企业、微型企业）</w:t>
      </w:r>
      <w:r>
        <w:rPr>
          <w:color w:val="auto"/>
          <w:kern w:val="0"/>
          <w:sz w:val="24"/>
          <w:u w:color="000000"/>
        </w:rPr>
        <w:t>；</w:t>
      </w:r>
    </w:p>
    <w:p w14:paraId="438DF647">
      <w:pPr>
        <w:numPr>
          <w:ilvl w:val="0"/>
          <w:numId w:val="32"/>
        </w:numPr>
        <w:tabs>
          <w:tab w:val="left" w:pos="1165"/>
          <w:tab w:val="left" w:pos="1183"/>
          <w:tab w:val="left" w:pos="4362"/>
          <w:tab w:val="left" w:pos="6577"/>
        </w:tabs>
        <w:autoSpaceDE w:val="0"/>
        <w:autoSpaceDN w:val="0"/>
        <w:spacing w:line="360" w:lineRule="auto"/>
        <w:ind w:right="169" w:firstLine="646"/>
        <w:jc w:val="left"/>
        <w:rPr>
          <w:color w:val="auto"/>
          <w:kern w:val="0"/>
          <w:sz w:val="24"/>
          <w:u w:color="000000"/>
        </w:rPr>
      </w:pPr>
      <w:r>
        <w:rPr>
          <w:i w:val="0"/>
          <w:iCs/>
          <w:color w:val="auto"/>
          <w:kern w:val="0"/>
          <w:sz w:val="24"/>
          <w:u w:val="single" w:color="000000"/>
        </w:rPr>
        <w:t>（标的名称）</w:t>
      </w:r>
      <w:r>
        <w:rPr>
          <w:color w:val="auto"/>
          <w:kern w:val="0"/>
          <w:sz w:val="24"/>
          <w:u w:color="000000"/>
        </w:rPr>
        <w:t>，属于</w:t>
      </w:r>
      <w:r>
        <w:rPr>
          <w:i w:val="0"/>
          <w:iCs/>
          <w:color w:val="auto"/>
          <w:kern w:val="0"/>
          <w:sz w:val="24"/>
          <w:u w:color="000000"/>
        </w:rPr>
        <w:t>（</w:t>
      </w:r>
      <w:r>
        <w:rPr>
          <w:i w:val="0"/>
          <w:iCs/>
          <w:color w:val="auto"/>
          <w:kern w:val="0"/>
          <w:sz w:val="24"/>
          <w:u w:val="single" w:color="000000"/>
        </w:rPr>
        <w:t>采购文件中明确的所属行业）行业</w:t>
      </w:r>
      <w:r>
        <w:rPr>
          <w:color w:val="auto"/>
          <w:kern w:val="0"/>
          <w:sz w:val="24"/>
          <w:u w:color="000000"/>
        </w:rPr>
        <w:t>；制造商为</w:t>
      </w:r>
      <w:r>
        <w:rPr>
          <w:i w:val="0"/>
          <w:iCs/>
          <w:color w:val="auto"/>
          <w:kern w:val="0"/>
          <w:sz w:val="24"/>
          <w:u w:val="single" w:color="000000"/>
        </w:rPr>
        <w:t>（企业名称）</w:t>
      </w:r>
      <w:r>
        <w:rPr>
          <w:color w:val="auto"/>
          <w:kern w:val="0"/>
          <w:sz w:val="24"/>
          <w:u w:color="000000"/>
        </w:rPr>
        <w:t>，从业人员</w:t>
      </w:r>
      <w:r>
        <w:rPr>
          <w:color w:val="auto"/>
          <w:kern w:val="0"/>
          <w:sz w:val="24"/>
          <w:u w:val="single" w:color="000000"/>
        </w:rPr>
        <w:tab/>
      </w:r>
      <w:r>
        <w:rPr>
          <w:color w:val="auto"/>
          <w:kern w:val="0"/>
          <w:sz w:val="24"/>
          <w:u w:color="000000"/>
        </w:rPr>
        <w:t>人，营业收入为</w:t>
      </w:r>
      <w:r>
        <w:rPr>
          <w:color w:val="auto"/>
          <w:kern w:val="0"/>
          <w:sz w:val="24"/>
          <w:u w:val="single" w:color="000000"/>
        </w:rPr>
        <w:tab/>
      </w:r>
      <w:r>
        <w:rPr>
          <w:color w:val="auto"/>
          <w:kern w:val="0"/>
          <w:sz w:val="24"/>
          <w:u w:color="000000"/>
        </w:rPr>
        <w:t>万元，资产总额为</w:t>
      </w:r>
      <w:r>
        <w:rPr>
          <w:color w:val="auto"/>
          <w:kern w:val="0"/>
          <w:sz w:val="24"/>
          <w:u w:val="single" w:color="000000"/>
        </w:rPr>
        <w:tab/>
      </w:r>
      <w:r>
        <w:rPr>
          <w:color w:val="auto"/>
          <w:kern w:val="0"/>
          <w:sz w:val="24"/>
          <w:u w:color="000000"/>
        </w:rPr>
        <w:t>万元，属于</w:t>
      </w:r>
      <w:r>
        <w:rPr>
          <w:i w:val="0"/>
          <w:iCs/>
          <w:color w:val="auto"/>
          <w:kern w:val="0"/>
          <w:sz w:val="24"/>
          <w:u w:val="single" w:color="000000"/>
        </w:rPr>
        <w:t>（中型企业、小型企业、微型企业）</w:t>
      </w:r>
      <w:r>
        <w:rPr>
          <w:color w:val="auto"/>
          <w:kern w:val="0"/>
          <w:sz w:val="24"/>
          <w:u w:color="000000"/>
        </w:rPr>
        <w:t>；</w:t>
      </w:r>
    </w:p>
    <w:p w14:paraId="0B7E5ADA">
      <w:pPr>
        <w:autoSpaceDE w:val="0"/>
        <w:autoSpaceDN w:val="0"/>
        <w:spacing w:line="360" w:lineRule="auto"/>
        <w:ind w:left="860"/>
        <w:jc w:val="left"/>
        <w:rPr>
          <w:color w:val="auto"/>
          <w:kern w:val="0"/>
          <w:sz w:val="24"/>
        </w:rPr>
      </w:pPr>
      <w:r>
        <w:rPr>
          <w:color w:val="auto"/>
          <w:kern w:val="0"/>
          <w:sz w:val="24"/>
        </w:rPr>
        <w:t>……</w:t>
      </w:r>
    </w:p>
    <w:p w14:paraId="684F6B7C">
      <w:pPr>
        <w:autoSpaceDE w:val="0"/>
        <w:autoSpaceDN w:val="0"/>
        <w:spacing w:line="360" w:lineRule="auto"/>
        <w:ind w:left="220" w:right="417" w:firstLine="645"/>
        <w:rPr>
          <w:color w:val="auto"/>
          <w:kern w:val="0"/>
          <w:sz w:val="24"/>
        </w:rPr>
      </w:pPr>
      <w:r>
        <w:rPr>
          <w:color w:val="auto"/>
          <w:kern w:val="0"/>
          <w:sz w:val="24"/>
        </w:rPr>
        <w:t>以上企业，不属于大企业的分支机构，不存在控股股东为大企业的情形，也不存在与大企业的负责人为同一人的情形。</w:t>
      </w:r>
    </w:p>
    <w:p w14:paraId="7288DE03">
      <w:pPr>
        <w:autoSpaceDE w:val="0"/>
        <w:autoSpaceDN w:val="0"/>
        <w:spacing w:line="360" w:lineRule="auto"/>
        <w:ind w:left="220" w:right="372" w:firstLine="645"/>
        <w:jc w:val="left"/>
        <w:rPr>
          <w:color w:val="auto"/>
          <w:kern w:val="0"/>
          <w:sz w:val="24"/>
        </w:rPr>
      </w:pPr>
      <w:r>
        <w:rPr>
          <w:color w:val="auto"/>
          <w:kern w:val="0"/>
          <w:sz w:val="24"/>
        </w:rPr>
        <w:t>本企业对上述声明内容的真实性负责。如有虚假，将依法承担相应责任。</w:t>
      </w:r>
    </w:p>
    <w:p w14:paraId="42EF6BFB">
      <w:pPr>
        <w:spacing w:line="360" w:lineRule="auto"/>
        <w:ind w:firstLine="504"/>
        <w:rPr>
          <w:color w:val="auto"/>
          <w:spacing w:val="6"/>
          <w:sz w:val="24"/>
        </w:rPr>
      </w:pPr>
    </w:p>
    <w:p w14:paraId="6A32A1AB">
      <w:pPr>
        <w:spacing w:line="360" w:lineRule="auto"/>
        <w:ind w:firstLine="504"/>
        <w:rPr>
          <w:color w:val="auto"/>
          <w:spacing w:val="6"/>
          <w:sz w:val="24"/>
        </w:rPr>
      </w:pPr>
    </w:p>
    <w:p w14:paraId="572511BD">
      <w:pPr>
        <w:spacing w:line="360" w:lineRule="auto"/>
        <w:ind w:right="360" w:firstLine="480"/>
        <w:jc w:val="right"/>
        <w:rPr>
          <w:color w:val="auto"/>
          <w:sz w:val="24"/>
        </w:rPr>
      </w:pPr>
      <w:r>
        <w:rPr>
          <w:color w:val="auto"/>
          <w:sz w:val="24"/>
        </w:rPr>
        <w:t>企业名称（盖章）：________</w:t>
      </w:r>
    </w:p>
    <w:p w14:paraId="6BF81584">
      <w:pPr>
        <w:spacing w:line="360" w:lineRule="auto"/>
        <w:ind w:right="360" w:firstLine="480"/>
        <w:jc w:val="right"/>
        <w:rPr>
          <w:rFonts w:hint="eastAsia" w:ascii="宋体" w:hAnsi="宋体" w:eastAsia="宋体" w:cs="宋体"/>
          <w:color w:val="auto"/>
          <w:sz w:val="24"/>
        </w:rPr>
      </w:pPr>
      <w:r>
        <w:rPr>
          <w:color w:val="auto"/>
          <w:sz w:val="24"/>
        </w:rPr>
        <w:t>日 期：________</w:t>
      </w:r>
    </w:p>
    <w:p w14:paraId="13218C5A">
      <w:pPr>
        <w:spacing w:line="360" w:lineRule="auto"/>
        <w:ind w:right="360" w:firstLine="480"/>
        <w:jc w:val="right"/>
        <w:rPr>
          <w:rFonts w:hint="eastAsia" w:ascii="宋体" w:hAnsi="宋体" w:eastAsia="宋体" w:cs="宋体"/>
          <w:color w:val="auto"/>
          <w:sz w:val="24"/>
        </w:rPr>
      </w:pPr>
    </w:p>
    <w:p w14:paraId="23A37EDA">
      <w:pPr>
        <w:adjustRightInd w:val="0"/>
        <w:snapToGrid w:val="0"/>
        <w:jc w:val="left"/>
        <w:rPr>
          <w:rFonts w:hint="eastAsia" w:ascii="宋体" w:hAnsi="宋体" w:eastAsia="宋体" w:cs="宋体"/>
          <w:color w:val="auto"/>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C7EB3F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82CB418">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vertAlign w:val="superscript"/>
              </w:rPr>
              <w:t>1</w:t>
            </w:r>
            <w:r>
              <w:rPr>
                <w:rFonts w:hint="eastAsia" w:ascii="宋体" w:hAnsi="宋体" w:eastAsia="宋体" w:cs="宋体"/>
                <w:color w:val="auto"/>
                <w:szCs w:val="21"/>
              </w:rPr>
              <w:t>从业人员、营业收入、资产总额填报上一年度数据，无上一年度数据的新成立企业可不填报。</w:t>
            </w:r>
          </w:p>
        </w:tc>
      </w:tr>
    </w:tbl>
    <w:p w14:paraId="24E94CB0">
      <w:pPr>
        <w:adjustRightInd w:val="0"/>
        <w:snapToGrid w:val="0"/>
        <w:jc w:val="left"/>
        <w:rPr>
          <w:rFonts w:hint="eastAsia" w:ascii="宋体" w:hAnsi="宋体" w:eastAsia="宋体" w:cs="宋体"/>
          <w:color w:val="auto"/>
          <w:szCs w:val="21"/>
          <w:vertAlign w:val="superscript"/>
        </w:rPr>
      </w:pPr>
    </w:p>
    <w:p w14:paraId="1D456291">
      <w:pPr>
        <w:spacing w:line="360" w:lineRule="auto"/>
        <w:ind w:right="360" w:firstLine="480"/>
        <w:jc w:val="right"/>
        <w:rPr>
          <w:rFonts w:hint="eastAsia" w:ascii="宋体" w:hAnsi="宋体" w:eastAsia="宋体" w:cs="宋体"/>
          <w:color w:val="auto"/>
          <w:sz w:val="24"/>
        </w:rPr>
      </w:pPr>
    </w:p>
    <w:p w14:paraId="652E7363">
      <w:pPr>
        <w:spacing w:line="360" w:lineRule="auto"/>
        <w:ind w:right="360" w:firstLine="480"/>
        <w:jc w:val="right"/>
        <w:rPr>
          <w:rFonts w:hint="eastAsia" w:ascii="宋体" w:hAnsi="宋体" w:eastAsia="宋体" w:cs="宋体"/>
          <w:color w:val="auto"/>
          <w:sz w:val="24"/>
        </w:rPr>
      </w:pPr>
    </w:p>
    <w:p w14:paraId="3859A879">
      <w:pPr>
        <w:spacing w:line="360" w:lineRule="auto"/>
        <w:outlineLvl w:val="2"/>
        <w:rPr>
          <w:rFonts w:hint="eastAsia" w:ascii="宋体" w:hAnsi="宋体" w:eastAsia="宋体" w:cs="宋体"/>
          <w:color w:val="auto"/>
          <w:sz w:val="24"/>
          <w:szCs w:val="20"/>
        </w:rPr>
      </w:pPr>
      <w:r>
        <w:rPr>
          <w:rFonts w:hint="eastAsia" w:ascii="宋体" w:hAnsi="宋体" w:eastAsia="宋体" w:cs="宋体"/>
          <w:color w:val="auto"/>
          <w:sz w:val="24"/>
          <w:szCs w:val="20"/>
        </w:rPr>
        <w:br w:type="page"/>
      </w:r>
    </w:p>
    <w:p w14:paraId="1249EB93">
      <w:pPr>
        <w:spacing w:before="240" w:beforeLines="100" w:after="240" w:afterLines="100" w:line="360" w:lineRule="auto"/>
        <w:jc w:val="center"/>
        <w:rPr>
          <w:rFonts w:hint="eastAsia" w:ascii="宋体" w:hAnsi="宋体" w:eastAsia="宋体" w:cs="宋体"/>
          <w:color w:val="auto"/>
          <w:sz w:val="36"/>
          <w:szCs w:val="36"/>
        </w:rPr>
      </w:pPr>
      <w:r>
        <w:rPr>
          <w:rFonts w:hint="eastAsia" w:ascii="宋体" w:hAnsi="宋体" w:eastAsia="宋体" w:cs="宋体"/>
          <w:b/>
          <w:bCs/>
          <w:color w:val="auto"/>
          <w:sz w:val="36"/>
          <w:szCs w:val="36"/>
        </w:rPr>
        <w:t>残疾人福利性单位声明函格式</w:t>
      </w:r>
      <w:r>
        <w:rPr>
          <w:rFonts w:hint="eastAsia" w:ascii="宋体" w:hAnsi="宋体" w:eastAsia="宋体" w:cs="宋体"/>
          <w:color w:val="auto"/>
          <w:sz w:val="36"/>
          <w:szCs w:val="36"/>
        </w:rPr>
        <w:t xml:space="preserve"> </w:t>
      </w:r>
    </w:p>
    <w:p w14:paraId="3A3B4E7C">
      <w:pPr>
        <w:spacing w:line="588" w:lineRule="exact"/>
        <w:ind w:firstLine="504"/>
        <w:rPr>
          <w:rFonts w:hint="eastAsia" w:ascii="宋体" w:hAnsi="宋体" w:eastAsia="宋体" w:cs="宋体"/>
          <w:color w:val="auto"/>
          <w:spacing w:val="6"/>
          <w:sz w:val="24"/>
        </w:rPr>
      </w:pPr>
      <w:r>
        <w:rPr>
          <w:rFonts w:hint="eastAsia" w:ascii="宋体" w:hAnsi="宋体" w:eastAsia="宋体" w:cs="宋体"/>
          <w:color w:val="auto"/>
          <w:spacing w:val="6"/>
          <w:sz w:val="24"/>
        </w:rPr>
        <w:t>本单位郑重声明，根据《财政部 民政部 中国残疾人联合会关于促进残疾人就业政府采购政策的通知》（财库</w:t>
      </w:r>
      <w:r>
        <w:rPr>
          <w:rFonts w:hint="eastAsia" w:ascii="宋体" w:hAnsi="宋体" w:eastAsia="宋体" w:cs="宋体"/>
          <w:color w:val="auto"/>
          <w:sz w:val="24"/>
        </w:rPr>
        <w:t>〔2017〕141</w:t>
      </w:r>
      <w:r>
        <w:rPr>
          <w:rFonts w:hint="eastAsia" w:ascii="宋体" w:hAnsi="宋体" w:eastAsia="宋体" w:cs="宋体"/>
          <w:color w:val="auto"/>
          <w:spacing w:val="6"/>
          <w:sz w:val="24"/>
        </w:rPr>
        <w:t>号）的规定，本单位</w:t>
      </w:r>
      <w:r>
        <w:rPr>
          <w:rFonts w:hint="eastAsia" w:ascii="宋体" w:hAnsi="宋体" w:eastAsia="宋体" w:cs="宋体"/>
          <w:b/>
          <w:color w:val="auto"/>
          <w:sz w:val="24"/>
        </w:rPr>
        <w:t>（请进行选择）</w:t>
      </w:r>
      <w:r>
        <w:rPr>
          <w:rFonts w:hint="eastAsia" w:ascii="宋体" w:hAnsi="宋体" w:eastAsia="宋体" w:cs="宋体"/>
          <w:color w:val="auto"/>
          <w:spacing w:val="6"/>
          <w:sz w:val="24"/>
        </w:rPr>
        <w:t>：</w:t>
      </w:r>
    </w:p>
    <w:p w14:paraId="436F394C">
      <w:pPr>
        <w:spacing w:line="588" w:lineRule="exact"/>
        <w:ind w:firstLine="482"/>
        <w:rPr>
          <w:rFonts w:hint="eastAsia" w:ascii="宋体" w:hAnsi="宋体" w:eastAsia="宋体" w:cs="宋体"/>
          <w:b/>
          <w:color w:val="auto"/>
          <w:spacing w:val="6"/>
          <w:sz w:val="24"/>
        </w:rPr>
      </w:pPr>
      <w:r>
        <w:rPr>
          <w:rFonts w:hint="eastAsia" w:ascii="宋体" w:hAnsi="宋体" w:eastAsia="宋体" w:cs="宋体"/>
          <w:b/>
          <w:color w:val="auto"/>
          <w:sz w:val="24"/>
        </w:rPr>
        <w:t>□</w:t>
      </w:r>
      <w:r>
        <w:rPr>
          <w:rFonts w:hint="eastAsia" w:ascii="宋体" w:hAnsi="宋体" w:eastAsia="宋体" w:cs="宋体"/>
          <w:b/>
          <w:color w:val="auto"/>
          <w:spacing w:val="6"/>
          <w:sz w:val="24"/>
        </w:rPr>
        <w:t>不属于符合条件的残疾人福利性单位。</w:t>
      </w:r>
    </w:p>
    <w:p w14:paraId="3C2DC363">
      <w:pPr>
        <w:spacing w:line="588" w:lineRule="exact"/>
        <w:ind w:firstLine="482"/>
        <w:rPr>
          <w:rFonts w:hint="eastAsia" w:ascii="宋体" w:hAnsi="宋体" w:eastAsia="宋体" w:cs="宋体"/>
          <w:color w:val="auto"/>
          <w:spacing w:val="6"/>
          <w:sz w:val="24"/>
        </w:rPr>
      </w:pPr>
      <w:r>
        <w:rPr>
          <w:rFonts w:hint="eastAsia" w:ascii="宋体" w:hAnsi="宋体" w:eastAsia="宋体" w:cs="宋体"/>
          <w:b/>
          <w:color w:val="auto"/>
          <w:sz w:val="24"/>
        </w:rPr>
        <w:t>□</w:t>
      </w:r>
      <w:r>
        <w:rPr>
          <w:rFonts w:hint="eastAsia" w:ascii="宋体" w:hAnsi="宋体" w:eastAsia="宋体" w:cs="宋体"/>
          <w:b/>
          <w:color w:val="auto"/>
          <w:spacing w:val="6"/>
          <w:sz w:val="24"/>
        </w:rPr>
        <w:t>属于符合条件的残疾人福利性单位，</w:t>
      </w:r>
      <w:r>
        <w:rPr>
          <w:rFonts w:hint="eastAsia" w:ascii="宋体" w:hAnsi="宋体" w:eastAsia="宋体" w:cs="宋体"/>
          <w:color w:val="auto"/>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532AE1D">
      <w:pPr>
        <w:spacing w:line="588" w:lineRule="exact"/>
        <w:ind w:firstLine="506" w:firstLineChars="200"/>
        <w:rPr>
          <w:rFonts w:hint="eastAsia" w:ascii="宋体" w:hAnsi="宋体" w:eastAsia="宋体" w:cs="宋体"/>
          <w:color w:val="auto"/>
          <w:spacing w:val="6"/>
          <w:sz w:val="24"/>
        </w:rPr>
      </w:pPr>
      <w:r>
        <w:rPr>
          <w:rFonts w:hint="eastAsia" w:ascii="宋体" w:hAnsi="宋体" w:eastAsia="宋体" w:cs="宋体"/>
          <w:b/>
          <w:color w:val="auto"/>
          <w:spacing w:val="6"/>
          <w:sz w:val="24"/>
        </w:rPr>
        <w:t>本单位对上述声明的真实性负责。如有虚假，将依法承担相应责任。</w:t>
      </w:r>
    </w:p>
    <w:p w14:paraId="313C5CE7">
      <w:pPr>
        <w:spacing w:line="588" w:lineRule="exact"/>
        <w:ind w:firstLine="504" w:firstLineChars="200"/>
        <w:rPr>
          <w:rFonts w:hint="eastAsia" w:ascii="宋体" w:hAnsi="宋体" w:eastAsia="宋体" w:cs="宋体"/>
          <w:color w:val="auto"/>
          <w:spacing w:val="6"/>
          <w:sz w:val="24"/>
        </w:rPr>
      </w:pPr>
    </w:p>
    <w:p w14:paraId="5B1A2C49">
      <w:pPr>
        <w:spacing w:line="588" w:lineRule="exact"/>
        <w:ind w:firstLine="504" w:firstLineChars="200"/>
        <w:rPr>
          <w:rFonts w:hint="eastAsia" w:ascii="宋体" w:hAnsi="宋体" w:eastAsia="宋体" w:cs="宋体"/>
          <w:color w:val="auto"/>
          <w:spacing w:val="6"/>
          <w:sz w:val="24"/>
        </w:rPr>
      </w:pPr>
    </w:p>
    <w:p w14:paraId="69240AE2">
      <w:pPr>
        <w:tabs>
          <w:tab w:val="left" w:pos="4860"/>
        </w:tabs>
        <w:spacing w:line="588" w:lineRule="exact"/>
        <w:ind w:right="1560" w:firstLine="504" w:firstLineChars="200"/>
        <w:jc w:val="center"/>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单位名称（盖章）：</w:t>
      </w:r>
    </w:p>
    <w:p w14:paraId="489DB102">
      <w:pPr>
        <w:tabs>
          <w:tab w:val="left" w:pos="4860"/>
        </w:tabs>
        <w:spacing w:line="588" w:lineRule="exact"/>
        <w:ind w:right="1560" w:firstLine="504" w:firstLineChars="200"/>
        <w:jc w:val="center"/>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日  期：</w:t>
      </w:r>
    </w:p>
    <w:p w14:paraId="65EFAE88">
      <w:pPr>
        <w:rPr>
          <w:rFonts w:hint="eastAsia" w:ascii="宋体" w:hAnsi="宋体" w:cs="宋体"/>
          <w:color w:val="auto"/>
          <w:kern w:val="2"/>
          <w:sz w:val="24"/>
          <w:szCs w:val="20"/>
          <w:lang w:val="en-US" w:eastAsia="zh-CN" w:bidi="ar-SA"/>
        </w:rPr>
      </w:pPr>
      <w:r>
        <w:rPr>
          <w:rFonts w:hint="eastAsia" w:ascii="宋体" w:hAnsi="宋体" w:cs="宋体"/>
          <w:color w:val="auto"/>
          <w:kern w:val="2"/>
          <w:sz w:val="24"/>
          <w:szCs w:val="20"/>
          <w:lang w:val="en-US" w:eastAsia="zh-CN" w:bidi="ar-SA"/>
        </w:rPr>
        <w:br w:type="page"/>
      </w:r>
    </w:p>
    <w:p w14:paraId="11439982">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auto"/>
          <w:sz w:val="24"/>
          <w:szCs w:val="20"/>
        </w:rPr>
      </w:pPr>
      <w:r>
        <w:rPr>
          <w:rFonts w:hint="eastAsia" w:ascii="宋体" w:hAnsi="宋体" w:cs="宋体"/>
          <w:color w:val="auto"/>
          <w:kern w:val="2"/>
          <w:sz w:val="24"/>
          <w:szCs w:val="20"/>
          <w:lang w:val="en-US" w:eastAsia="zh-CN" w:bidi="ar-SA"/>
        </w:rPr>
        <w:t xml:space="preserve">9  </w:t>
      </w:r>
      <w:r>
        <w:rPr>
          <w:rFonts w:hint="eastAsia" w:ascii="宋体" w:hAnsi="宋体" w:eastAsia="宋体" w:cs="宋体"/>
          <w:color w:val="auto"/>
          <w:sz w:val="24"/>
          <w:szCs w:val="20"/>
        </w:rPr>
        <w:t>拟分包情况说明</w:t>
      </w:r>
    </w:p>
    <w:p w14:paraId="21C5027F">
      <w:pPr>
        <w:autoSpaceDE w:val="0"/>
        <w:autoSpaceDN w:val="0"/>
        <w:adjustRightInd w:val="0"/>
        <w:spacing w:line="360" w:lineRule="auto"/>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拟分包情况说明</w:t>
      </w:r>
    </w:p>
    <w:p w14:paraId="67FB8C78">
      <w:pPr>
        <w:tabs>
          <w:tab w:val="left" w:pos="5580"/>
        </w:tabs>
        <w:spacing w:line="360"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（采购人或采购代理机构）</w:t>
      </w:r>
    </w:p>
    <w:p w14:paraId="2D199A96">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D13B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52D2293">
            <w:pPr>
              <w:pStyle w:val="251"/>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287" w:type="dxa"/>
            <w:vAlign w:val="center"/>
          </w:tcPr>
          <w:p w14:paraId="7AD1B1CF">
            <w:pPr>
              <w:pStyle w:val="251"/>
              <w:jc w:val="center"/>
              <w:rPr>
                <w:rFonts w:hint="eastAsia" w:ascii="宋体" w:hAnsi="宋体" w:eastAsia="宋体" w:cs="宋体"/>
                <w:color w:val="auto"/>
                <w:sz w:val="24"/>
              </w:rPr>
            </w:pPr>
            <w:r>
              <w:rPr>
                <w:rFonts w:hint="eastAsia" w:ascii="宋体" w:hAnsi="宋体" w:eastAsia="宋体" w:cs="宋体"/>
                <w:color w:val="auto"/>
                <w:sz w:val="24"/>
              </w:rPr>
              <w:t>分包承担</w:t>
            </w:r>
          </w:p>
          <w:p w14:paraId="7FEF0756">
            <w:pPr>
              <w:pStyle w:val="251"/>
              <w:jc w:val="center"/>
              <w:rPr>
                <w:rFonts w:hint="eastAsia" w:ascii="宋体" w:hAnsi="宋体" w:eastAsia="宋体" w:cs="宋体"/>
                <w:color w:val="auto"/>
                <w:sz w:val="24"/>
              </w:rPr>
            </w:pPr>
            <w:r>
              <w:rPr>
                <w:rFonts w:hint="eastAsia" w:ascii="宋体" w:hAnsi="宋体" w:eastAsia="宋体" w:cs="宋体"/>
                <w:color w:val="auto"/>
                <w:sz w:val="24"/>
              </w:rPr>
              <w:t>主体名称</w:t>
            </w:r>
          </w:p>
        </w:tc>
        <w:tc>
          <w:tcPr>
            <w:tcW w:w="1513" w:type="dxa"/>
            <w:vAlign w:val="center"/>
          </w:tcPr>
          <w:p w14:paraId="70CA3322">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分包承担</w:t>
            </w:r>
          </w:p>
          <w:p w14:paraId="43E0E304">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主体类型</w:t>
            </w:r>
          </w:p>
          <w:p w14:paraId="24021FA0">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（选择）</w:t>
            </w:r>
          </w:p>
        </w:tc>
        <w:tc>
          <w:tcPr>
            <w:tcW w:w="1125" w:type="dxa"/>
            <w:vAlign w:val="center"/>
          </w:tcPr>
          <w:p w14:paraId="0A715DFC">
            <w:pPr>
              <w:pStyle w:val="251"/>
              <w:jc w:val="center"/>
              <w:rPr>
                <w:rFonts w:hint="eastAsia" w:ascii="宋体" w:hAnsi="宋体" w:eastAsia="宋体" w:cs="宋体"/>
                <w:color w:val="auto"/>
                <w:sz w:val="24"/>
              </w:rPr>
            </w:pPr>
            <w:r>
              <w:rPr>
                <w:rFonts w:hint="eastAsia" w:ascii="宋体" w:hAnsi="宋体" w:eastAsia="宋体" w:cs="宋体"/>
                <w:color w:val="auto"/>
                <w:sz w:val="24"/>
              </w:rPr>
              <w:t>资质等级</w:t>
            </w:r>
          </w:p>
        </w:tc>
        <w:tc>
          <w:tcPr>
            <w:tcW w:w="1558" w:type="dxa"/>
            <w:vAlign w:val="center"/>
          </w:tcPr>
          <w:p w14:paraId="06C6E940">
            <w:pPr>
              <w:pStyle w:val="251"/>
              <w:jc w:val="center"/>
              <w:rPr>
                <w:rFonts w:hint="eastAsia" w:ascii="宋体" w:hAnsi="宋体" w:eastAsia="宋体" w:cs="宋体"/>
                <w:color w:val="auto"/>
                <w:sz w:val="24"/>
              </w:rPr>
            </w:pPr>
            <w:r>
              <w:rPr>
                <w:rFonts w:hint="eastAsia" w:ascii="宋体" w:hAnsi="宋体" w:eastAsia="宋体" w:cs="宋体"/>
                <w:color w:val="auto"/>
                <w:sz w:val="24"/>
              </w:rPr>
              <w:t>拟分包</w:t>
            </w:r>
          </w:p>
          <w:p w14:paraId="6C0C2453">
            <w:pPr>
              <w:pStyle w:val="251"/>
              <w:jc w:val="center"/>
              <w:rPr>
                <w:rFonts w:hint="eastAsia" w:ascii="宋体" w:hAnsi="宋体" w:eastAsia="宋体" w:cs="宋体"/>
                <w:color w:val="auto"/>
                <w:sz w:val="24"/>
              </w:rPr>
            </w:pPr>
            <w:r>
              <w:rPr>
                <w:rFonts w:hint="eastAsia" w:ascii="宋体" w:hAnsi="宋体" w:eastAsia="宋体" w:cs="宋体"/>
                <w:color w:val="auto"/>
                <w:sz w:val="24"/>
              </w:rPr>
              <w:t>合同内容</w:t>
            </w:r>
          </w:p>
        </w:tc>
        <w:tc>
          <w:tcPr>
            <w:tcW w:w="1498" w:type="dxa"/>
            <w:vAlign w:val="center"/>
          </w:tcPr>
          <w:p w14:paraId="106B825B">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拟分包</w:t>
            </w:r>
          </w:p>
          <w:p w14:paraId="43C9A9CF">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合同金额</w:t>
            </w:r>
          </w:p>
          <w:p w14:paraId="0EB835B8">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（人民币元）</w:t>
            </w:r>
          </w:p>
        </w:tc>
        <w:tc>
          <w:tcPr>
            <w:tcW w:w="1564" w:type="dxa"/>
            <w:vAlign w:val="center"/>
          </w:tcPr>
          <w:p w14:paraId="572A7E5D">
            <w:pPr>
              <w:pStyle w:val="251"/>
              <w:jc w:val="center"/>
              <w:rPr>
                <w:rFonts w:hint="eastAsia" w:ascii="宋体" w:hAnsi="宋体" w:eastAsia="宋体" w:cs="宋体"/>
                <w:b/>
                <w:color w:val="auto"/>
                <w:sz w:val="24"/>
                <w:lang w:eastAsia="zh-CN"/>
              </w:rPr>
            </w:pPr>
            <w:r>
              <w:rPr>
                <w:rFonts w:hint="eastAsia" w:ascii="宋体" w:hAnsi="宋体" w:eastAsia="宋体" w:cs="宋体"/>
                <w:b/>
                <w:color w:val="auto"/>
                <w:sz w:val="24"/>
                <w:lang w:eastAsia="zh-CN"/>
              </w:rPr>
              <w:t>占合同金额</w:t>
            </w:r>
          </w:p>
          <w:p w14:paraId="4C02D254">
            <w:pPr>
              <w:pStyle w:val="251"/>
              <w:jc w:val="center"/>
              <w:rPr>
                <w:rFonts w:hint="eastAsia" w:ascii="宋体" w:hAnsi="宋体" w:eastAsia="宋体" w:cs="宋体"/>
                <w:color w:val="auto"/>
                <w:sz w:val="24"/>
                <w:lang w:eastAsia="zh-CN"/>
              </w:rPr>
            </w:pPr>
            <w:r>
              <w:rPr>
                <w:rFonts w:hint="eastAsia" w:ascii="宋体" w:hAnsi="宋体" w:eastAsia="宋体" w:cs="宋体"/>
                <w:b/>
                <w:color w:val="auto"/>
                <w:sz w:val="24"/>
                <w:lang w:eastAsia="zh-CN"/>
              </w:rPr>
              <w:t>的比例（%）</w:t>
            </w:r>
          </w:p>
        </w:tc>
      </w:tr>
      <w:tr w14:paraId="4EB4E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7F16A6E">
            <w:pPr>
              <w:pStyle w:val="251"/>
              <w:jc w:val="center"/>
              <w:rPr>
                <w:rFonts w:hint="eastAsia" w:ascii="宋体" w:hAnsi="宋体" w:eastAsia="宋体" w:cs="宋体"/>
                <w:color w:val="auto"/>
                <w:sz w:val="24"/>
              </w:rPr>
            </w:pPr>
            <w:r>
              <w:rPr>
                <w:rFonts w:hint="eastAsia" w:ascii="宋体" w:hAnsi="宋体" w:eastAsia="宋体" w:cs="宋体"/>
                <w:color w:val="auto"/>
                <w:sz w:val="24"/>
              </w:rPr>
              <w:t>1</w:t>
            </w:r>
          </w:p>
        </w:tc>
        <w:tc>
          <w:tcPr>
            <w:tcW w:w="1287" w:type="dxa"/>
            <w:vAlign w:val="center"/>
          </w:tcPr>
          <w:p w14:paraId="3D0E96FB">
            <w:pPr>
              <w:pStyle w:val="251"/>
              <w:jc w:val="center"/>
              <w:rPr>
                <w:rFonts w:hint="eastAsia" w:ascii="宋体" w:hAnsi="宋体" w:eastAsia="宋体" w:cs="宋体"/>
                <w:color w:val="auto"/>
                <w:sz w:val="30"/>
              </w:rPr>
            </w:pPr>
          </w:p>
        </w:tc>
        <w:tc>
          <w:tcPr>
            <w:tcW w:w="1513" w:type="dxa"/>
            <w:vAlign w:val="center"/>
          </w:tcPr>
          <w:p w14:paraId="0544C951">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□中型企业</w:t>
            </w:r>
          </w:p>
          <w:p w14:paraId="42A470EE">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□小微企业</w:t>
            </w:r>
          </w:p>
          <w:p w14:paraId="771246CC">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□其他</w:t>
            </w:r>
          </w:p>
        </w:tc>
        <w:tc>
          <w:tcPr>
            <w:tcW w:w="1125" w:type="dxa"/>
            <w:vAlign w:val="center"/>
          </w:tcPr>
          <w:p w14:paraId="5BE5C666">
            <w:pPr>
              <w:pStyle w:val="251"/>
              <w:jc w:val="center"/>
              <w:rPr>
                <w:rFonts w:hint="eastAsia" w:ascii="宋体" w:hAnsi="宋体" w:eastAsia="宋体" w:cs="宋体"/>
                <w:color w:val="auto"/>
                <w:sz w:val="30"/>
                <w:lang w:eastAsia="zh-CN"/>
              </w:rPr>
            </w:pPr>
          </w:p>
        </w:tc>
        <w:tc>
          <w:tcPr>
            <w:tcW w:w="1558" w:type="dxa"/>
            <w:vAlign w:val="center"/>
          </w:tcPr>
          <w:p w14:paraId="7D03A841">
            <w:pPr>
              <w:pStyle w:val="251"/>
              <w:jc w:val="center"/>
              <w:rPr>
                <w:rFonts w:hint="eastAsia" w:ascii="宋体" w:hAnsi="宋体" w:eastAsia="宋体" w:cs="宋体"/>
                <w:color w:val="auto"/>
                <w:sz w:val="30"/>
                <w:lang w:eastAsia="zh-CN"/>
              </w:rPr>
            </w:pPr>
          </w:p>
        </w:tc>
        <w:tc>
          <w:tcPr>
            <w:tcW w:w="1498" w:type="dxa"/>
            <w:vAlign w:val="center"/>
          </w:tcPr>
          <w:p w14:paraId="608A3F6E">
            <w:pPr>
              <w:pStyle w:val="251"/>
              <w:jc w:val="center"/>
              <w:rPr>
                <w:rFonts w:hint="eastAsia" w:ascii="宋体" w:hAnsi="宋体" w:eastAsia="宋体" w:cs="宋体"/>
                <w:color w:val="auto"/>
                <w:sz w:val="30"/>
                <w:lang w:eastAsia="zh-CN"/>
              </w:rPr>
            </w:pPr>
          </w:p>
        </w:tc>
        <w:tc>
          <w:tcPr>
            <w:tcW w:w="1564" w:type="dxa"/>
            <w:vAlign w:val="center"/>
          </w:tcPr>
          <w:p w14:paraId="55593DAB">
            <w:pPr>
              <w:pStyle w:val="251"/>
              <w:jc w:val="center"/>
              <w:rPr>
                <w:rFonts w:hint="eastAsia" w:ascii="宋体" w:hAnsi="宋体" w:eastAsia="宋体" w:cs="宋体"/>
                <w:color w:val="auto"/>
                <w:sz w:val="30"/>
                <w:lang w:eastAsia="zh-CN"/>
              </w:rPr>
            </w:pPr>
          </w:p>
        </w:tc>
      </w:tr>
      <w:tr w14:paraId="450E0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971D2E1">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2</w:t>
            </w:r>
          </w:p>
        </w:tc>
        <w:tc>
          <w:tcPr>
            <w:tcW w:w="1287" w:type="dxa"/>
            <w:vAlign w:val="center"/>
          </w:tcPr>
          <w:p w14:paraId="32EE5BC2">
            <w:pPr>
              <w:pStyle w:val="251"/>
              <w:jc w:val="center"/>
              <w:rPr>
                <w:rFonts w:hint="eastAsia" w:ascii="宋体" w:hAnsi="宋体" w:eastAsia="宋体" w:cs="宋体"/>
                <w:color w:val="auto"/>
                <w:sz w:val="30"/>
              </w:rPr>
            </w:pPr>
          </w:p>
        </w:tc>
        <w:tc>
          <w:tcPr>
            <w:tcW w:w="1513" w:type="dxa"/>
            <w:vAlign w:val="center"/>
          </w:tcPr>
          <w:p w14:paraId="24869D4C">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□中型企业</w:t>
            </w:r>
          </w:p>
          <w:p w14:paraId="69B7C388">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□小微企业</w:t>
            </w:r>
          </w:p>
          <w:p w14:paraId="388E63E2">
            <w:pPr>
              <w:pStyle w:val="251"/>
              <w:tabs>
                <w:tab w:val="left" w:pos="235"/>
              </w:tabs>
              <w:ind w:left="1" w:leftChars="-43" w:hanging="91" w:hangingChars="38"/>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□其他</w:t>
            </w:r>
          </w:p>
        </w:tc>
        <w:tc>
          <w:tcPr>
            <w:tcW w:w="1125" w:type="dxa"/>
            <w:vAlign w:val="center"/>
          </w:tcPr>
          <w:p w14:paraId="3DF63581">
            <w:pPr>
              <w:pStyle w:val="251"/>
              <w:jc w:val="center"/>
              <w:rPr>
                <w:rFonts w:hint="eastAsia" w:ascii="宋体" w:hAnsi="宋体" w:eastAsia="宋体" w:cs="宋体"/>
                <w:color w:val="auto"/>
                <w:sz w:val="30"/>
                <w:lang w:eastAsia="zh-CN"/>
              </w:rPr>
            </w:pPr>
          </w:p>
        </w:tc>
        <w:tc>
          <w:tcPr>
            <w:tcW w:w="1558" w:type="dxa"/>
            <w:vAlign w:val="center"/>
          </w:tcPr>
          <w:p w14:paraId="54510645">
            <w:pPr>
              <w:pStyle w:val="251"/>
              <w:jc w:val="center"/>
              <w:rPr>
                <w:rFonts w:hint="eastAsia" w:ascii="宋体" w:hAnsi="宋体" w:eastAsia="宋体" w:cs="宋体"/>
                <w:color w:val="auto"/>
                <w:sz w:val="30"/>
                <w:lang w:eastAsia="zh-CN"/>
              </w:rPr>
            </w:pPr>
          </w:p>
        </w:tc>
        <w:tc>
          <w:tcPr>
            <w:tcW w:w="1498" w:type="dxa"/>
            <w:vAlign w:val="center"/>
          </w:tcPr>
          <w:p w14:paraId="16B984B6">
            <w:pPr>
              <w:pStyle w:val="251"/>
              <w:jc w:val="center"/>
              <w:rPr>
                <w:rFonts w:hint="eastAsia" w:ascii="宋体" w:hAnsi="宋体" w:eastAsia="宋体" w:cs="宋体"/>
                <w:color w:val="auto"/>
                <w:sz w:val="30"/>
                <w:lang w:eastAsia="zh-CN"/>
              </w:rPr>
            </w:pPr>
          </w:p>
        </w:tc>
        <w:tc>
          <w:tcPr>
            <w:tcW w:w="1564" w:type="dxa"/>
            <w:vAlign w:val="center"/>
          </w:tcPr>
          <w:p w14:paraId="10C5C75A">
            <w:pPr>
              <w:pStyle w:val="251"/>
              <w:jc w:val="center"/>
              <w:rPr>
                <w:rFonts w:hint="eastAsia" w:ascii="宋体" w:hAnsi="宋体" w:eastAsia="宋体" w:cs="宋体"/>
                <w:color w:val="auto"/>
                <w:sz w:val="30"/>
                <w:lang w:eastAsia="zh-CN"/>
              </w:rPr>
            </w:pPr>
          </w:p>
        </w:tc>
      </w:tr>
      <w:tr w14:paraId="7A36E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53FA400">
            <w:pPr>
              <w:pStyle w:val="251"/>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p>
        </w:tc>
        <w:tc>
          <w:tcPr>
            <w:tcW w:w="1287" w:type="dxa"/>
            <w:vAlign w:val="center"/>
          </w:tcPr>
          <w:p w14:paraId="017983D8">
            <w:pPr>
              <w:pStyle w:val="251"/>
              <w:jc w:val="center"/>
              <w:rPr>
                <w:rFonts w:hint="eastAsia" w:ascii="宋体" w:hAnsi="宋体" w:eastAsia="宋体" w:cs="宋体"/>
                <w:color w:val="auto"/>
                <w:sz w:val="30"/>
              </w:rPr>
            </w:pPr>
          </w:p>
        </w:tc>
        <w:tc>
          <w:tcPr>
            <w:tcW w:w="1513" w:type="dxa"/>
            <w:vAlign w:val="center"/>
          </w:tcPr>
          <w:p w14:paraId="7DC79727">
            <w:pPr>
              <w:pStyle w:val="251"/>
              <w:tabs>
                <w:tab w:val="left" w:pos="235"/>
              </w:tabs>
              <w:jc w:val="center"/>
              <w:rPr>
                <w:rFonts w:hint="eastAsia" w:ascii="宋体" w:hAnsi="宋体" w:eastAsia="宋体" w:cs="宋体"/>
                <w:color w:val="auto"/>
                <w:sz w:val="24"/>
              </w:rPr>
            </w:pPr>
          </w:p>
        </w:tc>
        <w:tc>
          <w:tcPr>
            <w:tcW w:w="1125" w:type="dxa"/>
            <w:vAlign w:val="center"/>
          </w:tcPr>
          <w:p w14:paraId="5A65D966">
            <w:pPr>
              <w:pStyle w:val="251"/>
              <w:jc w:val="center"/>
              <w:rPr>
                <w:rFonts w:hint="eastAsia" w:ascii="宋体" w:hAnsi="宋体" w:eastAsia="宋体" w:cs="宋体"/>
                <w:color w:val="auto"/>
                <w:sz w:val="30"/>
              </w:rPr>
            </w:pPr>
          </w:p>
        </w:tc>
        <w:tc>
          <w:tcPr>
            <w:tcW w:w="1558" w:type="dxa"/>
            <w:vAlign w:val="center"/>
          </w:tcPr>
          <w:p w14:paraId="4DADB6D5">
            <w:pPr>
              <w:pStyle w:val="251"/>
              <w:jc w:val="center"/>
              <w:rPr>
                <w:rFonts w:hint="eastAsia" w:ascii="宋体" w:hAnsi="宋体" w:eastAsia="宋体" w:cs="宋体"/>
                <w:color w:val="auto"/>
                <w:sz w:val="30"/>
              </w:rPr>
            </w:pPr>
          </w:p>
        </w:tc>
        <w:tc>
          <w:tcPr>
            <w:tcW w:w="1498" w:type="dxa"/>
            <w:vAlign w:val="center"/>
          </w:tcPr>
          <w:p w14:paraId="41D4771A">
            <w:pPr>
              <w:pStyle w:val="251"/>
              <w:jc w:val="center"/>
              <w:rPr>
                <w:rFonts w:hint="eastAsia" w:ascii="宋体" w:hAnsi="宋体" w:eastAsia="宋体" w:cs="宋体"/>
                <w:color w:val="auto"/>
                <w:sz w:val="30"/>
              </w:rPr>
            </w:pPr>
          </w:p>
        </w:tc>
        <w:tc>
          <w:tcPr>
            <w:tcW w:w="1564" w:type="dxa"/>
            <w:vAlign w:val="center"/>
          </w:tcPr>
          <w:p w14:paraId="06BA3C08">
            <w:pPr>
              <w:pStyle w:val="251"/>
              <w:jc w:val="center"/>
              <w:rPr>
                <w:rFonts w:hint="eastAsia" w:ascii="宋体" w:hAnsi="宋体" w:eastAsia="宋体" w:cs="宋体"/>
                <w:color w:val="auto"/>
                <w:sz w:val="30"/>
              </w:rPr>
            </w:pPr>
          </w:p>
        </w:tc>
      </w:tr>
      <w:tr w14:paraId="46561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B3159E5">
            <w:pPr>
              <w:pStyle w:val="251"/>
              <w:ind w:right="57" w:rightChars="27"/>
              <w:jc w:val="right"/>
              <w:rPr>
                <w:rFonts w:hint="eastAsia" w:ascii="宋体" w:hAnsi="宋体" w:eastAsia="宋体" w:cs="宋体"/>
                <w:color w:val="auto"/>
                <w:sz w:val="24"/>
                <w:lang w:eastAsia="zh-CN"/>
              </w:rPr>
            </w:pPr>
            <w:r>
              <w:rPr>
                <w:rFonts w:hint="eastAsia" w:ascii="宋体" w:hAnsi="宋体" w:eastAsia="宋体" w:cs="宋体"/>
                <w:color w:val="auto"/>
                <w:sz w:val="24"/>
                <w:lang w:eastAsia="zh-CN"/>
              </w:rPr>
              <w:t>合计：</w:t>
            </w:r>
          </w:p>
        </w:tc>
        <w:tc>
          <w:tcPr>
            <w:tcW w:w="1498" w:type="dxa"/>
            <w:vAlign w:val="center"/>
          </w:tcPr>
          <w:p w14:paraId="4D76017D">
            <w:pPr>
              <w:pStyle w:val="251"/>
              <w:jc w:val="center"/>
              <w:rPr>
                <w:rFonts w:hint="eastAsia" w:ascii="宋体" w:hAnsi="宋体" w:eastAsia="宋体" w:cs="宋体"/>
                <w:color w:val="auto"/>
                <w:sz w:val="30"/>
              </w:rPr>
            </w:pPr>
          </w:p>
        </w:tc>
        <w:tc>
          <w:tcPr>
            <w:tcW w:w="1564" w:type="dxa"/>
            <w:vAlign w:val="center"/>
          </w:tcPr>
          <w:p w14:paraId="1F9BE6A1">
            <w:pPr>
              <w:pStyle w:val="251"/>
              <w:jc w:val="center"/>
              <w:rPr>
                <w:rFonts w:hint="eastAsia" w:ascii="宋体" w:hAnsi="宋体" w:eastAsia="宋体" w:cs="宋体"/>
                <w:color w:val="auto"/>
                <w:sz w:val="30"/>
              </w:rPr>
            </w:pPr>
          </w:p>
        </w:tc>
      </w:tr>
    </w:tbl>
    <w:p w14:paraId="1DA296F8">
      <w:pPr>
        <w:adjustRightInd w:val="0"/>
        <w:snapToGrid w:val="0"/>
        <w:spacing w:line="360" w:lineRule="auto"/>
        <w:ind w:firstLine="480" w:firstLineChars="200"/>
        <w:jc w:val="left"/>
        <w:rPr>
          <w:rFonts w:hint="eastAsia" w:ascii="宋体" w:hAnsi="宋体" w:eastAsia="宋体" w:cs="宋体"/>
          <w:color w:val="auto"/>
          <w:sz w:val="24"/>
        </w:rPr>
      </w:pPr>
    </w:p>
    <w:p w14:paraId="6360929D">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 xml:space="preserve">注： </w:t>
      </w:r>
    </w:p>
    <w:p w14:paraId="31B634E7">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1. 如本项目（包）允许分包，且投标人拟进行分包时，必须提供；如未提供，或提供了但未填写分包承担主体名称、拟分包合同内容、拟分包合同金额，</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474A6A95">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color w:val="auto"/>
          <w:sz w:val="24"/>
        </w:rPr>
        <w:t>投标无效</w:t>
      </w:r>
      <w:r>
        <w:rPr>
          <w:rFonts w:hint="eastAsia" w:ascii="宋体" w:hAnsi="宋体" w:eastAsia="宋体" w:cs="宋体"/>
          <w:color w:val="auto"/>
          <w:sz w:val="24"/>
        </w:rPr>
        <w:t>。</w:t>
      </w:r>
    </w:p>
    <w:p w14:paraId="09F43080">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4EBF806">
      <w:pPr>
        <w:adjustRightInd w:val="0"/>
        <w:snapToGrid w:val="0"/>
        <w:spacing w:line="360" w:lineRule="auto"/>
        <w:jc w:val="left"/>
        <w:rPr>
          <w:rFonts w:hint="eastAsia" w:ascii="宋体" w:hAnsi="宋体" w:eastAsia="宋体" w:cs="宋体"/>
          <w:color w:val="auto"/>
          <w:sz w:val="24"/>
        </w:rPr>
      </w:pPr>
    </w:p>
    <w:p w14:paraId="079AB643">
      <w:pPr>
        <w:adjustRightInd w:val="0"/>
        <w:snapToGrid w:val="0"/>
        <w:spacing w:line="360" w:lineRule="auto"/>
        <w:ind w:firstLine="480" w:firstLineChars="200"/>
        <w:jc w:val="right"/>
        <w:rPr>
          <w:rFonts w:hint="eastAsia" w:ascii="宋体" w:hAnsi="宋体" w:eastAsia="宋体" w:cs="宋体"/>
          <w:color w:val="auto"/>
          <w:sz w:val="24"/>
        </w:rPr>
      </w:pPr>
      <w:r>
        <w:rPr>
          <w:rFonts w:hint="eastAsia" w:ascii="宋体" w:hAnsi="宋体" w:eastAsia="宋体" w:cs="宋体"/>
          <w:color w:val="auto"/>
          <w:sz w:val="24"/>
        </w:rPr>
        <w:t>投标人名称（盖章）：______</w:t>
      </w:r>
    </w:p>
    <w:p w14:paraId="78F8ADBC">
      <w:pPr>
        <w:adjustRightInd w:val="0"/>
        <w:snapToGrid w:val="0"/>
        <w:spacing w:line="360" w:lineRule="auto"/>
        <w:ind w:firstLine="480" w:firstLineChars="200"/>
        <w:jc w:val="right"/>
        <w:rPr>
          <w:rFonts w:hint="eastAsia" w:ascii="宋体" w:hAnsi="宋体" w:eastAsia="宋体" w:cs="宋体"/>
          <w:color w:val="auto"/>
          <w:sz w:val="24"/>
        </w:rPr>
      </w:pPr>
      <w:r>
        <w:rPr>
          <w:rFonts w:hint="eastAsia" w:ascii="宋体" w:hAnsi="宋体" w:eastAsia="宋体" w:cs="宋体"/>
          <w:color w:val="auto"/>
          <w:sz w:val="24"/>
        </w:rPr>
        <w:t>日期：_____年______月______日</w:t>
      </w:r>
    </w:p>
    <w:p w14:paraId="06A54C0B">
      <w:pPr>
        <w:widowControl/>
        <w:jc w:val="left"/>
        <w:rPr>
          <w:rFonts w:hint="eastAsia" w:ascii="宋体" w:hAnsi="宋体" w:eastAsia="宋体" w:cs="宋体"/>
          <w:color w:val="auto"/>
          <w:sz w:val="24"/>
        </w:rPr>
      </w:pPr>
      <w:r>
        <w:rPr>
          <w:rFonts w:hint="eastAsia" w:ascii="宋体" w:hAnsi="宋体" w:eastAsia="宋体" w:cs="宋体"/>
          <w:color w:val="auto"/>
          <w:sz w:val="24"/>
        </w:rPr>
        <w:br w:type="page"/>
      </w:r>
    </w:p>
    <w:p w14:paraId="788D0614">
      <w:pPr>
        <w:autoSpaceDE w:val="0"/>
        <w:autoSpaceDN w:val="0"/>
        <w:adjustRightInd w:val="0"/>
        <w:spacing w:line="360" w:lineRule="auto"/>
        <w:jc w:val="center"/>
        <w:rPr>
          <w:rFonts w:hint="eastAsia" w:ascii="宋体" w:hAnsi="宋体" w:eastAsia="宋体" w:cs="宋体"/>
          <w:b/>
          <w:color w:val="auto"/>
          <w:sz w:val="36"/>
          <w:szCs w:val="36"/>
        </w:rPr>
      </w:pPr>
      <w:bookmarkStart w:id="1088" w:name="_Hlk176956326"/>
      <w:r>
        <w:rPr>
          <w:rFonts w:hint="eastAsia" w:ascii="宋体" w:hAnsi="宋体" w:eastAsia="宋体" w:cs="宋体"/>
          <w:b/>
          <w:color w:val="auto"/>
          <w:sz w:val="36"/>
          <w:szCs w:val="36"/>
        </w:rPr>
        <w:t>分包意向协议</w:t>
      </w:r>
    </w:p>
    <w:p w14:paraId="18B42C71">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甲方（投标人）：________</w:t>
      </w:r>
    </w:p>
    <w:p w14:paraId="560FD709">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乙方（拟分包单位）：________</w:t>
      </w:r>
    </w:p>
    <w:p w14:paraId="46CFA4B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甲方承诺，一旦在_________（采购项目名称）（项目编号/包号为：_______）招标采购项目中获得采购合同，将按照下述约定将合同项下部分内容分包给乙方：</w:t>
      </w:r>
    </w:p>
    <w:p w14:paraId="6F086774">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1.分包内容：_____。</w:t>
      </w:r>
    </w:p>
    <w:p w14:paraId="004A20CA">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2.分包金额：_____，该金额占该采购包合同金额的比例为___%。</w:t>
      </w:r>
    </w:p>
    <w:p w14:paraId="33F3B310">
      <w:pPr>
        <w:adjustRightInd w:val="0"/>
        <w:snapToGrid w:val="0"/>
        <w:spacing w:line="360" w:lineRule="auto"/>
        <w:ind w:firstLine="480" w:firstLineChars="200"/>
        <w:jc w:val="left"/>
        <w:rPr>
          <w:rFonts w:hint="eastAsia" w:ascii="宋体" w:hAnsi="宋体" w:eastAsia="宋体" w:cs="宋体"/>
          <w:bCs/>
          <w:color w:val="auto"/>
          <w:sz w:val="24"/>
        </w:rPr>
      </w:pPr>
      <w:r>
        <w:rPr>
          <w:rFonts w:hint="eastAsia" w:ascii="宋体" w:hAnsi="宋体" w:eastAsia="宋体" w:cs="宋体"/>
          <w:color w:val="auto"/>
          <w:sz w:val="24"/>
        </w:rPr>
        <w:t>乙方承诺将在上述情况下与甲方签订分包合同。</w:t>
      </w:r>
    </w:p>
    <w:p w14:paraId="1B63B48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本协议自各方盖章之日起生效，如甲方未在该项目（采购包）中标，本协议自动终止。</w:t>
      </w:r>
    </w:p>
    <w:p w14:paraId="7A0D08C3">
      <w:pPr>
        <w:spacing w:line="360" w:lineRule="auto"/>
        <w:ind w:firstLine="471"/>
        <w:rPr>
          <w:rFonts w:hint="eastAsia" w:ascii="宋体" w:hAnsi="宋体" w:eastAsia="宋体" w:cs="宋体"/>
          <w:b/>
          <w:color w:val="auto"/>
          <w:sz w:val="24"/>
        </w:rPr>
      </w:pPr>
    </w:p>
    <w:p w14:paraId="4661FA38">
      <w:pPr>
        <w:spacing w:line="360" w:lineRule="auto"/>
        <w:ind w:firstLine="471"/>
        <w:rPr>
          <w:rFonts w:hint="eastAsia" w:ascii="宋体" w:hAnsi="宋体" w:eastAsia="宋体" w:cs="宋体"/>
          <w:b/>
          <w:color w:val="auto"/>
          <w:sz w:val="24"/>
        </w:rPr>
      </w:pPr>
      <w:r>
        <w:rPr>
          <w:rFonts w:hint="eastAsia" w:ascii="宋体" w:hAnsi="宋体" w:eastAsia="宋体" w:cs="宋体"/>
          <w:color w:val="auto"/>
          <w:sz w:val="24"/>
        </w:rPr>
        <w:t>甲方（盖章）：_________                 乙方（盖章）：_________</w:t>
      </w:r>
    </w:p>
    <w:p w14:paraId="0A941232">
      <w:pPr>
        <w:spacing w:line="360" w:lineRule="auto"/>
        <w:ind w:left="480"/>
        <w:jc w:val="right"/>
        <w:rPr>
          <w:rFonts w:hint="eastAsia" w:ascii="宋体" w:hAnsi="宋体" w:eastAsia="宋体" w:cs="宋体"/>
          <w:color w:val="auto"/>
          <w:sz w:val="24"/>
        </w:rPr>
      </w:pPr>
    </w:p>
    <w:p w14:paraId="659CEEE2">
      <w:pPr>
        <w:wordWrap w:val="0"/>
        <w:spacing w:line="360" w:lineRule="auto"/>
        <w:ind w:left="480"/>
        <w:jc w:val="right"/>
        <w:rPr>
          <w:rFonts w:hint="eastAsia" w:ascii="宋体" w:hAnsi="宋体" w:eastAsia="宋体" w:cs="宋体"/>
          <w:b/>
          <w:color w:val="auto"/>
          <w:sz w:val="24"/>
        </w:rPr>
      </w:pPr>
      <w:r>
        <w:rPr>
          <w:rFonts w:hint="eastAsia" w:ascii="宋体" w:hAnsi="宋体" w:eastAsia="宋体" w:cs="宋体"/>
          <w:color w:val="auto"/>
          <w:sz w:val="24"/>
          <w:szCs w:val="20"/>
        </w:rPr>
        <w:t xml:space="preserve">日期：_____年______月______日   </w:t>
      </w:r>
    </w:p>
    <w:p w14:paraId="164B61A4">
      <w:pPr>
        <w:tabs>
          <w:tab w:val="left" w:pos="8280"/>
        </w:tabs>
        <w:spacing w:line="360" w:lineRule="auto"/>
        <w:ind w:firstLine="480"/>
        <w:rPr>
          <w:rFonts w:hint="eastAsia" w:ascii="宋体" w:hAnsi="宋体" w:eastAsia="宋体" w:cs="宋体"/>
          <w:color w:val="auto"/>
          <w:sz w:val="24"/>
        </w:rPr>
      </w:pPr>
    </w:p>
    <w:p w14:paraId="75105799">
      <w:pPr>
        <w:tabs>
          <w:tab w:val="left" w:pos="8280"/>
        </w:tabs>
        <w:spacing w:line="360" w:lineRule="auto"/>
        <w:rPr>
          <w:rFonts w:hint="eastAsia" w:ascii="宋体" w:hAnsi="宋体" w:eastAsia="宋体" w:cs="宋体"/>
          <w:color w:val="auto"/>
          <w:sz w:val="24"/>
        </w:rPr>
      </w:pPr>
      <w:bookmarkStart w:id="1089" w:name="_Hlk176956306"/>
      <w:r>
        <w:rPr>
          <w:rFonts w:hint="eastAsia" w:ascii="宋体" w:hAnsi="宋体" w:eastAsia="宋体" w:cs="宋体"/>
          <w:color w:val="auto"/>
          <w:sz w:val="24"/>
        </w:rPr>
        <w:t>注：</w:t>
      </w:r>
    </w:p>
    <w:p w14:paraId="6FFE7D02">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1. 投标人“为落实政府采购政策”而向中小企业分包时必须提供，否则</w:t>
      </w:r>
      <w:r>
        <w:rPr>
          <w:rFonts w:hint="eastAsia" w:ascii="宋体" w:hAnsi="宋体" w:eastAsia="宋体" w:cs="宋体"/>
          <w:b/>
          <w:color w:val="auto"/>
          <w:sz w:val="24"/>
        </w:rPr>
        <w:t>投标无效</w:t>
      </w:r>
      <w:r>
        <w:rPr>
          <w:rFonts w:hint="eastAsia" w:ascii="宋体" w:hAnsi="宋体" w:eastAsia="宋体" w:cs="宋体"/>
          <w:color w:val="auto"/>
          <w:sz w:val="24"/>
        </w:rPr>
        <w:t>；且建议按照采购文件要求在资格证明文件部分提供；</w:t>
      </w:r>
    </w:p>
    <w:p w14:paraId="2EEC65A5">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2. 投标人满足《政府采购促进中小企业发展管理办法》（财库〔2020〕46号）第九条有关规定，拟享受中小企业政策优惠措施的，仍需提供本协议，否则不予认可；</w:t>
      </w:r>
    </w:p>
    <w:p w14:paraId="748316CB">
      <w:pPr>
        <w:adjustRightInd w:val="0"/>
        <w:snapToGrid w:val="0"/>
        <w:spacing w:line="360" w:lineRule="auto"/>
        <w:jc w:val="left"/>
        <w:rPr>
          <w:rFonts w:hint="eastAsia" w:ascii="宋体" w:hAnsi="宋体" w:eastAsia="宋体" w:cs="宋体"/>
          <w:b/>
          <w:color w:val="auto"/>
          <w:sz w:val="24"/>
        </w:rPr>
      </w:pPr>
      <w:r>
        <w:rPr>
          <w:rFonts w:hint="eastAsia" w:ascii="宋体" w:hAnsi="宋体" w:eastAsia="宋体" w:cs="宋体"/>
          <w:color w:val="auto"/>
          <w:sz w:val="24"/>
        </w:rPr>
        <w:t>3. 投标人须与所有拟分包单位分别签订《分包意向协议》，每单位签订一份，并在投标文件中提交全部协议原件的电子件，否则</w:t>
      </w:r>
      <w:r>
        <w:rPr>
          <w:rFonts w:hint="eastAsia" w:ascii="宋体" w:hAnsi="宋体" w:eastAsia="宋体" w:cs="宋体"/>
          <w:bCs/>
          <w:color w:val="auto"/>
          <w:sz w:val="24"/>
        </w:rPr>
        <w:t>不予认可</w:t>
      </w:r>
      <w:r>
        <w:rPr>
          <w:rFonts w:hint="eastAsia" w:ascii="宋体" w:hAnsi="宋体" w:eastAsia="宋体" w:cs="宋体"/>
          <w:color w:val="auto"/>
          <w:sz w:val="24"/>
        </w:rPr>
        <w:t>。</w:t>
      </w:r>
      <w:bookmarkEnd w:id="1089"/>
    </w:p>
    <w:bookmarkEnd w:id="1088"/>
    <w:p w14:paraId="649C775A">
      <w:pPr>
        <w:rPr>
          <w:rFonts w:hint="eastAsia" w:ascii="宋体" w:hAnsi="宋体" w:eastAsia="宋体" w:cs="宋体"/>
          <w:color w:val="auto"/>
          <w:kern w:val="2"/>
          <w:sz w:val="24"/>
          <w:szCs w:val="20"/>
          <w:lang w:val="en-US" w:eastAsia="zh-CN" w:bidi="ar-SA"/>
        </w:rPr>
      </w:pPr>
      <w:r>
        <w:rPr>
          <w:rFonts w:hint="eastAsia" w:ascii="宋体" w:hAnsi="宋体" w:eastAsia="宋体" w:cs="宋体"/>
          <w:color w:val="auto"/>
          <w:kern w:val="2"/>
          <w:sz w:val="24"/>
          <w:szCs w:val="20"/>
          <w:lang w:val="en-US" w:eastAsia="zh-CN" w:bidi="ar-SA"/>
        </w:rPr>
        <w:br w:type="page"/>
      </w:r>
    </w:p>
    <w:p w14:paraId="37548DD2">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auto"/>
          <w:sz w:val="24"/>
          <w:szCs w:val="20"/>
        </w:rPr>
      </w:pPr>
      <w:r>
        <w:rPr>
          <w:rFonts w:hint="eastAsia" w:ascii="宋体" w:hAnsi="宋体" w:cs="宋体"/>
          <w:color w:val="auto"/>
          <w:kern w:val="2"/>
          <w:sz w:val="24"/>
          <w:szCs w:val="20"/>
          <w:lang w:val="en-US" w:eastAsia="zh-CN" w:bidi="ar-SA"/>
        </w:rPr>
        <w:t xml:space="preserve">10 </w:t>
      </w:r>
      <w:r>
        <w:rPr>
          <w:rFonts w:hint="eastAsia" w:ascii="宋体" w:hAnsi="宋体" w:eastAsia="宋体" w:cs="宋体"/>
          <w:color w:val="auto"/>
          <w:sz w:val="24"/>
          <w:szCs w:val="20"/>
        </w:rPr>
        <w:t>招标文件要求提供或投标人认为应附的其他材料</w:t>
      </w:r>
    </w:p>
    <w:p w14:paraId="420040BC">
      <w:pPr>
        <w:widowControl/>
        <w:jc w:val="left"/>
        <w:rPr>
          <w:rFonts w:hint="eastAsia" w:ascii="宋体" w:hAnsi="宋体" w:eastAsia="宋体" w:cs="宋体"/>
          <w:color w:val="auto"/>
          <w:sz w:val="24"/>
          <w:szCs w:val="20"/>
        </w:rPr>
      </w:pPr>
      <w:r>
        <w:rPr>
          <w:rFonts w:hint="eastAsia" w:ascii="宋体" w:hAnsi="宋体" w:cs="宋体"/>
          <w:color w:val="auto"/>
          <w:sz w:val="24"/>
          <w:szCs w:val="20"/>
          <w:lang w:val="en-US" w:eastAsia="zh-CN"/>
        </w:rPr>
        <w:t>10</w:t>
      </w:r>
      <w:r>
        <w:rPr>
          <w:rFonts w:hint="eastAsia" w:ascii="宋体" w:hAnsi="宋体" w:eastAsia="宋体" w:cs="宋体"/>
          <w:color w:val="auto"/>
          <w:sz w:val="24"/>
          <w:szCs w:val="20"/>
        </w:rPr>
        <w:t>-1供应商信息采集表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13E2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D673ADA">
            <w:pPr>
              <w:rPr>
                <w:rFonts w:hint="eastAsia" w:ascii="宋体" w:hAnsi="宋体" w:eastAsia="宋体" w:cs="宋体"/>
                <w:color w:val="auto"/>
                <w:sz w:val="24"/>
              </w:rPr>
            </w:pPr>
            <w:r>
              <w:rPr>
                <w:rFonts w:hint="eastAsia" w:ascii="宋体" w:hAnsi="宋体" w:eastAsia="宋体" w:cs="宋体"/>
                <w:color w:val="auto"/>
                <w:sz w:val="24"/>
              </w:rPr>
              <w:t>供应商名称</w:t>
            </w:r>
          </w:p>
        </w:tc>
        <w:tc>
          <w:tcPr>
            <w:tcW w:w="1667" w:type="pct"/>
          </w:tcPr>
          <w:p w14:paraId="1D5BFA66">
            <w:pPr>
              <w:rPr>
                <w:rFonts w:hint="eastAsia" w:ascii="宋体" w:hAnsi="宋体" w:eastAsia="宋体" w:cs="宋体"/>
                <w:color w:val="auto"/>
                <w:sz w:val="24"/>
              </w:rPr>
            </w:pPr>
            <w:r>
              <w:rPr>
                <w:rFonts w:hint="eastAsia" w:ascii="宋体" w:hAnsi="宋体" w:eastAsia="宋体" w:cs="宋体"/>
                <w:color w:val="auto"/>
                <w:sz w:val="24"/>
              </w:rPr>
              <w:t>供应商所属性别</w:t>
            </w:r>
          </w:p>
        </w:tc>
        <w:tc>
          <w:tcPr>
            <w:tcW w:w="1667" w:type="pct"/>
          </w:tcPr>
          <w:p w14:paraId="07785BED">
            <w:pPr>
              <w:rPr>
                <w:rFonts w:hint="eastAsia" w:ascii="宋体" w:hAnsi="宋体" w:eastAsia="宋体" w:cs="宋体"/>
                <w:color w:val="auto"/>
                <w:sz w:val="24"/>
              </w:rPr>
            </w:pPr>
            <w:r>
              <w:rPr>
                <w:rFonts w:hint="eastAsia" w:ascii="宋体" w:hAnsi="宋体" w:eastAsia="宋体" w:cs="宋体"/>
                <w:color w:val="auto"/>
                <w:sz w:val="24"/>
              </w:rPr>
              <w:t>外商投资类型</w:t>
            </w:r>
          </w:p>
        </w:tc>
      </w:tr>
      <w:tr w14:paraId="4F14C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BAA29B1">
            <w:pPr>
              <w:rPr>
                <w:rFonts w:hint="eastAsia" w:ascii="宋体" w:hAnsi="宋体" w:eastAsia="宋体" w:cs="宋体"/>
                <w:color w:val="auto"/>
                <w:sz w:val="24"/>
              </w:rPr>
            </w:pPr>
          </w:p>
        </w:tc>
        <w:tc>
          <w:tcPr>
            <w:tcW w:w="1667" w:type="pct"/>
          </w:tcPr>
          <w:p w14:paraId="0B9A1610">
            <w:pPr>
              <w:rPr>
                <w:rFonts w:hint="eastAsia" w:ascii="宋体" w:hAnsi="宋体" w:eastAsia="宋体" w:cs="宋体"/>
                <w:color w:val="auto"/>
                <w:sz w:val="24"/>
              </w:rPr>
            </w:pPr>
          </w:p>
        </w:tc>
        <w:tc>
          <w:tcPr>
            <w:tcW w:w="1667" w:type="pct"/>
          </w:tcPr>
          <w:p w14:paraId="1E776686">
            <w:pPr>
              <w:rPr>
                <w:rFonts w:hint="eastAsia" w:ascii="宋体" w:hAnsi="宋体" w:eastAsia="宋体" w:cs="宋体"/>
                <w:color w:val="auto"/>
                <w:sz w:val="24"/>
              </w:rPr>
            </w:pPr>
          </w:p>
        </w:tc>
      </w:tr>
      <w:tr w14:paraId="6B481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6D84C08">
            <w:pPr>
              <w:rPr>
                <w:rFonts w:hint="eastAsia" w:ascii="宋体" w:hAnsi="宋体" w:eastAsia="宋体" w:cs="宋体"/>
                <w:color w:val="auto"/>
                <w:sz w:val="24"/>
              </w:rPr>
            </w:pPr>
          </w:p>
        </w:tc>
        <w:tc>
          <w:tcPr>
            <w:tcW w:w="1667" w:type="pct"/>
          </w:tcPr>
          <w:p w14:paraId="00A63F0D">
            <w:pPr>
              <w:rPr>
                <w:rFonts w:hint="eastAsia" w:ascii="宋体" w:hAnsi="宋体" w:eastAsia="宋体" w:cs="宋体"/>
                <w:color w:val="auto"/>
                <w:sz w:val="24"/>
              </w:rPr>
            </w:pPr>
          </w:p>
        </w:tc>
        <w:tc>
          <w:tcPr>
            <w:tcW w:w="1667" w:type="pct"/>
          </w:tcPr>
          <w:p w14:paraId="48B633A9">
            <w:pPr>
              <w:rPr>
                <w:rFonts w:hint="eastAsia" w:ascii="宋体" w:hAnsi="宋体" w:eastAsia="宋体" w:cs="宋体"/>
                <w:color w:val="auto"/>
                <w:sz w:val="24"/>
              </w:rPr>
            </w:pPr>
          </w:p>
        </w:tc>
      </w:tr>
      <w:tr w14:paraId="32769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A8AFE96">
            <w:pPr>
              <w:rPr>
                <w:rFonts w:hint="eastAsia" w:ascii="宋体" w:hAnsi="宋体" w:eastAsia="宋体" w:cs="宋体"/>
                <w:color w:val="auto"/>
                <w:sz w:val="24"/>
              </w:rPr>
            </w:pPr>
          </w:p>
        </w:tc>
        <w:tc>
          <w:tcPr>
            <w:tcW w:w="1667" w:type="pct"/>
          </w:tcPr>
          <w:p w14:paraId="08CFD3BD">
            <w:pPr>
              <w:rPr>
                <w:rFonts w:hint="eastAsia" w:ascii="宋体" w:hAnsi="宋体" w:eastAsia="宋体" w:cs="宋体"/>
                <w:color w:val="auto"/>
                <w:sz w:val="24"/>
              </w:rPr>
            </w:pPr>
          </w:p>
        </w:tc>
        <w:tc>
          <w:tcPr>
            <w:tcW w:w="1667" w:type="pct"/>
          </w:tcPr>
          <w:p w14:paraId="38F4826F">
            <w:pPr>
              <w:rPr>
                <w:rFonts w:hint="eastAsia" w:ascii="宋体" w:hAnsi="宋体" w:eastAsia="宋体" w:cs="宋体"/>
                <w:color w:val="auto"/>
                <w:sz w:val="24"/>
              </w:rPr>
            </w:pPr>
          </w:p>
        </w:tc>
      </w:tr>
      <w:tr w14:paraId="6F3E3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BDEFB72">
            <w:pPr>
              <w:rPr>
                <w:rFonts w:hint="eastAsia" w:ascii="宋体" w:hAnsi="宋体" w:eastAsia="宋体" w:cs="宋体"/>
                <w:color w:val="auto"/>
                <w:sz w:val="24"/>
              </w:rPr>
            </w:pPr>
          </w:p>
        </w:tc>
        <w:tc>
          <w:tcPr>
            <w:tcW w:w="1667" w:type="pct"/>
          </w:tcPr>
          <w:p w14:paraId="64B2496B">
            <w:pPr>
              <w:rPr>
                <w:rFonts w:hint="eastAsia" w:ascii="宋体" w:hAnsi="宋体" w:eastAsia="宋体" w:cs="宋体"/>
                <w:color w:val="auto"/>
                <w:sz w:val="24"/>
              </w:rPr>
            </w:pPr>
          </w:p>
        </w:tc>
        <w:tc>
          <w:tcPr>
            <w:tcW w:w="1667" w:type="pct"/>
          </w:tcPr>
          <w:p w14:paraId="4C9A2846">
            <w:pPr>
              <w:rPr>
                <w:rFonts w:hint="eastAsia" w:ascii="宋体" w:hAnsi="宋体" w:eastAsia="宋体" w:cs="宋体"/>
                <w:color w:val="auto"/>
                <w:sz w:val="24"/>
              </w:rPr>
            </w:pPr>
          </w:p>
        </w:tc>
      </w:tr>
    </w:tbl>
    <w:p w14:paraId="0B37404E">
      <w:pPr>
        <w:tabs>
          <w:tab w:val="left" w:pos="1800"/>
          <w:tab w:val="left" w:pos="5580"/>
        </w:tabs>
        <w:jc w:val="left"/>
        <w:rPr>
          <w:rFonts w:hint="eastAsia" w:ascii="宋体" w:hAnsi="宋体" w:eastAsia="宋体" w:cs="宋体"/>
          <w:color w:val="auto"/>
          <w:sz w:val="24"/>
        </w:rPr>
      </w:pPr>
      <w:r>
        <w:rPr>
          <w:rFonts w:hint="eastAsia" w:ascii="宋体" w:hAnsi="宋体" w:eastAsia="宋体" w:cs="宋体"/>
          <w:color w:val="auto"/>
          <w:sz w:val="24"/>
        </w:rPr>
        <w:t>注：1.供应商如为联合体，则应填写联合体各成员信息。</w:t>
      </w:r>
    </w:p>
    <w:p w14:paraId="41ECA101">
      <w:pPr>
        <w:tabs>
          <w:tab w:val="left" w:pos="1800"/>
          <w:tab w:val="left" w:pos="5580"/>
        </w:tabs>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2.供应商所属性别请填写“男”或“女”，指拥有供应商51%以上绝对所有权的性别；绝对所有权拥有者可以是一个人，也可以是多人合计计算。</w:t>
      </w:r>
    </w:p>
    <w:p w14:paraId="4623BAE4">
      <w:pPr>
        <w:tabs>
          <w:tab w:val="left" w:pos="1800"/>
          <w:tab w:val="left" w:pos="5580"/>
        </w:tabs>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3.外商投资类型请填写“外商单独投资”、“外商部分投资”或“内资”。</w:t>
      </w:r>
    </w:p>
    <w:p w14:paraId="62A9314E">
      <w:pPr>
        <w:widowControl/>
        <w:jc w:val="left"/>
        <w:rPr>
          <w:rFonts w:hint="eastAsia" w:ascii="宋体" w:hAnsi="宋体" w:eastAsia="宋体" w:cs="宋体"/>
          <w:b/>
          <w:color w:val="auto"/>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思源黑体"/>
    <w:panose1 w:val="00000000000000000000"/>
    <w:charset w:val="00"/>
    <w:family w:val="roman"/>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9FD0">
    <w:pPr>
      <w:pStyle w:val="29"/>
      <w:framePr w:wrap="around" w:vAnchor="text" w:hAnchor="margin" w:xAlign="right" w:y="1"/>
      <w:rPr>
        <w:rStyle w:val="50"/>
      </w:rPr>
    </w:pPr>
  </w:p>
  <w:p w14:paraId="212A5308">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C788">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7415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274154">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A7348">
    <w:pPr>
      <w:pStyle w:val="29"/>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56007">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8D56007">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2FD4BF10">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F2EF">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4C9C3A0C">
    <w:pPr>
      <w:pStyle w:val="2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F416D">
    <w:pPr>
      <w:pStyle w:val="2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D3808">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5B6707A1">
    <w:pPr>
      <w:pStyle w:val="29"/>
      <w:ind w:right="360"/>
    </w:pPr>
  </w:p>
  <w:p w14:paraId="6E0BA62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AD08">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1D30F">
    <w:pPr>
      <w:pStyle w:val="3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0A9E7">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21AB3">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1416C">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0AE0C">
    <w:pPr>
      <w:pStyle w:val="31"/>
    </w:pPr>
  </w:p>
  <w:p w14:paraId="64FB4CB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69D8B">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C5B7B"/>
    <w:multiLevelType w:val="singleLevel"/>
    <w:tmpl w:val="8F7C5B7B"/>
    <w:lvl w:ilvl="0" w:tentative="0">
      <w:start w:val="1"/>
      <w:numFmt w:val="decimal"/>
      <w:lvlText w:val="%1."/>
      <w:lvlJc w:val="left"/>
      <w:pPr>
        <w:tabs>
          <w:tab w:val="left" w:pos="312"/>
        </w:tabs>
      </w:pPr>
    </w:lvl>
  </w:abstractNum>
  <w:abstractNum w:abstractNumId="1">
    <w:nsid w:val="AE558034"/>
    <w:multiLevelType w:val="singleLevel"/>
    <w:tmpl w:val="AE558034"/>
    <w:lvl w:ilvl="0" w:tentative="0">
      <w:start w:val="1"/>
      <w:numFmt w:val="decimal"/>
      <w:lvlText w:val="%1."/>
      <w:lvlJc w:val="left"/>
      <w:pPr>
        <w:tabs>
          <w:tab w:val="left" w:pos="312"/>
        </w:tabs>
      </w:pPr>
    </w:lvl>
  </w:abstractNum>
  <w:abstractNum w:abstractNumId="2">
    <w:nsid w:val="B0A673E5"/>
    <w:multiLevelType w:val="singleLevel"/>
    <w:tmpl w:val="B0A673E5"/>
    <w:lvl w:ilvl="0" w:tentative="0">
      <w:start w:val="1"/>
      <w:numFmt w:val="decimal"/>
      <w:lvlText w:val="%1."/>
      <w:lvlJc w:val="left"/>
      <w:pPr>
        <w:tabs>
          <w:tab w:val="left" w:pos="312"/>
        </w:tabs>
      </w:pPr>
    </w:lvl>
  </w:abstractNum>
  <w:abstractNum w:abstractNumId="3">
    <w:nsid w:val="C3243BC1"/>
    <w:multiLevelType w:val="singleLevel"/>
    <w:tmpl w:val="C3243BC1"/>
    <w:lvl w:ilvl="0" w:tentative="0">
      <w:start w:val="1"/>
      <w:numFmt w:val="decimal"/>
      <w:suff w:val="nothing"/>
      <w:lvlText w:val="%1）"/>
      <w:lvlJc w:val="left"/>
    </w:lvl>
  </w:abstractNum>
  <w:abstractNum w:abstractNumId="4">
    <w:nsid w:val="C567515B"/>
    <w:multiLevelType w:val="singleLevel"/>
    <w:tmpl w:val="C567515B"/>
    <w:lvl w:ilvl="0" w:tentative="0">
      <w:start w:val="1"/>
      <w:numFmt w:val="decimal"/>
      <w:lvlText w:val="%1."/>
      <w:lvlJc w:val="left"/>
      <w:pPr>
        <w:tabs>
          <w:tab w:val="left" w:pos="312"/>
        </w:tabs>
      </w:pPr>
    </w:lvl>
  </w:abstractNum>
  <w:abstractNum w:abstractNumId="5">
    <w:nsid w:val="C759851C"/>
    <w:multiLevelType w:val="multilevel"/>
    <w:tmpl w:val="C759851C"/>
    <w:lvl w:ilvl="0" w:tentative="0">
      <w:start w:val="1"/>
      <w:numFmt w:val="japaneseCounting"/>
      <w:suff w:val="space"/>
      <w:lvlText w:val="第%1章"/>
      <w:lvlJc w:val="left"/>
      <w:pPr>
        <w:ind w:left="4941" w:hanging="1140"/>
      </w:pPr>
      <w:rPr>
        <w:rFonts w:hint="eastAsia"/>
      </w:rPr>
    </w:lvl>
    <w:lvl w:ilvl="1" w:tentative="0">
      <w:start w:val="1"/>
      <w:numFmt w:val="lowerLetter"/>
      <w:lvlText w:val="%2)"/>
      <w:lvlJc w:val="left"/>
      <w:pPr>
        <w:tabs>
          <w:tab w:val="left" w:pos="4641"/>
        </w:tabs>
        <w:ind w:left="4641" w:hanging="420"/>
      </w:pPr>
      <w:rPr>
        <w:rFonts w:hint="eastAsia"/>
      </w:rPr>
    </w:lvl>
    <w:lvl w:ilvl="2" w:tentative="0">
      <w:start w:val="1"/>
      <w:numFmt w:val="lowerRoman"/>
      <w:lvlText w:val="%3."/>
      <w:lvlJc w:val="right"/>
      <w:pPr>
        <w:tabs>
          <w:tab w:val="left" w:pos="5061"/>
        </w:tabs>
        <w:ind w:left="5061" w:hanging="420"/>
      </w:pPr>
      <w:rPr>
        <w:rFonts w:hint="eastAsia"/>
      </w:rPr>
    </w:lvl>
    <w:lvl w:ilvl="3" w:tentative="0">
      <w:start w:val="1"/>
      <w:numFmt w:val="decimal"/>
      <w:lvlText w:val="%4."/>
      <w:lvlJc w:val="left"/>
      <w:pPr>
        <w:tabs>
          <w:tab w:val="left" w:pos="5481"/>
        </w:tabs>
        <w:ind w:left="5481" w:hanging="420"/>
      </w:pPr>
      <w:rPr>
        <w:rFonts w:hint="eastAsia"/>
      </w:rPr>
    </w:lvl>
    <w:lvl w:ilvl="4" w:tentative="0">
      <w:start w:val="1"/>
      <w:numFmt w:val="lowerLetter"/>
      <w:lvlText w:val="%5)"/>
      <w:lvlJc w:val="left"/>
      <w:pPr>
        <w:tabs>
          <w:tab w:val="left" w:pos="5901"/>
        </w:tabs>
        <w:ind w:left="5901" w:hanging="420"/>
      </w:pPr>
      <w:rPr>
        <w:rFonts w:hint="eastAsia"/>
      </w:rPr>
    </w:lvl>
    <w:lvl w:ilvl="5" w:tentative="0">
      <w:start w:val="1"/>
      <w:numFmt w:val="lowerRoman"/>
      <w:lvlText w:val="%6."/>
      <w:lvlJc w:val="right"/>
      <w:pPr>
        <w:tabs>
          <w:tab w:val="left" w:pos="6321"/>
        </w:tabs>
        <w:ind w:left="6321" w:hanging="420"/>
      </w:pPr>
      <w:rPr>
        <w:rFonts w:hint="eastAsia"/>
      </w:rPr>
    </w:lvl>
    <w:lvl w:ilvl="6" w:tentative="0">
      <w:start w:val="1"/>
      <w:numFmt w:val="decimal"/>
      <w:lvlText w:val="%7."/>
      <w:lvlJc w:val="left"/>
      <w:pPr>
        <w:tabs>
          <w:tab w:val="left" w:pos="6741"/>
        </w:tabs>
        <w:ind w:left="6741" w:hanging="420"/>
      </w:pPr>
      <w:rPr>
        <w:rFonts w:hint="eastAsia"/>
      </w:rPr>
    </w:lvl>
    <w:lvl w:ilvl="7" w:tentative="0">
      <w:start w:val="1"/>
      <w:numFmt w:val="lowerLetter"/>
      <w:lvlText w:val="%8)"/>
      <w:lvlJc w:val="left"/>
      <w:pPr>
        <w:tabs>
          <w:tab w:val="left" w:pos="7161"/>
        </w:tabs>
        <w:ind w:left="7161" w:hanging="420"/>
      </w:pPr>
      <w:rPr>
        <w:rFonts w:hint="eastAsia"/>
      </w:rPr>
    </w:lvl>
    <w:lvl w:ilvl="8" w:tentative="0">
      <w:start w:val="1"/>
      <w:numFmt w:val="lowerRoman"/>
      <w:lvlText w:val="%9."/>
      <w:lvlJc w:val="right"/>
      <w:pPr>
        <w:tabs>
          <w:tab w:val="left" w:pos="7581"/>
        </w:tabs>
        <w:ind w:left="7581" w:hanging="420"/>
      </w:pPr>
      <w:rPr>
        <w:rFonts w:hint="eastAsia"/>
      </w:rPr>
    </w:lvl>
  </w:abstractNum>
  <w:abstractNum w:abstractNumId="6">
    <w:nsid w:val="EB959B7F"/>
    <w:multiLevelType w:val="multilevel"/>
    <w:tmpl w:val="EB959B7F"/>
    <w:lvl w:ilvl="0" w:tentative="0">
      <w:start w:val="1"/>
      <w:numFmt w:val="decimal"/>
      <w:lvlText w:val="%1"/>
      <w:lvlJc w:val="left"/>
      <w:pPr>
        <w:tabs>
          <w:tab w:val="left" w:pos="900"/>
        </w:tabs>
        <w:ind w:left="900" w:hanging="900"/>
      </w:pPr>
      <w:rPr>
        <w:rFonts w:hint="eastAsia"/>
      </w:rPr>
    </w:lvl>
    <w:lvl w:ilvl="1" w:tentative="0">
      <w:start w:val="1"/>
      <w:numFmt w:val="decimal"/>
      <w:suff w:val="space"/>
      <w:lvlText w:val="%1.%2"/>
      <w:lvlJc w:val="left"/>
      <w:pPr>
        <w:ind w:left="1468" w:hanging="900"/>
      </w:pPr>
      <w:rPr>
        <w:rFonts w:hint="default" w:ascii="Times New Roman" w:hAnsi="Times New Roman" w:cs="Times New Roman"/>
        <w:sz w:val="24"/>
        <w:szCs w:val="24"/>
      </w:rPr>
    </w:lvl>
    <w:lvl w:ilvl="2" w:tentative="0">
      <w:start w:val="1"/>
      <w:numFmt w:val="decimal"/>
      <w:suff w:val="space"/>
      <w:lvlText w:val="%1.%2.%3"/>
      <w:lvlJc w:val="left"/>
      <w:pPr>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F0544480"/>
    <w:multiLevelType w:val="singleLevel"/>
    <w:tmpl w:val="F0544480"/>
    <w:lvl w:ilvl="0" w:tentative="0">
      <w:start w:val="1"/>
      <w:numFmt w:val="decimal"/>
      <w:lvlText w:val="%1."/>
      <w:lvlJc w:val="left"/>
      <w:pPr>
        <w:tabs>
          <w:tab w:val="left" w:pos="312"/>
        </w:tabs>
      </w:pPr>
    </w:lvl>
  </w:abstractNum>
  <w:abstractNum w:abstractNumId="8">
    <w:nsid w:val="FAD061CD"/>
    <w:multiLevelType w:val="multilevel"/>
    <w:tmpl w:val="FAD061C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suff w:val="space"/>
      <w:lvlText w:val="%1.%2.%3.%4"/>
      <w:lvlJc w:val="left"/>
      <w:pPr>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FC3020D5"/>
    <w:multiLevelType w:val="singleLevel"/>
    <w:tmpl w:val="FC3020D5"/>
    <w:lvl w:ilvl="0" w:tentative="0">
      <w:start w:val="1"/>
      <w:numFmt w:val="decimal"/>
      <w:lvlText w:val="%1."/>
      <w:lvlJc w:val="left"/>
      <w:pPr>
        <w:tabs>
          <w:tab w:val="left" w:pos="312"/>
        </w:tabs>
      </w:pPr>
    </w:lvl>
  </w:abstractNum>
  <w:abstractNum w:abstractNumId="10">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13">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5">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7">
    <w:nsid w:val="152194D1"/>
    <w:multiLevelType w:val="singleLevel"/>
    <w:tmpl w:val="152194D1"/>
    <w:lvl w:ilvl="0" w:tentative="0">
      <w:start w:val="1"/>
      <w:numFmt w:val="decimal"/>
      <w:lvlText w:val="%1."/>
      <w:lvlJc w:val="left"/>
      <w:pPr>
        <w:tabs>
          <w:tab w:val="left" w:pos="312"/>
        </w:tabs>
      </w:pPr>
    </w:lvl>
  </w:abstractNum>
  <w:abstractNum w:abstractNumId="18">
    <w:nsid w:val="2C964465"/>
    <w:multiLevelType w:val="singleLevel"/>
    <w:tmpl w:val="2C964465"/>
    <w:lvl w:ilvl="0" w:tentative="0">
      <w:start w:val="1"/>
      <w:numFmt w:val="decimal"/>
      <w:lvlText w:val="%1."/>
      <w:lvlJc w:val="left"/>
      <w:pPr>
        <w:tabs>
          <w:tab w:val="left" w:pos="312"/>
        </w:tabs>
      </w:pPr>
    </w:lvl>
  </w:abstractNum>
  <w:abstractNum w:abstractNumId="19">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2D242816"/>
    <w:multiLevelType w:val="singleLevel"/>
    <w:tmpl w:val="2D242816"/>
    <w:lvl w:ilvl="0" w:tentative="0">
      <w:start w:val="1"/>
      <w:numFmt w:val="decimal"/>
      <w:lvlText w:val="%1."/>
      <w:lvlJc w:val="left"/>
      <w:pPr>
        <w:tabs>
          <w:tab w:val="left" w:pos="312"/>
        </w:tabs>
      </w:pPr>
    </w:lvl>
  </w:abstractNum>
  <w:abstractNum w:abstractNumId="2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4727FCDD"/>
    <w:multiLevelType w:val="multilevel"/>
    <w:tmpl w:val="4727FCDD"/>
    <w:lvl w:ilvl="0" w:tentative="0">
      <w:start w:val="1"/>
      <w:numFmt w:val="decimal"/>
      <w:lvlText w:val="%1"/>
      <w:lvlJc w:val="left"/>
      <w:pPr>
        <w:tabs>
          <w:tab w:val="left" w:pos="900"/>
        </w:tabs>
        <w:ind w:left="900" w:hanging="900"/>
      </w:pPr>
      <w:rPr>
        <w:rFonts w:hint="eastAsia"/>
      </w:rPr>
    </w:lvl>
    <w:lvl w:ilvl="1" w:tentative="0">
      <w:start w:val="1"/>
      <w:numFmt w:val="decimal"/>
      <w:suff w:val="space"/>
      <w:lvlText w:val="%1.%2"/>
      <w:lvlJc w:val="left"/>
      <w:pPr>
        <w:ind w:left="1468" w:hanging="900"/>
      </w:pPr>
      <w:rPr>
        <w:rFonts w:hint="default" w:ascii="Times New Roman" w:hAnsi="Times New Roman" w:cs="Times New Roman"/>
        <w:sz w:val="24"/>
        <w:szCs w:val="24"/>
      </w:rPr>
    </w:lvl>
    <w:lvl w:ilvl="2" w:tentative="0">
      <w:start w:val="1"/>
      <w:numFmt w:val="decimal"/>
      <w:suff w:val="space"/>
      <w:lvlText w:val="%1.%2.%3"/>
      <w:lvlJc w:val="left"/>
      <w:pPr>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406DF01"/>
    <w:multiLevelType w:val="singleLevel"/>
    <w:tmpl w:val="5406DF01"/>
    <w:lvl w:ilvl="0" w:tentative="0">
      <w:start w:val="3"/>
      <w:numFmt w:val="decimal"/>
      <w:suff w:val="nothing"/>
      <w:lvlText w:val="（%1）"/>
      <w:lvlJc w:val="left"/>
    </w:lvl>
  </w:abstractNum>
  <w:abstractNum w:abstractNumId="2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7097FCC0"/>
    <w:multiLevelType w:val="singleLevel"/>
    <w:tmpl w:val="7097FCC0"/>
    <w:lvl w:ilvl="0" w:tentative="0">
      <w:start w:val="1"/>
      <w:numFmt w:val="decimal"/>
      <w:lvlText w:val="%1."/>
      <w:lvlJc w:val="left"/>
      <w:pPr>
        <w:tabs>
          <w:tab w:val="left" w:pos="312"/>
        </w:tabs>
      </w:pPr>
    </w:lvl>
  </w:abstractNum>
  <w:abstractNum w:abstractNumId="31">
    <w:nsid w:val="74E870A1"/>
    <w:multiLevelType w:val="singleLevel"/>
    <w:tmpl w:val="74E870A1"/>
    <w:lvl w:ilvl="0" w:tentative="0">
      <w:start w:val="1"/>
      <w:numFmt w:val="decimal"/>
      <w:lvlText w:val="%1."/>
      <w:lvlJc w:val="left"/>
      <w:pPr>
        <w:tabs>
          <w:tab w:val="left" w:pos="312"/>
        </w:tabs>
      </w:pPr>
    </w:lvl>
  </w:abstractNum>
  <w:num w:numId="1">
    <w:abstractNumId w:val="13"/>
  </w:num>
  <w:num w:numId="2">
    <w:abstractNumId w:val="15"/>
  </w:num>
  <w:num w:numId="3">
    <w:abstractNumId w:val="10"/>
  </w:num>
  <w:num w:numId="4">
    <w:abstractNumId w:val="14"/>
  </w:num>
  <w:num w:numId="5">
    <w:abstractNumId w:val="12"/>
  </w:num>
  <w:num w:numId="6">
    <w:abstractNumId w:val="11"/>
  </w:num>
  <w:num w:numId="7">
    <w:abstractNumId w:val="16"/>
  </w:num>
  <w:num w:numId="8">
    <w:abstractNumId w:val="27"/>
  </w:num>
  <w:num w:numId="9">
    <w:abstractNumId w:val="6"/>
  </w:num>
  <w:num w:numId="10">
    <w:abstractNumId w:val="8"/>
  </w:num>
  <w:num w:numId="11">
    <w:abstractNumId w:val="5"/>
  </w:num>
  <w:num w:numId="12">
    <w:abstractNumId w:val="23"/>
  </w:num>
  <w:num w:numId="13">
    <w:abstractNumId w:val="24"/>
  </w:num>
  <w:num w:numId="14">
    <w:abstractNumId w:val="29"/>
  </w:num>
  <w:num w:numId="15">
    <w:abstractNumId w:val="20"/>
  </w:num>
  <w:num w:numId="16">
    <w:abstractNumId w:val="9"/>
  </w:num>
  <w:num w:numId="17">
    <w:abstractNumId w:val="30"/>
  </w:num>
  <w:num w:numId="18">
    <w:abstractNumId w:val="4"/>
  </w:num>
  <w:num w:numId="19">
    <w:abstractNumId w:val="31"/>
  </w:num>
  <w:num w:numId="20">
    <w:abstractNumId w:val="7"/>
  </w:num>
  <w:num w:numId="21">
    <w:abstractNumId w:val="17"/>
  </w:num>
  <w:num w:numId="22">
    <w:abstractNumId w:val="18"/>
  </w:num>
  <w:num w:numId="23">
    <w:abstractNumId w:val="0"/>
  </w:num>
  <w:num w:numId="24">
    <w:abstractNumId w:val="1"/>
  </w:num>
  <w:num w:numId="25">
    <w:abstractNumId w:val="2"/>
  </w:num>
  <w:num w:numId="26">
    <w:abstractNumId w:val="3"/>
  </w:num>
  <w:num w:numId="27">
    <w:abstractNumId w:val="28"/>
  </w:num>
  <w:num w:numId="28">
    <w:abstractNumId w:val="21"/>
  </w:num>
  <w:num w:numId="29">
    <w:abstractNumId w:val="25"/>
  </w:num>
  <w:num w:numId="30">
    <w:abstractNumId w:val="22"/>
  </w:num>
  <w:num w:numId="31">
    <w:abstractNumId w:val="1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jhkYjRhOWE3MzYyNmY2NmYzYmY1ZDNjMmRiNGQ5OWI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9EE"/>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A7"/>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875"/>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5016F"/>
    <w:rsid w:val="01A51A48"/>
    <w:rsid w:val="01E66C7D"/>
    <w:rsid w:val="01F3069B"/>
    <w:rsid w:val="02054F52"/>
    <w:rsid w:val="02873611"/>
    <w:rsid w:val="02EA750E"/>
    <w:rsid w:val="02EC4A7E"/>
    <w:rsid w:val="036E20CA"/>
    <w:rsid w:val="04AA138F"/>
    <w:rsid w:val="04BD7D66"/>
    <w:rsid w:val="04D8694E"/>
    <w:rsid w:val="04E672BC"/>
    <w:rsid w:val="052D4EEB"/>
    <w:rsid w:val="05CB4B57"/>
    <w:rsid w:val="061817DC"/>
    <w:rsid w:val="061B11E8"/>
    <w:rsid w:val="065C77B9"/>
    <w:rsid w:val="06B56F46"/>
    <w:rsid w:val="074327A4"/>
    <w:rsid w:val="0757640C"/>
    <w:rsid w:val="07C36277"/>
    <w:rsid w:val="07ED2710"/>
    <w:rsid w:val="07F712CB"/>
    <w:rsid w:val="085423A5"/>
    <w:rsid w:val="08744698"/>
    <w:rsid w:val="091308EF"/>
    <w:rsid w:val="092D4D83"/>
    <w:rsid w:val="093C74AB"/>
    <w:rsid w:val="096B7C2E"/>
    <w:rsid w:val="099059BB"/>
    <w:rsid w:val="0A140428"/>
    <w:rsid w:val="0A2933A4"/>
    <w:rsid w:val="0A5B1BB3"/>
    <w:rsid w:val="0A747118"/>
    <w:rsid w:val="0AA96DC2"/>
    <w:rsid w:val="0AB614DF"/>
    <w:rsid w:val="0AF674AA"/>
    <w:rsid w:val="0B330D82"/>
    <w:rsid w:val="0B532920"/>
    <w:rsid w:val="0B660C1A"/>
    <w:rsid w:val="0BB14F1A"/>
    <w:rsid w:val="0BBC48D3"/>
    <w:rsid w:val="0BC36C8F"/>
    <w:rsid w:val="0BCB720C"/>
    <w:rsid w:val="0BEB6F66"/>
    <w:rsid w:val="0BFB5B29"/>
    <w:rsid w:val="0C4548C9"/>
    <w:rsid w:val="0C9D2956"/>
    <w:rsid w:val="0D335069"/>
    <w:rsid w:val="0D553231"/>
    <w:rsid w:val="0D9A0C44"/>
    <w:rsid w:val="0DB47EFE"/>
    <w:rsid w:val="0DE325EB"/>
    <w:rsid w:val="0DE47BD9"/>
    <w:rsid w:val="0E2F75DE"/>
    <w:rsid w:val="0E323572"/>
    <w:rsid w:val="0E664FCA"/>
    <w:rsid w:val="0EA16A06"/>
    <w:rsid w:val="0ED95C18"/>
    <w:rsid w:val="0EF645A0"/>
    <w:rsid w:val="0F2C7FC2"/>
    <w:rsid w:val="0FA130EF"/>
    <w:rsid w:val="0FC32B70"/>
    <w:rsid w:val="0FDB200C"/>
    <w:rsid w:val="0FEB0729"/>
    <w:rsid w:val="1022461B"/>
    <w:rsid w:val="102555FA"/>
    <w:rsid w:val="1063632A"/>
    <w:rsid w:val="1075522A"/>
    <w:rsid w:val="10790550"/>
    <w:rsid w:val="10951784"/>
    <w:rsid w:val="10EC17B7"/>
    <w:rsid w:val="111331E7"/>
    <w:rsid w:val="11196324"/>
    <w:rsid w:val="1125116C"/>
    <w:rsid w:val="112A0531"/>
    <w:rsid w:val="114710E3"/>
    <w:rsid w:val="11544B02"/>
    <w:rsid w:val="115A63BD"/>
    <w:rsid w:val="117143B2"/>
    <w:rsid w:val="119013C7"/>
    <w:rsid w:val="11967974"/>
    <w:rsid w:val="11B83D8F"/>
    <w:rsid w:val="11CC15E8"/>
    <w:rsid w:val="125A33FD"/>
    <w:rsid w:val="129F5349"/>
    <w:rsid w:val="12EF778D"/>
    <w:rsid w:val="130D010A"/>
    <w:rsid w:val="132F49C8"/>
    <w:rsid w:val="133B07D3"/>
    <w:rsid w:val="13734411"/>
    <w:rsid w:val="137547D2"/>
    <w:rsid w:val="13A029CF"/>
    <w:rsid w:val="13AF0498"/>
    <w:rsid w:val="13F37300"/>
    <w:rsid w:val="14186D67"/>
    <w:rsid w:val="14900FF3"/>
    <w:rsid w:val="14AC1194"/>
    <w:rsid w:val="14C84C81"/>
    <w:rsid w:val="15114005"/>
    <w:rsid w:val="1514752E"/>
    <w:rsid w:val="15533F4F"/>
    <w:rsid w:val="157F6158"/>
    <w:rsid w:val="159D78AD"/>
    <w:rsid w:val="160F6E35"/>
    <w:rsid w:val="162C76C0"/>
    <w:rsid w:val="168A4CD1"/>
    <w:rsid w:val="16A4518D"/>
    <w:rsid w:val="16A811AD"/>
    <w:rsid w:val="170359FF"/>
    <w:rsid w:val="170708EC"/>
    <w:rsid w:val="17562567"/>
    <w:rsid w:val="178E7A6B"/>
    <w:rsid w:val="17CA481C"/>
    <w:rsid w:val="17F93E0B"/>
    <w:rsid w:val="17FD6265"/>
    <w:rsid w:val="18736C61"/>
    <w:rsid w:val="188C1635"/>
    <w:rsid w:val="18964ADC"/>
    <w:rsid w:val="194C3802"/>
    <w:rsid w:val="19D43730"/>
    <w:rsid w:val="1A0E09F0"/>
    <w:rsid w:val="1A58610F"/>
    <w:rsid w:val="1A6A4C5B"/>
    <w:rsid w:val="1A84273E"/>
    <w:rsid w:val="1A9D7FC6"/>
    <w:rsid w:val="1AB25F85"/>
    <w:rsid w:val="1AC9700C"/>
    <w:rsid w:val="1B332E65"/>
    <w:rsid w:val="1B540E52"/>
    <w:rsid w:val="1B586C8A"/>
    <w:rsid w:val="1B6034CD"/>
    <w:rsid w:val="1B736F07"/>
    <w:rsid w:val="1B794B43"/>
    <w:rsid w:val="1B8401D9"/>
    <w:rsid w:val="1BA07BC0"/>
    <w:rsid w:val="1BA86C22"/>
    <w:rsid w:val="1BBE70BF"/>
    <w:rsid w:val="1BCF2401"/>
    <w:rsid w:val="1C455CA5"/>
    <w:rsid w:val="1C7919C1"/>
    <w:rsid w:val="1CB05D8E"/>
    <w:rsid w:val="1CC23D13"/>
    <w:rsid w:val="1D2C69D2"/>
    <w:rsid w:val="1D835CF7"/>
    <w:rsid w:val="1DB47B00"/>
    <w:rsid w:val="1DBF5A6D"/>
    <w:rsid w:val="1DD208D3"/>
    <w:rsid w:val="1DF71875"/>
    <w:rsid w:val="1DFE795C"/>
    <w:rsid w:val="1E567848"/>
    <w:rsid w:val="1E6E78E8"/>
    <w:rsid w:val="1EA0799B"/>
    <w:rsid w:val="1EFB45C2"/>
    <w:rsid w:val="1F6A28DC"/>
    <w:rsid w:val="1F784B5D"/>
    <w:rsid w:val="1F8D2259"/>
    <w:rsid w:val="1FE50445"/>
    <w:rsid w:val="200C59D1"/>
    <w:rsid w:val="20126D60"/>
    <w:rsid w:val="204C04C4"/>
    <w:rsid w:val="209E05F3"/>
    <w:rsid w:val="20A0436C"/>
    <w:rsid w:val="20C31E08"/>
    <w:rsid w:val="20C52024"/>
    <w:rsid w:val="20D34741"/>
    <w:rsid w:val="21066562"/>
    <w:rsid w:val="210A32D4"/>
    <w:rsid w:val="21FC1A76"/>
    <w:rsid w:val="220D5A31"/>
    <w:rsid w:val="2222290C"/>
    <w:rsid w:val="22617B2B"/>
    <w:rsid w:val="226650A3"/>
    <w:rsid w:val="230E380E"/>
    <w:rsid w:val="231150AD"/>
    <w:rsid w:val="23696E4D"/>
    <w:rsid w:val="239E00B4"/>
    <w:rsid w:val="23BC3A5B"/>
    <w:rsid w:val="23E9602A"/>
    <w:rsid w:val="24183F62"/>
    <w:rsid w:val="241E3F25"/>
    <w:rsid w:val="24431BDE"/>
    <w:rsid w:val="24755DC8"/>
    <w:rsid w:val="24D50412"/>
    <w:rsid w:val="24DE5462"/>
    <w:rsid w:val="251E74A4"/>
    <w:rsid w:val="25493054"/>
    <w:rsid w:val="26A050C5"/>
    <w:rsid w:val="26DF33AC"/>
    <w:rsid w:val="27196C26"/>
    <w:rsid w:val="274E0D01"/>
    <w:rsid w:val="277D5407"/>
    <w:rsid w:val="27843CE5"/>
    <w:rsid w:val="278F69B8"/>
    <w:rsid w:val="282C74D9"/>
    <w:rsid w:val="28545747"/>
    <w:rsid w:val="285F68BA"/>
    <w:rsid w:val="28B82778"/>
    <w:rsid w:val="28FC52BC"/>
    <w:rsid w:val="28FD67FF"/>
    <w:rsid w:val="29064B7C"/>
    <w:rsid w:val="2954525B"/>
    <w:rsid w:val="29B010AD"/>
    <w:rsid w:val="2A813D65"/>
    <w:rsid w:val="2A8C35E1"/>
    <w:rsid w:val="2AAD6478"/>
    <w:rsid w:val="2AC80A12"/>
    <w:rsid w:val="2ADB2B70"/>
    <w:rsid w:val="2B0049F0"/>
    <w:rsid w:val="2B157704"/>
    <w:rsid w:val="2B404781"/>
    <w:rsid w:val="2B99791F"/>
    <w:rsid w:val="2BA15BAA"/>
    <w:rsid w:val="2BAB1AB4"/>
    <w:rsid w:val="2C555D4A"/>
    <w:rsid w:val="2C7C3EDF"/>
    <w:rsid w:val="2CCD5E46"/>
    <w:rsid w:val="2DEB702A"/>
    <w:rsid w:val="2E650C04"/>
    <w:rsid w:val="2EFF3400"/>
    <w:rsid w:val="2FE04785"/>
    <w:rsid w:val="2FFA3A98"/>
    <w:rsid w:val="302E0AEA"/>
    <w:rsid w:val="30397816"/>
    <w:rsid w:val="303B7C0D"/>
    <w:rsid w:val="30C407C0"/>
    <w:rsid w:val="30E43E01"/>
    <w:rsid w:val="30F95704"/>
    <w:rsid w:val="31553B81"/>
    <w:rsid w:val="3175714F"/>
    <w:rsid w:val="31AE3787"/>
    <w:rsid w:val="32085CA7"/>
    <w:rsid w:val="322104B7"/>
    <w:rsid w:val="322F554F"/>
    <w:rsid w:val="3293788C"/>
    <w:rsid w:val="32BB5035"/>
    <w:rsid w:val="32BF4419"/>
    <w:rsid w:val="32EB653A"/>
    <w:rsid w:val="33BB353F"/>
    <w:rsid w:val="33ED182B"/>
    <w:rsid w:val="33EF1F99"/>
    <w:rsid w:val="33F811A5"/>
    <w:rsid w:val="348F0527"/>
    <w:rsid w:val="34B87A7E"/>
    <w:rsid w:val="34FA4749"/>
    <w:rsid w:val="352C3FC8"/>
    <w:rsid w:val="353335A8"/>
    <w:rsid w:val="35833A51"/>
    <w:rsid w:val="360B4679"/>
    <w:rsid w:val="36127662"/>
    <w:rsid w:val="361B6AFF"/>
    <w:rsid w:val="368F65D6"/>
    <w:rsid w:val="36F62EEF"/>
    <w:rsid w:val="36FE72C1"/>
    <w:rsid w:val="374A770D"/>
    <w:rsid w:val="377838EB"/>
    <w:rsid w:val="37983B97"/>
    <w:rsid w:val="37AD38FC"/>
    <w:rsid w:val="37BE5938"/>
    <w:rsid w:val="37CA0B1D"/>
    <w:rsid w:val="37FE39FA"/>
    <w:rsid w:val="38FE2AF3"/>
    <w:rsid w:val="39291B42"/>
    <w:rsid w:val="39764BAE"/>
    <w:rsid w:val="397D1A60"/>
    <w:rsid w:val="39B36A66"/>
    <w:rsid w:val="3AC248BA"/>
    <w:rsid w:val="3AE7497A"/>
    <w:rsid w:val="3B2578B4"/>
    <w:rsid w:val="3B4E2EEA"/>
    <w:rsid w:val="3BCB6780"/>
    <w:rsid w:val="3C237ED3"/>
    <w:rsid w:val="3CA56B3A"/>
    <w:rsid w:val="3CDC4526"/>
    <w:rsid w:val="3D711112"/>
    <w:rsid w:val="3DA037A5"/>
    <w:rsid w:val="3DC47494"/>
    <w:rsid w:val="3DC65339"/>
    <w:rsid w:val="3E3D0EE5"/>
    <w:rsid w:val="3E42660A"/>
    <w:rsid w:val="3E5D2561"/>
    <w:rsid w:val="3EDA6843"/>
    <w:rsid w:val="3F1E2BD3"/>
    <w:rsid w:val="3F5E6431"/>
    <w:rsid w:val="40271093"/>
    <w:rsid w:val="40503261"/>
    <w:rsid w:val="40644F5E"/>
    <w:rsid w:val="409B57D1"/>
    <w:rsid w:val="41110C42"/>
    <w:rsid w:val="412C1CD5"/>
    <w:rsid w:val="41364488"/>
    <w:rsid w:val="41792343"/>
    <w:rsid w:val="417967E7"/>
    <w:rsid w:val="41B61398"/>
    <w:rsid w:val="41DA3FC1"/>
    <w:rsid w:val="42A930FC"/>
    <w:rsid w:val="42CD0A98"/>
    <w:rsid w:val="42E171C0"/>
    <w:rsid w:val="431A0C09"/>
    <w:rsid w:val="43307340"/>
    <w:rsid w:val="436D237B"/>
    <w:rsid w:val="43A053AC"/>
    <w:rsid w:val="43C20EE5"/>
    <w:rsid w:val="43F32881"/>
    <w:rsid w:val="43F91594"/>
    <w:rsid w:val="44372B41"/>
    <w:rsid w:val="44415E48"/>
    <w:rsid w:val="44861074"/>
    <w:rsid w:val="449307AA"/>
    <w:rsid w:val="4502259F"/>
    <w:rsid w:val="45571BF0"/>
    <w:rsid w:val="45700D32"/>
    <w:rsid w:val="46645F2F"/>
    <w:rsid w:val="46713F31"/>
    <w:rsid w:val="46C62FD7"/>
    <w:rsid w:val="47180F14"/>
    <w:rsid w:val="473122B1"/>
    <w:rsid w:val="4732208F"/>
    <w:rsid w:val="4753521B"/>
    <w:rsid w:val="475861C1"/>
    <w:rsid w:val="47623541"/>
    <w:rsid w:val="479968AF"/>
    <w:rsid w:val="480E2158"/>
    <w:rsid w:val="48912668"/>
    <w:rsid w:val="48BB79BB"/>
    <w:rsid w:val="48BE0D85"/>
    <w:rsid w:val="49B239E8"/>
    <w:rsid w:val="49BB5BEF"/>
    <w:rsid w:val="49C5556E"/>
    <w:rsid w:val="49EE7926"/>
    <w:rsid w:val="49F60F0B"/>
    <w:rsid w:val="4A323E91"/>
    <w:rsid w:val="4A6E0EB3"/>
    <w:rsid w:val="4A933558"/>
    <w:rsid w:val="4AD14F9E"/>
    <w:rsid w:val="4AE64EED"/>
    <w:rsid w:val="4AF528F5"/>
    <w:rsid w:val="4AFFBC66"/>
    <w:rsid w:val="4B1D6435"/>
    <w:rsid w:val="4B4A0F01"/>
    <w:rsid w:val="4B65373A"/>
    <w:rsid w:val="4B6A5537"/>
    <w:rsid w:val="4B903FA6"/>
    <w:rsid w:val="4B9D07D7"/>
    <w:rsid w:val="4C7E695A"/>
    <w:rsid w:val="4D00163A"/>
    <w:rsid w:val="4D311F8B"/>
    <w:rsid w:val="4D5F3063"/>
    <w:rsid w:val="4D751C84"/>
    <w:rsid w:val="4DE913A9"/>
    <w:rsid w:val="4E404914"/>
    <w:rsid w:val="4E481A1B"/>
    <w:rsid w:val="4E726A98"/>
    <w:rsid w:val="4F0F5BE3"/>
    <w:rsid w:val="4F624D5E"/>
    <w:rsid w:val="4F7D5C83"/>
    <w:rsid w:val="50025BF9"/>
    <w:rsid w:val="50110E96"/>
    <w:rsid w:val="506A5C79"/>
    <w:rsid w:val="509E7DA4"/>
    <w:rsid w:val="50ED0658"/>
    <w:rsid w:val="50FB7B3B"/>
    <w:rsid w:val="510F7CBF"/>
    <w:rsid w:val="514C72EB"/>
    <w:rsid w:val="51504602"/>
    <w:rsid w:val="517F213A"/>
    <w:rsid w:val="51872753"/>
    <w:rsid w:val="523B54F8"/>
    <w:rsid w:val="52422029"/>
    <w:rsid w:val="52A15B9E"/>
    <w:rsid w:val="53320ECF"/>
    <w:rsid w:val="5358625C"/>
    <w:rsid w:val="538452A3"/>
    <w:rsid w:val="53BB4387"/>
    <w:rsid w:val="53DB3D89"/>
    <w:rsid w:val="54040192"/>
    <w:rsid w:val="54361C20"/>
    <w:rsid w:val="549C03CB"/>
    <w:rsid w:val="549F0D23"/>
    <w:rsid w:val="54A13C33"/>
    <w:rsid w:val="54DE4B7E"/>
    <w:rsid w:val="55040901"/>
    <w:rsid w:val="55254864"/>
    <w:rsid w:val="554A7FBB"/>
    <w:rsid w:val="555E7D76"/>
    <w:rsid w:val="559D6CB5"/>
    <w:rsid w:val="55A0213D"/>
    <w:rsid w:val="55C4367B"/>
    <w:rsid w:val="55D32512"/>
    <w:rsid w:val="55E50111"/>
    <w:rsid w:val="55EC0C4B"/>
    <w:rsid w:val="566556CB"/>
    <w:rsid w:val="56DF05DE"/>
    <w:rsid w:val="571A1A7B"/>
    <w:rsid w:val="57326672"/>
    <w:rsid w:val="5766352A"/>
    <w:rsid w:val="576C0528"/>
    <w:rsid w:val="57FC6189"/>
    <w:rsid w:val="581C343D"/>
    <w:rsid w:val="58726012"/>
    <w:rsid w:val="58B32187"/>
    <w:rsid w:val="58BD534C"/>
    <w:rsid w:val="58EB1921"/>
    <w:rsid w:val="592A095A"/>
    <w:rsid w:val="59835FFD"/>
    <w:rsid w:val="59BE5DFE"/>
    <w:rsid w:val="5A0D2252"/>
    <w:rsid w:val="5A9F5373"/>
    <w:rsid w:val="5AA004E9"/>
    <w:rsid w:val="5AFF2821"/>
    <w:rsid w:val="5B127639"/>
    <w:rsid w:val="5B1A1A1A"/>
    <w:rsid w:val="5B2D739D"/>
    <w:rsid w:val="5B446A30"/>
    <w:rsid w:val="5B653C0C"/>
    <w:rsid w:val="5B6E55BD"/>
    <w:rsid w:val="5B6F4A8B"/>
    <w:rsid w:val="5BE91A17"/>
    <w:rsid w:val="5BED3C02"/>
    <w:rsid w:val="5BF16A5B"/>
    <w:rsid w:val="5C246A7E"/>
    <w:rsid w:val="5C7530A6"/>
    <w:rsid w:val="5CC42BB4"/>
    <w:rsid w:val="5CF10E39"/>
    <w:rsid w:val="5CFA65D6"/>
    <w:rsid w:val="5D091080"/>
    <w:rsid w:val="5D1A4582"/>
    <w:rsid w:val="5D4635C9"/>
    <w:rsid w:val="5D5757D7"/>
    <w:rsid w:val="5D8F3188"/>
    <w:rsid w:val="5DDE1A54"/>
    <w:rsid w:val="5DFB7E08"/>
    <w:rsid w:val="5E880DCC"/>
    <w:rsid w:val="5E8C7702"/>
    <w:rsid w:val="5ED56E00"/>
    <w:rsid w:val="5EEDF705"/>
    <w:rsid w:val="5F073306"/>
    <w:rsid w:val="5F1C5490"/>
    <w:rsid w:val="5F446614"/>
    <w:rsid w:val="5F5A7800"/>
    <w:rsid w:val="5F5F73B9"/>
    <w:rsid w:val="5FFB53CC"/>
    <w:rsid w:val="60936074"/>
    <w:rsid w:val="60964868"/>
    <w:rsid w:val="60B6373E"/>
    <w:rsid w:val="60BE2C44"/>
    <w:rsid w:val="611B3299"/>
    <w:rsid w:val="619A3EE4"/>
    <w:rsid w:val="61AB60F1"/>
    <w:rsid w:val="61BC3E5A"/>
    <w:rsid w:val="61E11B13"/>
    <w:rsid w:val="6257335C"/>
    <w:rsid w:val="62816E52"/>
    <w:rsid w:val="62960B4F"/>
    <w:rsid w:val="63051831"/>
    <w:rsid w:val="630E2DDB"/>
    <w:rsid w:val="631D35FB"/>
    <w:rsid w:val="631E5EA0"/>
    <w:rsid w:val="63211123"/>
    <w:rsid w:val="63CB4828"/>
    <w:rsid w:val="63DD378F"/>
    <w:rsid w:val="63F975E8"/>
    <w:rsid w:val="645912D6"/>
    <w:rsid w:val="646A6BD1"/>
    <w:rsid w:val="64970BAF"/>
    <w:rsid w:val="64CD1FF5"/>
    <w:rsid w:val="64D16D8E"/>
    <w:rsid w:val="64D72513"/>
    <w:rsid w:val="64E673B1"/>
    <w:rsid w:val="656A18BE"/>
    <w:rsid w:val="65F20792"/>
    <w:rsid w:val="67310E46"/>
    <w:rsid w:val="67D43218"/>
    <w:rsid w:val="68285307"/>
    <w:rsid w:val="6838144E"/>
    <w:rsid w:val="68AA7398"/>
    <w:rsid w:val="68DE0B5A"/>
    <w:rsid w:val="68EA39A3"/>
    <w:rsid w:val="69694A8E"/>
    <w:rsid w:val="6A1330E9"/>
    <w:rsid w:val="6A664983"/>
    <w:rsid w:val="6AB63143"/>
    <w:rsid w:val="6AD761A9"/>
    <w:rsid w:val="6AE95313"/>
    <w:rsid w:val="6AEF4C45"/>
    <w:rsid w:val="6AF60622"/>
    <w:rsid w:val="6B6537B4"/>
    <w:rsid w:val="6B68554D"/>
    <w:rsid w:val="6BF0003E"/>
    <w:rsid w:val="6C040838"/>
    <w:rsid w:val="6C384A25"/>
    <w:rsid w:val="6C973071"/>
    <w:rsid w:val="6CB852DB"/>
    <w:rsid w:val="6CD7423E"/>
    <w:rsid w:val="6CE93F71"/>
    <w:rsid w:val="6D011CF4"/>
    <w:rsid w:val="6D062D75"/>
    <w:rsid w:val="6D651FE1"/>
    <w:rsid w:val="6E2551EB"/>
    <w:rsid w:val="6E3B07FD"/>
    <w:rsid w:val="6E602011"/>
    <w:rsid w:val="6ED8604B"/>
    <w:rsid w:val="6EE964AB"/>
    <w:rsid w:val="6F2B6874"/>
    <w:rsid w:val="6F640BAB"/>
    <w:rsid w:val="6FBD3BBF"/>
    <w:rsid w:val="6FD809F9"/>
    <w:rsid w:val="6FDE1E67"/>
    <w:rsid w:val="6FF2667E"/>
    <w:rsid w:val="6FF46EB5"/>
    <w:rsid w:val="701B08E6"/>
    <w:rsid w:val="7027728A"/>
    <w:rsid w:val="70420332"/>
    <w:rsid w:val="71063344"/>
    <w:rsid w:val="711D398C"/>
    <w:rsid w:val="71687B5B"/>
    <w:rsid w:val="71940950"/>
    <w:rsid w:val="719C0B6D"/>
    <w:rsid w:val="71A06D61"/>
    <w:rsid w:val="71C24870"/>
    <w:rsid w:val="72640322"/>
    <w:rsid w:val="72BF310E"/>
    <w:rsid w:val="730C516A"/>
    <w:rsid w:val="734A1F2D"/>
    <w:rsid w:val="73A56E44"/>
    <w:rsid w:val="73C44DF0"/>
    <w:rsid w:val="73FE14AB"/>
    <w:rsid w:val="742C597A"/>
    <w:rsid w:val="74542618"/>
    <w:rsid w:val="74A40E40"/>
    <w:rsid w:val="74CE4BF8"/>
    <w:rsid w:val="74EF066E"/>
    <w:rsid w:val="74F35D48"/>
    <w:rsid w:val="75050F2A"/>
    <w:rsid w:val="7560113C"/>
    <w:rsid w:val="75834F63"/>
    <w:rsid w:val="75914DAC"/>
    <w:rsid w:val="75A5137D"/>
    <w:rsid w:val="75A90742"/>
    <w:rsid w:val="75B0717F"/>
    <w:rsid w:val="75DF4163"/>
    <w:rsid w:val="761D64FD"/>
    <w:rsid w:val="7632427E"/>
    <w:rsid w:val="76325C2F"/>
    <w:rsid w:val="763419B9"/>
    <w:rsid w:val="765C7562"/>
    <w:rsid w:val="768D6F48"/>
    <w:rsid w:val="76962A74"/>
    <w:rsid w:val="76C13171"/>
    <w:rsid w:val="76D55C89"/>
    <w:rsid w:val="76F74D4E"/>
    <w:rsid w:val="774D11E1"/>
    <w:rsid w:val="77C656F3"/>
    <w:rsid w:val="77F57C2B"/>
    <w:rsid w:val="782162EC"/>
    <w:rsid w:val="78FB7506"/>
    <w:rsid w:val="792D4A8B"/>
    <w:rsid w:val="793842B6"/>
    <w:rsid w:val="794B3FEA"/>
    <w:rsid w:val="796D439A"/>
    <w:rsid w:val="79D0629D"/>
    <w:rsid w:val="7A016712"/>
    <w:rsid w:val="7A2A5872"/>
    <w:rsid w:val="7ABD44E0"/>
    <w:rsid w:val="7BCA783B"/>
    <w:rsid w:val="7C2743B0"/>
    <w:rsid w:val="7C4A11FB"/>
    <w:rsid w:val="7CA11C62"/>
    <w:rsid w:val="7CCC3693"/>
    <w:rsid w:val="7CE24C65"/>
    <w:rsid w:val="7D9C25AB"/>
    <w:rsid w:val="7DE70333"/>
    <w:rsid w:val="7DEF6612"/>
    <w:rsid w:val="7E0230E5"/>
    <w:rsid w:val="7E41265E"/>
    <w:rsid w:val="7E73175E"/>
    <w:rsid w:val="7E74183B"/>
    <w:rsid w:val="7E7B6E1F"/>
    <w:rsid w:val="7E7C69F3"/>
    <w:rsid w:val="7EA2525B"/>
    <w:rsid w:val="7ED76089"/>
    <w:rsid w:val="7F1B7CAE"/>
    <w:rsid w:val="7F286BFF"/>
    <w:rsid w:val="7F315A30"/>
    <w:rsid w:val="7FC7469B"/>
    <w:rsid w:val="7FC7CFA1"/>
    <w:rsid w:val="7FE01204"/>
    <w:rsid w:val="A6BEB84C"/>
    <w:rsid w:val="B77F8749"/>
    <w:rsid w:val="C5FF1D65"/>
    <w:rsid w:val="FB753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3"/>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4"/>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6"/>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9"/>
    <w:qFormat/>
    <w:uiPriority w:val="0"/>
    <w:pPr>
      <w:shd w:val="clear" w:color="auto" w:fill="000080"/>
    </w:pPr>
  </w:style>
  <w:style w:type="paragraph" w:styleId="15">
    <w:name w:val="annotation text"/>
    <w:basedOn w:val="1"/>
    <w:link w:val="185"/>
    <w:qFormat/>
    <w:uiPriority w:val="99"/>
    <w:pPr>
      <w:jc w:val="left"/>
    </w:pPr>
  </w:style>
  <w:style w:type="paragraph" w:styleId="16">
    <w:name w:val="Body Text 3"/>
    <w:basedOn w:val="1"/>
    <w:link w:val="240"/>
    <w:qFormat/>
    <w:uiPriority w:val="0"/>
    <w:pPr>
      <w:spacing w:after="120"/>
    </w:pPr>
    <w:rPr>
      <w:sz w:val="16"/>
      <w:szCs w:val="16"/>
    </w:rPr>
  </w:style>
  <w:style w:type="paragraph" w:styleId="17">
    <w:name w:val="Body Text"/>
    <w:basedOn w:val="1"/>
    <w:next w:val="18"/>
    <w:link w:val="241"/>
    <w:qFormat/>
    <w:uiPriority w:val="0"/>
    <w:pPr>
      <w:tabs>
        <w:tab w:val="left" w:pos="567"/>
      </w:tabs>
      <w:spacing w:before="120" w:line="22" w:lineRule="atLeast"/>
    </w:pPr>
    <w:rPr>
      <w:rFonts w:ascii="宋体" w:hAnsi="宋体"/>
      <w:sz w:val="24"/>
    </w:rPr>
  </w:style>
  <w:style w:type="paragraph" w:styleId="18">
    <w:name w:val="Body Text 2"/>
    <w:basedOn w:val="1"/>
    <w:next w:val="17"/>
    <w:unhideWhenUsed/>
    <w:qFormat/>
    <w:uiPriority w:val="0"/>
    <w:pPr>
      <w:widowControl w:val="0"/>
      <w:spacing w:line="420" w:lineRule="exact"/>
      <w:jc w:val="both"/>
    </w:pPr>
    <w:rPr>
      <w:rFonts w:ascii="宋体" w:eastAsia="宋体"/>
      <w:color w:val="0000FF"/>
      <w:kern w:val="2"/>
      <w:sz w:val="24"/>
      <w:szCs w:val="20"/>
    </w:rPr>
  </w:style>
  <w:style w:type="paragraph" w:styleId="19">
    <w:name w:val="Body Text Indent"/>
    <w:basedOn w:val="1"/>
    <w:next w:val="1"/>
    <w:link w:val="70"/>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5"/>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2"/>
    <w:qFormat/>
    <w:uiPriority w:val="0"/>
    <w:pPr>
      <w:ind w:left="100" w:leftChars="2500"/>
    </w:pPr>
    <w:rPr>
      <w:rFonts w:ascii="仿宋_GB2312" w:hAnsi="宋体" w:eastAsia="仿宋_GB2312"/>
      <w:color w:val="000000"/>
      <w:sz w:val="24"/>
    </w:rPr>
  </w:style>
  <w:style w:type="paragraph" w:styleId="27">
    <w:name w:val="Body Text Indent 2"/>
    <w:basedOn w:val="1"/>
    <w:link w:val="243"/>
    <w:qFormat/>
    <w:uiPriority w:val="0"/>
    <w:pPr>
      <w:ind w:firstLine="480" w:firstLineChars="200"/>
    </w:pPr>
    <w:rPr>
      <w:rFonts w:ascii="仿宋_GB2312" w:eastAsia="仿宋_GB2312"/>
      <w:sz w:val="24"/>
    </w:rPr>
  </w:style>
  <w:style w:type="paragraph" w:styleId="28">
    <w:name w:val="Balloon Text"/>
    <w:basedOn w:val="1"/>
    <w:link w:val="244"/>
    <w:qFormat/>
    <w:uiPriority w:val="0"/>
    <w:rPr>
      <w:sz w:val="18"/>
      <w:szCs w:val="18"/>
    </w:rPr>
  </w:style>
  <w:style w:type="paragraph" w:styleId="29">
    <w:name w:val="footer"/>
    <w:basedOn w:val="1"/>
    <w:link w:val="1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basedOn w:val="1"/>
    <w:qFormat/>
    <w:uiPriority w:val="0"/>
    <w:pPr>
      <w:snapToGrid w:val="0"/>
    </w:pPr>
    <w:rPr>
      <w:rFonts w:ascii="Arial" w:hAnsi="Arial"/>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1"/>
    <w:qFormat/>
    <w:uiPriority w:val="0"/>
    <w:pPr>
      <w:jc w:val="center"/>
      <w:outlineLvl w:val="0"/>
    </w:pPr>
    <w:rPr>
      <w:b/>
      <w:sz w:val="32"/>
      <w:szCs w:val="20"/>
    </w:rPr>
  </w:style>
  <w:style w:type="paragraph" w:styleId="42">
    <w:name w:val="annotation subject"/>
    <w:basedOn w:val="15"/>
    <w:next w:val="15"/>
    <w:link w:val="247"/>
    <w:qFormat/>
    <w:uiPriority w:val="0"/>
    <w:rPr>
      <w:b/>
      <w:bCs/>
    </w:rPr>
  </w:style>
  <w:style w:type="paragraph" w:styleId="43">
    <w:name w:val="Body Text First Indent"/>
    <w:basedOn w:val="17"/>
    <w:next w:val="44"/>
    <w:qFormat/>
    <w:uiPriority w:val="0"/>
    <w:pPr>
      <w:spacing w:after="120"/>
      <w:ind w:firstLine="420" w:firstLineChars="100"/>
    </w:pPr>
    <w:rPr>
      <w:rFonts w:ascii="Times New Roman" w:hAnsi="Times New Roman"/>
      <w:sz w:val="21"/>
    </w:rPr>
  </w:style>
  <w:style w:type="paragraph" w:styleId="44">
    <w:name w:val="Body Text First Indent 2"/>
    <w:basedOn w:val="19"/>
    <w:next w:val="1"/>
    <w:link w:val="248"/>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paragraph" w:customStyle="1" w:styleId="56">
    <w:name w:val="样式 正文文本缩进 + 左  0 字符"/>
    <w:basedOn w:val="1"/>
    <w:next w:val="28"/>
    <w:qFormat/>
    <w:uiPriority w:val="99"/>
    <w:pPr>
      <w:spacing w:line="360" w:lineRule="auto"/>
      <w:ind w:firstLine="250" w:firstLineChars="250"/>
    </w:pPr>
    <w:rPr>
      <w:rFonts w:cs="宋体"/>
      <w:kern w:val="0"/>
      <w:sz w:val="24"/>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8"/>
    <w:qFormat/>
    <w:uiPriority w:val="0"/>
  </w:style>
  <w:style w:type="character" w:customStyle="1" w:styleId="64">
    <w:name w:val="locality"/>
    <w:basedOn w:val="48"/>
    <w:qFormat/>
    <w:uiPriority w:val="0"/>
  </w:style>
  <w:style w:type="character" w:customStyle="1" w:styleId="65">
    <w:name w:val="正文缩进 字符"/>
    <w:link w:val="4"/>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8"/>
    <w:qFormat/>
    <w:uiPriority w:val="0"/>
  </w:style>
  <w:style w:type="character" w:customStyle="1" w:styleId="70">
    <w:name w:val="正文文本缩进 字符"/>
    <w:link w:val="19"/>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31"/>
    <w:qFormat/>
    <w:uiPriority w:val="0"/>
    <w:rPr>
      <w:rFonts w:eastAsia="宋体"/>
      <w:kern w:val="2"/>
      <w:sz w:val="18"/>
      <w:szCs w:val="18"/>
      <w:lang w:val="en-US" w:eastAsia="zh-CN" w:bidi="ar-SA"/>
    </w:rPr>
  </w:style>
  <w:style w:type="character" w:customStyle="1" w:styleId="80">
    <w:name w:val="chanpin拷贝"/>
    <w:basedOn w:val="48"/>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4"/>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0"/>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rPr>
      <w:rFonts w:ascii="Times New Roman" w:hAnsi="Times New Roman" w:eastAsia="宋体" w:cs="Times New Roman"/>
      <w:kern w:val="2"/>
      <w:sz w:val="21"/>
      <w:szCs w:val="24"/>
      <w:lang w:val="en-US" w:eastAsia="zh-CN" w:bidi="ar-SA"/>
    </w:rPr>
  </w:style>
  <w:style w:type="paragraph" w:customStyle="1" w:styleId="166">
    <w:name w:val="项目编号3"/>
    <w:basedOn w:val="126"/>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6"/>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29"/>
    <w:qFormat/>
    <w:uiPriority w:val="99"/>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styleId="17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15"/>
    <w:qFormat/>
    <w:uiPriority w:val="99"/>
    <w:rPr>
      <w:kern w:val="2"/>
      <w:sz w:val="21"/>
      <w:szCs w:val="24"/>
    </w:rPr>
  </w:style>
  <w:style w:type="paragraph" w:customStyle="1" w:styleId="186">
    <w:name w:val="标题1-附件"/>
    <w:basedOn w:val="2"/>
    <w:qFormat/>
    <w:uiPriority w:val="0"/>
    <w:pPr>
      <w:jc w:val="left"/>
    </w:pPr>
    <w:rPr>
      <w:sz w:val="24"/>
      <w:szCs w:val="24"/>
    </w:rPr>
  </w:style>
  <w:style w:type="paragraph" w:customStyle="1" w:styleId="187">
    <w:name w:val="正文小标题"/>
    <w:basedOn w:val="1"/>
    <w:next w:val="4"/>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4"/>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41"/>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8"/>
    <w:link w:val="24"/>
    <w:qFormat/>
    <w:uiPriority w:val="0"/>
    <w:rPr>
      <w:rFonts w:hint="eastAsia" w:ascii="宋体" w:hAnsi="Courier New" w:eastAsia="宋体" w:cs="宋体"/>
      <w:kern w:val="2"/>
      <w:sz w:val="21"/>
    </w:rPr>
  </w:style>
  <w:style w:type="character" w:customStyle="1" w:styleId="206">
    <w:name w:val="标题 3 Char"/>
    <w:qFormat/>
    <w:uiPriority w:val="0"/>
    <w:rPr>
      <w:rFonts w:ascii="宋体" w:eastAsia="宋体"/>
      <w:b/>
      <w:sz w:val="24"/>
      <w:u w:val="single"/>
      <w:lang w:val="en-US" w:eastAsia="zh-CN" w:bidi="ar-SA"/>
    </w:rPr>
  </w:style>
  <w:style w:type="character" w:customStyle="1" w:styleId="207">
    <w:name w:val="正文缩进 Char"/>
    <w:qFormat/>
    <w:uiPriority w:val="0"/>
    <w:rPr>
      <w:rFonts w:ascii="宋体" w:eastAsia="宋体"/>
      <w:kern w:val="2"/>
      <w:sz w:val="24"/>
      <w:szCs w:val="24"/>
      <w:lang w:val="en-US" w:eastAsia="zh-CN" w:bidi="ar-SA"/>
    </w:rPr>
  </w:style>
  <w:style w:type="character" w:customStyle="1" w:styleId="208">
    <w:name w:val="Char Char111"/>
    <w:qFormat/>
    <w:uiPriority w:val="0"/>
    <w:rPr>
      <w:rFonts w:ascii="宋体" w:eastAsia="宋体"/>
      <w:b/>
      <w:sz w:val="24"/>
      <w:u w:val="single"/>
      <w:lang w:val="en-US" w:eastAsia="zh-CN" w:bidi="ar-SA"/>
    </w:rPr>
  </w:style>
  <w:style w:type="character" w:customStyle="1" w:styleId="209">
    <w:name w:val="正文文本缩进 Char"/>
    <w:qFormat/>
    <w:uiPriority w:val="0"/>
    <w:rPr>
      <w:rFonts w:eastAsia="宋体"/>
      <w:kern w:val="2"/>
      <w:sz w:val="24"/>
      <w:szCs w:val="24"/>
      <w:lang w:val="en-US" w:eastAsia="zh-CN" w:bidi="ar-SA"/>
    </w:rPr>
  </w:style>
  <w:style w:type="character" w:customStyle="1" w:styleId="210">
    <w:name w:val="列出段落 Char"/>
    <w:qFormat/>
    <w:uiPriority w:val="0"/>
    <w:rPr>
      <w:rFonts w:ascii="Calibri" w:hAnsi="Calibri" w:eastAsia="宋体"/>
      <w:kern w:val="2"/>
      <w:sz w:val="21"/>
      <w:szCs w:val="22"/>
      <w:lang w:val="en-US" w:eastAsia="zh-CN" w:bidi="ar-SA"/>
    </w:rPr>
  </w:style>
  <w:style w:type="character" w:customStyle="1" w:styleId="211">
    <w:name w:val="页眉 Char"/>
    <w:qFormat/>
    <w:uiPriority w:val="0"/>
    <w:rPr>
      <w:rFonts w:eastAsia="宋体"/>
      <w:kern w:val="2"/>
      <w:sz w:val="18"/>
      <w:szCs w:val="18"/>
      <w:lang w:val="en-US" w:eastAsia="zh-CN" w:bidi="ar-SA"/>
    </w:rPr>
  </w:style>
  <w:style w:type="character" w:customStyle="1" w:styleId="212">
    <w:name w:val="标题 2 Char"/>
    <w:qFormat/>
    <w:uiPriority w:val="0"/>
    <w:rPr>
      <w:rFonts w:ascii="Arial" w:hAnsi="Arial" w:eastAsia="黑体"/>
      <w:b/>
      <w:sz w:val="30"/>
      <w:lang w:val="en-US" w:eastAsia="zh-CN" w:bidi="ar-SA"/>
    </w:rPr>
  </w:style>
  <w:style w:type="paragraph" w:customStyle="1" w:styleId="213">
    <w:name w:val="字元 字元2"/>
    <w:basedOn w:val="1"/>
    <w:qFormat/>
    <w:uiPriority w:val="0"/>
    <w:rPr>
      <w:rFonts w:ascii="Tahoma" w:hAnsi="Tahoma"/>
      <w:sz w:val="24"/>
      <w:szCs w:val="20"/>
    </w:rPr>
  </w:style>
  <w:style w:type="paragraph" w:customStyle="1" w:styleId="214">
    <w:name w:val="Char3 Char Char Char2"/>
    <w:basedOn w:val="1"/>
    <w:qFormat/>
    <w:uiPriority w:val="0"/>
    <w:rPr>
      <w:rFonts w:ascii="Tahoma" w:hAnsi="Tahoma"/>
      <w:sz w:val="24"/>
      <w:szCs w:val="20"/>
    </w:rPr>
  </w:style>
  <w:style w:type="paragraph" w:customStyle="1" w:styleId="215">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6">
    <w:name w:val="Char3"/>
    <w:basedOn w:val="1"/>
    <w:qFormat/>
    <w:uiPriority w:val="0"/>
    <w:pPr>
      <w:tabs>
        <w:tab w:val="left" w:pos="360"/>
      </w:tabs>
    </w:pPr>
    <w:rPr>
      <w:sz w:val="24"/>
    </w:rPr>
  </w:style>
  <w:style w:type="paragraph" w:customStyle="1" w:styleId="21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列出段落2"/>
    <w:basedOn w:val="1"/>
    <w:qFormat/>
    <w:uiPriority w:val="0"/>
    <w:pPr>
      <w:ind w:firstLine="420" w:firstLineChars="200"/>
    </w:pPr>
    <w:rPr>
      <w:rFonts w:ascii="Calibri" w:hAnsi="Calibri"/>
      <w:szCs w:val="22"/>
    </w:rPr>
  </w:style>
  <w:style w:type="paragraph" w:customStyle="1" w:styleId="220">
    <w:name w:val="Char Char Char1 Char2"/>
    <w:basedOn w:val="1"/>
    <w:qFormat/>
    <w:uiPriority w:val="0"/>
    <w:rPr>
      <w:rFonts w:ascii="Tahoma" w:hAnsi="Tahoma"/>
      <w:sz w:val="24"/>
      <w:szCs w:val="20"/>
    </w:rPr>
  </w:style>
  <w:style w:type="paragraph" w:customStyle="1" w:styleId="221">
    <w:name w:val="Char Char Char2"/>
    <w:basedOn w:val="1"/>
    <w:qFormat/>
    <w:uiPriority w:val="0"/>
    <w:rPr>
      <w:rFonts w:ascii="Tahoma" w:hAnsi="Tahoma"/>
      <w:sz w:val="24"/>
      <w:szCs w:val="20"/>
    </w:rPr>
  </w:style>
  <w:style w:type="paragraph" w:customStyle="1" w:styleId="22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4">
    <w:name w:val="Revision"/>
    <w:qFormat/>
    <w:uiPriority w:val="0"/>
    <w:rPr>
      <w:rFonts w:ascii="Times New Roman" w:hAnsi="Times New Roman" w:eastAsia="宋体" w:cs="Times New Roman"/>
      <w:kern w:val="2"/>
      <w:sz w:val="21"/>
      <w:szCs w:val="24"/>
      <w:lang w:val="en-US" w:eastAsia="zh-CN" w:bidi="ar-SA"/>
    </w:rPr>
  </w:style>
  <w:style w:type="paragraph" w:customStyle="1" w:styleId="225">
    <w:name w:val="Char22"/>
    <w:basedOn w:val="1"/>
    <w:qFormat/>
    <w:uiPriority w:val="0"/>
    <w:rPr>
      <w:rFonts w:ascii="Tahoma" w:hAnsi="Tahoma"/>
      <w:sz w:val="24"/>
      <w:szCs w:val="20"/>
    </w:rPr>
  </w:style>
  <w:style w:type="paragraph" w:customStyle="1" w:styleId="226">
    <w:name w:val="Char Char Char Char Char Char Char Char Char Char2"/>
    <w:basedOn w:val="1"/>
    <w:qFormat/>
    <w:uiPriority w:val="0"/>
    <w:rPr>
      <w:rFonts w:ascii="宋体" w:hAnsi="宋体" w:cs="Courier New"/>
      <w:sz w:val="32"/>
      <w:szCs w:val="32"/>
    </w:rPr>
  </w:style>
  <w:style w:type="paragraph" w:customStyle="1" w:styleId="227">
    <w:name w:val="Char2 Char Char Char Char Char Char1"/>
    <w:basedOn w:val="1"/>
    <w:qFormat/>
    <w:uiPriority w:val="0"/>
    <w:pPr>
      <w:widowControl/>
      <w:spacing w:line="400" w:lineRule="exact"/>
      <w:jc w:val="center"/>
    </w:pPr>
  </w:style>
  <w:style w:type="character" w:customStyle="1" w:styleId="228">
    <w:name w:val="页脚 Char"/>
    <w:qFormat/>
    <w:uiPriority w:val="0"/>
    <w:rPr>
      <w:rFonts w:ascii="宋体" w:eastAsia="宋体"/>
      <w:sz w:val="18"/>
      <w:lang w:val="en-US" w:eastAsia="zh-CN" w:bidi="ar-SA"/>
    </w:rPr>
  </w:style>
  <w:style w:type="paragraph" w:customStyle="1" w:styleId="229">
    <w:name w:val="Char Char41"/>
    <w:basedOn w:val="1"/>
    <w:qFormat/>
    <w:uiPriority w:val="0"/>
    <w:pPr>
      <w:widowControl/>
      <w:spacing w:line="400" w:lineRule="exact"/>
      <w:jc w:val="center"/>
    </w:pPr>
  </w:style>
  <w:style w:type="character" w:customStyle="1" w:styleId="230">
    <w:name w:val="批注文字 Char"/>
    <w:qFormat/>
    <w:uiPriority w:val="99"/>
    <w:rPr>
      <w:kern w:val="2"/>
      <w:sz w:val="21"/>
      <w:szCs w:val="24"/>
    </w:rPr>
  </w:style>
  <w:style w:type="character" w:customStyle="1" w:styleId="231">
    <w:name w:val="标题 Char"/>
    <w:qFormat/>
    <w:uiPriority w:val="0"/>
    <w:rPr>
      <w:b/>
      <w:kern w:val="2"/>
      <w:sz w:val="32"/>
    </w:rPr>
  </w:style>
  <w:style w:type="character" w:customStyle="1" w:styleId="232">
    <w:name w:val="标题 1 字符"/>
    <w:basedOn w:val="48"/>
    <w:link w:val="2"/>
    <w:qFormat/>
    <w:uiPriority w:val="0"/>
    <w:rPr>
      <w:rFonts w:ascii="宋体"/>
      <w:b/>
      <w:kern w:val="44"/>
      <w:sz w:val="32"/>
    </w:rPr>
  </w:style>
  <w:style w:type="character" w:customStyle="1" w:styleId="233">
    <w:name w:val="标题 4 字符"/>
    <w:basedOn w:val="48"/>
    <w:link w:val="6"/>
    <w:qFormat/>
    <w:uiPriority w:val="0"/>
    <w:rPr>
      <w:sz w:val="24"/>
    </w:rPr>
  </w:style>
  <w:style w:type="character" w:customStyle="1" w:styleId="234">
    <w:name w:val="标题 5 字符"/>
    <w:basedOn w:val="48"/>
    <w:link w:val="7"/>
    <w:qFormat/>
    <w:uiPriority w:val="0"/>
    <w:rPr>
      <w:b/>
      <w:sz w:val="28"/>
    </w:rPr>
  </w:style>
  <w:style w:type="character" w:customStyle="1" w:styleId="235">
    <w:name w:val="标题 6 字符"/>
    <w:basedOn w:val="48"/>
    <w:link w:val="8"/>
    <w:qFormat/>
    <w:uiPriority w:val="0"/>
    <w:rPr>
      <w:rFonts w:ascii="Arial" w:hAnsi="Arial" w:eastAsia="黑体"/>
      <w:b/>
      <w:sz w:val="24"/>
    </w:rPr>
  </w:style>
  <w:style w:type="character" w:customStyle="1" w:styleId="236">
    <w:name w:val="标题 7 字符"/>
    <w:basedOn w:val="48"/>
    <w:link w:val="9"/>
    <w:qFormat/>
    <w:uiPriority w:val="0"/>
    <w:rPr>
      <w:b/>
      <w:sz w:val="24"/>
    </w:rPr>
  </w:style>
  <w:style w:type="character" w:customStyle="1" w:styleId="237">
    <w:name w:val="标题 8 字符"/>
    <w:basedOn w:val="48"/>
    <w:link w:val="10"/>
    <w:qFormat/>
    <w:uiPriority w:val="0"/>
    <w:rPr>
      <w:rFonts w:ascii="Arial" w:hAnsi="Arial" w:eastAsia="黑体"/>
      <w:sz w:val="24"/>
    </w:rPr>
  </w:style>
  <w:style w:type="character" w:customStyle="1" w:styleId="238">
    <w:name w:val="标题 9 字符"/>
    <w:basedOn w:val="48"/>
    <w:link w:val="11"/>
    <w:qFormat/>
    <w:uiPriority w:val="0"/>
    <w:rPr>
      <w:rFonts w:ascii="Arial" w:hAnsi="Arial" w:eastAsia="黑体"/>
      <w:sz w:val="21"/>
    </w:rPr>
  </w:style>
  <w:style w:type="character" w:customStyle="1" w:styleId="239">
    <w:name w:val="文档结构图 字符"/>
    <w:basedOn w:val="48"/>
    <w:link w:val="14"/>
    <w:qFormat/>
    <w:uiPriority w:val="0"/>
    <w:rPr>
      <w:kern w:val="2"/>
      <w:sz w:val="21"/>
      <w:szCs w:val="24"/>
      <w:shd w:val="clear" w:color="auto" w:fill="000080"/>
    </w:rPr>
  </w:style>
  <w:style w:type="character" w:customStyle="1" w:styleId="240">
    <w:name w:val="正文文本 3 字符"/>
    <w:basedOn w:val="48"/>
    <w:link w:val="16"/>
    <w:qFormat/>
    <w:uiPriority w:val="0"/>
    <w:rPr>
      <w:kern w:val="2"/>
      <w:sz w:val="16"/>
      <w:szCs w:val="16"/>
    </w:rPr>
  </w:style>
  <w:style w:type="character" w:customStyle="1" w:styleId="241">
    <w:name w:val="正文文本 字符"/>
    <w:basedOn w:val="48"/>
    <w:link w:val="17"/>
    <w:qFormat/>
    <w:uiPriority w:val="0"/>
    <w:rPr>
      <w:rFonts w:ascii="宋体" w:hAnsi="宋体"/>
      <w:kern w:val="2"/>
      <w:sz w:val="24"/>
      <w:szCs w:val="24"/>
    </w:rPr>
  </w:style>
  <w:style w:type="character" w:customStyle="1" w:styleId="242">
    <w:name w:val="日期 字符"/>
    <w:basedOn w:val="48"/>
    <w:link w:val="26"/>
    <w:qFormat/>
    <w:uiPriority w:val="0"/>
    <w:rPr>
      <w:rFonts w:ascii="仿宋_GB2312" w:hAnsi="宋体" w:eastAsia="仿宋_GB2312"/>
      <w:color w:val="000000"/>
      <w:kern w:val="2"/>
      <w:sz w:val="24"/>
      <w:szCs w:val="24"/>
    </w:rPr>
  </w:style>
  <w:style w:type="character" w:customStyle="1" w:styleId="243">
    <w:name w:val="正文文本缩进 2 字符"/>
    <w:basedOn w:val="48"/>
    <w:link w:val="27"/>
    <w:qFormat/>
    <w:uiPriority w:val="0"/>
    <w:rPr>
      <w:rFonts w:ascii="仿宋_GB2312" w:eastAsia="仿宋_GB2312"/>
      <w:kern w:val="2"/>
      <w:sz w:val="24"/>
      <w:szCs w:val="24"/>
    </w:rPr>
  </w:style>
  <w:style w:type="character" w:customStyle="1" w:styleId="244">
    <w:name w:val="批注框文本 字符"/>
    <w:basedOn w:val="48"/>
    <w:link w:val="28"/>
    <w:qFormat/>
    <w:uiPriority w:val="0"/>
    <w:rPr>
      <w:kern w:val="2"/>
      <w:sz w:val="18"/>
      <w:szCs w:val="18"/>
    </w:rPr>
  </w:style>
  <w:style w:type="character" w:customStyle="1" w:styleId="245">
    <w:name w:val="正文文本缩进 3 字符"/>
    <w:basedOn w:val="48"/>
    <w:link w:val="35"/>
    <w:qFormat/>
    <w:uiPriority w:val="0"/>
    <w:rPr>
      <w:rFonts w:ascii="宋体"/>
      <w:sz w:val="24"/>
    </w:rPr>
  </w:style>
  <w:style w:type="character" w:customStyle="1" w:styleId="246">
    <w:name w:val="HTML 预设格式 字符"/>
    <w:basedOn w:val="48"/>
    <w:link w:val="38"/>
    <w:qFormat/>
    <w:uiPriority w:val="0"/>
    <w:rPr>
      <w:rFonts w:ascii="宋体" w:hAnsi="宋体" w:cs="宋体"/>
      <w:sz w:val="24"/>
      <w:szCs w:val="24"/>
    </w:rPr>
  </w:style>
  <w:style w:type="character" w:customStyle="1" w:styleId="247">
    <w:name w:val="批注主题 字符"/>
    <w:basedOn w:val="197"/>
    <w:link w:val="42"/>
    <w:qFormat/>
    <w:uiPriority w:val="0"/>
    <w:rPr>
      <w:rFonts w:ascii="Times New Roman" w:hAnsi="Times New Roman" w:eastAsia="宋体" w:cs="Times New Roman"/>
      <w:b/>
      <w:bCs/>
      <w:kern w:val="2"/>
      <w:sz w:val="21"/>
      <w:szCs w:val="24"/>
      <w:lang w:val="en-US" w:eastAsia="zh-CN" w:bidi="ar-SA"/>
    </w:rPr>
  </w:style>
  <w:style w:type="character" w:customStyle="1" w:styleId="248">
    <w:name w:val="正文文本首行缩进 2 字符"/>
    <w:basedOn w:val="70"/>
    <w:link w:val="44"/>
    <w:qFormat/>
    <w:uiPriority w:val="0"/>
    <w:rPr>
      <w:rFonts w:eastAsia="宋体"/>
      <w:kern w:val="2"/>
      <w:sz w:val="24"/>
      <w:szCs w:val="24"/>
      <w:lang w:val="en-US" w:eastAsia="zh-CN" w:bidi="ar-SA"/>
    </w:rPr>
  </w:style>
  <w:style w:type="paragraph" w:customStyle="1" w:styleId="249">
    <w:name w:val="图例"/>
    <w:basedOn w:val="1"/>
    <w:qFormat/>
    <w:uiPriority w:val="0"/>
    <w:pPr>
      <w:spacing w:before="120" w:after="120" w:line="360" w:lineRule="auto"/>
      <w:jc w:val="center"/>
    </w:pPr>
    <w:rPr>
      <w:rFonts w:eastAsia="仿宋_GB2312"/>
      <w:b/>
      <w:sz w:val="24"/>
      <w:szCs w:val="20"/>
    </w:rPr>
  </w:style>
  <w:style w:type="table" w:customStyle="1" w:styleId="250">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1">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2">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3">
    <w:name w:val="cf01"/>
    <w:basedOn w:val="48"/>
    <w:qFormat/>
    <w:uiPriority w:val="0"/>
    <w:rPr>
      <w:rFonts w:hint="eastAsia" w:ascii="Microsoft YaHei UI" w:hAnsi="Microsoft YaHei UI" w:eastAsia="Microsoft YaHei UI"/>
      <w:sz w:val="18"/>
      <w:szCs w:val="18"/>
    </w:rPr>
  </w:style>
  <w:style w:type="character" w:customStyle="1" w:styleId="254">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5">
    <w:name w:val="cf11"/>
    <w:basedOn w:val="48"/>
    <w:qFormat/>
    <w:uiPriority w:val="0"/>
    <w:rPr>
      <w:rFonts w:hint="eastAsia" w:ascii="Microsoft YaHei UI" w:hAnsi="Microsoft YaHei UI" w:eastAsia="Microsoft YaHei UI"/>
      <w:sz w:val="18"/>
      <w:szCs w:val="18"/>
    </w:rPr>
  </w:style>
  <w:style w:type="paragraph" w:customStyle="1" w:styleId="256">
    <w:name w:val="Table Text"/>
    <w:basedOn w:val="1"/>
    <w:semiHidden/>
    <w:qFormat/>
    <w:uiPriority w:val="0"/>
    <w:rPr>
      <w:rFonts w:ascii="宋体" w:hAnsi="宋体" w:eastAsia="宋体" w:cs="宋体"/>
      <w:sz w:val="24"/>
      <w:szCs w:val="24"/>
      <w:lang w:val="en-US" w:eastAsia="en-US" w:bidi="ar-SA"/>
    </w:rPr>
  </w:style>
  <w:style w:type="character" w:customStyle="1" w:styleId="257">
    <w:name w:val="font61"/>
    <w:basedOn w:val="48"/>
    <w:qFormat/>
    <w:uiPriority w:val="0"/>
    <w:rPr>
      <w:rFonts w:hint="eastAsia" w:ascii="宋体" w:hAnsi="宋体" w:eastAsia="宋体" w:cs="宋体"/>
      <w:color w:val="000000"/>
      <w:sz w:val="22"/>
      <w:szCs w:val="22"/>
      <w:u w:val="none"/>
      <w:vertAlign w:val="superscript"/>
    </w:rPr>
  </w:style>
  <w:style w:type="paragraph" w:customStyle="1" w:styleId="258">
    <w:name w:val="正文文本缩进 31"/>
    <w:basedOn w:val="1"/>
    <w:qFormat/>
    <w:uiPriority w:val="0"/>
    <w:pPr>
      <w:autoSpaceDE w:val="0"/>
      <w:autoSpaceDN w:val="0"/>
      <w:adjustRightInd w:val="0"/>
      <w:spacing w:before="120" w:line="22" w:lineRule="atLeast"/>
      <w:ind w:left="720" w:firstLine="480"/>
      <w:jc w:val="left"/>
    </w:pPr>
    <w:rPr>
      <w:sz w:val="16"/>
      <w:szCs w:val="16"/>
    </w:rPr>
  </w:style>
  <w:style w:type="character" w:customStyle="1" w:styleId="259">
    <w:name w:val="font71"/>
    <w:basedOn w:val="48"/>
    <w:qFormat/>
    <w:uiPriority w:val="0"/>
    <w:rPr>
      <w:rFonts w:hint="eastAsia" w:ascii="微软雅黑" w:hAnsi="微软雅黑" w:eastAsia="微软雅黑" w:cs="微软雅黑"/>
      <w:color w:val="000000"/>
      <w:sz w:val="22"/>
      <w:szCs w:val="22"/>
      <w:u w:val="none"/>
    </w:rPr>
  </w:style>
  <w:style w:type="character" w:customStyle="1" w:styleId="260">
    <w:name w:val="font21"/>
    <w:basedOn w:val="48"/>
    <w:qFormat/>
    <w:uiPriority w:val="0"/>
    <w:rPr>
      <w:rFonts w:hint="eastAsia" w:ascii="宋体" w:hAnsi="宋体" w:eastAsia="宋体" w:cs="宋体"/>
      <w:color w:val="000000"/>
      <w:sz w:val="20"/>
      <w:szCs w:val="20"/>
      <w:u w:val="none"/>
    </w:rPr>
  </w:style>
  <w:style w:type="character" w:customStyle="1" w:styleId="261">
    <w:name w:val="font81"/>
    <w:basedOn w:val="48"/>
    <w:qFormat/>
    <w:uiPriority w:val="0"/>
    <w:rPr>
      <w:rFonts w:hint="eastAsia" w:ascii="宋体" w:hAnsi="宋体" w:eastAsia="宋体" w:cs="宋体"/>
      <w:color w:val="000000"/>
      <w:sz w:val="22"/>
      <w:szCs w:val="22"/>
      <w:u w:val="none"/>
    </w:rPr>
  </w:style>
  <w:style w:type="character" w:customStyle="1" w:styleId="262">
    <w:name w:val="font51"/>
    <w:basedOn w:val="48"/>
    <w:qFormat/>
    <w:uiPriority w:val="0"/>
    <w:rPr>
      <w:rFonts w:ascii="微软雅黑" w:hAnsi="微软雅黑" w:eastAsia="微软雅黑" w:cs="微软雅黑"/>
      <w:b/>
      <w:bCs/>
      <w:color w:val="C62828"/>
      <w:sz w:val="22"/>
      <w:szCs w:val="22"/>
      <w:u w:val="none"/>
    </w:rPr>
  </w:style>
  <w:style w:type="character" w:customStyle="1" w:styleId="263">
    <w:name w:val="font41"/>
    <w:basedOn w:val="48"/>
    <w:qFormat/>
    <w:uiPriority w:val="0"/>
    <w:rPr>
      <w:rFonts w:hint="eastAsia" w:ascii="宋体" w:hAnsi="宋体" w:eastAsia="宋体" w:cs="宋体"/>
      <w:strike/>
      <w:color w:val="00000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145</Pages>
  <Words>14766</Words>
  <Characters>15572</Characters>
  <Lines>1296</Lines>
  <Paragraphs>1101</Paragraphs>
  <TotalTime>5</TotalTime>
  <ScaleCrop>false</ScaleCrop>
  <LinksUpToDate>false</LinksUpToDate>
  <CharactersWithSpaces>15764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2024-06-06T09:36:00Z</dcterms:created>
  <dc:creator>Yin Hao</dc:creator>
  <cp:lastModifiedBy>招标代理</cp:lastModifiedBy>
  <cp:lastPrinted>2020-04-03T03:13:00Z</cp:lastPrinted>
  <dcterms:modified xsi:type="dcterms:W3CDTF">2026-06-23T14:00:14Z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5D5C7CDC036A42429DA0E2A198D6D63F_13</vt:lpwstr>
  </property>
  <property fmtid="{D5CDD505-2E9C-101B-9397-08002B2CF9AE}" pid="4" name="KSOTemplateDocerSaveRecord">
    <vt:lpwstr>eyJoZGlkIjoiMWQyYmIyZWMyZDYxNGExOTQ1YjQyZmVhYTM4YzI4YzIiLCJ1c2VySWQiOiI1MzgwNzk1NzkifQ==</vt:lpwstr>
  </property>
</Properties>
</file>