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5C8B0C">
      <w:pPr>
        <w:pStyle w:val="2"/>
        <w:tabs>
          <w:tab w:val="left" w:pos="0"/>
        </w:tabs>
        <w:autoSpaceDE w:val="0"/>
        <w:autoSpaceDN w:val="0"/>
        <w:adjustRightInd w:val="0"/>
        <w:spacing w:before="0" w:after="0" w:line="360" w:lineRule="auto"/>
        <w:jc w:val="center"/>
        <w:rPr>
          <w:rFonts w:hint="eastAsia" w:ascii="华文中宋" w:hAnsi="华文中宋" w:eastAsia="华文中宋"/>
        </w:rPr>
      </w:pPr>
      <w:bookmarkStart w:id="0" w:name="_Toc28359022"/>
      <w:bookmarkStart w:id="1" w:name="_Toc35393809"/>
      <w:r>
        <w:rPr>
          <w:rFonts w:hint="eastAsia" w:ascii="华文中宋" w:hAnsi="华文中宋" w:eastAsia="华文中宋"/>
          <w:lang w:eastAsia="zh-CN"/>
        </w:rPr>
        <w:t>顺义区2026年社会宣传环境布置巡查保障项目</w:t>
      </w:r>
      <w:r>
        <w:rPr>
          <w:rFonts w:hint="eastAsia" w:ascii="华文中宋" w:hAnsi="华文中宋" w:eastAsia="华文中宋"/>
        </w:rPr>
        <w:t>成交结果公告</w:t>
      </w:r>
      <w:bookmarkEnd w:id="0"/>
      <w:bookmarkEnd w:id="1"/>
    </w:p>
    <w:p w14:paraId="664F31C9">
      <w:pPr>
        <w:spacing w:line="360" w:lineRule="auto"/>
        <w:rPr>
          <w:rFonts w:hint="eastAsia" w:ascii="黑体" w:hAnsi="黑体" w:eastAsia="黑体"/>
          <w:sz w:val="28"/>
          <w:szCs w:val="28"/>
          <w:lang w:eastAsia="zh-CN"/>
        </w:rPr>
      </w:pPr>
      <w:r>
        <w:rPr>
          <w:rFonts w:hint="eastAsia" w:ascii="黑体" w:hAnsi="黑体" w:eastAsia="黑体"/>
          <w:sz w:val="28"/>
          <w:szCs w:val="28"/>
        </w:rPr>
        <w:t>一、项目编号：</w:t>
      </w:r>
      <w:r>
        <w:rPr>
          <w:rFonts w:hint="eastAsia" w:ascii="仿宋" w:hAnsi="仿宋" w:eastAsia="仿宋"/>
          <w:sz w:val="28"/>
          <w:szCs w:val="28"/>
          <w:lang w:eastAsia="zh-CN"/>
        </w:rPr>
        <w:t>11011326210200026977-XM001</w:t>
      </w:r>
    </w:p>
    <w:p w14:paraId="0735D17A">
      <w:pPr>
        <w:spacing w:line="360" w:lineRule="auto"/>
        <w:rPr>
          <w:rFonts w:hint="eastAsia" w:ascii="黑体" w:hAnsi="黑体" w:eastAsia="黑体"/>
          <w:sz w:val="28"/>
          <w:szCs w:val="28"/>
          <w:lang w:eastAsia="zh-CN"/>
        </w:rPr>
      </w:pPr>
      <w:r>
        <w:rPr>
          <w:rFonts w:hint="eastAsia" w:ascii="黑体" w:hAnsi="黑体" w:eastAsia="黑体"/>
          <w:sz w:val="28"/>
          <w:szCs w:val="28"/>
        </w:rPr>
        <w:t>二、项目名称：</w:t>
      </w:r>
      <w:r>
        <w:rPr>
          <w:rFonts w:hint="eastAsia" w:ascii="仿宋" w:hAnsi="仿宋" w:eastAsia="仿宋"/>
          <w:sz w:val="28"/>
          <w:szCs w:val="28"/>
          <w:lang w:eastAsia="zh-CN"/>
        </w:rPr>
        <w:t>顺义区2026年社会宣传环境布置巡查保障项目</w:t>
      </w:r>
    </w:p>
    <w:p w14:paraId="36B1E68D">
      <w:pPr>
        <w:spacing w:line="360" w:lineRule="auto"/>
        <w:rPr>
          <w:rFonts w:hint="eastAsia" w:ascii="黑体" w:hAnsi="黑体" w:eastAsia="黑体"/>
          <w:sz w:val="28"/>
          <w:szCs w:val="28"/>
        </w:rPr>
      </w:pPr>
      <w:r>
        <w:rPr>
          <w:rFonts w:hint="eastAsia" w:ascii="黑体" w:hAnsi="黑体" w:eastAsia="黑体"/>
          <w:sz w:val="28"/>
          <w:szCs w:val="28"/>
        </w:rPr>
        <w:t>三、成交信息</w:t>
      </w:r>
    </w:p>
    <w:p w14:paraId="61E66FA9">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供应商名称：北京凯瑞思环境科技发展有限公司</w:t>
      </w:r>
    </w:p>
    <w:p w14:paraId="37293678">
      <w:pPr>
        <w:spacing w:line="360" w:lineRule="auto"/>
        <w:ind w:firstLine="560" w:firstLineChars="200"/>
        <w:rPr>
          <w:rFonts w:hint="eastAsia" w:ascii="仿宋" w:hAnsi="仿宋" w:eastAsia="仿宋" w:cs="Times New Roman"/>
          <w:sz w:val="28"/>
          <w:szCs w:val="28"/>
          <w:lang w:eastAsia="zh-CN"/>
        </w:rPr>
      </w:pPr>
      <w:r>
        <w:rPr>
          <w:rFonts w:hint="eastAsia" w:ascii="仿宋" w:hAnsi="仿宋" w:eastAsia="仿宋" w:cs="Times New Roman"/>
          <w:sz w:val="28"/>
          <w:szCs w:val="28"/>
        </w:rPr>
        <w:t>供应商地址：</w:t>
      </w:r>
      <w:r>
        <w:rPr>
          <w:rFonts w:hint="eastAsia" w:ascii="仿宋" w:hAnsi="仿宋" w:eastAsia="仿宋" w:cs="Times New Roman"/>
          <w:sz w:val="28"/>
          <w:szCs w:val="28"/>
          <w:lang w:val="en-US" w:eastAsia="zh-CN"/>
        </w:rPr>
        <w:t>北京市顺义区双兴东区甲1号3层306室</w:t>
      </w:r>
    </w:p>
    <w:p w14:paraId="72B8C180">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成交金额：</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117</w:t>
      </w:r>
      <w:r>
        <w:rPr>
          <w:rFonts w:hint="eastAsia" w:ascii="仿宋" w:hAnsi="仿宋" w:eastAsia="仿宋" w:cs="Times New Roman"/>
          <w:sz w:val="28"/>
          <w:szCs w:val="28"/>
          <w:lang w:val="en-US" w:eastAsia="zh-CN"/>
        </w:rPr>
        <w:t>.</w:t>
      </w:r>
      <w:r>
        <w:rPr>
          <w:rFonts w:hint="eastAsia" w:ascii="仿宋" w:hAnsi="仿宋" w:eastAsia="仿宋" w:cs="Times New Roman"/>
          <w:sz w:val="28"/>
          <w:szCs w:val="28"/>
        </w:rPr>
        <w:t>6129万元</w:t>
      </w:r>
    </w:p>
    <w:p w14:paraId="34E4342D">
      <w:pPr>
        <w:spacing w:line="360" w:lineRule="auto"/>
        <w:rPr>
          <w:rFonts w:hint="eastAsia" w:ascii="黑体" w:hAnsi="黑体" w:eastAsia="黑体"/>
          <w:sz w:val="28"/>
          <w:szCs w:val="28"/>
        </w:rPr>
      </w:pPr>
      <w:r>
        <w:rPr>
          <w:rFonts w:hint="eastAsia" w:ascii="黑体" w:hAnsi="黑体" w:eastAsia="黑体"/>
          <w:sz w:val="28"/>
          <w:szCs w:val="28"/>
        </w:rPr>
        <w:t>四、主要标的信息</w:t>
      </w:r>
    </w:p>
    <w:p w14:paraId="1C854991">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标的名称：城乡市容管理</w:t>
      </w:r>
    </w:p>
    <w:p w14:paraId="5FEB0B7F">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服务范围：</w:t>
      </w:r>
      <w:bookmarkStart w:id="2" w:name="OLE_LINK9"/>
      <w:r>
        <w:rPr>
          <w:rFonts w:hint="eastAsia" w:ascii="仿宋" w:hAnsi="仿宋" w:eastAsia="仿宋" w:cs="Times New Roman"/>
          <w:sz w:val="28"/>
          <w:szCs w:val="28"/>
          <w:lang w:val="en-US" w:eastAsia="zh-CN"/>
        </w:rPr>
        <w:t>优</w:t>
      </w:r>
      <w:r>
        <w:rPr>
          <w:rFonts w:hint="eastAsia" w:ascii="仿宋" w:hAnsi="仿宋" w:eastAsia="仿宋" w:cs="Times New Roman"/>
          <w:sz w:val="28"/>
          <w:szCs w:val="28"/>
        </w:rPr>
        <w:t>选一家供应商，</w:t>
      </w:r>
      <w:r>
        <w:rPr>
          <w:rFonts w:hint="eastAsia" w:ascii="仿宋" w:hAnsi="仿宋" w:eastAsia="仿宋" w:cs="Times New Roman"/>
          <w:sz w:val="28"/>
          <w:szCs w:val="28"/>
          <w:lang w:val="en-US" w:eastAsia="zh-CN"/>
        </w:rPr>
        <w:t>对顺义</w:t>
      </w:r>
      <w:r>
        <w:rPr>
          <w:rFonts w:hint="eastAsia" w:ascii="仿宋" w:hAnsi="仿宋" w:eastAsia="仿宋" w:cs="Times New Roman"/>
          <w:sz w:val="28"/>
          <w:szCs w:val="28"/>
        </w:rPr>
        <w:t>区域范围内现有景观小品进行维护、景观环境巡查、常规景观布置及提供仓库等</w:t>
      </w:r>
      <w:r>
        <w:rPr>
          <w:rFonts w:hint="eastAsia" w:ascii="仿宋" w:hAnsi="仿宋" w:eastAsia="仿宋" w:cs="Times New Roman"/>
          <w:sz w:val="28"/>
          <w:szCs w:val="28"/>
          <w:lang w:val="en-US" w:eastAsia="zh-CN"/>
        </w:rPr>
        <w:t>服务</w:t>
      </w:r>
      <w:r>
        <w:rPr>
          <w:rFonts w:hint="eastAsia" w:ascii="仿宋" w:hAnsi="仿宋" w:eastAsia="仿宋" w:cs="Times New Roman"/>
          <w:sz w:val="28"/>
          <w:szCs w:val="28"/>
        </w:rPr>
        <w:t>。（具体内容详见 “采购需求”）。</w:t>
      </w:r>
      <w:bookmarkEnd w:id="2"/>
    </w:p>
    <w:p w14:paraId="71CF6056">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服务要求：详见竞争性磋商文件</w:t>
      </w:r>
    </w:p>
    <w:p w14:paraId="3BAFAEFD">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服务时间：</w:t>
      </w:r>
      <w:bookmarkStart w:id="3" w:name="OLE_LINK103"/>
      <w:r>
        <w:rPr>
          <w:rFonts w:hint="eastAsia" w:ascii="仿宋" w:hAnsi="仿宋" w:eastAsia="仿宋" w:cs="Times New Roman"/>
          <w:sz w:val="28"/>
          <w:szCs w:val="28"/>
        </w:rPr>
        <w:t>合同签订</w:t>
      </w:r>
      <w:bookmarkEnd w:id="3"/>
      <w:r>
        <w:rPr>
          <w:rFonts w:hint="eastAsia" w:ascii="仿宋" w:hAnsi="仿宋" w:eastAsia="仿宋" w:cs="Times New Roman"/>
          <w:sz w:val="28"/>
          <w:szCs w:val="28"/>
        </w:rPr>
        <w:t>一年</w:t>
      </w:r>
    </w:p>
    <w:p w14:paraId="5DD9018A">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服务标准：详见竞争性磋商文件</w:t>
      </w:r>
    </w:p>
    <w:p w14:paraId="186E6941">
      <w:pPr>
        <w:spacing w:line="360" w:lineRule="auto"/>
        <w:rPr>
          <w:rFonts w:hint="default" w:ascii="仿宋" w:hAnsi="仿宋" w:eastAsia="黑体"/>
          <w:sz w:val="28"/>
          <w:szCs w:val="28"/>
          <w:lang w:val="en-US" w:eastAsia="zh-CN"/>
        </w:rPr>
      </w:pPr>
      <w:r>
        <w:rPr>
          <w:rFonts w:hint="eastAsia" w:ascii="黑体" w:hAnsi="黑体" w:eastAsia="黑体"/>
          <w:sz w:val="28"/>
          <w:szCs w:val="28"/>
        </w:rPr>
        <w:t>五、评审专家（单一来源采购人员）名单：</w:t>
      </w:r>
      <w:r>
        <w:rPr>
          <w:rFonts w:hint="eastAsia" w:ascii="仿宋" w:hAnsi="仿宋" w:eastAsia="仿宋" w:cs="Times New Roman"/>
          <w:sz w:val="28"/>
          <w:szCs w:val="28"/>
          <w:lang w:val="en-US" w:eastAsia="zh-CN"/>
        </w:rPr>
        <w:t>郑淑燕、曹琦、张鑫</w:t>
      </w:r>
    </w:p>
    <w:p w14:paraId="5EC8B170">
      <w:pPr>
        <w:spacing w:line="360" w:lineRule="auto"/>
        <w:rPr>
          <w:rFonts w:hint="eastAsia" w:ascii="黑体" w:hAnsi="黑体" w:eastAsia="黑体"/>
          <w:sz w:val="28"/>
          <w:szCs w:val="28"/>
        </w:rPr>
      </w:pPr>
      <w:r>
        <w:rPr>
          <w:rFonts w:hint="eastAsia" w:ascii="黑体" w:hAnsi="黑体" w:eastAsia="黑体"/>
          <w:sz w:val="28"/>
          <w:szCs w:val="28"/>
        </w:rPr>
        <w:t>六、代理服务收费标准及金额：</w:t>
      </w:r>
    </w:p>
    <w:p w14:paraId="07C08B84">
      <w:pPr>
        <w:ind w:firstLine="560" w:firstLineChars="200"/>
        <w:jc w:val="left"/>
        <w:rPr>
          <w:rFonts w:hint="eastAsia" w:ascii="仿宋" w:hAnsi="仿宋" w:eastAsia="仿宋"/>
          <w:sz w:val="28"/>
          <w:szCs w:val="28"/>
        </w:rPr>
      </w:pPr>
      <w:r>
        <w:rPr>
          <w:rFonts w:hint="eastAsia" w:ascii="仿宋" w:hAnsi="仿宋" w:eastAsia="仿宋"/>
          <w:sz w:val="28"/>
          <w:szCs w:val="28"/>
        </w:rPr>
        <w:t>标准：</w:t>
      </w:r>
      <w:r>
        <w:rPr>
          <w:rFonts w:hint="eastAsia" w:ascii="仿宋" w:hAnsi="仿宋" w:eastAsia="仿宋"/>
          <w:sz w:val="28"/>
          <w:szCs w:val="28"/>
          <w:lang w:val="en-US" w:eastAsia="zh-CN"/>
        </w:rPr>
        <w:t>参照原国家发展计划委员会《招标代理服务收费管理暂行办法》（计价格〔2002〕1980号）及《国家发展改革委关于降低部分建设项目收费标准规范收费行为等有关问题的通知》（发改价格〔2011〕534号）规定的收费标准。采购代理费收费按照实际中标价款在标准收费基础上下浮30%。</w:t>
      </w:r>
    </w:p>
    <w:p w14:paraId="00AF5A07">
      <w:pPr>
        <w:pStyle w:val="26"/>
        <w:spacing w:line="450" w:lineRule="exact"/>
        <w:ind w:firstLine="560"/>
        <w:rPr>
          <w:rFonts w:hint="eastAsia" w:ascii="仿宋" w:hAnsi="仿宋" w:eastAsia="仿宋"/>
          <w:sz w:val="28"/>
          <w:szCs w:val="28"/>
        </w:rPr>
      </w:pPr>
      <w:r>
        <w:rPr>
          <w:rFonts w:hint="eastAsia" w:ascii="仿宋" w:hAnsi="仿宋" w:eastAsia="仿宋"/>
          <w:sz w:val="28"/>
          <w:szCs w:val="28"/>
        </w:rPr>
        <w:t>详见下表：</w:t>
      </w:r>
    </w:p>
    <w:tbl>
      <w:tblPr>
        <w:tblStyle w:val="11"/>
        <w:tblW w:w="6728"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2946"/>
        <w:gridCol w:w="1289"/>
        <w:gridCol w:w="1139"/>
        <w:gridCol w:w="1354"/>
      </w:tblGrid>
      <w:tr w14:paraId="339D251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tblCellSpacing w:w="0" w:type="dxa"/>
          <w:jc w:val="center"/>
        </w:trPr>
        <w:tc>
          <w:tcPr>
            <w:tcW w:w="2946" w:type="dxa"/>
            <w:vMerge w:val="restart"/>
            <w:tcBorders>
              <w:top w:val="outset" w:color="auto" w:sz="6" w:space="0"/>
              <w:left w:val="outset" w:color="auto" w:sz="6" w:space="0"/>
              <w:right w:val="outset" w:color="auto" w:sz="6" w:space="0"/>
              <w:tl2br w:val="outset" w:color="auto" w:sz="6" w:space="0"/>
            </w:tcBorders>
            <w:vAlign w:val="center"/>
          </w:tcPr>
          <w:p w14:paraId="621D7C0F">
            <w:pPr>
              <w:widowControl/>
              <w:tabs>
                <w:tab w:val="left" w:pos="2520"/>
                <w:tab w:val="left" w:pos="2730"/>
              </w:tabs>
              <w:jc w:val="center"/>
              <w:rPr>
                <w:rFonts w:hint="eastAsia" w:ascii="宋体" w:hAnsi="宋体" w:cs="宋体"/>
                <w:sz w:val="24"/>
              </w:rPr>
            </w:pPr>
            <w:r>
              <w:rPr>
                <w:rFonts w:hint="eastAsia" w:ascii="宋体" w:hAnsi="宋体" w:cs="宋体"/>
                <w:sz w:val="24"/>
              </w:rPr>
              <w:t xml:space="preserve">               项目类别</w:t>
            </w:r>
          </w:p>
          <w:p w14:paraId="202D2A29">
            <w:pPr>
              <w:ind w:left="720" w:hanging="720" w:hangingChars="300"/>
              <w:rPr>
                <w:rFonts w:hint="eastAsia" w:ascii="宋体" w:hAnsi="宋体" w:cs="宋体"/>
                <w:sz w:val="24"/>
              </w:rPr>
            </w:pPr>
            <w:r>
              <w:rPr>
                <w:rFonts w:hint="eastAsia" w:ascii="宋体" w:hAnsi="宋体" w:cs="宋体"/>
                <w:sz w:val="24"/>
              </w:rPr>
              <w:t>成交金额(万元)</w:t>
            </w:r>
          </w:p>
        </w:tc>
        <w:tc>
          <w:tcPr>
            <w:tcW w:w="3782" w:type="dxa"/>
            <w:gridSpan w:val="3"/>
            <w:tcBorders>
              <w:top w:val="outset" w:color="auto" w:sz="6" w:space="0"/>
              <w:left w:val="outset" w:color="auto" w:sz="6" w:space="0"/>
              <w:bottom w:val="outset" w:color="auto" w:sz="6" w:space="0"/>
              <w:right w:val="outset" w:color="auto" w:sz="6" w:space="0"/>
            </w:tcBorders>
            <w:vAlign w:val="center"/>
          </w:tcPr>
          <w:p w14:paraId="7FB73C9C">
            <w:pPr>
              <w:widowControl/>
              <w:jc w:val="center"/>
              <w:rPr>
                <w:rFonts w:hint="eastAsia" w:ascii="宋体" w:hAnsi="宋体" w:cs="宋体"/>
                <w:sz w:val="24"/>
              </w:rPr>
            </w:pPr>
            <w:r>
              <w:rPr>
                <w:rFonts w:hint="eastAsia" w:ascii="宋体" w:hAnsi="宋体" w:cs="宋体"/>
                <w:sz w:val="24"/>
              </w:rPr>
              <w:t>标准费率（%）</w:t>
            </w:r>
          </w:p>
        </w:tc>
      </w:tr>
      <w:tr w14:paraId="102B895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27" w:hRule="atLeast"/>
          <w:tblCellSpacing w:w="0" w:type="dxa"/>
          <w:jc w:val="center"/>
        </w:trPr>
        <w:tc>
          <w:tcPr>
            <w:tcW w:w="2946" w:type="dxa"/>
            <w:vMerge w:val="continue"/>
            <w:tcBorders>
              <w:left w:val="outset" w:color="auto" w:sz="6" w:space="0"/>
              <w:bottom w:val="outset" w:color="auto" w:sz="6" w:space="0"/>
              <w:right w:val="outset" w:color="auto" w:sz="6" w:space="0"/>
              <w:tl2br w:val="outset" w:color="auto" w:sz="6" w:space="0"/>
            </w:tcBorders>
            <w:vAlign w:val="center"/>
          </w:tcPr>
          <w:p w14:paraId="2EA46C93">
            <w:pPr>
              <w:widowControl/>
              <w:jc w:val="center"/>
              <w:rPr>
                <w:rFonts w:hint="eastAsia" w:ascii="宋体" w:hAnsi="宋体" w:cs="宋体"/>
                <w:sz w:val="24"/>
              </w:rPr>
            </w:pPr>
          </w:p>
        </w:tc>
        <w:tc>
          <w:tcPr>
            <w:tcW w:w="1289" w:type="dxa"/>
            <w:tcBorders>
              <w:top w:val="outset" w:color="auto" w:sz="6" w:space="0"/>
              <w:left w:val="outset" w:color="auto" w:sz="6" w:space="0"/>
              <w:bottom w:val="outset" w:color="auto" w:sz="6" w:space="0"/>
              <w:right w:val="outset" w:color="auto" w:sz="6" w:space="0"/>
            </w:tcBorders>
            <w:vAlign w:val="center"/>
          </w:tcPr>
          <w:p w14:paraId="74E603FD">
            <w:pPr>
              <w:widowControl/>
              <w:spacing w:before="100" w:beforeAutospacing="1" w:after="100" w:afterAutospacing="1"/>
              <w:jc w:val="center"/>
              <w:rPr>
                <w:rFonts w:hint="eastAsia" w:ascii="宋体" w:hAnsi="宋体" w:cs="宋体"/>
                <w:sz w:val="24"/>
              </w:rPr>
            </w:pPr>
            <w:r>
              <w:rPr>
                <w:rFonts w:hint="eastAsia" w:ascii="宋体" w:hAnsi="宋体" w:cs="宋体"/>
                <w:sz w:val="24"/>
              </w:rPr>
              <w:t>货物</w:t>
            </w:r>
          </w:p>
        </w:tc>
        <w:tc>
          <w:tcPr>
            <w:tcW w:w="1139" w:type="dxa"/>
            <w:tcBorders>
              <w:top w:val="outset" w:color="auto" w:sz="6" w:space="0"/>
              <w:left w:val="outset" w:color="auto" w:sz="6" w:space="0"/>
              <w:bottom w:val="outset" w:color="auto" w:sz="6" w:space="0"/>
              <w:right w:val="outset" w:color="auto" w:sz="6" w:space="0"/>
            </w:tcBorders>
            <w:vAlign w:val="center"/>
          </w:tcPr>
          <w:p w14:paraId="3733F0C7">
            <w:pPr>
              <w:widowControl/>
              <w:jc w:val="center"/>
              <w:rPr>
                <w:rFonts w:hint="eastAsia" w:ascii="宋体" w:hAnsi="宋体" w:cs="宋体"/>
                <w:sz w:val="24"/>
              </w:rPr>
            </w:pPr>
            <w:r>
              <w:rPr>
                <w:rFonts w:hint="eastAsia" w:ascii="宋体" w:hAnsi="宋体" w:cs="宋体"/>
                <w:sz w:val="24"/>
              </w:rPr>
              <w:t>服务</w:t>
            </w:r>
          </w:p>
        </w:tc>
        <w:tc>
          <w:tcPr>
            <w:tcW w:w="1354" w:type="dxa"/>
            <w:tcBorders>
              <w:top w:val="outset" w:color="auto" w:sz="6" w:space="0"/>
              <w:left w:val="outset" w:color="auto" w:sz="6" w:space="0"/>
              <w:bottom w:val="outset" w:color="auto" w:sz="6" w:space="0"/>
              <w:right w:val="outset" w:color="auto" w:sz="6" w:space="0"/>
            </w:tcBorders>
            <w:vAlign w:val="center"/>
          </w:tcPr>
          <w:p w14:paraId="5EA8E379">
            <w:pPr>
              <w:widowControl/>
              <w:jc w:val="center"/>
              <w:rPr>
                <w:rFonts w:hint="eastAsia" w:ascii="宋体" w:hAnsi="宋体" w:cs="宋体"/>
                <w:sz w:val="24"/>
              </w:rPr>
            </w:pPr>
            <w:r>
              <w:rPr>
                <w:rFonts w:hint="eastAsia" w:ascii="宋体" w:hAnsi="宋体" w:cs="宋体"/>
                <w:sz w:val="24"/>
              </w:rPr>
              <w:t>工程</w:t>
            </w:r>
          </w:p>
        </w:tc>
      </w:tr>
      <w:tr w14:paraId="0D548A7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2946" w:type="dxa"/>
            <w:tcBorders>
              <w:top w:val="outset" w:color="auto" w:sz="6" w:space="0"/>
              <w:left w:val="outset" w:color="auto" w:sz="6" w:space="0"/>
              <w:bottom w:val="outset" w:color="auto" w:sz="6" w:space="0"/>
              <w:right w:val="outset" w:color="auto" w:sz="6" w:space="0"/>
            </w:tcBorders>
            <w:vAlign w:val="center"/>
          </w:tcPr>
          <w:p w14:paraId="714106DA">
            <w:pPr>
              <w:widowControl/>
              <w:ind w:firstLine="480" w:firstLineChars="200"/>
              <w:jc w:val="left"/>
              <w:rPr>
                <w:rFonts w:hint="eastAsia" w:ascii="宋体" w:hAnsi="宋体" w:cs="宋体"/>
                <w:sz w:val="24"/>
              </w:rPr>
            </w:pPr>
            <w:r>
              <w:rPr>
                <w:rFonts w:hint="eastAsia" w:ascii="宋体" w:hAnsi="宋体" w:cs="宋体"/>
                <w:sz w:val="24"/>
              </w:rPr>
              <w:t>100以下</w:t>
            </w:r>
          </w:p>
        </w:tc>
        <w:tc>
          <w:tcPr>
            <w:tcW w:w="1289" w:type="dxa"/>
            <w:tcBorders>
              <w:top w:val="outset" w:color="auto" w:sz="6" w:space="0"/>
              <w:left w:val="outset" w:color="auto" w:sz="6" w:space="0"/>
              <w:bottom w:val="outset" w:color="auto" w:sz="6" w:space="0"/>
              <w:right w:val="outset" w:color="auto" w:sz="6" w:space="0"/>
            </w:tcBorders>
            <w:vAlign w:val="center"/>
          </w:tcPr>
          <w:p w14:paraId="66B0CC22">
            <w:pPr>
              <w:widowControl/>
              <w:jc w:val="center"/>
              <w:rPr>
                <w:rFonts w:hint="eastAsia" w:ascii="宋体" w:hAnsi="宋体" w:cs="宋体"/>
                <w:sz w:val="24"/>
              </w:rPr>
            </w:pPr>
            <w:r>
              <w:rPr>
                <w:rFonts w:hint="eastAsia" w:ascii="宋体" w:hAnsi="宋体" w:cs="宋体"/>
                <w:sz w:val="24"/>
              </w:rPr>
              <w:t>1.5</w:t>
            </w:r>
          </w:p>
        </w:tc>
        <w:tc>
          <w:tcPr>
            <w:tcW w:w="1139" w:type="dxa"/>
            <w:tcBorders>
              <w:top w:val="outset" w:color="auto" w:sz="6" w:space="0"/>
              <w:left w:val="outset" w:color="auto" w:sz="6" w:space="0"/>
              <w:bottom w:val="outset" w:color="auto" w:sz="6" w:space="0"/>
              <w:right w:val="outset" w:color="auto" w:sz="6" w:space="0"/>
            </w:tcBorders>
            <w:vAlign w:val="center"/>
          </w:tcPr>
          <w:p w14:paraId="279426C5">
            <w:pPr>
              <w:widowControl/>
              <w:jc w:val="center"/>
              <w:rPr>
                <w:rFonts w:hint="eastAsia" w:ascii="宋体" w:hAnsi="宋体" w:cs="宋体"/>
                <w:sz w:val="24"/>
              </w:rPr>
            </w:pPr>
            <w:r>
              <w:rPr>
                <w:rFonts w:hint="eastAsia" w:ascii="宋体" w:hAnsi="宋体" w:cs="宋体"/>
                <w:sz w:val="24"/>
              </w:rPr>
              <w:t>1.5</w:t>
            </w:r>
          </w:p>
        </w:tc>
        <w:tc>
          <w:tcPr>
            <w:tcW w:w="1354" w:type="dxa"/>
            <w:tcBorders>
              <w:top w:val="outset" w:color="auto" w:sz="6" w:space="0"/>
              <w:left w:val="outset" w:color="auto" w:sz="6" w:space="0"/>
              <w:bottom w:val="outset" w:color="auto" w:sz="6" w:space="0"/>
              <w:right w:val="outset" w:color="auto" w:sz="6" w:space="0"/>
            </w:tcBorders>
            <w:vAlign w:val="center"/>
          </w:tcPr>
          <w:p w14:paraId="79A0150D">
            <w:pPr>
              <w:widowControl/>
              <w:jc w:val="center"/>
              <w:rPr>
                <w:rFonts w:hint="eastAsia" w:ascii="宋体" w:hAnsi="宋体" w:cs="宋体"/>
                <w:sz w:val="24"/>
              </w:rPr>
            </w:pPr>
            <w:r>
              <w:rPr>
                <w:rFonts w:hint="eastAsia" w:ascii="宋体" w:hAnsi="宋体" w:cs="宋体"/>
                <w:sz w:val="24"/>
              </w:rPr>
              <w:t>1.0</w:t>
            </w:r>
          </w:p>
        </w:tc>
      </w:tr>
      <w:tr w14:paraId="6DAFBC7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2946" w:type="dxa"/>
            <w:tcBorders>
              <w:top w:val="outset" w:color="auto" w:sz="6" w:space="0"/>
              <w:left w:val="outset" w:color="auto" w:sz="6" w:space="0"/>
              <w:bottom w:val="outset" w:color="auto" w:sz="6" w:space="0"/>
              <w:right w:val="outset" w:color="auto" w:sz="6" w:space="0"/>
            </w:tcBorders>
            <w:vAlign w:val="center"/>
          </w:tcPr>
          <w:p w14:paraId="7F518D23">
            <w:pPr>
              <w:widowControl/>
              <w:ind w:firstLine="480" w:firstLineChars="200"/>
              <w:jc w:val="left"/>
              <w:rPr>
                <w:rFonts w:hint="eastAsia" w:ascii="宋体" w:hAnsi="宋体" w:cs="宋体"/>
                <w:sz w:val="24"/>
              </w:rPr>
            </w:pPr>
            <w:r>
              <w:rPr>
                <w:rFonts w:hint="eastAsia" w:ascii="宋体" w:hAnsi="宋体" w:cs="宋体"/>
                <w:sz w:val="24"/>
              </w:rPr>
              <w:t>100—500</w:t>
            </w:r>
          </w:p>
        </w:tc>
        <w:tc>
          <w:tcPr>
            <w:tcW w:w="1289" w:type="dxa"/>
            <w:tcBorders>
              <w:top w:val="outset" w:color="auto" w:sz="6" w:space="0"/>
              <w:left w:val="outset" w:color="auto" w:sz="6" w:space="0"/>
              <w:bottom w:val="outset" w:color="auto" w:sz="6" w:space="0"/>
              <w:right w:val="outset" w:color="auto" w:sz="6" w:space="0"/>
            </w:tcBorders>
            <w:vAlign w:val="center"/>
          </w:tcPr>
          <w:p w14:paraId="76A06C9A">
            <w:pPr>
              <w:widowControl/>
              <w:jc w:val="center"/>
              <w:rPr>
                <w:rFonts w:hint="eastAsia" w:ascii="宋体" w:hAnsi="宋体" w:cs="宋体"/>
                <w:sz w:val="24"/>
              </w:rPr>
            </w:pPr>
            <w:r>
              <w:rPr>
                <w:rFonts w:hint="eastAsia" w:ascii="宋体" w:hAnsi="宋体" w:cs="宋体"/>
                <w:sz w:val="24"/>
              </w:rPr>
              <w:t>1.1</w:t>
            </w:r>
          </w:p>
        </w:tc>
        <w:tc>
          <w:tcPr>
            <w:tcW w:w="1139" w:type="dxa"/>
            <w:tcBorders>
              <w:top w:val="outset" w:color="auto" w:sz="6" w:space="0"/>
              <w:left w:val="outset" w:color="auto" w:sz="6" w:space="0"/>
              <w:bottom w:val="outset" w:color="auto" w:sz="6" w:space="0"/>
              <w:right w:val="outset" w:color="auto" w:sz="6" w:space="0"/>
            </w:tcBorders>
            <w:vAlign w:val="center"/>
          </w:tcPr>
          <w:p w14:paraId="03733793">
            <w:pPr>
              <w:widowControl/>
              <w:jc w:val="center"/>
              <w:rPr>
                <w:rFonts w:hint="eastAsia" w:ascii="宋体" w:hAnsi="宋体" w:cs="宋体"/>
                <w:sz w:val="24"/>
              </w:rPr>
            </w:pPr>
            <w:r>
              <w:rPr>
                <w:rFonts w:hint="eastAsia" w:ascii="宋体" w:hAnsi="宋体" w:cs="宋体"/>
                <w:sz w:val="24"/>
              </w:rPr>
              <w:t>0.8</w:t>
            </w:r>
          </w:p>
        </w:tc>
        <w:tc>
          <w:tcPr>
            <w:tcW w:w="1354" w:type="dxa"/>
            <w:tcBorders>
              <w:top w:val="outset" w:color="auto" w:sz="6" w:space="0"/>
              <w:left w:val="outset" w:color="auto" w:sz="6" w:space="0"/>
              <w:bottom w:val="outset" w:color="auto" w:sz="6" w:space="0"/>
              <w:right w:val="outset" w:color="auto" w:sz="6" w:space="0"/>
            </w:tcBorders>
            <w:vAlign w:val="center"/>
          </w:tcPr>
          <w:p w14:paraId="7627BDF8">
            <w:pPr>
              <w:widowControl/>
              <w:jc w:val="center"/>
              <w:rPr>
                <w:rFonts w:hint="eastAsia" w:ascii="宋体" w:hAnsi="宋体" w:cs="宋体"/>
                <w:sz w:val="24"/>
              </w:rPr>
            </w:pPr>
            <w:r>
              <w:rPr>
                <w:rFonts w:hint="eastAsia" w:ascii="宋体" w:hAnsi="宋体" w:cs="宋体"/>
                <w:sz w:val="24"/>
              </w:rPr>
              <w:t>0.7</w:t>
            </w:r>
          </w:p>
        </w:tc>
      </w:tr>
      <w:tr w14:paraId="40AEAAE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2946" w:type="dxa"/>
            <w:tcBorders>
              <w:top w:val="outset" w:color="auto" w:sz="6" w:space="0"/>
              <w:left w:val="outset" w:color="auto" w:sz="6" w:space="0"/>
              <w:bottom w:val="outset" w:color="auto" w:sz="6" w:space="0"/>
              <w:right w:val="outset" w:color="auto" w:sz="6" w:space="0"/>
            </w:tcBorders>
            <w:vAlign w:val="center"/>
          </w:tcPr>
          <w:p w14:paraId="09DD23E1">
            <w:pPr>
              <w:widowControl/>
              <w:ind w:firstLine="480" w:firstLineChars="200"/>
              <w:jc w:val="left"/>
              <w:rPr>
                <w:rFonts w:hint="eastAsia" w:ascii="宋体" w:hAnsi="宋体" w:cs="宋体"/>
                <w:sz w:val="24"/>
              </w:rPr>
            </w:pPr>
            <w:r>
              <w:rPr>
                <w:rFonts w:hint="eastAsia" w:ascii="宋体" w:hAnsi="宋体" w:cs="宋体"/>
                <w:sz w:val="24"/>
              </w:rPr>
              <w:t>500—1000</w:t>
            </w:r>
          </w:p>
        </w:tc>
        <w:tc>
          <w:tcPr>
            <w:tcW w:w="1289" w:type="dxa"/>
            <w:tcBorders>
              <w:top w:val="outset" w:color="auto" w:sz="6" w:space="0"/>
              <w:left w:val="outset" w:color="auto" w:sz="6" w:space="0"/>
              <w:bottom w:val="outset" w:color="auto" w:sz="6" w:space="0"/>
              <w:right w:val="outset" w:color="auto" w:sz="6" w:space="0"/>
            </w:tcBorders>
            <w:vAlign w:val="center"/>
          </w:tcPr>
          <w:p w14:paraId="03B626B7">
            <w:pPr>
              <w:widowControl/>
              <w:jc w:val="center"/>
              <w:rPr>
                <w:rFonts w:hint="eastAsia" w:ascii="宋体" w:hAnsi="宋体" w:cs="宋体"/>
                <w:sz w:val="24"/>
              </w:rPr>
            </w:pPr>
            <w:r>
              <w:rPr>
                <w:rFonts w:hint="eastAsia" w:ascii="宋体" w:hAnsi="宋体" w:cs="宋体"/>
                <w:sz w:val="24"/>
              </w:rPr>
              <w:t>0.8</w:t>
            </w:r>
          </w:p>
        </w:tc>
        <w:tc>
          <w:tcPr>
            <w:tcW w:w="1139" w:type="dxa"/>
            <w:tcBorders>
              <w:top w:val="outset" w:color="auto" w:sz="6" w:space="0"/>
              <w:left w:val="outset" w:color="auto" w:sz="6" w:space="0"/>
              <w:bottom w:val="outset" w:color="auto" w:sz="6" w:space="0"/>
              <w:right w:val="outset" w:color="auto" w:sz="6" w:space="0"/>
            </w:tcBorders>
            <w:vAlign w:val="center"/>
          </w:tcPr>
          <w:p w14:paraId="7DF7E1E4">
            <w:pPr>
              <w:widowControl/>
              <w:jc w:val="center"/>
              <w:rPr>
                <w:rFonts w:hint="eastAsia" w:ascii="宋体" w:hAnsi="宋体" w:cs="宋体"/>
                <w:sz w:val="24"/>
              </w:rPr>
            </w:pPr>
            <w:r>
              <w:rPr>
                <w:rFonts w:hint="eastAsia" w:ascii="宋体" w:hAnsi="宋体" w:cs="宋体"/>
                <w:sz w:val="24"/>
              </w:rPr>
              <w:t>0.45</w:t>
            </w:r>
          </w:p>
        </w:tc>
        <w:tc>
          <w:tcPr>
            <w:tcW w:w="1354" w:type="dxa"/>
            <w:tcBorders>
              <w:top w:val="outset" w:color="auto" w:sz="6" w:space="0"/>
              <w:left w:val="outset" w:color="auto" w:sz="6" w:space="0"/>
              <w:bottom w:val="outset" w:color="auto" w:sz="6" w:space="0"/>
              <w:right w:val="outset" w:color="auto" w:sz="6" w:space="0"/>
            </w:tcBorders>
            <w:vAlign w:val="center"/>
          </w:tcPr>
          <w:p w14:paraId="29A1D680">
            <w:pPr>
              <w:widowControl/>
              <w:jc w:val="center"/>
              <w:rPr>
                <w:rFonts w:hint="eastAsia" w:ascii="宋体" w:hAnsi="宋体" w:cs="宋体"/>
                <w:sz w:val="24"/>
              </w:rPr>
            </w:pPr>
            <w:r>
              <w:rPr>
                <w:rFonts w:hint="eastAsia" w:ascii="宋体" w:hAnsi="宋体" w:cs="宋体"/>
                <w:sz w:val="24"/>
              </w:rPr>
              <w:t>0.55</w:t>
            </w:r>
          </w:p>
        </w:tc>
      </w:tr>
      <w:tr w14:paraId="7CBFCFD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2946" w:type="dxa"/>
            <w:tcBorders>
              <w:top w:val="outset" w:color="auto" w:sz="6" w:space="0"/>
              <w:left w:val="outset" w:color="auto" w:sz="6" w:space="0"/>
              <w:bottom w:val="outset" w:color="auto" w:sz="6" w:space="0"/>
              <w:right w:val="outset" w:color="auto" w:sz="6" w:space="0"/>
            </w:tcBorders>
            <w:vAlign w:val="center"/>
          </w:tcPr>
          <w:p w14:paraId="07DFB89D">
            <w:pPr>
              <w:widowControl/>
              <w:ind w:firstLine="480" w:firstLineChars="200"/>
              <w:jc w:val="left"/>
              <w:rPr>
                <w:rFonts w:hint="eastAsia" w:ascii="宋体" w:hAnsi="宋体" w:cs="宋体"/>
                <w:sz w:val="24"/>
              </w:rPr>
            </w:pPr>
            <w:r>
              <w:rPr>
                <w:rFonts w:hint="eastAsia" w:ascii="宋体" w:hAnsi="宋体" w:cs="宋体"/>
                <w:sz w:val="24"/>
              </w:rPr>
              <w:t>1000—5000</w:t>
            </w:r>
          </w:p>
        </w:tc>
        <w:tc>
          <w:tcPr>
            <w:tcW w:w="1289" w:type="dxa"/>
            <w:tcBorders>
              <w:top w:val="outset" w:color="auto" w:sz="6" w:space="0"/>
              <w:left w:val="outset" w:color="auto" w:sz="6" w:space="0"/>
              <w:bottom w:val="outset" w:color="auto" w:sz="6" w:space="0"/>
              <w:right w:val="outset" w:color="auto" w:sz="6" w:space="0"/>
            </w:tcBorders>
            <w:vAlign w:val="center"/>
          </w:tcPr>
          <w:p w14:paraId="2CBA1E34">
            <w:pPr>
              <w:widowControl/>
              <w:jc w:val="center"/>
              <w:rPr>
                <w:rFonts w:hint="eastAsia" w:ascii="宋体" w:hAnsi="宋体" w:cs="宋体"/>
                <w:sz w:val="24"/>
              </w:rPr>
            </w:pPr>
            <w:r>
              <w:rPr>
                <w:rFonts w:hint="eastAsia" w:ascii="宋体" w:hAnsi="宋体" w:cs="宋体"/>
                <w:sz w:val="24"/>
              </w:rPr>
              <w:t>0.5</w:t>
            </w:r>
          </w:p>
        </w:tc>
        <w:tc>
          <w:tcPr>
            <w:tcW w:w="1139" w:type="dxa"/>
            <w:tcBorders>
              <w:top w:val="outset" w:color="auto" w:sz="6" w:space="0"/>
              <w:left w:val="outset" w:color="auto" w:sz="6" w:space="0"/>
              <w:bottom w:val="outset" w:color="auto" w:sz="6" w:space="0"/>
              <w:right w:val="outset" w:color="auto" w:sz="6" w:space="0"/>
            </w:tcBorders>
            <w:vAlign w:val="center"/>
          </w:tcPr>
          <w:p w14:paraId="7B256915">
            <w:pPr>
              <w:widowControl/>
              <w:jc w:val="center"/>
              <w:rPr>
                <w:rFonts w:hint="eastAsia" w:ascii="宋体" w:hAnsi="宋体" w:cs="宋体"/>
                <w:sz w:val="24"/>
              </w:rPr>
            </w:pPr>
            <w:r>
              <w:rPr>
                <w:rFonts w:hint="eastAsia" w:ascii="宋体" w:hAnsi="宋体" w:cs="宋体"/>
                <w:sz w:val="24"/>
              </w:rPr>
              <w:t>0.25</w:t>
            </w:r>
          </w:p>
        </w:tc>
        <w:tc>
          <w:tcPr>
            <w:tcW w:w="1354" w:type="dxa"/>
            <w:tcBorders>
              <w:top w:val="outset" w:color="auto" w:sz="6" w:space="0"/>
              <w:left w:val="outset" w:color="auto" w:sz="6" w:space="0"/>
              <w:bottom w:val="outset" w:color="auto" w:sz="6" w:space="0"/>
              <w:right w:val="outset" w:color="auto" w:sz="6" w:space="0"/>
            </w:tcBorders>
            <w:vAlign w:val="center"/>
          </w:tcPr>
          <w:p w14:paraId="653D53AC">
            <w:pPr>
              <w:widowControl/>
              <w:jc w:val="center"/>
              <w:rPr>
                <w:rFonts w:hint="eastAsia" w:ascii="宋体" w:hAnsi="宋体" w:cs="宋体"/>
                <w:sz w:val="24"/>
              </w:rPr>
            </w:pPr>
            <w:r>
              <w:rPr>
                <w:rFonts w:hint="eastAsia" w:ascii="宋体" w:hAnsi="宋体" w:cs="宋体"/>
                <w:sz w:val="24"/>
              </w:rPr>
              <w:t>0.35</w:t>
            </w:r>
          </w:p>
        </w:tc>
      </w:tr>
      <w:tr w14:paraId="7C3C3C2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2946" w:type="dxa"/>
            <w:tcBorders>
              <w:top w:val="outset" w:color="auto" w:sz="6" w:space="0"/>
              <w:left w:val="outset" w:color="auto" w:sz="6" w:space="0"/>
              <w:bottom w:val="outset" w:color="auto" w:sz="6" w:space="0"/>
              <w:right w:val="outset" w:color="auto" w:sz="6" w:space="0"/>
            </w:tcBorders>
            <w:vAlign w:val="center"/>
          </w:tcPr>
          <w:p w14:paraId="65963E14">
            <w:pPr>
              <w:widowControl/>
              <w:ind w:firstLine="480" w:firstLineChars="200"/>
              <w:jc w:val="left"/>
              <w:rPr>
                <w:rFonts w:hint="eastAsia" w:ascii="宋体" w:hAnsi="宋体" w:cs="宋体"/>
                <w:sz w:val="24"/>
              </w:rPr>
            </w:pPr>
            <w:r>
              <w:rPr>
                <w:rFonts w:hint="eastAsia" w:ascii="宋体" w:hAnsi="宋体" w:cs="宋体"/>
                <w:sz w:val="24"/>
              </w:rPr>
              <w:t>5000—10000</w:t>
            </w:r>
          </w:p>
        </w:tc>
        <w:tc>
          <w:tcPr>
            <w:tcW w:w="1289" w:type="dxa"/>
            <w:tcBorders>
              <w:top w:val="outset" w:color="auto" w:sz="6" w:space="0"/>
              <w:left w:val="outset" w:color="auto" w:sz="6" w:space="0"/>
              <w:bottom w:val="outset" w:color="auto" w:sz="6" w:space="0"/>
              <w:right w:val="outset" w:color="auto" w:sz="6" w:space="0"/>
            </w:tcBorders>
            <w:vAlign w:val="center"/>
          </w:tcPr>
          <w:p w14:paraId="4FD87B94">
            <w:pPr>
              <w:widowControl/>
              <w:jc w:val="center"/>
              <w:rPr>
                <w:rFonts w:hint="eastAsia" w:ascii="宋体" w:hAnsi="宋体" w:cs="宋体"/>
                <w:sz w:val="24"/>
              </w:rPr>
            </w:pPr>
            <w:r>
              <w:rPr>
                <w:rFonts w:hint="eastAsia" w:ascii="宋体" w:hAnsi="宋体" w:cs="宋体"/>
                <w:sz w:val="24"/>
              </w:rPr>
              <w:t>0.25</w:t>
            </w:r>
          </w:p>
        </w:tc>
        <w:tc>
          <w:tcPr>
            <w:tcW w:w="1139" w:type="dxa"/>
            <w:tcBorders>
              <w:top w:val="outset" w:color="auto" w:sz="6" w:space="0"/>
              <w:left w:val="outset" w:color="auto" w:sz="6" w:space="0"/>
              <w:bottom w:val="outset" w:color="auto" w:sz="6" w:space="0"/>
              <w:right w:val="outset" w:color="auto" w:sz="6" w:space="0"/>
            </w:tcBorders>
            <w:vAlign w:val="center"/>
          </w:tcPr>
          <w:p w14:paraId="3F09AF56">
            <w:pPr>
              <w:widowControl/>
              <w:jc w:val="center"/>
              <w:rPr>
                <w:rFonts w:hint="eastAsia" w:ascii="宋体" w:hAnsi="宋体" w:cs="宋体"/>
                <w:sz w:val="24"/>
              </w:rPr>
            </w:pPr>
            <w:r>
              <w:rPr>
                <w:rFonts w:hint="eastAsia" w:ascii="宋体" w:hAnsi="宋体" w:cs="宋体"/>
                <w:sz w:val="24"/>
              </w:rPr>
              <w:t>0.1</w:t>
            </w:r>
          </w:p>
        </w:tc>
        <w:tc>
          <w:tcPr>
            <w:tcW w:w="1354" w:type="dxa"/>
            <w:tcBorders>
              <w:top w:val="outset" w:color="auto" w:sz="6" w:space="0"/>
              <w:left w:val="outset" w:color="auto" w:sz="6" w:space="0"/>
              <w:bottom w:val="outset" w:color="auto" w:sz="6" w:space="0"/>
              <w:right w:val="outset" w:color="auto" w:sz="6" w:space="0"/>
            </w:tcBorders>
            <w:vAlign w:val="center"/>
          </w:tcPr>
          <w:p w14:paraId="71985686">
            <w:pPr>
              <w:widowControl/>
              <w:jc w:val="center"/>
              <w:rPr>
                <w:rFonts w:hint="eastAsia" w:ascii="宋体" w:hAnsi="宋体" w:cs="宋体"/>
                <w:sz w:val="24"/>
              </w:rPr>
            </w:pPr>
            <w:r>
              <w:rPr>
                <w:rFonts w:hint="eastAsia" w:ascii="宋体" w:hAnsi="宋体" w:cs="宋体"/>
                <w:sz w:val="24"/>
              </w:rPr>
              <w:t>0.2</w:t>
            </w:r>
          </w:p>
        </w:tc>
      </w:tr>
      <w:tr w14:paraId="37F1C7C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2946" w:type="dxa"/>
            <w:tcBorders>
              <w:top w:val="outset" w:color="auto" w:sz="6" w:space="0"/>
              <w:left w:val="outset" w:color="auto" w:sz="6" w:space="0"/>
              <w:bottom w:val="outset" w:color="auto" w:sz="6" w:space="0"/>
              <w:right w:val="outset" w:color="auto" w:sz="6" w:space="0"/>
            </w:tcBorders>
            <w:vAlign w:val="center"/>
          </w:tcPr>
          <w:p w14:paraId="2DDD80F6">
            <w:pPr>
              <w:widowControl/>
              <w:ind w:firstLine="480" w:firstLineChars="200"/>
              <w:jc w:val="left"/>
              <w:rPr>
                <w:rFonts w:hint="eastAsia" w:ascii="宋体" w:hAnsi="宋体" w:cs="宋体"/>
                <w:sz w:val="24"/>
              </w:rPr>
            </w:pPr>
            <w:r>
              <w:rPr>
                <w:rFonts w:hint="eastAsia" w:ascii="宋体" w:hAnsi="宋体" w:cs="宋体"/>
                <w:sz w:val="24"/>
              </w:rPr>
              <w:t>10000—50000</w:t>
            </w:r>
          </w:p>
        </w:tc>
        <w:tc>
          <w:tcPr>
            <w:tcW w:w="1289" w:type="dxa"/>
            <w:tcBorders>
              <w:top w:val="outset" w:color="auto" w:sz="6" w:space="0"/>
              <w:left w:val="outset" w:color="auto" w:sz="6" w:space="0"/>
              <w:bottom w:val="outset" w:color="auto" w:sz="6" w:space="0"/>
              <w:right w:val="outset" w:color="auto" w:sz="6" w:space="0"/>
            </w:tcBorders>
            <w:vAlign w:val="center"/>
          </w:tcPr>
          <w:p w14:paraId="25A92586">
            <w:pPr>
              <w:widowControl/>
              <w:jc w:val="center"/>
              <w:rPr>
                <w:rFonts w:hint="eastAsia" w:ascii="宋体" w:hAnsi="宋体" w:cs="宋体"/>
                <w:sz w:val="24"/>
              </w:rPr>
            </w:pPr>
            <w:r>
              <w:rPr>
                <w:rFonts w:hint="eastAsia" w:ascii="宋体" w:hAnsi="宋体" w:cs="宋体"/>
                <w:sz w:val="24"/>
              </w:rPr>
              <w:t>0.05</w:t>
            </w:r>
          </w:p>
        </w:tc>
        <w:tc>
          <w:tcPr>
            <w:tcW w:w="1139" w:type="dxa"/>
            <w:tcBorders>
              <w:top w:val="outset" w:color="auto" w:sz="6" w:space="0"/>
              <w:left w:val="outset" w:color="auto" w:sz="6" w:space="0"/>
              <w:bottom w:val="outset" w:color="auto" w:sz="6" w:space="0"/>
              <w:right w:val="outset" w:color="auto" w:sz="6" w:space="0"/>
            </w:tcBorders>
            <w:vAlign w:val="center"/>
          </w:tcPr>
          <w:p w14:paraId="65115C72">
            <w:pPr>
              <w:widowControl/>
              <w:jc w:val="center"/>
              <w:rPr>
                <w:rFonts w:hint="eastAsia" w:ascii="宋体" w:hAnsi="宋体" w:cs="宋体"/>
                <w:sz w:val="24"/>
              </w:rPr>
            </w:pPr>
            <w:r>
              <w:rPr>
                <w:rFonts w:hint="eastAsia" w:ascii="宋体" w:hAnsi="宋体" w:cs="宋体"/>
                <w:sz w:val="24"/>
              </w:rPr>
              <w:t>0.05</w:t>
            </w:r>
          </w:p>
        </w:tc>
        <w:tc>
          <w:tcPr>
            <w:tcW w:w="1354" w:type="dxa"/>
            <w:tcBorders>
              <w:top w:val="outset" w:color="auto" w:sz="6" w:space="0"/>
              <w:left w:val="outset" w:color="auto" w:sz="6" w:space="0"/>
              <w:bottom w:val="outset" w:color="auto" w:sz="6" w:space="0"/>
              <w:right w:val="outset" w:color="auto" w:sz="6" w:space="0"/>
            </w:tcBorders>
            <w:vAlign w:val="center"/>
          </w:tcPr>
          <w:p w14:paraId="6614684A">
            <w:pPr>
              <w:widowControl/>
              <w:jc w:val="center"/>
              <w:rPr>
                <w:rFonts w:hint="eastAsia" w:ascii="宋体" w:hAnsi="宋体" w:cs="宋体"/>
                <w:sz w:val="24"/>
              </w:rPr>
            </w:pPr>
            <w:r>
              <w:rPr>
                <w:rFonts w:hint="eastAsia" w:ascii="宋体" w:hAnsi="宋体" w:cs="宋体"/>
                <w:sz w:val="24"/>
              </w:rPr>
              <w:t>0.05</w:t>
            </w:r>
          </w:p>
        </w:tc>
      </w:tr>
      <w:tr w14:paraId="0AD45C7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2946" w:type="dxa"/>
            <w:tcBorders>
              <w:top w:val="outset" w:color="auto" w:sz="6" w:space="0"/>
              <w:left w:val="outset" w:color="auto" w:sz="6" w:space="0"/>
              <w:bottom w:val="outset" w:color="auto" w:sz="6" w:space="0"/>
              <w:right w:val="outset" w:color="auto" w:sz="6" w:space="0"/>
            </w:tcBorders>
            <w:vAlign w:val="center"/>
          </w:tcPr>
          <w:p w14:paraId="518A28E2">
            <w:pPr>
              <w:widowControl/>
              <w:ind w:firstLine="480" w:firstLineChars="200"/>
              <w:jc w:val="left"/>
              <w:rPr>
                <w:rFonts w:hint="eastAsia" w:ascii="宋体" w:hAnsi="宋体" w:cs="宋体"/>
                <w:sz w:val="24"/>
              </w:rPr>
            </w:pPr>
            <w:r>
              <w:rPr>
                <w:rFonts w:hint="eastAsia" w:ascii="宋体" w:hAnsi="宋体" w:cs="宋体"/>
                <w:sz w:val="24"/>
              </w:rPr>
              <w:t>50000—8000000</w:t>
            </w:r>
          </w:p>
        </w:tc>
        <w:tc>
          <w:tcPr>
            <w:tcW w:w="1289" w:type="dxa"/>
            <w:tcBorders>
              <w:top w:val="outset" w:color="auto" w:sz="6" w:space="0"/>
              <w:left w:val="outset" w:color="auto" w:sz="6" w:space="0"/>
              <w:bottom w:val="outset" w:color="auto" w:sz="6" w:space="0"/>
              <w:right w:val="outset" w:color="auto" w:sz="6" w:space="0"/>
            </w:tcBorders>
            <w:vAlign w:val="center"/>
          </w:tcPr>
          <w:p w14:paraId="3C4F4F27">
            <w:pPr>
              <w:widowControl/>
              <w:jc w:val="center"/>
              <w:rPr>
                <w:rFonts w:hint="eastAsia" w:ascii="宋体" w:hAnsi="宋体" w:cs="宋体"/>
                <w:sz w:val="24"/>
              </w:rPr>
            </w:pPr>
            <w:r>
              <w:rPr>
                <w:rFonts w:hint="eastAsia" w:ascii="宋体" w:hAnsi="宋体" w:cs="宋体"/>
                <w:sz w:val="24"/>
              </w:rPr>
              <w:t>0.035</w:t>
            </w:r>
          </w:p>
        </w:tc>
        <w:tc>
          <w:tcPr>
            <w:tcW w:w="1139" w:type="dxa"/>
            <w:tcBorders>
              <w:top w:val="outset" w:color="auto" w:sz="6" w:space="0"/>
              <w:left w:val="outset" w:color="auto" w:sz="6" w:space="0"/>
              <w:bottom w:val="outset" w:color="auto" w:sz="6" w:space="0"/>
              <w:right w:val="outset" w:color="auto" w:sz="6" w:space="0"/>
            </w:tcBorders>
            <w:vAlign w:val="center"/>
          </w:tcPr>
          <w:p w14:paraId="499C57F8">
            <w:pPr>
              <w:widowControl/>
              <w:jc w:val="center"/>
              <w:rPr>
                <w:rFonts w:hint="eastAsia" w:ascii="宋体" w:hAnsi="宋体" w:cs="宋体"/>
                <w:sz w:val="24"/>
              </w:rPr>
            </w:pPr>
            <w:r>
              <w:rPr>
                <w:rFonts w:hint="eastAsia" w:ascii="宋体" w:hAnsi="宋体" w:cs="宋体"/>
                <w:sz w:val="24"/>
              </w:rPr>
              <w:t>0.035</w:t>
            </w:r>
          </w:p>
        </w:tc>
        <w:tc>
          <w:tcPr>
            <w:tcW w:w="1354" w:type="dxa"/>
            <w:tcBorders>
              <w:top w:val="outset" w:color="auto" w:sz="6" w:space="0"/>
              <w:left w:val="outset" w:color="auto" w:sz="6" w:space="0"/>
              <w:bottom w:val="outset" w:color="auto" w:sz="6" w:space="0"/>
              <w:right w:val="outset" w:color="auto" w:sz="6" w:space="0"/>
            </w:tcBorders>
            <w:vAlign w:val="center"/>
          </w:tcPr>
          <w:p w14:paraId="0DE7A5E8">
            <w:pPr>
              <w:widowControl/>
              <w:jc w:val="center"/>
              <w:rPr>
                <w:rFonts w:hint="eastAsia" w:ascii="宋体" w:hAnsi="宋体" w:cs="宋体"/>
                <w:sz w:val="24"/>
              </w:rPr>
            </w:pPr>
            <w:r>
              <w:rPr>
                <w:rFonts w:hint="eastAsia" w:ascii="宋体" w:hAnsi="宋体" w:cs="宋体"/>
                <w:sz w:val="24"/>
              </w:rPr>
              <w:t>0.035</w:t>
            </w:r>
          </w:p>
        </w:tc>
      </w:tr>
    </w:tbl>
    <w:p w14:paraId="0FEC415C">
      <w:pPr>
        <w:pStyle w:val="25"/>
      </w:pPr>
    </w:p>
    <w:p w14:paraId="7594311F">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金额：</w:t>
      </w: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w:t>
      </w:r>
      <w:r>
        <w:rPr>
          <w:rFonts w:hint="eastAsia" w:ascii="仿宋" w:hAnsi="仿宋" w:eastAsia="仿宋" w:cs="Times New Roman"/>
          <w:sz w:val="28"/>
          <w:szCs w:val="28"/>
        </w:rPr>
        <w:t>148632万元</w:t>
      </w:r>
      <w:r>
        <w:rPr>
          <w:rFonts w:hint="eastAsia" w:ascii="仿宋" w:hAnsi="仿宋" w:eastAsia="仿宋"/>
          <w:sz w:val="28"/>
          <w:szCs w:val="28"/>
        </w:rPr>
        <w:t>（人民币）</w:t>
      </w:r>
    </w:p>
    <w:p w14:paraId="512D7623">
      <w:pPr>
        <w:spacing w:line="360" w:lineRule="auto"/>
        <w:rPr>
          <w:rFonts w:hint="eastAsia" w:ascii="黑体" w:hAnsi="黑体" w:eastAsia="黑体"/>
          <w:sz w:val="28"/>
          <w:szCs w:val="28"/>
        </w:rPr>
      </w:pPr>
      <w:r>
        <w:rPr>
          <w:rFonts w:hint="eastAsia" w:ascii="黑体" w:hAnsi="黑体" w:eastAsia="黑体"/>
          <w:sz w:val="28"/>
          <w:szCs w:val="28"/>
        </w:rPr>
        <w:t>七、公告期限</w:t>
      </w:r>
    </w:p>
    <w:p w14:paraId="5819EA90">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自本公告发布之日起1个工作日。</w:t>
      </w:r>
    </w:p>
    <w:p w14:paraId="75488BF2">
      <w:pPr>
        <w:spacing w:line="360" w:lineRule="auto"/>
        <w:rPr>
          <w:rFonts w:hint="eastAsia" w:ascii="黑体" w:hAnsi="黑体" w:eastAsia="黑体"/>
          <w:sz w:val="28"/>
          <w:szCs w:val="28"/>
        </w:rPr>
      </w:pPr>
      <w:r>
        <w:rPr>
          <w:rFonts w:hint="eastAsia" w:ascii="黑体" w:hAnsi="黑体" w:eastAsia="黑体"/>
          <w:sz w:val="28"/>
          <w:szCs w:val="28"/>
        </w:rPr>
        <w:t>八、其他补充事宜</w:t>
      </w:r>
    </w:p>
    <w:p w14:paraId="7B2DC9DB">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1.本次公告发布媒体：中国政府采购网、北京市政府采购网。</w:t>
      </w:r>
    </w:p>
    <w:p w14:paraId="26A5DC02">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2.成交供应商评审总得分</w:t>
      </w:r>
      <w:r>
        <w:rPr>
          <w:rFonts w:hint="eastAsia" w:asciiTheme="minorEastAsia" w:hAnsiTheme="minorEastAsia"/>
          <w:sz w:val="28"/>
          <w:szCs w:val="28"/>
          <w:highlight w:val="none"/>
        </w:rPr>
        <w:t>78.67</w:t>
      </w:r>
      <w:r>
        <w:rPr>
          <w:rFonts w:hint="eastAsia" w:ascii="仿宋" w:hAnsi="仿宋" w:eastAsia="仿宋"/>
          <w:sz w:val="28"/>
          <w:szCs w:val="28"/>
        </w:rPr>
        <w:t>分。</w:t>
      </w:r>
    </w:p>
    <w:p w14:paraId="43F5FF89">
      <w:pPr>
        <w:spacing w:line="360" w:lineRule="auto"/>
        <w:rPr>
          <w:rFonts w:hint="eastAsia" w:ascii="黑体" w:hAnsi="黑体" w:eastAsia="黑体"/>
          <w:sz w:val="28"/>
          <w:szCs w:val="28"/>
        </w:rPr>
      </w:pPr>
      <w:r>
        <w:rPr>
          <w:rFonts w:hint="eastAsia" w:ascii="黑体" w:hAnsi="黑体" w:eastAsia="黑体"/>
          <w:sz w:val="28"/>
          <w:szCs w:val="28"/>
        </w:rPr>
        <w:t>九、凡对本次公告内容提出询问，请按以下方式联系。</w:t>
      </w:r>
    </w:p>
    <w:p w14:paraId="7956875D">
      <w:pPr>
        <w:widowControl/>
        <w:spacing w:line="360" w:lineRule="auto"/>
        <w:jc w:val="left"/>
        <w:rPr>
          <w:rFonts w:eastAsiaTheme="minorEastAsia"/>
          <w:b/>
          <w:color w:val="000000" w:themeColor="text1"/>
          <w:sz w:val="24"/>
          <w14:textFill>
            <w14:solidFill>
              <w14:schemeClr w14:val="tx1"/>
            </w14:solidFill>
          </w14:textFill>
        </w:rPr>
      </w:pPr>
      <w:r>
        <w:rPr>
          <w:rFonts w:ascii="宋体" w:hAnsi="宋体"/>
          <w:sz w:val="24"/>
        </w:rPr>
        <w:t>　</w:t>
      </w:r>
      <w:r>
        <w:rPr>
          <w:rFonts w:eastAsiaTheme="minorEastAsia"/>
          <w:color w:val="000000" w:themeColor="text1"/>
          <w:sz w:val="24"/>
          <w14:textFill>
            <w14:solidFill>
              <w14:schemeClr w14:val="tx1"/>
            </w14:solidFill>
          </w14:textFill>
        </w:rPr>
        <w:t>　　</w:t>
      </w:r>
      <w:r>
        <w:rPr>
          <w:rFonts w:eastAsiaTheme="minorEastAsia"/>
          <w:b/>
          <w:color w:val="000000" w:themeColor="text1"/>
          <w:sz w:val="24"/>
          <w14:textFill>
            <w14:solidFill>
              <w14:schemeClr w14:val="tx1"/>
            </w14:solidFill>
          </w14:textFill>
        </w:rPr>
        <w:t>1.采购人信息</w:t>
      </w:r>
    </w:p>
    <w:p w14:paraId="4A697C71">
      <w:pPr>
        <w:spacing w:line="360" w:lineRule="auto"/>
        <w:ind w:left="1079" w:leftChars="371" w:hanging="300" w:hangingChars="125"/>
        <w:jc w:val="left"/>
        <w:rPr>
          <w:color w:val="000000" w:themeColor="text1"/>
          <w:sz w:val="24"/>
          <w14:textFill>
            <w14:solidFill>
              <w14:schemeClr w14:val="tx1"/>
            </w14:solidFill>
          </w14:textFill>
        </w:rPr>
      </w:pPr>
      <w:bookmarkStart w:id="4" w:name="_Toc28359086"/>
      <w:bookmarkStart w:id="5" w:name="_Toc28359009"/>
      <w:r>
        <w:rPr>
          <w:color w:val="000000" w:themeColor="text1"/>
          <w:sz w:val="24"/>
          <w14:textFill>
            <w14:solidFill>
              <w14:schemeClr w14:val="tx1"/>
            </w14:solidFill>
          </w14:textFill>
        </w:rPr>
        <w:t>名称：</w:t>
      </w:r>
      <w:r>
        <w:rPr>
          <w:rFonts w:hint="eastAsia"/>
          <w:color w:val="000000" w:themeColor="text1"/>
          <w:sz w:val="24"/>
          <w:u w:val="single"/>
          <w14:textFill>
            <w14:solidFill>
              <w14:schemeClr w14:val="tx1"/>
            </w14:solidFill>
          </w14:textFill>
        </w:rPr>
        <w:t>北京市顺义区城市管理委员会</w:t>
      </w:r>
    </w:p>
    <w:p w14:paraId="3FDC160E">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地址：</w:t>
      </w:r>
      <w:r>
        <w:rPr>
          <w:rFonts w:hint="eastAsia" w:ascii="宋体" w:hAnsi="宋体"/>
          <w:color w:val="000000" w:themeColor="text1"/>
          <w:sz w:val="24"/>
          <w:u w:val="single"/>
          <w14:textFill>
            <w14:solidFill>
              <w14:schemeClr w14:val="tx1"/>
            </w14:solidFill>
          </w14:textFill>
        </w:rPr>
        <w:t>北京市顺义区复兴东街3号院</w:t>
      </w:r>
    </w:p>
    <w:p w14:paraId="61B6A27C">
      <w:pPr>
        <w:spacing w:line="360" w:lineRule="auto"/>
        <w:ind w:left="1079" w:leftChars="371" w:hanging="300" w:hangingChars="125"/>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联系方式：</w:t>
      </w:r>
      <w:bookmarkStart w:id="6" w:name="OLE_LINK28"/>
      <w:r>
        <w:rPr>
          <w:rFonts w:hint="eastAsia" w:ascii="宋体" w:hAnsi="宋体"/>
          <w:color w:val="000000" w:themeColor="text1"/>
          <w:sz w:val="24"/>
          <w:u w:val="single"/>
          <w14:textFill>
            <w14:solidFill>
              <w14:schemeClr w14:val="tx1"/>
            </w14:solidFill>
          </w14:textFill>
        </w:rPr>
        <w:t>赵琦、010-81492889</w:t>
      </w:r>
      <w:bookmarkEnd w:id="6"/>
    </w:p>
    <w:p w14:paraId="6CF9CDC1">
      <w:pPr>
        <w:spacing w:line="360" w:lineRule="auto"/>
        <w:ind w:left="1078" w:leftChars="371" w:hanging="299" w:hangingChars="124"/>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2.采购代理机构信息</w:t>
      </w:r>
      <w:bookmarkEnd w:id="4"/>
      <w:bookmarkEnd w:id="5"/>
    </w:p>
    <w:p w14:paraId="17631EE9">
      <w:pPr>
        <w:spacing w:line="360" w:lineRule="auto"/>
        <w:ind w:left="1076" w:leftChars="371" w:hanging="297" w:hangingChars="124"/>
        <w:jc w:val="left"/>
        <w:rPr>
          <w:rFonts w:hint="eastAsia" w:eastAsia="宋体"/>
          <w:color w:val="000000" w:themeColor="text1"/>
          <w:sz w:val="24"/>
          <w:lang w:eastAsia="zh-CN"/>
          <w14:textFill>
            <w14:solidFill>
              <w14:schemeClr w14:val="tx1"/>
            </w14:solidFill>
          </w14:textFill>
        </w:rPr>
      </w:pPr>
      <w:bookmarkStart w:id="7" w:name="_Toc28359087"/>
      <w:bookmarkStart w:id="8" w:name="_Toc28359010"/>
      <w:r>
        <w:rPr>
          <w:color w:val="000000" w:themeColor="text1"/>
          <w:sz w:val="24"/>
          <w14:textFill>
            <w14:solidFill>
              <w14:schemeClr w14:val="tx1"/>
            </w14:solidFill>
          </w14:textFill>
        </w:rPr>
        <w:t>名称：</w:t>
      </w:r>
      <w:r>
        <w:rPr>
          <w:rFonts w:hint="eastAsia"/>
          <w:color w:val="000000" w:themeColor="text1"/>
          <w:sz w:val="24"/>
          <w:u w:val="single"/>
          <w:lang w:eastAsia="zh-CN"/>
          <w14:textFill>
            <w14:solidFill>
              <w14:schemeClr w14:val="tx1"/>
            </w14:solidFill>
          </w14:textFill>
        </w:rPr>
        <w:t>北京嘉诚晟泰工程管理咨询有限公司</w:t>
      </w:r>
    </w:p>
    <w:p w14:paraId="5EEC905A">
      <w:pPr>
        <w:spacing w:line="360" w:lineRule="auto"/>
        <w:ind w:left="1076" w:leftChars="371" w:hanging="297" w:hangingChars="124"/>
        <w:jc w:val="left"/>
        <w:rPr>
          <w:rFonts w:hint="eastAsia"/>
          <w:color w:val="000000" w:themeColor="text1"/>
          <w:sz w:val="24"/>
          <w:u w:val="single"/>
          <w:lang w:val="en-US" w:eastAsia="zh-CN"/>
          <w14:textFill>
            <w14:solidFill>
              <w14:schemeClr w14:val="tx1"/>
            </w14:solidFill>
          </w14:textFill>
        </w:rPr>
      </w:pPr>
      <w:r>
        <w:rPr>
          <w:color w:val="000000" w:themeColor="text1"/>
          <w:sz w:val="24"/>
          <w14:textFill>
            <w14:solidFill>
              <w14:schemeClr w14:val="tx1"/>
            </w14:solidFill>
          </w14:textFill>
        </w:rPr>
        <w:t>地址：</w:t>
      </w:r>
      <w:r>
        <w:rPr>
          <w:rFonts w:hint="eastAsia" w:eastAsiaTheme="minorEastAsia"/>
          <w:sz w:val="24"/>
          <w:u w:val="single"/>
        </w:rPr>
        <w:t>北京市顺义区顺平辅线181号14幢3层</w:t>
      </w:r>
    </w:p>
    <w:p w14:paraId="4BD9EC0A">
      <w:pPr>
        <w:spacing w:line="360" w:lineRule="auto"/>
        <w:ind w:left="1076" w:leftChars="371" w:hanging="297" w:hangingChars="124"/>
        <w:jc w:val="left"/>
        <w:rPr>
          <w:rFonts w:hint="eastAsia" w:eastAsia="宋体"/>
          <w:color w:val="000000" w:themeColor="text1"/>
          <w:sz w:val="24"/>
          <w:u w:val="single"/>
          <w:lang w:eastAsia="zh-CN"/>
          <w14:textFill>
            <w14:solidFill>
              <w14:schemeClr w14:val="tx1"/>
            </w14:solidFill>
          </w14:textFill>
        </w:rPr>
      </w:pPr>
      <w:r>
        <w:rPr>
          <w:color w:val="000000" w:themeColor="text1"/>
          <w:sz w:val="24"/>
          <w14:textFill>
            <w14:solidFill>
              <w14:schemeClr w14:val="tx1"/>
            </w14:solidFill>
          </w14:textFill>
        </w:rPr>
        <w:t>联系方式：</w:t>
      </w:r>
      <w:r>
        <w:rPr>
          <w:rFonts w:hint="eastAsia"/>
          <w:color w:val="000000" w:themeColor="text1"/>
          <w:sz w:val="24"/>
          <w:u w:val="single"/>
          <w:lang w:val="en-US" w:eastAsia="zh-CN"/>
          <w14:textFill>
            <w14:solidFill>
              <w14:schemeClr w14:val="tx1"/>
            </w14:solidFill>
          </w14:textFill>
        </w:rPr>
        <w:t>于辉</w:t>
      </w:r>
      <w:r>
        <w:rPr>
          <w:rFonts w:hint="eastAsia" w:eastAsiaTheme="minorEastAsia"/>
          <w:sz w:val="24"/>
          <w:u w:val="single"/>
        </w:rPr>
        <w:t>；010-60418509</w:t>
      </w:r>
    </w:p>
    <w:p w14:paraId="3EDA95E0">
      <w:pPr>
        <w:spacing w:line="360" w:lineRule="auto"/>
        <w:ind w:left="1078" w:leftChars="371" w:hanging="299" w:hangingChars="124"/>
        <w:rPr>
          <w:b/>
          <w:color w:val="000000" w:themeColor="text1"/>
          <w:sz w:val="24"/>
          <w:u w:val="single"/>
          <w14:textFill>
            <w14:solidFill>
              <w14:schemeClr w14:val="tx1"/>
            </w14:solidFill>
          </w14:textFill>
        </w:rPr>
      </w:pPr>
      <w:r>
        <w:rPr>
          <w:b/>
          <w:color w:val="000000" w:themeColor="text1"/>
          <w:sz w:val="24"/>
          <w14:textFill>
            <w14:solidFill>
              <w14:schemeClr w14:val="tx1"/>
            </w14:solidFill>
          </w14:textFill>
        </w:rPr>
        <w:t>3.项目联系方式</w:t>
      </w:r>
      <w:bookmarkEnd w:id="7"/>
      <w:bookmarkEnd w:id="8"/>
    </w:p>
    <w:p w14:paraId="332C6F13">
      <w:pPr>
        <w:ind w:left="1076" w:leftChars="371" w:hanging="297" w:hangingChars="124"/>
        <w:jc w:val="left"/>
        <w:rPr>
          <w:rFonts w:hint="eastAsia" w:eastAsia="宋体"/>
          <w:color w:val="000000" w:themeColor="text1"/>
          <w:sz w:val="24"/>
          <w:u w:val="single"/>
          <w:lang w:eastAsia="zh-CN"/>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项目联系人：</w:t>
      </w:r>
      <w:r>
        <w:rPr>
          <w:rFonts w:hint="eastAsia"/>
          <w:color w:val="000000" w:themeColor="text1"/>
          <w:sz w:val="24"/>
          <w:u w:val="single"/>
          <w:lang w:val="en-US" w:eastAsia="zh-CN"/>
          <w14:textFill>
            <w14:solidFill>
              <w14:schemeClr w14:val="tx1"/>
            </w14:solidFill>
          </w14:textFill>
        </w:rPr>
        <w:t>于辉</w:t>
      </w:r>
    </w:p>
    <w:p w14:paraId="51D7BDE4">
      <w:pPr>
        <w:pStyle w:val="5"/>
        <w:spacing w:line="360" w:lineRule="auto"/>
        <w:ind w:left="1076" w:leftChars="371" w:hanging="297" w:hangingChars="124"/>
        <w:rPr>
          <w:rFonts w:hint="eastAsia" w:ascii="Times New Roman" w:hAnsi="Times New Roman" w:eastAsia="宋体"/>
          <w:color w:val="000000" w:themeColor="text1"/>
          <w:sz w:val="24"/>
          <w:szCs w:val="24"/>
          <w:lang w:eastAsia="zh-CN"/>
          <w14:textFill>
            <w14:solidFill>
              <w14:schemeClr w14:val="tx1"/>
            </w14:solidFill>
          </w14:textFill>
        </w:rPr>
      </w:pPr>
      <w:r>
        <w:rPr>
          <w:rFonts w:hint="default" w:ascii="Times New Roman" w:hAnsi="Times New Roman"/>
          <w:color w:val="000000" w:themeColor="text1"/>
          <w:sz w:val="24"/>
          <w14:textFill>
            <w14:solidFill>
              <w14:schemeClr w14:val="tx1"/>
            </w14:solidFill>
          </w14:textFill>
        </w:rPr>
        <w:t>电话：</w:t>
      </w:r>
      <w:r>
        <w:rPr>
          <w:rFonts w:hint="eastAsia" w:eastAsiaTheme="minorEastAsia"/>
          <w:sz w:val="24"/>
          <w:u w:val="single"/>
        </w:rPr>
        <w:t>010-60418509</w:t>
      </w:r>
      <w:r>
        <w:rPr>
          <w:rFonts w:hint="eastAsia"/>
          <w:color w:val="000000" w:themeColor="text1"/>
          <w:sz w:val="24"/>
          <w:u w:val="single"/>
          <w:lang w:val="en-US" w:eastAsia="zh-CN"/>
          <w14:textFill>
            <w14:solidFill>
              <w14:schemeClr w14:val="tx1"/>
            </w14:solidFill>
          </w14:textFill>
        </w:rPr>
        <w:t xml:space="preserve"> </w:t>
      </w:r>
    </w:p>
    <w:p w14:paraId="3E5DC5A0">
      <w:pPr>
        <w:spacing w:line="360" w:lineRule="auto"/>
        <w:ind w:left="1076" w:leftChars="371" w:hanging="297" w:hangingChars="124"/>
        <w:jc w:val="left"/>
        <w:rPr>
          <w:rFonts w:hint="eastAsia" w:ascii="宋体" w:hAnsi="宋体"/>
          <w:sz w:val="24"/>
          <w:u w:val="single"/>
        </w:rPr>
      </w:pPr>
    </w:p>
    <w:p w14:paraId="26E40DEA">
      <w:pPr>
        <w:spacing w:line="360" w:lineRule="auto"/>
        <w:outlineLvl w:val="0"/>
        <w:rPr>
          <w:rFonts w:hint="eastAsia" w:ascii="宋体" w:hAnsi="宋体"/>
          <w:b/>
          <w:sz w:val="36"/>
          <w:szCs w:val="36"/>
        </w:rPr>
        <w:sectPr>
          <w:footerReference r:id="rId4" w:type="first"/>
          <w:footerReference r:id="rId3" w:type="default"/>
          <w:pgSz w:w="11907" w:h="16840"/>
          <w:pgMar w:top="1440" w:right="1800" w:bottom="1440" w:left="1800" w:header="851" w:footer="851" w:gutter="0"/>
          <w:pgNumType w:start="1"/>
          <w:cols w:space="720" w:num="1"/>
          <w:titlePg/>
          <w:docGrid w:linePitch="462" w:charSpace="0"/>
        </w:sectPr>
      </w:pPr>
    </w:p>
    <w:p w14:paraId="15F69743">
      <w:pPr>
        <w:spacing w:line="360" w:lineRule="auto"/>
        <w:rPr>
          <w:rFonts w:hint="eastAsia" w:ascii="黑体" w:hAnsi="黑体" w:eastAsia="黑体"/>
          <w:sz w:val="28"/>
          <w:szCs w:val="28"/>
        </w:rPr>
      </w:pPr>
      <w:r>
        <w:rPr>
          <w:rFonts w:hint="eastAsia" w:ascii="黑体" w:hAnsi="黑体" w:eastAsia="黑体"/>
          <w:sz w:val="28"/>
          <w:szCs w:val="28"/>
        </w:rPr>
        <w:t>十、附件</w:t>
      </w:r>
    </w:p>
    <w:p w14:paraId="3015A33B">
      <w:pPr>
        <w:pStyle w:val="5"/>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1.采购文件</w:t>
      </w:r>
    </w:p>
    <w:p w14:paraId="01C654C7">
      <w:pPr>
        <w:spacing w:line="480" w:lineRule="exact"/>
        <w:ind w:firstLine="560" w:firstLineChars="200"/>
        <w:rPr>
          <w:rFonts w:hint="eastAsia" w:ascii="仿宋" w:hAnsi="仿宋" w:eastAsia="仿宋"/>
          <w:sz w:val="28"/>
          <w:szCs w:val="28"/>
        </w:rPr>
      </w:pPr>
      <w:r>
        <w:rPr>
          <w:rFonts w:hint="eastAsia" w:ascii="仿宋" w:hAnsi="仿宋" w:eastAsia="仿宋"/>
          <w:sz w:val="28"/>
          <w:szCs w:val="28"/>
        </w:rPr>
        <w:t>2.中小企业声明函</w:t>
      </w:r>
      <w:bookmarkStart w:id="9" w:name="_GoBack"/>
      <w:bookmarkEnd w:id="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D7C3">
    <w:pPr>
      <w:pStyle w:val="7"/>
    </w:pPr>
    <w:r>
      <mc:AlternateContent>
        <mc:Choice Requires="wps">
          <w:drawing>
            <wp:anchor distT="0" distB="0" distL="114300" distR="114300" simplePos="0" relativeHeight="251659264" behindDoc="0" locked="0" layoutInCell="1" allowOverlap="1">
              <wp:simplePos x="0" y="0"/>
              <wp:positionH relativeFrom="margin">
                <wp:posOffset>2576830</wp:posOffset>
              </wp:positionH>
              <wp:positionV relativeFrom="paragraph">
                <wp:posOffset>-90805</wp:posOffset>
              </wp:positionV>
              <wp:extent cx="27559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27559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37F5C7">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2.9pt;margin-top:-7.15pt;height:144pt;width:21.7pt;mso-position-horizontal-relative:margin;z-index:251659264;mso-width-relative:page;mso-height-relative:page;" filled="f" stroked="f" coordsize="21600,21600" o:gfxdata="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OBFE0LZAAAACwEAAA8AAAAAAAAAAQAgAAAAIgAAAGRycy9kb3ducmV2Lnht&#10;bFBLAQIUABQAAAAIAIdO4kBAO8nzMQIAAFYEAAAOAAAAAAAAAAEAIAAAACgBAABkcnMvZTJvRG9j&#10;LnhtbFBLBQYAAAAABgAGAFkBAADLBQAAAAA=&#10;">
              <v:fill on="f" focussize="0,0"/>
              <v:stroke on="f" weight="0.5pt"/>
              <v:imagedata o:title=""/>
              <o:lock v:ext="edit" aspectratio="f"/>
              <v:textbox inset="0mm,0mm,0mm,0mm" style="mso-fit-shape-to-text:t;">
                <w:txbxContent>
                  <w:p w14:paraId="5B37F5C7">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CF136">
    <w:pPr>
      <w:pStyle w:val="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99C41E">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0B99C41E">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mZWIzNDg2MmIzZjExOTIzMmViNTBmYTMwYTk0ZWYifQ=="/>
  </w:docVars>
  <w:rsids>
    <w:rsidRoot w:val="00372D08"/>
    <w:rsid w:val="00002102"/>
    <w:rsid w:val="00033B41"/>
    <w:rsid w:val="00037F75"/>
    <w:rsid w:val="000B3206"/>
    <w:rsid w:val="000F3233"/>
    <w:rsid w:val="001051B0"/>
    <w:rsid w:val="00133AF7"/>
    <w:rsid w:val="00142BD2"/>
    <w:rsid w:val="00146E83"/>
    <w:rsid w:val="00147DDF"/>
    <w:rsid w:val="00156CC2"/>
    <w:rsid w:val="00164748"/>
    <w:rsid w:val="00165DF7"/>
    <w:rsid w:val="001B7EC6"/>
    <w:rsid w:val="001C569A"/>
    <w:rsid w:val="001C6B1D"/>
    <w:rsid w:val="001E6017"/>
    <w:rsid w:val="0021663A"/>
    <w:rsid w:val="0023282D"/>
    <w:rsid w:val="00243054"/>
    <w:rsid w:val="00245DC9"/>
    <w:rsid w:val="00247024"/>
    <w:rsid w:val="00270D02"/>
    <w:rsid w:val="00272A07"/>
    <w:rsid w:val="002816A9"/>
    <w:rsid w:val="00295470"/>
    <w:rsid w:val="002A021D"/>
    <w:rsid w:val="002A10BD"/>
    <w:rsid w:val="002C0CEC"/>
    <w:rsid w:val="002E3E99"/>
    <w:rsid w:val="002F1085"/>
    <w:rsid w:val="002F3444"/>
    <w:rsid w:val="003245CE"/>
    <w:rsid w:val="00344182"/>
    <w:rsid w:val="00345A24"/>
    <w:rsid w:val="00350A48"/>
    <w:rsid w:val="00353560"/>
    <w:rsid w:val="00370926"/>
    <w:rsid w:val="00372D08"/>
    <w:rsid w:val="003758E7"/>
    <w:rsid w:val="003A0ED3"/>
    <w:rsid w:val="003B753F"/>
    <w:rsid w:val="003D06BF"/>
    <w:rsid w:val="003E7974"/>
    <w:rsid w:val="004074A8"/>
    <w:rsid w:val="0042252B"/>
    <w:rsid w:val="004408E4"/>
    <w:rsid w:val="00447814"/>
    <w:rsid w:val="00450111"/>
    <w:rsid w:val="004626F9"/>
    <w:rsid w:val="00464087"/>
    <w:rsid w:val="00472358"/>
    <w:rsid w:val="00472574"/>
    <w:rsid w:val="00483A2F"/>
    <w:rsid w:val="004A2948"/>
    <w:rsid w:val="004C4974"/>
    <w:rsid w:val="004C49D6"/>
    <w:rsid w:val="004E4A86"/>
    <w:rsid w:val="004E7926"/>
    <w:rsid w:val="004F65C2"/>
    <w:rsid w:val="00507FF7"/>
    <w:rsid w:val="00510E06"/>
    <w:rsid w:val="00513A76"/>
    <w:rsid w:val="0052440D"/>
    <w:rsid w:val="0053318B"/>
    <w:rsid w:val="00535D3C"/>
    <w:rsid w:val="00542751"/>
    <w:rsid w:val="0054350E"/>
    <w:rsid w:val="005476A5"/>
    <w:rsid w:val="005477F6"/>
    <w:rsid w:val="00553879"/>
    <w:rsid w:val="005726AB"/>
    <w:rsid w:val="00574C7B"/>
    <w:rsid w:val="005964DE"/>
    <w:rsid w:val="005967D6"/>
    <w:rsid w:val="005A6762"/>
    <w:rsid w:val="005E61CF"/>
    <w:rsid w:val="005F1B48"/>
    <w:rsid w:val="005F2912"/>
    <w:rsid w:val="00612B02"/>
    <w:rsid w:val="00615E34"/>
    <w:rsid w:val="006214E8"/>
    <w:rsid w:val="00630D38"/>
    <w:rsid w:val="0064498B"/>
    <w:rsid w:val="00651331"/>
    <w:rsid w:val="00654B8A"/>
    <w:rsid w:val="0065691C"/>
    <w:rsid w:val="0065744F"/>
    <w:rsid w:val="006A1BEF"/>
    <w:rsid w:val="006A315C"/>
    <w:rsid w:val="006A4B68"/>
    <w:rsid w:val="006B11E6"/>
    <w:rsid w:val="006C4D65"/>
    <w:rsid w:val="00707191"/>
    <w:rsid w:val="007129CA"/>
    <w:rsid w:val="00713CFD"/>
    <w:rsid w:val="007140CF"/>
    <w:rsid w:val="00734DDB"/>
    <w:rsid w:val="00736127"/>
    <w:rsid w:val="00764F82"/>
    <w:rsid w:val="007937E2"/>
    <w:rsid w:val="007A31A4"/>
    <w:rsid w:val="007B12BC"/>
    <w:rsid w:val="007C695A"/>
    <w:rsid w:val="00806CDF"/>
    <w:rsid w:val="00823416"/>
    <w:rsid w:val="00842C48"/>
    <w:rsid w:val="008556FB"/>
    <w:rsid w:val="0086150C"/>
    <w:rsid w:val="00881D30"/>
    <w:rsid w:val="00886942"/>
    <w:rsid w:val="008A732C"/>
    <w:rsid w:val="008B2AE5"/>
    <w:rsid w:val="008B7E8D"/>
    <w:rsid w:val="008D0B31"/>
    <w:rsid w:val="008E4995"/>
    <w:rsid w:val="009136B7"/>
    <w:rsid w:val="00932830"/>
    <w:rsid w:val="00952440"/>
    <w:rsid w:val="00960355"/>
    <w:rsid w:val="009959D1"/>
    <w:rsid w:val="009A391B"/>
    <w:rsid w:val="009C5D8F"/>
    <w:rsid w:val="009D0BA5"/>
    <w:rsid w:val="009E2203"/>
    <w:rsid w:val="00A04EC2"/>
    <w:rsid w:val="00A30316"/>
    <w:rsid w:val="00A30511"/>
    <w:rsid w:val="00A3171D"/>
    <w:rsid w:val="00A43355"/>
    <w:rsid w:val="00A4400A"/>
    <w:rsid w:val="00A508A8"/>
    <w:rsid w:val="00A51063"/>
    <w:rsid w:val="00A7234C"/>
    <w:rsid w:val="00A7273F"/>
    <w:rsid w:val="00A81A27"/>
    <w:rsid w:val="00A92378"/>
    <w:rsid w:val="00A97857"/>
    <w:rsid w:val="00AA079D"/>
    <w:rsid w:val="00AB1F57"/>
    <w:rsid w:val="00AB367B"/>
    <w:rsid w:val="00AB779C"/>
    <w:rsid w:val="00AC6BFD"/>
    <w:rsid w:val="00B02A02"/>
    <w:rsid w:val="00B05414"/>
    <w:rsid w:val="00B061D5"/>
    <w:rsid w:val="00B067E2"/>
    <w:rsid w:val="00B078C7"/>
    <w:rsid w:val="00B10CFF"/>
    <w:rsid w:val="00B2349F"/>
    <w:rsid w:val="00B355CE"/>
    <w:rsid w:val="00B47A1C"/>
    <w:rsid w:val="00B52B87"/>
    <w:rsid w:val="00B54CD1"/>
    <w:rsid w:val="00B61C9D"/>
    <w:rsid w:val="00B77A21"/>
    <w:rsid w:val="00BA556C"/>
    <w:rsid w:val="00BD3AFA"/>
    <w:rsid w:val="00BD3DF5"/>
    <w:rsid w:val="00BF547C"/>
    <w:rsid w:val="00C173D0"/>
    <w:rsid w:val="00C1767D"/>
    <w:rsid w:val="00C20EB7"/>
    <w:rsid w:val="00C237FA"/>
    <w:rsid w:val="00C26438"/>
    <w:rsid w:val="00C34BE0"/>
    <w:rsid w:val="00C56F11"/>
    <w:rsid w:val="00C65F1F"/>
    <w:rsid w:val="00C70F7C"/>
    <w:rsid w:val="00C74CD0"/>
    <w:rsid w:val="00CA30E6"/>
    <w:rsid w:val="00CA64AD"/>
    <w:rsid w:val="00CB5C90"/>
    <w:rsid w:val="00CF4E51"/>
    <w:rsid w:val="00CF6CD2"/>
    <w:rsid w:val="00D3317E"/>
    <w:rsid w:val="00D33BAE"/>
    <w:rsid w:val="00D374D2"/>
    <w:rsid w:val="00D75D89"/>
    <w:rsid w:val="00DB1E2D"/>
    <w:rsid w:val="00DD0DBB"/>
    <w:rsid w:val="00DD2CA2"/>
    <w:rsid w:val="00DE34BF"/>
    <w:rsid w:val="00DF3F10"/>
    <w:rsid w:val="00DF415E"/>
    <w:rsid w:val="00E1095C"/>
    <w:rsid w:val="00E265CC"/>
    <w:rsid w:val="00E326C1"/>
    <w:rsid w:val="00E35B0D"/>
    <w:rsid w:val="00E37163"/>
    <w:rsid w:val="00E47675"/>
    <w:rsid w:val="00E56E49"/>
    <w:rsid w:val="00E71486"/>
    <w:rsid w:val="00E77123"/>
    <w:rsid w:val="00E96157"/>
    <w:rsid w:val="00EA0EF6"/>
    <w:rsid w:val="00EA21AD"/>
    <w:rsid w:val="00EA59C8"/>
    <w:rsid w:val="00EB14B7"/>
    <w:rsid w:val="00F11093"/>
    <w:rsid w:val="00F409D7"/>
    <w:rsid w:val="00F5317B"/>
    <w:rsid w:val="00F9414B"/>
    <w:rsid w:val="00FA1FC3"/>
    <w:rsid w:val="00FC5EE4"/>
    <w:rsid w:val="00FC6AFE"/>
    <w:rsid w:val="00FE3ACB"/>
    <w:rsid w:val="02561839"/>
    <w:rsid w:val="03811A3F"/>
    <w:rsid w:val="099C2C18"/>
    <w:rsid w:val="0C696A4D"/>
    <w:rsid w:val="0F9D12E0"/>
    <w:rsid w:val="0FFB6C85"/>
    <w:rsid w:val="12AA5A6B"/>
    <w:rsid w:val="12DE2523"/>
    <w:rsid w:val="1440605A"/>
    <w:rsid w:val="149F6A83"/>
    <w:rsid w:val="16536716"/>
    <w:rsid w:val="1C0227D6"/>
    <w:rsid w:val="2028453F"/>
    <w:rsid w:val="20911868"/>
    <w:rsid w:val="24603818"/>
    <w:rsid w:val="270E6BE2"/>
    <w:rsid w:val="2B7411C4"/>
    <w:rsid w:val="2E8F0C1E"/>
    <w:rsid w:val="38B95B73"/>
    <w:rsid w:val="3C59620F"/>
    <w:rsid w:val="3C9568F7"/>
    <w:rsid w:val="42991734"/>
    <w:rsid w:val="47B27BA6"/>
    <w:rsid w:val="48382F58"/>
    <w:rsid w:val="4BBE19C6"/>
    <w:rsid w:val="4BF54BAD"/>
    <w:rsid w:val="4CAB2514"/>
    <w:rsid w:val="4F405AC1"/>
    <w:rsid w:val="4F934F1E"/>
    <w:rsid w:val="54B95421"/>
    <w:rsid w:val="556D7A5D"/>
    <w:rsid w:val="5C552EE6"/>
    <w:rsid w:val="5F290648"/>
    <w:rsid w:val="5F610B8F"/>
    <w:rsid w:val="655576C9"/>
    <w:rsid w:val="67966EFB"/>
    <w:rsid w:val="6A484E25"/>
    <w:rsid w:val="6E443B86"/>
    <w:rsid w:val="70C920F0"/>
    <w:rsid w:val="77641203"/>
    <w:rsid w:val="77E3618D"/>
    <w:rsid w:val="7C0B18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6"/>
    <w:qFormat/>
    <w:uiPriority w:val="0"/>
    <w:pPr>
      <w:keepNext/>
      <w:keepLines/>
      <w:spacing w:before="260" w:after="260" w:line="415" w:lineRule="auto"/>
      <w:outlineLvl w:val="1"/>
    </w:pPr>
    <w:rPr>
      <w:rFonts w:ascii="Arial" w:hAnsi="Arial" w:eastAsia="黑体" w:cs="Arial"/>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2"/>
    <w:unhideWhenUsed/>
    <w:qFormat/>
    <w:uiPriority w:val="99"/>
    <w:pPr>
      <w:jc w:val="left"/>
    </w:pPr>
  </w:style>
  <w:style w:type="paragraph" w:styleId="5">
    <w:name w:val="Plain Text"/>
    <w:basedOn w:val="1"/>
    <w:link w:val="17"/>
    <w:qFormat/>
    <w:uiPriority w:val="99"/>
    <w:rPr>
      <w:rFonts w:ascii="宋体" w:hAnsi="Courier New" w:eastAsiaTheme="minorEastAsia" w:cstheme="minorBidi"/>
      <w:szCs w:val="22"/>
    </w:rPr>
  </w:style>
  <w:style w:type="paragraph" w:styleId="6">
    <w:name w:val="Balloon Text"/>
    <w:basedOn w:val="1"/>
    <w:link w:val="20"/>
    <w:semiHidden/>
    <w:unhideWhenUsed/>
    <w:qFormat/>
    <w:uiPriority w:val="99"/>
    <w:rPr>
      <w:sz w:val="18"/>
      <w:szCs w:val="18"/>
    </w:rPr>
  </w:style>
  <w:style w:type="paragraph" w:styleId="7">
    <w:name w:val="footer"/>
    <w:basedOn w:val="1"/>
    <w:next w:val="1"/>
    <w:link w:val="19"/>
    <w:unhideWhenUsed/>
    <w:qFormat/>
    <w:uiPriority w:val="99"/>
    <w:pPr>
      <w:tabs>
        <w:tab w:val="center" w:pos="4153"/>
        <w:tab w:val="right" w:pos="8306"/>
      </w:tabs>
      <w:snapToGrid w:val="0"/>
      <w:jc w:val="left"/>
    </w:pPr>
    <w:rPr>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0">
    <w:name w:val="annotation subject"/>
    <w:basedOn w:val="4"/>
    <w:next w:val="4"/>
    <w:link w:val="23"/>
    <w:semiHidden/>
    <w:unhideWhenUsed/>
    <w:qFormat/>
    <w:uiPriority w:val="99"/>
    <w:rPr>
      <w:b/>
      <w:bCs/>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semiHidden/>
    <w:unhideWhenUsed/>
    <w:qFormat/>
    <w:uiPriority w:val="99"/>
    <w:rPr>
      <w:sz w:val="21"/>
      <w:szCs w:val="21"/>
    </w:rPr>
  </w:style>
  <w:style w:type="character" w:customStyle="1" w:styleId="15">
    <w:name w:val="标题 1 字符"/>
    <w:basedOn w:val="13"/>
    <w:link w:val="2"/>
    <w:qFormat/>
    <w:uiPriority w:val="9"/>
    <w:rPr>
      <w:rFonts w:ascii="Times New Roman" w:hAnsi="Times New Roman" w:eastAsia="宋体" w:cs="Times New Roman"/>
      <w:b/>
      <w:bCs/>
      <w:kern w:val="44"/>
      <w:sz w:val="44"/>
      <w:szCs w:val="44"/>
    </w:rPr>
  </w:style>
  <w:style w:type="character" w:customStyle="1" w:styleId="16">
    <w:name w:val="标题 2 字符"/>
    <w:basedOn w:val="13"/>
    <w:link w:val="3"/>
    <w:qFormat/>
    <w:uiPriority w:val="0"/>
    <w:rPr>
      <w:rFonts w:ascii="Arial" w:hAnsi="Arial" w:eastAsia="黑体" w:cs="Arial"/>
      <w:b/>
      <w:bCs/>
      <w:sz w:val="32"/>
      <w:szCs w:val="32"/>
    </w:rPr>
  </w:style>
  <w:style w:type="character" w:customStyle="1" w:styleId="17">
    <w:name w:val="纯文本 字符"/>
    <w:basedOn w:val="13"/>
    <w:link w:val="5"/>
    <w:qFormat/>
    <w:uiPriority w:val="99"/>
    <w:rPr>
      <w:rFonts w:ascii="宋体" w:hAnsi="Courier New"/>
    </w:rPr>
  </w:style>
  <w:style w:type="character" w:customStyle="1" w:styleId="18">
    <w:name w:val="页眉 字符"/>
    <w:basedOn w:val="13"/>
    <w:link w:val="8"/>
    <w:qFormat/>
    <w:uiPriority w:val="99"/>
    <w:rPr>
      <w:rFonts w:ascii="Times New Roman" w:hAnsi="Times New Roman" w:eastAsia="宋体" w:cs="Times New Roman"/>
      <w:sz w:val="18"/>
      <w:szCs w:val="18"/>
    </w:rPr>
  </w:style>
  <w:style w:type="character" w:customStyle="1" w:styleId="19">
    <w:name w:val="页脚 字符"/>
    <w:basedOn w:val="13"/>
    <w:link w:val="7"/>
    <w:qFormat/>
    <w:uiPriority w:val="99"/>
    <w:rPr>
      <w:rFonts w:ascii="Times New Roman" w:hAnsi="Times New Roman" w:eastAsia="宋体" w:cs="Times New Roman"/>
      <w:sz w:val="18"/>
      <w:szCs w:val="18"/>
    </w:rPr>
  </w:style>
  <w:style w:type="character" w:customStyle="1" w:styleId="20">
    <w:name w:val="批注框文本 字符"/>
    <w:basedOn w:val="13"/>
    <w:link w:val="6"/>
    <w:semiHidden/>
    <w:qFormat/>
    <w:uiPriority w:val="99"/>
    <w:rPr>
      <w:rFonts w:ascii="Times New Roman" w:hAnsi="Times New Roman" w:eastAsia="宋体" w:cs="Times New Roman"/>
      <w:sz w:val="18"/>
      <w:szCs w:val="18"/>
    </w:rPr>
  </w:style>
  <w:style w:type="character" w:customStyle="1" w:styleId="21">
    <w:name w:val="纯文本 Char1"/>
    <w:qFormat/>
    <w:locked/>
    <w:uiPriority w:val="99"/>
    <w:rPr>
      <w:rFonts w:ascii="宋体" w:hAnsi="Courier New"/>
      <w:kern w:val="2"/>
      <w:sz w:val="21"/>
    </w:rPr>
  </w:style>
  <w:style w:type="character" w:customStyle="1" w:styleId="22">
    <w:name w:val="批注文字 字符"/>
    <w:basedOn w:val="13"/>
    <w:link w:val="4"/>
    <w:qFormat/>
    <w:uiPriority w:val="99"/>
    <w:rPr>
      <w:rFonts w:ascii="Times New Roman" w:hAnsi="Times New Roman" w:eastAsia="宋体" w:cs="Times New Roman"/>
      <w:szCs w:val="21"/>
    </w:rPr>
  </w:style>
  <w:style w:type="character" w:customStyle="1" w:styleId="23">
    <w:name w:val="批注主题 字符"/>
    <w:basedOn w:val="22"/>
    <w:link w:val="10"/>
    <w:semiHidden/>
    <w:qFormat/>
    <w:uiPriority w:val="99"/>
    <w:rPr>
      <w:rFonts w:ascii="Times New Roman" w:hAnsi="Times New Roman" w:eastAsia="宋体" w:cs="Times New Roman"/>
      <w:b/>
      <w:bCs/>
      <w:szCs w:val="21"/>
    </w:rPr>
  </w:style>
  <w:style w:type="paragraph" w:customStyle="1" w:styleId="24">
    <w:name w:val="_Style 43"/>
    <w:basedOn w:val="1"/>
    <w:next w:val="25"/>
    <w:qFormat/>
    <w:uiPriority w:val="99"/>
    <w:pPr>
      <w:ind w:firstLine="420" w:firstLineChars="200"/>
    </w:pPr>
    <w:rPr>
      <w:szCs w:val="24"/>
    </w:rPr>
  </w:style>
  <w:style w:type="paragraph" w:styleId="25">
    <w:name w:val="List Paragraph"/>
    <w:basedOn w:val="1"/>
    <w:qFormat/>
    <w:uiPriority w:val="34"/>
    <w:pPr>
      <w:ind w:firstLine="420" w:firstLineChars="200"/>
    </w:pPr>
  </w:style>
  <w:style w:type="paragraph" w:customStyle="1" w:styleId="26">
    <w:name w:val="_Style 25"/>
    <w:basedOn w:val="1"/>
    <w:next w:val="25"/>
    <w:qFormat/>
    <w:uiPriority w:val="99"/>
    <w:pPr>
      <w:ind w:firstLine="420" w:firstLineChars="200"/>
    </w:pPr>
    <w:rPr>
      <w:rFonts w:ascii="Calibri" w:hAnsi="Calibri"/>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F75DB0-3C43-4014-8C0A-C79BA534F572}">
  <ds:schemaRefs/>
</ds:datastoreItem>
</file>

<file path=docProps/app.xml><?xml version="1.0" encoding="utf-8"?>
<Properties xmlns="http://schemas.openxmlformats.org/officeDocument/2006/extended-properties" xmlns:vt="http://schemas.openxmlformats.org/officeDocument/2006/docPropsVTypes">
  <Template>Normal</Template>
  <Pages>3</Pages>
  <Words>715</Words>
  <Characters>928</Characters>
  <Lines>55</Lines>
  <Paragraphs>79</Paragraphs>
  <TotalTime>0</TotalTime>
  <ScaleCrop>false</ScaleCrop>
  <LinksUpToDate>false</LinksUpToDate>
  <CharactersWithSpaces>969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2020-05-13T09:20:00Z</dcterms:created>
  <dc:creator>Windows 用户</dc:creator>
  <cp:lastModifiedBy>OPA</cp:lastModifiedBy>
  <cp:lastPrinted>2024-03-11T08:43:00Z</cp:lastPrinted>
  <dcterms:modified xsi:type="dcterms:W3CDTF">2026-07-06T08:25:24Z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01EDF734B6EF4BC5A9CC41D1CF8F72FB_13</vt:lpwstr>
  </property>
  <property fmtid="{D5CDD505-2E9C-101B-9397-08002B2CF9AE}" pid="4" name="KSOTemplateDocerSaveRecord">
    <vt:lpwstr>eyJoZGlkIjoiYzM5Nzk0Yjc2ODhlMzRhMDY2YjkzNDJmZWE3OGI4MGYiLCJ1c2VySWQiOiIzODU0OTM4MDEifQ==</vt:lpwstr>
  </property>
</Properties>
</file>