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D8120F">
      <w:pPr>
        <w:spacing w:line="360" w:lineRule="auto"/>
        <w:ind w:firstLine="300" w:firstLineChars="50"/>
        <w:rPr>
          <w:rFonts w:eastAsiaTheme="minorEastAsia"/>
          <w:sz w:val="60"/>
          <w:szCs w:val="60"/>
        </w:rPr>
      </w:pPr>
    </w:p>
    <w:p w14:paraId="51686B4D">
      <w:pPr>
        <w:spacing w:line="360" w:lineRule="auto"/>
        <w:ind w:firstLine="300" w:firstLineChars="50"/>
        <w:rPr>
          <w:rFonts w:eastAsiaTheme="minorEastAsia"/>
          <w:sz w:val="60"/>
          <w:szCs w:val="60"/>
        </w:rPr>
      </w:pPr>
    </w:p>
    <w:p w14:paraId="57D40ED6">
      <w:pPr>
        <w:jc w:val="center"/>
        <w:rPr>
          <w:rFonts w:eastAsiaTheme="minorEastAsia"/>
          <w:b/>
          <w:bCs/>
          <w:sz w:val="60"/>
          <w:szCs w:val="60"/>
        </w:rPr>
      </w:pPr>
      <w:r>
        <w:rPr>
          <w:rFonts w:eastAsiaTheme="minorEastAsia"/>
          <w:b/>
          <w:bCs/>
          <w:sz w:val="60"/>
          <w:szCs w:val="60"/>
        </w:rPr>
        <w:t>北京市政府采购项目</w:t>
      </w:r>
    </w:p>
    <w:p w14:paraId="4F99E480">
      <w:pPr>
        <w:jc w:val="center"/>
        <w:rPr>
          <w:rFonts w:eastAsiaTheme="minorEastAsia"/>
          <w:b/>
          <w:bCs/>
          <w:sz w:val="60"/>
          <w:szCs w:val="60"/>
        </w:rPr>
      </w:pPr>
      <w:r>
        <w:rPr>
          <w:rFonts w:eastAsiaTheme="minorEastAsia"/>
          <w:b/>
          <w:bCs/>
          <w:sz w:val="60"/>
          <w:szCs w:val="60"/>
        </w:rPr>
        <w:t>竞争性磋商文件示范文本</w:t>
      </w:r>
    </w:p>
    <w:p w14:paraId="09C4573F">
      <w:pPr>
        <w:jc w:val="center"/>
        <w:rPr>
          <w:b/>
          <w:bCs/>
          <w:sz w:val="60"/>
          <w:szCs w:val="60"/>
        </w:rPr>
      </w:pPr>
      <w:r>
        <w:rPr>
          <w:b/>
          <w:bCs/>
          <w:sz w:val="60"/>
          <w:szCs w:val="60"/>
        </w:rPr>
        <w:t>（2026年版）</w:t>
      </w:r>
    </w:p>
    <w:p w14:paraId="540AE7E0">
      <w:pPr>
        <w:spacing w:line="360" w:lineRule="auto"/>
        <w:jc w:val="center"/>
        <w:rPr>
          <w:rFonts w:eastAsiaTheme="majorEastAsia"/>
          <w:b/>
          <w:bCs/>
          <w:sz w:val="60"/>
          <w:szCs w:val="60"/>
        </w:rPr>
      </w:pPr>
    </w:p>
    <w:p w14:paraId="51C5CE3D">
      <w:pPr>
        <w:spacing w:line="360" w:lineRule="auto"/>
        <w:jc w:val="center"/>
        <w:rPr>
          <w:rFonts w:eastAsiaTheme="majorEastAsia"/>
          <w:b/>
          <w:bCs/>
          <w:sz w:val="60"/>
          <w:szCs w:val="60"/>
        </w:rPr>
      </w:pPr>
    </w:p>
    <w:p w14:paraId="5CA907EE">
      <w:pPr>
        <w:spacing w:line="360" w:lineRule="auto"/>
        <w:jc w:val="center"/>
        <w:rPr>
          <w:rFonts w:eastAsiaTheme="majorEastAsia"/>
          <w:b/>
          <w:bCs/>
          <w:sz w:val="60"/>
          <w:szCs w:val="60"/>
        </w:rPr>
      </w:pPr>
    </w:p>
    <w:p w14:paraId="4D76C4DA">
      <w:pPr>
        <w:spacing w:line="360" w:lineRule="auto"/>
        <w:jc w:val="center"/>
        <w:rPr>
          <w:rFonts w:eastAsiaTheme="majorEastAsia"/>
          <w:b/>
          <w:bCs/>
          <w:sz w:val="60"/>
          <w:szCs w:val="60"/>
        </w:rPr>
      </w:pPr>
    </w:p>
    <w:p w14:paraId="06C90109">
      <w:pPr>
        <w:tabs>
          <w:tab w:val="left" w:pos="5609"/>
        </w:tabs>
        <w:spacing w:line="360" w:lineRule="auto"/>
        <w:ind w:left="2320" w:leftChars="200" w:hanging="1900" w:hangingChars="528"/>
        <w:jc w:val="left"/>
        <w:rPr>
          <w:rFonts w:eastAsiaTheme="minorEastAsia"/>
          <w:bCs/>
          <w:sz w:val="36"/>
          <w:szCs w:val="36"/>
        </w:rPr>
      </w:pPr>
      <w:r>
        <w:rPr>
          <w:rFonts w:eastAsiaTheme="minorEastAsia"/>
          <w:bCs/>
          <w:sz w:val="36"/>
          <w:szCs w:val="36"/>
        </w:rPr>
        <w:t>项目名称：</w:t>
      </w:r>
      <w:r>
        <w:rPr>
          <w:rFonts w:hint="eastAsia" w:eastAsiaTheme="minorEastAsia"/>
          <w:bCs/>
          <w:sz w:val="36"/>
          <w:szCs w:val="36"/>
        </w:rPr>
        <w:t>额度外—2026年丰台区职业教育中心学校芳群园校区四楼改造其他建筑工程采购项目</w:t>
      </w:r>
    </w:p>
    <w:p w14:paraId="4B0623BB">
      <w:pPr>
        <w:tabs>
          <w:tab w:val="left" w:pos="3240"/>
          <w:tab w:val="left" w:pos="3420"/>
        </w:tabs>
        <w:spacing w:line="360" w:lineRule="auto"/>
        <w:ind w:left="2320" w:leftChars="200" w:hanging="1900" w:hangingChars="528"/>
        <w:jc w:val="left"/>
        <w:rPr>
          <w:rFonts w:eastAsiaTheme="minorEastAsia"/>
          <w:bCs/>
          <w:sz w:val="36"/>
          <w:szCs w:val="36"/>
        </w:rPr>
      </w:pPr>
      <w:r>
        <w:rPr>
          <w:rFonts w:eastAsiaTheme="minorEastAsia"/>
          <w:bCs/>
          <w:sz w:val="36"/>
          <w:szCs w:val="36"/>
        </w:rPr>
        <w:t>项目编号/包号：</w:t>
      </w:r>
      <w:r>
        <w:rPr>
          <w:rFonts w:hint="eastAsia" w:eastAsiaTheme="minorEastAsia"/>
          <w:bCs/>
          <w:sz w:val="36"/>
          <w:szCs w:val="36"/>
        </w:rPr>
        <w:t>11010626210200029028-XM001</w:t>
      </w:r>
    </w:p>
    <w:p w14:paraId="317186DB">
      <w:pPr>
        <w:tabs>
          <w:tab w:val="left" w:pos="3240"/>
          <w:tab w:val="left" w:pos="3420"/>
        </w:tabs>
        <w:spacing w:line="360" w:lineRule="auto"/>
        <w:ind w:left="2320" w:leftChars="200" w:hanging="1900" w:hangingChars="528"/>
        <w:jc w:val="left"/>
        <w:rPr>
          <w:rFonts w:eastAsiaTheme="minorEastAsia"/>
          <w:bCs/>
          <w:sz w:val="36"/>
          <w:szCs w:val="36"/>
        </w:rPr>
      </w:pPr>
      <w:r>
        <w:rPr>
          <w:rFonts w:eastAsiaTheme="minorEastAsia"/>
          <w:bCs/>
          <w:sz w:val="36"/>
          <w:szCs w:val="36"/>
        </w:rPr>
        <w:t>采 购 人：</w:t>
      </w:r>
      <w:r>
        <w:rPr>
          <w:rFonts w:hint="eastAsia" w:eastAsiaTheme="minorEastAsia"/>
          <w:bCs/>
          <w:sz w:val="36"/>
          <w:szCs w:val="36"/>
        </w:rPr>
        <w:t>北京市丰台区职业教育中心学校</w:t>
      </w:r>
    </w:p>
    <w:p w14:paraId="02C990BE">
      <w:pPr>
        <w:tabs>
          <w:tab w:val="left" w:pos="3240"/>
          <w:tab w:val="left" w:pos="3420"/>
        </w:tabs>
        <w:spacing w:line="360" w:lineRule="auto"/>
        <w:ind w:left="2320" w:leftChars="200" w:hanging="1900" w:hangingChars="528"/>
        <w:jc w:val="left"/>
        <w:rPr>
          <w:rFonts w:eastAsiaTheme="minorEastAsia"/>
          <w:bCs/>
          <w:sz w:val="36"/>
          <w:szCs w:val="36"/>
        </w:rPr>
      </w:pPr>
      <w:r>
        <w:rPr>
          <w:rFonts w:eastAsiaTheme="minorEastAsia"/>
          <w:bCs/>
          <w:sz w:val="36"/>
          <w:szCs w:val="36"/>
        </w:rPr>
        <w:t>采购代理机构：</w:t>
      </w:r>
      <w:r>
        <w:rPr>
          <w:rFonts w:hint="eastAsia" w:eastAsiaTheme="minorEastAsia"/>
          <w:bCs/>
          <w:sz w:val="36"/>
          <w:szCs w:val="36"/>
        </w:rPr>
        <w:t>北京宝辰工程管理股份有限公司</w:t>
      </w:r>
    </w:p>
    <w:p w14:paraId="13AD4B9A">
      <w:pPr>
        <w:tabs>
          <w:tab w:val="left" w:pos="3240"/>
          <w:tab w:val="left" w:pos="3420"/>
        </w:tabs>
        <w:spacing w:line="360" w:lineRule="auto"/>
        <w:ind w:left="2832" w:leftChars="444" w:hanging="1900" w:hangingChars="528"/>
        <w:jc w:val="left"/>
        <w:rPr>
          <w:rFonts w:eastAsiaTheme="minorEastAsia"/>
          <w:bCs/>
          <w:sz w:val="36"/>
          <w:szCs w:val="36"/>
        </w:rPr>
      </w:pPr>
      <w:r>
        <w:rPr>
          <w:rFonts w:eastAsiaTheme="minorEastAsia"/>
          <w:bCs/>
          <w:sz w:val="36"/>
          <w:szCs w:val="36"/>
        </w:rPr>
        <w:t xml:space="preserve"> </w:t>
      </w:r>
    </w:p>
    <w:p w14:paraId="2218DC1B">
      <w:pPr>
        <w:widowControl/>
        <w:jc w:val="left"/>
        <w:rPr>
          <w:rFonts w:eastAsiaTheme="minorEastAsia"/>
        </w:rPr>
        <w:sectPr>
          <w:headerReference r:id="rId7" w:type="first"/>
          <w:footerReference r:id="rId10" w:type="first"/>
          <w:headerReference r:id="rId5" w:type="default"/>
          <w:footerReference r:id="rId8" w:type="default"/>
          <w:headerReference r:id="rId6" w:type="even"/>
          <w:footerReference r:id="rId9" w:type="even"/>
          <w:type w:val="nextColumn"/>
          <w:pgSz w:w="11906" w:h="16838"/>
          <w:pgMar w:top="1418" w:right="1134" w:bottom="1418" w:left="1701" w:header="851" w:footer="992" w:gutter="0"/>
          <w:cols w:space="425" w:num="1"/>
          <w:docGrid w:linePitch="312" w:charSpace="0"/>
        </w:sectPr>
      </w:pPr>
      <w:r>
        <w:rPr>
          <w:rFonts w:eastAsiaTheme="minorEastAsia"/>
          <w:b/>
          <w:bCs/>
          <w:sz w:val="44"/>
        </w:rPr>
        <w:br w:type="page"/>
      </w:r>
    </w:p>
    <w:p w14:paraId="351BAF13">
      <w:pPr>
        <w:pStyle w:val="159"/>
        <w:spacing w:line="360" w:lineRule="auto"/>
        <w:ind w:firstLine="723" w:firstLineChars="200"/>
        <w:rPr>
          <w:rFonts w:hint="eastAsia" w:eastAsiaTheme="minorEastAsia"/>
          <w:b/>
          <w:sz w:val="36"/>
          <w:szCs w:val="36"/>
        </w:rPr>
      </w:pPr>
      <w:bookmarkStart w:id="0" w:name="_Toc74227630"/>
    </w:p>
    <w:p w14:paraId="46C7DFD7">
      <w:pPr>
        <w:spacing w:line="360" w:lineRule="auto"/>
        <w:jc w:val="center"/>
        <w:outlineLvl w:val="0"/>
        <w:rPr>
          <w:rFonts w:eastAsiaTheme="minorEastAsia"/>
          <w:b/>
          <w:sz w:val="36"/>
          <w:szCs w:val="36"/>
        </w:rPr>
      </w:pPr>
      <w:bookmarkStart w:id="1" w:name="_Toc17213"/>
      <w:r>
        <w:rPr>
          <w:rFonts w:eastAsiaTheme="minorEastAsia"/>
          <w:b/>
          <w:sz w:val="36"/>
          <w:szCs w:val="36"/>
        </w:rPr>
        <w:t>使用说明</w:t>
      </w:r>
      <w:bookmarkEnd w:id="0"/>
      <w:bookmarkEnd w:id="1"/>
    </w:p>
    <w:p w14:paraId="52E3F7F6">
      <w:pPr>
        <w:pStyle w:val="159"/>
        <w:spacing w:line="360" w:lineRule="auto"/>
        <w:ind w:firstLine="640" w:firstLineChars="200"/>
        <w:rPr>
          <w:rFonts w:ascii="Times New Roman" w:hAnsi="Times New Roman" w:cs="Times New Roman"/>
          <w:color w:val="auto"/>
          <w:sz w:val="32"/>
          <w:szCs w:val="32"/>
        </w:rPr>
      </w:pPr>
    </w:p>
    <w:p w14:paraId="00D83850">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为促进政府采购活动的公开、公平和公正进行，进一步优化我市政府采购营商环境，提高竞争性磋商文件编制质量和采购工作效率，根据政府采购有关法律法规及政策要求，会同有关单位研究制定了《北京市政府采购项目竞争性磋商文件示范文本》（以下简称《示范文本》），并在我市政府采购项目中推广使用。</w:t>
      </w:r>
    </w:p>
    <w:p w14:paraId="1695D4F4">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现根据使用情况及政府采购有关新政策要求，就《示范文本》进行更新。</w:t>
      </w:r>
      <w:r>
        <w:rPr>
          <w:rFonts w:hint="eastAsia" w:ascii="宋体" w:hAnsi="宋体"/>
          <w:sz w:val="32"/>
          <w:szCs w:val="32"/>
        </w:rPr>
        <w:t>为提升政府采购透明度和效率，采用公开招标方式的项目应使用全流程电子化采购方式，采用其它方式的项目鼓励使用全流程电子化采购方式。</w:t>
      </w:r>
    </w:p>
    <w:p w14:paraId="0D466A25">
      <w:pPr>
        <w:pStyle w:val="159"/>
        <w:spacing w:line="360" w:lineRule="auto"/>
        <w:ind w:firstLine="643" w:firstLineChars="200"/>
        <w:rPr>
          <w:rFonts w:ascii="Times New Roman" w:hAnsi="Times New Roman" w:cs="Times New Roman"/>
          <w:b/>
          <w:color w:val="auto"/>
          <w:sz w:val="32"/>
          <w:szCs w:val="32"/>
        </w:rPr>
      </w:pPr>
      <w:r>
        <w:rPr>
          <w:rFonts w:ascii="Times New Roman" w:hAnsi="Times New Roman" w:cs="Times New Roman"/>
          <w:b/>
          <w:color w:val="auto"/>
          <w:sz w:val="32"/>
          <w:szCs w:val="32"/>
        </w:rPr>
        <w:t>一、适用范围</w:t>
      </w:r>
    </w:p>
    <w:p w14:paraId="43CBF618">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《示范文本》适用于我市采用竞争性磋商方式采购的政府采购项目。</w:t>
      </w:r>
    </w:p>
    <w:p w14:paraId="049F67BA">
      <w:pPr>
        <w:pStyle w:val="159"/>
        <w:spacing w:line="360" w:lineRule="auto"/>
        <w:ind w:firstLine="643" w:firstLineChars="200"/>
        <w:rPr>
          <w:rFonts w:ascii="Times New Roman" w:hAnsi="Times New Roman" w:cs="Times New Roman"/>
          <w:b/>
          <w:color w:val="auto"/>
          <w:sz w:val="32"/>
          <w:szCs w:val="32"/>
        </w:rPr>
      </w:pPr>
      <w:r>
        <w:rPr>
          <w:rFonts w:ascii="Times New Roman" w:hAnsi="Times New Roman" w:cs="Times New Roman"/>
          <w:b/>
          <w:color w:val="auto"/>
          <w:sz w:val="32"/>
          <w:szCs w:val="32"/>
        </w:rPr>
        <w:t>二、填写规则</w:t>
      </w:r>
    </w:p>
    <w:p w14:paraId="0106A300">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条款中以空格和下划横线“</w:t>
      </w:r>
      <w:r>
        <w:rPr>
          <w:rFonts w:ascii="Times New Roman" w:hAnsi="Times New Roman" w:cs="Times New Roman"/>
          <w:bCs/>
          <w:sz w:val="32"/>
          <w:szCs w:val="32"/>
        </w:rPr>
        <w:t>___</w:t>
      </w:r>
      <w:r>
        <w:rPr>
          <w:rFonts w:ascii="Times New Roman" w:hAnsi="Times New Roman" w:cs="Times New Roman"/>
          <w:color w:val="auto"/>
          <w:sz w:val="32"/>
          <w:szCs w:val="32"/>
        </w:rPr>
        <w:t>”形式标记的部分，为采购人或采购代理机构需要填写的内容。采购人或采购代理机构应根据采购项目具体特点和实际需要进行具体化填写，确实没有需要填写的，在空格或下划横线“</w:t>
      </w:r>
      <w:r>
        <w:rPr>
          <w:rFonts w:ascii="Times New Roman" w:hAnsi="Times New Roman" w:cs="Times New Roman"/>
          <w:bCs/>
          <w:sz w:val="32"/>
          <w:szCs w:val="32"/>
        </w:rPr>
        <w:t>___</w:t>
      </w:r>
      <w:r>
        <w:rPr>
          <w:rFonts w:ascii="Times New Roman" w:hAnsi="Times New Roman" w:cs="Times New Roman"/>
          <w:color w:val="auto"/>
          <w:sz w:val="32"/>
          <w:szCs w:val="32"/>
        </w:rPr>
        <w:t>”中用“ / ”标记。</w:t>
      </w:r>
    </w:p>
    <w:p w14:paraId="7990809B">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条款中以“□”形式标记的内容，为采购人或采购代理机构需要确定的选项。编制竞争性磋商文件时，适用于本项目的选项标记为“■”，不适用于本项目的选项标记为“□”。</w:t>
      </w:r>
    </w:p>
    <w:p w14:paraId="3A7C404F">
      <w:pPr>
        <w:pStyle w:val="159"/>
        <w:spacing w:line="360" w:lineRule="auto"/>
        <w:ind w:firstLine="643" w:firstLineChars="200"/>
        <w:rPr>
          <w:rFonts w:ascii="Times New Roman" w:hAnsi="Times New Roman" w:cs="Times New Roman"/>
          <w:b/>
          <w:color w:val="auto"/>
          <w:sz w:val="32"/>
          <w:szCs w:val="32"/>
        </w:rPr>
      </w:pPr>
      <w:r>
        <w:rPr>
          <w:rFonts w:ascii="Times New Roman" w:hAnsi="Times New Roman" w:cs="Times New Roman"/>
          <w:b/>
          <w:color w:val="auto"/>
          <w:sz w:val="32"/>
          <w:szCs w:val="32"/>
        </w:rPr>
        <w:t>三、提示条款</w:t>
      </w:r>
    </w:p>
    <w:p w14:paraId="3D5E17EE">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《示范文本》中 “</w:t>
      </w:r>
      <w:r>
        <w:rPr>
          <w:rFonts w:ascii="Times New Roman" w:hAnsi="Times New Roman" w:cs="Times New Roman"/>
          <w:i/>
          <w:color w:val="auto"/>
          <w:sz w:val="32"/>
          <w:szCs w:val="32"/>
        </w:rPr>
        <w:t>（）</w:t>
      </w:r>
      <w:r>
        <w:rPr>
          <w:rFonts w:ascii="Times New Roman" w:hAnsi="Times New Roman" w:cs="Times New Roman"/>
          <w:color w:val="auto"/>
          <w:sz w:val="32"/>
          <w:szCs w:val="32"/>
        </w:rPr>
        <w:t>”形式标记的红色斜体内容，属于提示编制竞争性磋商文件的注意事项，竞争性磋商文件发出前，有关提示内容应予以删除。</w:t>
      </w:r>
    </w:p>
    <w:p w14:paraId="2194C168">
      <w:pPr>
        <w:pStyle w:val="159"/>
        <w:spacing w:line="360" w:lineRule="auto"/>
        <w:ind w:firstLine="643" w:firstLineChars="200"/>
        <w:rPr>
          <w:rFonts w:ascii="Times New Roman" w:hAnsi="Times New Roman" w:cs="Times New Roman"/>
          <w:b/>
          <w:color w:val="auto"/>
          <w:sz w:val="32"/>
          <w:szCs w:val="32"/>
        </w:rPr>
      </w:pPr>
      <w:r>
        <w:rPr>
          <w:rFonts w:ascii="Times New Roman" w:hAnsi="Times New Roman" w:cs="Times New Roman"/>
          <w:b/>
          <w:color w:val="auto"/>
          <w:sz w:val="32"/>
          <w:szCs w:val="32"/>
        </w:rPr>
        <w:t>四、资料表的运用</w:t>
      </w:r>
    </w:p>
    <w:p w14:paraId="350726A1">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为了便于供应商高效阅览、避免遗漏重点内容，《示范文本》对第二章“供应商须知”设置了资料表形式。“供应商须知资料表”用于进一步明确“供应商须知”正文中的未尽事宜，采购人或采购代理机构在编制竞争性磋商文件时，应根据采购项目实际需要，对于需要修改和补充的内容在资料表中选择和补充列明。“供应商须知资料表”与“供应商须知”正文内容不一致的，以“供应商须知资料表”为准。</w:t>
      </w:r>
    </w:p>
    <w:p w14:paraId="5924698A">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为避免竞争性磋商文件编制过程中出现的相同内容在文件中前后不一致等错误，竞争性磋商文件尽量做到相同内容只出现一次，其他章节涉及有关内容的，以标明条款号引用的方式体现。</w:t>
      </w:r>
    </w:p>
    <w:p w14:paraId="054EA2A8">
      <w:pPr>
        <w:pStyle w:val="159"/>
        <w:spacing w:line="360" w:lineRule="auto"/>
        <w:ind w:firstLine="643" w:firstLineChars="200"/>
        <w:rPr>
          <w:rFonts w:ascii="Times New Roman" w:hAnsi="Times New Roman" w:cs="Times New Roman"/>
          <w:b/>
          <w:color w:val="auto"/>
          <w:sz w:val="32"/>
          <w:szCs w:val="32"/>
        </w:rPr>
      </w:pPr>
      <w:r>
        <w:rPr>
          <w:rFonts w:ascii="Times New Roman" w:hAnsi="Times New Roman" w:cs="Times New Roman"/>
          <w:b/>
          <w:color w:val="auto"/>
          <w:sz w:val="32"/>
          <w:szCs w:val="32"/>
        </w:rPr>
        <w:t>五、采购需求与合同草案条款</w:t>
      </w:r>
    </w:p>
    <w:p w14:paraId="005B0066">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《示范文本》在第四章“采购需求”部分列出了需求大纲供采购人或采购代理机构参考。</w:t>
      </w:r>
    </w:p>
    <w:p w14:paraId="25E9AA77">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采购人或采购代理机构应当依据《中华人民共和国民法典》等有关法律法规和政策要求，结合采购项目合同类型和特点，规范拟定和签署项目采购合同。在拟定合同草案条款时，应优先选择国家或行业制定推荐的有关标准或示范合同文本。</w:t>
      </w:r>
    </w:p>
    <w:p w14:paraId="1782B518">
      <w:pPr>
        <w:pStyle w:val="159"/>
        <w:spacing w:line="360" w:lineRule="auto"/>
        <w:ind w:firstLine="643" w:firstLineChars="200"/>
        <w:rPr>
          <w:rFonts w:ascii="Times New Roman" w:hAnsi="Times New Roman" w:cs="Times New Roman"/>
          <w:b/>
          <w:color w:val="auto"/>
          <w:sz w:val="32"/>
          <w:szCs w:val="32"/>
        </w:rPr>
      </w:pPr>
      <w:r>
        <w:rPr>
          <w:rFonts w:ascii="Times New Roman" w:hAnsi="Times New Roman" w:cs="Times New Roman"/>
          <w:b/>
          <w:color w:val="auto"/>
          <w:sz w:val="32"/>
          <w:szCs w:val="32"/>
        </w:rPr>
        <w:t>六、响应文件格式的统一与简化</w:t>
      </w:r>
    </w:p>
    <w:p w14:paraId="7F838A36">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为便于供应商制作响应文件，便于磋商小组评审时统一标准，《示范文本》对适宜的内容提供了统一的响应文件参考格式，尽可能对格式中需要填列的内容进行了简化，尽可能减少了格式中需要签字、盖章的要求。</w:t>
      </w:r>
    </w:p>
    <w:p w14:paraId="686B1BB0">
      <w:pPr>
        <w:pStyle w:val="159"/>
        <w:spacing w:line="360" w:lineRule="auto"/>
        <w:ind w:firstLine="643" w:firstLineChars="200"/>
        <w:rPr>
          <w:rFonts w:ascii="Times New Roman" w:hAnsi="Times New Roman" w:cs="Times New Roman"/>
          <w:b/>
          <w:color w:val="auto"/>
          <w:sz w:val="32"/>
          <w:szCs w:val="32"/>
        </w:rPr>
      </w:pPr>
      <w:r>
        <w:rPr>
          <w:rFonts w:ascii="Times New Roman" w:hAnsi="Times New Roman" w:cs="Times New Roman"/>
          <w:b/>
          <w:color w:val="auto"/>
          <w:sz w:val="32"/>
          <w:szCs w:val="32"/>
        </w:rPr>
        <w:t>七、实施及修改</w:t>
      </w:r>
    </w:p>
    <w:p w14:paraId="096DE89C">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color w:val="auto"/>
          <w:sz w:val="32"/>
          <w:szCs w:val="32"/>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14:paraId="732A8D00">
      <w:pPr>
        <w:pStyle w:val="159"/>
        <w:spacing w:line="360" w:lineRule="auto"/>
        <w:ind w:firstLine="640" w:firstLineChars="200"/>
        <w:rPr>
          <w:rFonts w:ascii="Times New Roman" w:hAnsi="Times New Roman" w:cs="Times New Roman"/>
          <w:color w:val="auto"/>
          <w:sz w:val="32"/>
          <w:szCs w:val="32"/>
        </w:rPr>
      </w:pPr>
      <w:r>
        <w:rPr>
          <w:rFonts w:ascii="Times New Roman" w:hAnsi="Times New Roman" w:cs="Times New Roman"/>
          <w:sz w:val="32"/>
          <w:szCs w:val="32"/>
        </w:rPr>
        <w:t>采购人或采购代理机构可根据法律法规、政府采购政策文件等更新情况或项目具体特点，对示范文本适当进行更新或调整。</w:t>
      </w:r>
    </w:p>
    <w:p w14:paraId="1F8B2F1C">
      <w:pPr>
        <w:widowControl/>
        <w:jc w:val="left"/>
        <w:rPr>
          <w:rFonts w:eastAsiaTheme="minorEastAsia"/>
          <w:color w:val="000000"/>
          <w:kern w:val="0"/>
          <w:sz w:val="24"/>
        </w:rPr>
      </w:pPr>
      <w:r>
        <w:rPr>
          <w:rFonts w:eastAsiaTheme="minorEastAsia"/>
        </w:rPr>
        <w:br w:type="page"/>
      </w:r>
    </w:p>
    <w:p w14:paraId="0F77AD10">
      <w:pPr>
        <w:pStyle w:val="159"/>
        <w:spacing w:line="360" w:lineRule="auto"/>
        <w:rPr>
          <w:rFonts w:ascii="Times New Roman" w:hAnsi="Times New Roman" w:cs="Times New Roman" w:eastAsiaTheme="minorEastAsia"/>
        </w:rPr>
      </w:pPr>
    </w:p>
    <w:p w14:paraId="11B43D9C">
      <w:pPr>
        <w:spacing w:line="360" w:lineRule="auto"/>
        <w:jc w:val="center"/>
        <w:outlineLvl w:val="0"/>
        <w:rPr>
          <w:rFonts w:eastAsiaTheme="minorEastAsia"/>
          <w:b/>
          <w:sz w:val="36"/>
          <w:szCs w:val="36"/>
        </w:rPr>
      </w:pPr>
      <w:bookmarkStart w:id="2" w:name="_Toc1949"/>
      <w:r>
        <w:rPr>
          <w:rFonts w:eastAsiaTheme="minorEastAsia"/>
          <w:b/>
          <w:sz w:val="36"/>
          <w:szCs w:val="36"/>
        </w:rPr>
        <w:t>目      录</w:t>
      </w:r>
      <w:bookmarkEnd w:id="2"/>
    </w:p>
    <w:p w14:paraId="344AEF66">
      <w:pPr>
        <w:rPr>
          <w:rFonts w:eastAsiaTheme="minorEastAsia"/>
        </w:rPr>
      </w:pPr>
    </w:p>
    <w:p w14:paraId="4FE513A2">
      <w:pPr>
        <w:rPr>
          <w:rFonts w:eastAsiaTheme="minorEastAsia"/>
        </w:rPr>
      </w:pPr>
    </w:p>
    <w:p w14:paraId="2434D599">
      <w:pPr>
        <w:pStyle w:val="30"/>
        <w:tabs>
          <w:tab w:val="right" w:leader="dot" w:pos="9072"/>
          <w:tab w:val="clear" w:pos="1050"/>
          <w:tab w:val="clear" w:pos="8937"/>
        </w:tabs>
        <w:rPr>
          <w:rFonts w:hint="eastAsia"/>
        </w:rPr>
      </w:pPr>
      <w:r>
        <w:rPr>
          <w:rFonts w:ascii="Times New Roman" w:hAnsi="Times New Roman" w:eastAsiaTheme="minorEastAsia"/>
          <w:b w:val="0"/>
        </w:rPr>
        <w:fldChar w:fldCharType="begin"/>
      </w:r>
      <w:r>
        <w:rPr>
          <w:rFonts w:ascii="Times New Roman" w:hAnsi="Times New Roman" w:eastAsiaTheme="minorEastAsia"/>
          <w:b w:val="0"/>
        </w:rPr>
        <w:instrText xml:space="preserve"> TOC \o "1-1" \h \z \u </w:instrText>
      </w:r>
      <w:r>
        <w:rPr>
          <w:rFonts w:ascii="Times New Roman" w:hAnsi="Times New Roman" w:eastAsiaTheme="minorEastAsia"/>
          <w:b w:val="0"/>
        </w:rPr>
        <w:fldChar w:fldCharType="separate"/>
      </w:r>
    </w:p>
    <w:p w14:paraId="40AC2649">
      <w:pPr>
        <w:pStyle w:val="30"/>
        <w:tabs>
          <w:tab w:val="right" w:leader="dot" w:pos="9072"/>
          <w:tab w:val="clear" w:pos="1050"/>
          <w:tab w:val="clear" w:pos="8937"/>
        </w:tabs>
        <w:rPr>
          <w:rFonts w:hint="eastAsia"/>
        </w:rPr>
      </w:pPr>
      <w:r>
        <w:fldChar w:fldCharType="begin"/>
      </w:r>
      <w:r>
        <w:instrText xml:space="preserve"> HYPERLINK \l "_Toc18881" </w:instrText>
      </w:r>
      <w:r>
        <w:fldChar w:fldCharType="separate"/>
      </w:r>
      <w:r>
        <w:t>第一章   采购邀请</w:t>
      </w:r>
      <w:r>
        <w:tab/>
      </w:r>
      <w:r>
        <w:fldChar w:fldCharType="begin"/>
      </w:r>
      <w:r>
        <w:instrText xml:space="preserve"> PAGEREF _Toc18881 \h </w:instrText>
      </w:r>
      <w:r>
        <w:fldChar w:fldCharType="separate"/>
      </w:r>
      <w:r>
        <w:t>1</w:t>
      </w:r>
      <w:r>
        <w:fldChar w:fldCharType="end"/>
      </w:r>
      <w:r>
        <w:fldChar w:fldCharType="end"/>
      </w:r>
    </w:p>
    <w:p w14:paraId="17E54835">
      <w:pPr>
        <w:pStyle w:val="30"/>
        <w:tabs>
          <w:tab w:val="right" w:leader="dot" w:pos="9072"/>
          <w:tab w:val="clear" w:pos="1050"/>
          <w:tab w:val="clear" w:pos="8937"/>
        </w:tabs>
        <w:rPr>
          <w:rFonts w:hint="eastAsia"/>
        </w:rPr>
      </w:pPr>
      <w:r>
        <w:fldChar w:fldCharType="begin"/>
      </w:r>
      <w:r>
        <w:instrText xml:space="preserve"> HYPERLINK \l "_Toc10617" </w:instrText>
      </w:r>
      <w:r>
        <w:fldChar w:fldCharType="separate"/>
      </w:r>
      <w:r>
        <w:t>第二章   供应商须知</w:t>
      </w:r>
      <w:r>
        <w:tab/>
      </w:r>
      <w:r>
        <w:fldChar w:fldCharType="begin"/>
      </w:r>
      <w:r>
        <w:instrText xml:space="preserve"> PAGEREF _Toc10617 \h </w:instrText>
      </w:r>
      <w:r>
        <w:fldChar w:fldCharType="separate"/>
      </w:r>
      <w:r>
        <w:t>5</w:t>
      </w:r>
      <w:r>
        <w:fldChar w:fldCharType="end"/>
      </w:r>
      <w:r>
        <w:fldChar w:fldCharType="end"/>
      </w:r>
    </w:p>
    <w:p w14:paraId="63043705">
      <w:pPr>
        <w:pStyle w:val="30"/>
        <w:tabs>
          <w:tab w:val="right" w:leader="dot" w:pos="9072"/>
          <w:tab w:val="clear" w:pos="1050"/>
          <w:tab w:val="clear" w:pos="8937"/>
        </w:tabs>
        <w:rPr>
          <w:rFonts w:hint="eastAsia"/>
        </w:rPr>
      </w:pPr>
      <w:r>
        <w:fldChar w:fldCharType="begin"/>
      </w:r>
      <w:r>
        <w:instrText xml:space="preserve"> HYPERLINK \l "_Toc23575" </w:instrText>
      </w:r>
      <w:r>
        <w:fldChar w:fldCharType="separate"/>
      </w:r>
      <w:r>
        <w:t>第三章   评审方法和评审标准</w:t>
      </w:r>
      <w:r>
        <w:tab/>
      </w:r>
      <w:r>
        <w:fldChar w:fldCharType="begin"/>
      </w:r>
      <w:r>
        <w:instrText xml:space="preserve"> PAGEREF _Toc23575 \h </w:instrText>
      </w:r>
      <w:r>
        <w:fldChar w:fldCharType="separate"/>
      </w:r>
      <w:r>
        <w:t>15</w:t>
      </w:r>
      <w:r>
        <w:fldChar w:fldCharType="end"/>
      </w:r>
      <w:r>
        <w:fldChar w:fldCharType="end"/>
      </w:r>
    </w:p>
    <w:p w14:paraId="5FCF8533">
      <w:pPr>
        <w:pStyle w:val="30"/>
        <w:tabs>
          <w:tab w:val="right" w:leader="dot" w:pos="9072"/>
          <w:tab w:val="clear" w:pos="1050"/>
          <w:tab w:val="clear" w:pos="8937"/>
        </w:tabs>
        <w:rPr>
          <w:rFonts w:hint="eastAsia"/>
        </w:rPr>
      </w:pPr>
      <w:r>
        <w:fldChar w:fldCharType="begin"/>
      </w:r>
      <w:r>
        <w:instrText xml:space="preserve"> HYPERLINK \l "_Toc16987" </w:instrText>
      </w:r>
      <w:r>
        <w:fldChar w:fldCharType="separate"/>
      </w:r>
      <w:r>
        <w:t>第四章   采购需求</w:t>
      </w:r>
      <w:r>
        <w:tab/>
      </w:r>
      <w:r>
        <w:fldChar w:fldCharType="begin"/>
      </w:r>
      <w:r>
        <w:instrText xml:space="preserve"> PAGEREF _Toc16987 \h </w:instrText>
      </w:r>
      <w:r>
        <w:fldChar w:fldCharType="separate"/>
      </w:r>
      <w:r>
        <w:t>29</w:t>
      </w:r>
      <w:r>
        <w:fldChar w:fldCharType="end"/>
      </w:r>
      <w:r>
        <w:fldChar w:fldCharType="end"/>
      </w:r>
    </w:p>
    <w:p w14:paraId="68500ACA">
      <w:pPr>
        <w:pStyle w:val="30"/>
        <w:tabs>
          <w:tab w:val="right" w:leader="dot" w:pos="9072"/>
          <w:tab w:val="clear" w:pos="1050"/>
          <w:tab w:val="clear" w:pos="8937"/>
        </w:tabs>
        <w:rPr>
          <w:rFonts w:hint="eastAsia"/>
        </w:rPr>
      </w:pPr>
      <w:r>
        <w:fldChar w:fldCharType="begin"/>
      </w:r>
      <w:r>
        <w:instrText xml:space="preserve"> HYPERLINK \l "_Toc31461" </w:instrText>
      </w:r>
      <w:r>
        <w:fldChar w:fldCharType="separate"/>
      </w:r>
      <w:r>
        <w:t>第五章   合同草案条款</w:t>
      </w:r>
      <w:r>
        <w:tab/>
      </w:r>
      <w:r>
        <w:fldChar w:fldCharType="begin"/>
      </w:r>
      <w:r>
        <w:instrText xml:space="preserve"> PAGEREF _Toc31461 \h </w:instrText>
      </w:r>
      <w:r>
        <w:fldChar w:fldCharType="separate"/>
      </w:r>
      <w:r>
        <w:t>31</w:t>
      </w:r>
      <w:r>
        <w:fldChar w:fldCharType="end"/>
      </w:r>
      <w:r>
        <w:fldChar w:fldCharType="end"/>
      </w:r>
    </w:p>
    <w:p w14:paraId="4194C235">
      <w:pPr>
        <w:pStyle w:val="30"/>
        <w:tabs>
          <w:tab w:val="right" w:leader="dot" w:pos="9072"/>
          <w:tab w:val="clear" w:pos="1050"/>
          <w:tab w:val="clear" w:pos="8937"/>
        </w:tabs>
        <w:rPr>
          <w:rFonts w:hint="eastAsia"/>
        </w:rPr>
      </w:pPr>
      <w:r>
        <w:fldChar w:fldCharType="begin"/>
      </w:r>
      <w:r>
        <w:instrText xml:space="preserve"> HYPERLINK \l "_Toc23736" </w:instrText>
      </w:r>
      <w:r>
        <w:fldChar w:fldCharType="separate"/>
      </w:r>
      <w:r>
        <w:t>第六章   响应文件格式</w:t>
      </w:r>
      <w:r>
        <w:tab/>
      </w:r>
      <w:r>
        <w:fldChar w:fldCharType="begin"/>
      </w:r>
      <w:r>
        <w:instrText xml:space="preserve"> PAGEREF _Toc23736 \h </w:instrText>
      </w:r>
      <w:r>
        <w:fldChar w:fldCharType="separate"/>
      </w:r>
      <w:r>
        <w:t>137</w:t>
      </w:r>
      <w:r>
        <w:fldChar w:fldCharType="end"/>
      </w:r>
      <w:r>
        <w:fldChar w:fldCharType="end"/>
      </w:r>
    </w:p>
    <w:p w14:paraId="34A0CE39">
      <w:pPr>
        <w:pStyle w:val="30"/>
        <w:spacing w:line="480" w:lineRule="auto"/>
        <w:rPr>
          <w:rFonts w:ascii="Times New Roman" w:hAnsi="Times New Roman" w:eastAsiaTheme="minorEastAsia"/>
          <w:b w:val="0"/>
        </w:rPr>
      </w:pPr>
      <w:r>
        <w:rPr>
          <w:rFonts w:ascii="Times New Roman" w:hAnsi="Times New Roman" w:eastAsiaTheme="minorEastAsia"/>
        </w:rPr>
        <w:fldChar w:fldCharType="end"/>
      </w:r>
    </w:p>
    <w:p w14:paraId="70AED4CE"/>
    <w:p w14:paraId="38235DE3">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02FA8E12">
      <w:pPr>
        <w:pStyle w:val="30"/>
        <w:spacing w:line="360" w:lineRule="auto"/>
        <w:rPr>
          <w:rFonts w:ascii="Times New Roman" w:hAnsi="Times New Roman" w:eastAsiaTheme="minorEastAsia"/>
          <w:b w:val="0"/>
        </w:rPr>
      </w:pPr>
    </w:p>
    <w:p w14:paraId="266819EF">
      <w:pPr>
        <w:pStyle w:val="30"/>
        <w:spacing w:line="360" w:lineRule="auto"/>
        <w:rPr>
          <w:rFonts w:ascii="Times New Roman" w:hAnsi="Times New Roman" w:eastAsiaTheme="minorEastAsia"/>
          <w:b w:val="0"/>
          <w:sz w:val="36"/>
          <w:szCs w:val="36"/>
        </w:rPr>
      </w:pPr>
    </w:p>
    <w:p w14:paraId="7F47823D">
      <w:pPr>
        <w:spacing w:line="360" w:lineRule="auto"/>
        <w:jc w:val="center"/>
        <w:outlineLvl w:val="0"/>
        <w:rPr>
          <w:rFonts w:eastAsiaTheme="minorEastAsia"/>
          <w:b/>
          <w:sz w:val="36"/>
          <w:szCs w:val="36"/>
        </w:rPr>
        <w:sectPr>
          <w:headerReference r:id="rId12" w:type="first"/>
          <w:footerReference r:id="rId15" w:type="first"/>
          <w:headerReference r:id="rId11" w:type="default"/>
          <w:footerReference r:id="rId13" w:type="default"/>
          <w:footerReference r:id="rId14" w:type="even"/>
          <w:type w:val="nextColumn"/>
          <w:pgSz w:w="11907" w:h="16840"/>
          <w:pgMar w:top="1418" w:right="1134" w:bottom="1418" w:left="1701" w:header="851" w:footer="851" w:gutter="0"/>
          <w:pgNumType w:start="1"/>
          <w:cols w:space="720" w:num="1"/>
          <w:titlePg/>
          <w:docGrid w:linePitch="462" w:charSpace="0"/>
        </w:sectPr>
      </w:pPr>
    </w:p>
    <w:p w14:paraId="6892018A">
      <w:pPr>
        <w:pStyle w:val="2"/>
        <w:rPr>
          <w:rFonts w:hint="eastAsia"/>
        </w:rPr>
      </w:pPr>
      <w:bookmarkStart w:id="3" w:name="_Toc18881"/>
      <w:r>
        <w:t>第一章   采购邀请</w:t>
      </w:r>
      <w:bookmarkEnd w:id="3"/>
      <w:bookmarkStart w:id="4" w:name="_Toc28359002"/>
      <w:bookmarkStart w:id="5" w:name="_Toc35393621"/>
      <w:bookmarkStart w:id="6" w:name="_Toc28359079"/>
      <w:bookmarkStart w:id="7" w:name="_Toc35393790"/>
      <w:bookmarkStart w:id="8" w:name="_Hlk24379207"/>
    </w:p>
    <w:p w14:paraId="6B6A0769">
      <w:pPr>
        <w:spacing w:line="360" w:lineRule="auto"/>
        <w:ind w:firstLine="480" w:firstLineChars="200"/>
        <w:rPr>
          <w:rFonts w:eastAsiaTheme="minorEastAsia"/>
          <w:sz w:val="24"/>
        </w:rPr>
      </w:pPr>
    </w:p>
    <w:p w14:paraId="09595CB2">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4"/>
      <w:bookmarkEnd w:id="5"/>
      <w:bookmarkEnd w:id="6"/>
      <w:bookmarkEnd w:id="7"/>
    </w:p>
    <w:p w14:paraId="6AF42660">
      <w:pPr>
        <w:spacing w:line="360" w:lineRule="auto"/>
        <w:ind w:firstLine="480" w:firstLineChars="200"/>
        <w:rPr>
          <w:rFonts w:eastAsiaTheme="minorEastAsia"/>
          <w:sz w:val="24"/>
        </w:rPr>
      </w:pPr>
      <w:r>
        <w:rPr>
          <w:rFonts w:eastAsiaTheme="minorEastAsia"/>
          <w:sz w:val="24"/>
        </w:rPr>
        <w:t>1.项目编号：</w:t>
      </w:r>
      <w:r>
        <w:rPr>
          <w:rFonts w:hint="eastAsia" w:eastAsiaTheme="minorEastAsia"/>
          <w:sz w:val="24"/>
          <w:u w:val="single"/>
        </w:rPr>
        <w:t>11010626210200029028-XM001</w:t>
      </w:r>
    </w:p>
    <w:p w14:paraId="1D157A90">
      <w:pPr>
        <w:spacing w:line="360" w:lineRule="auto"/>
        <w:ind w:firstLine="480" w:firstLineChars="200"/>
        <w:rPr>
          <w:rFonts w:eastAsiaTheme="minorEastAsia"/>
          <w:sz w:val="24"/>
        </w:rPr>
      </w:pPr>
      <w:r>
        <w:rPr>
          <w:rFonts w:eastAsiaTheme="minorEastAsia"/>
          <w:sz w:val="24"/>
        </w:rPr>
        <w:t>2.项目名称：_</w:t>
      </w:r>
      <w:r>
        <w:rPr>
          <w:rFonts w:hint="eastAsia" w:eastAsiaTheme="minorEastAsia"/>
          <w:sz w:val="24"/>
          <w:u w:val="single"/>
        </w:rPr>
        <w:t>额度外—2026年丰台区职业教育中心学校芳群园校区四楼改造其他建筑工程采购项目</w:t>
      </w:r>
      <w:r>
        <w:rPr>
          <w:rFonts w:eastAsiaTheme="minorEastAsia"/>
          <w:sz w:val="24"/>
        </w:rPr>
        <w:t>_</w:t>
      </w:r>
    </w:p>
    <w:p w14:paraId="5682E554">
      <w:pPr>
        <w:spacing w:line="360" w:lineRule="auto"/>
        <w:ind w:firstLine="480" w:firstLineChars="200"/>
        <w:rPr>
          <w:rFonts w:eastAsiaTheme="minorEastAsia"/>
          <w:sz w:val="24"/>
        </w:rPr>
      </w:pPr>
      <w:r>
        <w:rPr>
          <w:rFonts w:eastAsiaTheme="minorEastAsia"/>
          <w:sz w:val="24"/>
        </w:rPr>
        <w:t>3.采购方式：竞争性磋商</w:t>
      </w:r>
    </w:p>
    <w:bookmarkEnd w:id="8"/>
    <w:p w14:paraId="4F0BD152">
      <w:pPr>
        <w:spacing w:line="360" w:lineRule="auto"/>
        <w:ind w:firstLine="480" w:firstLineChars="200"/>
        <w:rPr>
          <w:rFonts w:eastAsiaTheme="minorEastAsia"/>
          <w:sz w:val="24"/>
        </w:rPr>
      </w:pPr>
      <w:r>
        <w:rPr>
          <w:rFonts w:eastAsiaTheme="minorEastAsia"/>
          <w:sz w:val="24"/>
        </w:rPr>
        <w:t>4.项目预算金额：</w:t>
      </w:r>
      <w:r>
        <w:rPr>
          <w:rFonts w:hint="eastAsia" w:eastAsiaTheme="minorEastAsia"/>
          <w:b/>
          <w:bCs/>
          <w:sz w:val="24"/>
          <w:u w:val="single"/>
        </w:rPr>
        <w:t>107.066711</w:t>
      </w:r>
      <w:r>
        <w:rPr>
          <w:rFonts w:eastAsiaTheme="minorEastAsia"/>
          <w:sz w:val="24"/>
        </w:rPr>
        <w:t>万元、项目最高限价（如有）：</w:t>
      </w:r>
      <w:r>
        <w:rPr>
          <w:rFonts w:hint="eastAsia" w:eastAsiaTheme="minorEastAsia"/>
          <w:b/>
          <w:bCs/>
          <w:sz w:val="24"/>
          <w:u w:val="single"/>
        </w:rPr>
        <w:t>107.066711</w:t>
      </w:r>
      <w:r>
        <w:rPr>
          <w:rFonts w:eastAsiaTheme="minorEastAsia"/>
          <w:sz w:val="24"/>
        </w:rPr>
        <w:t>万元</w:t>
      </w:r>
    </w:p>
    <w:p w14:paraId="7495C36E">
      <w:pPr>
        <w:spacing w:line="360" w:lineRule="auto"/>
        <w:ind w:firstLine="480" w:firstLineChars="200"/>
        <w:rPr>
          <w:rFonts w:eastAsiaTheme="minorEastAsia"/>
          <w:sz w:val="24"/>
        </w:rPr>
      </w:pPr>
      <w:r>
        <w:rPr>
          <w:rFonts w:eastAsiaTheme="minorEastAsia"/>
          <w:sz w:val="24"/>
        </w:rPr>
        <w:t>5.采购需求：</w:t>
      </w:r>
    </w:p>
    <w:tbl>
      <w:tblPr>
        <w:tblStyle w:val="4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998"/>
        <w:gridCol w:w="1525"/>
        <w:gridCol w:w="961"/>
        <w:gridCol w:w="4052"/>
      </w:tblGrid>
      <w:tr w14:paraId="172F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0E0373F6">
            <w:pPr>
              <w:jc w:val="center"/>
              <w:rPr>
                <w:rFonts w:eastAsiaTheme="minorEastAsia"/>
                <w:bCs/>
                <w:szCs w:val="21"/>
              </w:rPr>
            </w:pPr>
            <w:r>
              <w:rPr>
                <w:rFonts w:eastAsiaTheme="minorEastAsia"/>
                <w:bCs/>
                <w:szCs w:val="21"/>
              </w:rPr>
              <w:t>包号</w:t>
            </w:r>
          </w:p>
        </w:tc>
        <w:tc>
          <w:tcPr>
            <w:tcW w:w="1081" w:type="pct"/>
            <w:vAlign w:val="center"/>
          </w:tcPr>
          <w:p w14:paraId="4434F973">
            <w:pPr>
              <w:jc w:val="center"/>
              <w:rPr>
                <w:rFonts w:eastAsiaTheme="minorEastAsia"/>
                <w:bCs/>
                <w:szCs w:val="21"/>
              </w:rPr>
            </w:pPr>
            <w:r>
              <w:rPr>
                <w:rFonts w:eastAsiaTheme="minorEastAsia"/>
                <w:bCs/>
                <w:szCs w:val="21"/>
              </w:rPr>
              <w:t>标的名称</w:t>
            </w:r>
          </w:p>
        </w:tc>
        <w:tc>
          <w:tcPr>
            <w:tcW w:w="825" w:type="pct"/>
            <w:vAlign w:val="center"/>
          </w:tcPr>
          <w:p w14:paraId="1C031C7D">
            <w:pPr>
              <w:jc w:val="center"/>
              <w:rPr>
                <w:rFonts w:eastAsiaTheme="minorEastAsia"/>
                <w:bCs/>
                <w:szCs w:val="21"/>
              </w:rPr>
            </w:pPr>
            <w:r>
              <w:rPr>
                <w:rFonts w:eastAsiaTheme="minorEastAsia"/>
                <w:bCs/>
                <w:szCs w:val="21"/>
              </w:rPr>
              <w:t>采购包预算金额</w:t>
            </w:r>
          </w:p>
          <w:p w14:paraId="389AAA4A">
            <w:pPr>
              <w:jc w:val="center"/>
              <w:rPr>
                <w:rFonts w:eastAsiaTheme="minorEastAsia"/>
                <w:bCs/>
                <w:szCs w:val="21"/>
              </w:rPr>
            </w:pPr>
            <w:r>
              <w:rPr>
                <w:rFonts w:eastAsiaTheme="minorEastAsia"/>
                <w:bCs/>
                <w:szCs w:val="21"/>
              </w:rPr>
              <w:t>（万元）</w:t>
            </w:r>
          </w:p>
        </w:tc>
        <w:tc>
          <w:tcPr>
            <w:tcW w:w="520" w:type="pct"/>
            <w:vAlign w:val="center"/>
          </w:tcPr>
          <w:p w14:paraId="10FE4902">
            <w:pPr>
              <w:jc w:val="center"/>
              <w:rPr>
                <w:rFonts w:eastAsiaTheme="minorEastAsia"/>
                <w:bCs/>
                <w:szCs w:val="21"/>
              </w:rPr>
            </w:pPr>
            <w:r>
              <w:rPr>
                <w:rFonts w:eastAsiaTheme="minorEastAsia"/>
                <w:bCs/>
                <w:szCs w:val="21"/>
              </w:rPr>
              <w:t>数量</w:t>
            </w:r>
          </w:p>
        </w:tc>
        <w:tc>
          <w:tcPr>
            <w:tcW w:w="2192" w:type="pct"/>
            <w:vAlign w:val="center"/>
          </w:tcPr>
          <w:p w14:paraId="019F2406">
            <w:pPr>
              <w:jc w:val="center"/>
              <w:rPr>
                <w:rFonts w:eastAsiaTheme="minorEastAsia"/>
                <w:szCs w:val="21"/>
              </w:rPr>
            </w:pPr>
            <w:r>
              <w:rPr>
                <w:rFonts w:eastAsiaTheme="minorEastAsia"/>
                <w:szCs w:val="21"/>
              </w:rPr>
              <w:t>简要技术需求或服务要求</w:t>
            </w:r>
          </w:p>
        </w:tc>
      </w:tr>
      <w:tr w14:paraId="00A9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vAlign w:val="center"/>
          </w:tcPr>
          <w:p w14:paraId="6B5476BD">
            <w:pPr>
              <w:jc w:val="center"/>
              <w:rPr>
                <w:rFonts w:eastAsiaTheme="minorEastAsia"/>
                <w:bCs/>
                <w:szCs w:val="21"/>
              </w:rPr>
            </w:pPr>
            <w:r>
              <w:rPr>
                <w:rFonts w:eastAsiaTheme="minorEastAsia"/>
                <w:bCs/>
                <w:szCs w:val="21"/>
              </w:rPr>
              <w:t>01</w:t>
            </w:r>
          </w:p>
        </w:tc>
        <w:tc>
          <w:tcPr>
            <w:tcW w:w="1081" w:type="pct"/>
            <w:vAlign w:val="center"/>
          </w:tcPr>
          <w:p w14:paraId="306C1833">
            <w:pPr>
              <w:jc w:val="center"/>
              <w:rPr>
                <w:rFonts w:eastAsiaTheme="minorEastAsia"/>
                <w:bCs/>
                <w:szCs w:val="21"/>
              </w:rPr>
            </w:pPr>
            <w:r>
              <w:rPr>
                <w:rFonts w:hint="eastAsia" w:eastAsiaTheme="minorEastAsia"/>
                <w:bCs/>
                <w:szCs w:val="21"/>
              </w:rPr>
              <w:t>额度外—2026年丰台区职业教育中心学校芳群园校区四楼改造其他建筑工程采购项目</w:t>
            </w:r>
          </w:p>
        </w:tc>
        <w:tc>
          <w:tcPr>
            <w:tcW w:w="825" w:type="pct"/>
            <w:vAlign w:val="center"/>
          </w:tcPr>
          <w:p w14:paraId="4A0B5B5E">
            <w:pPr>
              <w:jc w:val="center"/>
              <w:rPr>
                <w:rFonts w:eastAsiaTheme="minorEastAsia"/>
                <w:bCs/>
                <w:szCs w:val="21"/>
              </w:rPr>
            </w:pPr>
            <w:r>
              <w:rPr>
                <w:rFonts w:hint="eastAsia" w:eastAsiaTheme="minorEastAsia"/>
                <w:bCs/>
                <w:szCs w:val="21"/>
              </w:rPr>
              <w:t>107.066711</w:t>
            </w:r>
          </w:p>
        </w:tc>
        <w:tc>
          <w:tcPr>
            <w:tcW w:w="520" w:type="pct"/>
            <w:vAlign w:val="center"/>
          </w:tcPr>
          <w:p w14:paraId="1327AA34">
            <w:pPr>
              <w:jc w:val="center"/>
              <w:rPr>
                <w:rFonts w:eastAsiaTheme="minorEastAsia"/>
                <w:bCs/>
                <w:szCs w:val="21"/>
              </w:rPr>
            </w:pPr>
            <w:r>
              <w:rPr>
                <w:rFonts w:hint="eastAsia" w:eastAsiaTheme="minorEastAsia"/>
                <w:bCs/>
                <w:szCs w:val="21"/>
              </w:rPr>
              <w:t>1项</w:t>
            </w:r>
          </w:p>
        </w:tc>
        <w:tc>
          <w:tcPr>
            <w:tcW w:w="2192" w:type="pct"/>
            <w:vAlign w:val="center"/>
          </w:tcPr>
          <w:p w14:paraId="0D58F4C8">
            <w:pPr>
              <w:jc w:val="left"/>
              <w:rPr>
                <w:rFonts w:eastAsiaTheme="minorEastAsia"/>
                <w:bCs/>
                <w:szCs w:val="21"/>
              </w:rPr>
            </w:pPr>
            <w:r>
              <w:rPr>
                <w:rFonts w:hint="eastAsia" w:eastAsiaTheme="minorEastAsia"/>
                <w:bCs/>
                <w:szCs w:val="21"/>
              </w:rPr>
              <w:t>完成额度外—2026年丰台区职业教育中心学校芳群园校区四楼改造其他建筑工程采购项目所需全部内容，包括</w:t>
            </w:r>
            <w:r>
              <w:rPr>
                <w:rFonts w:eastAsiaTheme="minorEastAsia"/>
                <w:bCs/>
                <w:szCs w:val="21"/>
              </w:rPr>
              <w:t>拆除工程</w:t>
            </w:r>
            <w:r>
              <w:rPr>
                <w:rFonts w:hint="eastAsia" w:eastAsiaTheme="minorEastAsia"/>
                <w:bCs/>
                <w:szCs w:val="21"/>
              </w:rPr>
              <w:t>、</w:t>
            </w:r>
            <w:r>
              <w:rPr>
                <w:rFonts w:eastAsiaTheme="minorEastAsia"/>
                <w:bCs/>
                <w:szCs w:val="21"/>
              </w:rPr>
              <w:t>装饰装修工程</w:t>
            </w:r>
            <w:r>
              <w:rPr>
                <w:rFonts w:hint="eastAsia" w:eastAsiaTheme="minorEastAsia"/>
                <w:bCs/>
                <w:szCs w:val="21"/>
              </w:rPr>
              <w:t>、</w:t>
            </w:r>
            <w:r>
              <w:rPr>
                <w:rFonts w:eastAsiaTheme="minorEastAsia"/>
                <w:bCs/>
                <w:szCs w:val="21"/>
              </w:rPr>
              <w:t>电气工程</w:t>
            </w:r>
            <w:r>
              <w:rPr>
                <w:rFonts w:hint="eastAsia" w:eastAsiaTheme="minorEastAsia"/>
                <w:bCs/>
                <w:szCs w:val="21"/>
              </w:rPr>
              <w:t>、</w:t>
            </w:r>
            <w:r>
              <w:rPr>
                <w:rFonts w:eastAsiaTheme="minorEastAsia"/>
                <w:bCs/>
                <w:szCs w:val="21"/>
              </w:rPr>
              <w:t>土建及配套工程</w:t>
            </w:r>
            <w:r>
              <w:rPr>
                <w:rFonts w:hint="eastAsia" w:eastAsiaTheme="minorEastAsia"/>
                <w:bCs/>
                <w:szCs w:val="21"/>
              </w:rPr>
              <w:t>等内容。详见图纸及工程量清单。</w:t>
            </w:r>
          </w:p>
        </w:tc>
      </w:tr>
    </w:tbl>
    <w:p w14:paraId="1703F217">
      <w:pPr>
        <w:spacing w:line="360" w:lineRule="auto"/>
        <w:ind w:firstLine="480" w:firstLineChars="200"/>
        <w:rPr>
          <w:rFonts w:eastAsiaTheme="minorEastAsia"/>
          <w:sz w:val="24"/>
        </w:rPr>
      </w:pPr>
    </w:p>
    <w:p w14:paraId="2224C536">
      <w:pPr>
        <w:spacing w:line="360" w:lineRule="auto"/>
        <w:ind w:firstLine="480" w:firstLineChars="200"/>
        <w:rPr>
          <w:rFonts w:eastAsiaTheme="minorEastAsia"/>
          <w:sz w:val="24"/>
          <w:u w:val="single"/>
        </w:rPr>
      </w:pPr>
      <w:r>
        <w:rPr>
          <w:rFonts w:eastAsiaTheme="minorEastAsia"/>
          <w:sz w:val="24"/>
        </w:rPr>
        <w:t>6.合同履行期限：</w:t>
      </w:r>
      <w:r>
        <w:rPr>
          <w:rFonts w:hint="eastAsia" w:eastAsiaTheme="minorEastAsia"/>
          <w:sz w:val="24"/>
          <w:u w:val="single"/>
        </w:rPr>
        <w:t>40日历天</w:t>
      </w:r>
      <w:r>
        <w:rPr>
          <w:rFonts w:eastAsiaTheme="minorEastAsia"/>
          <w:sz w:val="24"/>
        </w:rPr>
        <w:t xml:space="preserve">  </w:t>
      </w:r>
    </w:p>
    <w:p w14:paraId="13123FFE">
      <w:pPr>
        <w:spacing w:line="360" w:lineRule="auto"/>
        <w:ind w:firstLine="480" w:firstLineChars="200"/>
        <w:rPr>
          <w:rFonts w:eastAsiaTheme="minorEastAsia"/>
          <w:sz w:val="24"/>
        </w:rPr>
      </w:pPr>
      <w:r>
        <w:rPr>
          <w:rFonts w:eastAsiaTheme="minorEastAsia"/>
          <w:sz w:val="24"/>
        </w:rPr>
        <w:t>7.本项目是否接受联合体：</w:t>
      </w:r>
      <w:r>
        <w:rPr>
          <w:rFonts w:hint="eastAsia" w:eastAsiaTheme="minorEastAsia"/>
        </w:rPr>
        <w:t>□</w:t>
      </w:r>
      <w:r>
        <w:rPr>
          <w:rFonts w:eastAsiaTheme="minorEastAsia"/>
          <w:sz w:val="24"/>
        </w:rPr>
        <w:t xml:space="preserve">是  </w:t>
      </w:r>
      <w:r>
        <w:rPr>
          <w:rFonts w:hint="eastAsia" w:eastAsiaTheme="minorEastAsia"/>
          <w:sz w:val="24"/>
        </w:rPr>
        <w:t>■</w:t>
      </w:r>
      <w:r>
        <w:rPr>
          <w:rFonts w:eastAsiaTheme="minorEastAsia"/>
          <w:sz w:val="24"/>
        </w:rPr>
        <w:t>否。</w:t>
      </w:r>
    </w:p>
    <w:p w14:paraId="30F59890">
      <w:pPr>
        <w:spacing w:line="360" w:lineRule="auto"/>
        <w:ind w:firstLine="480" w:firstLineChars="200"/>
        <w:rPr>
          <w:rFonts w:eastAsiaTheme="minorEastAsia"/>
          <w:sz w:val="24"/>
        </w:rPr>
      </w:pPr>
    </w:p>
    <w:p w14:paraId="5A8A2943">
      <w:pPr>
        <w:pStyle w:val="3"/>
        <w:spacing w:before="0" w:line="360" w:lineRule="auto"/>
        <w:jc w:val="left"/>
        <w:rPr>
          <w:rFonts w:ascii="Times New Roman" w:hAnsi="Times New Roman" w:eastAsiaTheme="minorEastAsia"/>
          <w:sz w:val="24"/>
          <w:szCs w:val="24"/>
        </w:rPr>
      </w:pPr>
      <w:bookmarkStart w:id="9" w:name="_Toc35393791"/>
      <w:bookmarkStart w:id="10" w:name="_Toc28359003"/>
      <w:bookmarkStart w:id="11" w:name="_Toc28359080"/>
      <w:bookmarkStart w:id="12" w:name="_Toc35393622"/>
      <w:r>
        <w:rPr>
          <w:rFonts w:ascii="Times New Roman" w:hAnsi="Times New Roman" w:eastAsiaTheme="minorEastAsia"/>
          <w:sz w:val="24"/>
          <w:szCs w:val="24"/>
        </w:rPr>
        <w:t>二、申请人的资格要求（须同时满足）</w:t>
      </w:r>
      <w:bookmarkEnd w:id="9"/>
      <w:bookmarkEnd w:id="10"/>
      <w:bookmarkEnd w:id="11"/>
      <w:bookmarkEnd w:id="12"/>
    </w:p>
    <w:p w14:paraId="0C18E4EE">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2FD1BC1C">
      <w:pPr>
        <w:spacing w:line="360" w:lineRule="auto"/>
        <w:ind w:firstLine="480" w:firstLineChars="200"/>
        <w:rPr>
          <w:rFonts w:eastAsiaTheme="minorEastAsia"/>
          <w:sz w:val="24"/>
        </w:rPr>
      </w:pPr>
      <w:bookmarkStart w:id="13" w:name="_Toc28359081"/>
      <w:bookmarkStart w:id="14" w:name="_Toc28359004"/>
      <w:r>
        <w:rPr>
          <w:rFonts w:eastAsiaTheme="minorEastAsia"/>
          <w:sz w:val="24"/>
        </w:rPr>
        <w:t>2.落实政府采购政策需满足的资格要求：</w:t>
      </w:r>
    </w:p>
    <w:p w14:paraId="1E1CB268">
      <w:pPr>
        <w:spacing w:line="360" w:lineRule="auto"/>
        <w:ind w:firstLine="480" w:firstLineChars="200"/>
        <w:rPr>
          <w:rFonts w:eastAsiaTheme="minorEastAsia"/>
          <w:sz w:val="24"/>
        </w:rPr>
      </w:pPr>
      <w:r>
        <w:rPr>
          <w:rFonts w:eastAsiaTheme="minorEastAsia"/>
          <w:sz w:val="24"/>
        </w:rPr>
        <w:t>2.1 中小企业政策</w:t>
      </w:r>
    </w:p>
    <w:p w14:paraId="6F1FA66B">
      <w:pPr>
        <w:spacing w:line="360" w:lineRule="auto"/>
        <w:ind w:firstLine="480" w:firstLineChars="200"/>
        <w:rPr>
          <w:rFonts w:eastAsiaTheme="minorEastAsia"/>
          <w:sz w:val="24"/>
        </w:rPr>
      </w:pPr>
      <w:r>
        <w:rPr>
          <w:rFonts w:hint="eastAsia" w:eastAsiaTheme="minorEastAsia"/>
          <w:sz w:val="24"/>
        </w:rPr>
        <w:t>■</w:t>
      </w:r>
      <w:r>
        <w:rPr>
          <w:rFonts w:eastAsiaTheme="minorEastAsia"/>
          <w:sz w:val="24"/>
        </w:rPr>
        <w:t>本项目不专门面向中小企业预留采购份额。</w:t>
      </w:r>
    </w:p>
    <w:p w14:paraId="0D3900BC">
      <w:pPr>
        <w:spacing w:line="360" w:lineRule="auto"/>
        <w:ind w:firstLine="480" w:firstLineChars="200"/>
        <w:rPr>
          <w:rFonts w:eastAsiaTheme="minorEastAsia"/>
          <w:sz w:val="24"/>
        </w:rPr>
      </w:pPr>
      <w:r>
        <w:rPr>
          <w:rFonts w:eastAsiaTheme="minorEastAsia"/>
          <w:sz w:val="24"/>
        </w:rPr>
        <w:t>2.2 其它落实政府采购政策的资格要求（如有）：</w:t>
      </w:r>
      <w:r>
        <w:rPr>
          <w:rFonts w:hint="eastAsia" w:eastAsiaTheme="minorEastAsia"/>
          <w:sz w:val="24"/>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r>
        <w:rPr>
          <w:rFonts w:eastAsiaTheme="minorEastAsia"/>
          <w:sz w:val="24"/>
        </w:rPr>
        <w:t>。。</w:t>
      </w:r>
    </w:p>
    <w:p w14:paraId="77D29576">
      <w:pPr>
        <w:spacing w:line="360" w:lineRule="auto"/>
        <w:ind w:firstLine="480" w:firstLineChars="200"/>
        <w:rPr>
          <w:rFonts w:eastAsiaTheme="minorEastAsia"/>
          <w:i/>
          <w:iCs/>
          <w:sz w:val="24"/>
          <w:u w:val="single"/>
        </w:rPr>
      </w:pPr>
      <w:r>
        <w:rPr>
          <w:rFonts w:eastAsiaTheme="minorEastAsia"/>
          <w:sz w:val="24"/>
        </w:rPr>
        <w:t>3.本项目的特定资格要求：</w:t>
      </w:r>
    </w:p>
    <w:p w14:paraId="0CA93CCD">
      <w:pPr>
        <w:tabs>
          <w:tab w:val="left" w:pos="900"/>
          <w:tab w:val="left" w:pos="1134"/>
          <w:tab w:val="left" w:pos="1589"/>
          <w:tab w:val="left" w:pos="5521"/>
        </w:tabs>
        <w:snapToGrid w:val="0"/>
        <w:spacing w:line="360" w:lineRule="auto"/>
        <w:ind w:firstLine="480" w:firstLineChars="200"/>
        <w:rPr>
          <w:rFonts w:eastAsiaTheme="minorEastAsia"/>
          <w:color w:val="FF0000"/>
          <w:sz w:val="24"/>
        </w:rPr>
      </w:pPr>
      <w:r>
        <w:rPr>
          <w:rFonts w:eastAsiaTheme="minorEastAsia"/>
          <w:color w:val="FF0000"/>
          <w:sz w:val="24"/>
        </w:rPr>
        <w:br w:type="page"/>
      </w:r>
    </w:p>
    <w:p w14:paraId="7F9E5391">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3.1本项目是否属于政府购买服务：</w:t>
      </w:r>
    </w:p>
    <w:p w14:paraId="1750714E">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eastAsiaTheme="minorEastAsia"/>
          <w:sz w:val="24"/>
        </w:rPr>
        <w:t>■</w:t>
      </w:r>
      <w:r>
        <w:rPr>
          <w:rFonts w:eastAsiaTheme="minorEastAsia"/>
          <w:sz w:val="24"/>
        </w:rPr>
        <w:t>否</w:t>
      </w:r>
    </w:p>
    <w:p w14:paraId="0C16B3B6">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eastAsiaTheme="minorEastAsia"/>
        </w:rPr>
        <w:t>□</w:t>
      </w:r>
      <w:r>
        <w:rPr>
          <w:rFonts w:eastAsiaTheme="minorEastAsia"/>
          <w:sz w:val="24"/>
        </w:rPr>
        <w:t>是，公益一类事业单位、使用事业编制且由财政拨款保障的群团组织，不得作为承接主体；</w:t>
      </w:r>
    </w:p>
    <w:p w14:paraId="2E5BD06A">
      <w:pPr>
        <w:tabs>
          <w:tab w:val="left" w:pos="900"/>
          <w:tab w:val="left" w:pos="1134"/>
          <w:tab w:val="left" w:pos="1589"/>
          <w:tab w:val="left" w:pos="5521"/>
        </w:tabs>
        <w:snapToGrid w:val="0"/>
        <w:spacing w:line="360" w:lineRule="auto"/>
        <w:ind w:firstLine="480" w:firstLineChars="200"/>
        <w:rPr>
          <w:rFonts w:eastAsiaTheme="minorEastAsia"/>
          <w:sz w:val="24"/>
          <w:u w:val="single"/>
        </w:rPr>
      </w:pPr>
      <w:r>
        <w:rPr>
          <w:rFonts w:eastAsiaTheme="minorEastAsia"/>
          <w:sz w:val="24"/>
        </w:rPr>
        <w:t>3.2其他特定资格要求：</w:t>
      </w:r>
      <w:r>
        <w:rPr>
          <w:rFonts w:hint="eastAsia" w:eastAsiaTheme="minorEastAsia"/>
          <w:sz w:val="24"/>
          <w:u w:val="single"/>
        </w:rPr>
        <w:t>（1）供应商须同时具有有效的建筑装修装饰工程专业承包二级[新]及以上资质、具有有效的安全生产许可证；（2）非北京市建筑企业，应提供有效的《外省市建筑业企业进京施工备案信息》；（3）项目经理须具有建筑工程专业二级（含）以上注册建造师执业资格和有效的安全生产考核合格证书（简称B本），且在确定成交时不得担任其他在施建设工程的项目经理；（4）供应商没有处于被责令停业，投标资格被取消，财产被接管、冻结，破产状态；（5）供应商在最近三年内（2023年6月25日至2026年6月24日）没有骗取中标和严重违约及重大工程质量问题</w:t>
      </w:r>
      <w:r>
        <w:rPr>
          <w:rFonts w:eastAsiaTheme="minorEastAsia"/>
          <w:sz w:val="24"/>
        </w:rPr>
        <w:t>。</w:t>
      </w:r>
    </w:p>
    <w:p w14:paraId="7C96DB4F">
      <w:pPr>
        <w:spacing w:line="360" w:lineRule="auto"/>
        <w:ind w:firstLine="480" w:firstLineChars="200"/>
        <w:rPr>
          <w:rFonts w:eastAsiaTheme="minorEastAsia"/>
          <w:i/>
          <w:iCs/>
          <w:sz w:val="24"/>
          <w:u w:val="single"/>
        </w:rPr>
      </w:pPr>
    </w:p>
    <w:bookmarkEnd w:id="13"/>
    <w:bookmarkEnd w:id="14"/>
    <w:p w14:paraId="0BC9CFD9">
      <w:pPr>
        <w:pStyle w:val="3"/>
        <w:widowControl/>
        <w:spacing w:before="0" w:line="360" w:lineRule="auto"/>
        <w:jc w:val="left"/>
        <w:rPr>
          <w:rFonts w:ascii="Times New Roman" w:hAnsi="Times New Roman" w:eastAsiaTheme="minorEastAsia"/>
          <w:sz w:val="24"/>
          <w:szCs w:val="24"/>
        </w:rPr>
      </w:pPr>
      <w:bookmarkStart w:id="15" w:name="_Toc35393623"/>
      <w:bookmarkStart w:id="16" w:name="_Toc35393792"/>
      <w:r>
        <w:rPr>
          <w:rFonts w:ascii="Times New Roman" w:hAnsi="Times New Roman" w:eastAsiaTheme="minorEastAsia"/>
          <w:sz w:val="24"/>
          <w:szCs w:val="24"/>
        </w:rPr>
        <w:t>三、获取采购文件</w:t>
      </w:r>
      <w:bookmarkEnd w:id="15"/>
      <w:bookmarkEnd w:id="16"/>
    </w:p>
    <w:p w14:paraId="403E7848">
      <w:pPr>
        <w:adjustRightInd w:val="0"/>
        <w:snapToGrid w:val="0"/>
        <w:spacing w:line="360" w:lineRule="auto"/>
        <w:ind w:firstLine="480" w:firstLineChars="200"/>
        <w:rPr>
          <w:rFonts w:eastAsiaTheme="minorEastAsia"/>
          <w:sz w:val="24"/>
          <w:lang w:bidi="ar"/>
        </w:rPr>
      </w:pPr>
      <w:r>
        <w:rPr>
          <w:rFonts w:eastAsiaTheme="minorEastAsia"/>
          <w:sz w:val="24"/>
          <w:lang w:bidi="ar"/>
        </w:rPr>
        <w:t>1.时间：</w:t>
      </w:r>
      <w:r>
        <w:rPr>
          <w:rFonts w:hint="eastAsia" w:ascii="宋体" w:hAnsi="宋体" w:cs="宋体"/>
          <w:sz w:val="24"/>
          <w:u w:val="single"/>
        </w:rPr>
        <w:t>2026</w:t>
      </w:r>
      <w:r>
        <w:rPr>
          <w:rFonts w:hint="eastAsia" w:ascii="宋体" w:hAnsi="宋体" w:cs="宋体"/>
          <w:sz w:val="24"/>
          <w:lang w:bidi="ar"/>
        </w:rPr>
        <w:t>年</w:t>
      </w:r>
      <w:r>
        <w:rPr>
          <w:rFonts w:hint="eastAsia" w:ascii="宋体" w:hAnsi="宋体" w:cs="宋体"/>
          <w:sz w:val="24"/>
          <w:u w:val="single"/>
        </w:rPr>
        <w:t xml:space="preserve"> 6 </w:t>
      </w:r>
      <w:r>
        <w:rPr>
          <w:rFonts w:hint="eastAsia" w:ascii="宋体" w:hAnsi="宋体" w:cs="宋体"/>
          <w:sz w:val="24"/>
          <w:lang w:bidi="ar"/>
        </w:rPr>
        <w:t>月</w:t>
      </w:r>
      <w:r>
        <w:rPr>
          <w:rFonts w:hint="eastAsia" w:ascii="宋体" w:hAnsi="宋体" w:cs="宋体"/>
          <w:sz w:val="24"/>
          <w:u w:val="single"/>
        </w:rPr>
        <w:t xml:space="preserve"> 26</w:t>
      </w:r>
      <w:r>
        <w:rPr>
          <w:rFonts w:hint="eastAsia" w:ascii="宋体" w:hAnsi="宋体" w:cs="宋体"/>
          <w:sz w:val="24"/>
          <w:lang w:bidi="ar"/>
        </w:rPr>
        <w:t>日至</w:t>
      </w:r>
      <w:r>
        <w:rPr>
          <w:rFonts w:hint="eastAsia" w:ascii="宋体" w:hAnsi="宋体" w:cs="宋体"/>
          <w:sz w:val="24"/>
          <w:u w:val="single"/>
        </w:rPr>
        <w:t>2026</w:t>
      </w:r>
      <w:r>
        <w:rPr>
          <w:rFonts w:hint="eastAsia" w:ascii="宋体" w:hAnsi="宋体" w:cs="宋体"/>
          <w:sz w:val="24"/>
          <w:lang w:bidi="ar"/>
        </w:rPr>
        <w:t>年</w:t>
      </w:r>
      <w:r>
        <w:rPr>
          <w:rFonts w:hint="eastAsia" w:ascii="宋体" w:hAnsi="宋体" w:cs="宋体"/>
          <w:sz w:val="24"/>
          <w:u w:val="single"/>
        </w:rPr>
        <w:t xml:space="preserve"> 7 </w:t>
      </w:r>
      <w:r>
        <w:rPr>
          <w:rFonts w:hint="eastAsia" w:ascii="宋体" w:hAnsi="宋体" w:cs="宋体"/>
          <w:sz w:val="24"/>
          <w:lang w:bidi="ar"/>
        </w:rPr>
        <w:t>月</w:t>
      </w:r>
      <w:r>
        <w:rPr>
          <w:rFonts w:hint="eastAsia" w:ascii="宋体" w:hAnsi="宋体" w:cs="宋体"/>
          <w:sz w:val="24"/>
          <w:u w:val="single"/>
        </w:rPr>
        <w:t xml:space="preserve"> 2 </w:t>
      </w:r>
      <w:r>
        <w:rPr>
          <w:rFonts w:hint="eastAsia" w:ascii="宋体" w:hAnsi="宋体" w:cs="宋体"/>
          <w:sz w:val="24"/>
          <w:lang w:bidi="ar"/>
        </w:rPr>
        <w:t>日，每天上午</w:t>
      </w:r>
      <w:r>
        <w:rPr>
          <w:rFonts w:hint="eastAsia" w:ascii="宋体" w:hAnsi="宋体" w:cs="宋体"/>
          <w:sz w:val="24"/>
          <w:szCs w:val="20"/>
          <w:u w:val="single"/>
        </w:rPr>
        <w:t>9:00</w:t>
      </w:r>
      <w:r>
        <w:rPr>
          <w:rFonts w:hint="eastAsia" w:ascii="宋体" w:hAnsi="宋体" w:cs="宋体"/>
          <w:sz w:val="24"/>
          <w:szCs w:val="20"/>
        </w:rPr>
        <w:t>至</w:t>
      </w:r>
      <w:r>
        <w:rPr>
          <w:rFonts w:hint="eastAsia" w:ascii="宋体" w:hAnsi="宋体" w:cs="宋体"/>
          <w:sz w:val="24"/>
          <w:szCs w:val="20"/>
          <w:u w:val="single"/>
        </w:rPr>
        <w:t>12:00</w:t>
      </w:r>
      <w:r>
        <w:rPr>
          <w:rFonts w:hint="eastAsia" w:ascii="宋体" w:hAnsi="宋体" w:cs="宋体"/>
          <w:sz w:val="24"/>
          <w:szCs w:val="20"/>
        </w:rPr>
        <w:t>，下午</w:t>
      </w:r>
      <w:r>
        <w:rPr>
          <w:rFonts w:hint="eastAsia" w:ascii="宋体" w:hAnsi="宋体" w:cs="宋体"/>
          <w:sz w:val="24"/>
          <w:szCs w:val="20"/>
          <w:u w:val="single"/>
        </w:rPr>
        <w:t>12:00</w:t>
      </w:r>
      <w:r>
        <w:rPr>
          <w:rFonts w:hint="eastAsia" w:ascii="宋体" w:hAnsi="宋体" w:cs="宋体"/>
          <w:sz w:val="24"/>
          <w:szCs w:val="20"/>
        </w:rPr>
        <w:t>至</w:t>
      </w:r>
      <w:r>
        <w:rPr>
          <w:rFonts w:hint="eastAsia" w:ascii="宋体" w:hAnsi="宋体" w:cs="宋体"/>
          <w:sz w:val="24"/>
          <w:szCs w:val="20"/>
          <w:u w:val="single"/>
        </w:rPr>
        <w:t>17：00</w:t>
      </w:r>
      <w:r>
        <w:rPr>
          <w:rFonts w:eastAsiaTheme="minorEastAsia"/>
          <w:sz w:val="24"/>
          <w:lang w:bidi="ar"/>
        </w:rPr>
        <w:t>（北京时间，法定节假日除外）。</w:t>
      </w:r>
    </w:p>
    <w:p w14:paraId="64F4D248">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14:paraId="7FCC272B">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p w14:paraId="1377D0BA">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14:paraId="72C5FD02">
      <w:pPr>
        <w:tabs>
          <w:tab w:val="left" w:pos="900"/>
          <w:tab w:val="left" w:pos="1980"/>
        </w:tabs>
        <w:snapToGrid w:val="0"/>
        <w:spacing w:line="360" w:lineRule="auto"/>
        <w:ind w:left="840"/>
        <w:rPr>
          <w:rFonts w:eastAsiaTheme="minorEastAsia"/>
          <w:sz w:val="24"/>
        </w:rPr>
      </w:pPr>
    </w:p>
    <w:p w14:paraId="41B7EE02">
      <w:pPr>
        <w:pStyle w:val="3"/>
        <w:widowControl/>
        <w:spacing w:before="0" w:line="360" w:lineRule="auto"/>
        <w:jc w:val="left"/>
        <w:rPr>
          <w:rFonts w:ascii="Times New Roman" w:hAnsi="Times New Roman" w:eastAsiaTheme="minorEastAsia"/>
          <w:sz w:val="24"/>
          <w:szCs w:val="24"/>
        </w:rPr>
      </w:pPr>
      <w:bookmarkStart w:id="17" w:name="_Toc35393793"/>
      <w:bookmarkStart w:id="18" w:name="_Toc28359082"/>
      <w:bookmarkStart w:id="19" w:name="_Toc35393624"/>
      <w:bookmarkStart w:id="20" w:name="_Toc28359005"/>
      <w:r>
        <w:rPr>
          <w:rFonts w:ascii="Times New Roman" w:hAnsi="Times New Roman" w:eastAsiaTheme="minorEastAsia"/>
          <w:sz w:val="24"/>
          <w:szCs w:val="24"/>
        </w:rPr>
        <w:t>四、</w:t>
      </w:r>
      <w:bookmarkEnd w:id="17"/>
      <w:bookmarkEnd w:id="18"/>
      <w:bookmarkEnd w:id="19"/>
      <w:bookmarkEnd w:id="20"/>
      <w:r>
        <w:rPr>
          <w:rFonts w:ascii="Times New Roman" w:hAnsi="Times New Roman" w:eastAsiaTheme="minorEastAsia"/>
          <w:sz w:val="24"/>
          <w:szCs w:val="24"/>
        </w:rPr>
        <w:t>响应文件提交</w:t>
      </w:r>
    </w:p>
    <w:p w14:paraId="4B938432">
      <w:pPr>
        <w:spacing w:line="360" w:lineRule="auto"/>
        <w:ind w:firstLine="480" w:firstLineChars="200"/>
        <w:rPr>
          <w:rFonts w:eastAsiaTheme="minorEastAsia"/>
          <w:bCs/>
          <w:sz w:val="24"/>
          <w:u w:val="single"/>
        </w:rPr>
      </w:pPr>
      <w:r>
        <w:rPr>
          <w:rFonts w:eastAsiaTheme="minorEastAsia"/>
          <w:sz w:val="24"/>
          <w:lang w:bidi="ar"/>
        </w:rPr>
        <w:t>截止时间：</w:t>
      </w:r>
      <w:r>
        <w:rPr>
          <w:rFonts w:hint="eastAsia" w:eastAsiaTheme="minorEastAsia"/>
          <w:sz w:val="24"/>
          <w:u w:val="single"/>
        </w:rPr>
        <w:t>2026</w:t>
      </w:r>
      <w:r>
        <w:rPr>
          <w:rFonts w:eastAsiaTheme="minorEastAsia"/>
          <w:sz w:val="24"/>
          <w:lang w:bidi="ar"/>
        </w:rPr>
        <w:t>年</w:t>
      </w:r>
      <w:r>
        <w:rPr>
          <w:rFonts w:hint="eastAsia" w:eastAsiaTheme="minorEastAsia"/>
          <w:sz w:val="24"/>
          <w:u w:val="single"/>
        </w:rPr>
        <w:t>7</w:t>
      </w:r>
      <w:r>
        <w:rPr>
          <w:rFonts w:eastAsiaTheme="minorEastAsia"/>
          <w:sz w:val="24"/>
          <w:lang w:bidi="ar"/>
        </w:rPr>
        <w:t>月</w:t>
      </w:r>
      <w:r>
        <w:rPr>
          <w:rFonts w:hint="eastAsia" w:eastAsiaTheme="minorEastAsia"/>
          <w:sz w:val="24"/>
          <w:u w:val="single"/>
        </w:rPr>
        <w:t xml:space="preserve"> 8 </w:t>
      </w:r>
      <w:r>
        <w:rPr>
          <w:rFonts w:eastAsiaTheme="minorEastAsia"/>
          <w:sz w:val="24"/>
          <w:lang w:bidi="ar"/>
        </w:rPr>
        <w:t>日</w:t>
      </w:r>
      <w:r>
        <w:rPr>
          <w:rFonts w:hint="eastAsia" w:eastAsiaTheme="minorEastAsia"/>
          <w:sz w:val="24"/>
          <w:u w:val="single"/>
        </w:rPr>
        <w:t>9</w:t>
      </w:r>
      <w:r>
        <w:rPr>
          <w:rFonts w:eastAsiaTheme="minorEastAsia"/>
          <w:sz w:val="24"/>
          <w:lang w:bidi="ar"/>
        </w:rPr>
        <w:t>点</w:t>
      </w:r>
      <w:r>
        <w:rPr>
          <w:rFonts w:hint="eastAsia" w:eastAsiaTheme="minorEastAsia"/>
          <w:sz w:val="24"/>
          <w:u w:val="single"/>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14:paraId="26C3AF52">
      <w:pPr>
        <w:spacing w:line="360" w:lineRule="auto"/>
        <w:ind w:firstLine="480" w:firstLineChars="200"/>
        <w:rPr>
          <w:rFonts w:eastAsiaTheme="minorEastAsia"/>
          <w:sz w:val="24"/>
          <w:lang w:val="zh-TW" w:bidi="ar"/>
        </w:rPr>
      </w:pPr>
      <w:r>
        <w:rPr>
          <w:rFonts w:eastAsiaTheme="minorEastAsia"/>
          <w:sz w:val="24"/>
          <w:lang w:bidi="ar"/>
        </w:rPr>
        <w:t>地点：北京市政府采购电子交易平台</w:t>
      </w:r>
      <w:r>
        <w:rPr>
          <w:rFonts w:eastAsiaTheme="minorEastAsia"/>
          <w:sz w:val="24"/>
          <w:lang w:val="zh-TW" w:bidi="ar"/>
        </w:rPr>
        <w:t>。</w:t>
      </w:r>
    </w:p>
    <w:p w14:paraId="12BE74FC">
      <w:pPr>
        <w:spacing w:line="360" w:lineRule="auto"/>
        <w:ind w:firstLine="480" w:firstLineChars="200"/>
        <w:rPr>
          <w:rFonts w:eastAsiaTheme="minorEastAsia"/>
          <w:sz w:val="24"/>
          <w:lang w:val="zh-TW" w:bidi="ar"/>
        </w:rPr>
      </w:pPr>
    </w:p>
    <w:p w14:paraId="7E5D920B">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14:paraId="7F37D1E8">
      <w:pPr>
        <w:spacing w:line="360" w:lineRule="auto"/>
        <w:ind w:firstLine="480" w:firstLineChars="200"/>
        <w:rPr>
          <w:rFonts w:eastAsiaTheme="minorEastAsia"/>
          <w:bCs/>
          <w:sz w:val="24"/>
          <w:u w:val="single"/>
        </w:rPr>
      </w:pPr>
      <w:r>
        <w:rPr>
          <w:rFonts w:eastAsiaTheme="minorEastAsia"/>
          <w:sz w:val="24"/>
          <w:lang w:bidi="ar"/>
        </w:rPr>
        <w:t>时间：</w:t>
      </w:r>
      <w:r>
        <w:rPr>
          <w:rFonts w:hint="eastAsia" w:eastAsiaTheme="minorEastAsia"/>
          <w:sz w:val="24"/>
          <w:u w:val="single"/>
        </w:rPr>
        <w:t>2026</w:t>
      </w:r>
      <w:r>
        <w:rPr>
          <w:rFonts w:eastAsiaTheme="minorEastAsia"/>
          <w:sz w:val="24"/>
          <w:lang w:bidi="ar"/>
        </w:rPr>
        <w:t>年</w:t>
      </w:r>
      <w:r>
        <w:rPr>
          <w:rFonts w:hint="eastAsia" w:eastAsiaTheme="minorEastAsia"/>
          <w:sz w:val="24"/>
          <w:u w:val="single"/>
        </w:rPr>
        <w:t>7</w:t>
      </w:r>
      <w:r>
        <w:rPr>
          <w:rFonts w:eastAsiaTheme="minorEastAsia"/>
          <w:sz w:val="24"/>
          <w:lang w:bidi="ar"/>
        </w:rPr>
        <w:t>月</w:t>
      </w:r>
      <w:r>
        <w:rPr>
          <w:rFonts w:hint="eastAsia" w:eastAsiaTheme="minorEastAsia"/>
          <w:sz w:val="24"/>
          <w:u w:val="single"/>
        </w:rPr>
        <w:t xml:space="preserve"> 8 </w:t>
      </w:r>
      <w:r>
        <w:rPr>
          <w:rFonts w:eastAsiaTheme="minorEastAsia"/>
          <w:sz w:val="24"/>
          <w:lang w:bidi="ar"/>
        </w:rPr>
        <w:t>日</w:t>
      </w:r>
      <w:r>
        <w:rPr>
          <w:rFonts w:hint="eastAsia" w:eastAsiaTheme="minorEastAsia"/>
          <w:sz w:val="24"/>
          <w:u w:val="single"/>
        </w:rPr>
        <w:t>9</w:t>
      </w:r>
      <w:r>
        <w:rPr>
          <w:rFonts w:eastAsiaTheme="minorEastAsia"/>
          <w:sz w:val="24"/>
          <w:lang w:bidi="ar"/>
        </w:rPr>
        <w:t>点</w:t>
      </w:r>
      <w:r>
        <w:rPr>
          <w:rFonts w:hint="eastAsia" w:eastAsiaTheme="minorEastAsia"/>
          <w:sz w:val="24"/>
          <w:u w:val="single"/>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14:paraId="2366712E">
      <w:pPr>
        <w:spacing w:line="360" w:lineRule="auto"/>
        <w:ind w:firstLine="480" w:firstLineChars="200"/>
        <w:rPr>
          <w:rFonts w:eastAsiaTheme="minorEastAsia"/>
          <w:sz w:val="24"/>
          <w:lang w:val="zh-TW" w:bidi="ar"/>
        </w:rPr>
      </w:pPr>
      <w:r>
        <w:rPr>
          <w:rFonts w:eastAsiaTheme="minorEastAsia"/>
          <w:sz w:val="24"/>
          <w:lang w:bidi="ar"/>
        </w:rPr>
        <w:t>地点</w:t>
      </w:r>
      <w:r>
        <w:rPr>
          <w:rFonts w:hint="eastAsia" w:eastAsiaTheme="minorEastAsia"/>
          <w:sz w:val="24"/>
          <w:lang w:bidi="ar"/>
        </w:rPr>
        <w:t>：</w:t>
      </w:r>
      <w:r>
        <w:rPr>
          <w:rFonts w:eastAsiaTheme="minorEastAsia"/>
          <w:sz w:val="24"/>
          <w:lang w:bidi="ar"/>
        </w:rPr>
        <w:t>北京市政府采购电子交易平台</w:t>
      </w:r>
      <w:r>
        <w:rPr>
          <w:rFonts w:eastAsiaTheme="minorEastAsia"/>
          <w:sz w:val="24"/>
          <w:lang w:val="zh-TW" w:bidi="ar"/>
        </w:rPr>
        <w:t>。</w:t>
      </w:r>
    </w:p>
    <w:p w14:paraId="3FA2CEBF">
      <w:pPr>
        <w:spacing w:line="360" w:lineRule="auto"/>
        <w:ind w:firstLine="480" w:firstLineChars="200"/>
        <w:rPr>
          <w:rFonts w:eastAsiaTheme="minorEastAsia"/>
          <w:sz w:val="24"/>
          <w:lang w:val="zh-TW" w:bidi="ar"/>
        </w:rPr>
      </w:pPr>
    </w:p>
    <w:p w14:paraId="4EB99F2C">
      <w:pPr>
        <w:pStyle w:val="3"/>
        <w:spacing w:before="0" w:line="360" w:lineRule="auto"/>
        <w:jc w:val="left"/>
        <w:rPr>
          <w:rFonts w:ascii="Times New Roman" w:hAnsi="Times New Roman" w:eastAsiaTheme="minorEastAsia"/>
          <w:sz w:val="24"/>
          <w:szCs w:val="24"/>
        </w:rPr>
      </w:pPr>
      <w:bookmarkStart w:id="21" w:name="_Toc28359084"/>
      <w:bookmarkStart w:id="22" w:name="_Toc35393794"/>
      <w:bookmarkStart w:id="23" w:name="_Toc35393625"/>
      <w:bookmarkStart w:id="24" w:name="_Toc28359007"/>
      <w:r>
        <w:rPr>
          <w:rFonts w:ascii="Times New Roman" w:hAnsi="Times New Roman" w:eastAsiaTheme="minorEastAsia"/>
          <w:sz w:val="24"/>
          <w:szCs w:val="24"/>
        </w:rPr>
        <w:t>六、公告期限</w:t>
      </w:r>
      <w:bookmarkEnd w:id="21"/>
      <w:bookmarkEnd w:id="22"/>
      <w:bookmarkEnd w:id="23"/>
      <w:bookmarkEnd w:id="24"/>
    </w:p>
    <w:p w14:paraId="24183CE7">
      <w:pPr>
        <w:spacing w:line="360" w:lineRule="auto"/>
        <w:ind w:firstLine="480" w:firstLineChars="200"/>
        <w:rPr>
          <w:rFonts w:eastAsiaTheme="minorEastAsia"/>
          <w:kern w:val="0"/>
          <w:sz w:val="24"/>
        </w:rPr>
      </w:pPr>
      <w:r>
        <w:rPr>
          <w:rFonts w:eastAsiaTheme="minorEastAsia"/>
          <w:kern w:val="0"/>
          <w:sz w:val="24"/>
        </w:rPr>
        <w:t>自本公告发布之日起3个工作日。</w:t>
      </w:r>
    </w:p>
    <w:p w14:paraId="0A82EF21">
      <w:pPr>
        <w:spacing w:line="360" w:lineRule="auto"/>
        <w:ind w:firstLine="480" w:firstLineChars="200"/>
        <w:rPr>
          <w:rFonts w:eastAsiaTheme="minorEastAsia"/>
          <w:kern w:val="0"/>
          <w:sz w:val="24"/>
        </w:rPr>
      </w:pPr>
    </w:p>
    <w:p w14:paraId="6F177884">
      <w:pPr>
        <w:pStyle w:val="3"/>
        <w:spacing w:before="0" w:line="360" w:lineRule="auto"/>
        <w:jc w:val="left"/>
        <w:rPr>
          <w:rFonts w:ascii="Times New Roman" w:hAnsi="Times New Roman" w:eastAsiaTheme="minorEastAsia"/>
          <w:sz w:val="24"/>
          <w:szCs w:val="24"/>
        </w:rPr>
      </w:pPr>
      <w:bookmarkStart w:id="25" w:name="_Toc35393795"/>
      <w:bookmarkStart w:id="26" w:name="_Toc35393626"/>
      <w:r>
        <w:rPr>
          <w:rFonts w:ascii="Times New Roman" w:hAnsi="Times New Roman" w:eastAsiaTheme="minorEastAsia"/>
          <w:sz w:val="24"/>
          <w:szCs w:val="24"/>
        </w:rPr>
        <w:t>七、其他补充事宜</w:t>
      </w:r>
      <w:bookmarkEnd w:id="25"/>
      <w:bookmarkEnd w:id="26"/>
    </w:p>
    <w:p w14:paraId="128F6B7F">
      <w:pPr>
        <w:spacing w:line="360" w:lineRule="auto"/>
        <w:ind w:firstLine="480" w:firstLineChars="200"/>
        <w:rPr>
          <w:rFonts w:eastAsiaTheme="minorEastAsia"/>
          <w:sz w:val="24"/>
        </w:rPr>
      </w:pPr>
      <w:r>
        <w:rPr>
          <w:rFonts w:eastAsiaTheme="minorEastAsia"/>
          <w:sz w:val="24"/>
        </w:rPr>
        <w:t>1.本项目需要落实的政府采购政策：</w:t>
      </w:r>
      <w:r>
        <w:rPr>
          <w:rFonts w:hint="eastAsia" w:eastAsiaTheme="minorEastAsia"/>
          <w:sz w:val="24"/>
        </w:rPr>
        <w:t>《中华人民共和国政府采购法》（主席令第68号）、《关于调整优化节能产品、环境标志产品政府采购执行机制的通知》（财库〔2019〕9号）、《关于印发环境标志产品政府采购品目清单的通知》（财库〔2019〕18号）、《关于开展政府采购信用担保试点工作的通知》（财库〔2011〕124号）、《关于印发&lt;政府采购促进中小企业发展管理办法&gt;的通知》（财库〔2020〕46号）、《财政部、司法部关于政府采购支持监狱企业发展有关问题的通知》（财库〔2014〕68号）、《三部门联合发布关于促进残疾人就业政府采购政策的通知》（财库〔2017〕141号）等</w:t>
      </w:r>
      <w:r>
        <w:rPr>
          <w:sz w:val="24"/>
          <w:lang w:bidi="ar"/>
        </w:rPr>
        <w:t>_</w:t>
      </w:r>
      <w:r>
        <w:rPr>
          <w:rFonts w:eastAsiaTheme="minorEastAsia"/>
          <w:sz w:val="24"/>
          <w:lang w:bidi="ar"/>
        </w:rPr>
        <w:t>。</w:t>
      </w:r>
    </w:p>
    <w:p w14:paraId="20D4B8C8">
      <w:pPr>
        <w:widowControl/>
        <w:adjustRightInd w:val="0"/>
        <w:snapToGrid w:val="0"/>
        <w:spacing w:line="360" w:lineRule="auto"/>
        <w:ind w:firstLine="480" w:firstLineChars="200"/>
        <w:jc w:val="left"/>
        <w:rPr>
          <w:rFonts w:eastAsiaTheme="minorEastAsia"/>
          <w:bCs/>
          <w:sz w:val="24"/>
          <w:lang w:bidi="ar"/>
        </w:rPr>
      </w:pPr>
      <w:r>
        <w:rPr>
          <w:rFonts w:hint="eastAsia" w:eastAsiaTheme="minorEastAsia"/>
          <w:sz w:val="24"/>
          <w:lang w:bidi="ar"/>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14:paraId="2A7AEED1">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14:paraId="3A4A472C">
      <w:pPr>
        <w:adjustRightInd w:val="0"/>
        <w:snapToGrid w:val="0"/>
        <w:spacing w:line="360" w:lineRule="auto"/>
        <w:ind w:firstLine="480" w:firstLineChars="200"/>
        <w:rPr>
          <w:sz w:val="24"/>
        </w:rPr>
      </w:pPr>
      <w:r>
        <w:rPr>
          <w:sz w:val="24"/>
          <w:lang w:bidi="ar"/>
        </w:rPr>
        <w:t>电子营业执照服务热线 400-699-7000</w:t>
      </w:r>
    </w:p>
    <w:p w14:paraId="18EF3F32">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14:paraId="4F787E00">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.1办理CA数字证书</w:t>
      </w:r>
      <w:r>
        <w:rPr>
          <w:sz w:val="24"/>
          <w:lang w:bidi="ar"/>
        </w:rPr>
        <w:t>或电子营业执照</w:t>
      </w:r>
    </w:p>
    <w:p w14:paraId="139239CB">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14:paraId="22140859">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.2注册</w:t>
      </w:r>
    </w:p>
    <w:p w14:paraId="487E9DE6">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14:paraId="0A0218A3">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.3驱动、客户端下载</w:t>
      </w:r>
    </w:p>
    <w:p w14:paraId="1DB5A47D">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14:paraId="3C3685E2">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14:paraId="3CEBA48E">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.4 获取电子竞争性磋商文件</w:t>
      </w:r>
    </w:p>
    <w:p w14:paraId="13499DF4">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14:paraId="5B0DE05B">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3DA5EDDB">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.5编制电子响应文件</w:t>
      </w:r>
    </w:p>
    <w:p w14:paraId="146F67E0">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14:paraId="4413EFB8">
      <w:pPr>
        <w:widowControl/>
        <w:spacing w:line="360" w:lineRule="auto"/>
        <w:ind w:firstLine="480" w:firstLineChars="200"/>
        <w:jc w:val="left"/>
        <w:rPr>
          <w:rFonts w:eastAsiaTheme="minorEastAsia"/>
          <w:sz w:val="24"/>
          <w:lang w:val="zh-TW" w:bidi="ar"/>
        </w:rPr>
      </w:pPr>
      <w:r>
        <w:rPr>
          <w:rFonts w:hint="eastAsia" w:eastAsiaTheme="minorEastAsia"/>
          <w:sz w:val="24"/>
          <w:lang w:bidi="ar"/>
        </w:rPr>
        <w:t>2</w:t>
      </w:r>
      <w:r>
        <w:rPr>
          <w:rFonts w:eastAsiaTheme="minorEastAsia"/>
          <w:sz w:val="24"/>
          <w:lang w:val="zh-TW" w:eastAsia="zh-TW" w:bidi="ar"/>
        </w:rPr>
        <w:t>.6</w:t>
      </w:r>
      <w:r>
        <w:rPr>
          <w:rFonts w:eastAsiaTheme="minorEastAsia"/>
          <w:sz w:val="24"/>
          <w:lang w:val="zh-TW" w:bidi="ar"/>
        </w:rPr>
        <w:t>提交电子响应文件</w:t>
      </w:r>
    </w:p>
    <w:p w14:paraId="7AF9C32D">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30CFBEC1">
      <w:pPr>
        <w:spacing w:line="360" w:lineRule="auto"/>
        <w:ind w:firstLine="480" w:firstLineChars="200"/>
        <w:rPr>
          <w:rFonts w:eastAsiaTheme="minorEastAsia"/>
          <w:sz w:val="24"/>
          <w:lang w:eastAsia="zh-TW"/>
        </w:rPr>
      </w:pPr>
      <w:r>
        <w:rPr>
          <w:rFonts w:hint="eastAsia" w:eastAsiaTheme="minorEastAsia"/>
          <w:sz w:val="24"/>
          <w:lang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14:paraId="7BB824E6">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418BE41F">
      <w:pPr>
        <w:spacing w:line="360" w:lineRule="auto"/>
        <w:ind w:firstLine="480" w:firstLineChars="200"/>
        <w:rPr>
          <w:rFonts w:eastAsiaTheme="minorEastAsia"/>
          <w:sz w:val="24"/>
        </w:rPr>
      </w:pPr>
    </w:p>
    <w:p w14:paraId="250AF078">
      <w:pPr>
        <w:pStyle w:val="3"/>
        <w:spacing w:before="0" w:line="360" w:lineRule="auto"/>
        <w:jc w:val="left"/>
        <w:rPr>
          <w:rFonts w:ascii="Times New Roman" w:hAnsi="Times New Roman" w:eastAsiaTheme="minorEastAsia"/>
          <w:sz w:val="24"/>
          <w:szCs w:val="24"/>
        </w:rPr>
      </w:pPr>
      <w:bookmarkStart w:id="27" w:name="_Toc28359085"/>
      <w:bookmarkStart w:id="28" w:name="_Toc28359008"/>
      <w:bookmarkStart w:id="29" w:name="_Toc35393796"/>
      <w:bookmarkStart w:id="30" w:name="_Toc35393627"/>
      <w:r>
        <w:rPr>
          <w:rFonts w:ascii="Times New Roman" w:hAnsi="Times New Roman" w:eastAsiaTheme="minorEastAsia"/>
          <w:sz w:val="24"/>
          <w:szCs w:val="24"/>
        </w:rPr>
        <w:t>八、对本次采购提出询问，请按以下方式联系。</w:t>
      </w:r>
      <w:bookmarkEnd w:id="27"/>
      <w:bookmarkEnd w:id="28"/>
      <w:bookmarkEnd w:id="29"/>
      <w:bookmarkEnd w:id="30"/>
    </w:p>
    <w:p w14:paraId="43F0C201">
      <w:pPr>
        <w:widowControl/>
        <w:spacing w:line="360" w:lineRule="auto"/>
        <w:jc w:val="left"/>
        <w:rPr>
          <w:rFonts w:eastAsiaTheme="minorEastAsia"/>
          <w:b/>
          <w:sz w:val="24"/>
        </w:rPr>
      </w:pPr>
      <w:r>
        <w:rPr>
          <w:rFonts w:eastAsiaTheme="minorEastAsia"/>
          <w:sz w:val="24"/>
        </w:rPr>
        <w:t>　　　</w:t>
      </w:r>
      <w:r>
        <w:rPr>
          <w:rFonts w:eastAsiaTheme="minorEastAsia"/>
          <w:b/>
          <w:sz w:val="24"/>
        </w:rPr>
        <w:t>1.采购人信息</w:t>
      </w:r>
    </w:p>
    <w:p w14:paraId="23D120B8">
      <w:pPr>
        <w:spacing w:line="360" w:lineRule="auto"/>
        <w:ind w:left="1079" w:leftChars="371" w:hanging="300" w:hangingChars="125"/>
        <w:jc w:val="left"/>
        <w:rPr>
          <w:rFonts w:eastAsiaTheme="minorEastAsia"/>
          <w:sz w:val="24"/>
        </w:rPr>
      </w:pPr>
      <w:bookmarkStart w:id="31" w:name="_Toc28359086"/>
      <w:bookmarkStart w:id="32" w:name="_Toc28359009"/>
      <w:r>
        <w:rPr>
          <w:rFonts w:eastAsiaTheme="minorEastAsia"/>
          <w:sz w:val="24"/>
        </w:rPr>
        <w:t>名    称：</w:t>
      </w:r>
      <w:r>
        <w:rPr>
          <w:rFonts w:hint="eastAsia" w:eastAsiaTheme="minorEastAsia"/>
          <w:sz w:val="24"/>
          <w:u w:val="single"/>
        </w:rPr>
        <w:t>北京市丰台区职业教育中心学校</w:t>
      </w:r>
    </w:p>
    <w:p w14:paraId="77A830F7">
      <w:pPr>
        <w:spacing w:line="360" w:lineRule="auto"/>
        <w:ind w:left="1079" w:leftChars="371" w:hanging="300" w:hangingChars="125"/>
        <w:jc w:val="left"/>
        <w:rPr>
          <w:rFonts w:eastAsiaTheme="minorEastAsia"/>
          <w:sz w:val="24"/>
          <w:u w:val="single"/>
        </w:rPr>
      </w:pPr>
      <w:r>
        <w:rPr>
          <w:rFonts w:eastAsiaTheme="minorEastAsia"/>
          <w:sz w:val="24"/>
        </w:rPr>
        <w:t>地    址：</w:t>
      </w:r>
      <w:r>
        <w:rPr>
          <w:rFonts w:hint="eastAsia" w:ascii="宋体" w:hAnsi="宋体" w:cs="宋体"/>
          <w:sz w:val="24"/>
          <w:u w:val="single"/>
        </w:rPr>
        <w:t>北京市丰台区方庄芳古园二区9号</w:t>
      </w:r>
    </w:p>
    <w:p w14:paraId="17B0E416">
      <w:pPr>
        <w:spacing w:line="360" w:lineRule="auto"/>
        <w:ind w:left="1079" w:leftChars="371" w:hanging="300" w:hangingChars="125"/>
        <w:jc w:val="left"/>
        <w:rPr>
          <w:rFonts w:eastAsiaTheme="minorEastAsia"/>
          <w:sz w:val="24"/>
          <w:u w:val="single"/>
        </w:rPr>
      </w:pPr>
      <w:r>
        <w:rPr>
          <w:rFonts w:eastAsiaTheme="minorEastAsia"/>
          <w:sz w:val="24"/>
        </w:rPr>
        <w:t>联系方式：</w:t>
      </w:r>
      <w:r>
        <w:rPr>
          <w:rFonts w:hint="eastAsia" w:ascii="宋体" w:hAnsi="宋体" w:cs="宋体"/>
          <w:sz w:val="24"/>
          <w:u w:val="single"/>
        </w:rPr>
        <w:t xml:space="preserve">王老师010-67633369-8222 </w:t>
      </w:r>
    </w:p>
    <w:p w14:paraId="18A6EEA6">
      <w:pPr>
        <w:spacing w:line="360" w:lineRule="auto"/>
        <w:ind w:left="1078" w:leftChars="371" w:hanging="299" w:hangingChars="124"/>
        <w:jc w:val="left"/>
        <w:rPr>
          <w:rFonts w:eastAsiaTheme="minorEastAsia"/>
          <w:b/>
          <w:sz w:val="24"/>
        </w:rPr>
      </w:pPr>
      <w:r>
        <w:rPr>
          <w:rFonts w:eastAsiaTheme="minorEastAsia"/>
          <w:b/>
          <w:sz w:val="24"/>
        </w:rPr>
        <w:t>2.采购代理机构信息</w:t>
      </w:r>
      <w:bookmarkEnd w:id="31"/>
      <w:bookmarkEnd w:id="32"/>
    </w:p>
    <w:p w14:paraId="6F83DF96">
      <w:pPr>
        <w:spacing w:line="360" w:lineRule="auto"/>
        <w:ind w:left="1076" w:leftChars="371" w:hanging="297" w:hangingChars="124"/>
        <w:jc w:val="left"/>
        <w:rPr>
          <w:rFonts w:eastAsiaTheme="minorEastAsia"/>
          <w:sz w:val="24"/>
        </w:rPr>
      </w:pPr>
      <w:bookmarkStart w:id="33" w:name="_Toc28359087"/>
      <w:bookmarkStart w:id="34" w:name="_Toc28359010"/>
      <w:r>
        <w:rPr>
          <w:rFonts w:eastAsiaTheme="minorEastAsia"/>
          <w:sz w:val="24"/>
        </w:rPr>
        <w:t>名    称：</w:t>
      </w:r>
      <w:r>
        <w:rPr>
          <w:rFonts w:hint="eastAsia" w:eastAsiaTheme="minorEastAsia"/>
          <w:sz w:val="24"/>
          <w:u w:val="single"/>
        </w:rPr>
        <w:t>北京宝辰工程管理股份有限公司</w:t>
      </w:r>
    </w:p>
    <w:p w14:paraId="06350447">
      <w:pPr>
        <w:spacing w:line="360" w:lineRule="auto"/>
        <w:ind w:left="1076" w:leftChars="371" w:hanging="297" w:hangingChars="124"/>
        <w:jc w:val="left"/>
        <w:rPr>
          <w:rFonts w:eastAsiaTheme="minorEastAsia"/>
          <w:sz w:val="24"/>
        </w:rPr>
      </w:pPr>
      <w:r>
        <w:rPr>
          <w:rFonts w:eastAsiaTheme="minorEastAsia"/>
          <w:sz w:val="24"/>
        </w:rPr>
        <w:t>地    址：</w:t>
      </w:r>
      <w:r>
        <w:rPr>
          <w:rFonts w:hint="eastAsia" w:ascii="宋体" w:hAnsi="宋体" w:cs="宋体"/>
          <w:sz w:val="24"/>
          <w:u w:val="single"/>
        </w:rPr>
        <w:t>北京市丰台区南四环西路188号（总部基地）六区16号楼6层</w:t>
      </w:r>
      <w:r>
        <w:rPr>
          <w:rFonts w:hint="eastAsia" w:eastAsiaTheme="minorEastAsia"/>
          <w:sz w:val="24"/>
          <w:u w:val="single"/>
        </w:rPr>
        <w:t xml:space="preserve"> </w:t>
      </w:r>
    </w:p>
    <w:p w14:paraId="4BB66D00">
      <w:pPr>
        <w:spacing w:line="360" w:lineRule="auto"/>
        <w:ind w:left="1076" w:leftChars="371" w:hanging="297" w:hangingChars="124"/>
        <w:jc w:val="left"/>
        <w:rPr>
          <w:rFonts w:eastAsiaTheme="minorEastAsia"/>
          <w:sz w:val="24"/>
          <w:u w:val="single"/>
        </w:rPr>
      </w:pPr>
      <w:r>
        <w:rPr>
          <w:rFonts w:eastAsiaTheme="minorEastAsia"/>
          <w:sz w:val="24"/>
        </w:rPr>
        <w:t>联系方式：</w:t>
      </w:r>
      <w:r>
        <w:rPr>
          <w:rFonts w:hint="eastAsia" w:ascii="宋体" w:hAnsi="宋体" w:cs="宋体"/>
          <w:sz w:val="24"/>
          <w:u w:val="single"/>
        </w:rPr>
        <w:t>赵子超13661290203</w:t>
      </w:r>
    </w:p>
    <w:p w14:paraId="13C0F7CF">
      <w:pPr>
        <w:spacing w:line="360" w:lineRule="auto"/>
        <w:ind w:left="1078" w:leftChars="371" w:hanging="299" w:hangingChars="124"/>
        <w:rPr>
          <w:rFonts w:eastAsiaTheme="minorEastAsia"/>
          <w:b/>
          <w:sz w:val="24"/>
          <w:u w:val="single"/>
        </w:rPr>
      </w:pPr>
      <w:r>
        <w:rPr>
          <w:rFonts w:eastAsiaTheme="minorEastAsia"/>
          <w:b/>
          <w:sz w:val="24"/>
        </w:rPr>
        <w:t>3.项目联系方式</w:t>
      </w:r>
      <w:bookmarkEnd w:id="33"/>
      <w:bookmarkEnd w:id="34"/>
    </w:p>
    <w:p w14:paraId="5857171D">
      <w:pPr>
        <w:pStyle w:val="23"/>
        <w:spacing w:line="360" w:lineRule="auto"/>
        <w:ind w:left="1076" w:leftChars="371" w:hanging="297" w:hangingChars="124"/>
        <w:rPr>
          <w:rFonts w:hint="default" w:eastAsiaTheme="minorEastAsia"/>
          <w:sz w:val="24"/>
          <w:u w:val="single"/>
        </w:rPr>
      </w:pPr>
      <w:r>
        <w:rPr>
          <w:rFonts w:hint="default" w:ascii="Times New Roman" w:hAnsi="Times New Roman" w:eastAsiaTheme="minorEastAsia"/>
          <w:sz w:val="24"/>
          <w:szCs w:val="24"/>
        </w:rPr>
        <w:t>项目联系人：</w:t>
      </w:r>
      <w:r>
        <w:rPr>
          <w:rFonts w:eastAsiaTheme="minorEastAsia"/>
          <w:sz w:val="24"/>
          <w:u w:val="single"/>
        </w:rPr>
        <w:t xml:space="preserve"> </w:t>
      </w:r>
      <w:r>
        <w:rPr>
          <w:rFonts w:hAnsi="宋体" w:cs="宋体"/>
          <w:sz w:val="24"/>
          <w:u w:val="single"/>
        </w:rPr>
        <w:t>赵子超</w:t>
      </w:r>
    </w:p>
    <w:p w14:paraId="412FB76F">
      <w:pPr>
        <w:pStyle w:val="23"/>
        <w:spacing w:line="360" w:lineRule="auto"/>
        <w:ind w:left="1076" w:leftChars="371" w:hanging="297" w:hangingChars="124"/>
        <w:rPr>
          <w:rFonts w:hint="default" w:ascii="Times New Roman" w:hAnsi="Times New Roman" w:eastAsiaTheme="minorEastAsia"/>
          <w:sz w:val="24"/>
          <w:szCs w:val="24"/>
        </w:rPr>
      </w:pPr>
      <w:r>
        <w:rPr>
          <w:rFonts w:hint="default" w:ascii="Times New Roman" w:hAnsi="Times New Roman" w:eastAsiaTheme="minorEastAsia"/>
          <w:sz w:val="24"/>
        </w:rPr>
        <w:t>电      话：</w:t>
      </w:r>
      <w:r>
        <w:rPr>
          <w:rFonts w:eastAsiaTheme="minorEastAsia"/>
          <w:sz w:val="24"/>
          <w:u w:val="single"/>
        </w:rPr>
        <w:t xml:space="preserve"> </w:t>
      </w:r>
      <w:r>
        <w:rPr>
          <w:rFonts w:hAnsi="宋体" w:cs="宋体"/>
          <w:sz w:val="24"/>
          <w:u w:val="single"/>
        </w:rPr>
        <w:t>13661290203</w:t>
      </w:r>
    </w:p>
    <w:p w14:paraId="4300B859">
      <w:pPr>
        <w:pStyle w:val="2"/>
        <w:rPr>
          <w:rFonts w:hint="eastAsia" w:eastAsiaTheme="minorEastAsia"/>
          <w:szCs w:val="32"/>
        </w:rPr>
      </w:pPr>
      <w:r>
        <w:rPr>
          <w:rFonts w:eastAsiaTheme="minorEastAsia"/>
        </w:rPr>
        <w:br w:type="page"/>
      </w:r>
      <w:bookmarkStart w:id="35" w:name="_Toc195842950"/>
      <w:bookmarkStart w:id="36" w:name="_Toc265228423"/>
      <w:bookmarkStart w:id="37" w:name="_Toc10617"/>
      <w:bookmarkStart w:id="38" w:name="_Toc127161488"/>
      <w:bookmarkStart w:id="39" w:name="_Toc226965856"/>
      <w:bookmarkStart w:id="40" w:name="_Toc353825548"/>
      <w:bookmarkStart w:id="41" w:name="_Toc512937850"/>
      <w:bookmarkStart w:id="42" w:name="_Toc353873938"/>
      <w:bookmarkStart w:id="43" w:name="_Toc305158928"/>
      <w:bookmarkStart w:id="44" w:name="_Toc127151777"/>
      <w:bookmarkStart w:id="45" w:name="_Toc264969275"/>
      <w:bookmarkStart w:id="46" w:name="_Toc305158854"/>
      <w:bookmarkStart w:id="47" w:name="_Toc150774783"/>
      <w:r>
        <w:t>第二章   供应商须知</w:t>
      </w:r>
      <w:bookmarkEnd w:id="35"/>
      <w:bookmarkEnd w:id="36"/>
      <w:bookmarkEnd w:id="37"/>
      <w:bookmarkEnd w:id="38"/>
      <w:bookmarkEnd w:id="39"/>
      <w:bookmarkEnd w:id="40"/>
      <w:bookmarkEnd w:id="41"/>
      <w:bookmarkEnd w:id="42"/>
      <w:bookmarkEnd w:id="43"/>
      <w:bookmarkEnd w:id="44"/>
      <w:bookmarkEnd w:id="45"/>
      <w:bookmarkEnd w:id="46"/>
      <w:bookmarkEnd w:id="47"/>
    </w:p>
    <w:p w14:paraId="0B56D8EF">
      <w:pPr>
        <w:pStyle w:val="3"/>
        <w:tabs>
          <w:tab w:val="center" w:pos="4592"/>
          <w:tab w:val="left" w:pos="7860"/>
        </w:tabs>
        <w:spacing w:before="0" w:line="360" w:lineRule="auto"/>
        <w:rPr>
          <w:rFonts w:ascii="Times New Roman" w:hAnsi="Times New Roman" w:eastAsiaTheme="minorEastAsia"/>
          <w:b w:val="0"/>
          <w:sz w:val="28"/>
        </w:rPr>
      </w:pPr>
      <w:bookmarkStart w:id="48" w:name="_Toc150774724"/>
      <w:bookmarkStart w:id="49" w:name="_Toc151193617"/>
      <w:bookmarkStart w:id="50" w:name="_Toc164229360"/>
      <w:bookmarkStart w:id="51" w:name="_Toc142311021"/>
      <w:bookmarkStart w:id="52" w:name="_Toc127161433"/>
      <w:bookmarkStart w:id="53" w:name="_Toc164229214"/>
      <w:bookmarkStart w:id="54" w:name="_Toc226309763"/>
      <w:bookmarkStart w:id="55" w:name="_Toc151193833"/>
      <w:bookmarkStart w:id="56" w:name="_Toc150509270"/>
      <w:bookmarkStart w:id="57" w:name="_Toc151190146"/>
      <w:bookmarkStart w:id="58" w:name="_Toc150480757"/>
      <w:bookmarkStart w:id="59" w:name="_Toc149720812"/>
      <w:bookmarkStart w:id="60" w:name="_Toc164608788"/>
      <w:bookmarkStart w:id="61" w:name="_Toc127151519"/>
      <w:bookmarkStart w:id="62" w:name="_Toc164608633"/>
      <w:bookmarkStart w:id="63" w:name="_Toc151193761"/>
      <w:bookmarkStart w:id="64" w:name="_Toc226965792"/>
      <w:bookmarkStart w:id="65" w:name="_Toc226337215"/>
      <w:bookmarkStart w:id="66" w:name="_Toc226965709"/>
      <w:bookmarkStart w:id="67" w:name="_Toc164351613"/>
      <w:bookmarkStart w:id="68" w:name="_Toc520356144"/>
      <w:bookmarkStart w:id="69" w:name="_Toc151193907"/>
      <w:bookmarkStart w:id="70" w:name="_Toc150774619"/>
      <w:bookmarkStart w:id="71" w:name="_Toc195842884"/>
      <w:bookmarkStart w:id="72" w:name="_Toc127151720"/>
      <w:bookmarkStart w:id="73" w:name="_Toc151193689"/>
      <w:r>
        <w:rPr>
          <w:rFonts w:ascii="Times New Roman" w:hAnsi="Times New Roman" w:eastAsiaTheme="minorEastAsia"/>
          <w:sz w:val="28"/>
        </w:rPr>
        <w:t>供应商须知资料表</w:t>
      </w:r>
    </w:p>
    <w:p w14:paraId="7CAE94E2">
      <w:pPr>
        <w:jc w:val="center"/>
        <w:rPr>
          <w:rFonts w:eastAsiaTheme="minorEastAsia"/>
          <w:b/>
          <w:sz w:val="28"/>
          <w:szCs w:val="28"/>
        </w:rPr>
      </w:pPr>
    </w:p>
    <w:p w14:paraId="633D3E99">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4"/>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5F13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6545504C">
            <w:pPr>
              <w:jc w:val="center"/>
              <w:rPr>
                <w:rFonts w:eastAsiaTheme="minorEastAsia"/>
                <w:b/>
                <w:bCs/>
                <w:sz w:val="24"/>
              </w:rPr>
            </w:pPr>
            <w:r>
              <w:rPr>
                <w:rFonts w:eastAsiaTheme="minorEastAsia"/>
                <w:b/>
                <w:sz w:val="24"/>
              </w:rPr>
              <w:t>条款号</w:t>
            </w:r>
          </w:p>
        </w:tc>
        <w:tc>
          <w:tcPr>
            <w:tcW w:w="1701" w:type="dxa"/>
            <w:vAlign w:val="center"/>
          </w:tcPr>
          <w:p w14:paraId="7C33D042">
            <w:pPr>
              <w:jc w:val="center"/>
              <w:rPr>
                <w:rFonts w:eastAsiaTheme="minorEastAsia"/>
                <w:b/>
                <w:bCs/>
                <w:sz w:val="24"/>
              </w:rPr>
            </w:pPr>
            <w:r>
              <w:rPr>
                <w:rFonts w:eastAsiaTheme="minorEastAsia"/>
                <w:b/>
                <w:bCs/>
                <w:sz w:val="24"/>
              </w:rPr>
              <w:t>条目</w:t>
            </w:r>
          </w:p>
        </w:tc>
        <w:tc>
          <w:tcPr>
            <w:tcW w:w="7253" w:type="dxa"/>
            <w:vAlign w:val="center"/>
          </w:tcPr>
          <w:p w14:paraId="1DF0F918">
            <w:pPr>
              <w:jc w:val="center"/>
              <w:rPr>
                <w:rFonts w:eastAsiaTheme="minorEastAsia"/>
                <w:b/>
                <w:bCs/>
                <w:sz w:val="24"/>
              </w:rPr>
            </w:pPr>
            <w:r>
              <w:rPr>
                <w:rFonts w:eastAsiaTheme="minorEastAsia"/>
                <w:b/>
                <w:bCs/>
                <w:sz w:val="24"/>
              </w:rPr>
              <w:t>内容</w:t>
            </w:r>
          </w:p>
        </w:tc>
      </w:tr>
      <w:tr w14:paraId="1CD9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1CB7F36">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14:paraId="4256749B">
            <w:pPr>
              <w:jc w:val="center"/>
              <w:rPr>
                <w:rFonts w:eastAsiaTheme="minorEastAsia"/>
                <w:sz w:val="24"/>
              </w:rPr>
            </w:pPr>
            <w:r>
              <w:rPr>
                <w:rFonts w:eastAsiaTheme="minorEastAsia"/>
                <w:sz w:val="24"/>
              </w:rPr>
              <w:t>项目属性</w:t>
            </w:r>
          </w:p>
        </w:tc>
        <w:tc>
          <w:tcPr>
            <w:tcW w:w="7253" w:type="dxa"/>
            <w:vAlign w:val="center"/>
          </w:tcPr>
          <w:p w14:paraId="79A6A081">
            <w:pPr>
              <w:jc w:val="left"/>
              <w:rPr>
                <w:rFonts w:eastAsiaTheme="minorEastAsia"/>
                <w:sz w:val="24"/>
              </w:rPr>
            </w:pPr>
            <w:r>
              <w:rPr>
                <w:rFonts w:eastAsiaTheme="minorEastAsia"/>
                <w:sz w:val="24"/>
              </w:rPr>
              <w:t>项目属性：</w:t>
            </w:r>
          </w:p>
          <w:p w14:paraId="628BD3CE">
            <w:pPr>
              <w:jc w:val="left"/>
              <w:rPr>
                <w:rFonts w:eastAsiaTheme="minorEastAsia"/>
                <w:sz w:val="24"/>
              </w:rPr>
            </w:pPr>
            <w:r>
              <w:rPr>
                <w:rFonts w:hint="eastAsia" w:eastAsiaTheme="minorEastAsia"/>
              </w:rPr>
              <w:t>□</w:t>
            </w:r>
            <w:r>
              <w:rPr>
                <w:rFonts w:eastAsiaTheme="minorEastAsia"/>
                <w:sz w:val="24"/>
              </w:rPr>
              <w:t>服务</w:t>
            </w:r>
          </w:p>
          <w:p w14:paraId="387BD891">
            <w:pPr>
              <w:jc w:val="left"/>
              <w:rPr>
                <w:rFonts w:eastAsiaTheme="minorEastAsia"/>
                <w:sz w:val="24"/>
              </w:rPr>
            </w:pPr>
            <w:r>
              <w:rPr>
                <w:rFonts w:hint="eastAsia" w:eastAsiaTheme="minorEastAsia"/>
              </w:rPr>
              <w:t>□</w:t>
            </w:r>
            <w:r>
              <w:rPr>
                <w:rFonts w:eastAsiaTheme="minorEastAsia"/>
                <w:sz w:val="24"/>
              </w:rPr>
              <w:t>货物</w:t>
            </w:r>
          </w:p>
          <w:p w14:paraId="0080C483">
            <w:pPr>
              <w:jc w:val="left"/>
              <w:rPr>
                <w:rFonts w:eastAsiaTheme="minorEastAsia"/>
                <w:sz w:val="24"/>
              </w:rPr>
            </w:pPr>
            <w:r>
              <w:rPr>
                <w:rFonts w:hint="eastAsia" w:eastAsiaTheme="minorEastAsia"/>
              </w:rPr>
              <w:t>■</w:t>
            </w:r>
            <w:r>
              <w:rPr>
                <w:sz w:val="24"/>
              </w:rPr>
              <w:t>工程</w:t>
            </w:r>
          </w:p>
        </w:tc>
      </w:tr>
      <w:tr w14:paraId="7C96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5917BD1">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w:t>
            </w:r>
          </w:p>
        </w:tc>
        <w:tc>
          <w:tcPr>
            <w:tcW w:w="1701" w:type="dxa"/>
            <w:vAlign w:val="center"/>
          </w:tcPr>
          <w:p w14:paraId="23545B23">
            <w:pPr>
              <w:jc w:val="center"/>
              <w:rPr>
                <w:rFonts w:eastAsiaTheme="minorEastAsia"/>
                <w:sz w:val="24"/>
              </w:rPr>
            </w:pPr>
            <w:r>
              <w:rPr>
                <w:rFonts w:eastAsiaTheme="minorEastAsia"/>
                <w:sz w:val="24"/>
              </w:rPr>
              <w:t>科研仪器设备</w:t>
            </w:r>
          </w:p>
        </w:tc>
        <w:tc>
          <w:tcPr>
            <w:tcW w:w="7253" w:type="dxa"/>
            <w:vAlign w:val="center"/>
          </w:tcPr>
          <w:p w14:paraId="18C64E5A">
            <w:pPr>
              <w:jc w:val="left"/>
              <w:rPr>
                <w:rFonts w:eastAsiaTheme="minorEastAsia"/>
                <w:sz w:val="24"/>
              </w:rPr>
            </w:pPr>
            <w:r>
              <w:rPr>
                <w:rFonts w:eastAsiaTheme="minorEastAsia"/>
                <w:sz w:val="24"/>
              </w:rPr>
              <w:t>是否属于科研仪器设备采购项目：</w:t>
            </w:r>
          </w:p>
          <w:p w14:paraId="4C8E45B0">
            <w:pPr>
              <w:jc w:val="left"/>
              <w:rPr>
                <w:rFonts w:eastAsiaTheme="minorEastAsia"/>
                <w:sz w:val="24"/>
              </w:rPr>
            </w:pPr>
            <w:r>
              <w:rPr>
                <w:rFonts w:hint="eastAsia" w:eastAsiaTheme="minorEastAsia"/>
              </w:rPr>
              <w:t>□</w:t>
            </w:r>
            <w:r>
              <w:rPr>
                <w:rFonts w:eastAsiaTheme="minorEastAsia"/>
                <w:sz w:val="24"/>
              </w:rPr>
              <w:t>是</w:t>
            </w:r>
          </w:p>
          <w:p w14:paraId="6732FEA3">
            <w:pPr>
              <w:jc w:val="left"/>
              <w:rPr>
                <w:rFonts w:eastAsiaTheme="minorEastAsia"/>
                <w:sz w:val="24"/>
              </w:rPr>
            </w:pPr>
            <w:r>
              <w:rPr>
                <w:rFonts w:hint="eastAsia" w:eastAsiaTheme="minorEastAsia"/>
              </w:rPr>
              <w:t>■</w:t>
            </w:r>
            <w:r>
              <w:rPr>
                <w:rFonts w:eastAsiaTheme="minorEastAsia"/>
                <w:sz w:val="24"/>
              </w:rPr>
              <w:t>否</w:t>
            </w:r>
          </w:p>
        </w:tc>
      </w:tr>
      <w:tr w14:paraId="3654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163473CD">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3.1</w:t>
            </w:r>
          </w:p>
        </w:tc>
        <w:tc>
          <w:tcPr>
            <w:tcW w:w="1701" w:type="dxa"/>
            <w:vAlign w:val="center"/>
          </w:tcPr>
          <w:p w14:paraId="0A321769">
            <w:pPr>
              <w:jc w:val="center"/>
              <w:rPr>
                <w:rFonts w:eastAsiaTheme="minorEastAsia"/>
                <w:sz w:val="24"/>
              </w:rPr>
            </w:pPr>
            <w:r>
              <w:rPr>
                <w:rFonts w:eastAsiaTheme="minorEastAsia"/>
                <w:sz w:val="24"/>
              </w:rPr>
              <w:t>现场考察</w:t>
            </w:r>
          </w:p>
        </w:tc>
        <w:tc>
          <w:tcPr>
            <w:tcW w:w="7253" w:type="dxa"/>
            <w:vAlign w:val="center"/>
          </w:tcPr>
          <w:p w14:paraId="78BD358E">
            <w:pPr>
              <w:jc w:val="left"/>
              <w:rPr>
                <w:rFonts w:eastAsiaTheme="minorEastAsia"/>
                <w:sz w:val="24"/>
              </w:rPr>
            </w:pPr>
            <w:r>
              <w:rPr>
                <w:rFonts w:hint="eastAsia" w:eastAsiaTheme="minorEastAsia"/>
              </w:rPr>
              <w:t>■</w:t>
            </w:r>
            <w:r>
              <w:rPr>
                <w:rFonts w:eastAsiaTheme="minorEastAsia"/>
                <w:sz w:val="24"/>
              </w:rPr>
              <w:t>不组织</w:t>
            </w:r>
          </w:p>
          <w:p w14:paraId="130CC40E">
            <w:pPr>
              <w:jc w:val="left"/>
              <w:rPr>
                <w:rFonts w:eastAsiaTheme="minorEastAsia"/>
                <w:bCs/>
                <w:sz w:val="24"/>
              </w:rPr>
            </w:pPr>
            <w:r>
              <w:rPr>
                <w:rFonts w:hint="eastAsia" w:eastAsiaTheme="minorEastAsia"/>
              </w:rPr>
              <w:t>□</w:t>
            </w:r>
            <w:r>
              <w:rPr>
                <w:rFonts w:eastAsiaTheme="minorEastAsia"/>
                <w:sz w:val="24"/>
              </w:rPr>
              <w:t>组织，考察时间：___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5A179F0F">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考察地点：___________。</w:t>
            </w:r>
          </w:p>
        </w:tc>
      </w:tr>
      <w:tr w14:paraId="67BF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1CB7BE79">
            <w:pPr>
              <w:pStyle w:val="23"/>
              <w:adjustRightInd w:val="0"/>
              <w:snapToGrid w:val="0"/>
              <w:jc w:val="center"/>
              <w:rPr>
                <w:rFonts w:hint="default" w:ascii="Times New Roman" w:hAnsi="Times New Roman" w:eastAsiaTheme="minorEastAsia"/>
                <w:sz w:val="24"/>
                <w:szCs w:val="24"/>
              </w:rPr>
            </w:pPr>
          </w:p>
        </w:tc>
        <w:tc>
          <w:tcPr>
            <w:tcW w:w="1701" w:type="dxa"/>
            <w:vAlign w:val="center"/>
          </w:tcPr>
          <w:p w14:paraId="2EA2B895">
            <w:pPr>
              <w:jc w:val="center"/>
              <w:rPr>
                <w:rFonts w:eastAsiaTheme="minorEastAsia"/>
                <w:sz w:val="24"/>
              </w:rPr>
            </w:pPr>
            <w:r>
              <w:rPr>
                <w:rFonts w:eastAsiaTheme="minorEastAsia"/>
                <w:sz w:val="24"/>
              </w:rPr>
              <w:t>磋商前答疑会</w:t>
            </w:r>
          </w:p>
        </w:tc>
        <w:tc>
          <w:tcPr>
            <w:tcW w:w="7253" w:type="dxa"/>
            <w:vAlign w:val="center"/>
          </w:tcPr>
          <w:p w14:paraId="674B7779">
            <w:pPr>
              <w:jc w:val="left"/>
              <w:rPr>
                <w:rFonts w:eastAsiaTheme="minorEastAsia"/>
                <w:sz w:val="24"/>
              </w:rPr>
            </w:pPr>
            <w:r>
              <w:rPr>
                <w:rFonts w:hint="eastAsia" w:eastAsiaTheme="minorEastAsia"/>
              </w:rPr>
              <w:t>■</w:t>
            </w:r>
            <w:r>
              <w:rPr>
                <w:rFonts w:eastAsiaTheme="minorEastAsia"/>
                <w:sz w:val="24"/>
              </w:rPr>
              <w:t>不召开</w:t>
            </w:r>
          </w:p>
          <w:p w14:paraId="039A5ECC">
            <w:pPr>
              <w:jc w:val="left"/>
              <w:rPr>
                <w:rFonts w:eastAsiaTheme="minorEastAsia"/>
                <w:sz w:val="24"/>
              </w:rPr>
            </w:pPr>
            <w:r>
              <w:rPr>
                <w:rFonts w:hint="eastAsia" w:eastAsiaTheme="minorEastAsia"/>
              </w:rPr>
              <w:t>□</w:t>
            </w:r>
            <w:r>
              <w:rPr>
                <w:rFonts w:eastAsiaTheme="minorEastAsia"/>
                <w:sz w:val="24"/>
              </w:rPr>
              <w:t>召开，召开时间：___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7A5E87BE">
            <w:pPr>
              <w:jc w:val="left"/>
              <w:rPr>
                <w:rFonts w:eastAsiaTheme="minorEastAsia"/>
                <w:sz w:val="24"/>
              </w:rPr>
            </w:pPr>
            <w:r>
              <w:rPr>
                <w:rFonts w:eastAsiaTheme="minorEastAsia"/>
                <w:sz w:val="24"/>
              </w:rPr>
              <w:t>召开地点：___________。</w:t>
            </w:r>
          </w:p>
        </w:tc>
      </w:tr>
      <w:tr w14:paraId="6A61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1F1879D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4.3.5</w:t>
            </w:r>
          </w:p>
        </w:tc>
        <w:tc>
          <w:tcPr>
            <w:tcW w:w="1701" w:type="dxa"/>
            <w:vAlign w:val="center"/>
          </w:tcPr>
          <w:p w14:paraId="1D234DA2">
            <w:pPr>
              <w:jc w:val="center"/>
              <w:rPr>
                <w:rFonts w:eastAsiaTheme="minorEastAsia"/>
                <w:sz w:val="24"/>
              </w:rPr>
            </w:pPr>
            <w:r>
              <w:rPr>
                <w:rFonts w:eastAsiaTheme="minorEastAsia"/>
                <w:sz w:val="24"/>
              </w:rPr>
              <w:t>标的所属行业</w:t>
            </w:r>
          </w:p>
        </w:tc>
        <w:tc>
          <w:tcPr>
            <w:tcW w:w="7253" w:type="dxa"/>
            <w:vAlign w:val="center"/>
          </w:tcPr>
          <w:p w14:paraId="45A8A0A3">
            <w:pPr>
              <w:jc w:val="left"/>
              <w:rPr>
                <w:rFonts w:eastAsiaTheme="minorEastAsia"/>
                <w:sz w:val="24"/>
              </w:rPr>
            </w:pPr>
            <w:r>
              <w:rPr>
                <w:rFonts w:eastAsiaTheme="minorEastAsia"/>
                <w:sz w:val="24"/>
              </w:rPr>
              <w:t>本项目采购标的对应的中小企业划分标准所属行业：</w:t>
            </w:r>
          </w:p>
          <w:tbl>
            <w:tblPr>
              <w:tblStyle w:val="44"/>
              <w:tblW w:w="46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690"/>
              <w:gridCol w:w="3111"/>
            </w:tblGrid>
            <w:tr w14:paraId="44A3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14:paraId="7E95D6F1">
                  <w:pPr>
                    <w:jc w:val="center"/>
                    <w:rPr>
                      <w:rFonts w:eastAsiaTheme="minorEastAsia"/>
                      <w:bCs/>
                      <w:sz w:val="24"/>
                    </w:rPr>
                  </w:pPr>
                  <w:r>
                    <w:rPr>
                      <w:rFonts w:eastAsiaTheme="minorEastAsia"/>
                      <w:bCs/>
                      <w:sz w:val="24"/>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0A257705">
                  <w:pPr>
                    <w:jc w:val="center"/>
                    <w:rPr>
                      <w:rFonts w:eastAsiaTheme="minorEastAsia"/>
                      <w:bCs/>
                      <w:sz w:val="24"/>
                    </w:rPr>
                  </w:pPr>
                  <w:r>
                    <w:rPr>
                      <w:rFonts w:eastAsiaTheme="minorEastAsia"/>
                      <w:bCs/>
                      <w:sz w:val="24"/>
                    </w:rPr>
                    <w:t>标的名称</w:t>
                  </w:r>
                </w:p>
              </w:tc>
              <w:tc>
                <w:tcPr>
                  <w:tcW w:w="2381" w:type="pct"/>
                  <w:tcBorders>
                    <w:top w:val="single" w:color="auto" w:sz="4" w:space="0"/>
                    <w:left w:val="single" w:color="auto" w:sz="4" w:space="0"/>
                    <w:bottom w:val="single" w:color="auto" w:sz="4" w:space="0"/>
                    <w:right w:val="single" w:color="auto" w:sz="4" w:space="0"/>
                  </w:tcBorders>
                  <w:vAlign w:val="center"/>
                </w:tcPr>
                <w:p w14:paraId="031FEC49">
                  <w:pPr>
                    <w:jc w:val="center"/>
                    <w:rPr>
                      <w:rFonts w:eastAsiaTheme="minorEastAsia"/>
                      <w:sz w:val="24"/>
                    </w:rPr>
                  </w:pPr>
                  <w:r>
                    <w:rPr>
                      <w:rFonts w:eastAsiaTheme="minorEastAsia"/>
                      <w:sz w:val="24"/>
                    </w:rPr>
                    <w:t>中小企业划分标准所属行业</w:t>
                  </w:r>
                </w:p>
              </w:tc>
            </w:tr>
            <w:tr w14:paraId="66CA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14:paraId="3A84F0F1">
                  <w:pPr>
                    <w:jc w:val="center"/>
                    <w:rPr>
                      <w:rFonts w:eastAsiaTheme="minorEastAsia"/>
                      <w:bCs/>
                      <w:sz w:val="24"/>
                    </w:rPr>
                  </w:pPr>
                  <w:r>
                    <w:rPr>
                      <w:rFonts w:hint="eastAsia" w:eastAsiaTheme="minorEastAsia"/>
                      <w:bCs/>
                      <w:sz w:val="24"/>
                    </w:rPr>
                    <w:t>01</w:t>
                  </w:r>
                </w:p>
              </w:tc>
              <w:tc>
                <w:tcPr>
                  <w:tcW w:w="2058" w:type="pct"/>
                  <w:tcBorders>
                    <w:top w:val="single" w:color="auto" w:sz="4" w:space="0"/>
                    <w:left w:val="single" w:color="auto" w:sz="4" w:space="0"/>
                    <w:bottom w:val="single" w:color="auto" w:sz="4" w:space="0"/>
                    <w:right w:val="single" w:color="auto" w:sz="4" w:space="0"/>
                  </w:tcBorders>
                  <w:vAlign w:val="center"/>
                </w:tcPr>
                <w:p w14:paraId="66B4D5BB">
                  <w:pPr>
                    <w:jc w:val="center"/>
                    <w:rPr>
                      <w:rFonts w:eastAsiaTheme="minorEastAsia"/>
                      <w:bCs/>
                      <w:sz w:val="24"/>
                    </w:rPr>
                  </w:pPr>
                  <w:r>
                    <w:rPr>
                      <w:rFonts w:hint="eastAsia" w:eastAsiaTheme="minorEastAsia"/>
                      <w:bCs/>
                      <w:sz w:val="24"/>
                    </w:rPr>
                    <w:t>额度外—2026年丰台区职业教育中心学校芳群园校区四楼改造其他建筑工程采购项目</w:t>
                  </w:r>
                </w:p>
              </w:tc>
              <w:tc>
                <w:tcPr>
                  <w:tcW w:w="2381" w:type="pct"/>
                  <w:tcBorders>
                    <w:top w:val="single" w:color="auto" w:sz="4" w:space="0"/>
                    <w:left w:val="single" w:color="auto" w:sz="4" w:space="0"/>
                    <w:bottom w:val="single" w:color="auto" w:sz="4" w:space="0"/>
                    <w:right w:val="single" w:color="auto" w:sz="4" w:space="0"/>
                  </w:tcBorders>
                  <w:vAlign w:val="center"/>
                </w:tcPr>
                <w:p w14:paraId="59DF5D73">
                  <w:pPr>
                    <w:jc w:val="center"/>
                    <w:rPr>
                      <w:rFonts w:eastAsiaTheme="minorEastAsia"/>
                      <w:kern w:val="0"/>
                      <w:sz w:val="24"/>
                    </w:rPr>
                  </w:pPr>
                  <w:r>
                    <w:rPr>
                      <w:rFonts w:hint="eastAsia"/>
                      <w:b/>
                      <w:bCs/>
                      <w:kern w:val="0"/>
                      <w:sz w:val="24"/>
                      <w:u w:val="single"/>
                    </w:rPr>
                    <w:t>建筑业</w:t>
                  </w:r>
                </w:p>
              </w:tc>
            </w:tr>
          </w:tbl>
          <w:p w14:paraId="322E8552">
            <w:pPr>
              <w:jc w:val="left"/>
              <w:rPr>
                <w:rFonts w:eastAsiaTheme="minorEastAsia"/>
                <w:sz w:val="24"/>
              </w:rPr>
            </w:pPr>
          </w:p>
        </w:tc>
      </w:tr>
      <w:tr w14:paraId="17CB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0AEE002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10.2</w:t>
            </w:r>
          </w:p>
        </w:tc>
        <w:tc>
          <w:tcPr>
            <w:tcW w:w="1701" w:type="dxa"/>
            <w:vAlign w:val="center"/>
          </w:tcPr>
          <w:p w14:paraId="2BF11A77">
            <w:pPr>
              <w:jc w:val="center"/>
              <w:rPr>
                <w:rFonts w:eastAsiaTheme="minorEastAsia"/>
                <w:sz w:val="24"/>
              </w:rPr>
            </w:pPr>
            <w:r>
              <w:rPr>
                <w:rFonts w:eastAsiaTheme="minorEastAsia"/>
                <w:sz w:val="24"/>
              </w:rPr>
              <w:t>报价</w:t>
            </w:r>
          </w:p>
        </w:tc>
        <w:tc>
          <w:tcPr>
            <w:tcW w:w="7253" w:type="dxa"/>
            <w:vAlign w:val="center"/>
          </w:tcPr>
          <w:p w14:paraId="4926002C">
            <w:pPr>
              <w:jc w:val="left"/>
              <w:rPr>
                <w:rFonts w:eastAsiaTheme="minorEastAsia"/>
                <w:sz w:val="24"/>
              </w:rPr>
            </w:pPr>
            <w:r>
              <w:rPr>
                <w:rFonts w:eastAsiaTheme="minorEastAsia"/>
                <w:sz w:val="24"/>
              </w:rPr>
              <w:t>报价的特殊规定：</w:t>
            </w:r>
          </w:p>
          <w:p w14:paraId="536F7217">
            <w:pPr>
              <w:jc w:val="left"/>
              <w:rPr>
                <w:rFonts w:eastAsiaTheme="minorEastAsia"/>
                <w:sz w:val="24"/>
              </w:rPr>
            </w:pPr>
            <w:r>
              <w:rPr>
                <w:rFonts w:eastAsiaTheme="minorEastAsia"/>
              </w:rPr>
              <w:t>□</w:t>
            </w:r>
            <w:r>
              <w:rPr>
                <w:rFonts w:eastAsiaTheme="minorEastAsia"/>
                <w:sz w:val="24"/>
              </w:rPr>
              <w:t>无</w:t>
            </w:r>
          </w:p>
          <w:p w14:paraId="2A177EE4">
            <w:pPr>
              <w:jc w:val="left"/>
              <w:rPr>
                <w:rFonts w:eastAsiaTheme="minorEastAsia"/>
                <w:sz w:val="24"/>
              </w:rPr>
            </w:pPr>
            <w:r>
              <w:rPr>
                <w:rFonts w:eastAsiaTheme="minorEastAsia"/>
              </w:rPr>
              <w:t>□</w:t>
            </w:r>
            <w:r>
              <w:rPr>
                <w:rFonts w:eastAsiaTheme="minorEastAsia"/>
                <w:sz w:val="24"/>
              </w:rPr>
              <w:t>有，具体情形：___________。</w:t>
            </w:r>
          </w:p>
        </w:tc>
      </w:tr>
      <w:tr w14:paraId="1432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5A728A9">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Merge w:val="restart"/>
            <w:vAlign w:val="center"/>
          </w:tcPr>
          <w:p w14:paraId="45CD8C9D">
            <w:pPr>
              <w:jc w:val="center"/>
              <w:rPr>
                <w:rFonts w:eastAsiaTheme="minorEastAsia"/>
                <w:sz w:val="24"/>
              </w:rPr>
            </w:pPr>
            <w:r>
              <w:rPr>
                <w:rFonts w:eastAsiaTheme="minorEastAsia"/>
                <w:sz w:val="24"/>
              </w:rPr>
              <w:t>磋商保证金</w:t>
            </w:r>
            <w:r>
              <w:rPr>
                <w:rFonts w:hint="eastAsia" w:eastAsiaTheme="minorEastAsia"/>
                <w:sz w:val="24"/>
              </w:rPr>
              <w:t>（本项目不收取）</w:t>
            </w:r>
          </w:p>
        </w:tc>
        <w:tc>
          <w:tcPr>
            <w:tcW w:w="7253" w:type="dxa"/>
            <w:vAlign w:val="center"/>
          </w:tcPr>
          <w:p w14:paraId="11736512">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磋商保证金金额：</w:t>
            </w:r>
          </w:p>
          <w:p w14:paraId="1877EE0F">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01包：</w:t>
            </w:r>
            <w:r>
              <w:rPr>
                <w:rFonts w:eastAsiaTheme="minorEastAsia"/>
                <w:sz w:val="24"/>
                <w:u w:val="single"/>
              </w:rPr>
              <w:t xml:space="preserve"> / </w:t>
            </w:r>
            <w:r>
              <w:rPr>
                <w:rFonts w:hint="default" w:ascii="Times New Roman" w:hAnsi="Times New Roman" w:eastAsiaTheme="minorEastAsia"/>
                <w:sz w:val="24"/>
                <w:szCs w:val="24"/>
              </w:rPr>
              <w:t>；</w:t>
            </w:r>
          </w:p>
          <w:p w14:paraId="04BBEBF5">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 包：</w:t>
            </w:r>
            <w:r>
              <w:rPr>
                <w:rFonts w:eastAsiaTheme="minorEastAsia"/>
                <w:sz w:val="24"/>
                <w:u w:val="single"/>
              </w:rPr>
              <w:t xml:space="preserve"> / </w:t>
            </w:r>
            <w:r>
              <w:rPr>
                <w:rFonts w:hint="default" w:ascii="Times New Roman" w:hAnsi="Times New Roman" w:eastAsiaTheme="minorEastAsia"/>
                <w:sz w:val="24"/>
                <w:szCs w:val="24"/>
              </w:rPr>
              <w:t>。</w:t>
            </w:r>
          </w:p>
          <w:p w14:paraId="799994BC">
            <w:pPr>
              <w:jc w:val="left"/>
              <w:rPr>
                <w:rFonts w:eastAsiaTheme="minorEastAsia"/>
                <w:sz w:val="24"/>
              </w:rPr>
            </w:pPr>
            <w:r>
              <w:rPr>
                <w:rFonts w:eastAsiaTheme="minorEastAsia"/>
                <w:sz w:val="24"/>
              </w:rPr>
              <w:t>磋商保证金收受人信息：</w:t>
            </w:r>
            <w:r>
              <w:rPr>
                <w:rFonts w:hint="eastAsia" w:eastAsiaTheme="minorEastAsia"/>
                <w:sz w:val="24"/>
                <w:u w:val="single"/>
              </w:rPr>
              <w:t xml:space="preserve"> / </w:t>
            </w:r>
            <w:r>
              <w:rPr>
                <w:rFonts w:hint="eastAsia" w:eastAsiaTheme="minorEastAsia"/>
                <w:sz w:val="24"/>
              </w:rPr>
              <w:t xml:space="preserve"> </w:t>
            </w:r>
            <w:r>
              <w:rPr>
                <w:rFonts w:eastAsiaTheme="minorEastAsia"/>
                <w:sz w:val="24"/>
              </w:rPr>
              <w:t>。</w:t>
            </w:r>
          </w:p>
        </w:tc>
      </w:tr>
      <w:tr w14:paraId="0526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0B397F0">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Merge w:val="continue"/>
            <w:vAlign w:val="center"/>
          </w:tcPr>
          <w:p w14:paraId="229EEE45">
            <w:pPr>
              <w:jc w:val="center"/>
              <w:rPr>
                <w:rFonts w:eastAsiaTheme="minorEastAsia"/>
                <w:sz w:val="24"/>
              </w:rPr>
            </w:pPr>
          </w:p>
        </w:tc>
        <w:tc>
          <w:tcPr>
            <w:tcW w:w="7253" w:type="dxa"/>
            <w:vAlign w:val="center"/>
          </w:tcPr>
          <w:p w14:paraId="08C90C5E">
            <w:pPr>
              <w:jc w:val="left"/>
              <w:rPr>
                <w:rFonts w:eastAsiaTheme="minorEastAsia"/>
                <w:sz w:val="24"/>
              </w:rPr>
            </w:pPr>
            <w:r>
              <w:rPr>
                <w:rFonts w:eastAsiaTheme="minorEastAsia"/>
                <w:sz w:val="24"/>
              </w:rPr>
              <w:t>磋商保证金不予退还的其他情形：</w:t>
            </w:r>
          </w:p>
          <w:p w14:paraId="058C2DF3">
            <w:pPr>
              <w:jc w:val="left"/>
              <w:rPr>
                <w:rFonts w:eastAsiaTheme="minorEastAsia"/>
                <w:sz w:val="24"/>
              </w:rPr>
            </w:pPr>
            <w:r>
              <w:rPr>
                <w:rFonts w:eastAsiaTheme="minorEastAsia"/>
              </w:rPr>
              <w:t>□</w:t>
            </w:r>
            <w:r>
              <w:rPr>
                <w:rFonts w:eastAsiaTheme="minorEastAsia"/>
                <w:sz w:val="24"/>
              </w:rPr>
              <w:t>无</w:t>
            </w:r>
          </w:p>
          <w:p w14:paraId="572E40AA">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rPr>
              <w:t>□</w:t>
            </w:r>
            <w:r>
              <w:rPr>
                <w:rFonts w:hint="default" w:ascii="Times New Roman" w:hAnsi="Times New Roman" w:eastAsiaTheme="minorEastAsia"/>
                <w:sz w:val="24"/>
              </w:rPr>
              <w:t>有，具体情形：___________。</w:t>
            </w:r>
          </w:p>
        </w:tc>
      </w:tr>
      <w:tr w14:paraId="6B59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344D44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12.1</w:t>
            </w:r>
          </w:p>
        </w:tc>
        <w:tc>
          <w:tcPr>
            <w:tcW w:w="1701" w:type="dxa"/>
            <w:vAlign w:val="center"/>
          </w:tcPr>
          <w:p w14:paraId="6FE1F4D8">
            <w:pPr>
              <w:jc w:val="center"/>
              <w:rPr>
                <w:rFonts w:eastAsiaTheme="minorEastAsia"/>
                <w:sz w:val="24"/>
              </w:rPr>
            </w:pPr>
            <w:r>
              <w:rPr>
                <w:rFonts w:eastAsiaTheme="minorEastAsia"/>
                <w:sz w:val="24"/>
              </w:rPr>
              <w:t>响应有效期</w:t>
            </w:r>
          </w:p>
        </w:tc>
        <w:tc>
          <w:tcPr>
            <w:tcW w:w="7253" w:type="dxa"/>
            <w:vAlign w:val="center"/>
          </w:tcPr>
          <w:p w14:paraId="0A8D73BC">
            <w:pPr>
              <w:jc w:val="left"/>
              <w:rPr>
                <w:rFonts w:eastAsiaTheme="minorEastAsia"/>
                <w:sz w:val="24"/>
              </w:rPr>
            </w:pPr>
            <w:r>
              <w:rPr>
                <w:rFonts w:eastAsiaTheme="minorEastAsia"/>
                <w:sz w:val="24"/>
              </w:rPr>
              <w:t>自响应文件提交截止之日起算</w:t>
            </w:r>
            <w:r>
              <w:rPr>
                <w:rFonts w:hint="eastAsia" w:eastAsiaTheme="minorEastAsia"/>
                <w:sz w:val="24"/>
              </w:rPr>
              <w:t>90</w:t>
            </w:r>
            <w:r>
              <w:rPr>
                <w:rFonts w:eastAsiaTheme="minorEastAsia"/>
                <w:sz w:val="24"/>
              </w:rPr>
              <w:t>日历天。</w:t>
            </w:r>
          </w:p>
        </w:tc>
      </w:tr>
      <w:tr w14:paraId="177A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2BA6590">
            <w:pPr>
              <w:pStyle w:val="23"/>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17.2</w:t>
            </w:r>
          </w:p>
        </w:tc>
        <w:tc>
          <w:tcPr>
            <w:tcW w:w="1701" w:type="dxa"/>
            <w:vAlign w:val="center"/>
          </w:tcPr>
          <w:p w14:paraId="6FDB8399">
            <w:pPr>
              <w:jc w:val="center"/>
              <w:rPr>
                <w:rFonts w:eastAsiaTheme="minorEastAsia"/>
                <w:sz w:val="24"/>
              </w:rPr>
            </w:pPr>
            <w:r>
              <w:rPr>
                <w:rFonts w:hint="eastAsia" w:eastAsiaTheme="minorEastAsia"/>
                <w:sz w:val="24"/>
              </w:rPr>
              <w:t>解密时间</w:t>
            </w:r>
          </w:p>
        </w:tc>
        <w:tc>
          <w:tcPr>
            <w:tcW w:w="7253" w:type="dxa"/>
            <w:vAlign w:val="center"/>
          </w:tcPr>
          <w:p w14:paraId="13D3746A">
            <w:pPr>
              <w:jc w:val="left"/>
              <w:rPr>
                <w:rFonts w:eastAsiaTheme="minorEastAsia"/>
                <w:sz w:val="24"/>
              </w:rPr>
            </w:pPr>
            <w:r>
              <w:rPr>
                <w:rFonts w:hint="eastAsia" w:ascii="宋体" w:hAnsi="宋体"/>
                <w:sz w:val="24"/>
              </w:rPr>
              <w:t>解密时间：</w:t>
            </w:r>
            <w:r>
              <w:rPr>
                <w:rFonts w:hint="eastAsia" w:ascii="宋体" w:hAnsi="宋体"/>
                <w:sz w:val="24"/>
                <w:u w:val="single"/>
              </w:rPr>
              <w:t xml:space="preserve"> 30 </w:t>
            </w:r>
            <w:r>
              <w:rPr>
                <w:rFonts w:hint="eastAsia" w:ascii="宋体" w:hAnsi="宋体"/>
                <w:sz w:val="24"/>
              </w:rPr>
              <w:t>分钟</w:t>
            </w:r>
            <w:r>
              <w:rPr>
                <w:rFonts w:hint="eastAsia" w:ascii="宋体" w:hAnsi="宋体"/>
                <w:i/>
                <w:iCs/>
                <w:color w:val="FF0000"/>
                <w:sz w:val="24"/>
              </w:rPr>
              <w:t>（建议不少于10分钟）</w:t>
            </w:r>
          </w:p>
        </w:tc>
      </w:tr>
      <w:tr w14:paraId="381B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FBDB4FF">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20.1</w:t>
            </w:r>
          </w:p>
        </w:tc>
        <w:tc>
          <w:tcPr>
            <w:tcW w:w="1701" w:type="dxa"/>
            <w:vAlign w:val="center"/>
          </w:tcPr>
          <w:p w14:paraId="37B2542E">
            <w:pPr>
              <w:jc w:val="center"/>
              <w:rPr>
                <w:rFonts w:eastAsiaTheme="minorEastAsia"/>
                <w:sz w:val="24"/>
              </w:rPr>
            </w:pPr>
            <w:r>
              <w:rPr>
                <w:sz w:val="24"/>
              </w:rPr>
              <w:t>确定成交供应商</w:t>
            </w:r>
          </w:p>
        </w:tc>
        <w:tc>
          <w:tcPr>
            <w:tcW w:w="7253" w:type="dxa"/>
            <w:vAlign w:val="center"/>
          </w:tcPr>
          <w:p w14:paraId="7EF81342">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采购人是否</w:t>
            </w:r>
            <w:r>
              <w:rPr>
                <w:rFonts w:hint="default" w:ascii="Times New Roman" w:hAnsi="Times New Roman" w:eastAsiaTheme="minorEastAsia"/>
                <w:color w:val="000000"/>
                <w:sz w:val="24"/>
              </w:rPr>
              <w:t>授权磋商小组直接确定成交供应商</w:t>
            </w:r>
            <w:r>
              <w:rPr>
                <w:rFonts w:hint="default" w:ascii="Times New Roman" w:hAnsi="Times New Roman" w:eastAsiaTheme="minorEastAsia"/>
                <w:sz w:val="24"/>
              </w:rPr>
              <w:t>：</w:t>
            </w:r>
          </w:p>
          <w:p w14:paraId="5C04F28E">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■否</w:t>
            </w:r>
          </w:p>
          <w:p w14:paraId="061B159E">
            <w:pPr>
              <w:jc w:val="left"/>
              <w:rPr>
                <w:rFonts w:eastAsiaTheme="minorEastAsia"/>
                <w:sz w:val="24"/>
              </w:rPr>
            </w:pPr>
            <w:r>
              <w:rPr>
                <w:rFonts w:eastAsiaTheme="minorEastAsia"/>
              </w:rPr>
              <w:t>□</w:t>
            </w:r>
            <w:r>
              <w:rPr>
                <w:rFonts w:eastAsiaTheme="minorEastAsia"/>
                <w:sz w:val="24"/>
              </w:rPr>
              <w:t>是</w:t>
            </w:r>
          </w:p>
          <w:p w14:paraId="08E8D27C">
            <w:pPr>
              <w:jc w:val="left"/>
              <w:rPr>
                <w:rFonts w:eastAsiaTheme="minorEastAsia"/>
                <w:sz w:val="24"/>
                <w:u w:val="single"/>
              </w:rPr>
            </w:pPr>
            <w:r>
              <w:rPr>
                <w:rFonts w:eastAsiaTheme="minorEastAsia"/>
                <w:sz w:val="24"/>
              </w:rPr>
              <w:t>成交候选人并列的，按照以下方式确定成交供应商：</w:t>
            </w:r>
            <w:r>
              <w:rPr>
                <w:sz w:val="24"/>
              </w:rPr>
              <w:t>得分且投标报价均相同的，以</w:t>
            </w:r>
            <w:r>
              <w:rPr>
                <w:rFonts w:hint="eastAsia"/>
                <w:b/>
                <w:bCs/>
                <w:sz w:val="24"/>
                <w:u w:val="single"/>
              </w:rPr>
              <w:t xml:space="preserve"> 施工方案及技术措施 </w:t>
            </w:r>
            <w:r>
              <w:rPr>
                <w:sz w:val="24"/>
              </w:rPr>
              <w:t>得分高者为中标人</w:t>
            </w:r>
            <w:r>
              <w:rPr>
                <w:rFonts w:eastAsiaTheme="minorEastAsia"/>
                <w:sz w:val="24"/>
              </w:rPr>
              <w:t>。</w:t>
            </w:r>
          </w:p>
        </w:tc>
      </w:tr>
      <w:tr w14:paraId="7F07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78E009F">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23.5</w:t>
            </w:r>
          </w:p>
        </w:tc>
        <w:tc>
          <w:tcPr>
            <w:tcW w:w="1701" w:type="dxa"/>
            <w:vAlign w:val="center"/>
          </w:tcPr>
          <w:p w14:paraId="6BEDAC14">
            <w:pPr>
              <w:jc w:val="center"/>
              <w:rPr>
                <w:rFonts w:eastAsiaTheme="minorEastAsia"/>
                <w:sz w:val="24"/>
              </w:rPr>
            </w:pPr>
            <w:r>
              <w:rPr>
                <w:rFonts w:eastAsiaTheme="minorEastAsia"/>
                <w:sz w:val="24"/>
              </w:rPr>
              <w:t>分包</w:t>
            </w:r>
          </w:p>
        </w:tc>
        <w:tc>
          <w:tcPr>
            <w:tcW w:w="7253" w:type="dxa"/>
            <w:vAlign w:val="center"/>
          </w:tcPr>
          <w:p w14:paraId="4A213A27">
            <w:pPr>
              <w:jc w:val="left"/>
              <w:rPr>
                <w:rFonts w:eastAsiaTheme="minorEastAsia"/>
                <w:sz w:val="24"/>
              </w:rPr>
            </w:pPr>
            <w:r>
              <w:rPr>
                <w:rFonts w:eastAsiaTheme="minorEastAsia"/>
                <w:sz w:val="24"/>
              </w:rPr>
              <w:t xml:space="preserve">本项目是否允许分包： </w:t>
            </w:r>
          </w:p>
          <w:p w14:paraId="2F67911A">
            <w:pPr>
              <w:jc w:val="left"/>
              <w:rPr>
                <w:rFonts w:eastAsiaTheme="minorEastAsia"/>
                <w:sz w:val="24"/>
              </w:rPr>
            </w:pPr>
            <w:r>
              <w:rPr>
                <w:rFonts w:eastAsiaTheme="minorEastAsia"/>
                <w:sz w:val="24"/>
              </w:rPr>
              <w:t>■不允许</w:t>
            </w:r>
          </w:p>
          <w:p w14:paraId="6E79AD99">
            <w:pPr>
              <w:jc w:val="left"/>
              <w:rPr>
                <w:rFonts w:eastAsiaTheme="minorEastAsia"/>
                <w:sz w:val="24"/>
              </w:rPr>
            </w:pPr>
            <w:r>
              <w:rPr>
                <w:rFonts w:eastAsiaTheme="minorEastAsia"/>
              </w:rPr>
              <w:t>□</w:t>
            </w:r>
            <w:r>
              <w:rPr>
                <w:rFonts w:eastAsiaTheme="minorEastAsia"/>
                <w:sz w:val="24"/>
              </w:rPr>
              <w:t>允许，具体要求：_______。</w:t>
            </w:r>
          </w:p>
          <w:p w14:paraId="5CC2F316">
            <w:pPr>
              <w:jc w:val="left"/>
              <w:rPr>
                <w:rFonts w:eastAsiaTheme="minorEastAsia"/>
                <w:sz w:val="24"/>
              </w:rPr>
            </w:pPr>
            <w:r>
              <w:rPr>
                <w:rFonts w:eastAsiaTheme="minorEastAsia"/>
                <w:sz w:val="24"/>
              </w:rPr>
              <w:t>（1）可以分包履行的具体内容：_______；</w:t>
            </w:r>
          </w:p>
          <w:p w14:paraId="027F8B4A">
            <w:pPr>
              <w:jc w:val="left"/>
              <w:rPr>
                <w:rFonts w:eastAsiaTheme="minorEastAsia"/>
                <w:sz w:val="24"/>
              </w:rPr>
            </w:pPr>
            <w:r>
              <w:rPr>
                <w:rFonts w:eastAsiaTheme="minorEastAsia"/>
                <w:sz w:val="24"/>
              </w:rPr>
              <w:t>（2）允许分包的金额或者比例：_______；</w:t>
            </w:r>
          </w:p>
          <w:p w14:paraId="517225C0">
            <w:pPr>
              <w:jc w:val="left"/>
              <w:rPr>
                <w:rFonts w:eastAsiaTheme="minorEastAsia"/>
                <w:sz w:val="24"/>
                <w:u w:val="single"/>
              </w:rPr>
            </w:pPr>
            <w:r>
              <w:rPr>
                <w:rFonts w:eastAsiaTheme="minorEastAsia"/>
                <w:sz w:val="24"/>
              </w:rPr>
              <w:t>（3）其他要求：_______。</w:t>
            </w:r>
          </w:p>
        </w:tc>
      </w:tr>
      <w:tr w14:paraId="0E50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D98D37C">
            <w:pPr>
              <w:pStyle w:val="23"/>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w:t>
            </w:r>
            <w:r>
              <w:rPr>
                <w:rFonts w:hint="default" w:ascii="Times New Roman" w:hAnsi="Times New Roman"/>
                <w:sz w:val="24"/>
                <w:szCs w:val="24"/>
              </w:rPr>
              <w:t>3</w:t>
            </w:r>
            <w:r>
              <w:rPr>
                <w:rFonts w:ascii="Times New Roman" w:hAnsi="Times New Roman"/>
                <w:sz w:val="24"/>
                <w:szCs w:val="24"/>
              </w:rPr>
              <w:t>.6</w:t>
            </w:r>
          </w:p>
        </w:tc>
        <w:tc>
          <w:tcPr>
            <w:tcW w:w="1701" w:type="dxa"/>
            <w:vAlign w:val="center"/>
          </w:tcPr>
          <w:p w14:paraId="57EB8111">
            <w:pPr>
              <w:jc w:val="center"/>
              <w:rPr>
                <w:rFonts w:eastAsiaTheme="minorEastAsia"/>
                <w:sz w:val="24"/>
              </w:rPr>
            </w:pPr>
            <w:r>
              <w:rPr>
                <w:rFonts w:hint="eastAsia"/>
                <w:sz w:val="24"/>
              </w:rPr>
              <w:t>政采贷</w:t>
            </w:r>
          </w:p>
        </w:tc>
        <w:tc>
          <w:tcPr>
            <w:tcW w:w="7253" w:type="dxa"/>
            <w:vAlign w:val="center"/>
          </w:tcPr>
          <w:p w14:paraId="0DAAA024">
            <w:pPr>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156B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E16114A">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24.1.1</w:t>
            </w:r>
          </w:p>
        </w:tc>
        <w:tc>
          <w:tcPr>
            <w:tcW w:w="1701" w:type="dxa"/>
            <w:vAlign w:val="center"/>
          </w:tcPr>
          <w:p w14:paraId="34AD9D55">
            <w:pPr>
              <w:jc w:val="center"/>
              <w:rPr>
                <w:rFonts w:eastAsiaTheme="minorEastAsia"/>
                <w:sz w:val="24"/>
              </w:rPr>
            </w:pPr>
            <w:r>
              <w:rPr>
                <w:rFonts w:eastAsiaTheme="minorEastAsia"/>
                <w:sz w:val="24"/>
              </w:rPr>
              <w:t>询问</w:t>
            </w:r>
          </w:p>
        </w:tc>
        <w:tc>
          <w:tcPr>
            <w:tcW w:w="7253" w:type="dxa"/>
            <w:vAlign w:val="center"/>
          </w:tcPr>
          <w:p w14:paraId="63A2EBC5">
            <w:pPr>
              <w:jc w:val="left"/>
              <w:rPr>
                <w:rFonts w:eastAsiaTheme="minorEastAsia"/>
                <w:sz w:val="24"/>
              </w:rPr>
            </w:pPr>
            <w:r>
              <w:rPr>
                <w:rFonts w:eastAsiaTheme="minorEastAsia"/>
                <w:sz w:val="24"/>
              </w:rPr>
              <w:t>询问</w:t>
            </w:r>
            <w:r>
              <w:rPr>
                <w:rFonts w:hint="eastAsia" w:eastAsiaTheme="minorEastAsia"/>
                <w:sz w:val="24"/>
              </w:rPr>
              <w:t>提出</w:t>
            </w:r>
            <w:r>
              <w:rPr>
                <w:rFonts w:eastAsiaTheme="minorEastAsia"/>
                <w:sz w:val="24"/>
              </w:rPr>
              <w:t>形式：</w:t>
            </w:r>
            <w:r>
              <w:rPr>
                <w:rFonts w:hint="eastAsia" w:ascii="宋体" w:hAnsi="宋体"/>
                <w:sz w:val="24"/>
                <w:u w:val="single"/>
              </w:rPr>
              <w:t>以书面形式送达，同时询问文件扫描件发至采购代理机构邮箱,邮箱：13661290203@163.com</w:t>
            </w:r>
            <w:r>
              <w:rPr>
                <w:rFonts w:eastAsiaTheme="minorEastAsia"/>
                <w:sz w:val="24"/>
              </w:rPr>
              <w:t>。</w:t>
            </w:r>
          </w:p>
        </w:tc>
      </w:tr>
      <w:tr w14:paraId="1C38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72F6CDE">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24.3</w:t>
            </w:r>
          </w:p>
        </w:tc>
        <w:tc>
          <w:tcPr>
            <w:tcW w:w="1701" w:type="dxa"/>
            <w:vAlign w:val="center"/>
          </w:tcPr>
          <w:p w14:paraId="67366AC7">
            <w:pPr>
              <w:jc w:val="center"/>
              <w:rPr>
                <w:rFonts w:eastAsiaTheme="minorEastAsia"/>
                <w:sz w:val="24"/>
              </w:rPr>
            </w:pPr>
            <w:r>
              <w:rPr>
                <w:rFonts w:eastAsiaTheme="minorEastAsia"/>
                <w:sz w:val="24"/>
              </w:rPr>
              <w:t>联系方式</w:t>
            </w:r>
          </w:p>
        </w:tc>
        <w:tc>
          <w:tcPr>
            <w:tcW w:w="7253" w:type="dxa"/>
            <w:vAlign w:val="center"/>
          </w:tcPr>
          <w:p w14:paraId="574A0E72">
            <w:pPr>
              <w:jc w:val="left"/>
              <w:rPr>
                <w:rFonts w:eastAsiaTheme="minorEastAsia"/>
                <w:sz w:val="24"/>
              </w:rPr>
            </w:pPr>
            <w:r>
              <w:rPr>
                <w:rFonts w:eastAsiaTheme="minorEastAsia"/>
                <w:sz w:val="24"/>
              </w:rPr>
              <w:t>接收询问和质疑的联系方式</w:t>
            </w:r>
          </w:p>
          <w:p w14:paraId="39EEE818">
            <w:pPr>
              <w:jc w:val="left"/>
              <w:rPr>
                <w:rFonts w:eastAsiaTheme="minorEastAsia"/>
                <w:sz w:val="24"/>
              </w:rPr>
            </w:pPr>
            <w:r>
              <w:rPr>
                <w:rFonts w:eastAsiaTheme="minorEastAsia"/>
                <w:sz w:val="24"/>
              </w:rPr>
              <w:t>联系部门：</w:t>
            </w:r>
            <w:r>
              <w:rPr>
                <w:rFonts w:hint="eastAsia" w:ascii="宋体" w:hAnsi="宋体" w:cs="宋体"/>
                <w:sz w:val="24"/>
                <w:u w:val="single"/>
              </w:rPr>
              <w:t>北京宝辰工程管理股份有限公司代理部</w:t>
            </w:r>
            <w:r>
              <w:rPr>
                <w:rFonts w:eastAsiaTheme="minorEastAsia"/>
                <w:sz w:val="24"/>
              </w:rPr>
              <w:t>；</w:t>
            </w:r>
          </w:p>
          <w:p w14:paraId="305A1342">
            <w:pPr>
              <w:jc w:val="left"/>
              <w:rPr>
                <w:rFonts w:eastAsiaTheme="minorEastAsia"/>
                <w:sz w:val="24"/>
              </w:rPr>
            </w:pPr>
            <w:r>
              <w:rPr>
                <w:rFonts w:eastAsiaTheme="minorEastAsia"/>
                <w:sz w:val="24"/>
              </w:rPr>
              <w:t>联系电话：</w:t>
            </w:r>
            <w:r>
              <w:rPr>
                <w:rFonts w:hint="eastAsia" w:ascii="宋体" w:hAnsi="宋体" w:cs="宋体"/>
                <w:sz w:val="24"/>
                <w:u w:val="single"/>
              </w:rPr>
              <w:t>赵子超13661290203</w:t>
            </w:r>
            <w:r>
              <w:rPr>
                <w:rFonts w:eastAsiaTheme="minorEastAsia"/>
                <w:sz w:val="24"/>
              </w:rPr>
              <w:t>；</w:t>
            </w:r>
          </w:p>
          <w:p w14:paraId="24D980A5">
            <w:pPr>
              <w:jc w:val="left"/>
              <w:rPr>
                <w:rFonts w:eastAsiaTheme="minorEastAsia"/>
                <w:sz w:val="24"/>
              </w:rPr>
            </w:pPr>
            <w:r>
              <w:rPr>
                <w:rFonts w:eastAsiaTheme="minorEastAsia"/>
                <w:sz w:val="24"/>
              </w:rPr>
              <w:t>通讯地址：</w:t>
            </w:r>
            <w:r>
              <w:rPr>
                <w:rFonts w:hint="eastAsia" w:ascii="宋体" w:hAnsi="宋体" w:cs="宋体"/>
                <w:sz w:val="24"/>
                <w:u w:val="single"/>
              </w:rPr>
              <w:t>北京市丰台区南四环西路188号（总部基地）六区16号楼6层</w:t>
            </w:r>
            <w:r>
              <w:rPr>
                <w:rFonts w:eastAsiaTheme="minorEastAsia"/>
                <w:sz w:val="24"/>
              </w:rPr>
              <w:t>。</w:t>
            </w:r>
          </w:p>
        </w:tc>
      </w:tr>
      <w:tr w14:paraId="713C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8A546D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25</w:t>
            </w:r>
          </w:p>
        </w:tc>
        <w:tc>
          <w:tcPr>
            <w:tcW w:w="1701" w:type="dxa"/>
            <w:vAlign w:val="center"/>
          </w:tcPr>
          <w:p w14:paraId="23CE2E51">
            <w:pPr>
              <w:jc w:val="center"/>
              <w:rPr>
                <w:rFonts w:eastAsiaTheme="minorEastAsia"/>
                <w:sz w:val="24"/>
              </w:rPr>
            </w:pPr>
            <w:r>
              <w:rPr>
                <w:rFonts w:eastAsiaTheme="minorEastAsia"/>
                <w:sz w:val="24"/>
              </w:rPr>
              <w:t>代理费</w:t>
            </w:r>
          </w:p>
        </w:tc>
        <w:tc>
          <w:tcPr>
            <w:tcW w:w="7253" w:type="dxa"/>
            <w:vAlign w:val="center"/>
          </w:tcPr>
          <w:p w14:paraId="389B41AF">
            <w:pPr>
              <w:jc w:val="left"/>
              <w:rPr>
                <w:rFonts w:eastAsiaTheme="minorEastAsia"/>
                <w:sz w:val="24"/>
              </w:rPr>
            </w:pPr>
            <w:r>
              <w:rPr>
                <w:rFonts w:eastAsiaTheme="minorEastAsia"/>
                <w:sz w:val="24"/>
              </w:rPr>
              <w:t>收费对象：</w:t>
            </w:r>
          </w:p>
          <w:p w14:paraId="3F2042B8">
            <w:pPr>
              <w:jc w:val="left"/>
              <w:rPr>
                <w:rFonts w:eastAsiaTheme="minorEastAsia"/>
                <w:sz w:val="24"/>
              </w:rPr>
            </w:pPr>
            <w:r>
              <w:rPr>
                <w:rFonts w:eastAsiaTheme="minorEastAsia"/>
                <w:sz w:val="24"/>
              </w:rPr>
              <w:t>■采购人</w:t>
            </w:r>
          </w:p>
          <w:p w14:paraId="491B9D4E">
            <w:pPr>
              <w:jc w:val="left"/>
              <w:rPr>
                <w:rFonts w:eastAsiaTheme="minorEastAsia"/>
                <w:sz w:val="24"/>
              </w:rPr>
            </w:pPr>
            <w:r>
              <w:rPr>
                <w:rFonts w:eastAsiaTheme="minorEastAsia"/>
              </w:rPr>
              <w:t>□</w:t>
            </w:r>
            <w:r>
              <w:rPr>
                <w:rFonts w:eastAsiaTheme="minorEastAsia"/>
                <w:sz w:val="24"/>
              </w:rPr>
              <w:t>成交供应商</w:t>
            </w:r>
          </w:p>
          <w:p w14:paraId="02BA9838">
            <w:pPr>
              <w:autoSpaceDE w:val="0"/>
              <w:autoSpaceDN w:val="0"/>
              <w:adjustRightInd w:val="0"/>
              <w:spacing w:line="360" w:lineRule="auto"/>
              <w:ind w:firstLine="480" w:firstLineChars="200"/>
              <w:rPr>
                <w:rFonts w:eastAsiaTheme="minorEastAsia"/>
                <w:sz w:val="24"/>
                <w:u w:val="single"/>
              </w:rPr>
            </w:pPr>
            <w:r>
              <w:rPr>
                <w:rFonts w:eastAsiaTheme="minorEastAsia"/>
                <w:sz w:val="24"/>
              </w:rPr>
              <w:t>收费标准：</w:t>
            </w:r>
            <w:r>
              <w:rPr>
                <w:rFonts w:hint="eastAsia" w:ascii="宋体" w:hAnsi="宋体" w:cs="宋体"/>
                <w:sz w:val="24"/>
                <w:u w:val="single"/>
              </w:rPr>
              <w:t>本项目招标代理服务费暂估合同金额为12,663.00元，最终招标代理服务费收费标准参考原《招标代理服务收费管理暂行办法》计价格[2002]1980号文和发改价格[2011]534号执行，收费基数以中标金额为基数计算但不超过暂估合同金额</w:t>
            </w:r>
            <w:r>
              <w:rPr>
                <w:rFonts w:eastAsiaTheme="minorEastAsia"/>
                <w:sz w:val="24"/>
              </w:rPr>
              <w:t>；</w:t>
            </w:r>
          </w:p>
          <w:p w14:paraId="1F617760">
            <w:pPr>
              <w:spacing w:line="360" w:lineRule="auto"/>
              <w:jc w:val="left"/>
              <w:rPr>
                <w:rFonts w:eastAsiaTheme="minorEastAsia"/>
                <w:sz w:val="24"/>
              </w:rPr>
            </w:pPr>
            <w:r>
              <w:rPr>
                <w:rFonts w:eastAsiaTheme="minorEastAsia"/>
                <w:sz w:val="24"/>
              </w:rPr>
              <w:t>缴纳时间：</w:t>
            </w:r>
            <w:r>
              <w:rPr>
                <w:rFonts w:hint="eastAsia" w:ascii="宋体" w:hAnsi="宋体" w:cs="宋体"/>
                <w:sz w:val="24"/>
                <w:u w:val="single"/>
              </w:rPr>
              <w:t>在完成招标工作、中标通知书发出，专项经费到账且乙方提供相应有效的发票后15个工作日内付款</w:t>
            </w:r>
            <w:r>
              <w:rPr>
                <w:rFonts w:eastAsiaTheme="minorEastAsia"/>
                <w:sz w:val="24"/>
              </w:rPr>
              <w:t>。</w:t>
            </w:r>
          </w:p>
        </w:tc>
      </w:tr>
    </w:tbl>
    <w:p w14:paraId="0370012E">
      <w:pPr>
        <w:tabs>
          <w:tab w:val="left" w:pos="5580"/>
        </w:tabs>
        <w:adjustRightInd w:val="0"/>
        <w:spacing w:line="360" w:lineRule="auto"/>
        <w:jc w:val="distribute"/>
        <w:rPr>
          <w:rFonts w:eastAsiaTheme="minorEastAsia"/>
          <w:sz w:val="24"/>
        </w:rPr>
        <w:sectPr>
          <w:footerReference r:id="rId17" w:type="first"/>
          <w:footerReference r:id="rId16" w:type="default"/>
          <w:pgSz w:w="11907" w:h="16840"/>
          <w:pgMar w:top="1418" w:right="1134" w:bottom="1418" w:left="1701" w:header="851" w:footer="851" w:gutter="0"/>
          <w:pgNumType w:start="1"/>
          <w:cols w:space="720" w:num="1"/>
          <w:titlePg/>
          <w:docGrid w:linePitch="462" w:charSpace="0"/>
        </w:sectPr>
      </w:pPr>
    </w:p>
    <w:p w14:paraId="30770916">
      <w:pPr>
        <w:spacing w:before="240" w:beforeLines="100" w:after="240" w:afterLines="100"/>
        <w:jc w:val="center"/>
        <w:rPr>
          <w:rFonts w:eastAsiaTheme="minorEastAsia"/>
          <w:b/>
          <w:sz w:val="28"/>
          <w:szCs w:val="28"/>
        </w:rPr>
      </w:pPr>
      <w:r>
        <w:rPr>
          <w:rFonts w:eastAsiaTheme="minorEastAsia"/>
          <w:b/>
          <w:sz w:val="28"/>
          <w:szCs w:val="28"/>
        </w:rPr>
        <w:t>供应商须知</w:t>
      </w:r>
    </w:p>
    <w:p w14:paraId="298B66F9">
      <w:pPr>
        <w:pStyle w:val="3"/>
        <w:tabs>
          <w:tab w:val="center" w:pos="4592"/>
          <w:tab w:val="left" w:pos="7860"/>
        </w:tabs>
        <w:spacing w:before="0" w:line="360" w:lineRule="auto"/>
        <w:jc w:val="left"/>
        <w:rPr>
          <w:rFonts w:ascii="Times New Roman" w:hAnsi="Times New Roman" w:eastAsiaTheme="minorEastAsia"/>
          <w:sz w:val="28"/>
        </w:rPr>
      </w:pPr>
      <w:bookmarkStart w:id="74" w:name="_Toc127151518"/>
      <w:bookmarkStart w:id="75" w:name="_Toc520356143"/>
      <w:r>
        <w:rPr>
          <w:rFonts w:ascii="Times New Roman" w:hAnsi="Times New Roman" w:eastAsiaTheme="minorEastAsia"/>
          <w:sz w:val="28"/>
        </w:rPr>
        <w:tab/>
      </w:r>
      <w:bookmarkStart w:id="76" w:name="_Toc226965708"/>
      <w:bookmarkStart w:id="77" w:name="_Toc150480756"/>
      <w:bookmarkStart w:id="78" w:name="_Toc150774618"/>
      <w:bookmarkStart w:id="79" w:name="_Toc151193760"/>
      <w:bookmarkStart w:id="80" w:name="_Toc226337214"/>
      <w:bookmarkStart w:id="81" w:name="_Toc226309762"/>
      <w:bookmarkStart w:id="82" w:name="_Toc150509269"/>
      <w:bookmarkStart w:id="83" w:name="_Toc264969208"/>
      <w:bookmarkStart w:id="84" w:name="_Toc151190145"/>
      <w:bookmarkStart w:id="85" w:name="_Toc305158786"/>
      <w:bookmarkStart w:id="86" w:name="_Toc151193906"/>
      <w:bookmarkStart w:id="87" w:name="_Toc151193688"/>
      <w:bookmarkStart w:id="88" w:name="_Toc195842883"/>
      <w:bookmarkStart w:id="89" w:name="_Toc265228356"/>
      <w:bookmarkStart w:id="90" w:name="_Toc151193832"/>
      <w:bookmarkStart w:id="91" w:name="_Toc151193616"/>
      <w:bookmarkStart w:id="92" w:name="_Toc150774723"/>
      <w:bookmarkStart w:id="93" w:name="_Toc142311020"/>
      <w:bookmarkStart w:id="94" w:name="_Toc305158860"/>
      <w:bookmarkStart w:id="95" w:name="_Toc226965791"/>
      <w:r>
        <w:rPr>
          <w:rFonts w:ascii="Times New Roman" w:hAnsi="Times New Roman" w:eastAsiaTheme="minorEastAsia"/>
          <w:sz w:val="28"/>
        </w:rPr>
        <w:t>一   说  明</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Fonts w:ascii="Times New Roman" w:hAnsi="Times New Roman" w:eastAsiaTheme="minorEastAsia"/>
          <w:sz w:val="28"/>
        </w:rPr>
        <w:tab/>
      </w:r>
    </w:p>
    <w:p w14:paraId="540AC89E">
      <w:pPr>
        <w:numPr>
          <w:ilvl w:val="0"/>
          <w:numId w:val="8"/>
        </w:numPr>
        <w:tabs>
          <w:tab w:val="left" w:pos="360"/>
          <w:tab w:val="clear" w:pos="900"/>
        </w:tabs>
        <w:snapToGrid w:val="0"/>
        <w:spacing w:line="360" w:lineRule="auto"/>
        <w:ind w:left="357" w:hanging="357"/>
        <w:outlineLvl w:val="1"/>
        <w:rPr>
          <w:rFonts w:eastAsiaTheme="minorEastAsia"/>
          <w:sz w:val="24"/>
        </w:rPr>
      </w:pPr>
      <w:bookmarkStart w:id="96" w:name="_Toc305158787"/>
      <w:bookmarkStart w:id="97" w:name="_Toc305158861"/>
      <w:bookmarkStart w:id="98" w:name="_Toc264969209"/>
      <w:bookmarkStart w:id="99" w:name="_Toc265228357"/>
      <w:r>
        <w:rPr>
          <w:rFonts w:eastAsiaTheme="minorEastAsia"/>
          <w:sz w:val="24"/>
        </w:rPr>
        <w:t>采购人、采购代理机构、供应商</w:t>
      </w:r>
      <w:bookmarkEnd w:id="96"/>
      <w:bookmarkEnd w:id="97"/>
      <w:bookmarkEnd w:id="98"/>
      <w:bookmarkEnd w:id="99"/>
      <w:r>
        <w:rPr>
          <w:rFonts w:eastAsiaTheme="minorEastAsia"/>
          <w:sz w:val="24"/>
        </w:rPr>
        <w:t>、联合体</w:t>
      </w:r>
    </w:p>
    <w:p w14:paraId="3E100C4E">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1134B4ED">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供应商（也称“申请人”）：指向采购人提供货物、工程或者服务的法人、其他组织或者自然人。</w:t>
      </w:r>
    </w:p>
    <w:p w14:paraId="3FA9D7E0">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6FB7D73D">
      <w:pPr>
        <w:numPr>
          <w:ilvl w:val="0"/>
          <w:numId w:val="8"/>
        </w:numPr>
        <w:tabs>
          <w:tab w:val="left" w:pos="360"/>
          <w:tab w:val="clear" w:pos="900"/>
        </w:tabs>
        <w:snapToGrid w:val="0"/>
        <w:spacing w:line="360" w:lineRule="auto"/>
        <w:ind w:left="357" w:hanging="357"/>
        <w:outlineLvl w:val="1"/>
        <w:rPr>
          <w:rFonts w:eastAsiaTheme="minorEastAsia"/>
          <w:sz w:val="24"/>
        </w:rPr>
      </w:pPr>
      <w:bookmarkStart w:id="100" w:name="_Toc151193834"/>
      <w:bookmarkStart w:id="101" w:name="_Toc226965710"/>
      <w:bookmarkStart w:id="102" w:name="_Toc149720813"/>
      <w:bookmarkStart w:id="103" w:name="_Toc226965793"/>
      <w:bookmarkStart w:id="104" w:name="_Toc305158788"/>
      <w:bookmarkStart w:id="105" w:name="_Toc151193908"/>
      <w:bookmarkStart w:id="106" w:name="_Toc142311022"/>
      <w:bookmarkStart w:id="107" w:name="_Toc226309764"/>
      <w:bookmarkStart w:id="108" w:name="_Toc164608789"/>
      <w:bookmarkStart w:id="109" w:name="_Toc164229215"/>
      <w:bookmarkStart w:id="110" w:name="_Toc150774620"/>
      <w:bookmarkStart w:id="111" w:name="_Toc151193762"/>
      <w:bookmarkStart w:id="112" w:name="_Toc150774725"/>
      <w:bookmarkStart w:id="113" w:name="_Toc127151721"/>
      <w:bookmarkStart w:id="114" w:name="_Toc226337216"/>
      <w:bookmarkStart w:id="115" w:name="_Toc151193690"/>
      <w:bookmarkStart w:id="116" w:name="_Toc195842885"/>
      <w:bookmarkStart w:id="117" w:name="_Toc164229361"/>
      <w:bookmarkStart w:id="118" w:name="_Toc265228358"/>
      <w:bookmarkStart w:id="119" w:name="_Toc164608634"/>
      <w:bookmarkStart w:id="120" w:name="_Toc150480758"/>
      <w:bookmarkStart w:id="121" w:name="_Toc150509271"/>
      <w:bookmarkStart w:id="122" w:name="_Toc151190147"/>
      <w:bookmarkStart w:id="123" w:name="_Toc264969210"/>
      <w:bookmarkStart w:id="124" w:name="_Toc127161434"/>
      <w:bookmarkStart w:id="125" w:name="_Toc127151520"/>
      <w:bookmarkStart w:id="126" w:name="_Toc151193618"/>
      <w:bookmarkStart w:id="127" w:name="_Toc164351614"/>
      <w:bookmarkStart w:id="128" w:name="_Toc305158862"/>
      <w:r>
        <w:rPr>
          <w:rFonts w:eastAsiaTheme="minorEastAsia"/>
          <w:sz w:val="24"/>
        </w:rPr>
        <w:t>资金来源</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eastAsiaTheme="minorEastAsia"/>
          <w:sz w:val="24"/>
        </w:rPr>
        <w:t>、项目属性、科研仪器设备采购</w:t>
      </w:r>
    </w:p>
    <w:p w14:paraId="3CF78ED3">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资金来源为财政性资金和/或本项目采购中无法与财政性资金分割的非财政性资金。</w:t>
      </w:r>
    </w:p>
    <w:p w14:paraId="29DA5577">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14:paraId="7665C43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14:paraId="6BF46224">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14:paraId="16B4B6BD">
      <w:pPr>
        <w:numPr>
          <w:ilvl w:val="1"/>
          <w:numId w:val="8"/>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29" w:name="_Toc195842887"/>
      <w:bookmarkStart w:id="130" w:name="_Toc150480760"/>
      <w:bookmarkStart w:id="131" w:name="_Toc150774622"/>
      <w:bookmarkStart w:id="132" w:name="_Toc151193910"/>
      <w:bookmarkStart w:id="133" w:name="_Toc150774727"/>
      <w:bookmarkStart w:id="134" w:name="_Toc226965712"/>
      <w:bookmarkStart w:id="135" w:name="_Toc151193764"/>
      <w:bookmarkStart w:id="136" w:name="_Toc151193692"/>
      <w:bookmarkStart w:id="137" w:name="_Toc151193620"/>
      <w:bookmarkStart w:id="138" w:name="_Toc264969212"/>
      <w:bookmarkStart w:id="139" w:name="_Toc150509273"/>
      <w:bookmarkStart w:id="140" w:name="_Toc305158864"/>
      <w:bookmarkStart w:id="141" w:name="_Toc226337218"/>
      <w:bookmarkStart w:id="142" w:name="_Toc151190149"/>
      <w:bookmarkStart w:id="143" w:name="_Toc226965795"/>
      <w:bookmarkStart w:id="144" w:name="_Toc305158790"/>
      <w:bookmarkStart w:id="145" w:name="_Toc142311024"/>
      <w:bookmarkStart w:id="146" w:name="_Toc151193836"/>
      <w:bookmarkStart w:id="147" w:name="_Toc520356146"/>
      <w:bookmarkStart w:id="148" w:name="_Toc127151522"/>
      <w:bookmarkStart w:id="149" w:name="_Toc265228360"/>
      <w:bookmarkStart w:id="150" w:name="_Toc226309766"/>
    </w:p>
    <w:p w14:paraId="667BC58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604AE4AE">
      <w:pPr>
        <w:numPr>
          <w:ilvl w:val="0"/>
          <w:numId w:val="8"/>
        </w:numPr>
        <w:tabs>
          <w:tab w:val="left" w:pos="360"/>
          <w:tab w:val="clear" w:pos="90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14:paraId="657791EA">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14:paraId="5B140813">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3FF39BF1">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17383074">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9AFA5B4">
      <w:pPr>
        <w:numPr>
          <w:ilvl w:val="1"/>
          <w:numId w:val="8"/>
        </w:numPr>
        <w:tabs>
          <w:tab w:val="left" w:pos="1080"/>
        </w:tabs>
        <w:snapToGrid w:val="0"/>
        <w:spacing w:line="360" w:lineRule="auto"/>
        <w:rPr>
          <w:sz w:val="24"/>
        </w:rPr>
      </w:pPr>
      <w:r>
        <w:rPr>
          <w:rFonts w:hint="eastAsia"/>
          <w:sz w:val="24"/>
        </w:rPr>
        <w:t>本国产品</w:t>
      </w:r>
    </w:p>
    <w:p w14:paraId="46458EC5">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712F6259">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14:paraId="025B3EF9">
      <w:pPr>
        <w:numPr>
          <w:ilvl w:val="2"/>
          <w:numId w:val="8"/>
        </w:numPr>
        <w:snapToGrid w:val="0"/>
        <w:spacing w:line="360" w:lineRule="auto"/>
        <w:rPr>
          <w:rFonts w:eastAsiaTheme="minorEastAsia"/>
          <w:sz w:val="24"/>
        </w:rPr>
      </w:pPr>
      <w:r>
        <w:rPr>
          <w:rFonts w:eastAsiaTheme="minorEastAsia"/>
          <w:sz w:val="24"/>
        </w:rPr>
        <w:t>中小企业定义：</w:t>
      </w:r>
    </w:p>
    <w:p w14:paraId="0C152C27">
      <w:pPr>
        <w:numPr>
          <w:ilvl w:val="3"/>
          <w:numId w:val="8"/>
        </w:numPr>
        <w:tabs>
          <w:tab w:val="left" w:pos="1589"/>
          <w:tab w:val="left" w:pos="1988"/>
          <w:tab w:val="left" w:pos="2035"/>
          <w:tab w:val="left" w:pos="2977"/>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eastAsiaTheme="minorEastAsia"/>
          <w:color w:val="000000" w:themeColor="text1"/>
          <w:sz w:val="24"/>
          <w14:textFill>
            <w14:solidFill>
              <w14:schemeClr w14:val="tx1"/>
            </w14:solidFill>
          </w14:textFill>
        </w:rPr>
        <w:t>判定</w:t>
      </w:r>
      <w:r>
        <w:rPr>
          <w:rFonts w:eastAsiaTheme="minorEastAsia"/>
          <w:color w:val="000000" w:themeColor="text1"/>
          <w:sz w:val="24"/>
          <w14:textFill>
            <w14:solidFill>
              <w14:schemeClr w14:val="tx1"/>
            </w14:solidFill>
          </w14:textFill>
        </w:rPr>
        <w:t>依据《中华人民共和国中小企业促进法》、</w:t>
      </w:r>
      <w:r>
        <w:rPr>
          <w:color w:val="000000" w:themeColor="text1"/>
          <w:sz w:val="24"/>
          <w14:textFill>
            <w14:solidFill>
              <w14:schemeClr w14:val="tx1"/>
            </w14:solidFill>
          </w14:textFill>
        </w:rPr>
        <w:t>《关于进一步加大政府采购支持中小企业力度的通知》（财库〔2022〕19号）、</w:t>
      </w:r>
      <w:r>
        <w:rPr>
          <w:rFonts w:eastAsiaTheme="minorEastAsia"/>
          <w:color w:val="000000" w:themeColor="text1"/>
          <w:sz w:val="24"/>
          <w14:textFill>
            <w14:solidFill>
              <w14:schemeClr w14:val="tx1"/>
            </w14:solidFill>
          </w14:textFill>
        </w:rPr>
        <w:t>《政府采购促进中小企业发展管理办法》（财库〔2020〕46号）、《关于印发中小企业划型标准规定的通知》（工信部联企业〔2011〕300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rFonts w:eastAsiaTheme="minorEastAsia"/>
          <w:color w:val="000000" w:themeColor="text1"/>
          <w:sz w:val="24"/>
          <w14:textFill>
            <w14:solidFill>
              <w14:schemeClr w14:val="tx1"/>
            </w14:solidFill>
          </w14:textFill>
        </w:rPr>
        <w:t>。</w:t>
      </w:r>
    </w:p>
    <w:p w14:paraId="4F9B3085">
      <w:pPr>
        <w:numPr>
          <w:ilvl w:val="3"/>
          <w:numId w:val="8"/>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供应商提供的货物、工程或者服务符合下列情形的，享受中小企业扶持政策：</w:t>
      </w:r>
    </w:p>
    <w:p w14:paraId="11A4BFEA">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（1）在货物采购项目中，货物由中小企业制造，即货物由中小企业生产且使用该中小企业商号或者注册商标；</w:t>
      </w:r>
    </w:p>
    <w:p w14:paraId="732CADD9">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（2）在工程采购项目中，工程由中小企业承建，即工程施工单位为中小企业；</w:t>
      </w:r>
    </w:p>
    <w:p w14:paraId="413C79CC">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129FBA00">
      <w:pPr>
        <w:numPr>
          <w:ilvl w:val="3"/>
          <w:numId w:val="8"/>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112024F8">
      <w:pPr>
        <w:numPr>
          <w:ilvl w:val="3"/>
          <w:numId w:val="8"/>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282C56FD">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07362E3">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57C88014">
      <w:pPr>
        <w:numPr>
          <w:ilvl w:val="3"/>
          <w:numId w:val="8"/>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安置的残疾人占本单位在职职工人数的比例不低于25%（含25%），并且安置的残疾人人数不少于10 人（含10 人）；</w:t>
      </w:r>
    </w:p>
    <w:p w14:paraId="4B8D2600">
      <w:pPr>
        <w:numPr>
          <w:ilvl w:val="3"/>
          <w:numId w:val="8"/>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依法与安置的每位残疾人签订了一年以上（含一年）的劳动合同或服务协议；</w:t>
      </w:r>
    </w:p>
    <w:p w14:paraId="573E2E7C">
      <w:pPr>
        <w:numPr>
          <w:ilvl w:val="3"/>
          <w:numId w:val="8"/>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为安置的每位残疾人按月足额缴纳了基本养老保险、基本医疗保险、失业保险、工伤保险和生育保险等社会保险费；</w:t>
      </w:r>
    </w:p>
    <w:p w14:paraId="5758873B">
      <w:pPr>
        <w:numPr>
          <w:ilvl w:val="3"/>
          <w:numId w:val="8"/>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通过银行等金融机构向安置的每位残疾人，按月支付了不低于单位所在区县适用的经省级人民政府批准的月最低工资标准的工资；</w:t>
      </w:r>
    </w:p>
    <w:p w14:paraId="64B87A47">
      <w:pPr>
        <w:numPr>
          <w:ilvl w:val="3"/>
          <w:numId w:val="8"/>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58606E81">
      <w:pPr>
        <w:numPr>
          <w:ilvl w:val="3"/>
          <w:numId w:val="8"/>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54D256D2">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14:paraId="36DD1C36">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14:paraId="3CE4EA3B">
      <w:pPr>
        <w:numPr>
          <w:ilvl w:val="2"/>
          <w:numId w:val="8"/>
        </w:numPr>
        <w:snapToGrid w:val="0"/>
        <w:spacing w:line="360" w:lineRule="auto"/>
        <w:rPr>
          <w:rFonts w:eastAsiaTheme="minorEastAsia"/>
          <w:sz w:val="24"/>
        </w:rPr>
      </w:pPr>
      <w:r>
        <w:rPr>
          <w:rFonts w:eastAsiaTheme="minorEastAsia"/>
          <w:sz w:val="24"/>
        </w:rPr>
        <w:t>小微企业价格评审优惠的政策调整：见第三章《评审方法和评审标准》。</w:t>
      </w:r>
    </w:p>
    <w:p w14:paraId="353C11A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14:paraId="67EF6BC9">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D4401CF">
      <w:pPr>
        <w:numPr>
          <w:ilvl w:val="2"/>
          <w:numId w:val="8"/>
        </w:numPr>
        <w:snapToGrid w:val="0"/>
        <w:spacing w:line="360" w:lineRule="auto"/>
        <w:rPr>
          <w:rFonts w:eastAsiaTheme="minorEastAsia"/>
          <w:sz w:val="24"/>
        </w:rPr>
      </w:pPr>
      <w:r>
        <w:rPr>
          <w:rFonts w:eastAsia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3CE30F03">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5031C698">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330F103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14:paraId="7F0819D1">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587B64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14:paraId="4858AC32">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30B19C67">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推广使用低挥发性有机化合物（VOCs）</w:t>
      </w:r>
    </w:p>
    <w:p w14:paraId="60FFA266">
      <w:pPr>
        <w:numPr>
          <w:ilvl w:val="2"/>
          <w:numId w:val="8"/>
        </w:numPr>
        <w:snapToGrid w:val="0"/>
        <w:spacing w:line="360" w:lineRule="auto"/>
        <w:rPr>
          <w:rFonts w:eastAsiaTheme="minorEastAsia"/>
          <w:sz w:val="24"/>
        </w:rPr>
      </w:pPr>
      <w:r>
        <w:rPr>
          <w:rFonts w:eastAsia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26C45974">
      <w:pPr>
        <w:numPr>
          <w:ilvl w:val="1"/>
          <w:numId w:val="8"/>
        </w:numPr>
        <w:tabs>
          <w:tab w:val="left" w:pos="1080"/>
        </w:tabs>
        <w:snapToGrid w:val="0"/>
        <w:spacing w:line="360" w:lineRule="auto"/>
        <w:rPr>
          <w:sz w:val="24"/>
        </w:rPr>
      </w:pPr>
      <w:r>
        <w:rPr>
          <w:sz w:val="24"/>
        </w:rPr>
        <w:t>采购需求标准</w:t>
      </w:r>
    </w:p>
    <w:p w14:paraId="0B3A85C8">
      <w:pPr>
        <w:numPr>
          <w:ilvl w:val="2"/>
          <w:numId w:val="8"/>
        </w:numPr>
        <w:snapToGrid w:val="0"/>
        <w:spacing w:line="360" w:lineRule="auto"/>
        <w:rPr>
          <w:sz w:val="24"/>
        </w:rPr>
      </w:pPr>
      <w:r>
        <w:rPr>
          <w:sz w:val="24"/>
        </w:rPr>
        <w:t>商品包装、快递包装政府采购需求标准（试行）</w:t>
      </w:r>
    </w:p>
    <w:p w14:paraId="12781A60">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465E6C83">
      <w:pPr>
        <w:numPr>
          <w:ilvl w:val="2"/>
          <w:numId w:val="8"/>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14:paraId="54BD2471">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51" w:name="_Hlk168431650"/>
      <w:r>
        <w:rPr>
          <w:rFonts w:hint="eastAsia"/>
          <w:sz w:val="24"/>
        </w:rPr>
        <w:t>财政部门会同有关部门制定发布的</w:t>
      </w:r>
      <w:bookmarkEnd w:id="151"/>
      <w:r>
        <w:rPr>
          <w:rFonts w:hint="eastAsia"/>
          <w:sz w:val="24"/>
        </w:rPr>
        <w:t>其他政府采购需求标准，</w:t>
      </w:r>
      <w:r>
        <w:rPr>
          <w:sz w:val="24"/>
        </w:rPr>
        <w:t>本项目如涉及，则具体要求见第四章《采购需求》。</w:t>
      </w:r>
    </w:p>
    <w:p w14:paraId="659B437D">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14:paraId="75C8FB6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61635562">
      <w:pPr>
        <w:tabs>
          <w:tab w:val="left" w:pos="1080"/>
        </w:tabs>
        <w:snapToGrid w:val="0"/>
        <w:spacing w:line="360" w:lineRule="auto"/>
        <w:ind w:left="1080"/>
        <w:rPr>
          <w:rFonts w:eastAsiaTheme="minorEastAsia"/>
          <w:sz w:val="28"/>
        </w:rPr>
      </w:pPr>
      <w:bookmarkStart w:id="152" w:name="_1.8_计量单位"/>
      <w:bookmarkEnd w:id="152"/>
    </w:p>
    <w:p w14:paraId="5B2E87CB">
      <w:pPr>
        <w:pStyle w:val="3"/>
        <w:spacing w:before="0" w:line="360" w:lineRule="auto"/>
        <w:rPr>
          <w:rFonts w:ascii="Times New Roman" w:hAnsi="Times New Roman" w:eastAsiaTheme="minorEastAsia"/>
          <w:sz w:val="28"/>
        </w:rPr>
      </w:pPr>
      <w:r>
        <w:rPr>
          <w:rFonts w:ascii="Times New Roman" w:hAnsi="Times New Roman" w:eastAsiaTheme="minorEastAsia"/>
          <w:sz w:val="28"/>
        </w:rPr>
        <w:t>二   竞争性磋商文件</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9681344">
      <w:pPr>
        <w:numPr>
          <w:ilvl w:val="0"/>
          <w:numId w:val="8"/>
        </w:numPr>
        <w:tabs>
          <w:tab w:val="left" w:pos="360"/>
        </w:tabs>
        <w:snapToGrid w:val="0"/>
        <w:spacing w:line="360" w:lineRule="auto"/>
        <w:ind w:left="357" w:hanging="357"/>
        <w:outlineLvl w:val="1"/>
        <w:rPr>
          <w:rFonts w:eastAsiaTheme="minorEastAsia"/>
          <w:sz w:val="24"/>
        </w:rPr>
      </w:pPr>
      <w:bookmarkStart w:id="153" w:name="_Toc164351617"/>
      <w:bookmarkStart w:id="154" w:name="_Toc150774728"/>
      <w:bookmarkStart w:id="155" w:name="_Toc305158791"/>
      <w:bookmarkStart w:id="156" w:name="_Toc226337219"/>
      <w:bookmarkStart w:id="157" w:name="_Toc151193837"/>
      <w:bookmarkStart w:id="158" w:name="_Toc151193621"/>
      <w:bookmarkStart w:id="159" w:name="_Toc164608637"/>
      <w:bookmarkStart w:id="160" w:name="_Toc226965713"/>
      <w:bookmarkStart w:id="161" w:name="_Toc127151724"/>
      <w:bookmarkStart w:id="162" w:name="_Toc164608792"/>
      <w:bookmarkStart w:id="163" w:name="_Toc127161437"/>
      <w:bookmarkStart w:id="164" w:name="_Toc226965796"/>
      <w:bookmarkStart w:id="165" w:name="_Toc127151523"/>
      <w:bookmarkStart w:id="166" w:name="_Toc265228361"/>
      <w:bookmarkStart w:id="167" w:name="_Toc195842888"/>
      <w:bookmarkStart w:id="168" w:name="_Toc151193693"/>
      <w:bookmarkStart w:id="169" w:name="_Toc164229364"/>
      <w:bookmarkStart w:id="170" w:name="_Toc150774623"/>
      <w:bookmarkStart w:id="171" w:name="_Toc305158865"/>
      <w:bookmarkStart w:id="172" w:name="_Toc264969213"/>
      <w:bookmarkStart w:id="173" w:name="_Toc151190150"/>
      <w:bookmarkStart w:id="174" w:name="_Toc164229218"/>
      <w:bookmarkStart w:id="175" w:name="_Toc149720816"/>
      <w:bookmarkStart w:id="176" w:name="_Toc520356147"/>
      <w:bookmarkStart w:id="177" w:name="_Toc150509274"/>
      <w:bookmarkStart w:id="178" w:name="_Toc150480761"/>
      <w:bookmarkStart w:id="179" w:name="_Toc151193765"/>
      <w:bookmarkStart w:id="180" w:name="_Toc226309767"/>
      <w:bookmarkStart w:id="181" w:name="_Toc151193911"/>
      <w:bookmarkStart w:id="182" w:name="_Toc142311025"/>
      <w:r>
        <w:rPr>
          <w:rFonts w:eastAsiaTheme="minorEastAsia"/>
          <w:sz w:val="24"/>
        </w:rPr>
        <w:t>竞争性磋商文件构</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eastAsiaTheme="minorEastAsia"/>
          <w:sz w:val="24"/>
        </w:rPr>
        <w:t>成</w:t>
      </w:r>
    </w:p>
    <w:p w14:paraId="7E0FAB23">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14:paraId="56A48335">
      <w:pPr>
        <w:numPr>
          <w:ilvl w:val="0"/>
          <w:numId w:val="9"/>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14:paraId="607D161B">
      <w:pPr>
        <w:numPr>
          <w:ilvl w:val="0"/>
          <w:numId w:val="9"/>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14:paraId="728F448A">
      <w:pPr>
        <w:numPr>
          <w:ilvl w:val="0"/>
          <w:numId w:val="9"/>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14:paraId="62052288">
      <w:pPr>
        <w:numPr>
          <w:ilvl w:val="0"/>
          <w:numId w:val="9"/>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14:paraId="7EE9F879">
      <w:pPr>
        <w:numPr>
          <w:ilvl w:val="0"/>
          <w:numId w:val="9"/>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14:paraId="5CA4FD74">
      <w:pPr>
        <w:numPr>
          <w:ilvl w:val="0"/>
          <w:numId w:val="9"/>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14:paraId="2EAB515E">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59CE47DC">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14:paraId="04769666">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64E65F64">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上述书面通知，按照获取竞争性磋商文件的潜在供应商提供的联系方式发出，因提供的信息有误导致通知延迟或无法通知的，采购人或采购代理机构不承担责任。</w:t>
      </w:r>
    </w:p>
    <w:p w14:paraId="4FD8CF00">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kern w:val="0"/>
          <w:sz w:val="24"/>
        </w:rPr>
        <w:t>以书面形式通知所有获取磋商文件的供应商</w:t>
      </w:r>
      <w:r>
        <w:rPr>
          <w:rFonts w:eastAsiaTheme="minorEastAsia"/>
          <w:sz w:val="24"/>
        </w:rPr>
        <w:t>；不足上述时间的，将顺延提交</w:t>
      </w:r>
      <w:r>
        <w:rPr>
          <w:rFonts w:hint="eastAsia" w:eastAsiaTheme="minorEastAsia"/>
          <w:sz w:val="24"/>
        </w:rPr>
        <w:t>首次</w:t>
      </w:r>
      <w:r>
        <w:rPr>
          <w:rFonts w:eastAsiaTheme="minorEastAsia"/>
          <w:sz w:val="24"/>
        </w:rPr>
        <w:t>响应文件截止时间。</w:t>
      </w:r>
    </w:p>
    <w:p w14:paraId="69BE9BD4">
      <w:pPr>
        <w:tabs>
          <w:tab w:val="left" w:pos="1080"/>
          <w:tab w:val="left" w:pos="1561"/>
        </w:tabs>
        <w:snapToGrid w:val="0"/>
        <w:spacing w:line="360" w:lineRule="auto"/>
        <w:ind w:left="1080"/>
        <w:rPr>
          <w:rFonts w:eastAsiaTheme="minorEastAsia"/>
          <w:sz w:val="28"/>
        </w:rPr>
      </w:pPr>
      <w:bookmarkStart w:id="183" w:name="_Toc516367020"/>
      <w:bookmarkStart w:id="184" w:name="_Toc142311028"/>
      <w:bookmarkStart w:id="185" w:name="_Toc265228364"/>
      <w:bookmarkStart w:id="186" w:name="_Toc305158794"/>
      <w:bookmarkStart w:id="187" w:name="_Toc150480764"/>
      <w:bookmarkStart w:id="188" w:name="_Toc151190153"/>
      <w:bookmarkStart w:id="189" w:name="_Toc226309770"/>
      <w:bookmarkStart w:id="190" w:name="_Toc127151526"/>
      <w:bookmarkStart w:id="191" w:name="_Toc151193914"/>
      <w:bookmarkStart w:id="192" w:name="_Toc151193696"/>
      <w:bookmarkStart w:id="193" w:name="_Toc520356150"/>
      <w:bookmarkStart w:id="194" w:name="_Toc305158868"/>
      <w:bookmarkStart w:id="195" w:name="_Toc151193624"/>
      <w:bookmarkStart w:id="196" w:name="_Toc264969216"/>
      <w:bookmarkStart w:id="197" w:name="_Toc226965716"/>
      <w:bookmarkStart w:id="198" w:name="_Toc150509277"/>
      <w:bookmarkStart w:id="199" w:name="_Toc151193840"/>
      <w:bookmarkStart w:id="200" w:name="_Toc226337222"/>
      <w:bookmarkStart w:id="201" w:name="_Toc150774731"/>
      <w:bookmarkStart w:id="202" w:name="_Toc150774626"/>
      <w:bookmarkStart w:id="203" w:name="_Toc151193768"/>
      <w:bookmarkStart w:id="204" w:name="_Toc226965799"/>
      <w:bookmarkStart w:id="205" w:name="_Toc195842891"/>
    </w:p>
    <w:p w14:paraId="3052C214">
      <w:pPr>
        <w:pStyle w:val="3"/>
        <w:spacing w:before="0" w:line="360" w:lineRule="auto"/>
        <w:rPr>
          <w:rFonts w:ascii="Times New Roman" w:hAnsi="Times New Roman" w:eastAsiaTheme="minorEastAsia"/>
          <w:sz w:val="28"/>
        </w:rPr>
      </w:pPr>
      <w:r>
        <w:rPr>
          <w:rFonts w:ascii="Times New Roman" w:hAnsi="Times New Roman" w:eastAsiaTheme="minorEastAsia"/>
          <w:sz w:val="28"/>
        </w:rPr>
        <w:t>三   响应文件</w:t>
      </w:r>
      <w:bookmarkEnd w:id="183"/>
      <w:r>
        <w:rPr>
          <w:rFonts w:ascii="Times New Roman" w:hAnsi="Times New Roman" w:eastAsiaTheme="minorEastAsia"/>
          <w:sz w:val="28"/>
        </w:rPr>
        <w:t>的编制</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C71DA32">
      <w:pPr>
        <w:numPr>
          <w:ilvl w:val="0"/>
          <w:numId w:val="8"/>
        </w:numPr>
        <w:tabs>
          <w:tab w:val="left" w:pos="360"/>
        </w:tabs>
        <w:snapToGrid w:val="0"/>
        <w:spacing w:line="360" w:lineRule="auto"/>
        <w:ind w:left="357" w:hanging="357"/>
        <w:outlineLvl w:val="1"/>
        <w:rPr>
          <w:rFonts w:eastAsiaTheme="minorEastAsia"/>
          <w:sz w:val="24"/>
        </w:rPr>
      </w:pPr>
      <w:bookmarkStart w:id="206" w:name="_Toc127151527"/>
      <w:bookmarkStart w:id="207" w:name="_Toc164229368"/>
      <w:bookmarkStart w:id="208" w:name="_Toc150480765"/>
      <w:bookmarkStart w:id="209" w:name="_Toc151193697"/>
      <w:bookmarkStart w:id="210" w:name="_Toc149720820"/>
      <w:bookmarkStart w:id="211" w:name="_Toc520356151"/>
      <w:bookmarkStart w:id="212" w:name="_Toc305158795"/>
      <w:bookmarkStart w:id="213" w:name="_Toc151190154"/>
      <w:bookmarkStart w:id="214" w:name="_Toc226965717"/>
      <w:bookmarkStart w:id="215" w:name="_Toc150509278"/>
      <w:bookmarkStart w:id="216" w:name="_Toc127151728"/>
      <w:bookmarkStart w:id="217" w:name="_Toc164608641"/>
      <w:bookmarkStart w:id="218" w:name="_Toc265228365"/>
      <w:bookmarkStart w:id="219" w:name="_Toc151193769"/>
      <w:bookmarkStart w:id="220" w:name="_Toc142311029"/>
      <w:bookmarkStart w:id="221" w:name="_Toc264969217"/>
      <w:bookmarkStart w:id="222" w:name="_Toc305158869"/>
      <w:bookmarkStart w:id="223" w:name="_Toc195842892"/>
      <w:bookmarkStart w:id="224" w:name="_Toc226965800"/>
      <w:bookmarkStart w:id="225" w:name="_Toc151193915"/>
      <w:bookmarkStart w:id="226" w:name="_Toc164608796"/>
      <w:bookmarkStart w:id="227" w:name="_Toc226309771"/>
      <w:bookmarkStart w:id="228" w:name="_Toc150774732"/>
      <w:bookmarkStart w:id="229" w:name="_Toc164351621"/>
      <w:bookmarkStart w:id="230" w:name="_Toc150774627"/>
      <w:bookmarkStart w:id="231" w:name="_Toc151193841"/>
      <w:bookmarkStart w:id="232" w:name="_Toc226337223"/>
      <w:bookmarkStart w:id="233" w:name="_Toc151193625"/>
      <w:bookmarkStart w:id="234" w:name="_Toc516367021"/>
      <w:bookmarkStart w:id="235" w:name="_Toc164229222"/>
      <w:bookmarkStart w:id="236" w:name="_Toc127161441"/>
      <w:r>
        <w:rPr>
          <w:rFonts w:eastAsiaTheme="minorEastAsia"/>
          <w:sz w:val="24"/>
        </w:rPr>
        <w:t>响应范围、竞争性磋商文件中计量单位的使用</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Fonts w:eastAsiaTheme="minorEastAsia"/>
          <w:sz w:val="24"/>
        </w:rPr>
        <w:t>及磋商语言</w:t>
      </w:r>
    </w:p>
    <w:p w14:paraId="1B6306BE">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2339C5C6">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71FFECBB">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26C89F49">
      <w:pPr>
        <w:numPr>
          <w:ilvl w:val="0"/>
          <w:numId w:val="8"/>
        </w:numPr>
        <w:tabs>
          <w:tab w:val="left" w:pos="360"/>
        </w:tabs>
        <w:snapToGrid w:val="0"/>
        <w:spacing w:line="360" w:lineRule="auto"/>
        <w:ind w:left="357" w:hanging="357"/>
        <w:outlineLvl w:val="1"/>
        <w:rPr>
          <w:rFonts w:eastAsiaTheme="minorEastAsia"/>
          <w:sz w:val="24"/>
        </w:rPr>
      </w:pPr>
      <w:bookmarkStart w:id="237" w:name="_Ref467306195"/>
      <w:bookmarkStart w:id="238" w:name="_Ref467306676"/>
      <w:bookmarkStart w:id="239" w:name="_Toc516367022"/>
      <w:bookmarkStart w:id="240" w:name="_Toc164608642"/>
      <w:bookmarkStart w:id="241" w:name="_Toc150480766"/>
      <w:bookmarkStart w:id="242" w:name="_Toc151193842"/>
      <w:bookmarkStart w:id="243" w:name="_Toc151193770"/>
      <w:bookmarkStart w:id="244" w:name="_Toc226337224"/>
      <w:bookmarkStart w:id="245" w:name="_Toc150509279"/>
      <w:bookmarkStart w:id="246" w:name="_Toc142311030"/>
      <w:bookmarkStart w:id="247" w:name="_Toc164229369"/>
      <w:bookmarkStart w:id="248" w:name="_Toc195842893"/>
      <w:bookmarkStart w:id="249" w:name="_Toc305158870"/>
      <w:bookmarkStart w:id="250" w:name="_Toc164608797"/>
      <w:bookmarkStart w:id="251" w:name="_Toc164229223"/>
      <w:bookmarkStart w:id="252" w:name="_Toc164351622"/>
      <w:bookmarkStart w:id="253" w:name="_Toc226965801"/>
      <w:bookmarkStart w:id="254" w:name="_Toc265228366"/>
      <w:bookmarkStart w:id="255" w:name="_Toc151190155"/>
      <w:bookmarkStart w:id="256" w:name="_Toc226965718"/>
      <w:bookmarkStart w:id="257" w:name="_Toc127161442"/>
      <w:bookmarkStart w:id="258" w:name="_Toc226309772"/>
      <w:bookmarkStart w:id="259" w:name="_Toc150774733"/>
      <w:bookmarkStart w:id="260" w:name="_Toc151193626"/>
      <w:bookmarkStart w:id="261" w:name="_Toc127151729"/>
      <w:bookmarkStart w:id="262" w:name="_Toc264969218"/>
      <w:bookmarkStart w:id="263" w:name="_Toc520356152"/>
      <w:bookmarkStart w:id="264" w:name="_Toc149720821"/>
      <w:bookmarkStart w:id="265" w:name="_Toc150774628"/>
      <w:bookmarkStart w:id="266" w:name="_Toc305158796"/>
      <w:bookmarkStart w:id="267" w:name="_Toc151193916"/>
      <w:bookmarkStart w:id="268" w:name="_Toc151193698"/>
      <w:bookmarkStart w:id="269" w:name="_Toc127151528"/>
      <w:r>
        <w:rPr>
          <w:rFonts w:eastAsiaTheme="minorEastAsia"/>
          <w:sz w:val="24"/>
        </w:rPr>
        <w:t>响应文件</w:t>
      </w:r>
      <w:bookmarkEnd w:id="237"/>
      <w:bookmarkEnd w:id="238"/>
      <w:bookmarkEnd w:id="239"/>
      <w:r>
        <w:rPr>
          <w:rFonts w:eastAsiaTheme="minorEastAsia"/>
          <w:sz w:val="24"/>
        </w:rPr>
        <w:t>构成</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234A8CD0">
      <w:pPr>
        <w:numPr>
          <w:ilvl w:val="1"/>
          <w:numId w:val="8"/>
        </w:numPr>
        <w:tabs>
          <w:tab w:val="left" w:pos="1080"/>
          <w:tab w:val="left" w:pos="2014"/>
        </w:tabs>
        <w:snapToGrid w:val="0"/>
        <w:spacing w:line="360" w:lineRule="auto"/>
        <w:ind w:left="1077" w:hanging="720"/>
        <w:rPr>
          <w:rFonts w:eastAsiaTheme="minorEastAsia"/>
          <w:sz w:val="24"/>
        </w:rPr>
      </w:pPr>
      <w:bookmarkStart w:id="270"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6B4786A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2CA3215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14:paraId="43C3D11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216B1DB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70"/>
    </w:p>
    <w:p w14:paraId="003AC95D">
      <w:pPr>
        <w:numPr>
          <w:ilvl w:val="0"/>
          <w:numId w:val="8"/>
        </w:numPr>
        <w:tabs>
          <w:tab w:val="left" w:pos="360"/>
        </w:tabs>
        <w:snapToGrid w:val="0"/>
        <w:spacing w:line="360" w:lineRule="auto"/>
        <w:ind w:left="357" w:hanging="357"/>
        <w:outlineLvl w:val="1"/>
        <w:rPr>
          <w:rFonts w:eastAsiaTheme="minorEastAsia"/>
          <w:sz w:val="24"/>
        </w:rPr>
      </w:pPr>
      <w:bookmarkStart w:id="271" w:name="_Toc151193628"/>
      <w:bookmarkStart w:id="272" w:name="_Toc164608799"/>
      <w:bookmarkStart w:id="273" w:name="_Toc151193844"/>
      <w:bookmarkStart w:id="274" w:name="_Toc142311032"/>
      <w:bookmarkStart w:id="275" w:name="_Toc164229225"/>
      <w:bookmarkStart w:id="276" w:name="_Toc150774735"/>
      <w:bookmarkStart w:id="277" w:name="_Toc150480768"/>
      <w:bookmarkStart w:id="278" w:name="_Toc151193700"/>
      <w:bookmarkStart w:id="279" w:name="_Toc151190157"/>
      <w:bookmarkStart w:id="280" w:name="_Toc151193772"/>
      <w:bookmarkStart w:id="281" w:name="_Toc195842895"/>
      <w:bookmarkStart w:id="282" w:name="_Toc150509281"/>
      <w:bookmarkStart w:id="283" w:name="_Toc520356155"/>
      <w:bookmarkStart w:id="284" w:name="_Toc127161444"/>
      <w:bookmarkStart w:id="285" w:name="_Toc164229371"/>
      <w:bookmarkStart w:id="286" w:name="_Toc149720823"/>
      <w:bookmarkStart w:id="287" w:name="_Toc127151530"/>
      <w:bookmarkStart w:id="288" w:name="_Toc164608644"/>
      <w:bookmarkStart w:id="289" w:name="_Toc164351624"/>
      <w:bookmarkStart w:id="290" w:name="_Toc151193918"/>
      <w:bookmarkStart w:id="291" w:name="_Toc150774630"/>
      <w:bookmarkStart w:id="292" w:name="_Toc127151731"/>
      <w:r>
        <w:rPr>
          <w:rFonts w:eastAsiaTheme="minorEastAsia"/>
          <w:sz w:val="24"/>
        </w:rPr>
        <w:t>报价</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067DC45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hint="eastAsia" w:eastAsiaTheme="minorEastAsia"/>
          <w:sz w:val="24"/>
        </w:rPr>
        <w:t>为计价货币</w:t>
      </w:r>
      <w:r>
        <w:rPr>
          <w:rFonts w:eastAsiaTheme="minorEastAsia"/>
          <w:sz w:val="24"/>
        </w:rPr>
        <w:t>。</w:t>
      </w:r>
    </w:p>
    <w:p w14:paraId="191D08F9">
      <w:pPr>
        <w:numPr>
          <w:ilvl w:val="1"/>
          <w:numId w:val="8"/>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4712AFD2">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2B0D3B7">
      <w:pPr>
        <w:numPr>
          <w:ilvl w:val="2"/>
          <w:numId w:val="8"/>
        </w:numPr>
        <w:snapToGrid w:val="0"/>
        <w:spacing w:line="360" w:lineRule="auto"/>
        <w:rPr>
          <w:rFonts w:eastAsiaTheme="minorEastAsia"/>
          <w:sz w:val="24"/>
        </w:rPr>
      </w:pPr>
      <w:r>
        <w:rPr>
          <w:rFonts w:eastAsiaTheme="minorEastAsia"/>
          <w:sz w:val="24"/>
        </w:rPr>
        <w:t>按照竞争性磋商文件要求完成本项目的全部相关费用。</w:t>
      </w:r>
    </w:p>
    <w:p w14:paraId="0E0D92D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05415C59">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1891B3EC">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14:paraId="5132712B">
      <w:pPr>
        <w:numPr>
          <w:ilvl w:val="1"/>
          <w:numId w:val="8"/>
        </w:numPr>
        <w:tabs>
          <w:tab w:val="left" w:pos="1080"/>
          <w:tab w:val="left" w:pos="2014"/>
        </w:tabs>
        <w:snapToGrid w:val="0"/>
        <w:spacing w:line="360" w:lineRule="auto"/>
        <w:ind w:left="1077" w:hanging="720"/>
        <w:rPr>
          <w:rFonts w:eastAsiaTheme="minorEastAsia"/>
          <w:sz w:val="24"/>
        </w:rPr>
      </w:pPr>
      <w:bookmarkStart w:id="293" w:name="_Ref467306302"/>
      <w:r>
        <w:rPr>
          <w:rFonts w:eastAsiaTheme="minorEastAsia"/>
          <w:sz w:val="24"/>
        </w:rPr>
        <w:t>供应商应按《供应商须知资料表》中规定的金额及要求交纳磋商保证金</w:t>
      </w:r>
      <w:bookmarkEnd w:id="293"/>
      <w:r>
        <w:rPr>
          <w:rFonts w:eastAsiaTheme="minorEastAsia"/>
          <w:sz w:val="24"/>
        </w:rPr>
        <w:t>。</w:t>
      </w:r>
      <w:r>
        <w:rPr>
          <w:rFonts w:hint="eastAsia" w:eastAsiaTheme="minorEastAsia"/>
          <w:sz w:val="24"/>
        </w:rPr>
        <w:t>供应商自愿超额缴纳磋商保证金的，响应文件不做无效处理。</w:t>
      </w:r>
    </w:p>
    <w:p w14:paraId="3A6D790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14:paraId="43D514C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294"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294"/>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7597F387">
      <w:pPr>
        <w:numPr>
          <w:ilvl w:val="1"/>
          <w:numId w:val="8"/>
        </w:numPr>
        <w:tabs>
          <w:tab w:val="left" w:pos="1080"/>
          <w:tab w:val="left" w:pos="2014"/>
        </w:tabs>
        <w:snapToGrid w:val="0"/>
        <w:spacing w:line="360" w:lineRule="auto"/>
        <w:ind w:left="1077" w:hanging="720"/>
        <w:rPr>
          <w:sz w:val="24"/>
        </w:rPr>
      </w:pPr>
      <w:bookmarkStart w:id="295"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保证金凭证/交款单据电子件</w:t>
      </w:r>
      <w:r>
        <w:rPr>
          <w:rFonts w:hint="eastAsia"/>
          <w:sz w:val="24"/>
        </w:rPr>
        <w:t>”。</w:t>
      </w:r>
    </w:p>
    <w:bookmarkEnd w:id="295"/>
    <w:p w14:paraId="509A583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14:paraId="39559A4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52FAB44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2D331112">
      <w:pPr>
        <w:numPr>
          <w:ilvl w:val="2"/>
          <w:numId w:val="8"/>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14:paraId="1C76C99E">
      <w:pPr>
        <w:numPr>
          <w:ilvl w:val="2"/>
          <w:numId w:val="8"/>
        </w:numPr>
        <w:snapToGrid w:val="0"/>
        <w:spacing w:line="360" w:lineRule="auto"/>
        <w:rPr>
          <w:rFonts w:eastAsiaTheme="minorEastAsia"/>
          <w:sz w:val="24"/>
        </w:rPr>
      </w:pPr>
      <w:r>
        <w:rPr>
          <w:rFonts w:eastAsiaTheme="minorEastAsia"/>
          <w:sz w:val="24"/>
        </w:rPr>
        <w:t>成交供应商的磋商保证金，在采购合同签订后5个工作日内退还成交供应商；</w:t>
      </w:r>
    </w:p>
    <w:p w14:paraId="64EC6B88">
      <w:pPr>
        <w:numPr>
          <w:ilvl w:val="2"/>
          <w:numId w:val="8"/>
        </w:numPr>
        <w:snapToGrid w:val="0"/>
        <w:spacing w:line="360" w:lineRule="auto"/>
        <w:rPr>
          <w:rFonts w:eastAsiaTheme="minorEastAsia"/>
          <w:sz w:val="24"/>
        </w:rPr>
      </w:pPr>
      <w:r>
        <w:rPr>
          <w:rFonts w:eastAsiaTheme="minorEastAsia"/>
          <w:sz w:val="24"/>
        </w:rPr>
        <w:t>未成交供应商的磋商保证金，在成交通知书发出后5个工作日内退还。</w:t>
      </w:r>
    </w:p>
    <w:p w14:paraId="14A90D0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有下列情形之一的，采购人或采购代理机构不予退还磋商保证金：</w:t>
      </w:r>
    </w:p>
    <w:p w14:paraId="3F5AD89F">
      <w:pPr>
        <w:numPr>
          <w:ilvl w:val="2"/>
          <w:numId w:val="8"/>
        </w:numPr>
        <w:snapToGrid w:val="0"/>
        <w:spacing w:line="360" w:lineRule="auto"/>
        <w:rPr>
          <w:rFonts w:eastAsiaTheme="minorEastAsia"/>
          <w:sz w:val="24"/>
        </w:rPr>
      </w:pPr>
      <w:r>
        <w:rPr>
          <w:rFonts w:eastAsiaTheme="minorEastAsia"/>
          <w:sz w:val="24"/>
        </w:rPr>
        <w:t>供应商在响应文件提交截止时间后撤回响应文件的；</w:t>
      </w:r>
    </w:p>
    <w:p w14:paraId="53081CA5">
      <w:pPr>
        <w:numPr>
          <w:ilvl w:val="2"/>
          <w:numId w:val="8"/>
        </w:numPr>
        <w:snapToGrid w:val="0"/>
        <w:spacing w:line="360" w:lineRule="auto"/>
        <w:rPr>
          <w:rFonts w:eastAsiaTheme="minorEastAsia"/>
          <w:sz w:val="24"/>
        </w:rPr>
      </w:pPr>
      <w:r>
        <w:rPr>
          <w:rFonts w:eastAsiaTheme="minorEastAsia"/>
          <w:sz w:val="24"/>
        </w:rPr>
        <w:t>供应商在响应文件中提供虚假材料的；</w:t>
      </w:r>
    </w:p>
    <w:p w14:paraId="65138025">
      <w:pPr>
        <w:numPr>
          <w:ilvl w:val="2"/>
          <w:numId w:val="8"/>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14:paraId="5780EF41">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14:paraId="13A8107A">
      <w:pPr>
        <w:numPr>
          <w:ilvl w:val="2"/>
          <w:numId w:val="8"/>
        </w:numPr>
        <w:snapToGrid w:val="0"/>
        <w:spacing w:line="360" w:lineRule="auto"/>
        <w:rPr>
          <w:rFonts w:eastAsiaTheme="minorEastAsia"/>
          <w:sz w:val="24"/>
        </w:rPr>
      </w:pPr>
      <w:r>
        <w:rPr>
          <w:rFonts w:eastAsiaTheme="minorEastAsia"/>
          <w:sz w:val="24"/>
        </w:rPr>
        <w:t>《供应商须知资料表》规定的其他情形。</w:t>
      </w:r>
    </w:p>
    <w:p w14:paraId="109AF7D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14:paraId="1A18180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570AD522">
      <w:pPr>
        <w:numPr>
          <w:ilvl w:val="0"/>
          <w:numId w:val="8"/>
        </w:numPr>
        <w:tabs>
          <w:tab w:val="left" w:pos="360"/>
        </w:tabs>
        <w:snapToGrid w:val="0"/>
        <w:spacing w:line="360" w:lineRule="auto"/>
        <w:ind w:left="357" w:hanging="357"/>
        <w:outlineLvl w:val="1"/>
        <w:rPr>
          <w:rFonts w:eastAsiaTheme="minorEastAsia"/>
          <w:sz w:val="24"/>
        </w:rPr>
      </w:pPr>
      <w:bookmarkStart w:id="296" w:name="_Toc151193921"/>
      <w:bookmarkStart w:id="297" w:name="_Toc151193775"/>
      <w:bookmarkStart w:id="298" w:name="_Toc127151533"/>
      <w:bookmarkStart w:id="299" w:name="_Toc151193847"/>
      <w:bookmarkStart w:id="300" w:name="_Toc164351627"/>
      <w:bookmarkStart w:id="301" w:name="_Toc127161447"/>
      <w:bookmarkStart w:id="302" w:name="_Toc151193703"/>
      <w:bookmarkStart w:id="303" w:name="_Toc127151734"/>
      <w:bookmarkStart w:id="304" w:name="_Toc305158875"/>
      <w:bookmarkStart w:id="305" w:name="_Toc150774633"/>
      <w:bookmarkStart w:id="306" w:name="_Toc226965806"/>
      <w:bookmarkStart w:id="307" w:name="_Toc150480771"/>
      <w:bookmarkStart w:id="308" w:name="_Toc164608647"/>
      <w:bookmarkStart w:id="309" w:name="_Toc151193631"/>
      <w:bookmarkStart w:id="310" w:name="_Toc305158801"/>
      <w:bookmarkStart w:id="311" w:name="_Toc264969223"/>
      <w:bookmarkStart w:id="312" w:name="_Toc150774738"/>
      <w:bookmarkStart w:id="313" w:name="_Toc265228371"/>
      <w:bookmarkStart w:id="314" w:name="_Toc520356158"/>
      <w:bookmarkStart w:id="315" w:name="_Toc150509284"/>
      <w:bookmarkStart w:id="316" w:name="_Toc226309777"/>
      <w:bookmarkStart w:id="317" w:name="_Toc164608802"/>
      <w:bookmarkStart w:id="318" w:name="_Toc164229228"/>
      <w:bookmarkStart w:id="319" w:name="_Toc226965723"/>
      <w:bookmarkStart w:id="320" w:name="_Toc226337229"/>
      <w:bookmarkStart w:id="321" w:name="_Toc195842898"/>
      <w:bookmarkStart w:id="322" w:name="_Toc151190160"/>
      <w:bookmarkStart w:id="323" w:name="_Toc149720826"/>
      <w:bookmarkStart w:id="324" w:name="_Toc164229374"/>
      <w:bookmarkStart w:id="325" w:name="_Toc142311035"/>
      <w:r>
        <w:rPr>
          <w:rFonts w:eastAsiaTheme="minorEastAsia"/>
          <w:sz w:val="24"/>
        </w:rPr>
        <w:t>响应文件的签署</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rFonts w:eastAsiaTheme="minorEastAsia"/>
          <w:sz w:val="24"/>
        </w:rPr>
        <w:t>、盖章</w:t>
      </w:r>
    </w:p>
    <w:p w14:paraId="21F6B863">
      <w:pPr>
        <w:numPr>
          <w:ilvl w:val="1"/>
          <w:numId w:val="8"/>
        </w:numPr>
        <w:tabs>
          <w:tab w:val="left" w:pos="1080"/>
        </w:tabs>
        <w:snapToGrid w:val="0"/>
        <w:spacing w:line="360" w:lineRule="auto"/>
        <w:rPr>
          <w:rFonts w:eastAsiaTheme="minorEastAsia"/>
          <w:sz w:val="24"/>
        </w:rPr>
      </w:pPr>
      <w:bookmarkStart w:id="326" w:name="_Toc226337230"/>
      <w:bookmarkStart w:id="327" w:name="_Toc226965724"/>
      <w:bookmarkStart w:id="328" w:name="_Toc195842899"/>
      <w:bookmarkStart w:id="329" w:name="_Toc226309778"/>
      <w:bookmarkStart w:id="330" w:name="_Toc150509285"/>
      <w:bookmarkStart w:id="331" w:name="_Toc142311036"/>
      <w:bookmarkStart w:id="332" w:name="_Toc151193704"/>
      <w:bookmarkStart w:id="333" w:name="_Toc151193776"/>
      <w:bookmarkStart w:id="334" w:name="_Toc264969224"/>
      <w:bookmarkStart w:id="335" w:name="_Toc151190161"/>
      <w:bookmarkStart w:id="336" w:name="_Toc265228372"/>
      <w:bookmarkStart w:id="337" w:name="_Toc226965807"/>
      <w:bookmarkStart w:id="338" w:name="_Toc151193848"/>
      <w:bookmarkStart w:id="339" w:name="_Toc305158876"/>
      <w:bookmarkStart w:id="340" w:name="_Toc127151534"/>
      <w:bookmarkStart w:id="341" w:name="_Toc151193922"/>
      <w:bookmarkStart w:id="342" w:name="_Toc151193632"/>
      <w:bookmarkStart w:id="343" w:name="_Toc150774739"/>
      <w:bookmarkStart w:id="344" w:name="_Toc520356159"/>
      <w:bookmarkStart w:id="345" w:name="_Toc150480772"/>
      <w:bookmarkStart w:id="346" w:name="_Toc305158802"/>
      <w:bookmarkStart w:id="347" w:name="_Toc150774634"/>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145A7CB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14:paraId="6E513FB9">
      <w:pPr>
        <w:tabs>
          <w:tab w:val="left" w:pos="900"/>
          <w:tab w:val="left" w:pos="1080"/>
        </w:tabs>
        <w:snapToGrid w:val="0"/>
        <w:spacing w:line="360" w:lineRule="auto"/>
        <w:ind w:left="357"/>
        <w:rPr>
          <w:rFonts w:eastAsiaTheme="minorEastAsia"/>
        </w:rPr>
      </w:pPr>
    </w:p>
    <w:p w14:paraId="3E0B0B88">
      <w:pPr>
        <w:pStyle w:val="3"/>
        <w:spacing w:before="0" w:line="360" w:lineRule="auto"/>
        <w:rPr>
          <w:rFonts w:ascii="Times New Roman" w:hAnsi="Times New Roman" w:eastAsiaTheme="minorEastAsia"/>
          <w:sz w:val="28"/>
        </w:rPr>
      </w:pPr>
      <w:r>
        <w:rPr>
          <w:rFonts w:ascii="Times New Roman" w:hAnsi="Times New Roman" w:eastAsiaTheme="minorEastAsia"/>
          <w:sz w:val="28"/>
        </w:rPr>
        <w:t>四   响应文件的提交</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7569345D">
      <w:pPr>
        <w:numPr>
          <w:ilvl w:val="0"/>
          <w:numId w:val="8"/>
        </w:numPr>
        <w:tabs>
          <w:tab w:val="left" w:pos="360"/>
        </w:tabs>
        <w:snapToGrid w:val="0"/>
        <w:spacing w:line="360" w:lineRule="auto"/>
        <w:ind w:left="357" w:hanging="357"/>
        <w:outlineLvl w:val="1"/>
        <w:rPr>
          <w:rFonts w:eastAsiaTheme="minorEastAsia"/>
          <w:sz w:val="24"/>
        </w:rPr>
      </w:pPr>
      <w:bookmarkStart w:id="348" w:name="_Toc164608649"/>
      <w:bookmarkStart w:id="349" w:name="_Toc150509286"/>
      <w:bookmarkStart w:id="350" w:name="_Toc195842900"/>
      <w:bookmarkStart w:id="351" w:name="_Toc127151535"/>
      <w:bookmarkStart w:id="352" w:name="_Toc151193923"/>
      <w:bookmarkStart w:id="353" w:name="_Toc151193705"/>
      <w:bookmarkStart w:id="354" w:name="_Toc226337231"/>
      <w:bookmarkStart w:id="355" w:name="_Toc305158877"/>
      <w:bookmarkStart w:id="356" w:name="_Toc164351629"/>
      <w:bookmarkStart w:id="357" w:name="_Toc305158803"/>
      <w:bookmarkStart w:id="358" w:name="_Toc150774740"/>
      <w:bookmarkStart w:id="359" w:name="_Toc150480773"/>
      <w:bookmarkStart w:id="360" w:name="_Toc142311037"/>
      <w:bookmarkStart w:id="361" w:name="_Toc150774635"/>
      <w:bookmarkStart w:id="362" w:name="_Toc151193777"/>
      <w:bookmarkStart w:id="363" w:name="_Toc149720828"/>
      <w:bookmarkStart w:id="364" w:name="_Toc164229230"/>
      <w:bookmarkStart w:id="365" w:name="_Toc226965808"/>
      <w:bookmarkStart w:id="366" w:name="_Toc226965725"/>
      <w:bookmarkStart w:id="367" w:name="_Toc151190162"/>
      <w:bookmarkStart w:id="368" w:name="_Toc127161449"/>
      <w:bookmarkStart w:id="369" w:name="_Toc127151736"/>
      <w:bookmarkStart w:id="370" w:name="_Toc164229376"/>
      <w:bookmarkStart w:id="371" w:name="_Toc151193633"/>
      <w:bookmarkStart w:id="372" w:name="_Toc226309779"/>
      <w:bookmarkStart w:id="373" w:name="_Toc265228373"/>
      <w:bookmarkStart w:id="374" w:name="_Toc264969225"/>
      <w:bookmarkStart w:id="375" w:name="_Toc520356160"/>
      <w:bookmarkStart w:id="376" w:name="_Toc164608804"/>
      <w:bookmarkStart w:id="377" w:name="_Toc151193849"/>
      <w:r>
        <w:rPr>
          <w:rFonts w:eastAsiaTheme="minorEastAsia"/>
          <w:sz w:val="24"/>
        </w:rPr>
        <w:t>响应文件的</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Fonts w:eastAsiaTheme="minorEastAsia"/>
          <w:sz w:val="24"/>
        </w:rPr>
        <w:t>提交</w:t>
      </w:r>
    </w:p>
    <w:p w14:paraId="110EDBD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14:paraId="4D523C4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hint="eastAsia" w:eastAsiaTheme="minorEastAsia"/>
          <w:sz w:val="24"/>
        </w:rPr>
        <w:t>首次</w:t>
      </w:r>
      <w:r>
        <w:rPr>
          <w:rFonts w:eastAsiaTheme="minorEastAsia"/>
          <w:sz w:val="24"/>
        </w:rPr>
        <w:t>响应文件，磋商保证金除外。</w:t>
      </w:r>
    </w:p>
    <w:p w14:paraId="013E7729">
      <w:pPr>
        <w:numPr>
          <w:ilvl w:val="0"/>
          <w:numId w:val="8"/>
        </w:numPr>
        <w:tabs>
          <w:tab w:val="left" w:pos="360"/>
        </w:tabs>
        <w:snapToGrid w:val="0"/>
        <w:spacing w:line="360" w:lineRule="auto"/>
        <w:ind w:left="357" w:hanging="357"/>
        <w:outlineLvl w:val="1"/>
        <w:rPr>
          <w:rFonts w:eastAsiaTheme="minorEastAsia"/>
          <w:sz w:val="24"/>
        </w:rPr>
      </w:pPr>
      <w:bookmarkStart w:id="378" w:name="_Toc264969226"/>
      <w:bookmarkStart w:id="379" w:name="_Toc520356161"/>
      <w:bookmarkStart w:id="380" w:name="_Toc150509287"/>
      <w:bookmarkStart w:id="381" w:name="_Toc151193706"/>
      <w:bookmarkStart w:id="382" w:name="_Toc151193924"/>
      <w:bookmarkStart w:id="383" w:name="_Toc127151536"/>
      <w:bookmarkStart w:id="384" w:name="_Toc150774741"/>
      <w:bookmarkStart w:id="385" w:name="_Toc142311038"/>
      <w:bookmarkStart w:id="386" w:name="_Toc265228374"/>
      <w:bookmarkStart w:id="387" w:name="_Toc305158804"/>
      <w:bookmarkStart w:id="388" w:name="_Toc151190163"/>
      <w:bookmarkStart w:id="389" w:name="_Toc150774636"/>
      <w:bookmarkStart w:id="390" w:name="_Toc149720829"/>
      <w:bookmarkStart w:id="391" w:name="_Toc226309780"/>
      <w:bookmarkStart w:id="392" w:name="_Toc226337232"/>
      <w:bookmarkStart w:id="393" w:name="_Toc151193778"/>
      <w:bookmarkStart w:id="394" w:name="_Toc127161450"/>
      <w:bookmarkStart w:id="395" w:name="_Toc195842901"/>
      <w:bookmarkStart w:id="396" w:name="_Toc164351630"/>
      <w:bookmarkStart w:id="397" w:name="_Toc151193850"/>
      <w:bookmarkStart w:id="398" w:name="_Toc151193634"/>
      <w:bookmarkStart w:id="399" w:name="_Toc164608805"/>
      <w:bookmarkStart w:id="400" w:name="_Toc150480774"/>
      <w:bookmarkStart w:id="401" w:name="_Toc127151737"/>
      <w:bookmarkStart w:id="402" w:name="_Toc226965726"/>
      <w:bookmarkStart w:id="403" w:name="_Toc164229377"/>
      <w:bookmarkStart w:id="404" w:name="_Toc164608650"/>
      <w:bookmarkStart w:id="405" w:name="_Toc226965809"/>
      <w:bookmarkStart w:id="406" w:name="_Toc164229231"/>
      <w:bookmarkStart w:id="407" w:name="_Toc305158878"/>
      <w:r>
        <w:rPr>
          <w:rFonts w:eastAsiaTheme="minorEastAsia"/>
          <w:sz w:val="24"/>
        </w:rPr>
        <w:t>响应文件提交截止</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eastAsiaTheme="minorEastAsia"/>
          <w:sz w:val="24"/>
        </w:rPr>
        <w:t>时间</w:t>
      </w:r>
    </w:p>
    <w:p w14:paraId="154FC91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14:paraId="102A3BF1">
      <w:pPr>
        <w:numPr>
          <w:ilvl w:val="0"/>
          <w:numId w:val="8"/>
        </w:numPr>
        <w:tabs>
          <w:tab w:val="left" w:pos="360"/>
        </w:tabs>
        <w:snapToGrid w:val="0"/>
        <w:spacing w:line="360" w:lineRule="auto"/>
        <w:ind w:left="357" w:hanging="357"/>
        <w:outlineLvl w:val="1"/>
        <w:rPr>
          <w:rFonts w:eastAsiaTheme="minorEastAsia"/>
          <w:sz w:val="24"/>
        </w:rPr>
      </w:pPr>
      <w:bookmarkStart w:id="408" w:name="_Toc151193851"/>
      <w:bookmarkStart w:id="409" w:name="_Toc151193925"/>
      <w:bookmarkStart w:id="410" w:name="_Toc226965727"/>
      <w:bookmarkStart w:id="411" w:name="_Toc265228375"/>
      <w:bookmarkStart w:id="412" w:name="_Toc151193779"/>
      <w:bookmarkStart w:id="413" w:name="_Toc150774742"/>
      <w:bookmarkStart w:id="414" w:name="_Toc164351631"/>
      <w:bookmarkStart w:id="415" w:name="_Toc127161451"/>
      <w:bookmarkStart w:id="416" w:name="_Toc164608806"/>
      <w:bookmarkStart w:id="417" w:name="_Toc127151738"/>
      <w:bookmarkStart w:id="418" w:name="_Toc305158805"/>
      <w:bookmarkStart w:id="419" w:name="_Toc151190164"/>
      <w:bookmarkStart w:id="420" w:name="_Toc305158879"/>
      <w:bookmarkStart w:id="421" w:name="_Toc127151537"/>
      <w:bookmarkStart w:id="422" w:name="_Toc150509288"/>
      <w:bookmarkStart w:id="423" w:name="_Toc149720830"/>
      <w:bookmarkStart w:id="424" w:name="_Toc150480775"/>
      <w:bookmarkStart w:id="425" w:name="_Toc195842902"/>
      <w:bookmarkStart w:id="426" w:name="_Toc151193635"/>
      <w:bookmarkStart w:id="427" w:name="_Toc226337233"/>
      <w:bookmarkStart w:id="428" w:name="_Toc520356162"/>
      <w:bookmarkStart w:id="429" w:name="_Toc164229232"/>
      <w:bookmarkStart w:id="430" w:name="_Toc164229378"/>
      <w:bookmarkStart w:id="431" w:name="_Toc264969227"/>
      <w:bookmarkStart w:id="432" w:name="_Toc150774637"/>
      <w:bookmarkStart w:id="433" w:name="_Toc142311039"/>
      <w:bookmarkStart w:id="434" w:name="_Toc151193707"/>
      <w:bookmarkStart w:id="435" w:name="_Toc164608651"/>
      <w:bookmarkStart w:id="436" w:name="_Toc226309781"/>
      <w:bookmarkStart w:id="437" w:name="_Toc226965810"/>
      <w:r>
        <w:rPr>
          <w:rFonts w:eastAsiaTheme="minorEastAsia"/>
          <w:sz w:val="24"/>
        </w:rPr>
        <w:t>响应文件的修改与撤回</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1F288D8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14:paraId="2F19F02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14:paraId="0E2EB972">
      <w:pPr>
        <w:tabs>
          <w:tab w:val="left" w:pos="900"/>
          <w:tab w:val="left" w:pos="1080"/>
          <w:tab w:val="left" w:pos="1589"/>
        </w:tabs>
        <w:snapToGrid w:val="0"/>
        <w:spacing w:line="360" w:lineRule="auto"/>
        <w:ind w:left="357"/>
        <w:rPr>
          <w:rFonts w:eastAsiaTheme="minorEastAsia"/>
          <w:sz w:val="24"/>
        </w:rPr>
      </w:pPr>
    </w:p>
    <w:p w14:paraId="291C82FC">
      <w:pPr>
        <w:pStyle w:val="3"/>
        <w:spacing w:before="0" w:line="360" w:lineRule="auto"/>
        <w:rPr>
          <w:rFonts w:ascii="Times New Roman" w:hAnsi="Times New Roman" w:eastAsiaTheme="minorEastAsia"/>
          <w:sz w:val="28"/>
        </w:rPr>
      </w:pPr>
      <w:bookmarkStart w:id="438" w:name="_Toc150774638"/>
      <w:bookmarkStart w:id="439" w:name="_Toc305158806"/>
      <w:bookmarkStart w:id="440" w:name="_Toc226965728"/>
      <w:bookmarkStart w:id="441" w:name="_Toc127151538"/>
      <w:bookmarkStart w:id="442" w:name="_Toc226309782"/>
      <w:bookmarkStart w:id="443" w:name="_Toc150509289"/>
      <w:bookmarkStart w:id="444" w:name="_Toc226965811"/>
      <w:bookmarkStart w:id="445" w:name="_Toc305158880"/>
      <w:bookmarkStart w:id="446" w:name="_Toc151193852"/>
      <w:bookmarkStart w:id="447" w:name="_Toc151190165"/>
      <w:bookmarkStart w:id="448" w:name="_Toc151193780"/>
      <w:bookmarkStart w:id="449" w:name="_Toc150774743"/>
      <w:bookmarkStart w:id="450" w:name="_Toc142311040"/>
      <w:bookmarkStart w:id="451" w:name="_Toc151193926"/>
      <w:bookmarkStart w:id="452" w:name="_Toc265228376"/>
      <w:bookmarkStart w:id="453" w:name="_Toc520356163"/>
      <w:bookmarkStart w:id="454" w:name="_Toc150480776"/>
      <w:bookmarkStart w:id="455" w:name="_Toc264969228"/>
      <w:bookmarkStart w:id="456" w:name="_Toc226337234"/>
      <w:bookmarkStart w:id="457" w:name="_Toc195842903"/>
      <w:bookmarkStart w:id="458" w:name="_Toc151193636"/>
      <w:bookmarkStart w:id="459" w:name="_Toc151193708"/>
      <w:r>
        <w:rPr>
          <w:rFonts w:ascii="Times New Roman" w:hAnsi="Times New Roman" w:eastAsiaTheme="minorEastAsia"/>
          <w:sz w:val="28"/>
        </w:rPr>
        <w:t xml:space="preserve">五   </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rFonts w:ascii="Times New Roman" w:hAnsi="Times New Roman" w:eastAsiaTheme="minorEastAsia"/>
          <w:sz w:val="28"/>
        </w:rPr>
        <w:t>评审</w:t>
      </w:r>
    </w:p>
    <w:p w14:paraId="44B4683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14:paraId="6012285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14:paraId="75FFF96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2E7FB3E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0DB97A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供应商不足3家的，不予解密。</w:t>
      </w:r>
    </w:p>
    <w:p w14:paraId="3745D199">
      <w:pPr>
        <w:numPr>
          <w:ilvl w:val="1"/>
          <w:numId w:val="8"/>
        </w:numPr>
        <w:tabs>
          <w:tab w:val="left" w:pos="1080"/>
          <w:tab w:val="left" w:pos="2014"/>
        </w:tabs>
        <w:snapToGrid w:val="0"/>
        <w:spacing w:line="360" w:lineRule="auto"/>
        <w:ind w:left="1077" w:hanging="720"/>
        <w:rPr>
          <w:rFonts w:eastAsiaTheme="minorEastAsia"/>
          <w:sz w:val="24"/>
        </w:rPr>
      </w:pPr>
      <w:bookmarkStart w:id="460" w:name="_Toc520356165"/>
      <w:r>
        <w:rPr>
          <w:rFonts w:eastAsiaTheme="minorEastAsia"/>
          <w:sz w:val="24"/>
        </w:rPr>
        <w:t>本项目不公开报价。</w:t>
      </w:r>
    </w:p>
    <w:bookmarkEnd w:id="460"/>
    <w:p w14:paraId="28B0928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14:paraId="7799757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hint="eastAsia" w:eastAsiaTheme="minorEastAsia"/>
          <w:sz w:val="24"/>
        </w:rPr>
        <w:t>与磋商</w:t>
      </w:r>
      <w:r>
        <w:rPr>
          <w:rFonts w:eastAsiaTheme="minorEastAsia"/>
          <w:sz w:val="24"/>
        </w:rPr>
        <w:t>事务，独立履行职责。</w:t>
      </w:r>
      <w:bookmarkStart w:id="461" w:name="_Toc520356166"/>
    </w:p>
    <w:p w14:paraId="1BA16F9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61"/>
      <w:bookmarkStart w:id="462" w:name="_Toc520356169"/>
    </w:p>
    <w:p w14:paraId="49E3A4EC">
      <w:pPr>
        <w:numPr>
          <w:ilvl w:val="0"/>
          <w:numId w:val="8"/>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78DD33A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14:paraId="3E48D14E">
      <w:pPr>
        <w:tabs>
          <w:tab w:val="left" w:pos="360"/>
          <w:tab w:val="left" w:pos="1080"/>
        </w:tabs>
        <w:snapToGrid w:val="0"/>
        <w:spacing w:line="360" w:lineRule="auto"/>
        <w:ind w:left="1080"/>
        <w:rPr>
          <w:rFonts w:eastAsiaTheme="minorEastAsia"/>
          <w:sz w:val="24"/>
        </w:rPr>
      </w:pPr>
    </w:p>
    <w:p w14:paraId="1E607AF9">
      <w:pPr>
        <w:pStyle w:val="3"/>
        <w:spacing w:before="0" w:line="360" w:lineRule="auto"/>
        <w:rPr>
          <w:rFonts w:ascii="Times New Roman" w:hAnsi="Times New Roman" w:eastAsiaTheme="minorEastAsia"/>
          <w:sz w:val="28"/>
        </w:rPr>
      </w:pPr>
      <w:bookmarkStart w:id="463" w:name="_Toc150480783"/>
      <w:bookmarkStart w:id="464" w:name="_Toc195842910"/>
      <w:bookmarkStart w:id="465" w:name="_Toc226337241"/>
      <w:bookmarkStart w:id="466" w:name="_Toc264969235"/>
      <w:bookmarkStart w:id="467" w:name="_Toc305158887"/>
      <w:bookmarkStart w:id="468" w:name="_Toc226965735"/>
      <w:bookmarkStart w:id="469" w:name="_Toc150774645"/>
      <w:bookmarkStart w:id="470" w:name="_Toc151193787"/>
      <w:bookmarkStart w:id="471" w:name="_Toc142311047"/>
      <w:bookmarkStart w:id="472" w:name="_Toc150774750"/>
      <w:bookmarkStart w:id="473" w:name="_Toc151190172"/>
      <w:bookmarkStart w:id="474" w:name="_Toc226965818"/>
      <w:bookmarkStart w:id="475" w:name="_Toc265228383"/>
      <w:bookmarkStart w:id="476" w:name="_Toc151193933"/>
      <w:bookmarkStart w:id="477" w:name="_Toc151193643"/>
      <w:bookmarkStart w:id="478" w:name="_Toc150509296"/>
      <w:bookmarkStart w:id="479" w:name="_Toc151193715"/>
      <w:bookmarkStart w:id="480" w:name="_Toc127151545"/>
      <w:bookmarkStart w:id="481" w:name="_Toc226309789"/>
      <w:bookmarkStart w:id="482" w:name="_Toc151193859"/>
      <w:bookmarkStart w:id="483" w:name="_Toc305158813"/>
      <w:r>
        <w:rPr>
          <w:rFonts w:ascii="Times New Roman" w:hAnsi="Times New Roman" w:eastAsiaTheme="minorEastAsia"/>
          <w:sz w:val="28"/>
        </w:rPr>
        <w:t xml:space="preserve">六   </w:t>
      </w:r>
      <w:bookmarkEnd w:id="462"/>
      <w:r>
        <w:rPr>
          <w:rFonts w:ascii="Times New Roman" w:hAnsi="Times New Roman" w:eastAsiaTheme="minorEastAsia"/>
          <w:sz w:val="28"/>
        </w:rPr>
        <w:t>确定</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Fonts w:ascii="Times New Roman" w:hAnsi="Times New Roman" w:eastAsiaTheme="minorEastAsia"/>
          <w:sz w:val="28"/>
        </w:rPr>
        <w:t>成交</w:t>
      </w:r>
    </w:p>
    <w:p w14:paraId="2FB888DC">
      <w:pPr>
        <w:numPr>
          <w:ilvl w:val="0"/>
          <w:numId w:val="8"/>
        </w:numPr>
        <w:tabs>
          <w:tab w:val="left" w:pos="360"/>
        </w:tabs>
        <w:snapToGrid w:val="0"/>
        <w:spacing w:line="360" w:lineRule="auto"/>
        <w:ind w:left="357" w:hanging="357"/>
        <w:outlineLvl w:val="1"/>
        <w:rPr>
          <w:rFonts w:eastAsiaTheme="minorEastAsia"/>
          <w:sz w:val="24"/>
        </w:rPr>
      </w:pPr>
      <w:bookmarkStart w:id="484" w:name="_Toc195842912"/>
      <w:bookmarkStart w:id="485" w:name="_Toc264969237"/>
      <w:bookmarkStart w:id="486" w:name="_Toc151193645"/>
      <w:bookmarkStart w:id="487" w:name="_Toc164229388"/>
      <w:bookmarkStart w:id="488" w:name="_Toc150509298"/>
      <w:bookmarkStart w:id="489" w:name="_Toc226309791"/>
      <w:bookmarkStart w:id="490" w:name="_Toc151193717"/>
      <w:bookmarkStart w:id="491" w:name="_Toc151193935"/>
      <w:bookmarkStart w:id="492" w:name="_Toc226965737"/>
      <w:bookmarkStart w:id="493" w:name="_Toc149720840"/>
      <w:bookmarkStart w:id="494" w:name="_Toc150774752"/>
      <w:bookmarkStart w:id="495" w:name="_Toc226965820"/>
      <w:bookmarkStart w:id="496" w:name="_Toc150480785"/>
      <w:bookmarkStart w:id="497" w:name="_Toc150774647"/>
      <w:bookmarkStart w:id="498" w:name="_Toc164608816"/>
      <w:bookmarkStart w:id="499" w:name="_Toc164608661"/>
      <w:bookmarkStart w:id="500" w:name="_Toc226337243"/>
      <w:bookmarkStart w:id="501" w:name="_Toc142311049"/>
      <w:bookmarkStart w:id="502" w:name="_Toc265228385"/>
      <w:bookmarkStart w:id="503" w:name="_Toc127151748"/>
      <w:bookmarkStart w:id="504" w:name="_Toc151190174"/>
      <w:bookmarkStart w:id="505" w:name="_Toc305158815"/>
      <w:bookmarkStart w:id="506" w:name="_Toc164351641"/>
      <w:bookmarkStart w:id="507" w:name="_Toc127161461"/>
      <w:bookmarkStart w:id="508" w:name="_Toc151193861"/>
      <w:bookmarkStart w:id="509" w:name="_Toc151193789"/>
      <w:bookmarkStart w:id="510" w:name="_Toc305158889"/>
      <w:bookmarkStart w:id="511" w:name="_Toc164229242"/>
      <w:bookmarkStart w:id="512" w:name="_Toc127151547"/>
      <w:r>
        <w:rPr>
          <w:rFonts w:eastAsiaTheme="minorEastAsia"/>
          <w:sz w:val="24"/>
        </w:rPr>
        <w:t>确定成交供应商</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7CCB6CF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617D6B7E">
      <w:pPr>
        <w:numPr>
          <w:ilvl w:val="0"/>
          <w:numId w:val="8"/>
        </w:numPr>
        <w:tabs>
          <w:tab w:val="left" w:pos="360"/>
        </w:tabs>
        <w:snapToGrid w:val="0"/>
        <w:spacing w:line="360" w:lineRule="auto"/>
        <w:ind w:left="357" w:hanging="357"/>
        <w:outlineLvl w:val="1"/>
        <w:rPr>
          <w:rFonts w:eastAsiaTheme="minorEastAsia"/>
          <w:sz w:val="24"/>
        </w:rPr>
      </w:pPr>
      <w:bookmarkStart w:id="513" w:name="_Toc305158891"/>
      <w:bookmarkStart w:id="514" w:name="_Toc305158817"/>
      <w:bookmarkStart w:id="515" w:name="_Toc265228387"/>
      <w:bookmarkStart w:id="516" w:name="_Toc151193719"/>
      <w:bookmarkStart w:id="517" w:name="_Toc151190176"/>
      <w:bookmarkStart w:id="518" w:name="_Toc164608818"/>
      <w:bookmarkStart w:id="519" w:name="_Toc142311051"/>
      <w:bookmarkStart w:id="520" w:name="_Toc151193647"/>
      <w:bookmarkStart w:id="521" w:name="_Toc150774754"/>
      <w:bookmarkStart w:id="522" w:name="_Toc164351643"/>
      <w:bookmarkStart w:id="523" w:name="_Toc151193791"/>
      <w:bookmarkStart w:id="524" w:name="_Toc226965739"/>
      <w:bookmarkStart w:id="525" w:name="_Toc149720842"/>
      <w:bookmarkStart w:id="526" w:name="_Toc127151549"/>
      <w:bookmarkStart w:id="527" w:name="_Toc127151750"/>
      <w:bookmarkStart w:id="528" w:name="_Toc164229390"/>
      <w:bookmarkStart w:id="529" w:name="_Toc195842914"/>
      <w:bookmarkStart w:id="530" w:name="_Toc164229244"/>
      <w:bookmarkStart w:id="531" w:name="_Toc150509300"/>
      <w:bookmarkStart w:id="532" w:name="_Toc264969239"/>
      <w:bookmarkStart w:id="533" w:name="_Toc226309793"/>
      <w:bookmarkStart w:id="534" w:name="_Toc150774649"/>
      <w:bookmarkStart w:id="535" w:name="_Toc151193863"/>
      <w:bookmarkStart w:id="536" w:name="_Toc226337245"/>
      <w:bookmarkStart w:id="537" w:name="_Toc226965822"/>
      <w:bookmarkStart w:id="538" w:name="_Toc127161463"/>
      <w:bookmarkStart w:id="539" w:name="_Toc164608663"/>
      <w:bookmarkStart w:id="540" w:name="_Toc150480787"/>
      <w:bookmarkStart w:id="541" w:name="_Toc151193937"/>
      <w:bookmarkStart w:id="542" w:name="_Toc520356176"/>
      <w:bookmarkStart w:id="543" w:name="_Ref467307090"/>
      <w:bookmarkStart w:id="544" w:name="_Ref467306425"/>
      <w:r>
        <w:rPr>
          <w:rFonts w:eastAsiaTheme="minorEastAsia"/>
          <w:sz w:val="24"/>
        </w:rPr>
        <w:t>成交公告与成交通知书</w:t>
      </w:r>
      <w:bookmarkEnd w:id="513"/>
      <w:bookmarkEnd w:id="514"/>
    </w:p>
    <w:p w14:paraId="5452C9D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在成交供应商确定后2个工作日内，在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成交公告期限为1个工作日。</w:t>
      </w:r>
    </w:p>
    <w:p w14:paraId="0E83BF26">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2182D98F">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14:paraId="23C334C1">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14:paraId="2366240B">
      <w:pPr>
        <w:numPr>
          <w:ilvl w:val="2"/>
          <w:numId w:val="8"/>
        </w:numPr>
        <w:snapToGrid w:val="0"/>
        <w:spacing w:line="360" w:lineRule="auto"/>
        <w:rPr>
          <w:rFonts w:eastAsiaTheme="minorEastAsia"/>
          <w:sz w:val="24"/>
        </w:rPr>
      </w:pPr>
      <w:r>
        <w:rPr>
          <w:rFonts w:eastAsiaTheme="minorEastAsia"/>
          <w:sz w:val="24"/>
        </w:rPr>
        <w:t>因情况变化，不再符合规定的竞争性磋商采购方式适用情形的；</w:t>
      </w:r>
    </w:p>
    <w:p w14:paraId="394101BE">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14:paraId="2CC1C3C1">
      <w:pPr>
        <w:numPr>
          <w:ilvl w:val="2"/>
          <w:numId w:val="8"/>
        </w:numPr>
        <w:snapToGrid w:val="0"/>
        <w:spacing w:line="360" w:lineRule="auto"/>
        <w:rPr>
          <w:rFonts w:eastAsiaTheme="minorEastAsia"/>
          <w:sz w:val="24"/>
        </w:rPr>
      </w:pPr>
      <w:r>
        <w:rPr>
          <w:rFonts w:eastAsiaTheme="minor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14:paraId="3614E888">
      <w:pPr>
        <w:numPr>
          <w:ilvl w:val="0"/>
          <w:numId w:val="8"/>
        </w:numPr>
        <w:tabs>
          <w:tab w:val="left" w:pos="360"/>
        </w:tabs>
        <w:snapToGrid w:val="0"/>
        <w:spacing w:line="360" w:lineRule="auto"/>
        <w:ind w:left="357" w:hanging="357"/>
        <w:outlineLvl w:val="1"/>
        <w:rPr>
          <w:rFonts w:eastAsiaTheme="minorEastAsia"/>
          <w:sz w:val="24"/>
        </w:rPr>
      </w:pPr>
      <w:bookmarkStart w:id="545" w:name="_Toc150509301"/>
      <w:bookmarkStart w:id="546" w:name="_Toc150774650"/>
      <w:bookmarkStart w:id="547" w:name="_Ref467306377"/>
      <w:bookmarkStart w:id="548" w:name="_Toc150774755"/>
      <w:bookmarkStart w:id="549" w:name="_Toc151193648"/>
      <w:bookmarkStart w:id="550" w:name="_Toc305158892"/>
      <w:bookmarkStart w:id="551" w:name="_Toc151193792"/>
      <w:bookmarkStart w:id="552" w:name="_Toc226309794"/>
      <w:bookmarkStart w:id="553" w:name="_Ref467306978"/>
      <w:bookmarkStart w:id="554" w:name="_Toc264969240"/>
      <w:bookmarkStart w:id="555" w:name="_Toc150480788"/>
      <w:bookmarkStart w:id="556" w:name="_Toc520356175"/>
      <w:bookmarkStart w:id="557" w:name="_Ref467307062"/>
      <w:bookmarkStart w:id="558" w:name="_Toc149720843"/>
      <w:bookmarkStart w:id="559" w:name="_Toc127151550"/>
      <w:bookmarkStart w:id="560" w:name="_Toc151193720"/>
      <w:bookmarkStart w:id="561" w:name="_Toc164229391"/>
      <w:bookmarkStart w:id="562" w:name="_Toc164608664"/>
      <w:bookmarkStart w:id="563" w:name="_Toc226337246"/>
      <w:bookmarkStart w:id="564" w:name="_Toc164229245"/>
      <w:bookmarkStart w:id="565" w:name="_Toc151190177"/>
      <w:bookmarkStart w:id="566" w:name="_Toc265228388"/>
      <w:bookmarkStart w:id="567" w:name="_Ref467307204"/>
      <w:bookmarkStart w:id="568" w:name="_Toc195842915"/>
      <w:bookmarkStart w:id="569" w:name="_Toc226965823"/>
      <w:bookmarkStart w:id="570" w:name="_Toc305158818"/>
      <w:bookmarkStart w:id="571" w:name="_Toc164351644"/>
      <w:bookmarkStart w:id="572" w:name="_Toc142311052"/>
      <w:bookmarkStart w:id="573" w:name="_Toc151193864"/>
      <w:bookmarkStart w:id="574" w:name="_Toc226965740"/>
      <w:bookmarkStart w:id="575" w:name="_Toc127151751"/>
      <w:bookmarkStart w:id="576" w:name="_Toc127161464"/>
      <w:bookmarkStart w:id="577" w:name="_Toc164608819"/>
      <w:bookmarkStart w:id="578" w:name="_Toc151193938"/>
      <w:r>
        <w:rPr>
          <w:rFonts w:eastAsiaTheme="minorEastAsia"/>
          <w:sz w:val="24"/>
        </w:rPr>
        <w:t>签订合同</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3BCF73B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采购人与成交供应商应当在成交通知书发出之日起30日内，按照磋商文件确定的合同文本以及采购标的、规格型号、采购金额、采购数量、技术和服务要求等事项签订政府采购合同。</w:t>
      </w:r>
    </w:p>
    <w:p w14:paraId="092FEA9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A07072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4D1BC52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14:paraId="48A2F91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14:paraId="67593600">
      <w:pPr>
        <w:numPr>
          <w:ilvl w:val="1"/>
          <w:numId w:val="8"/>
        </w:numPr>
        <w:tabs>
          <w:tab w:val="left" w:pos="1080"/>
          <w:tab w:val="left" w:pos="2014"/>
        </w:tabs>
        <w:snapToGrid w:val="0"/>
        <w:spacing w:line="360" w:lineRule="auto"/>
        <w:ind w:left="1077" w:hanging="720"/>
        <w:rPr>
          <w:sz w:val="24"/>
        </w:rPr>
      </w:pPr>
      <w:r>
        <w:rPr>
          <w:rFonts w:hint="eastAsia" w:ascii="宋体" w:hAnsi="宋体"/>
          <w:sz w:val="24"/>
        </w:rPr>
        <w:t>“政采贷”融资指引：详见</w:t>
      </w:r>
      <w:r>
        <w:rPr>
          <w:rFonts w:eastAsiaTheme="minorEastAsia"/>
          <w:sz w:val="24"/>
        </w:rPr>
        <w:t>《</w:t>
      </w:r>
      <w:r>
        <w:rPr>
          <w:rFonts w:hint="eastAsia" w:eastAsiaTheme="minorEastAsia"/>
          <w:sz w:val="24"/>
        </w:rPr>
        <w:t>供应商</w:t>
      </w:r>
      <w:r>
        <w:rPr>
          <w:rFonts w:eastAsiaTheme="minorEastAsia"/>
          <w:sz w:val="24"/>
        </w:rPr>
        <w:t>须知资料表》</w:t>
      </w:r>
      <w:r>
        <w:rPr>
          <w:rFonts w:hint="eastAsia" w:eastAsiaTheme="minorEastAsia"/>
          <w:sz w:val="24"/>
        </w:rPr>
        <w:t>。</w:t>
      </w:r>
    </w:p>
    <w:bookmarkEnd w:id="542"/>
    <w:bookmarkEnd w:id="543"/>
    <w:bookmarkEnd w:id="544"/>
    <w:p w14:paraId="34B98BCA">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14:paraId="72ED570C">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14:paraId="1AC83E51">
      <w:pPr>
        <w:numPr>
          <w:ilvl w:val="2"/>
          <w:numId w:val="8"/>
        </w:numPr>
        <w:snapToGrid w:val="0"/>
        <w:spacing w:line="360" w:lineRule="auto"/>
        <w:rPr>
          <w:rFonts w:eastAsiaTheme="minorEastAsia"/>
          <w:sz w:val="24"/>
        </w:rPr>
      </w:pPr>
      <w:bookmarkStart w:id="579"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79"/>
    </w:p>
    <w:p w14:paraId="50F371D1">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采购人或采购代理机构对供应商依法提出的询问，在3个工作日内作出答复，但答复的内容不得涉及商业秘密。</w:t>
      </w:r>
    </w:p>
    <w:p w14:paraId="5AE808B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14:paraId="068B1123">
      <w:pPr>
        <w:numPr>
          <w:ilvl w:val="2"/>
          <w:numId w:val="8"/>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03393F92">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094D1D48">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03E894EB">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049B22D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14:paraId="0B2C522B">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14:paraId="745E4F7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收费对象、收费标准及缴纳时间见《供应商须知资料表》。由成交供应商支付的，成交供应商须一次性向采购代理机构缴纳代理费，报价应包含代理费用。</w:t>
      </w:r>
    </w:p>
    <w:p w14:paraId="56B3BFDC">
      <w:pPr>
        <w:tabs>
          <w:tab w:val="left" w:pos="360"/>
          <w:tab w:val="left" w:pos="1080"/>
        </w:tabs>
        <w:snapToGrid w:val="0"/>
        <w:spacing w:line="360" w:lineRule="auto"/>
        <w:ind w:left="360"/>
        <w:rPr>
          <w:rFonts w:eastAsiaTheme="minorEastAsia"/>
          <w:sz w:val="24"/>
        </w:rPr>
      </w:pPr>
    </w:p>
    <w:p w14:paraId="0B16CB33">
      <w:pPr>
        <w:pStyle w:val="2"/>
        <w:rPr>
          <w:rFonts w:hint="eastAsia" w:eastAsiaTheme="minorEastAsia"/>
          <w:szCs w:val="36"/>
        </w:rPr>
      </w:pPr>
      <w:bookmarkStart w:id="580" w:name="_Toc226337250"/>
      <w:bookmarkStart w:id="581" w:name="_Toc353825544"/>
      <w:bookmarkStart w:id="582" w:name="_Toc265228392"/>
      <w:bookmarkStart w:id="583" w:name="_Toc264969244"/>
      <w:bookmarkStart w:id="584" w:name="_Toc353873934"/>
      <w:bookmarkStart w:id="585" w:name="_Toc353873664"/>
      <w:bookmarkStart w:id="586" w:name="_Toc305158822"/>
      <w:bookmarkStart w:id="587" w:name="_Toc127151554"/>
      <w:bookmarkStart w:id="588" w:name="_Toc226965827"/>
      <w:bookmarkStart w:id="589" w:name="_Toc142311056"/>
      <w:bookmarkStart w:id="590" w:name="_Toc305158896"/>
      <w:bookmarkStart w:id="591" w:name="_Toc150480792"/>
      <w:bookmarkStart w:id="592" w:name="_Toc150774759"/>
      <w:r>
        <w:rPr>
          <w:rFonts w:eastAsiaTheme="minorEastAsia"/>
        </w:rPr>
        <w:br w:type="page"/>
      </w:r>
      <w:bookmarkStart w:id="593" w:name="_Toc23575"/>
      <w:r>
        <w:t xml:space="preserve">第三章   </w:t>
      </w:r>
      <w:bookmarkEnd w:id="580"/>
      <w:bookmarkEnd w:id="581"/>
      <w:bookmarkEnd w:id="582"/>
      <w:bookmarkEnd w:id="583"/>
      <w:bookmarkEnd w:id="584"/>
      <w:bookmarkEnd w:id="585"/>
      <w:bookmarkEnd w:id="586"/>
      <w:bookmarkEnd w:id="587"/>
      <w:bookmarkEnd w:id="588"/>
      <w:bookmarkEnd w:id="589"/>
      <w:bookmarkEnd w:id="590"/>
      <w:bookmarkEnd w:id="591"/>
      <w:bookmarkEnd w:id="592"/>
      <w:r>
        <w:t>评审方法和评审标准</w:t>
      </w:r>
      <w:bookmarkEnd w:id="593"/>
      <w:bookmarkStart w:id="594" w:name="_Toc487900382"/>
    </w:p>
    <w:p w14:paraId="6DFD105F">
      <w:pPr>
        <w:pStyle w:val="3"/>
        <w:spacing w:before="0" w:line="360" w:lineRule="auto"/>
        <w:rPr>
          <w:rFonts w:eastAsiaTheme="minorEastAsia"/>
          <w:sz w:val="24"/>
        </w:rPr>
      </w:pPr>
      <w:r>
        <w:rPr>
          <w:rFonts w:ascii="Times New Roman" w:hAnsi="Times New Roman" w:eastAsiaTheme="minorEastAsia"/>
          <w:sz w:val="24"/>
          <w:szCs w:val="24"/>
        </w:rPr>
        <w:t>一、</w:t>
      </w:r>
      <w:r>
        <w:rPr>
          <w:rFonts w:hint="eastAsia" w:ascii="Times New Roman" w:hAnsi="Times New Roman" w:eastAsiaTheme="minorEastAsia"/>
          <w:sz w:val="24"/>
          <w:szCs w:val="24"/>
        </w:rPr>
        <w:t>评审程序和方法</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594"/>
    <w:p w14:paraId="587C0BF2">
      <w:pPr>
        <w:numPr>
          <w:ilvl w:val="0"/>
          <w:numId w:val="10"/>
        </w:numPr>
        <w:tabs>
          <w:tab w:val="left" w:pos="360"/>
        </w:tabs>
        <w:snapToGrid w:val="0"/>
        <w:spacing w:line="360" w:lineRule="auto"/>
        <w:outlineLvl w:val="1"/>
        <w:rPr>
          <w:rFonts w:eastAsiaTheme="minorEastAsia"/>
          <w:sz w:val="24"/>
        </w:rPr>
      </w:pPr>
      <w:bookmarkStart w:id="595" w:name="_Toc149720834"/>
      <w:bookmarkStart w:id="596" w:name="_Toc164608655"/>
      <w:bookmarkStart w:id="597" w:name="_Toc151193855"/>
      <w:bookmarkStart w:id="598" w:name="_Toc150774746"/>
      <w:bookmarkStart w:id="599" w:name="_Toc142311043"/>
      <w:bookmarkStart w:id="600" w:name="_Toc127151541"/>
      <w:bookmarkStart w:id="601" w:name="_Toc151193929"/>
      <w:bookmarkStart w:id="602" w:name="_Toc164229236"/>
      <w:bookmarkStart w:id="603" w:name="_Toc151193783"/>
      <w:bookmarkStart w:id="604" w:name="_Toc150774641"/>
      <w:bookmarkStart w:id="605" w:name="_Toc151193711"/>
      <w:bookmarkStart w:id="606" w:name="_Toc305158809"/>
      <w:bookmarkStart w:id="607" w:name="_Toc151193639"/>
      <w:bookmarkStart w:id="608" w:name="_Toc150509292"/>
      <w:bookmarkStart w:id="609" w:name="_Toc164229382"/>
      <w:bookmarkStart w:id="610" w:name="_Toc127151742"/>
      <w:bookmarkStart w:id="611" w:name="_Toc226309785"/>
      <w:bookmarkStart w:id="612" w:name="_Toc226965814"/>
      <w:bookmarkStart w:id="613" w:name="_Toc226337237"/>
      <w:bookmarkStart w:id="614" w:name="_Toc150480779"/>
      <w:bookmarkStart w:id="615" w:name="_Toc164608810"/>
      <w:bookmarkStart w:id="616" w:name="_Toc164351635"/>
      <w:bookmarkStart w:id="617" w:name="_Toc305158883"/>
      <w:bookmarkStart w:id="618" w:name="_Toc226965731"/>
      <w:bookmarkStart w:id="619" w:name="_Toc264969231"/>
      <w:bookmarkStart w:id="620" w:name="_Toc151190168"/>
      <w:bookmarkStart w:id="621" w:name="_Toc265228379"/>
      <w:bookmarkStart w:id="622" w:name="_Toc195842906"/>
      <w:bookmarkStart w:id="623" w:name="_Toc127161455"/>
      <w:bookmarkStart w:id="624" w:name="_Toc353873941"/>
      <w:bookmarkStart w:id="625" w:name="_Toc353825551"/>
      <w:bookmarkStart w:id="626" w:name="_Toc127151555"/>
      <w:bookmarkStart w:id="627" w:name="_Toc142311057"/>
      <w:bookmarkStart w:id="628" w:name="_Toc150774760"/>
      <w:bookmarkStart w:id="629" w:name="_Toc226337251"/>
      <w:bookmarkStart w:id="630" w:name="_Toc353825545"/>
      <w:bookmarkStart w:id="631" w:name="_Toc305158897"/>
      <w:bookmarkStart w:id="632" w:name="_Toc226965828"/>
      <w:bookmarkStart w:id="633" w:name="_Toc195842920"/>
      <w:bookmarkStart w:id="634" w:name="_Toc265228393"/>
      <w:bookmarkStart w:id="635" w:name="_Toc264969245"/>
      <w:bookmarkStart w:id="636" w:name="_Toc305158823"/>
      <w:bookmarkStart w:id="637" w:name="_Toc150480793"/>
      <w:bookmarkStart w:id="638" w:name="_Toc353873665"/>
      <w:bookmarkStart w:id="639" w:name="_Toc353873935"/>
      <w:r>
        <w:rPr>
          <w:rFonts w:eastAsiaTheme="minorEastAsia"/>
          <w:sz w:val="24"/>
        </w:rPr>
        <w:t>响应文件的</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rFonts w:eastAsiaTheme="minorEastAsia"/>
          <w:sz w:val="24"/>
        </w:rPr>
        <w:t>资格审查和符合性审查</w:t>
      </w:r>
    </w:p>
    <w:p w14:paraId="524AB63A">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hint="eastAsia" w:eastAsiaTheme="minorEastAsia"/>
          <w:sz w:val="24"/>
        </w:rPr>
        <w:t>处理</w:t>
      </w:r>
      <w:r>
        <w:rPr>
          <w:rFonts w:eastAsiaTheme="minorEastAsia"/>
          <w:sz w:val="24"/>
        </w:rPr>
        <w:t>，磋商小组应当告知提交响应文件的供应商。</w:t>
      </w:r>
    </w:p>
    <w:p w14:paraId="38DF2600">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《资格审查要求》中对格式有要求的，除竞争性磋商文件另有规定外，均为“实质性格式”文件。</w:t>
      </w:r>
    </w:p>
    <w:p w14:paraId="16F1EAB7">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14:paraId="038F07E1">
      <w:pPr>
        <w:tabs>
          <w:tab w:val="left" w:pos="900"/>
          <w:tab w:val="left" w:pos="1080"/>
        </w:tabs>
        <w:snapToGrid w:val="0"/>
        <w:spacing w:line="360" w:lineRule="auto"/>
        <w:ind w:left="1077" w:firstLine="2650" w:firstLineChars="1100"/>
        <w:rPr>
          <w:rFonts w:eastAsiaTheme="minorEastAsia"/>
          <w:b/>
          <w:sz w:val="24"/>
        </w:rPr>
      </w:pPr>
      <w:r>
        <w:rPr>
          <w:rFonts w:eastAsiaTheme="minorEastAsia"/>
          <w:b/>
          <w:sz w:val="24"/>
        </w:rPr>
        <w:t>资格审查要求</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6"/>
        <w:gridCol w:w="1598"/>
        <w:gridCol w:w="4396"/>
        <w:gridCol w:w="1751"/>
      </w:tblGrid>
      <w:tr w14:paraId="341A0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014AC3CF">
            <w:pPr>
              <w:tabs>
                <w:tab w:val="left" w:pos="1080"/>
              </w:tabs>
              <w:snapToGrid w:val="0"/>
              <w:jc w:val="center"/>
              <w:rPr>
                <w:rFonts w:eastAsiaTheme="minorEastAsia"/>
                <w:b/>
                <w:sz w:val="24"/>
              </w:rPr>
            </w:pPr>
            <w:bookmarkStart w:id="640" w:name="_Hlt487972895"/>
            <w:bookmarkEnd w:id="640"/>
            <w:r>
              <w:rPr>
                <w:rFonts w:eastAsiaTheme="minorEastAsia"/>
                <w:b/>
                <w:sz w:val="24"/>
              </w:rPr>
              <w:t>序号</w:t>
            </w:r>
          </w:p>
        </w:tc>
        <w:tc>
          <w:tcPr>
            <w:tcW w:w="938" w:type="pct"/>
            <w:vAlign w:val="center"/>
          </w:tcPr>
          <w:p w14:paraId="41329AF9">
            <w:pPr>
              <w:tabs>
                <w:tab w:val="left" w:pos="1080"/>
              </w:tabs>
              <w:snapToGrid w:val="0"/>
              <w:jc w:val="center"/>
              <w:rPr>
                <w:rFonts w:eastAsiaTheme="minorEastAsia"/>
                <w:b/>
                <w:sz w:val="24"/>
              </w:rPr>
            </w:pPr>
            <w:r>
              <w:rPr>
                <w:rFonts w:eastAsiaTheme="minorEastAsia"/>
                <w:b/>
                <w:sz w:val="24"/>
              </w:rPr>
              <w:t>检查因素</w:t>
            </w:r>
          </w:p>
        </w:tc>
        <w:tc>
          <w:tcPr>
            <w:tcW w:w="2579" w:type="pct"/>
            <w:vAlign w:val="center"/>
          </w:tcPr>
          <w:p w14:paraId="046989BC">
            <w:pPr>
              <w:tabs>
                <w:tab w:val="left" w:pos="1080"/>
              </w:tabs>
              <w:snapToGrid w:val="0"/>
              <w:jc w:val="center"/>
              <w:rPr>
                <w:rFonts w:eastAsiaTheme="minorEastAsia"/>
                <w:b/>
                <w:sz w:val="24"/>
              </w:rPr>
            </w:pPr>
            <w:r>
              <w:rPr>
                <w:rFonts w:eastAsiaTheme="minorEastAsia"/>
                <w:b/>
                <w:sz w:val="24"/>
              </w:rPr>
              <w:t>检查内容</w:t>
            </w:r>
          </w:p>
        </w:tc>
        <w:tc>
          <w:tcPr>
            <w:tcW w:w="1028" w:type="pct"/>
            <w:vAlign w:val="center"/>
          </w:tcPr>
          <w:p w14:paraId="2A56A721">
            <w:pPr>
              <w:tabs>
                <w:tab w:val="left" w:pos="1080"/>
              </w:tabs>
              <w:snapToGrid w:val="0"/>
              <w:jc w:val="center"/>
              <w:rPr>
                <w:rFonts w:eastAsiaTheme="minorEastAsia"/>
                <w:b/>
                <w:sz w:val="24"/>
              </w:rPr>
            </w:pPr>
            <w:r>
              <w:rPr>
                <w:rFonts w:eastAsiaTheme="minorEastAsia"/>
                <w:b/>
                <w:sz w:val="24"/>
              </w:rPr>
              <w:t>格式要求</w:t>
            </w:r>
          </w:p>
        </w:tc>
      </w:tr>
      <w:tr w14:paraId="25AB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C2DC47F">
            <w:pPr>
              <w:tabs>
                <w:tab w:val="left" w:pos="1080"/>
              </w:tabs>
              <w:snapToGrid w:val="0"/>
              <w:jc w:val="center"/>
              <w:rPr>
                <w:rFonts w:eastAsiaTheme="minorEastAsia"/>
                <w:sz w:val="24"/>
              </w:rPr>
            </w:pPr>
            <w:r>
              <w:rPr>
                <w:rFonts w:eastAsiaTheme="minorEastAsia"/>
                <w:sz w:val="24"/>
              </w:rPr>
              <w:t>1</w:t>
            </w:r>
          </w:p>
        </w:tc>
        <w:tc>
          <w:tcPr>
            <w:tcW w:w="938" w:type="pct"/>
            <w:vAlign w:val="center"/>
          </w:tcPr>
          <w:p w14:paraId="3EECC448">
            <w:pPr>
              <w:tabs>
                <w:tab w:val="left" w:pos="1080"/>
              </w:tabs>
              <w:snapToGrid w:val="0"/>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42B10FBB">
            <w:pPr>
              <w:tabs>
                <w:tab w:val="left" w:pos="1080"/>
              </w:tabs>
              <w:snapToGrid w:val="0"/>
              <w:jc w:val="left"/>
              <w:rPr>
                <w:rFonts w:eastAsiaTheme="minorEastAsia"/>
                <w:sz w:val="24"/>
              </w:rPr>
            </w:pPr>
            <w:r>
              <w:rPr>
                <w:rFonts w:eastAsiaTheme="minorEastAsia"/>
                <w:sz w:val="24"/>
              </w:rPr>
              <w:t>具体规定见第一章《采购邀请》</w:t>
            </w:r>
          </w:p>
        </w:tc>
        <w:tc>
          <w:tcPr>
            <w:tcW w:w="1028" w:type="pct"/>
            <w:vAlign w:val="center"/>
          </w:tcPr>
          <w:p w14:paraId="71C38F2B">
            <w:pPr>
              <w:tabs>
                <w:tab w:val="left" w:pos="1080"/>
              </w:tabs>
              <w:snapToGrid w:val="0"/>
              <w:jc w:val="left"/>
              <w:rPr>
                <w:rFonts w:eastAsiaTheme="minorEastAsia"/>
                <w:sz w:val="24"/>
              </w:rPr>
            </w:pPr>
          </w:p>
        </w:tc>
      </w:tr>
      <w:tr w14:paraId="0447F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03BF279">
            <w:pPr>
              <w:tabs>
                <w:tab w:val="left" w:pos="1080"/>
              </w:tabs>
              <w:snapToGrid w:val="0"/>
              <w:jc w:val="center"/>
              <w:rPr>
                <w:rFonts w:eastAsiaTheme="minorEastAsia"/>
                <w:sz w:val="24"/>
              </w:rPr>
            </w:pPr>
            <w:r>
              <w:rPr>
                <w:rFonts w:eastAsiaTheme="minorEastAsia"/>
                <w:sz w:val="24"/>
              </w:rPr>
              <w:t>1-1</w:t>
            </w:r>
          </w:p>
        </w:tc>
        <w:tc>
          <w:tcPr>
            <w:tcW w:w="938" w:type="pct"/>
            <w:vAlign w:val="center"/>
          </w:tcPr>
          <w:p w14:paraId="10BAE40D">
            <w:pPr>
              <w:tabs>
                <w:tab w:val="left" w:pos="1080"/>
              </w:tabs>
              <w:snapToGrid w:val="0"/>
              <w:jc w:val="left"/>
              <w:rPr>
                <w:rFonts w:eastAsiaTheme="minorEastAsia"/>
                <w:sz w:val="24"/>
              </w:rPr>
            </w:pPr>
            <w:r>
              <w:rPr>
                <w:rFonts w:eastAsiaTheme="minorEastAsia"/>
                <w:sz w:val="24"/>
              </w:rPr>
              <w:t>营业执照等证明文件</w:t>
            </w:r>
          </w:p>
        </w:tc>
        <w:tc>
          <w:tcPr>
            <w:tcW w:w="2579" w:type="pct"/>
            <w:vAlign w:val="center"/>
          </w:tcPr>
          <w:p w14:paraId="5BAFEE48">
            <w:pPr>
              <w:tabs>
                <w:tab w:val="left" w:pos="1080"/>
              </w:tabs>
              <w:snapToGrid w:val="0"/>
              <w:jc w:val="left"/>
              <w:rPr>
                <w:rFonts w:eastAsiaTheme="minorEastAsia"/>
                <w:sz w:val="24"/>
              </w:rPr>
            </w:pPr>
            <w:r>
              <w:rPr>
                <w:rFonts w:eastAsiaTheme="minorEastAsia"/>
                <w:sz w:val="24"/>
              </w:rPr>
              <w:t>供应商为企业（包括合伙企业）的，应提供有效的“营业执照”；</w:t>
            </w:r>
          </w:p>
          <w:p w14:paraId="37444E06">
            <w:pPr>
              <w:tabs>
                <w:tab w:val="left" w:pos="1080"/>
              </w:tabs>
              <w:snapToGrid w:val="0"/>
              <w:jc w:val="left"/>
              <w:rPr>
                <w:rFonts w:eastAsiaTheme="minorEastAsia"/>
                <w:sz w:val="24"/>
              </w:rPr>
            </w:pPr>
            <w:r>
              <w:rPr>
                <w:rFonts w:eastAsiaTheme="minorEastAsia"/>
                <w:sz w:val="24"/>
              </w:rPr>
              <w:t>供应商为事业单位的，应提供有效的“事业单位法人证书”；</w:t>
            </w:r>
          </w:p>
          <w:p w14:paraId="73073997">
            <w:pPr>
              <w:tabs>
                <w:tab w:val="left" w:pos="1080"/>
              </w:tabs>
              <w:snapToGrid w:val="0"/>
              <w:jc w:val="left"/>
              <w:rPr>
                <w:rFonts w:eastAsiaTheme="minorEastAsia"/>
                <w:sz w:val="24"/>
              </w:rPr>
            </w:pPr>
            <w:r>
              <w:rPr>
                <w:rFonts w:eastAsiaTheme="minorEastAsia"/>
                <w:sz w:val="24"/>
              </w:rPr>
              <w:t>供应商</w:t>
            </w:r>
            <w:r>
              <w:rPr>
                <w:sz w:val="24"/>
              </w:rPr>
              <w:t>是非企业机构的，应提供有效的“执业许可证”、“登记证书”等证明文件</w:t>
            </w:r>
            <w:r>
              <w:rPr>
                <w:rFonts w:eastAsiaTheme="minorEastAsia"/>
                <w:sz w:val="24"/>
              </w:rPr>
              <w:t>；</w:t>
            </w:r>
          </w:p>
          <w:p w14:paraId="23B4A565">
            <w:pPr>
              <w:tabs>
                <w:tab w:val="left" w:pos="1080"/>
              </w:tabs>
              <w:snapToGrid w:val="0"/>
              <w:jc w:val="left"/>
              <w:rPr>
                <w:rFonts w:eastAsiaTheme="minorEastAsia"/>
                <w:sz w:val="24"/>
              </w:rPr>
            </w:pPr>
            <w:r>
              <w:rPr>
                <w:rFonts w:eastAsiaTheme="minorEastAsia"/>
                <w:sz w:val="24"/>
              </w:rPr>
              <w:t>供应商是个体工商户的，应提供有效的“个体工商户营业执照”；</w:t>
            </w:r>
          </w:p>
          <w:p w14:paraId="365EA5C7">
            <w:pPr>
              <w:tabs>
                <w:tab w:val="left" w:pos="1080"/>
              </w:tabs>
              <w:snapToGrid w:val="0"/>
              <w:jc w:val="left"/>
              <w:rPr>
                <w:rFonts w:eastAsiaTheme="minorEastAsia"/>
                <w:sz w:val="24"/>
              </w:rPr>
            </w:pPr>
            <w:r>
              <w:rPr>
                <w:rFonts w:eastAsiaTheme="minorEastAsia"/>
                <w:sz w:val="24"/>
              </w:rPr>
              <w:t>供应商是自然人的，应提供有效的自然人身份证明。</w:t>
            </w:r>
          </w:p>
          <w:p w14:paraId="437253CC">
            <w:pPr>
              <w:tabs>
                <w:tab w:val="left" w:pos="1080"/>
              </w:tabs>
              <w:snapToGrid w:val="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其他组织的相应证明文件；同时还应提供其所属法人/其他组织出具的授权其参与本项目的授权书（格式自拟，须加</w:t>
            </w:r>
            <w:r>
              <w:rPr>
                <w:sz w:val="24"/>
              </w:rPr>
              <w:t>盖其所属法人/其他组织的公章）；对于</w:t>
            </w:r>
            <w:r>
              <w:rPr>
                <w:iCs/>
                <w:sz w:val="24"/>
              </w:rPr>
              <w:t>银行、保险、石油石化、电力、电信等行业的分支机构，可以提供上述</w:t>
            </w:r>
            <w:r>
              <w:rPr>
                <w:sz w:val="24"/>
              </w:rPr>
              <w:t>授权，也</w:t>
            </w:r>
            <w:r>
              <w:rPr>
                <w:color w:val="000000"/>
                <w:sz w:val="24"/>
              </w:rPr>
              <w:t>可以提供其所属法人/其他组织的有关文件或制度等能够证明授权其独立开展业务的证明材料。</w:t>
            </w:r>
          </w:p>
        </w:tc>
        <w:tc>
          <w:tcPr>
            <w:tcW w:w="1028" w:type="pct"/>
            <w:vAlign w:val="center"/>
          </w:tcPr>
          <w:p w14:paraId="7D8FC3C4">
            <w:pPr>
              <w:tabs>
                <w:tab w:val="left" w:pos="1080"/>
              </w:tabs>
              <w:snapToGrid w:val="0"/>
              <w:jc w:val="left"/>
              <w:rPr>
                <w:rFonts w:eastAsiaTheme="minorEastAsia"/>
                <w:sz w:val="24"/>
              </w:rPr>
            </w:pPr>
            <w:r>
              <w:rPr>
                <w:rFonts w:eastAsiaTheme="minorEastAsia"/>
                <w:sz w:val="24"/>
              </w:rPr>
              <w:t>提供证明文件的电子件或电子证照</w:t>
            </w:r>
          </w:p>
        </w:tc>
      </w:tr>
      <w:tr w14:paraId="09231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019C8CD">
            <w:pPr>
              <w:tabs>
                <w:tab w:val="left" w:pos="1080"/>
              </w:tabs>
              <w:snapToGrid w:val="0"/>
              <w:jc w:val="center"/>
              <w:rPr>
                <w:rFonts w:eastAsiaTheme="minorEastAsia"/>
                <w:sz w:val="24"/>
              </w:rPr>
            </w:pPr>
            <w:r>
              <w:rPr>
                <w:rFonts w:eastAsiaTheme="minorEastAsia"/>
                <w:sz w:val="24"/>
              </w:rPr>
              <w:t>1-2</w:t>
            </w:r>
          </w:p>
        </w:tc>
        <w:tc>
          <w:tcPr>
            <w:tcW w:w="938" w:type="pct"/>
            <w:vAlign w:val="center"/>
          </w:tcPr>
          <w:p w14:paraId="5D8D6AC6">
            <w:pPr>
              <w:tabs>
                <w:tab w:val="left" w:pos="1080"/>
              </w:tabs>
              <w:snapToGrid w:val="0"/>
              <w:jc w:val="left"/>
              <w:rPr>
                <w:rFonts w:eastAsiaTheme="minorEastAsia"/>
                <w:sz w:val="24"/>
              </w:rPr>
            </w:pPr>
            <w:r>
              <w:rPr>
                <w:rFonts w:eastAsiaTheme="minorEastAsia"/>
                <w:sz w:val="24"/>
              </w:rPr>
              <w:t>供应商资格声明书</w:t>
            </w:r>
          </w:p>
        </w:tc>
        <w:tc>
          <w:tcPr>
            <w:tcW w:w="2579" w:type="pct"/>
            <w:vAlign w:val="center"/>
          </w:tcPr>
          <w:p w14:paraId="566CD84C">
            <w:pPr>
              <w:tabs>
                <w:tab w:val="left" w:pos="1080"/>
              </w:tabs>
              <w:snapToGrid w:val="0"/>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14:paraId="5E03E98A">
            <w:pPr>
              <w:tabs>
                <w:tab w:val="left" w:pos="1080"/>
              </w:tabs>
              <w:snapToGrid w:val="0"/>
              <w:jc w:val="left"/>
              <w:rPr>
                <w:rFonts w:eastAsiaTheme="minorEastAsia"/>
                <w:sz w:val="24"/>
              </w:rPr>
            </w:pPr>
            <w:r>
              <w:rPr>
                <w:rFonts w:eastAsiaTheme="minorEastAsia"/>
                <w:sz w:val="24"/>
              </w:rPr>
              <w:t>格式见《响应文件格式》</w:t>
            </w:r>
          </w:p>
        </w:tc>
      </w:tr>
      <w:tr w14:paraId="7BE3D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E66C577">
            <w:pPr>
              <w:tabs>
                <w:tab w:val="left" w:pos="1080"/>
              </w:tabs>
              <w:snapToGrid w:val="0"/>
              <w:jc w:val="center"/>
              <w:rPr>
                <w:rFonts w:eastAsiaTheme="minorEastAsia"/>
                <w:sz w:val="24"/>
              </w:rPr>
            </w:pPr>
            <w:r>
              <w:rPr>
                <w:rFonts w:eastAsiaTheme="minorEastAsia"/>
                <w:sz w:val="24"/>
              </w:rPr>
              <w:t>1-3</w:t>
            </w:r>
          </w:p>
        </w:tc>
        <w:tc>
          <w:tcPr>
            <w:tcW w:w="938" w:type="pct"/>
            <w:vAlign w:val="center"/>
          </w:tcPr>
          <w:p w14:paraId="1DCE1F50">
            <w:pPr>
              <w:tabs>
                <w:tab w:val="left" w:pos="1080"/>
              </w:tabs>
              <w:snapToGrid w:val="0"/>
              <w:rPr>
                <w:rFonts w:eastAsiaTheme="minorEastAsia"/>
                <w:sz w:val="24"/>
              </w:rPr>
            </w:pPr>
            <w:r>
              <w:rPr>
                <w:rFonts w:eastAsiaTheme="minorEastAsia"/>
                <w:sz w:val="24"/>
              </w:rPr>
              <w:t>供应商信用记录</w:t>
            </w:r>
          </w:p>
        </w:tc>
        <w:tc>
          <w:tcPr>
            <w:tcW w:w="2579" w:type="pct"/>
            <w:vAlign w:val="center"/>
          </w:tcPr>
          <w:p w14:paraId="555931FA">
            <w:pPr>
              <w:tabs>
                <w:tab w:val="left" w:pos="1080"/>
              </w:tabs>
              <w:snapToGrid w:val="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085F6C92">
            <w:pPr>
              <w:tabs>
                <w:tab w:val="left" w:pos="900"/>
                <w:tab w:val="left" w:pos="1980"/>
              </w:tabs>
              <w:snapToGrid w:val="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14:paraId="3BDF8F88">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392A8CC5">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14:paraId="27075C96">
            <w:pPr>
              <w:tabs>
                <w:tab w:val="left" w:pos="1080"/>
              </w:tabs>
              <w:snapToGrid w:val="0"/>
              <w:rPr>
                <w:rFonts w:eastAsiaTheme="minorEastAsia"/>
                <w:sz w:val="24"/>
              </w:rPr>
            </w:pPr>
            <w:r>
              <w:rPr>
                <w:rFonts w:eastAsiaTheme="minorEastAsia"/>
                <w:sz w:val="24"/>
              </w:rPr>
              <w:t>无须供应商提供，由采购人或采购代理机构查询。</w:t>
            </w:r>
          </w:p>
        </w:tc>
      </w:tr>
      <w:tr w14:paraId="17FBF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525EA0C">
            <w:pPr>
              <w:tabs>
                <w:tab w:val="left" w:pos="1080"/>
              </w:tabs>
              <w:snapToGrid w:val="0"/>
              <w:jc w:val="center"/>
              <w:rPr>
                <w:rFonts w:eastAsiaTheme="minorEastAsia"/>
                <w:sz w:val="24"/>
              </w:rPr>
            </w:pPr>
            <w:r>
              <w:rPr>
                <w:sz w:val="24"/>
              </w:rPr>
              <w:t>1-4</w:t>
            </w:r>
          </w:p>
        </w:tc>
        <w:tc>
          <w:tcPr>
            <w:tcW w:w="938" w:type="pct"/>
            <w:vAlign w:val="center"/>
          </w:tcPr>
          <w:p w14:paraId="75BD3B4C">
            <w:pPr>
              <w:tabs>
                <w:tab w:val="left" w:pos="1080"/>
              </w:tabs>
              <w:snapToGrid w:val="0"/>
              <w:rPr>
                <w:rFonts w:eastAsiaTheme="minorEastAsia"/>
                <w:sz w:val="24"/>
              </w:rPr>
            </w:pPr>
            <w:r>
              <w:rPr>
                <w:sz w:val="24"/>
              </w:rPr>
              <w:t>法律、行政法规规定的其他条件</w:t>
            </w:r>
          </w:p>
        </w:tc>
        <w:tc>
          <w:tcPr>
            <w:tcW w:w="2579" w:type="pct"/>
            <w:vAlign w:val="center"/>
          </w:tcPr>
          <w:p w14:paraId="1ED90290">
            <w:pPr>
              <w:tabs>
                <w:tab w:val="left" w:pos="1080"/>
              </w:tabs>
              <w:snapToGrid w:val="0"/>
              <w:rPr>
                <w:rFonts w:eastAsiaTheme="minorEastAsia"/>
                <w:sz w:val="24"/>
              </w:rPr>
            </w:pPr>
            <w:r>
              <w:rPr>
                <w:sz w:val="24"/>
              </w:rPr>
              <w:t>法律、行政法规规定的其他条件</w:t>
            </w:r>
          </w:p>
        </w:tc>
        <w:tc>
          <w:tcPr>
            <w:tcW w:w="1028" w:type="pct"/>
            <w:vAlign w:val="center"/>
          </w:tcPr>
          <w:p w14:paraId="0EBE073B">
            <w:pPr>
              <w:tabs>
                <w:tab w:val="left" w:pos="1080"/>
              </w:tabs>
              <w:snapToGrid w:val="0"/>
              <w:jc w:val="center"/>
              <w:rPr>
                <w:rFonts w:eastAsiaTheme="minorEastAsia"/>
                <w:sz w:val="24"/>
              </w:rPr>
            </w:pPr>
            <w:r>
              <w:rPr>
                <w:sz w:val="24"/>
              </w:rPr>
              <w:t>/</w:t>
            </w:r>
          </w:p>
        </w:tc>
      </w:tr>
      <w:tr w14:paraId="6BE40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7CCCF7C">
            <w:pPr>
              <w:tabs>
                <w:tab w:val="left" w:pos="1080"/>
              </w:tabs>
              <w:snapToGrid w:val="0"/>
              <w:jc w:val="center"/>
              <w:rPr>
                <w:rFonts w:eastAsiaTheme="minorEastAsia"/>
                <w:sz w:val="24"/>
              </w:rPr>
            </w:pPr>
            <w:r>
              <w:rPr>
                <w:rFonts w:eastAsiaTheme="minorEastAsia"/>
                <w:sz w:val="24"/>
              </w:rPr>
              <w:t>2</w:t>
            </w:r>
          </w:p>
        </w:tc>
        <w:tc>
          <w:tcPr>
            <w:tcW w:w="938" w:type="pct"/>
            <w:vAlign w:val="center"/>
          </w:tcPr>
          <w:p w14:paraId="157F64BF">
            <w:pPr>
              <w:tabs>
                <w:tab w:val="left" w:pos="1080"/>
              </w:tabs>
              <w:snapToGrid w:val="0"/>
              <w:jc w:val="left"/>
              <w:rPr>
                <w:rFonts w:eastAsiaTheme="minorEastAsia"/>
                <w:sz w:val="24"/>
              </w:rPr>
            </w:pPr>
            <w:r>
              <w:rPr>
                <w:rFonts w:eastAsiaTheme="minorEastAsia"/>
                <w:sz w:val="24"/>
              </w:rPr>
              <w:t>落实政府采购政策需满足的资格要求</w:t>
            </w:r>
          </w:p>
        </w:tc>
        <w:tc>
          <w:tcPr>
            <w:tcW w:w="2579" w:type="pct"/>
            <w:vAlign w:val="center"/>
          </w:tcPr>
          <w:p w14:paraId="14FF3209">
            <w:pPr>
              <w:tabs>
                <w:tab w:val="left" w:pos="1080"/>
              </w:tabs>
              <w:snapToGrid w:val="0"/>
              <w:jc w:val="left"/>
              <w:rPr>
                <w:rFonts w:eastAsiaTheme="minorEastAsia"/>
                <w:sz w:val="24"/>
              </w:rPr>
            </w:pPr>
            <w:r>
              <w:rPr>
                <w:rFonts w:eastAsiaTheme="minorEastAsia"/>
                <w:sz w:val="24"/>
              </w:rPr>
              <w:t>具体要求见第一章《采购邀请》</w:t>
            </w:r>
          </w:p>
        </w:tc>
        <w:tc>
          <w:tcPr>
            <w:tcW w:w="1028" w:type="pct"/>
            <w:vAlign w:val="center"/>
          </w:tcPr>
          <w:p w14:paraId="3D83443C">
            <w:pPr>
              <w:tabs>
                <w:tab w:val="left" w:pos="1080"/>
              </w:tabs>
              <w:snapToGrid w:val="0"/>
              <w:jc w:val="left"/>
              <w:rPr>
                <w:rFonts w:eastAsiaTheme="minorEastAsia"/>
                <w:sz w:val="24"/>
              </w:rPr>
            </w:pPr>
          </w:p>
        </w:tc>
      </w:tr>
      <w:tr w14:paraId="4A47E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38EDD45">
            <w:pPr>
              <w:tabs>
                <w:tab w:val="left" w:pos="1080"/>
              </w:tabs>
              <w:snapToGrid w:val="0"/>
              <w:jc w:val="center"/>
              <w:rPr>
                <w:rFonts w:eastAsiaTheme="minorEastAsia"/>
                <w:sz w:val="24"/>
              </w:rPr>
            </w:pPr>
            <w:r>
              <w:rPr>
                <w:rFonts w:eastAsiaTheme="minorEastAsia"/>
                <w:sz w:val="24"/>
              </w:rPr>
              <w:t>2-2</w:t>
            </w:r>
          </w:p>
        </w:tc>
        <w:tc>
          <w:tcPr>
            <w:tcW w:w="938" w:type="pct"/>
            <w:vAlign w:val="center"/>
          </w:tcPr>
          <w:p w14:paraId="2B856F08">
            <w:pPr>
              <w:tabs>
                <w:tab w:val="left" w:pos="1080"/>
              </w:tabs>
              <w:snapToGrid w:val="0"/>
              <w:jc w:val="left"/>
              <w:rPr>
                <w:rFonts w:eastAsiaTheme="minorEastAsia"/>
                <w:sz w:val="24"/>
              </w:rPr>
            </w:pPr>
            <w:r>
              <w:rPr>
                <w:rFonts w:eastAsiaTheme="minorEastAsia"/>
                <w:sz w:val="24"/>
              </w:rPr>
              <w:t>其它落实政府采购政策的资格要求</w:t>
            </w:r>
          </w:p>
        </w:tc>
        <w:tc>
          <w:tcPr>
            <w:tcW w:w="2579" w:type="pct"/>
            <w:vAlign w:val="center"/>
          </w:tcPr>
          <w:p w14:paraId="5075B098">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14:paraId="1F3946DF">
            <w:pPr>
              <w:tabs>
                <w:tab w:val="left" w:pos="1080"/>
              </w:tabs>
              <w:snapToGrid w:val="0"/>
              <w:jc w:val="left"/>
              <w:rPr>
                <w:rFonts w:eastAsiaTheme="minorEastAsia"/>
                <w:sz w:val="24"/>
              </w:rPr>
            </w:pPr>
            <w:r>
              <w:rPr>
                <w:rFonts w:eastAsiaTheme="minorEastAsia"/>
                <w:sz w:val="24"/>
              </w:rPr>
              <w:t>提供证明文件的电子件或电子证照</w:t>
            </w:r>
          </w:p>
        </w:tc>
      </w:tr>
      <w:tr w14:paraId="39701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7EABD25">
            <w:pPr>
              <w:tabs>
                <w:tab w:val="left" w:pos="1080"/>
              </w:tabs>
              <w:snapToGrid w:val="0"/>
              <w:jc w:val="center"/>
              <w:rPr>
                <w:rFonts w:eastAsiaTheme="minorEastAsia"/>
                <w:sz w:val="24"/>
              </w:rPr>
            </w:pPr>
            <w:r>
              <w:rPr>
                <w:rFonts w:eastAsiaTheme="minorEastAsia"/>
                <w:sz w:val="24"/>
              </w:rPr>
              <w:t>3</w:t>
            </w:r>
          </w:p>
        </w:tc>
        <w:tc>
          <w:tcPr>
            <w:tcW w:w="938" w:type="pct"/>
            <w:vAlign w:val="center"/>
          </w:tcPr>
          <w:p w14:paraId="158F1D1A">
            <w:pPr>
              <w:tabs>
                <w:tab w:val="left" w:pos="1080"/>
              </w:tabs>
              <w:snapToGrid w:val="0"/>
              <w:jc w:val="left"/>
              <w:rPr>
                <w:rFonts w:eastAsiaTheme="minorEastAsia"/>
                <w:sz w:val="24"/>
              </w:rPr>
            </w:pPr>
            <w:r>
              <w:rPr>
                <w:rFonts w:eastAsiaTheme="minorEastAsia"/>
                <w:sz w:val="24"/>
              </w:rPr>
              <w:t>本项目的特定资格要求</w:t>
            </w:r>
          </w:p>
        </w:tc>
        <w:tc>
          <w:tcPr>
            <w:tcW w:w="2579" w:type="pct"/>
            <w:vAlign w:val="center"/>
          </w:tcPr>
          <w:p w14:paraId="0C4B4F04">
            <w:pPr>
              <w:tabs>
                <w:tab w:val="left" w:pos="1080"/>
              </w:tabs>
              <w:snapToGrid w:val="0"/>
              <w:jc w:val="left"/>
              <w:rPr>
                <w:rFonts w:eastAsiaTheme="minorEastAsia"/>
                <w:sz w:val="24"/>
              </w:rPr>
            </w:pPr>
            <w:r>
              <w:rPr>
                <w:rFonts w:eastAsiaTheme="minorEastAsia"/>
                <w:sz w:val="24"/>
              </w:rPr>
              <w:t>如有，见第一章《采购邀请》</w:t>
            </w:r>
          </w:p>
        </w:tc>
        <w:tc>
          <w:tcPr>
            <w:tcW w:w="1028" w:type="pct"/>
            <w:vAlign w:val="center"/>
          </w:tcPr>
          <w:p w14:paraId="2DEBB757">
            <w:pPr>
              <w:tabs>
                <w:tab w:val="left" w:pos="1080"/>
              </w:tabs>
              <w:snapToGrid w:val="0"/>
              <w:jc w:val="left"/>
              <w:rPr>
                <w:rFonts w:eastAsiaTheme="minorEastAsia"/>
                <w:sz w:val="24"/>
              </w:rPr>
            </w:pPr>
          </w:p>
        </w:tc>
      </w:tr>
      <w:tr w14:paraId="61208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6D1EA3E">
            <w:pPr>
              <w:tabs>
                <w:tab w:val="left" w:pos="1080"/>
              </w:tabs>
              <w:snapToGrid w:val="0"/>
              <w:jc w:val="center"/>
              <w:rPr>
                <w:rFonts w:eastAsiaTheme="minorEastAsia"/>
                <w:sz w:val="24"/>
              </w:rPr>
            </w:pPr>
            <w:r>
              <w:rPr>
                <w:rFonts w:eastAsiaTheme="minorEastAsia"/>
                <w:sz w:val="24"/>
              </w:rPr>
              <w:t>3-3</w:t>
            </w:r>
          </w:p>
        </w:tc>
        <w:tc>
          <w:tcPr>
            <w:tcW w:w="938" w:type="pct"/>
            <w:vAlign w:val="center"/>
          </w:tcPr>
          <w:p w14:paraId="1979DAF6">
            <w:pPr>
              <w:tabs>
                <w:tab w:val="left" w:pos="1080"/>
              </w:tabs>
              <w:snapToGrid w:val="0"/>
              <w:rPr>
                <w:rFonts w:eastAsiaTheme="minorEastAsia"/>
                <w:sz w:val="24"/>
              </w:rPr>
            </w:pPr>
            <w:r>
              <w:rPr>
                <w:rFonts w:eastAsiaTheme="minorEastAsia"/>
                <w:sz w:val="24"/>
              </w:rPr>
              <w:t>其他特定资格要求</w:t>
            </w:r>
          </w:p>
        </w:tc>
        <w:tc>
          <w:tcPr>
            <w:tcW w:w="2579" w:type="pct"/>
            <w:vAlign w:val="center"/>
          </w:tcPr>
          <w:p w14:paraId="68CB86B9">
            <w:pPr>
              <w:tabs>
                <w:tab w:val="left" w:pos="1080"/>
              </w:tabs>
              <w:snapToGrid w:val="0"/>
              <w:rPr>
                <w:rFonts w:eastAsiaTheme="minorEastAsia"/>
                <w:sz w:val="24"/>
              </w:rPr>
            </w:pPr>
            <w:r>
              <w:rPr>
                <w:rFonts w:eastAsiaTheme="minorEastAsia"/>
                <w:color w:val="000000"/>
                <w:sz w:val="24"/>
              </w:rPr>
              <w:t>如有，见</w:t>
            </w:r>
            <w:r>
              <w:rPr>
                <w:rFonts w:eastAsiaTheme="minorEastAsia"/>
                <w:sz w:val="24"/>
              </w:rPr>
              <w:t>第一章《采购邀请》</w:t>
            </w:r>
          </w:p>
          <w:p w14:paraId="29292ADE">
            <w:pPr>
              <w:tabs>
                <w:tab w:val="left" w:pos="1080"/>
              </w:tabs>
              <w:snapToGrid w:val="0"/>
              <w:rPr>
                <w:rFonts w:eastAsiaTheme="minorEastAsia"/>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提供资质证书电子件或电子证照。</w:t>
            </w:r>
          </w:p>
        </w:tc>
        <w:tc>
          <w:tcPr>
            <w:tcW w:w="1028" w:type="pct"/>
            <w:vAlign w:val="center"/>
          </w:tcPr>
          <w:p w14:paraId="172790FC">
            <w:pPr>
              <w:tabs>
                <w:tab w:val="left" w:pos="1080"/>
              </w:tabs>
              <w:snapToGrid w:val="0"/>
              <w:rPr>
                <w:rFonts w:eastAsiaTheme="minorEastAsia"/>
                <w:sz w:val="24"/>
              </w:rPr>
            </w:pPr>
            <w:r>
              <w:rPr>
                <w:rFonts w:eastAsiaTheme="minorEastAsia"/>
                <w:sz w:val="24"/>
              </w:rPr>
              <w:t>提供证明文件的电子件或电子证照</w:t>
            </w:r>
          </w:p>
        </w:tc>
      </w:tr>
      <w:tr w14:paraId="07503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94F0CD9">
            <w:pPr>
              <w:tabs>
                <w:tab w:val="left" w:pos="1080"/>
              </w:tabs>
              <w:snapToGrid w:val="0"/>
              <w:jc w:val="center"/>
              <w:rPr>
                <w:rFonts w:eastAsiaTheme="minorEastAsia"/>
                <w:sz w:val="24"/>
              </w:rPr>
            </w:pPr>
            <w:r>
              <w:rPr>
                <w:rFonts w:eastAsiaTheme="minorEastAsia"/>
                <w:sz w:val="24"/>
              </w:rPr>
              <w:t>4</w:t>
            </w:r>
          </w:p>
        </w:tc>
        <w:tc>
          <w:tcPr>
            <w:tcW w:w="938" w:type="pct"/>
            <w:vAlign w:val="center"/>
          </w:tcPr>
          <w:p w14:paraId="30BCA2FD">
            <w:pPr>
              <w:tabs>
                <w:tab w:val="left" w:pos="1080"/>
              </w:tabs>
              <w:snapToGrid w:val="0"/>
              <w:rPr>
                <w:rFonts w:eastAsiaTheme="minorEastAsia"/>
                <w:sz w:val="24"/>
              </w:rPr>
            </w:pPr>
            <w:r>
              <w:rPr>
                <w:rFonts w:eastAsiaTheme="minorEastAsia"/>
                <w:color w:val="000000"/>
                <w:kern w:val="0"/>
                <w:sz w:val="24"/>
              </w:rPr>
              <w:t>磋商保证金</w:t>
            </w:r>
            <w:r>
              <w:rPr>
                <w:rFonts w:hint="eastAsia" w:eastAsiaTheme="minorEastAsia"/>
                <w:color w:val="000000"/>
                <w:kern w:val="0"/>
                <w:sz w:val="24"/>
              </w:rPr>
              <w:t>（如有）</w:t>
            </w:r>
          </w:p>
        </w:tc>
        <w:tc>
          <w:tcPr>
            <w:tcW w:w="2579" w:type="pct"/>
            <w:vAlign w:val="center"/>
          </w:tcPr>
          <w:p w14:paraId="70CD2666">
            <w:pPr>
              <w:tabs>
                <w:tab w:val="left" w:pos="1080"/>
              </w:tabs>
              <w:snapToGrid w:val="0"/>
              <w:rPr>
                <w:rFonts w:eastAsiaTheme="minorEastAsia"/>
                <w:color w:val="000000"/>
                <w:sz w:val="24"/>
              </w:rPr>
            </w:pPr>
            <w:r>
              <w:rPr>
                <w:rFonts w:eastAsiaTheme="minorEastAsia"/>
                <w:color w:val="000000"/>
                <w:kern w:val="0"/>
                <w:sz w:val="24"/>
              </w:rPr>
              <w:t>按照竞争性磋商文件的要求提交磋商保证金。</w:t>
            </w:r>
          </w:p>
        </w:tc>
        <w:tc>
          <w:tcPr>
            <w:tcW w:w="1028" w:type="pct"/>
            <w:vAlign w:val="center"/>
          </w:tcPr>
          <w:p w14:paraId="558AF894">
            <w:pPr>
              <w:tabs>
                <w:tab w:val="left" w:pos="1080"/>
              </w:tabs>
              <w:snapToGrid w:val="0"/>
              <w:rPr>
                <w:rFonts w:eastAsiaTheme="minorEastAsia"/>
                <w:sz w:val="24"/>
              </w:rPr>
            </w:pPr>
          </w:p>
        </w:tc>
      </w:tr>
      <w:tr w14:paraId="35FBA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5C8117E">
            <w:pPr>
              <w:tabs>
                <w:tab w:val="left" w:pos="1080"/>
              </w:tabs>
              <w:snapToGrid w:val="0"/>
              <w:jc w:val="center"/>
              <w:rPr>
                <w:rFonts w:eastAsiaTheme="minorEastAsia"/>
                <w:sz w:val="24"/>
              </w:rPr>
            </w:pPr>
            <w:r>
              <w:rPr>
                <w:rFonts w:hint="eastAsia" w:eastAsiaTheme="minorEastAsia"/>
                <w:sz w:val="24"/>
              </w:rPr>
              <w:t>5</w:t>
            </w:r>
          </w:p>
        </w:tc>
        <w:tc>
          <w:tcPr>
            <w:tcW w:w="938" w:type="pct"/>
            <w:vAlign w:val="center"/>
          </w:tcPr>
          <w:p w14:paraId="6DA9222D">
            <w:pPr>
              <w:tabs>
                <w:tab w:val="left" w:pos="1080"/>
              </w:tabs>
              <w:snapToGrid w:val="0"/>
              <w:rPr>
                <w:rFonts w:eastAsiaTheme="minorEastAsia"/>
                <w:color w:val="000000"/>
                <w:kern w:val="0"/>
                <w:sz w:val="24"/>
              </w:rPr>
            </w:pPr>
            <w:r>
              <w:rPr>
                <w:rFonts w:hint="eastAsia" w:eastAsiaTheme="minorEastAsia"/>
                <w:color w:val="000000"/>
                <w:kern w:val="0"/>
                <w:sz w:val="24"/>
              </w:rPr>
              <w:t>获取磋商文件</w:t>
            </w:r>
          </w:p>
        </w:tc>
        <w:tc>
          <w:tcPr>
            <w:tcW w:w="2579" w:type="pct"/>
            <w:vAlign w:val="center"/>
          </w:tcPr>
          <w:p w14:paraId="1E1FEE16">
            <w:pPr>
              <w:tabs>
                <w:tab w:val="left" w:pos="1080"/>
              </w:tabs>
              <w:snapToGrid w:val="0"/>
              <w:rPr>
                <w:color w:val="000000"/>
                <w:kern w:val="0"/>
                <w:sz w:val="24"/>
              </w:rPr>
            </w:pPr>
            <w:r>
              <w:rPr>
                <w:rFonts w:hint="eastAsia"/>
                <w:color w:val="000000"/>
                <w:kern w:val="0"/>
                <w:sz w:val="24"/>
              </w:rPr>
              <w:t>在规定期限内通过北京市政府采购电子交易平台获取所参与包的磋商文件。</w:t>
            </w:r>
          </w:p>
          <w:p w14:paraId="700FDEFD">
            <w:pPr>
              <w:tabs>
                <w:tab w:val="left" w:pos="1080"/>
              </w:tabs>
              <w:snapToGrid w:val="0"/>
              <w:rPr>
                <w:rFonts w:eastAsiaTheme="minorEastAsia"/>
                <w:color w:val="000000"/>
                <w:kern w:val="0"/>
                <w:sz w:val="24"/>
              </w:rPr>
            </w:pPr>
            <w:r>
              <w:rPr>
                <w:rFonts w:hint="eastAsia"/>
                <w:color w:val="000000"/>
                <w:kern w:val="0"/>
                <w:sz w:val="24"/>
              </w:rPr>
              <w:t>注：如本项目接受联合体，且供应商为联合体时，联合体中任一成员获取文件即视为满足要求。</w:t>
            </w:r>
          </w:p>
        </w:tc>
        <w:tc>
          <w:tcPr>
            <w:tcW w:w="1028" w:type="pct"/>
            <w:vAlign w:val="center"/>
          </w:tcPr>
          <w:p w14:paraId="0A496396">
            <w:pPr>
              <w:tabs>
                <w:tab w:val="left" w:pos="1080"/>
              </w:tabs>
              <w:snapToGrid w:val="0"/>
              <w:rPr>
                <w:rFonts w:eastAsiaTheme="minorEastAsia"/>
                <w:sz w:val="24"/>
              </w:rPr>
            </w:pPr>
          </w:p>
        </w:tc>
      </w:tr>
    </w:tbl>
    <w:p w14:paraId="549D9CAD">
      <w:pPr>
        <w:widowControl/>
        <w:jc w:val="left"/>
        <w:rPr>
          <w:rFonts w:eastAsiaTheme="minorEastAsia"/>
          <w:sz w:val="24"/>
        </w:rPr>
      </w:pPr>
    </w:p>
    <w:p w14:paraId="3EBF30CF">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《符合性审查要求》见下表：</w:t>
      </w:r>
    </w:p>
    <w:p w14:paraId="753FC12F">
      <w:pPr>
        <w:widowControl/>
        <w:spacing w:line="360" w:lineRule="auto"/>
        <w:jc w:val="center"/>
        <w:rPr>
          <w:rFonts w:eastAsiaTheme="minorEastAsia"/>
          <w:b/>
          <w:color w:val="000000"/>
          <w:kern w:val="0"/>
          <w:sz w:val="24"/>
        </w:rPr>
      </w:pPr>
      <w:r>
        <w:rPr>
          <w:rFonts w:eastAsiaTheme="minorEastAsia"/>
          <w:b/>
          <w:color w:val="000000"/>
          <w:kern w:val="0"/>
          <w:sz w:val="24"/>
        </w:rPr>
        <w:t>符合性审查要求</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481"/>
        <w:gridCol w:w="4640"/>
        <w:gridCol w:w="1669"/>
      </w:tblGrid>
      <w:tr w14:paraId="37E5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0D644D5C">
            <w:pPr>
              <w:widowControl/>
              <w:jc w:val="center"/>
              <w:rPr>
                <w:rFonts w:eastAsiaTheme="minorEastAsia"/>
                <w:b/>
                <w:color w:val="000000"/>
                <w:kern w:val="0"/>
                <w:sz w:val="24"/>
              </w:rPr>
            </w:pPr>
            <w:r>
              <w:rPr>
                <w:rFonts w:eastAsiaTheme="minorEastAsia"/>
                <w:b/>
                <w:color w:val="000000"/>
                <w:kern w:val="0"/>
                <w:sz w:val="24"/>
              </w:rPr>
              <w:t>序号</w:t>
            </w:r>
          </w:p>
        </w:tc>
        <w:tc>
          <w:tcPr>
            <w:tcW w:w="869" w:type="pct"/>
            <w:shd w:val="clear" w:color="000000" w:fill="FFFFFF"/>
            <w:vAlign w:val="center"/>
          </w:tcPr>
          <w:p w14:paraId="35EED040">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因素</w:t>
            </w:r>
          </w:p>
        </w:tc>
        <w:tc>
          <w:tcPr>
            <w:tcW w:w="2722" w:type="pct"/>
            <w:shd w:val="clear" w:color="000000" w:fill="FFFFFF"/>
            <w:vAlign w:val="center"/>
          </w:tcPr>
          <w:p w14:paraId="36A1BBA5">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内容</w:t>
            </w:r>
          </w:p>
        </w:tc>
        <w:tc>
          <w:tcPr>
            <w:tcW w:w="979" w:type="pct"/>
            <w:shd w:val="clear" w:color="000000" w:fill="FFFFFF"/>
            <w:vAlign w:val="center"/>
          </w:tcPr>
          <w:p w14:paraId="06D785DA">
            <w:pPr>
              <w:widowControl/>
              <w:jc w:val="center"/>
              <w:rPr>
                <w:rFonts w:eastAsiaTheme="minorEastAsia"/>
                <w:b/>
                <w:color w:val="000000"/>
                <w:kern w:val="0"/>
                <w:sz w:val="24"/>
              </w:rPr>
            </w:pPr>
            <w:r>
              <w:rPr>
                <w:rFonts w:eastAsiaTheme="minorEastAsia"/>
                <w:b/>
                <w:color w:val="000000"/>
                <w:kern w:val="0"/>
                <w:sz w:val="24"/>
              </w:rPr>
              <w:t>是否允许澄清、</w:t>
            </w:r>
          </w:p>
          <w:p w14:paraId="5B188F6A">
            <w:pPr>
              <w:widowControl/>
              <w:jc w:val="center"/>
              <w:rPr>
                <w:rFonts w:eastAsiaTheme="minorEastAsia"/>
                <w:b/>
                <w:color w:val="000000"/>
                <w:kern w:val="0"/>
                <w:sz w:val="24"/>
              </w:rPr>
            </w:pPr>
            <w:r>
              <w:rPr>
                <w:rFonts w:eastAsiaTheme="minorEastAsia"/>
                <w:b/>
                <w:color w:val="000000"/>
                <w:kern w:val="0"/>
                <w:sz w:val="24"/>
              </w:rPr>
              <w:t>说明或者更正</w:t>
            </w:r>
          </w:p>
        </w:tc>
      </w:tr>
      <w:tr w14:paraId="1064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62CE2F37">
            <w:pPr>
              <w:widowControl/>
              <w:jc w:val="center"/>
              <w:rPr>
                <w:kern w:val="0"/>
                <w:sz w:val="24"/>
              </w:rPr>
            </w:pPr>
            <w:r>
              <w:rPr>
                <w:kern w:val="0"/>
                <w:sz w:val="24"/>
              </w:rPr>
              <w:t>1</w:t>
            </w:r>
          </w:p>
        </w:tc>
        <w:tc>
          <w:tcPr>
            <w:tcW w:w="869" w:type="pct"/>
            <w:shd w:val="clear" w:color="000000" w:fill="FFFFFF"/>
            <w:vAlign w:val="center"/>
          </w:tcPr>
          <w:p w14:paraId="24934E20">
            <w:pPr>
              <w:widowControl/>
              <w:jc w:val="left"/>
              <w:rPr>
                <w:kern w:val="0"/>
                <w:sz w:val="24"/>
              </w:rPr>
            </w:pPr>
            <w:r>
              <w:rPr>
                <w:kern w:val="0"/>
                <w:sz w:val="24"/>
              </w:rPr>
              <w:t>授权委托书</w:t>
            </w:r>
          </w:p>
        </w:tc>
        <w:tc>
          <w:tcPr>
            <w:tcW w:w="2722" w:type="pct"/>
            <w:shd w:val="clear" w:color="000000" w:fill="FFFFFF"/>
            <w:vAlign w:val="center"/>
          </w:tcPr>
          <w:p w14:paraId="0862CFDF">
            <w:pPr>
              <w:widowControl/>
              <w:jc w:val="left"/>
              <w:rPr>
                <w:kern w:val="0"/>
                <w:sz w:val="24"/>
              </w:rPr>
            </w:pPr>
            <w:r>
              <w:rPr>
                <w:kern w:val="0"/>
                <w:sz w:val="24"/>
              </w:rPr>
              <w:t>按</w:t>
            </w:r>
            <w:r>
              <w:rPr>
                <w:rFonts w:hint="eastAsia"/>
                <w:kern w:val="0"/>
                <w:sz w:val="24"/>
              </w:rPr>
              <w:t>竞争性磋商文件</w:t>
            </w:r>
            <w:r>
              <w:rPr>
                <w:kern w:val="0"/>
                <w:sz w:val="24"/>
              </w:rPr>
              <w:t>要求提供授权委托书；</w:t>
            </w:r>
          </w:p>
        </w:tc>
        <w:tc>
          <w:tcPr>
            <w:tcW w:w="979" w:type="pct"/>
            <w:shd w:val="clear" w:color="000000" w:fill="FFFFFF"/>
            <w:vAlign w:val="center"/>
          </w:tcPr>
          <w:p w14:paraId="2D5F2E11">
            <w:pPr>
              <w:widowControl/>
              <w:jc w:val="center"/>
              <w:rPr>
                <w:kern w:val="0"/>
                <w:sz w:val="24"/>
              </w:rPr>
            </w:pPr>
            <w:r>
              <w:rPr>
                <w:rFonts w:hint="eastAsia"/>
                <w:kern w:val="0"/>
                <w:sz w:val="24"/>
              </w:rPr>
              <w:t>不允许</w:t>
            </w:r>
          </w:p>
        </w:tc>
      </w:tr>
      <w:tr w14:paraId="7291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1693DF68">
            <w:pPr>
              <w:widowControl/>
              <w:jc w:val="center"/>
              <w:rPr>
                <w:kern w:val="0"/>
                <w:sz w:val="24"/>
              </w:rPr>
            </w:pPr>
            <w:r>
              <w:rPr>
                <w:kern w:val="0"/>
                <w:sz w:val="24"/>
              </w:rPr>
              <w:t>2</w:t>
            </w:r>
          </w:p>
        </w:tc>
        <w:tc>
          <w:tcPr>
            <w:tcW w:w="869" w:type="pct"/>
            <w:shd w:val="clear" w:color="000000" w:fill="FFFFFF"/>
            <w:vAlign w:val="center"/>
          </w:tcPr>
          <w:p w14:paraId="64BE9B3D">
            <w:pPr>
              <w:widowControl/>
              <w:jc w:val="left"/>
              <w:rPr>
                <w:kern w:val="0"/>
                <w:sz w:val="24"/>
              </w:rPr>
            </w:pPr>
            <w:r>
              <w:rPr>
                <w:rFonts w:hint="eastAsia"/>
                <w:kern w:val="0"/>
                <w:sz w:val="24"/>
              </w:rPr>
              <w:t>响应</w:t>
            </w:r>
            <w:r>
              <w:rPr>
                <w:kern w:val="0"/>
                <w:sz w:val="24"/>
              </w:rPr>
              <w:t>完整性</w:t>
            </w:r>
          </w:p>
        </w:tc>
        <w:tc>
          <w:tcPr>
            <w:tcW w:w="2722" w:type="pct"/>
            <w:shd w:val="clear" w:color="000000" w:fill="FFFFFF"/>
            <w:vAlign w:val="center"/>
          </w:tcPr>
          <w:p w14:paraId="4072D19A">
            <w:pPr>
              <w:widowControl/>
              <w:jc w:val="left"/>
              <w:rPr>
                <w:kern w:val="0"/>
                <w:sz w:val="24"/>
              </w:rPr>
            </w:pPr>
            <w:r>
              <w:rPr>
                <w:rFonts w:hint="eastAsia"/>
                <w:sz w:val="24"/>
              </w:rPr>
              <w:t>未</w:t>
            </w:r>
            <w:r>
              <w:rPr>
                <w:sz w:val="24"/>
              </w:rPr>
              <w:t>将一个采购包中的内容拆开</w:t>
            </w:r>
            <w:r>
              <w:rPr>
                <w:rFonts w:hint="eastAsia"/>
                <w:sz w:val="24"/>
              </w:rPr>
              <w:t>响应</w:t>
            </w:r>
            <w:r>
              <w:rPr>
                <w:sz w:val="24"/>
              </w:rPr>
              <w:t>；</w:t>
            </w:r>
          </w:p>
        </w:tc>
        <w:tc>
          <w:tcPr>
            <w:tcW w:w="979" w:type="pct"/>
            <w:shd w:val="clear" w:color="000000" w:fill="FFFFFF"/>
            <w:vAlign w:val="center"/>
          </w:tcPr>
          <w:p w14:paraId="07BC7F4D">
            <w:pPr>
              <w:widowControl/>
              <w:jc w:val="center"/>
              <w:rPr>
                <w:kern w:val="0"/>
                <w:sz w:val="24"/>
              </w:rPr>
            </w:pPr>
            <w:r>
              <w:rPr>
                <w:rFonts w:hint="eastAsia"/>
                <w:kern w:val="0"/>
                <w:sz w:val="24"/>
              </w:rPr>
              <w:t>不允许</w:t>
            </w:r>
          </w:p>
        </w:tc>
      </w:tr>
      <w:tr w14:paraId="1AEC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2CF9BAFA">
            <w:pPr>
              <w:widowControl/>
              <w:jc w:val="center"/>
              <w:rPr>
                <w:kern w:val="0"/>
                <w:sz w:val="24"/>
              </w:rPr>
            </w:pPr>
            <w:r>
              <w:rPr>
                <w:kern w:val="0"/>
                <w:sz w:val="24"/>
              </w:rPr>
              <w:t>3</w:t>
            </w:r>
          </w:p>
        </w:tc>
        <w:tc>
          <w:tcPr>
            <w:tcW w:w="869" w:type="pct"/>
            <w:shd w:val="clear" w:color="000000" w:fill="FFFFFF"/>
            <w:vAlign w:val="center"/>
          </w:tcPr>
          <w:p w14:paraId="268B180F">
            <w:pPr>
              <w:widowControl/>
              <w:jc w:val="left"/>
              <w:rPr>
                <w:kern w:val="0"/>
                <w:sz w:val="24"/>
              </w:rPr>
            </w:pPr>
            <w:r>
              <w:rPr>
                <w:rFonts w:hint="eastAsia"/>
                <w:kern w:val="0"/>
                <w:sz w:val="24"/>
              </w:rPr>
              <w:t>响应</w:t>
            </w:r>
            <w:r>
              <w:rPr>
                <w:kern w:val="0"/>
                <w:sz w:val="24"/>
              </w:rPr>
              <w:t>报价</w:t>
            </w:r>
          </w:p>
        </w:tc>
        <w:tc>
          <w:tcPr>
            <w:tcW w:w="2722" w:type="pct"/>
            <w:shd w:val="clear" w:color="000000" w:fill="FFFFFF"/>
            <w:vAlign w:val="center"/>
          </w:tcPr>
          <w:p w14:paraId="74A4C993">
            <w:pPr>
              <w:widowControl/>
              <w:jc w:val="left"/>
              <w:rPr>
                <w:kern w:val="0"/>
                <w:sz w:val="24"/>
              </w:rPr>
            </w:pPr>
            <w:r>
              <w:rPr>
                <w:rFonts w:hint="eastAsia"/>
                <w:kern w:val="0"/>
                <w:sz w:val="24"/>
              </w:rPr>
              <w:t>最后</w:t>
            </w:r>
            <w:r>
              <w:rPr>
                <w:kern w:val="0"/>
                <w:sz w:val="24"/>
              </w:rPr>
              <w:t>报价</w:t>
            </w:r>
            <w:r>
              <w:rPr>
                <w:rFonts w:hint="eastAsia"/>
                <w:kern w:val="0"/>
                <w:sz w:val="24"/>
              </w:rPr>
              <w:t>未</w:t>
            </w:r>
            <w:r>
              <w:rPr>
                <w:sz w:val="24"/>
              </w:rPr>
              <w:t>超过</w:t>
            </w:r>
            <w:r>
              <w:rPr>
                <w:rFonts w:hint="eastAsia"/>
                <w:kern w:val="0"/>
                <w:sz w:val="24"/>
              </w:rPr>
              <w:t>竞争性磋商文件</w:t>
            </w:r>
            <w:r>
              <w:rPr>
                <w:sz w:val="24"/>
              </w:rPr>
              <w:t>中规定的项目/采购包预算金额或者项目/采购包最高限价</w:t>
            </w:r>
            <w:r>
              <w:rPr>
                <w:kern w:val="0"/>
                <w:sz w:val="24"/>
              </w:rPr>
              <w:t>；</w:t>
            </w:r>
          </w:p>
        </w:tc>
        <w:tc>
          <w:tcPr>
            <w:tcW w:w="979" w:type="pct"/>
            <w:shd w:val="clear" w:color="000000" w:fill="FFFFFF"/>
            <w:vAlign w:val="center"/>
          </w:tcPr>
          <w:p w14:paraId="65A8D39D">
            <w:pPr>
              <w:widowControl/>
              <w:jc w:val="center"/>
              <w:rPr>
                <w:kern w:val="0"/>
                <w:sz w:val="24"/>
              </w:rPr>
            </w:pPr>
            <w:r>
              <w:rPr>
                <w:rFonts w:hint="eastAsia"/>
                <w:kern w:val="0"/>
                <w:sz w:val="24"/>
              </w:rPr>
              <w:t>不允许</w:t>
            </w:r>
          </w:p>
        </w:tc>
      </w:tr>
      <w:tr w14:paraId="1757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43288624">
            <w:pPr>
              <w:widowControl/>
              <w:jc w:val="center"/>
              <w:rPr>
                <w:kern w:val="0"/>
                <w:sz w:val="24"/>
              </w:rPr>
            </w:pPr>
            <w:r>
              <w:rPr>
                <w:kern w:val="0"/>
                <w:sz w:val="24"/>
              </w:rPr>
              <w:t>4</w:t>
            </w:r>
          </w:p>
        </w:tc>
        <w:tc>
          <w:tcPr>
            <w:tcW w:w="869" w:type="pct"/>
            <w:shd w:val="clear" w:color="000000" w:fill="FFFFFF"/>
            <w:vAlign w:val="center"/>
          </w:tcPr>
          <w:p w14:paraId="4C75CC7D">
            <w:pPr>
              <w:widowControl/>
              <w:jc w:val="left"/>
              <w:rPr>
                <w:kern w:val="0"/>
                <w:sz w:val="24"/>
              </w:rPr>
            </w:pPr>
            <w:r>
              <w:rPr>
                <w:kern w:val="0"/>
                <w:sz w:val="24"/>
              </w:rPr>
              <w:t>报价唯一性</w:t>
            </w:r>
          </w:p>
        </w:tc>
        <w:tc>
          <w:tcPr>
            <w:tcW w:w="2722" w:type="pct"/>
            <w:shd w:val="clear" w:color="000000" w:fill="FFFFFF"/>
            <w:vAlign w:val="center"/>
          </w:tcPr>
          <w:p w14:paraId="354BD886">
            <w:pPr>
              <w:widowControl/>
              <w:jc w:val="left"/>
              <w:rPr>
                <w:kern w:val="0"/>
                <w:sz w:val="24"/>
              </w:rPr>
            </w:pPr>
            <w:r>
              <w:rPr>
                <w:rFonts w:hint="eastAsia"/>
                <w:kern w:val="0"/>
                <w:sz w:val="24"/>
              </w:rPr>
              <w:t>最后报价未</w:t>
            </w:r>
            <w:r>
              <w:rPr>
                <w:rFonts w:hint="eastAsia"/>
                <w:sz w:val="24"/>
              </w:rPr>
              <w:t>出现可选择性或可调整的报价（竞争性磋商文件另有规定的除外）</w:t>
            </w:r>
            <w:r>
              <w:rPr>
                <w:kern w:val="0"/>
                <w:sz w:val="24"/>
              </w:rPr>
              <w:t>；</w:t>
            </w:r>
          </w:p>
        </w:tc>
        <w:tc>
          <w:tcPr>
            <w:tcW w:w="979" w:type="pct"/>
            <w:shd w:val="clear" w:color="000000" w:fill="FFFFFF"/>
            <w:vAlign w:val="center"/>
          </w:tcPr>
          <w:p w14:paraId="79B8440B">
            <w:pPr>
              <w:widowControl/>
              <w:jc w:val="center"/>
              <w:rPr>
                <w:kern w:val="0"/>
                <w:sz w:val="24"/>
              </w:rPr>
            </w:pPr>
            <w:r>
              <w:rPr>
                <w:rFonts w:hint="eastAsia"/>
                <w:kern w:val="0"/>
                <w:sz w:val="24"/>
              </w:rPr>
              <w:t>不允许</w:t>
            </w:r>
          </w:p>
        </w:tc>
      </w:tr>
      <w:tr w14:paraId="47FB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0E5491DA">
            <w:pPr>
              <w:widowControl/>
              <w:jc w:val="center"/>
              <w:rPr>
                <w:kern w:val="0"/>
                <w:sz w:val="24"/>
              </w:rPr>
            </w:pPr>
            <w:r>
              <w:rPr>
                <w:kern w:val="0"/>
                <w:sz w:val="24"/>
              </w:rPr>
              <w:t>5</w:t>
            </w:r>
          </w:p>
        </w:tc>
        <w:tc>
          <w:tcPr>
            <w:tcW w:w="869" w:type="pct"/>
            <w:shd w:val="clear" w:color="000000" w:fill="FFFFFF"/>
            <w:vAlign w:val="center"/>
          </w:tcPr>
          <w:p w14:paraId="6EC9818E">
            <w:pPr>
              <w:widowControl/>
              <w:jc w:val="left"/>
              <w:rPr>
                <w:kern w:val="0"/>
                <w:sz w:val="24"/>
              </w:rPr>
            </w:pPr>
            <w:r>
              <w:rPr>
                <w:rFonts w:hint="eastAsia"/>
                <w:kern w:val="0"/>
                <w:sz w:val="24"/>
              </w:rPr>
              <w:t>磋商</w:t>
            </w:r>
            <w:r>
              <w:rPr>
                <w:kern w:val="0"/>
                <w:sz w:val="24"/>
              </w:rPr>
              <w:t>有效期</w:t>
            </w:r>
          </w:p>
        </w:tc>
        <w:tc>
          <w:tcPr>
            <w:tcW w:w="2722" w:type="pct"/>
            <w:shd w:val="clear" w:color="000000" w:fill="FFFFFF"/>
            <w:vAlign w:val="center"/>
          </w:tcPr>
          <w:p w14:paraId="7FB92664">
            <w:pPr>
              <w:widowControl/>
              <w:jc w:val="left"/>
              <w:rPr>
                <w:kern w:val="0"/>
                <w:sz w:val="24"/>
              </w:rPr>
            </w:pPr>
            <w:r>
              <w:rPr>
                <w:rFonts w:hint="eastAsia"/>
                <w:kern w:val="0"/>
                <w:sz w:val="24"/>
              </w:rPr>
              <w:t>响应文件</w:t>
            </w:r>
            <w:r>
              <w:rPr>
                <w:kern w:val="0"/>
                <w:sz w:val="24"/>
              </w:rPr>
              <w:t>中承诺的</w:t>
            </w:r>
            <w:r>
              <w:rPr>
                <w:rFonts w:hint="eastAsia"/>
                <w:kern w:val="0"/>
                <w:sz w:val="24"/>
              </w:rPr>
              <w:t>磋商</w:t>
            </w:r>
            <w:r>
              <w:rPr>
                <w:kern w:val="0"/>
                <w:sz w:val="24"/>
              </w:rPr>
              <w:t>有效期</w:t>
            </w:r>
            <w:r>
              <w:rPr>
                <w:rFonts w:hint="eastAsia"/>
                <w:kern w:val="0"/>
                <w:sz w:val="24"/>
              </w:rPr>
              <w:t>满足竞争性磋商文件</w:t>
            </w:r>
            <w:r>
              <w:rPr>
                <w:kern w:val="0"/>
                <w:sz w:val="24"/>
              </w:rPr>
              <w:t>中载明的</w:t>
            </w:r>
            <w:r>
              <w:rPr>
                <w:rFonts w:hint="eastAsia"/>
                <w:kern w:val="0"/>
                <w:sz w:val="24"/>
              </w:rPr>
              <w:t>响应</w:t>
            </w:r>
            <w:r>
              <w:rPr>
                <w:kern w:val="0"/>
                <w:sz w:val="24"/>
              </w:rPr>
              <w:t>有效期的；</w:t>
            </w:r>
          </w:p>
        </w:tc>
        <w:tc>
          <w:tcPr>
            <w:tcW w:w="979" w:type="pct"/>
            <w:shd w:val="clear" w:color="000000" w:fill="FFFFFF"/>
            <w:vAlign w:val="center"/>
          </w:tcPr>
          <w:p w14:paraId="40DCDE06">
            <w:pPr>
              <w:widowControl/>
              <w:jc w:val="center"/>
              <w:rPr>
                <w:kern w:val="0"/>
                <w:sz w:val="24"/>
              </w:rPr>
            </w:pPr>
            <w:r>
              <w:rPr>
                <w:rFonts w:hint="eastAsia"/>
                <w:kern w:val="0"/>
                <w:sz w:val="24"/>
              </w:rPr>
              <w:t>不允许</w:t>
            </w:r>
          </w:p>
        </w:tc>
      </w:tr>
      <w:tr w14:paraId="7D86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433DCB12">
            <w:pPr>
              <w:widowControl/>
              <w:jc w:val="center"/>
              <w:rPr>
                <w:kern w:val="0"/>
                <w:sz w:val="24"/>
              </w:rPr>
            </w:pPr>
            <w:r>
              <w:rPr>
                <w:kern w:val="0"/>
                <w:sz w:val="24"/>
              </w:rPr>
              <w:t>6</w:t>
            </w:r>
          </w:p>
        </w:tc>
        <w:tc>
          <w:tcPr>
            <w:tcW w:w="869" w:type="pct"/>
            <w:shd w:val="clear" w:color="000000" w:fill="FFFFFF"/>
            <w:vAlign w:val="center"/>
          </w:tcPr>
          <w:p w14:paraId="4D26CCAA">
            <w:pPr>
              <w:widowControl/>
              <w:jc w:val="left"/>
              <w:rPr>
                <w:kern w:val="0"/>
                <w:sz w:val="24"/>
              </w:rPr>
            </w:pPr>
            <w:r>
              <w:rPr>
                <w:color w:val="000000"/>
                <w:kern w:val="0"/>
                <w:sz w:val="24"/>
              </w:rPr>
              <w:t>实质性格式</w:t>
            </w:r>
          </w:p>
        </w:tc>
        <w:tc>
          <w:tcPr>
            <w:tcW w:w="2722" w:type="pct"/>
            <w:shd w:val="clear" w:color="000000" w:fill="FFFFFF"/>
            <w:vAlign w:val="center"/>
          </w:tcPr>
          <w:p w14:paraId="17532E37">
            <w:pPr>
              <w:widowControl/>
              <w:jc w:val="left"/>
              <w:rPr>
                <w:kern w:val="0"/>
                <w:sz w:val="24"/>
              </w:rPr>
            </w:pPr>
            <w:r>
              <w:rPr>
                <w:kern w:val="0"/>
                <w:sz w:val="24"/>
              </w:rPr>
              <w:t>标记为“实质性格式”的文件均按</w:t>
            </w:r>
            <w:r>
              <w:rPr>
                <w:rFonts w:hint="eastAsia"/>
                <w:sz w:val="24"/>
              </w:rPr>
              <w:t>竞争性磋商文件</w:t>
            </w:r>
            <w:r>
              <w:rPr>
                <w:kern w:val="0"/>
                <w:sz w:val="24"/>
              </w:rPr>
              <w:t>要求提供且签署、盖章的；</w:t>
            </w:r>
          </w:p>
        </w:tc>
        <w:tc>
          <w:tcPr>
            <w:tcW w:w="979" w:type="pct"/>
            <w:shd w:val="clear" w:color="000000" w:fill="FFFFFF"/>
            <w:vAlign w:val="center"/>
          </w:tcPr>
          <w:p w14:paraId="5962FF57">
            <w:pPr>
              <w:widowControl/>
              <w:jc w:val="center"/>
              <w:rPr>
                <w:kern w:val="0"/>
                <w:sz w:val="24"/>
              </w:rPr>
            </w:pPr>
            <w:r>
              <w:rPr>
                <w:rFonts w:hint="eastAsia"/>
                <w:kern w:val="0"/>
                <w:sz w:val="24"/>
              </w:rPr>
              <w:t>不允许</w:t>
            </w:r>
          </w:p>
        </w:tc>
      </w:tr>
      <w:tr w14:paraId="695D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7B7A785E">
            <w:pPr>
              <w:widowControl/>
              <w:jc w:val="center"/>
              <w:rPr>
                <w:kern w:val="0"/>
                <w:sz w:val="24"/>
              </w:rPr>
            </w:pPr>
            <w:r>
              <w:rPr>
                <w:rFonts w:hint="eastAsia"/>
                <w:kern w:val="0"/>
                <w:sz w:val="24"/>
              </w:rPr>
              <w:t>7</w:t>
            </w:r>
          </w:p>
        </w:tc>
        <w:tc>
          <w:tcPr>
            <w:tcW w:w="869" w:type="pct"/>
            <w:shd w:val="clear" w:color="000000" w:fill="FFFFFF"/>
            <w:vAlign w:val="center"/>
          </w:tcPr>
          <w:p w14:paraId="728EECF1">
            <w:pPr>
              <w:widowControl/>
              <w:jc w:val="left"/>
              <w:rPr>
                <w:kern w:val="0"/>
                <w:sz w:val="24"/>
              </w:rPr>
            </w:pPr>
            <w:r>
              <w:rPr>
                <w:rFonts w:ascii="Segoe UI Symbol" w:hAnsi="Segoe UI Symbol" w:cs="Segoe UI Symbol"/>
                <w:kern w:val="0"/>
                <w:sz w:val="24"/>
              </w:rPr>
              <w:t>★</w:t>
            </w:r>
            <w:r>
              <w:rPr>
                <w:kern w:val="0"/>
                <w:sz w:val="24"/>
              </w:rPr>
              <w:t>号条款响应</w:t>
            </w:r>
          </w:p>
        </w:tc>
        <w:tc>
          <w:tcPr>
            <w:tcW w:w="2722" w:type="pct"/>
            <w:shd w:val="clear" w:color="000000" w:fill="FFFFFF"/>
            <w:vAlign w:val="center"/>
          </w:tcPr>
          <w:p w14:paraId="36B35D74">
            <w:pPr>
              <w:widowControl/>
              <w:jc w:val="left"/>
              <w:rPr>
                <w:kern w:val="0"/>
                <w:sz w:val="24"/>
              </w:rPr>
            </w:pPr>
            <w:r>
              <w:rPr>
                <w:rFonts w:hint="eastAsia"/>
                <w:sz w:val="24"/>
              </w:rPr>
              <w:t>响应文件</w:t>
            </w:r>
            <w:r>
              <w:rPr>
                <w:sz w:val="24"/>
              </w:rPr>
              <w:t>满足</w:t>
            </w:r>
            <w:r>
              <w:rPr>
                <w:rFonts w:hint="eastAsia"/>
                <w:sz w:val="24"/>
              </w:rPr>
              <w:t>竞争性磋商文件</w:t>
            </w:r>
            <w:r>
              <w:rPr>
                <w:sz w:val="24"/>
              </w:rPr>
              <w:t>第</w:t>
            </w:r>
            <w:r>
              <w:rPr>
                <w:rFonts w:hint="eastAsia"/>
                <w:sz w:val="24"/>
              </w:rPr>
              <w:t>四</w:t>
            </w:r>
            <w:r>
              <w:rPr>
                <w:sz w:val="24"/>
              </w:rPr>
              <w:t>章《采购需求》中★号条款要求的；</w:t>
            </w:r>
          </w:p>
        </w:tc>
        <w:tc>
          <w:tcPr>
            <w:tcW w:w="979" w:type="pct"/>
            <w:shd w:val="clear" w:color="000000" w:fill="FFFFFF"/>
            <w:vAlign w:val="center"/>
          </w:tcPr>
          <w:p w14:paraId="01FFA336">
            <w:pPr>
              <w:widowControl/>
              <w:jc w:val="center"/>
              <w:rPr>
                <w:kern w:val="0"/>
                <w:sz w:val="24"/>
              </w:rPr>
            </w:pPr>
            <w:r>
              <w:rPr>
                <w:rFonts w:hint="eastAsia"/>
                <w:kern w:val="0"/>
                <w:sz w:val="24"/>
              </w:rPr>
              <w:t>不允许</w:t>
            </w:r>
          </w:p>
        </w:tc>
      </w:tr>
      <w:tr w14:paraId="14CF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7141FE45">
            <w:pPr>
              <w:widowControl/>
              <w:jc w:val="center"/>
              <w:rPr>
                <w:kern w:val="0"/>
                <w:sz w:val="24"/>
              </w:rPr>
            </w:pPr>
            <w:r>
              <w:rPr>
                <w:kern w:val="0"/>
                <w:sz w:val="24"/>
              </w:rPr>
              <w:t>8</w:t>
            </w:r>
          </w:p>
        </w:tc>
        <w:tc>
          <w:tcPr>
            <w:tcW w:w="869" w:type="pct"/>
            <w:shd w:val="clear" w:color="000000" w:fill="FFFFFF"/>
            <w:vAlign w:val="center"/>
          </w:tcPr>
          <w:p w14:paraId="5BF42838">
            <w:pPr>
              <w:widowControl/>
              <w:jc w:val="left"/>
              <w:rPr>
                <w:kern w:val="0"/>
                <w:sz w:val="24"/>
              </w:rPr>
            </w:pPr>
            <w:r>
              <w:rPr>
                <w:kern w:val="0"/>
                <w:sz w:val="24"/>
              </w:rPr>
              <w:t>报价的修正（如有）</w:t>
            </w:r>
          </w:p>
        </w:tc>
        <w:tc>
          <w:tcPr>
            <w:tcW w:w="2722" w:type="pct"/>
            <w:shd w:val="clear" w:color="000000" w:fill="FFFFFF"/>
            <w:vAlign w:val="center"/>
          </w:tcPr>
          <w:p w14:paraId="0523EEDE">
            <w:pPr>
              <w:widowControl/>
              <w:jc w:val="left"/>
              <w:rPr>
                <w:kern w:val="0"/>
                <w:sz w:val="24"/>
              </w:rPr>
            </w:pPr>
            <w:r>
              <w:rPr>
                <w:rFonts w:hint="eastAsia"/>
                <w:sz w:val="24"/>
              </w:rPr>
              <w:t>不涉及报价修正</w:t>
            </w:r>
            <w:r>
              <w:rPr>
                <w:sz w:val="24"/>
              </w:rPr>
              <w:t>，或</w:t>
            </w:r>
            <w:r>
              <w:rPr>
                <w:rFonts w:hint="eastAsia"/>
                <w:sz w:val="24"/>
              </w:rPr>
              <w:t>响应文件</w:t>
            </w:r>
            <w:r>
              <w:rPr>
                <w:sz w:val="24"/>
              </w:rPr>
              <w:t>报价出现前后不一致</w:t>
            </w:r>
            <w:r>
              <w:rPr>
                <w:rFonts w:hint="eastAsia"/>
                <w:sz w:val="24"/>
              </w:rPr>
              <w:t>时</w:t>
            </w:r>
            <w:r>
              <w:rPr>
                <w:sz w:val="24"/>
              </w:rPr>
              <w:t>，</w:t>
            </w:r>
            <w:r>
              <w:rPr>
                <w:rFonts w:hint="eastAsia"/>
                <w:sz w:val="24"/>
              </w:rPr>
              <w:t>供应商</w:t>
            </w:r>
            <w:r>
              <w:rPr>
                <w:sz w:val="24"/>
              </w:rPr>
              <w:t>对修正后的报价予</w:t>
            </w:r>
            <w:r>
              <w:rPr>
                <w:rFonts w:hint="eastAsia"/>
                <w:sz w:val="24"/>
              </w:rPr>
              <w:t>以</w:t>
            </w:r>
            <w:r>
              <w:rPr>
                <w:sz w:val="24"/>
              </w:rPr>
              <w:t>确认；（如有）</w:t>
            </w:r>
          </w:p>
        </w:tc>
        <w:tc>
          <w:tcPr>
            <w:tcW w:w="979" w:type="pct"/>
            <w:shd w:val="clear" w:color="000000" w:fill="FFFFFF"/>
            <w:vAlign w:val="center"/>
          </w:tcPr>
          <w:p w14:paraId="7192D265">
            <w:pPr>
              <w:widowControl/>
              <w:jc w:val="center"/>
              <w:rPr>
                <w:kern w:val="0"/>
                <w:sz w:val="24"/>
              </w:rPr>
            </w:pPr>
            <w:r>
              <w:rPr>
                <w:rFonts w:hint="eastAsia"/>
                <w:kern w:val="0"/>
                <w:sz w:val="24"/>
              </w:rPr>
              <w:t>允许</w:t>
            </w:r>
          </w:p>
        </w:tc>
      </w:tr>
      <w:tr w14:paraId="4F00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1C5C951B">
            <w:pPr>
              <w:widowControl/>
              <w:jc w:val="center"/>
              <w:rPr>
                <w:kern w:val="0"/>
                <w:sz w:val="24"/>
              </w:rPr>
            </w:pPr>
            <w:r>
              <w:rPr>
                <w:rFonts w:hint="eastAsia"/>
                <w:kern w:val="0"/>
                <w:sz w:val="24"/>
              </w:rPr>
              <w:t>9</w:t>
            </w:r>
          </w:p>
        </w:tc>
        <w:tc>
          <w:tcPr>
            <w:tcW w:w="869" w:type="pct"/>
            <w:shd w:val="clear" w:color="000000" w:fill="FFFFFF"/>
            <w:vAlign w:val="center"/>
          </w:tcPr>
          <w:p w14:paraId="6FFF177A">
            <w:pPr>
              <w:widowControl/>
              <w:jc w:val="left"/>
              <w:rPr>
                <w:kern w:val="0"/>
                <w:sz w:val="24"/>
              </w:rPr>
            </w:pPr>
            <w:r>
              <w:rPr>
                <w:kern w:val="0"/>
                <w:sz w:val="24"/>
              </w:rPr>
              <w:t>公平竞争</w:t>
            </w:r>
          </w:p>
        </w:tc>
        <w:tc>
          <w:tcPr>
            <w:tcW w:w="2722" w:type="pct"/>
            <w:shd w:val="clear" w:color="000000" w:fill="FFFFFF"/>
            <w:vAlign w:val="center"/>
          </w:tcPr>
          <w:p w14:paraId="6FCB0E69">
            <w:pPr>
              <w:widowControl/>
              <w:jc w:val="left"/>
              <w:rPr>
                <w:kern w:val="0"/>
                <w:sz w:val="24"/>
              </w:rPr>
            </w:pPr>
            <w:r>
              <w:rPr>
                <w:rFonts w:hint="eastAsia"/>
                <w:sz w:val="24"/>
              </w:rPr>
              <w:t>供应商</w:t>
            </w:r>
            <w:r>
              <w:rPr>
                <w:sz w:val="24"/>
              </w:rPr>
              <w:t>遵循公平竞争的原则，不存在恶意串通，妨碍其他</w:t>
            </w:r>
            <w:r>
              <w:rPr>
                <w:rFonts w:hint="eastAsia"/>
                <w:sz w:val="24"/>
              </w:rPr>
              <w:t>供应商</w:t>
            </w:r>
            <w:r>
              <w:rPr>
                <w:sz w:val="24"/>
              </w:rPr>
              <w:t>的竞争行为，不存在损害采购人或者其他</w:t>
            </w:r>
            <w:r>
              <w:rPr>
                <w:rFonts w:hint="eastAsia"/>
                <w:sz w:val="24"/>
              </w:rPr>
              <w:t>供应商</w:t>
            </w:r>
            <w:r>
              <w:rPr>
                <w:sz w:val="24"/>
              </w:rPr>
              <w:t>的合法权益情形的；</w:t>
            </w:r>
          </w:p>
        </w:tc>
        <w:tc>
          <w:tcPr>
            <w:tcW w:w="979" w:type="pct"/>
            <w:shd w:val="clear" w:color="000000" w:fill="FFFFFF"/>
            <w:vAlign w:val="center"/>
          </w:tcPr>
          <w:p w14:paraId="54075FCF">
            <w:pPr>
              <w:widowControl/>
              <w:jc w:val="center"/>
              <w:rPr>
                <w:kern w:val="0"/>
                <w:sz w:val="24"/>
              </w:rPr>
            </w:pPr>
            <w:r>
              <w:rPr>
                <w:rFonts w:hint="eastAsia"/>
                <w:kern w:val="0"/>
                <w:sz w:val="24"/>
              </w:rPr>
              <w:t>不允许</w:t>
            </w:r>
          </w:p>
        </w:tc>
      </w:tr>
      <w:tr w14:paraId="48E2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254CA4B2">
            <w:pPr>
              <w:widowControl/>
              <w:jc w:val="center"/>
              <w:rPr>
                <w:kern w:val="0"/>
                <w:sz w:val="24"/>
              </w:rPr>
            </w:pPr>
            <w:r>
              <w:rPr>
                <w:rFonts w:hint="eastAsia"/>
                <w:kern w:val="0"/>
                <w:sz w:val="24"/>
              </w:rPr>
              <w:t>10</w:t>
            </w:r>
          </w:p>
        </w:tc>
        <w:tc>
          <w:tcPr>
            <w:tcW w:w="869" w:type="pct"/>
            <w:shd w:val="clear" w:color="000000" w:fill="FFFFFF"/>
            <w:vAlign w:val="center"/>
          </w:tcPr>
          <w:p w14:paraId="25DD2946">
            <w:pPr>
              <w:widowControl/>
              <w:jc w:val="left"/>
              <w:rPr>
                <w:kern w:val="0"/>
                <w:sz w:val="24"/>
              </w:rPr>
            </w:pPr>
            <w:r>
              <w:rPr>
                <w:kern w:val="0"/>
                <w:sz w:val="24"/>
              </w:rPr>
              <w:t>串通投标</w:t>
            </w:r>
          </w:p>
        </w:tc>
        <w:tc>
          <w:tcPr>
            <w:tcW w:w="2722" w:type="pct"/>
            <w:shd w:val="clear" w:color="000000" w:fill="FFFFFF"/>
            <w:vAlign w:val="center"/>
          </w:tcPr>
          <w:p w14:paraId="018C07A9">
            <w:pPr>
              <w:widowControl/>
              <w:jc w:val="left"/>
              <w:rPr>
                <w:kern w:val="0"/>
                <w:sz w:val="24"/>
              </w:rPr>
            </w:pPr>
            <w:r>
              <w:rPr>
                <w:rFonts w:hint="eastAsia"/>
                <w:sz w:val="24"/>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投标报价呈规律 性差异；（五）不同供应商的响应文件相互混装；（六）不同供应商的投标保证金从同一单位或者个人的账户转出</w:t>
            </w:r>
            <w:r>
              <w:rPr>
                <w:sz w:val="24"/>
              </w:rPr>
              <w:t>；</w:t>
            </w:r>
          </w:p>
        </w:tc>
        <w:tc>
          <w:tcPr>
            <w:tcW w:w="979" w:type="pct"/>
            <w:shd w:val="clear" w:color="000000" w:fill="FFFFFF"/>
            <w:vAlign w:val="center"/>
          </w:tcPr>
          <w:p w14:paraId="2525289B">
            <w:pPr>
              <w:widowControl/>
              <w:jc w:val="center"/>
              <w:rPr>
                <w:kern w:val="0"/>
                <w:sz w:val="24"/>
              </w:rPr>
            </w:pPr>
            <w:r>
              <w:rPr>
                <w:rFonts w:hint="eastAsia"/>
                <w:kern w:val="0"/>
                <w:sz w:val="24"/>
              </w:rPr>
              <w:t>不允许</w:t>
            </w:r>
          </w:p>
        </w:tc>
      </w:tr>
      <w:tr w14:paraId="17D7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6BE35CBE">
            <w:pPr>
              <w:widowControl/>
              <w:jc w:val="center"/>
              <w:rPr>
                <w:kern w:val="0"/>
                <w:sz w:val="24"/>
              </w:rPr>
            </w:pPr>
            <w:r>
              <w:rPr>
                <w:rFonts w:hint="eastAsia"/>
                <w:kern w:val="0"/>
                <w:sz w:val="24"/>
              </w:rPr>
              <w:t>11</w:t>
            </w:r>
          </w:p>
        </w:tc>
        <w:tc>
          <w:tcPr>
            <w:tcW w:w="869" w:type="pct"/>
            <w:shd w:val="clear" w:color="000000" w:fill="FFFFFF"/>
            <w:vAlign w:val="center"/>
          </w:tcPr>
          <w:p w14:paraId="6502C99C">
            <w:pPr>
              <w:widowControl/>
              <w:jc w:val="left"/>
              <w:rPr>
                <w:kern w:val="0"/>
                <w:sz w:val="24"/>
              </w:rPr>
            </w:pPr>
            <w:r>
              <w:rPr>
                <w:kern w:val="0"/>
                <w:sz w:val="24"/>
              </w:rPr>
              <w:t>附加条件</w:t>
            </w:r>
          </w:p>
        </w:tc>
        <w:tc>
          <w:tcPr>
            <w:tcW w:w="2722" w:type="pct"/>
            <w:shd w:val="clear" w:color="000000" w:fill="FFFFFF"/>
            <w:vAlign w:val="center"/>
          </w:tcPr>
          <w:p w14:paraId="376FA975">
            <w:pPr>
              <w:widowControl/>
              <w:jc w:val="left"/>
              <w:rPr>
                <w:kern w:val="0"/>
                <w:sz w:val="24"/>
              </w:rPr>
            </w:pPr>
            <w:r>
              <w:rPr>
                <w:rFonts w:hint="eastAsia"/>
                <w:kern w:val="0"/>
                <w:sz w:val="24"/>
              </w:rPr>
              <w:t>响应文件未</w:t>
            </w:r>
            <w:r>
              <w:rPr>
                <w:kern w:val="0"/>
                <w:sz w:val="24"/>
              </w:rPr>
              <w:t>含有采购人不能接受的附加条件的；</w:t>
            </w:r>
          </w:p>
        </w:tc>
        <w:tc>
          <w:tcPr>
            <w:tcW w:w="979" w:type="pct"/>
            <w:shd w:val="clear" w:color="000000" w:fill="FFFFFF"/>
            <w:vAlign w:val="center"/>
          </w:tcPr>
          <w:p w14:paraId="20074295">
            <w:pPr>
              <w:widowControl/>
              <w:jc w:val="center"/>
              <w:rPr>
                <w:kern w:val="0"/>
                <w:sz w:val="24"/>
              </w:rPr>
            </w:pPr>
            <w:r>
              <w:rPr>
                <w:rFonts w:hint="eastAsia"/>
                <w:kern w:val="0"/>
                <w:sz w:val="24"/>
              </w:rPr>
              <w:t>不允许</w:t>
            </w:r>
          </w:p>
        </w:tc>
      </w:tr>
      <w:tr w14:paraId="0395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29" w:type="pct"/>
            <w:shd w:val="clear" w:color="000000" w:fill="FFFFFF"/>
            <w:vAlign w:val="center"/>
          </w:tcPr>
          <w:p w14:paraId="774EFF12">
            <w:pPr>
              <w:widowControl/>
              <w:jc w:val="center"/>
              <w:rPr>
                <w:kern w:val="0"/>
                <w:sz w:val="24"/>
              </w:rPr>
            </w:pPr>
            <w:r>
              <w:rPr>
                <w:rFonts w:hint="eastAsia"/>
                <w:kern w:val="0"/>
                <w:sz w:val="24"/>
              </w:rPr>
              <w:t>12</w:t>
            </w:r>
          </w:p>
        </w:tc>
        <w:tc>
          <w:tcPr>
            <w:tcW w:w="869" w:type="pct"/>
            <w:shd w:val="clear" w:color="000000" w:fill="FFFFFF"/>
            <w:vAlign w:val="center"/>
          </w:tcPr>
          <w:p w14:paraId="18F0EB29">
            <w:pPr>
              <w:widowControl/>
              <w:jc w:val="left"/>
              <w:rPr>
                <w:kern w:val="0"/>
                <w:sz w:val="24"/>
              </w:rPr>
            </w:pPr>
            <w:r>
              <w:rPr>
                <w:kern w:val="0"/>
                <w:sz w:val="24"/>
              </w:rPr>
              <w:t>其他无效情形</w:t>
            </w:r>
          </w:p>
        </w:tc>
        <w:tc>
          <w:tcPr>
            <w:tcW w:w="2722" w:type="pct"/>
            <w:shd w:val="clear" w:color="000000" w:fill="FFFFFF"/>
            <w:vAlign w:val="center"/>
          </w:tcPr>
          <w:p w14:paraId="73AF4DCE">
            <w:pPr>
              <w:widowControl/>
              <w:jc w:val="left"/>
              <w:rPr>
                <w:kern w:val="0"/>
                <w:sz w:val="24"/>
              </w:rPr>
            </w:pPr>
            <w:r>
              <w:rPr>
                <w:rFonts w:hint="eastAsia"/>
                <w:sz w:val="24"/>
              </w:rPr>
              <w:t>供应商</w:t>
            </w:r>
            <w:r>
              <w:rPr>
                <w:sz w:val="24"/>
              </w:rPr>
              <w:t>、</w:t>
            </w:r>
            <w:r>
              <w:rPr>
                <w:rFonts w:hint="eastAsia"/>
                <w:sz w:val="24"/>
              </w:rPr>
              <w:t>响应文件不存在</w:t>
            </w:r>
            <w:r>
              <w:rPr>
                <w:sz w:val="24"/>
              </w:rPr>
              <w:t>不符合法律、法规和</w:t>
            </w:r>
            <w:r>
              <w:rPr>
                <w:rFonts w:hint="eastAsia"/>
                <w:sz w:val="24"/>
              </w:rPr>
              <w:t>竞争性磋商文件</w:t>
            </w:r>
            <w:r>
              <w:rPr>
                <w:sz w:val="24"/>
              </w:rPr>
              <w:t>规定的其他无效情形。</w:t>
            </w:r>
          </w:p>
        </w:tc>
        <w:tc>
          <w:tcPr>
            <w:tcW w:w="979" w:type="pct"/>
            <w:shd w:val="clear" w:color="000000" w:fill="FFFFFF"/>
            <w:vAlign w:val="center"/>
          </w:tcPr>
          <w:p w14:paraId="23D1DFAD">
            <w:pPr>
              <w:widowControl/>
              <w:jc w:val="center"/>
              <w:rPr>
                <w:kern w:val="0"/>
                <w:sz w:val="24"/>
              </w:rPr>
            </w:pPr>
            <w:r>
              <w:rPr>
                <w:rFonts w:hint="eastAsia"/>
                <w:kern w:val="0"/>
                <w:sz w:val="24"/>
              </w:rPr>
              <w:t>不允许</w:t>
            </w:r>
          </w:p>
        </w:tc>
      </w:tr>
    </w:tbl>
    <w:p w14:paraId="649C759A">
      <w:pPr>
        <w:tabs>
          <w:tab w:val="left" w:pos="900"/>
          <w:tab w:val="left" w:pos="1080"/>
          <w:tab w:val="left" w:pos="1589"/>
        </w:tabs>
        <w:snapToGrid w:val="0"/>
        <w:spacing w:line="360" w:lineRule="auto"/>
        <w:rPr>
          <w:rFonts w:eastAsiaTheme="minorEastAsia"/>
          <w:sz w:val="24"/>
        </w:rPr>
      </w:pPr>
    </w:p>
    <w:p w14:paraId="09DECB74">
      <w:pPr>
        <w:numPr>
          <w:ilvl w:val="0"/>
          <w:numId w:val="10"/>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14:paraId="079BD259">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158BAC8C">
      <w:pPr>
        <w:numPr>
          <w:ilvl w:val="1"/>
          <w:numId w:val="10"/>
        </w:numPr>
        <w:tabs>
          <w:tab w:val="left" w:pos="1080"/>
          <w:tab w:val="left" w:pos="1872"/>
        </w:tabs>
        <w:snapToGrid w:val="0"/>
        <w:spacing w:line="360" w:lineRule="auto"/>
        <w:ind w:left="1077" w:hanging="720"/>
        <w:rPr>
          <w:rFonts w:eastAsiaTheme="minorEastAsia"/>
          <w:sz w:val="24"/>
        </w:rPr>
      </w:pPr>
      <w:r>
        <w:rPr>
          <w:rFonts w:hint="eastAsia" w:eastAsiaTheme="minor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0CBF952A">
      <w:pPr>
        <w:numPr>
          <w:ilvl w:val="1"/>
          <w:numId w:val="10"/>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对磋商文件作出的实质性变动是磋商文件的有效组成部分，磋商小组应当及时以书面形式同时通知所有参加磋商的供应商。</w:t>
      </w:r>
    </w:p>
    <w:p w14:paraId="293EECB2">
      <w:pPr>
        <w:numPr>
          <w:ilvl w:val="1"/>
          <w:numId w:val="10"/>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hint="eastAsia" w:eastAsiaTheme="minorEastAsia"/>
          <w:kern w:val="0"/>
          <w:sz w:val="24"/>
        </w:rPr>
        <w:t>）或授权代表签字或者加盖公章。由授权代表签字的，应当附授权委托书。供应商为自然人的，应当由本人签字并附身份证明。</w:t>
      </w:r>
    </w:p>
    <w:p w14:paraId="76C9DCDF">
      <w:pPr>
        <w:numPr>
          <w:ilvl w:val="1"/>
          <w:numId w:val="10"/>
        </w:numPr>
        <w:tabs>
          <w:tab w:val="left" w:pos="1080"/>
          <w:tab w:val="left" w:pos="1872"/>
        </w:tabs>
        <w:snapToGrid w:val="0"/>
        <w:spacing w:line="360" w:lineRule="auto"/>
        <w:ind w:left="1077" w:hanging="720"/>
        <w:rPr>
          <w:rFonts w:eastAsiaTheme="minorEastAsia"/>
          <w:sz w:val="24"/>
        </w:rPr>
      </w:pPr>
      <w:r>
        <w:rPr>
          <w:rFonts w:hint="eastAsia" w:eastAsiaTheme="minorEastAsia"/>
          <w:sz w:val="24"/>
        </w:rPr>
        <w:t>响应文件的澄清、说明或者更正：</w:t>
      </w:r>
    </w:p>
    <w:p w14:paraId="1047E978">
      <w:pPr>
        <w:numPr>
          <w:ilvl w:val="2"/>
          <w:numId w:val="10"/>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0C89B45F">
      <w:pPr>
        <w:numPr>
          <w:ilvl w:val="2"/>
          <w:numId w:val="10"/>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磋商小组对响应文件进行审查，如发现供应商提交的响应文件存在不满足《符合性审查要求》的内容，如属于表中“不允许”澄清、说明或者更正的内容，则供应商响应文件按</w:t>
      </w:r>
      <w:r>
        <w:rPr>
          <w:rFonts w:eastAsiaTheme="minorEastAsia"/>
          <w:b/>
          <w:sz w:val="24"/>
        </w:rPr>
        <w:t>无效处理</w:t>
      </w:r>
      <w:r>
        <w:rPr>
          <w:rFonts w:eastAsiaTheme="minor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08EA03A5">
      <w:pPr>
        <w:numPr>
          <w:ilvl w:val="2"/>
          <w:numId w:val="10"/>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171A37D8">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15B19745">
      <w:pPr>
        <w:numPr>
          <w:ilvl w:val="1"/>
          <w:numId w:val="10"/>
        </w:numPr>
        <w:tabs>
          <w:tab w:val="left" w:pos="1080"/>
          <w:tab w:val="left" w:pos="1872"/>
        </w:tabs>
        <w:snapToGrid w:val="0"/>
        <w:spacing w:line="360" w:lineRule="auto"/>
        <w:ind w:left="1077" w:hanging="720"/>
        <w:rPr>
          <w:rFonts w:eastAsiaTheme="minorEastAsia"/>
          <w:snapToGrid w:val="0"/>
          <w:sz w:val="24"/>
        </w:rPr>
      </w:pPr>
      <w:bookmarkStart w:id="641" w:name="_Hlk220085436"/>
      <w:r>
        <w:rPr>
          <w:rFonts w:hint="eastAsia" w:eastAsiaTheme="minorEastAsia"/>
          <w:snapToGrid w:val="0"/>
          <w:sz w:val="24"/>
        </w:rPr>
        <w:t>异常低价处理</w:t>
      </w:r>
    </w:p>
    <w:p w14:paraId="478CE849">
      <w:pPr>
        <w:numPr>
          <w:ilvl w:val="2"/>
          <w:numId w:val="10"/>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63F7EFA4">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hint="eastAsia" w:eastAsiaTheme="minorEastAsia"/>
          <w:sz w:val="24"/>
          <w:u w:val="single"/>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hint="eastAsia" w:eastAsiaTheme="minorEastAsia"/>
          <w:sz w:val="24"/>
          <w:u w:val="single"/>
        </w:rPr>
        <w:t>50</w:t>
      </w:r>
      <w:r>
        <w:rPr>
          <w:rFonts w:eastAsiaTheme="minorEastAsia"/>
          <w:sz w:val="24"/>
        </w:rPr>
        <w:t>%</w:t>
      </w:r>
      <w:r>
        <w:rPr>
          <w:rFonts w:hint="eastAsia" w:eastAsiaTheme="minorEastAsia"/>
          <w:sz w:val="24"/>
        </w:rPr>
        <w:t>；</w:t>
      </w:r>
    </w:p>
    <w:p w14:paraId="73DF0E28">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hint="eastAsia" w:eastAsiaTheme="minorEastAsia"/>
          <w:sz w:val="24"/>
          <w:u w:val="single"/>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hint="eastAsia" w:eastAsiaTheme="minorEastAsia"/>
          <w:sz w:val="24"/>
          <w:u w:val="single"/>
        </w:rPr>
        <w:t>50</w:t>
      </w:r>
      <w:r>
        <w:rPr>
          <w:rFonts w:eastAsiaTheme="minorEastAsia"/>
          <w:sz w:val="24"/>
        </w:rPr>
        <w:t>%</w:t>
      </w:r>
      <w:r>
        <w:rPr>
          <w:rFonts w:hint="eastAsia" w:eastAsiaTheme="minorEastAsia"/>
          <w:sz w:val="24"/>
        </w:rPr>
        <w:t>；</w:t>
      </w:r>
    </w:p>
    <w:p w14:paraId="02CAA443">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hint="eastAsia" w:eastAsiaTheme="minorEastAsia"/>
          <w:sz w:val="24"/>
          <w:u w:val="single"/>
        </w:rPr>
        <w:t>45</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hint="eastAsia" w:eastAsiaTheme="minorEastAsia"/>
          <w:sz w:val="24"/>
          <w:u w:val="single"/>
        </w:rPr>
        <w:t>45</w:t>
      </w:r>
      <w:r>
        <w:rPr>
          <w:rFonts w:eastAsiaTheme="minorEastAsia"/>
          <w:sz w:val="24"/>
        </w:rPr>
        <w:t>%</w:t>
      </w:r>
      <w:r>
        <w:rPr>
          <w:rFonts w:hint="eastAsia" w:eastAsiaTheme="minorEastAsia"/>
          <w:sz w:val="24"/>
        </w:rPr>
        <w:t>；未设定最高限价的采购项目，以采购项目预算金额作为最高限价；</w:t>
      </w:r>
    </w:p>
    <w:p w14:paraId="77E628FB">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014C91E1">
      <w:pPr>
        <w:numPr>
          <w:ilvl w:val="2"/>
          <w:numId w:val="10"/>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14:paraId="12B61988">
      <w:pPr>
        <w:numPr>
          <w:ilvl w:val="2"/>
          <w:numId w:val="10"/>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21DAD23">
      <w:pPr>
        <w:numPr>
          <w:ilvl w:val="2"/>
          <w:numId w:val="10"/>
        </w:numPr>
        <w:snapToGrid w:val="0"/>
        <w:spacing w:line="360" w:lineRule="auto"/>
        <w:rPr>
          <w:rFonts w:eastAsiaTheme="minorEastAsia"/>
          <w:sz w:val="24"/>
        </w:rPr>
      </w:pPr>
      <w:bookmarkStart w:id="642"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42"/>
      <w:r>
        <w:rPr>
          <w:rFonts w:hint="eastAsia" w:eastAsiaTheme="minorEastAsia"/>
          <w:sz w:val="24"/>
        </w:rPr>
        <w:t>。</w:t>
      </w:r>
      <w:bookmarkEnd w:id="641"/>
    </w:p>
    <w:p w14:paraId="680CA72B">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443C665D">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14:paraId="67C1ABAC">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319C9BE2">
      <w:pPr>
        <w:numPr>
          <w:ilvl w:val="0"/>
          <w:numId w:val="10"/>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14:paraId="66BB5747">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1104A0FA">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14:paraId="2757A81F">
      <w:pPr>
        <w:numPr>
          <w:ilvl w:val="2"/>
          <w:numId w:val="10"/>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14:paraId="49E6E712">
      <w:pPr>
        <w:tabs>
          <w:tab w:val="left" w:pos="1080"/>
          <w:tab w:val="left" w:pos="1589"/>
          <w:tab w:val="left" w:pos="2035"/>
          <w:tab w:val="left" w:pos="2114"/>
        </w:tabs>
        <w:snapToGrid w:val="0"/>
        <w:spacing w:line="360" w:lineRule="auto"/>
        <w:ind w:left="2035"/>
        <w:rPr>
          <w:rFonts w:eastAsiaTheme="minorEastAsia"/>
          <w:sz w:val="24"/>
          <w:u w:val="single"/>
        </w:rPr>
      </w:pPr>
      <w:r>
        <w:rPr>
          <w:rFonts w:hint="eastAsia" w:eastAsiaTheme="minorEastAsia"/>
          <w:sz w:val="24"/>
        </w:rPr>
        <w:t>□</w:t>
      </w:r>
      <w:r>
        <w:rPr>
          <w:rFonts w:eastAsiaTheme="minorEastAsia"/>
          <w:sz w:val="24"/>
        </w:rPr>
        <w:t>有，具体规定为：___________</w:t>
      </w:r>
    </w:p>
    <w:p w14:paraId="4BCAB304">
      <w:pPr>
        <w:tabs>
          <w:tab w:val="left" w:pos="1080"/>
          <w:tab w:val="left" w:pos="1589"/>
          <w:tab w:val="left" w:pos="2035"/>
          <w:tab w:val="left" w:pos="2114"/>
        </w:tabs>
        <w:snapToGrid w:val="0"/>
        <w:spacing w:line="360" w:lineRule="auto"/>
        <w:ind w:left="2035"/>
        <w:rPr>
          <w:rFonts w:eastAsiaTheme="minorEastAsia"/>
          <w:sz w:val="24"/>
        </w:rPr>
      </w:pPr>
      <w:r>
        <w:rPr>
          <w:rFonts w:hint="eastAsia" w:eastAsiaTheme="minorEastAsia"/>
          <w:sz w:val="24"/>
        </w:rPr>
        <w:t>■</w:t>
      </w:r>
      <w:r>
        <w:rPr>
          <w:rFonts w:eastAsiaTheme="minorEastAsia"/>
          <w:sz w:val="24"/>
        </w:rPr>
        <w:t>无，按下述3.2.2-3.2.5项规定修正。</w:t>
      </w:r>
    </w:p>
    <w:p w14:paraId="39FEB1C3">
      <w:pPr>
        <w:numPr>
          <w:ilvl w:val="2"/>
          <w:numId w:val="10"/>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大写金额和小写金额不一致的，以大写金额为准；</w:t>
      </w:r>
    </w:p>
    <w:p w14:paraId="43D99D00">
      <w:pPr>
        <w:numPr>
          <w:ilvl w:val="2"/>
          <w:numId w:val="10"/>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单价金额小数点或者百分比有明显错位的，以总价为准，并修改单价；</w:t>
      </w:r>
    </w:p>
    <w:p w14:paraId="5119B974">
      <w:pPr>
        <w:numPr>
          <w:ilvl w:val="2"/>
          <w:numId w:val="10"/>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总价金额与按单价汇总金额不一致的，以单价金额计算结果为准。</w:t>
      </w:r>
    </w:p>
    <w:p w14:paraId="02948290">
      <w:pPr>
        <w:numPr>
          <w:ilvl w:val="2"/>
          <w:numId w:val="10"/>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14:paraId="65D8B1E0">
      <w:pPr>
        <w:numPr>
          <w:ilvl w:val="2"/>
          <w:numId w:val="10"/>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14:paraId="1CEAA86E">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落实政府采购政策的价格调整：只有符合第二章《供应商须知》4.3条规定情形的，可以享受中小企业扶持政策，用扣除后的价格参加评审；否则，评审时价格不予扣除。</w:t>
      </w:r>
    </w:p>
    <w:p w14:paraId="30909884">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w:t>
      </w:r>
      <w:r>
        <w:rPr>
          <w:rFonts w:hint="eastAsia" w:eastAsiaTheme="minorEastAsia"/>
          <w:sz w:val="24"/>
          <w:u w:val="single"/>
        </w:rPr>
        <w:t>10</w:t>
      </w:r>
      <w:r>
        <w:rPr>
          <w:rFonts w:eastAsiaTheme="minorEastAsia"/>
          <w:sz w:val="24"/>
        </w:rPr>
        <w:t>%的扣除，用扣除后的价格参加评审。</w:t>
      </w:r>
    </w:p>
    <w:p w14:paraId="1190E3DF">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eastAsiaTheme="minorEastAsia"/>
          <w:sz w:val="24"/>
          <w:u w:val="single"/>
        </w:rPr>
        <w:t xml:space="preserve"> /  </w:t>
      </w:r>
      <w:r>
        <w:rPr>
          <w:rFonts w:eastAsiaTheme="minorEastAsia"/>
          <w:sz w:val="24"/>
        </w:rPr>
        <w:t>%的扣除，用扣除后的价格参加评审。</w:t>
      </w:r>
    </w:p>
    <w:p w14:paraId="045F2F68">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14:paraId="2A256E5E">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14:paraId="4123AE8A">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14:textFill>
            <w14:solidFill>
              <w14:schemeClr w14:val="tx1"/>
            </w14:solidFill>
          </w14:textFill>
        </w:rPr>
        <w:t>中小企业参加政府采购活动，应当按照竞争性磋商文件给定的格式出具《中小企业声明函》，否则不得享受相关中小企业扶持政策。</w:t>
      </w:r>
    </w:p>
    <w:p w14:paraId="5D67257B">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0985CBFF">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699D8FB2">
      <w:pPr>
        <w:numPr>
          <w:ilvl w:val="2"/>
          <w:numId w:val="10"/>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14:paraId="090AE37B">
      <w:pPr>
        <w:numPr>
          <w:ilvl w:val="1"/>
          <w:numId w:val="10"/>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71E4BA2F">
      <w:pPr>
        <w:numPr>
          <w:ilvl w:val="2"/>
          <w:numId w:val="10"/>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208C712A">
      <w:pPr>
        <w:numPr>
          <w:ilvl w:val="2"/>
          <w:numId w:val="10"/>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FE4998F">
      <w:pPr>
        <w:numPr>
          <w:ilvl w:val="2"/>
          <w:numId w:val="10"/>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5ECD7B8D">
      <w:pPr>
        <w:numPr>
          <w:ilvl w:val="0"/>
          <w:numId w:val="10"/>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7F43A101">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14:paraId="147F2312">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hAnsi="Segoe UI Symbol" w:cs="Segoe UI Symbol" w:eastAsiaTheme="minorEastAsia"/>
          <w:sz w:val="24"/>
        </w:rPr>
        <w:t>★</w:t>
      </w:r>
      <w:r>
        <w:rPr>
          <w:rFonts w:eastAsiaTheme="minorEastAsia"/>
          <w:sz w:val="24"/>
        </w:rPr>
        <w:t>号条款或磋商文件技术指标超出磋商文件《采购需求》中主要技术参数允许偏差的最大范围的（如有）；</w:t>
      </w:r>
    </w:p>
    <w:p w14:paraId="51AFBF3A">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14:paraId="5711FFA0">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如供应商的最后报价超过竞争性磋商文件中规定的项目/采购包预算金额或者项目/采购包最高限价的；</w:t>
      </w:r>
    </w:p>
    <w:p w14:paraId="6888874F">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5180B6D5">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14:paraId="068CC512">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其他：</w:t>
      </w:r>
      <w:r>
        <w:rPr>
          <w:rFonts w:hint="eastAsia" w:eastAsiaTheme="minorEastAsia"/>
          <w:sz w:val="24"/>
          <w:u w:val="single"/>
        </w:rPr>
        <w:t xml:space="preserve"> /  </w:t>
      </w:r>
      <w:r>
        <w:rPr>
          <w:rFonts w:eastAsiaTheme="minorEastAsia"/>
          <w:sz w:val="24"/>
        </w:rPr>
        <w:t>。</w:t>
      </w:r>
    </w:p>
    <w:bookmarkEnd w:id="624"/>
    <w:bookmarkEnd w:id="625"/>
    <w:p w14:paraId="21CCE6E8">
      <w:pPr>
        <w:numPr>
          <w:ilvl w:val="0"/>
          <w:numId w:val="10"/>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1691B41E">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0E1965F">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14:paraId="33CB6127">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sz w:val="24"/>
          <w:u w:val="single"/>
        </w:rPr>
        <w:t>优先采购国家公布的节能清单</w:t>
      </w:r>
      <w:r>
        <w:rPr>
          <w:sz w:val="24"/>
          <w:u w:val="single"/>
        </w:rPr>
        <w:t>或环境标志清单</w:t>
      </w:r>
      <w:r>
        <w:rPr>
          <w:rFonts w:hint="eastAsia"/>
          <w:sz w:val="24"/>
          <w:u w:val="single"/>
        </w:rPr>
        <w:t>中的产品</w:t>
      </w:r>
      <w:r>
        <w:rPr>
          <w:rFonts w:eastAsiaTheme="minorEastAsia"/>
          <w:sz w:val="24"/>
        </w:rPr>
        <w:t>。</w:t>
      </w:r>
    </w:p>
    <w:p w14:paraId="75579B8E">
      <w:pPr>
        <w:numPr>
          <w:ilvl w:val="0"/>
          <w:numId w:val="10"/>
        </w:numPr>
        <w:tabs>
          <w:tab w:val="left" w:pos="360"/>
        </w:tabs>
        <w:snapToGrid w:val="0"/>
        <w:spacing w:line="360" w:lineRule="auto"/>
        <w:outlineLvl w:val="1"/>
        <w:rPr>
          <w:rFonts w:eastAsiaTheme="minorEastAsia"/>
          <w:sz w:val="24"/>
        </w:rPr>
      </w:pPr>
      <w:r>
        <w:rPr>
          <w:rFonts w:eastAsiaTheme="minorEastAsia"/>
          <w:sz w:val="24"/>
        </w:rPr>
        <w:t>确定</w:t>
      </w:r>
      <w:bookmarkStart w:id="643" w:name="_Toc151193716"/>
      <w:bookmarkStart w:id="644" w:name="_Toc151193934"/>
      <w:bookmarkStart w:id="645" w:name="_Toc151193644"/>
      <w:bookmarkStart w:id="646" w:name="_Toc265228384"/>
      <w:bookmarkStart w:id="647" w:name="_Toc150509297"/>
      <w:bookmarkStart w:id="648" w:name="_Toc226965819"/>
      <w:bookmarkStart w:id="649" w:name="_Toc127151747"/>
      <w:bookmarkStart w:id="650" w:name="_Toc127151546"/>
      <w:bookmarkStart w:id="651" w:name="_Toc164229241"/>
      <w:bookmarkStart w:id="652" w:name="_Toc164608815"/>
      <w:bookmarkStart w:id="653" w:name="_Toc164229387"/>
      <w:bookmarkStart w:id="654" w:name="_Toc151193860"/>
      <w:bookmarkStart w:id="655" w:name="_Toc151193788"/>
      <w:bookmarkStart w:id="656" w:name="_Toc151190173"/>
      <w:bookmarkStart w:id="657" w:name="_Toc305158814"/>
      <w:bookmarkStart w:id="658" w:name="_Toc520356170"/>
      <w:bookmarkStart w:id="659" w:name="_Toc150774646"/>
      <w:bookmarkStart w:id="660" w:name="_Toc164608660"/>
      <w:bookmarkStart w:id="661" w:name="_Toc142311048"/>
      <w:bookmarkStart w:id="662" w:name="_Ref467307010"/>
      <w:bookmarkStart w:id="663" w:name="_Toc195842911"/>
      <w:bookmarkStart w:id="664" w:name="_Toc264969236"/>
      <w:bookmarkStart w:id="665" w:name="_Toc226337242"/>
      <w:bookmarkStart w:id="666" w:name="_Toc150480784"/>
      <w:bookmarkStart w:id="667" w:name="_Toc305158888"/>
      <w:bookmarkStart w:id="668" w:name="_Toc150774751"/>
      <w:bookmarkStart w:id="669" w:name="_Toc149720839"/>
      <w:bookmarkStart w:id="670" w:name="_Toc127161460"/>
      <w:bookmarkStart w:id="671" w:name="_Toc164351640"/>
      <w:bookmarkStart w:id="672" w:name="_Toc226965736"/>
      <w:bookmarkStart w:id="673" w:name="_Toc226309790"/>
      <w:r>
        <w:rPr>
          <w:rFonts w:eastAsiaTheme="minorEastAsia"/>
          <w:sz w:val="24"/>
        </w:rPr>
        <w:t>成交候选人名单</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2DED0DB2">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5F276920">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rFonts w:hint="eastAsia" w:eastAsiaTheme="minorEastAsia"/>
          <w:kern w:val="0"/>
          <w:sz w:val="24"/>
          <w:szCs w:val="20"/>
          <w:u w:val="single"/>
        </w:rPr>
        <w:t xml:space="preserve"> </w:t>
      </w:r>
      <w:r>
        <w:rPr>
          <w:rFonts w:hint="eastAsia" w:eastAsiaTheme="minorEastAsia"/>
          <w:sz w:val="24"/>
          <w:u w:val="single"/>
        </w:rPr>
        <w:t xml:space="preserve">3 </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0339ED96">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14:paraId="6AB50FE4">
      <w:pPr>
        <w:numPr>
          <w:ilvl w:val="0"/>
          <w:numId w:val="10"/>
        </w:numPr>
        <w:tabs>
          <w:tab w:val="left" w:pos="360"/>
        </w:tabs>
        <w:snapToGrid w:val="0"/>
        <w:spacing w:line="360" w:lineRule="auto"/>
        <w:outlineLvl w:val="1"/>
        <w:rPr>
          <w:rFonts w:eastAsiaTheme="minorEastAsia"/>
          <w:sz w:val="24"/>
        </w:rPr>
      </w:pPr>
      <w:r>
        <w:rPr>
          <w:rFonts w:eastAsiaTheme="minorEastAsia"/>
          <w:sz w:val="24"/>
        </w:rPr>
        <w:t>报告违法行为</w:t>
      </w:r>
    </w:p>
    <w:p w14:paraId="513BF261">
      <w:pPr>
        <w:widowControl/>
        <w:numPr>
          <w:ilvl w:val="1"/>
          <w:numId w:val="10"/>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24BF7576">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二、评审标准</w:t>
      </w:r>
    </w:p>
    <w:tbl>
      <w:tblPr>
        <w:tblStyle w:val="4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030"/>
        <w:gridCol w:w="633"/>
        <w:gridCol w:w="6137"/>
      </w:tblGrid>
      <w:tr w14:paraId="71E8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23" w:type="pct"/>
            <w:gridSpan w:val="2"/>
            <w:tcBorders>
              <w:top w:val="single" w:color="auto" w:sz="4" w:space="0"/>
              <w:left w:val="single" w:color="auto" w:sz="4" w:space="0"/>
              <w:bottom w:val="single" w:color="auto" w:sz="4" w:space="0"/>
              <w:right w:val="single" w:color="auto" w:sz="4" w:space="0"/>
            </w:tcBorders>
            <w:vAlign w:val="center"/>
          </w:tcPr>
          <w:p w14:paraId="1E47AA65">
            <w:pPr>
              <w:contextualSpacing/>
              <w:jc w:val="center"/>
              <w:rPr>
                <w:rFonts w:hint="eastAsia" w:ascii="宋体" w:hAnsi="宋体" w:cs="宋体"/>
                <w:b/>
                <w:bCs/>
                <w:szCs w:val="21"/>
              </w:rPr>
            </w:pPr>
            <w:r>
              <w:rPr>
                <w:rFonts w:hint="eastAsia" w:ascii="宋体" w:hAnsi="宋体" w:cs="宋体"/>
                <w:b/>
                <w:bCs/>
                <w:szCs w:val="21"/>
              </w:rPr>
              <w:t>评审内容</w:t>
            </w:r>
          </w:p>
        </w:tc>
        <w:tc>
          <w:tcPr>
            <w:tcW w:w="372" w:type="pct"/>
            <w:tcBorders>
              <w:top w:val="single" w:color="auto" w:sz="4" w:space="0"/>
              <w:left w:val="single" w:color="auto" w:sz="4" w:space="0"/>
              <w:bottom w:val="single" w:color="auto" w:sz="4" w:space="0"/>
              <w:right w:val="single" w:color="auto" w:sz="4" w:space="0"/>
            </w:tcBorders>
            <w:vAlign w:val="center"/>
          </w:tcPr>
          <w:p w14:paraId="036A6557">
            <w:pPr>
              <w:contextualSpacing/>
              <w:jc w:val="center"/>
              <w:rPr>
                <w:rFonts w:hint="eastAsia" w:ascii="宋体" w:hAnsi="宋体" w:cs="宋体"/>
                <w:b/>
                <w:bCs/>
                <w:szCs w:val="21"/>
              </w:rPr>
            </w:pPr>
            <w:r>
              <w:rPr>
                <w:rFonts w:hint="eastAsia" w:ascii="宋体" w:hAnsi="宋体" w:cs="宋体"/>
                <w:b/>
                <w:bCs/>
                <w:szCs w:val="21"/>
              </w:rPr>
              <w:t>分值</w:t>
            </w:r>
          </w:p>
        </w:tc>
        <w:tc>
          <w:tcPr>
            <w:tcW w:w="3604" w:type="pct"/>
            <w:tcBorders>
              <w:top w:val="single" w:color="auto" w:sz="4" w:space="0"/>
              <w:left w:val="single" w:color="auto" w:sz="4" w:space="0"/>
              <w:bottom w:val="single" w:color="auto" w:sz="4" w:space="0"/>
              <w:right w:val="single" w:color="auto" w:sz="4" w:space="0"/>
            </w:tcBorders>
            <w:vAlign w:val="center"/>
          </w:tcPr>
          <w:p w14:paraId="5C939178">
            <w:pPr>
              <w:contextualSpacing/>
              <w:jc w:val="center"/>
              <w:rPr>
                <w:rFonts w:hint="eastAsia" w:ascii="宋体" w:hAnsi="宋体" w:cs="宋体"/>
                <w:b/>
                <w:bCs/>
                <w:szCs w:val="21"/>
              </w:rPr>
            </w:pPr>
            <w:r>
              <w:rPr>
                <w:rFonts w:hint="eastAsia" w:ascii="宋体" w:hAnsi="宋体" w:cs="宋体"/>
                <w:b/>
                <w:bCs/>
                <w:szCs w:val="21"/>
              </w:rPr>
              <w:t>评分标准</w:t>
            </w:r>
          </w:p>
        </w:tc>
      </w:tr>
      <w:tr w14:paraId="6256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23" w:type="pct"/>
            <w:gridSpan w:val="2"/>
            <w:tcBorders>
              <w:top w:val="single" w:color="auto" w:sz="4" w:space="0"/>
              <w:left w:val="single" w:color="auto" w:sz="4" w:space="0"/>
              <w:bottom w:val="single" w:color="auto" w:sz="4" w:space="0"/>
              <w:right w:val="single" w:color="auto" w:sz="4" w:space="0"/>
            </w:tcBorders>
            <w:vAlign w:val="center"/>
          </w:tcPr>
          <w:p w14:paraId="0EFE3290">
            <w:pPr>
              <w:contextualSpacing/>
              <w:jc w:val="center"/>
              <w:rPr>
                <w:rFonts w:hint="eastAsia" w:ascii="宋体" w:hAnsi="宋体" w:cs="宋体"/>
                <w:szCs w:val="21"/>
              </w:rPr>
            </w:pPr>
            <w:r>
              <w:rPr>
                <w:rFonts w:hint="eastAsia" w:ascii="宋体" w:hAnsi="宋体" w:cs="宋体"/>
                <w:b/>
                <w:bCs/>
                <w:szCs w:val="21"/>
              </w:rPr>
              <w:t>报价(15分)</w:t>
            </w:r>
          </w:p>
        </w:tc>
        <w:tc>
          <w:tcPr>
            <w:tcW w:w="372" w:type="pct"/>
            <w:tcBorders>
              <w:top w:val="single" w:color="auto" w:sz="4" w:space="0"/>
              <w:left w:val="single" w:color="auto" w:sz="4" w:space="0"/>
              <w:bottom w:val="single" w:color="auto" w:sz="4" w:space="0"/>
              <w:right w:val="single" w:color="auto" w:sz="4" w:space="0"/>
            </w:tcBorders>
            <w:vAlign w:val="center"/>
          </w:tcPr>
          <w:p w14:paraId="125C463A">
            <w:pPr>
              <w:contextualSpacing/>
              <w:jc w:val="center"/>
              <w:rPr>
                <w:rFonts w:hint="eastAsia" w:ascii="宋体" w:hAnsi="宋体" w:cs="宋体"/>
                <w:szCs w:val="21"/>
              </w:rPr>
            </w:pPr>
            <w:r>
              <w:rPr>
                <w:rFonts w:hint="eastAsia" w:ascii="宋体" w:hAnsi="宋体" w:cs="宋体"/>
                <w:szCs w:val="21"/>
              </w:rPr>
              <w:t>15</w:t>
            </w:r>
          </w:p>
        </w:tc>
        <w:tc>
          <w:tcPr>
            <w:tcW w:w="3604" w:type="pct"/>
            <w:tcBorders>
              <w:top w:val="single" w:color="auto" w:sz="4" w:space="0"/>
              <w:left w:val="single" w:color="auto" w:sz="4" w:space="0"/>
              <w:bottom w:val="single" w:color="auto" w:sz="4" w:space="0"/>
              <w:right w:val="single" w:color="auto" w:sz="4" w:space="0"/>
            </w:tcBorders>
            <w:vAlign w:val="center"/>
          </w:tcPr>
          <w:p w14:paraId="02B6E094">
            <w:pPr>
              <w:pStyle w:val="251"/>
              <w:rPr>
                <w:rFonts w:hint="eastAsia" w:ascii="宋体" w:hAnsi="宋体" w:cs="宋体"/>
                <w:szCs w:val="21"/>
              </w:rPr>
            </w:pPr>
            <w:r>
              <w:rPr>
                <w:rFonts w:hint="eastAsia" w:ascii="宋体" w:hAnsi="宋体" w:cs="宋体"/>
                <w:szCs w:val="21"/>
              </w:rPr>
              <w:t>满足磋商文件要求的最后报价最低的供应商的价格为磋商基准价，其价格分为满分。其他供应商的价格分统一按照下列公式计算：</w:t>
            </w:r>
          </w:p>
          <w:p w14:paraId="17B66F26">
            <w:pPr>
              <w:pStyle w:val="251"/>
              <w:rPr>
                <w:rFonts w:hint="eastAsia" w:ascii="宋体" w:hAnsi="宋体" w:cs="宋体"/>
                <w:szCs w:val="21"/>
              </w:rPr>
            </w:pPr>
            <w:r>
              <w:rPr>
                <w:rFonts w:hint="eastAsia" w:ascii="宋体" w:hAnsi="宋体" w:cs="宋体"/>
                <w:szCs w:val="21"/>
              </w:rPr>
              <w:t>磋商报价得分=（磋商基准价/最后报价）×分值</w:t>
            </w:r>
          </w:p>
          <w:p w14:paraId="177E96E0">
            <w:pPr>
              <w:pStyle w:val="251"/>
              <w:rPr>
                <w:rFonts w:hint="eastAsia" w:ascii="宋体" w:hAnsi="宋体" w:cs="宋体"/>
                <w:szCs w:val="21"/>
              </w:rPr>
            </w:pPr>
            <w:r>
              <w:rPr>
                <w:rFonts w:hint="eastAsia" w:ascii="宋体" w:hAnsi="宋体" w:cs="宋体"/>
                <w:szCs w:val="21"/>
              </w:rPr>
              <w:t>分值保留小数点后两位。</w:t>
            </w:r>
          </w:p>
          <w:p w14:paraId="3C321AAE">
            <w:pPr>
              <w:pStyle w:val="251"/>
              <w:rPr>
                <w:rFonts w:hint="eastAsia" w:ascii="宋体" w:hAnsi="宋体" w:cs="宋体"/>
                <w:szCs w:val="21"/>
              </w:rPr>
            </w:pPr>
          </w:p>
          <w:p w14:paraId="57F3C9EE">
            <w:pPr>
              <w:pStyle w:val="251"/>
              <w:rPr>
                <w:rFonts w:hint="eastAsia" w:ascii="宋体" w:hAnsi="宋体" w:cs="宋体"/>
                <w:szCs w:val="21"/>
              </w:rPr>
            </w:pPr>
            <w:r>
              <w:rPr>
                <w:rFonts w:hint="eastAsia" w:ascii="宋体" w:hAnsi="宋体" w:cs="宋体"/>
                <w:szCs w:val="21"/>
              </w:rPr>
              <w:t>此处最后报价指经过报价修正，及因落实政府采购政策进行价格调整后的报价，详见第三章《评审方法和评审标准》3.2、3.3及3.4。</w:t>
            </w:r>
          </w:p>
        </w:tc>
      </w:tr>
      <w:tr w14:paraId="3393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18" w:type="pct"/>
            <w:vMerge w:val="restart"/>
            <w:tcBorders>
              <w:top w:val="single" w:color="auto" w:sz="4" w:space="0"/>
              <w:left w:val="single" w:color="auto" w:sz="4" w:space="0"/>
              <w:right w:val="single" w:color="auto" w:sz="4" w:space="0"/>
            </w:tcBorders>
            <w:vAlign w:val="center"/>
          </w:tcPr>
          <w:p w14:paraId="62925A72">
            <w:pPr>
              <w:contextualSpacing/>
              <w:jc w:val="center"/>
              <w:rPr>
                <w:rFonts w:hint="eastAsia" w:ascii="宋体" w:hAnsi="宋体" w:cs="宋体"/>
                <w:b/>
                <w:bCs/>
                <w:szCs w:val="21"/>
              </w:rPr>
            </w:pPr>
            <w:r>
              <w:rPr>
                <w:rFonts w:hint="eastAsia" w:ascii="宋体" w:hAnsi="宋体" w:cs="宋体"/>
                <w:b/>
                <w:bCs/>
                <w:szCs w:val="21"/>
              </w:rPr>
              <w:t>商务</w:t>
            </w:r>
          </w:p>
          <w:p w14:paraId="76CE1C0F">
            <w:pPr>
              <w:contextualSpacing/>
              <w:jc w:val="center"/>
              <w:rPr>
                <w:rFonts w:hint="eastAsia" w:ascii="宋体" w:hAnsi="宋体" w:cs="宋体"/>
                <w:b/>
                <w:bCs/>
                <w:szCs w:val="21"/>
              </w:rPr>
            </w:pPr>
            <w:r>
              <w:rPr>
                <w:rFonts w:hint="eastAsia" w:ascii="宋体" w:hAnsi="宋体" w:cs="宋体"/>
                <w:b/>
                <w:bCs/>
                <w:szCs w:val="21"/>
              </w:rPr>
              <w:t>部分</w:t>
            </w:r>
          </w:p>
          <w:p w14:paraId="778F919E">
            <w:pPr>
              <w:contextualSpacing/>
              <w:jc w:val="center"/>
              <w:rPr>
                <w:rFonts w:hint="eastAsia" w:ascii="宋体" w:hAnsi="宋体" w:cs="宋体"/>
                <w:b/>
                <w:bCs/>
                <w:szCs w:val="21"/>
              </w:rPr>
            </w:pPr>
            <w:r>
              <w:rPr>
                <w:rFonts w:hint="eastAsia" w:ascii="宋体" w:hAnsi="宋体" w:cs="宋体"/>
                <w:b/>
                <w:bCs/>
                <w:szCs w:val="21"/>
              </w:rPr>
              <w:t>16分</w:t>
            </w:r>
          </w:p>
        </w:tc>
        <w:tc>
          <w:tcPr>
            <w:tcW w:w="604" w:type="pct"/>
            <w:tcBorders>
              <w:top w:val="single" w:color="auto" w:sz="4" w:space="0"/>
              <w:left w:val="single" w:color="auto" w:sz="4" w:space="0"/>
              <w:right w:val="single" w:color="auto" w:sz="4" w:space="0"/>
            </w:tcBorders>
            <w:vAlign w:val="center"/>
          </w:tcPr>
          <w:p w14:paraId="7942AA47">
            <w:pPr>
              <w:contextualSpacing/>
              <w:jc w:val="center"/>
              <w:rPr>
                <w:rFonts w:hint="eastAsia" w:ascii="宋体" w:hAnsi="宋体" w:cs="宋体"/>
                <w:szCs w:val="21"/>
              </w:rPr>
            </w:pPr>
            <w:r>
              <w:rPr>
                <w:rFonts w:hint="eastAsia" w:ascii="宋体" w:hAnsi="宋体" w:cs="宋体"/>
                <w:szCs w:val="21"/>
              </w:rPr>
              <w:t>同类项目业绩</w:t>
            </w:r>
          </w:p>
        </w:tc>
        <w:tc>
          <w:tcPr>
            <w:tcW w:w="372" w:type="pct"/>
            <w:tcBorders>
              <w:top w:val="single" w:color="auto" w:sz="4" w:space="0"/>
              <w:left w:val="single" w:color="auto" w:sz="4" w:space="0"/>
              <w:bottom w:val="single" w:color="auto" w:sz="4" w:space="0"/>
              <w:right w:val="single" w:color="auto" w:sz="4" w:space="0"/>
            </w:tcBorders>
            <w:vAlign w:val="center"/>
          </w:tcPr>
          <w:p w14:paraId="4688FDCD">
            <w:pPr>
              <w:contextualSpacing/>
              <w:jc w:val="center"/>
              <w:rPr>
                <w:rFonts w:hint="eastAsia" w:ascii="宋体" w:hAnsi="宋体" w:cs="宋体"/>
                <w:szCs w:val="21"/>
              </w:rPr>
            </w:pPr>
            <w:r>
              <w:rPr>
                <w:rFonts w:hint="eastAsia" w:ascii="宋体" w:hAnsi="宋体" w:cs="宋体"/>
                <w:szCs w:val="21"/>
              </w:rPr>
              <w:t>6</w:t>
            </w:r>
          </w:p>
        </w:tc>
        <w:tc>
          <w:tcPr>
            <w:tcW w:w="3604" w:type="pct"/>
            <w:tcBorders>
              <w:top w:val="single" w:color="auto" w:sz="4" w:space="0"/>
              <w:left w:val="single" w:color="auto" w:sz="4" w:space="0"/>
              <w:bottom w:val="single" w:color="auto" w:sz="4" w:space="0"/>
              <w:right w:val="single" w:color="auto" w:sz="4" w:space="0"/>
            </w:tcBorders>
            <w:vAlign w:val="center"/>
          </w:tcPr>
          <w:p w14:paraId="6E27499C">
            <w:pPr>
              <w:pStyle w:val="251"/>
              <w:rPr>
                <w:rFonts w:hint="eastAsia" w:ascii="宋体" w:hAnsi="宋体" w:cs="宋体"/>
                <w:szCs w:val="21"/>
              </w:rPr>
            </w:pPr>
            <w:r>
              <w:rPr>
                <w:rFonts w:hint="eastAsia" w:ascii="宋体" w:hAnsi="宋体" w:cs="宋体"/>
                <w:szCs w:val="21"/>
              </w:rPr>
              <w:t>供应商近3年（2023年1月1日至今，以合同签订时间为准）具有与本项目同类已完成项目业绩，每提供一个业绩得3分，最多得6分。</w:t>
            </w:r>
          </w:p>
          <w:p w14:paraId="624638BF">
            <w:pPr>
              <w:pStyle w:val="251"/>
              <w:rPr>
                <w:rFonts w:hint="eastAsia" w:ascii="宋体" w:hAnsi="宋体" w:cs="宋体"/>
                <w:szCs w:val="21"/>
              </w:rPr>
            </w:pPr>
            <w:r>
              <w:rPr>
                <w:rFonts w:hint="eastAsia" w:ascii="宋体" w:hAnsi="宋体" w:cs="宋体"/>
                <w:b/>
                <w:bCs/>
                <w:szCs w:val="21"/>
              </w:rPr>
              <w:t>提供合同关键页（包括但不限于封面、工作内容、合同金额、签订时间、盖章签字等）及竣工验收单复印件并加盖公章，否则不得分。</w:t>
            </w:r>
          </w:p>
        </w:tc>
      </w:tr>
      <w:tr w14:paraId="7B47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18" w:type="pct"/>
            <w:vMerge w:val="continue"/>
            <w:tcBorders>
              <w:left w:val="single" w:color="auto" w:sz="4" w:space="0"/>
              <w:right w:val="single" w:color="auto" w:sz="4" w:space="0"/>
            </w:tcBorders>
            <w:vAlign w:val="center"/>
          </w:tcPr>
          <w:p w14:paraId="78D48828">
            <w:pPr>
              <w:contextualSpacing/>
              <w:jc w:val="center"/>
              <w:rPr>
                <w:rFonts w:hint="eastAsia" w:ascii="宋体" w:hAnsi="宋体" w:cs="宋体"/>
                <w:b/>
                <w:bCs/>
                <w:szCs w:val="21"/>
              </w:rPr>
            </w:pPr>
          </w:p>
        </w:tc>
        <w:tc>
          <w:tcPr>
            <w:tcW w:w="604" w:type="pct"/>
            <w:tcBorders>
              <w:top w:val="single" w:color="auto" w:sz="4" w:space="0"/>
              <w:left w:val="single" w:color="auto" w:sz="4" w:space="0"/>
              <w:right w:val="single" w:color="auto" w:sz="4" w:space="0"/>
            </w:tcBorders>
            <w:vAlign w:val="center"/>
          </w:tcPr>
          <w:p w14:paraId="5EC54342">
            <w:pPr>
              <w:contextualSpacing/>
              <w:jc w:val="center"/>
              <w:rPr>
                <w:rFonts w:hint="eastAsia" w:ascii="宋体" w:hAnsi="宋体" w:cs="宋体"/>
                <w:szCs w:val="21"/>
              </w:rPr>
            </w:pPr>
            <w:r>
              <w:rPr>
                <w:rFonts w:hint="eastAsia" w:ascii="宋体" w:hAnsi="宋体" w:cs="宋体"/>
                <w:szCs w:val="21"/>
              </w:rPr>
              <w:t>管理体系认证</w:t>
            </w:r>
          </w:p>
        </w:tc>
        <w:tc>
          <w:tcPr>
            <w:tcW w:w="372" w:type="pct"/>
            <w:tcBorders>
              <w:top w:val="single" w:color="auto" w:sz="4" w:space="0"/>
              <w:left w:val="single" w:color="auto" w:sz="4" w:space="0"/>
              <w:bottom w:val="single" w:color="auto" w:sz="4" w:space="0"/>
              <w:right w:val="single" w:color="auto" w:sz="4" w:space="0"/>
            </w:tcBorders>
            <w:vAlign w:val="center"/>
          </w:tcPr>
          <w:p w14:paraId="52C91F94">
            <w:pPr>
              <w:contextualSpacing/>
              <w:jc w:val="center"/>
              <w:rPr>
                <w:rFonts w:hint="eastAsia" w:ascii="宋体" w:hAnsi="宋体" w:cs="宋体"/>
                <w:szCs w:val="21"/>
              </w:rPr>
            </w:pPr>
            <w:r>
              <w:rPr>
                <w:rFonts w:hint="eastAsia" w:ascii="宋体" w:hAnsi="宋体" w:cs="宋体"/>
                <w:szCs w:val="21"/>
              </w:rPr>
              <w:t>3</w:t>
            </w:r>
          </w:p>
        </w:tc>
        <w:tc>
          <w:tcPr>
            <w:tcW w:w="3604" w:type="pct"/>
            <w:tcBorders>
              <w:top w:val="single" w:color="auto" w:sz="4" w:space="0"/>
              <w:left w:val="single" w:color="auto" w:sz="4" w:space="0"/>
              <w:bottom w:val="single" w:color="auto" w:sz="4" w:space="0"/>
              <w:right w:val="single" w:color="auto" w:sz="4" w:space="0"/>
            </w:tcBorders>
            <w:vAlign w:val="center"/>
          </w:tcPr>
          <w:p w14:paraId="349B0B57">
            <w:pPr>
              <w:pStyle w:val="251"/>
              <w:rPr>
                <w:rFonts w:hint="eastAsia" w:ascii="宋体" w:hAnsi="宋体" w:cs="宋体"/>
                <w:szCs w:val="21"/>
              </w:rPr>
            </w:pPr>
            <w:r>
              <w:rPr>
                <w:rFonts w:hint="eastAsia" w:ascii="宋体" w:hAnsi="宋体" w:cs="宋体"/>
                <w:szCs w:val="21"/>
              </w:rPr>
              <w:t>供应商具有有效期内的质量管理体系认证证书得1分；</w:t>
            </w:r>
          </w:p>
          <w:p w14:paraId="56126ED6">
            <w:pPr>
              <w:pStyle w:val="251"/>
              <w:rPr>
                <w:rFonts w:hint="eastAsia" w:ascii="宋体" w:hAnsi="宋体" w:cs="宋体"/>
                <w:szCs w:val="21"/>
              </w:rPr>
            </w:pPr>
            <w:r>
              <w:rPr>
                <w:rFonts w:hint="eastAsia" w:ascii="宋体" w:hAnsi="宋体" w:cs="宋体"/>
                <w:szCs w:val="21"/>
              </w:rPr>
              <w:t>供应商具有有效期内的环境管理体系认证证书得1分；</w:t>
            </w:r>
          </w:p>
          <w:p w14:paraId="0F01B690">
            <w:pPr>
              <w:pStyle w:val="251"/>
              <w:rPr>
                <w:rFonts w:hint="eastAsia" w:ascii="宋体" w:hAnsi="宋体" w:cs="宋体"/>
                <w:szCs w:val="21"/>
              </w:rPr>
            </w:pPr>
            <w:r>
              <w:rPr>
                <w:rFonts w:hint="eastAsia" w:ascii="宋体" w:hAnsi="宋体" w:cs="宋体"/>
                <w:szCs w:val="21"/>
              </w:rPr>
              <w:t>供应商具有有效期内的职业健康安全管理体系认证证书得1分；</w:t>
            </w:r>
          </w:p>
          <w:p w14:paraId="2356906E">
            <w:pPr>
              <w:rPr>
                <w:rFonts w:hint="eastAsia" w:ascii="宋体" w:hAnsi="宋体" w:cs="宋体"/>
                <w:szCs w:val="21"/>
              </w:rPr>
            </w:pPr>
            <w:r>
              <w:rPr>
                <w:rFonts w:hint="eastAsia" w:ascii="宋体" w:hAnsi="宋体" w:cs="宋体"/>
                <w:b/>
                <w:bCs/>
                <w:szCs w:val="21"/>
              </w:rPr>
              <w:t>须提供有效的证书复印件并加盖供应商公章。未提供得0分。</w:t>
            </w:r>
          </w:p>
        </w:tc>
      </w:tr>
      <w:tr w14:paraId="5C6A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18" w:type="pct"/>
            <w:vMerge w:val="continue"/>
            <w:tcBorders>
              <w:left w:val="single" w:color="auto" w:sz="4" w:space="0"/>
              <w:right w:val="single" w:color="auto" w:sz="4" w:space="0"/>
            </w:tcBorders>
            <w:vAlign w:val="center"/>
          </w:tcPr>
          <w:p w14:paraId="3F54CCBE">
            <w:pPr>
              <w:contextualSpacing/>
              <w:jc w:val="center"/>
              <w:rPr>
                <w:rFonts w:hint="eastAsia" w:ascii="宋体" w:hAnsi="宋体" w:cs="宋体"/>
                <w:b/>
                <w:bCs/>
                <w:szCs w:val="21"/>
              </w:rPr>
            </w:pPr>
          </w:p>
        </w:tc>
        <w:tc>
          <w:tcPr>
            <w:tcW w:w="604" w:type="pct"/>
            <w:tcBorders>
              <w:top w:val="single" w:color="auto" w:sz="4" w:space="0"/>
              <w:left w:val="single" w:color="auto" w:sz="4" w:space="0"/>
              <w:right w:val="single" w:color="auto" w:sz="4" w:space="0"/>
            </w:tcBorders>
            <w:vAlign w:val="center"/>
          </w:tcPr>
          <w:p w14:paraId="1C430FB7">
            <w:pPr>
              <w:contextualSpacing/>
              <w:jc w:val="center"/>
              <w:rPr>
                <w:rFonts w:hint="eastAsia" w:ascii="宋体" w:hAnsi="宋体" w:cs="宋体"/>
                <w:szCs w:val="21"/>
              </w:rPr>
            </w:pPr>
            <w:r>
              <w:rPr>
                <w:rFonts w:hint="eastAsia" w:ascii="宋体" w:hAnsi="宋体" w:cs="宋体"/>
                <w:szCs w:val="21"/>
              </w:rPr>
              <w:t>项目经理</w:t>
            </w:r>
          </w:p>
        </w:tc>
        <w:tc>
          <w:tcPr>
            <w:tcW w:w="372" w:type="pct"/>
            <w:tcBorders>
              <w:top w:val="single" w:color="auto" w:sz="4" w:space="0"/>
              <w:left w:val="single" w:color="auto" w:sz="4" w:space="0"/>
              <w:bottom w:val="single" w:color="auto" w:sz="4" w:space="0"/>
              <w:right w:val="single" w:color="auto" w:sz="4" w:space="0"/>
            </w:tcBorders>
            <w:vAlign w:val="center"/>
          </w:tcPr>
          <w:p w14:paraId="073B47BC">
            <w:pPr>
              <w:contextualSpacing/>
              <w:jc w:val="center"/>
              <w:rPr>
                <w:rFonts w:hint="eastAsia" w:ascii="宋体" w:hAnsi="宋体" w:cs="宋体"/>
                <w:szCs w:val="21"/>
              </w:rPr>
            </w:pPr>
            <w:r>
              <w:rPr>
                <w:rFonts w:hint="eastAsia" w:ascii="宋体" w:hAnsi="宋体" w:cs="宋体"/>
                <w:szCs w:val="21"/>
              </w:rPr>
              <w:t>1</w:t>
            </w:r>
          </w:p>
        </w:tc>
        <w:tc>
          <w:tcPr>
            <w:tcW w:w="3604" w:type="pct"/>
            <w:tcBorders>
              <w:top w:val="single" w:color="auto" w:sz="4" w:space="0"/>
              <w:left w:val="single" w:color="auto" w:sz="4" w:space="0"/>
              <w:bottom w:val="single" w:color="auto" w:sz="4" w:space="0"/>
              <w:right w:val="single" w:color="auto" w:sz="4" w:space="0"/>
            </w:tcBorders>
            <w:vAlign w:val="center"/>
          </w:tcPr>
          <w:p w14:paraId="0373554D">
            <w:pPr>
              <w:pStyle w:val="251"/>
            </w:pPr>
            <w:r>
              <w:rPr>
                <w:rFonts w:hint="eastAsia" w:ascii="宋体" w:hAnsi="宋体" w:cs="宋体"/>
                <w:szCs w:val="21"/>
              </w:rPr>
              <w:t>具有具有中级（含）以上职称，得1分；否则不得分。须提供证明材料并加盖供应商公章</w:t>
            </w:r>
            <w:r>
              <w:rPr>
                <w:rStyle w:val="53"/>
                <w:rFonts w:hint="eastAsia" w:ascii="宋体" w:hAnsi="宋体" w:cs="宋体"/>
              </w:rPr>
              <w:t>。</w:t>
            </w:r>
          </w:p>
        </w:tc>
      </w:tr>
      <w:tr w14:paraId="431E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18" w:type="pct"/>
            <w:vMerge w:val="continue"/>
            <w:tcBorders>
              <w:left w:val="single" w:color="auto" w:sz="4" w:space="0"/>
              <w:right w:val="single" w:color="auto" w:sz="4" w:space="0"/>
            </w:tcBorders>
            <w:vAlign w:val="center"/>
          </w:tcPr>
          <w:p w14:paraId="6B0CCA00">
            <w:pPr>
              <w:contextualSpacing/>
              <w:jc w:val="center"/>
              <w:rPr>
                <w:rFonts w:hint="eastAsia" w:ascii="宋体" w:hAnsi="宋体" w:cs="宋体"/>
                <w:b/>
                <w:bCs/>
                <w:color w:val="FF0000"/>
                <w:szCs w:val="21"/>
              </w:rPr>
            </w:pPr>
          </w:p>
        </w:tc>
        <w:tc>
          <w:tcPr>
            <w:tcW w:w="604" w:type="pct"/>
            <w:tcBorders>
              <w:top w:val="single" w:color="auto" w:sz="4" w:space="0"/>
              <w:left w:val="single" w:color="auto" w:sz="4" w:space="0"/>
              <w:right w:val="single" w:color="auto" w:sz="4" w:space="0"/>
            </w:tcBorders>
            <w:vAlign w:val="center"/>
          </w:tcPr>
          <w:p w14:paraId="2FBEAAFF">
            <w:pPr>
              <w:contextualSpacing/>
              <w:jc w:val="center"/>
              <w:rPr>
                <w:rFonts w:hint="eastAsia" w:ascii="宋体" w:hAnsi="宋体" w:cs="宋体"/>
                <w:szCs w:val="21"/>
              </w:rPr>
            </w:pPr>
            <w:r>
              <w:rPr>
                <w:rFonts w:hint="eastAsia" w:ascii="宋体" w:hAnsi="宋体" w:cs="宋体"/>
                <w:szCs w:val="21"/>
              </w:rPr>
              <w:t>技术负责人</w:t>
            </w:r>
          </w:p>
        </w:tc>
        <w:tc>
          <w:tcPr>
            <w:tcW w:w="372" w:type="pct"/>
            <w:tcBorders>
              <w:top w:val="single" w:color="auto" w:sz="4" w:space="0"/>
              <w:left w:val="single" w:color="auto" w:sz="4" w:space="0"/>
              <w:bottom w:val="single" w:color="auto" w:sz="4" w:space="0"/>
              <w:right w:val="single" w:color="auto" w:sz="4" w:space="0"/>
            </w:tcBorders>
            <w:vAlign w:val="center"/>
          </w:tcPr>
          <w:p w14:paraId="74A83C17">
            <w:pPr>
              <w:contextualSpacing/>
              <w:jc w:val="center"/>
              <w:rPr>
                <w:rFonts w:hint="eastAsia" w:ascii="宋体" w:hAnsi="宋体" w:cs="宋体"/>
                <w:szCs w:val="21"/>
              </w:rPr>
            </w:pPr>
            <w:r>
              <w:rPr>
                <w:rFonts w:hint="eastAsia" w:ascii="宋体" w:hAnsi="宋体" w:cs="宋体"/>
                <w:szCs w:val="21"/>
              </w:rPr>
              <w:t>1</w:t>
            </w:r>
          </w:p>
        </w:tc>
        <w:tc>
          <w:tcPr>
            <w:tcW w:w="3604" w:type="pct"/>
            <w:tcBorders>
              <w:top w:val="single" w:color="auto" w:sz="4" w:space="0"/>
              <w:left w:val="single" w:color="auto" w:sz="4" w:space="0"/>
              <w:bottom w:val="single" w:color="auto" w:sz="4" w:space="0"/>
              <w:right w:val="single" w:color="auto" w:sz="4" w:space="0"/>
            </w:tcBorders>
            <w:vAlign w:val="center"/>
          </w:tcPr>
          <w:p w14:paraId="73814604">
            <w:pPr>
              <w:pStyle w:val="251"/>
              <w:rPr>
                <w:rFonts w:hint="eastAsia" w:ascii="宋体" w:hAnsi="宋体" w:cs="宋体"/>
                <w:szCs w:val="21"/>
              </w:rPr>
            </w:pPr>
            <w:r>
              <w:rPr>
                <w:rFonts w:hint="eastAsia" w:ascii="宋体" w:hAnsi="宋体" w:cs="宋体"/>
                <w:szCs w:val="21"/>
              </w:rPr>
              <w:t>具有中级职称（含）以上，得1分；否则不得分。须提供证明材料并加盖供应商公章。</w:t>
            </w:r>
          </w:p>
        </w:tc>
      </w:tr>
      <w:tr w14:paraId="4CDD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418" w:type="pct"/>
            <w:vMerge w:val="continue"/>
            <w:tcBorders>
              <w:left w:val="single" w:color="auto" w:sz="4" w:space="0"/>
              <w:right w:val="single" w:color="auto" w:sz="4" w:space="0"/>
            </w:tcBorders>
            <w:vAlign w:val="center"/>
          </w:tcPr>
          <w:p w14:paraId="4D13CE44">
            <w:pPr>
              <w:contextualSpacing/>
              <w:jc w:val="center"/>
              <w:rPr>
                <w:rFonts w:hint="eastAsia" w:ascii="宋体" w:hAnsi="宋体" w:cs="宋体"/>
                <w:b/>
                <w:bCs/>
                <w:color w:val="FF0000"/>
                <w:szCs w:val="21"/>
              </w:rPr>
            </w:pPr>
          </w:p>
        </w:tc>
        <w:tc>
          <w:tcPr>
            <w:tcW w:w="604" w:type="pct"/>
            <w:tcBorders>
              <w:top w:val="single" w:color="auto" w:sz="4" w:space="0"/>
              <w:left w:val="single" w:color="auto" w:sz="4" w:space="0"/>
              <w:right w:val="single" w:color="auto" w:sz="4" w:space="0"/>
            </w:tcBorders>
            <w:vAlign w:val="center"/>
          </w:tcPr>
          <w:p w14:paraId="16DFAA55">
            <w:pPr>
              <w:contextualSpacing/>
              <w:jc w:val="center"/>
              <w:rPr>
                <w:rFonts w:hint="eastAsia" w:ascii="宋体" w:hAnsi="宋体" w:cs="宋体"/>
                <w:szCs w:val="21"/>
              </w:rPr>
            </w:pPr>
            <w:r>
              <w:rPr>
                <w:rFonts w:hint="eastAsia" w:ascii="宋体" w:hAnsi="宋体" w:cs="宋体"/>
                <w:szCs w:val="21"/>
              </w:rPr>
              <w:t>其他项目管理人员构成</w:t>
            </w:r>
          </w:p>
        </w:tc>
        <w:tc>
          <w:tcPr>
            <w:tcW w:w="372" w:type="pct"/>
            <w:tcBorders>
              <w:top w:val="single" w:color="auto" w:sz="4" w:space="0"/>
              <w:left w:val="single" w:color="auto" w:sz="4" w:space="0"/>
              <w:right w:val="single" w:color="auto" w:sz="4" w:space="0"/>
            </w:tcBorders>
            <w:vAlign w:val="center"/>
          </w:tcPr>
          <w:p w14:paraId="29200AAF">
            <w:pPr>
              <w:contextualSpacing/>
              <w:jc w:val="center"/>
              <w:rPr>
                <w:rFonts w:hint="eastAsia" w:ascii="宋体" w:hAnsi="宋体" w:cs="宋体"/>
                <w:szCs w:val="21"/>
              </w:rPr>
            </w:pPr>
            <w:r>
              <w:rPr>
                <w:rFonts w:hint="eastAsia" w:ascii="宋体" w:hAnsi="宋体" w:cs="宋体"/>
                <w:szCs w:val="21"/>
              </w:rPr>
              <w:t>5</w:t>
            </w:r>
          </w:p>
        </w:tc>
        <w:tc>
          <w:tcPr>
            <w:tcW w:w="3604" w:type="pct"/>
            <w:tcBorders>
              <w:top w:val="single" w:color="auto" w:sz="4" w:space="0"/>
              <w:left w:val="single" w:color="auto" w:sz="4" w:space="0"/>
              <w:bottom w:val="single" w:color="auto" w:sz="4" w:space="0"/>
              <w:right w:val="single" w:color="auto" w:sz="4" w:space="0"/>
            </w:tcBorders>
            <w:vAlign w:val="center"/>
          </w:tcPr>
          <w:p w14:paraId="7E1AD0AE">
            <w:pPr>
              <w:pStyle w:val="251"/>
              <w:rPr>
                <w:rFonts w:hint="eastAsia" w:ascii="宋体" w:hAnsi="宋体" w:cs="宋体"/>
                <w:szCs w:val="21"/>
              </w:rPr>
            </w:pPr>
            <w:r>
              <w:rPr>
                <w:rFonts w:hint="eastAsia" w:ascii="宋体" w:hAnsi="宋体" w:cs="宋体"/>
                <w:szCs w:val="21"/>
              </w:rPr>
              <w:t>供应商应根据采购需求配备服务团队，包括施工员、质量员、安全员、资料员、材料员、造价员等。</w:t>
            </w:r>
          </w:p>
          <w:p w14:paraId="47FA980A">
            <w:pPr>
              <w:pStyle w:val="251"/>
              <w:rPr>
                <w:rFonts w:hint="eastAsia" w:ascii="宋体" w:hAnsi="宋体" w:cs="宋体"/>
                <w:szCs w:val="21"/>
              </w:rPr>
            </w:pPr>
            <w:r>
              <w:rPr>
                <w:rFonts w:hint="eastAsia" w:ascii="宋体" w:hAnsi="宋体" w:cs="宋体"/>
                <w:szCs w:val="21"/>
              </w:rPr>
              <w:t>1）人员配备合理，专业齐全，分工明确，完全满足项目需求，得5分；</w:t>
            </w:r>
          </w:p>
          <w:p w14:paraId="3DFD890E">
            <w:pPr>
              <w:pStyle w:val="251"/>
              <w:rPr>
                <w:rFonts w:hint="eastAsia" w:ascii="宋体" w:hAnsi="宋体" w:cs="宋体"/>
                <w:szCs w:val="21"/>
              </w:rPr>
            </w:pPr>
            <w:r>
              <w:rPr>
                <w:rFonts w:hint="eastAsia" w:ascii="宋体" w:hAnsi="宋体" w:cs="宋体"/>
                <w:szCs w:val="21"/>
              </w:rPr>
              <w:t>2）人员配备情况一般，专业基本齐全，分工基本明确，基本满足项目需求，得3分；</w:t>
            </w:r>
          </w:p>
          <w:p w14:paraId="0C1BC8FB">
            <w:pPr>
              <w:rPr>
                <w:rFonts w:hint="eastAsia" w:ascii="宋体" w:hAnsi="宋体" w:cs="宋体"/>
                <w:szCs w:val="21"/>
              </w:rPr>
            </w:pPr>
            <w:r>
              <w:rPr>
                <w:rFonts w:hint="eastAsia" w:ascii="宋体" w:hAnsi="宋体" w:cs="宋体"/>
                <w:szCs w:val="21"/>
              </w:rPr>
              <w:t>3）人员配备不够合理，专业不够齐全，分工不够明确，部分满足项目需求，得1分。</w:t>
            </w:r>
          </w:p>
          <w:p w14:paraId="345A69FA">
            <w:pPr>
              <w:rPr>
                <w:rFonts w:hint="eastAsia" w:ascii="宋体" w:hAnsi="宋体" w:cs="宋体"/>
                <w:szCs w:val="21"/>
              </w:rPr>
            </w:pPr>
            <w:r>
              <w:rPr>
                <w:rFonts w:hint="eastAsia" w:ascii="宋体" w:hAnsi="宋体" w:cs="宋体"/>
                <w:szCs w:val="21"/>
              </w:rPr>
              <w:t>4）未提供服务团队情况，不得分。</w:t>
            </w:r>
          </w:p>
          <w:p w14:paraId="583E830F">
            <w:pPr>
              <w:rPr>
                <w:rFonts w:hint="eastAsia" w:ascii="宋体" w:hAnsi="宋体" w:cs="宋体"/>
                <w:szCs w:val="21"/>
              </w:rPr>
            </w:pPr>
            <w:r>
              <w:rPr>
                <w:rFonts w:hint="eastAsia" w:ascii="宋体" w:hAnsi="宋体" w:cs="宋体"/>
                <w:szCs w:val="21"/>
              </w:rPr>
              <w:t>须提供服务团队清单，并列明专业及分工等，提供相关资质证书证明。</w:t>
            </w:r>
          </w:p>
        </w:tc>
      </w:tr>
      <w:tr w14:paraId="3D53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418" w:type="pct"/>
            <w:vMerge w:val="restart"/>
            <w:tcBorders>
              <w:top w:val="single" w:color="auto" w:sz="4" w:space="0"/>
              <w:left w:val="single" w:color="auto" w:sz="4" w:space="0"/>
              <w:right w:val="single" w:color="auto" w:sz="4" w:space="0"/>
            </w:tcBorders>
            <w:vAlign w:val="center"/>
          </w:tcPr>
          <w:p w14:paraId="5FD27CED">
            <w:pPr>
              <w:contextualSpacing/>
              <w:jc w:val="center"/>
              <w:rPr>
                <w:rFonts w:hint="eastAsia" w:ascii="宋体" w:hAnsi="宋体" w:cs="宋体"/>
                <w:b/>
                <w:bCs/>
                <w:szCs w:val="21"/>
              </w:rPr>
            </w:pPr>
            <w:r>
              <w:rPr>
                <w:rFonts w:hint="eastAsia" w:ascii="宋体" w:hAnsi="宋体" w:cs="宋体"/>
                <w:b/>
                <w:bCs/>
                <w:szCs w:val="21"/>
              </w:rPr>
              <w:t>技术</w:t>
            </w:r>
          </w:p>
          <w:p w14:paraId="3C75726E">
            <w:pPr>
              <w:contextualSpacing/>
              <w:jc w:val="center"/>
              <w:rPr>
                <w:rFonts w:hint="eastAsia" w:ascii="宋体" w:hAnsi="宋体" w:cs="宋体"/>
                <w:b/>
                <w:bCs/>
                <w:szCs w:val="21"/>
              </w:rPr>
            </w:pPr>
            <w:r>
              <w:rPr>
                <w:rFonts w:hint="eastAsia" w:ascii="宋体" w:hAnsi="宋体" w:cs="宋体"/>
                <w:b/>
                <w:bCs/>
                <w:szCs w:val="21"/>
              </w:rPr>
              <w:t>部分</w:t>
            </w:r>
          </w:p>
          <w:p w14:paraId="322D85E8">
            <w:pPr>
              <w:contextualSpacing/>
              <w:jc w:val="center"/>
              <w:rPr>
                <w:rFonts w:hint="eastAsia" w:ascii="宋体" w:hAnsi="宋体" w:cs="宋体"/>
                <w:b/>
                <w:bCs/>
                <w:szCs w:val="21"/>
              </w:rPr>
            </w:pPr>
            <w:r>
              <w:rPr>
                <w:rFonts w:hint="eastAsia" w:ascii="宋体" w:hAnsi="宋体" w:cs="宋体"/>
                <w:b/>
                <w:bCs/>
                <w:szCs w:val="21"/>
              </w:rPr>
              <w:t>69分</w:t>
            </w:r>
          </w:p>
        </w:tc>
        <w:tc>
          <w:tcPr>
            <w:tcW w:w="604" w:type="pct"/>
            <w:tcBorders>
              <w:top w:val="single" w:color="auto" w:sz="4" w:space="0"/>
              <w:left w:val="single" w:color="auto" w:sz="4" w:space="0"/>
              <w:right w:val="single" w:color="auto" w:sz="4" w:space="0"/>
            </w:tcBorders>
            <w:vAlign w:val="center"/>
          </w:tcPr>
          <w:p w14:paraId="42C21FA8">
            <w:pPr>
              <w:contextualSpacing/>
              <w:jc w:val="center"/>
              <w:rPr>
                <w:rFonts w:hint="eastAsia" w:ascii="宋体" w:hAnsi="宋体" w:cs="宋体"/>
                <w:szCs w:val="21"/>
              </w:rPr>
            </w:pPr>
            <w:r>
              <w:rPr>
                <w:rFonts w:hint="eastAsia" w:ascii="宋体" w:hAnsi="宋体" w:cs="宋体"/>
                <w:szCs w:val="21"/>
              </w:rPr>
              <w:t>项目重难点分析</w:t>
            </w:r>
          </w:p>
        </w:tc>
        <w:tc>
          <w:tcPr>
            <w:tcW w:w="372" w:type="pct"/>
            <w:tcBorders>
              <w:top w:val="single" w:color="auto" w:sz="4" w:space="0"/>
              <w:left w:val="single" w:color="auto" w:sz="4" w:space="0"/>
              <w:bottom w:val="single" w:color="auto" w:sz="4" w:space="0"/>
              <w:right w:val="single" w:color="auto" w:sz="4" w:space="0"/>
            </w:tcBorders>
            <w:vAlign w:val="center"/>
          </w:tcPr>
          <w:p w14:paraId="3778134B">
            <w:pPr>
              <w:contextualSpacing/>
              <w:jc w:val="center"/>
              <w:rPr>
                <w:rFonts w:hint="eastAsia" w:ascii="宋体" w:hAnsi="宋体" w:cs="宋体"/>
                <w:szCs w:val="21"/>
              </w:rPr>
            </w:pPr>
            <w:r>
              <w:rPr>
                <w:rFonts w:hint="eastAsia" w:ascii="宋体" w:hAnsi="宋体" w:cs="宋体"/>
                <w:szCs w:val="21"/>
              </w:rPr>
              <w:t>12</w:t>
            </w:r>
          </w:p>
        </w:tc>
        <w:tc>
          <w:tcPr>
            <w:tcW w:w="3604" w:type="pct"/>
            <w:tcBorders>
              <w:top w:val="single" w:color="auto" w:sz="4" w:space="0"/>
              <w:left w:val="single" w:color="auto" w:sz="4" w:space="0"/>
              <w:bottom w:val="single" w:color="auto" w:sz="4" w:space="0"/>
              <w:right w:val="single" w:color="auto" w:sz="4" w:space="0"/>
            </w:tcBorders>
            <w:vAlign w:val="center"/>
          </w:tcPr>
          <w:p w14:paraId="6E5F1DB8">
            <w:pPr>
              <w:pStyle w:val="251"/>
              <w:rPr>
                <w:rFonts w:hint="eastAsia" w:ascii="宋体" w:hAnsi="宋体" w:cs="宋体"/>
                <w:szCs w:val="21"/>
              </w:rPr>
            </w:pPr>
            <w:r>
              <w:rPr>
                <w:rFonts w:hint="eastAsia" w:ascii="宋体" w:hAnsi="宋体" w:cs="宋体"/>
                <w:szCs w:val="21"/>
              </w:rPr>
              <w:t>供应商应根据本项目采购需求，详细描述对项目的工作重点、难点分析：</w:t>
            </w:r>
          </w:p>
          <w:p w14:paraId="0EE3607F">
            <w:pPr>
              <w:pStyle w:val="251"/>
              <w:rPr>
                <w:rFonts w:hint="eastAsia" w:ascii="宋体" w:hAnsi="宋体" w:cs="宋体"/>
                <w:szCs w:val="21"/>
              </w:rPr>
            </w:pPr>
            <w:r>
              <w:rPr>
                <w:rFonts w:hint="eastAsia" w:ascii="宋体" w:hAnsi="宋体" w:cs="宋体"/>
                <w:szCs w:val="21"/>
              </w:rPr>
              <w:t>1）对本项目的重点、难点分析深入，定位准确，得12分；</w:t>
            </w:r>
          </w:p>
          <w:p w14:paraId="62E1EB0C">
            <w:pPr>
              <w:pStyle w:val="251"/>
              <w:rPr>
                <w:rFonts w:hint="eastAsia" w:ascii="宋体" w:hAnsi="宋体" w:cs="宋体"/>
                <w:szCs w:val="21"/>
              </w:rPr>
            </w:pPr>
            <w:r>
              <w:rPr>
                <w:rFonts w:hint="eastAsia" w:ascii="宋体" w:hAnsi="宋体" w:cs="宋体"/>
                <w:szCs w:val="21"/>
              </w:rPr>
              <w:t>2）对本项目的重点、难点分析深入，但定位不够准确，得8分；</w:t>
            </w:r>
          </w:p>
          <w:p w14:paraId="4BC718FE">
            <w:pPr>
              <w:pStyle w:val="251"/>
              <w:rPr>
                <w:rFonts w:hint="eastAsia" w:ascii="宋体" w:hAnsi="宋体" w:cs="宋体"/>
                <w:szCs w:val="21"/>
              </w:rPr>
            </w:pPr>
            <w:r>
              <w:rPr>
                <w:rFonts w:hint="eastAsia" w:ascii="宋体" w:hAnsi="宋体" w:cs="宋体"/>
                <w:szCs w:val="21"/>
              </w:rPr>
              <w:t>3）对本项目的重点、难点分析肤浅，且定位不够准确，得4分；</w:t>
            </w:r>
          </w:p>
          <w:p w14:paraId="2C65BC65">
            <w:pPr>
              <w:pStyle w:val="251"/>
              <w:rPr>
                <w:rFonts w:hint="eastAsia" w:ascii="宋体" w:hAnsi="宋体" w:cs="宋体"/>
                <w:szCs w:val="21"/>
              </w:rPr>
            </w:pPr>
            <w:r>
              <w:rPr>
                <w:rFonts w:hint="eastAsia" w:ascii="宋体" w:hAnsi="宋体" w:cs="宋体"/>
                <w:szCs w:val="21"/>
              </w:rPr>
              <w:t>4）未进行描述，得0分。</w:t>
            </w:r>
          </w:p>
        </w:tc>
      </w:tr>
      <w:tr w14:paraId="772C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418" w:type="pct"/>
            <w:vMerge w:val="continue"/>
            <w:tcBorders>
              <w:left w:val="single" w:color="auto" w:sz="4" w:space="0"/>
              <w:right w:val="single" w:color="auto" w:sz="4" w:space="0"/>
            </w:tcBorders>
            <w:vAlign w:val="center"/>
          </w:tcPr>
          <w:p w14:paraId="615BCEDF">
            <w:pPr>
              <w:contextualSpacing/>
              <w:jc w:val="center"/>
              <w:rPr>
                <w:rFonts w:hint="eastAsia" w:ascii="宋体" w:hAnsi="宋体" w:cs="宋体"/>
                <w:b/>
                <w:bCs/>
                <w:szCs w:val="21"/>
              </w:rPr>
            </w:pPr>
          </w:p>
        </w:tc>
        <w:tc>
          <w:tcPr>
            <w:tcW w:w="604" w:type="pct"/>
            <w:tcBorders>
              <w:top w:val="single" w:color="auto" w:sz="4" w:space="0"/>
              <w:left w:val="single" w:color="auto" w:sz="4" w:space="0"/>
              <w:right w:val="single" w:color="auto" w:sz="4" w:space="0"/>
            </w:tcBorders>
            <w:vAlign w:val="center"/>
          </w:tcPr>
          <w:p w14:paraId="1DE6C252">
            <w:pPr>
              <w:contextualSpacing/>
              <w:jc w:val="center"/>
              <w:rPr>
                <w:rFonts w:hint="eastAsia" w:ascii="宋体" w:hAnsi="宋体" w:cs="宋体"/>
                <w:bCs/>
                <w:szCs w:val="21"/>
              </w:rPr>
            </w:pPr>
            <w:r>
              <w:rPr>
                <w:rFonts w:hint="eastAsia" w:ascii="宋体" w:hAnsi="宋体" w:cs="宋体"/>
                <w:szCs w:val="21"/>
              </w:rPr>
              <w:t>施工方案及技术措施</w:t>
            </w:r>
          </w:p>
        </w:tc>
        <w:tc>
          <w:tcPr>
            <w:tcW w:w="372" w:type="pct"/>
            <w:tcBorders>
              <w:top w:val="single" w:color="auto" w:sz="4" w:space="0"/>
              <w:left w:val="single" w:color="auto" w:sz="4" w:space="0"/>
              <w:bottom w:val="single" w:color="auto" w:sz="4" w:space="0"/>
              <w:right w:val="single" w:color="auto" w:sz="4" w:space="0"/>
            </w:tcBorders>
            <w:vAlign w:val="center"/>
          </w:tcPr>
          <w:p w14:paraId="0611E5D5">
            <w:pPr>
              <w:contextualSpacing/>
              <w:jc w:val="center"/>
              <w:rPr>
                <w:rFonts w:hint="eastAsia" w:ascii="宋体" w:hAnsi="宋体" w:cs="宋体"/>
                <w:szCs w:val="21"/>
              </w:rPr>
            </w:pPr>
            <w:r>
              <w:rPr>
                <w:rFonts w:hint="eastAsia" w:ascii="宋体" w:hAnsi="宋体" w:cs="宋体"/>
                <w:szCs w:val="21"/>
              </w:rPr>
              <w:t>15</w:t>
            </w:r>
          </w:p>
        </w:tc>
        <w:tc>
          <w:tcPr>
            <w:tcW w:w="3604" w:type="pct"/>
            <w:tcBorders>
              <w:top w:val="single" w:color="auto" w:sz="4" w:space="0"/>
              <w:left w:val="single" w:color="auto" w:sz="4" w:space="0"/>
              <w:bottom w:val="single" w:color="auto" w:sz="4" w:space="0"/>
              <w:right w:val="single" w:color="auto" w:sz="4" w:space="0"/>
            </w:tcBorders>
            <w:vAlign w:val="center"/>
          </w:tcPr>
          <w:p w14:paraId="3A7F1709">
            <w:pPr>
              <w:pStyle w:val="251"/>
              <w:rPr>
                <w:rFonts w:hint="eastAsia" w:ascii="宋体" w:hAnsi="宋体" w:cs="宋体"/>
                <w:szCs w:val="21"/>
              </w:rPr>
            </w:pPr>
            <w:r>
              <w:rPr>
                <w:rFonts w:hint="eastAsia" w:ascii="宋体" w:hAnsi="宋体" w:cs="宋体"/>
                <w:szCs w:val="21"/>
              </w:rPr>
              <w:t>1）方案及措施全面，科学性、专业性、完整性强；方案阐述详细、无遗漏，针对性强，可完全满足项目需求，得15分；</w:t>
            </w:r>
          </w:p>
          <w:p w14:paraId="16558E4F">
            <w:pPr>
              <w:pStyle w:val="251"/>
              <w:rPr>
                <w:rFonts w:hint="eastAsia" w:ascii="宋体" w:hAnsi="宋体" w:cs="宋体"/>
                <w:szCs w:val="21"/>
              </w:rPr>
            </w:pPr>
            <w:r>
              <w:rPr>
                <w:rFonts w:hint="eastAsia" w:ascii="宋体" w:hAnsi="宋体" w:cs="宋体"/>
                <w:szCs w:val="21"/>
              </w:rPr>
              <w:t>2）方案及措施较全面，科学性、专业性、完整性较强；方案阐述完整，针对性较强，可较好的满足项目需求，得10分；</w:t>
            </w:r>
          </w:p>
          <w:p w14:paraId="083C2C70">
            <w:pPr>
              <w:pStyle w:val="251"/>
              <w:rPr>
                <w:rFonts w:hint="eastAsia" w:ascii="宋体" w:hAnsi="宋体" w:cs="宋体"/>
                <w:szCs w:val="21"/>
              </w:rPr>
            </w:pPr>
            <w:r>
              <w:rPr>
                <w:rFonts w:hint="eastAsia" w:ascii="宋体" w:hAnsi="宋体" w:cs="宋体"/>
                <w:szCs w:val="21"/>
              </w:rPr>
              <w:t>3）方案及措施较全面，科学性、专业性、完整性一般；方案阐述完整，针对性较弱，基本可满足项目需求，得5分；</w:t>
            </w:r>
          </w:p>
          <w:p w14:paraId="25C2A162">
            <w:pPr>
              <w:pStyle w:val="251"/>
              <w:rPr>
                <w:rFonts w:hint="eastAsia" w:ascii="宋体" w:hAnsi="宋体" w:cs="宋体"/>
                <w:szCs w:val="21"/>
              </w:rPr>
            </w:pPr>
            <w:r>
              <w:rPr>
                <w:rFonts w:hint="eastAsia" w:ascii="宋体" w:hAnsi="宋体" w:cs="宋体"/>
                <w:szCs w:val="21"/>
              </w:rPr>
              <w:t>4）方案及措施仅为模板式方案，方案描述不完整，缺漏项较多，毫无针对性，部分满足项目需求，得1分；</w:t>
            </w:r>
          </w:p>
          <w:p w14:paraId="383F6178">
            <w:pPr>
              <w:pStyle w:val="251"/>
              <w:rPr>
                <w:rFonts w:hint="eastAsia" w:ascii="宋体" w:hAnsi="宋体" w:cs="宋体"/>
                <w:szCs w:val="21"/>
              </w:rPr>
            </w:pPr>
            <w:r>
              <w:rPr>
                <w:rFonts w:hint="eastAsia" w:ascii="宋体" w:hAnsi="宋体" w:cs="宋体"/>
                <w:szCs w:val="21"/>
              </w:rPr>
              <w:t>5）未提供具体方案及措施的，得0分。</w:t>
            </w:r>
          </w:p>
        </w:tc>
      </w:tr>
      <w:tr w14:paraId="7056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418" w:type="pct"/>
            <w:vMerge w:val="continue"/>
            <w:tcBorders>
              <w:left w:val="single" w:color="auto" w:sz="4" w:space="0"/>
              <w:right w:val="single" w:color="auto" w:sz="4" w:space="0"/>
            </w:tcBorders>
            <w:vAlign w:val="center"/>
          </w:tcPr>
          <w:p w14:paraId="054ACF52">
            <w:pPr>
              <w:contextualSpacing/>
              <w:jc w:val="center"/>
              <w:rPr>
                <w:rFonts w:hint="eastAsia" w:ascii="宋体" w:hAnsi="宋体" w:cs="宋体"/>
                <w:b/>
                <w:bCs/>
                <w:color w:val="FF0000"/>
                <w:szCs w:val="21"/>
              </w:rPr>
            </w:pPr>
          </w:p>
        </w:tc>
        <w:tc>
          <w:tcPr>
            <w:tcW w:w="604" w:type="pct"/>
            <w:tcBorders>
              <w:top w:val="single" w:color="auto" w:sz="4" w:space="0"/>
              <w:left w:val="single" w:color="auto" w:sz="4" w:space="0"/>
              <w:right w:val="single" w:color="auto" w:sz="4" w:space="0"/>
            </w:tcBorders>
            <w:vAlign w:val="center"/>
          </w:tcPr>
          <w:p w14:paraId="34C782CB">
            <w:pPr>
              <w:contextualSpacing/>
              <w:jc w:val="center"/>
              <w:rPr>
                <w:rFonts w:hint="eastAsia" w:ascii="宋体" w:hAnsi="宋体" w:cs="宋体"/>
                <w:szCs w:val="21"/>
              </w:rPr>
            </w:pPr>
            <w:r>
              <w:rPr>
                <w:rFonts w:hint="eastAsia" w:ascii="宋体" w:hAnsi="宋体" w:cs="宋体"/>
                <w:bCs/>
                <w:szCs w:val="21"/>
              </w:rPr>
              <w:t>进度计划及保障措施</w:t>
            </w:r>
          </w:p>
        </w:tc>
        <w:tc>
          <w:tcPr>
            <w:tcW w:w="372" w:type="pct"/>
            <w:tcBorders>
              <w:top w:val="single" w:color="auto" w:sz="4" w:space="0"/>
              <w:left w:val="single" w:color="auto" w:sz="4" w:space="0"/>
              <w:bottom w:val="single" w:color="auto" w:sz="4" w:space="0"/>
              <w:right w:val="single" w:color="auto" w:sz="4" w:space="0"/>
            </w:tcBorders>
            <w:vAlign w:val="center"/>
          </w:tcPr>
          <w:p w14:paraId="75739097">
            <w:pPr>
              <w:contextualSpacing/>
              <w:jc w:val="center"/>
              <w:rPr>
                <w:rFonts w:hint="eastAsia" w:ascii="宋体" w:hAnsi="宋体" w:cs="宋体"/>
                <w:szCs w:val="21"/>
              </w:rPr>
            </w:pPr>
            <w:r>
              <w:rPr>
                <w:rFonts w:hint="eastAsia" w:ascii="宋体" w:hAnsi="宋体" w:cs="宋体"/>
                <w:szCs w:val="21"/>
              </w:rPr>
              <w:t>6</w:t>
            </w:r>
          </w:p>
        </w:tc>
        <w:tc>
          <w:tcPr>
            <w:tcW w:w="3604" w:type="pct"/>
            <w:tcBorders>
              <w:top w:val="single" w:color="auto" w:sz="4" w:space="0"/>
              <w:left w:val="single" w:color="auto" w:sz="4" w:space="0"/>
              <w:bottom w:val="single" w:color="auto" w:sz="4" w:space="0"/>
              <w:right w:val="single" w:color="auto" w:sz="4" w:space="0"/>
            </w:tcBorders>
            <w:vAlign w:val="center"/>
          </w:tcPr>
          <w:p w14:paraId="3B406FF5">
            <w:pPr>
              <w:pStyle w:val="251"/>
              <w:rPr>
                <w:rFonts w:hint="eastAsia" w:ascii="宋体" w:hAnsi="宋体" w:cs="宋体"/>
                <w:szCs w:val="21"/>
              </w:rPr>
            </w:pPr>
            <w:r>
              <w:rPr>
                <w:rFonts w:hint="eastAsia" w:ascii="宋体" w:hAnsi="宋体" w:cs="宋体"/>
                <w:szCs w:val="21"/>
              </w:rPr>
              <w:t>1）进度安排合理、方案可行，完整性强，保障措施到位，针对性强，完全满足本项目需求，得6分；</w:t>
            </w:r>
          </w:p>
          <w:p w14:paraId="103C4BBB">
            <w:pPr>
              <w:pStyle w:val="251"/>
              <w:rPr>
                <w:rFonts w:hint="eastAsia" w:ascii="宋体" w:hAnsi="宋体" w:cs="宋体"/>
                <w:szCs w:val="21"/>
              </w:rPr>
            </w:pPr>
            <w:r>
              <w:rPr>
                <w:rFonts w:hint="eastAsia" w:ascii="宋体" w:hAnsi="宋体" w:cs="宋体"/>
                <w:szCs w:val="21"/>
              </w:rPr>
              <w:t>2）进度安排较合理、方案可行性一般，完整性一般，保障措施基本到位，具有一定的针对性，可基本满足本项目需求，得3分；</w:t>
            </w:r>
          </w:p>
          <w:p w14:paraId="50A1EF57">
            <w:pPr>
              <w:pStyle w:val="251"/>
              <w:rPr>
                <w:rFonts w:hint="eastAsia" w:ascii="宋体" w:hAnsi="宋体" w:cs="宋体"/>
                <w:szCs w:val="21"/>
              </w:rPr>
            </w:pPr>
            <w:r>
              <w:rPr>
                <w:rFonts w:hint="eastAsia" w:ascii="宋体" w:hAnsi="宋体" w:cs="宋体"/>
                <w:szCs w:val="21"/>
              </w:rPr>
              <w:t>4）进度安排基本合理、方案可行性、完整性较差，保障措施有遗漏，可部分满足本项目需求，得1分；</w:t>
            </w:r>
          </w:p>
          <w:p w14:paraId="0041E0A3">
            <w:pPr>
              <w:pStyle w:val="251"/>
              <w:rPr>
                <w:rFonts w:hint="eastAsia" w:ascii="宋体" w:hAnsi="宋体" w:cs="宋体"/>
                <w:szCs w:val="21"/>
              </w:rPr>
            </w:pPr>
            <w:r>
              <w:rPr>
                <w:rFonts w:hint="eastAsia" w:ascii="宋体" w:hAnsi="宋体" w:cs="宋体"/>
                <w:szCs w:val="21"/>
              </w:rPr>
              <w:t>5）未提供进度计划及保障措施，得0分。</w:t>
            </w:r>
          </w:p>
        </w:tc>
      </w:tr>
      <w:tr w14:paraId="4602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418" w:type="pct"/>
            <w:vMerge w:val="continue"/>
            <w:tcBorders>
              <w:left w:val="single" w:color="auto" w:sz="4" w:space="0"/>
              <w:right w:val="single" w:color="auto" w:sz="4" w:space="0"/>
            </w:tcBorders>
            <w:vAlign w:val="center"/>
          </w:tcPr>
          <w:p w14:paraId="19EB0570">
            <w:pPr>
              <w:contextualSpacing/>
              <w:jc w:val="center"/>
              <w:rPr>
                <w:rFonts w:hint="eastAsia" w:ascii="宋体" w:hAnsi="宋体" w:cs="宋体"/>
                <w:b/>
                <w:bCs/>
                <w:color w:val="FF0000"/>
                <w:szCs w:val="21"/>
              </w:rPr>
            </w:pPr>
          </w:p>
        </w:tc>
        <w:tc>
          <w:tcPr>
            <w:tcW w:w="604" w:type="pct"/>
            <w:tcBorders>
              <w:top w:val="single" w:color="auto" w:sz="4" w:space="0"/>
              <w:left w:val="single" w:color="auto" w:sz="4" w:space="0"/>
              <w:right w:val="single" w:color="auto" w:sz="4" w:space="0"/>
            </w:tcBorders>
            <w:vAlign w:val="center"/>
          </w:tcPr>
          <w:p w14:paraId="5BD248E7">
            <w:pPr>
              <w:jc w:val="center"/>
              <w:rPr>
                <w:rFonts w:hint="eastAsia" w:ascii="宋体" w:hAnsi="宋体" w:cs="宋体"/>
                <w:bCs/>
                <w:szCs w:val="21"/>
              </w:rPr>
            </w:pPr>
            <w:r>
              <w:rPr>
                <w:rFonts w:hint="eastAsia" w:ascii="宋体" w:hAnsi="宋体" w:cs="宋体"/>
                <w:bCs/>
                <w:szCs w:val="21"/>
              </w:rPr>
              <w:t>劳动力计</w:t>
            </w:r>
          </w:p>
          <w:p w14:paraId="35B2754C">
            <w:pPr>
              <w:jc w:val="center"/>
              <w:rPr>
                <w:rFonts w:hint="eastAsia" w:ascii="宋体" w:hAnsi="宋体" w:cs="宋体"/>
                <w:bCs/>
                <w:szCs w:val="21"/>
              </w:rPr>
            </w:pPr>
            <w:r>
              <w:rPr>
                <w:rFonts w:hint="eastAsia" w:ascii="宋体" w:hAnsi="宋体" w:cs="宋体"/>
                <w:bCs/>
                <w:szCs w:val="21"/>
              </w:rPr>
              <w:t>划及主要</w:t>
            </w:r>
          </w:p>
          <w:p w14:paraId="23C663BC">
            <w:pPr>
              <w:jc w:val="center"/>
              <w:rPr>
                <w:rFonts w:hint="eastAsia" w:ascii="宋体" w:hAnsi="宋体" w:cs="宋体"/>
                <w:bCs/>
                <w:szCs w:val="21"/>
              </w:rPr>
            </w:pPr>
            <w:r>
              <w:rPr>
                <w:rFonts w:hint="eastAsia" w:ascii="宋体" w:hAnsi="宋体" w:cs="宋体"/>
                <w:bCs/>
                <w:szCs w:val="21"/>
              </w:rPr>
              <w:t>施工机械</w:t>
            </w:r>
          </w:p>
        </w:tc>
        <w:tc>
          <w:tcPr>
            <w:tcW w:w="372" w:type="pct"/>
            <w:tcBorders>
              <w:top w:val="single" w:color="auto" w:sz="4" w:space="0"/>
              <w:left w:val="single" w:color="auto" w:sz="4" w:space="0"/>
              <w:bottom w:val="single" w:color="auto" w:sz="4" w:space="0"/>
              <w:right w:val="single" w:color="auto" w:sz="4" w:space="0"/>
            </w:tcBorders>
            <w:vAlign w:val="center"/>
          </w:tcPr>
          <w:p w14:paraId="5F118DB3">
            <w:pPr>
              <w:contextualSpacing/>
              <w:jc w:val="center"/>
              <w:rPr>
                <w:rFonts w:hint="eastAsia" w:ascii="宋体" w:hAnsi="宋体" w:cs="宋体"/>
                <w:szCs w:val="21"/>
              </w:rPr>
            </w:pPr>
            <w:r>
              <w:rPr>
                <w:rFonts w:hint="eastAsia" w:ascii="宋体" w:hAnsi="宋体" w:cs="宋体"/>
                <w:szCs w:val="21"/>
              </w:rPr>
              <w:t>7</w:t>
            </w:r>
          </w:p>
        </w:tc>
        <w:tc>
          <w:tcPr>
            <w:tcW w:w="3604" w:type="pct"/>
            <w:tcBorders>
              <w:top w:val="single" w:color="auto" w:sz="4" w:space="0"/>
              <w:left w:val="single" w:color="auto" w:sz="4" w:space="0"/>
              <w:bottom w:val="single" w:color="auto" w:sz="4" w:space="0"/>
              <w:right w:val="single" w:color="auto" w:sz="4" w:space="0"/>
            </w:tcBorders>
            <w:vAlign w:val="center"/>
          </w:tcPr>
          <w:p w14:paraId="43E4B2B3">
            <w:pPr>
              <w:contextualSpacing/>
              <w:jc w:val="left"/>
              <w:rPr>
                <w:rFonts w:hint="eastAsia" w:ascii="宋体" w:hAnsi="宋体" w:cs="宋体"/>
                <w:szCs w:val="21"/>
              </w:rPr>
            </w:pPr>
            <w:r>
              <w:rPr>
                <w:rFonts w:hint="eastAsia" w:ascii="宋体" w:hAnsi="宋体" w:cs="宋体"/>
                <w:szCs w:val="21"/>
              </w:rPr>
              <w:t>1）劳动力计划及主要施工机械配备科学、专业齐全、针对性强，满足项目需求，得7分；</w:t>
            </w:r>
          </w:p>
          <w:p w14:paraId="31D1DF23">
            <w:pPr>
              <w:contextualSpacing/>
              <w:jc w:val="left"/>
              <w:rPr>
                <w:rFonts w:hint="eastAsia" w:ascii="宋体" w:hAnsi="宋体" w:cs="宋体"/>
                <w:szCs w:val="21"/>
              </w:rPr>
            </w:pPr>
            <w:r>
              <w:rPr>
                <w:rFonts w:hint="eastAsia" w:ascii="宋体" w:hAnsi="宋体" w:cs="宋体"/>
                <w:szCs w:val="21"/>
              </w:rPr>
              <w:t>2）劳动力计划及主要施工机械配备较科学、专业较齐全、针对性较强，可较好的满足项目需要，得5分；</w:t>
            </w:r>
          </w:p>
          <w:p w14:paraId="322CF793">
            <w:pPr>
              <w:contextualSpacing/>
              <w:jc w:val="left"/>
              <w:rPr>
                <w:rFonts w:hint="eastAsia" w:ascii="宋体" w:hAnsi="宋体" w:cs="宋体"/>
                <w:szCs w:val="21"/>
              </w:rPr>
            </w:pPr>
            <w:r>
              <w:rPr>
                <w:rFonts w:hint="eastAsia" w:ascii="宋体" w:hAnsi="宋体" w:cs="宋体"/>
                <w:szCs w:val="21"/>
              </w:rPr>
              <w:t>3）劳动力计划及主要施工机械配备基本科学、专业基本齐全、针对性一般、合理性一般，基本满足项目需要，得3分；</w:t>
            </w:r>
          </w:p>
          <w:p w14:paraId="46C305B5">
            <w:pPr>
              <w:contextualSpacing/>
              <w:jc w:val="left"/>
              <w:rPr>
                <w:rFonts w:hint="eastAsia" w:ascii="宋体" w:hAnsi="宋体" w:cs="宋体"/>
                <w:szCs w:val="21"/>
              </w:rPr>
            </w:pPr>
            <w:r>
              <w:rPr>
                <w:rFonts w:hint="eastAsia" w:ascii="宋体" w:hAnsi="宋体" w:cs="宋体"/>
                <w:szCs w:val="21"/>
              </w:rPr>
              <w:t>4）劳动力计划及主要施工机械配备不够全面、不够合理、缺少针对性，部分满足项目需要，得1分；</w:t>
            </w:r>
          </w:p>
          <w:p w14:paraId="3A6DD9EE">
            <w:pPr>
              <w:contextualSpacing/>
              <w:jc w:val="left"/>
              <w:rPr>
                <w:rFonts w:hint="eastAsia" w:ascii="宋体" w:hAnsi="宋体" w:cs="宋体"/>
                <w:szCs w:val="21"/>
              </w:rPr>
            </w:pPr>
            <w:r>
              <w:rPr>
                <w:rFonts w:hint="eastAsia" w:ascii="宋体" w:hAnsi="宋体" w:cs="宋体"/>
                <w:szCs w:val="21"/>
              </w:rPr>
              <w:t>5）未提供劳动力计划及主要施工机械，得0分。</w:t>
            </w:r>
          </w:p>
        </w:tc>
      </w:tr>
      <w:tr w14:paraId="6A4B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8" w:type="pct"/>
            <w:vMerge w:val="continue"/>
            <w:tcBorders>
              <w:left w:val="single" w:color="auto" w:sz="4" w:space="0"/>
              <w:right w:val="single" w:color="auto" w:sz="4" w:space="0"/>
            </w:tcBorders>
            <w:vAlign w:val="center"/>
          </w:tcPr>
          <w:p w14:paraId="359CA57A">
            <w:pPr>
              <w:contextualSpacing/>
              <w:jc w:val="center"/>
              <w:rPr>
                <w:rFonts w:hint="eastAsia" w:ascii="宋体" w:hAnsi="宋体" w:cs="宋体"/>
                <w:b/>
                <w:bCs/>
                <w:color w:val="FF0000"/>
                <w:szCs w:val="21"/>
              </w:rPr>
            </w:pPr>
          </w:p>
        </w:tc>
        <w:tc>
          <w:tcPr>
            <w:tcW w:w="604" w:type="pct"/>
            <w:vMerge w:val="restart"/>
            <w:tcBorders>
              <w:top w:val="single" w:color="auto" w:sz="4" w:space="0"/>
              <w:left w:val="single" w:color="auto" w:sz="4" w:space="0"/>
              <w:right w:val="single" w:color="auto" w:sz="4" w:space="0"/>
            </w:tcBorders>
            <w:vAlign w:val="center"/>
          </w:tcPr>
          <w:p w14:paraId="7FD5FE78">
            <w:pPr>
              <w:jc w:val="center"/>
              <w:rPr>
                <w:rFonts w:hint="eastAsia" w:ascii="宋体" w:hAnsi="宋体" w:cs="宋体"/>
                <w:bCs/>
                <w:szCs w:val="21"/>
              </w:rPr>
            </w:pPr>
            <w:r>
              <w:rPr>
                <w:rFonts w:hint="eastAsia" w:ascii="宋体" w:hAnsi="宋体" w:cs="宋体"/>
                <w:bCs/>
                <w:szCs w:val="21"/>
              </w:rPr>
              <w:t>质量保证</w:t>
            </w:r>
          </w:p>
          <w:p w14:paraId="10D34605">
            <w:pPr>
              <w:jc w:val="center"/>
              <w:rPr>
                <w:rFonts w:hint="eastAsia" w:ascii="宋体" w:hAnsi="宋体" w:cs="宋体"/>
                <w:bCs/>
                <w:szCs w:val="21"/>
              </w:rPr>
            </w:pPr>
            <w:r>
              <w:rPr>
                <w:rFonts w:hint="eastAsia" w:ascii="宋体" w:hAnsi="宋体" w:cs="宋体"/>
                <w:bCs/>
                <w:szCs w:val="21"/>
              </w:rPr>
              <w:t>体系及措</w:t>
            </w:r>
          </w:p>
          <w:p w14:paraId="1C7C02B2">
            <w:pPr>
              <w:jc w:val="center"/>
              <w:rPr>
                <w:rFonts w:hint="eastAsia" w:ascii="宋体" w:hAnsi="宋体" w:cs="宋体"/>
                <w:bCs/>
                <w:szCs w:val="21"/>
              </w:rPr>
            </w:pPr>
            <w:r>
              <w:rPr>
                <w:rFonts w:hint="eastAsia" w:ascii="宋体" w:hAnsi="宋体" w:cs="宋体"/>
                <w:bCs/>
                <w:szCs w:val="21"/>
              </w:rPr>
              <w:t>施</w:t>
            </w:r>
          </w:p>
        </w:tc>
        <w:tc>
          <w:tcPr>
            <w:tcW w:w="372" w:type="pct"/>
            <w:tcBorders>
              <w:top w:val="single" w:color="auto" w:sz="4" w:space="0"/>
              <w:left w:val="single" w:color="auto" w:sz="4" w:space="0"/>
              <w:bottom w:val="single" w:color="auto" w:sz="4" w:space="0"/>
              <w:right w:val="single" w:color="auto" w:sz="4" w:space="0"/>
            </w:tcBorders>
            <w:vAlign w:val="center"/>
          </w:tcPr>
          <w:p w14:paraId="585CE40E">
            <w:pPr>
              <w:contextualSpacing/>
              <w:jc w:val="center"/>
              <w:rPr>
                <w:rFonts w:hint="eastAsia" w:ascii="宋体" w:hAnsi="宋体" w:cs="宋体"/>
                <w:szCs w:val="21"/>
              </w:rPr>
            </w:pPr>
            <w:r>
              <w:rPr>
                <w:rFonts w:hint="eastAsia" w:ascii="宋体" w:hAnsi="宋体" w:cs="宋体"/>
                <w:szCs w:val="21"/>
              </w:rPr>
              <w:t>7</w:t>
            </w:r>
          </w:p>
        </w:tc>
        <w:tc>
          <w:tcPr>
            <w:tcW w:w="3604" w:type="pct"/>
            <w:tcBorders>
              <w:top w:val="single" w:color="auto" w:sz="4" w:space="0"/>
              <w:left w:val="single" w:color="auto" w:sz="4" w:space="0"/>
              <w:bottom w:val="single" w:color="auto" w:sz="4" w:space="0"/>
              <w:right w:val="single" w:color="auto" w:sz="4" w:space="0"/>
            </w:tcBorders>
            <w:vAlign w:val="center"/>
          </w:tcPr>
          <w:p w14:paraId="78B507D3">
            <w:pPr>
              <w:contextualSpacing/>
              <w:jc w:val="left"/>
              <w:rPr>
                <w:rFonts w:hint="eastAsia" w:ascii="宋体" w:hAnsi="宋体" w:cs="宋体"/>
                <w:szCs w:val="21"/>
              </w:rPr>
            </w:pPr>
            <w:r>
              <w:rPr>
                <w:rFonts w:hint="eastAsia" w:ascii="宋体" w:hAnsi="宋体" w:cs="宋体"/>
                <w:szCs w:val="21"/>
              </w:rPr>
              <w:t>1）质量保证体系及措施内容全面、方案科学、针对性强、合理性强，完全满足项目需要，得7分；</w:t>
            </w:r>
          </w:p>
          <w:p w14:paraId="28ADCFDD">
            <w:pPr>
              <w:contextualSpacing/>
              <w:jc w:val="left"/>
              <w:rPr>
                <w:rFonts w:hint="eastAsia" w:ascii="宋体" w:hAnsi="宋体" w:cs="宋体"/>
                <w:szCs w:val="21"/>
              </w:rPr>
            </w:pPr>
            <w:r>
              <w:rPr>
                <w:rFonts w:hint="eastAsia" w:ascii="宋体" w:hAnsi="宋体" w:cs="宋体"/>
                <w:szCs w:val="21"/>
              </w:rPr>
              <w:t>2）质量保证体系及措施内容较全面、方案较科学、针对性较强、合理性较强，可较好的满足项目需要，得5分；</w:t>
            </w:r>
          </w:p>
          <w:p w14:paraId="31A96D26">
            <w:pPr>
              <w:contextualSpacing/>
              <w:jc w:val="left"/>
              <w:rPr>
                <w:rFonts w:hint="eastAsia" w:ascii="宋体" w:hAnsi="宋体" w:cs="宋体"/>
                <w:szCs w:val="21"/>
              </w:rPr>
            </w:pPr>
            <w:r>
              <w:rPr>
                <w:rFonts w:hint="eastAsia" w:ascii="宋体" w:hAnsi="宋体" w:cs="宋体"/>
                <w:szCs w:val="21"/>
              </w:rPr>
              <w:t>3）质量保证体系及措施内容基本全面、方案基本科学、针对性一般、合理性一般，基本满足项目需要，得3分；</w:t>
            </w:r>
          </w:p>
          <w:p w14:paraId="124D8628">
            <w:pPr>
              <w:contextualSpacing/>
              <w:jc w:val="left"/>
              <w:rPr>
                <w:rFonts w:hint="eastAsia" w:ascii="宋体" w:hAnsi="宋体" w:cs="宋体"/>
                <w:szCs w:val="21"/>
              </w:rPr>
            </w:pPr>
            <w:r>
              <w:rPr>
                <w:rFonts w:hint="eastAsia" w:ascii="宋体" w:hAnsi="宋体" w:cs="宋体"/>
                <w:szCs w:val="21"/>
              </w:rPr>
              <w:t>4）质量保证体系及措施内容不够全面、不够合理、缺少针对性，部分满足项目需要，得1分；</w:t>
            </w:r>
          </w:p>
          <w:p w14:paraId="3C8CFB6F">
            <w:pPr>
              <w:contextualSpacing/>
              <w:jc w:val="left"/>
              <w:rPr>
                <w:rFonts w:hint="eastAsia" w:ascii="宋体" w:hAnsi="宋体" w:cs="宋体"/>
                <w:szCs w:val="21"/>
              </w:rPr>
            </w:pPr>
            <w:r>
              <w:rPr>
                <w:rFonts w:hint="eastAsia" w:ascii="宋体" w:hAnsi="宋体" w:cs="宋体"/>
                <w:szCs w:val="21"/>
              </w:rPr>
              <w:t>5）未提供质量保证体系及措施，得0分。</w:t>
            </w:r>
          </w:p>
        </w:tc>
      </w:tr>
      <w:tr w14:paraId="4228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8" w:type="pct"/>
            <w:vMerge w:val="continue"/>
            <w:tcBorders>
              <w:left w:val="single" w:color="auto" w:sz="4" w:space="0"/>
              <w:right w:val="single" w:color="auto" w:sz="4" w:space="0"/>
            </w:tcBorders>
            <w:vAlign w:val="center"/>
          </w:tcPr>
          <w:p w14:paraId="1B2590BA">
            <w:pPr>
              <w:contextualSpacing/>
              <w:jc w:val="center"/>
              <w:rPr>
                <w:rFonts w:hint="eastAsia" w:ascii="宋体" w:hAnsi="宋体" w:cs="宋体"/>
                <w:b/>
                <w:bCs/>
                <w:color w:val="FF0000"/>
                <w:szCs w:val="21"/>
              </w:rPr>
            </w:pPr>
          </w:p>
        </w:tc>
        <w:tc>
          <w:tcPr>
            <w:tcW w:w="604" w:type="pct"/>
            <w:vMerge w:val="continue"/>
            <w:tcBorders>
              <w:left w:val="single" w:color="auto" w:sz="4" w:space="0"/>
              <w:right w:val="single" w:color="auto" w:sz="4" w:space="0"/>
            </w:tcBorders>
            <w:vAlign w:val="center"/>
          </w:tcPr>
          <w:p w14:paraId="48B3853A">
            <w:pPr>
              <w:jc w:val="center"/>
              <w:rPr>
                <w:rFonts w:hint="eastAsia" w:ascii="宋体" w:hAnsi="宋体" w:cs="宋体"/>
                <w:bCs/>
                <w:szCs w:val="21"/>
              </w:rPr>
            </w:pPr>
          </w:p>
        </w:tc>
        <w:tc>
          <w:tcPr>
            <w:tcW w:w="372" w:type="pct"/>
            <w:tcBorders>
              <w:top w:val="single" w:color="auto" w:sz="4" w:space="0"/>
              <w:left w:val="single" w:color="auto" w:sz="4" w:space="0"/>
              <w:bottom w:val="single" w:color="auto" w:sz="4" w:space="0"/>
              <w:right w:val="single" w:color="auto" w:sz="4" w:space="0"/>
            </w:tcBorders>
            <w:vAlign w:val="center"/>
          </w:tcPr>
          <w:p w14:paraId="2D5EBFB8">
            <w:pPr>
              <w:contextualSpacing/>
              <w:jc w:val="center"/>
              <w:rPr>
                <w:rFonts w:hint="eastAsia" w:ascii="宋体" w:hAnsi="宋体" w:cs="宋体"/>
                <w:szCs w:val="21"/>
              </w:rPr>
            </w:pPr>
            <w:r>
              <w:rPr>
                <w:rFonts w:hint="eastAsia" w:ascii="宋体" w:hAnsi="宋体" w:cs="宋体"/>
                <w:szCs w:val="21"/>
              </w:rPr>
              <w:t>3</w:t>
            </w:r>
          </w:p>
        </w:tc>
        <w:tc>
          <w:tcPr>
            <w:tcW w:w="3604" w:type="pct"/>
            <w:tcBorders>
              <w:top w:val="single" w:color="auto" w:sz="4" w:space="0"/>
              <w:left w:val="single" w:color="auto" w:sz="4" w:space="0"/>
              <w:bottom w:val="single" w:color="auto" w:sz="4" w:space="0"/>
              <w:right w:val="single" w:color="auto" w:sz="4" w:space="0"/>
            </w:tcBorders>
            <w:vAlign w:val="center"/>
          </w:tcPr>
          <w:p w14:paraId="6C034C2C">
            <w:pPr>
              <w:contextualSpacing/>
              <w:jc w:val="left"/>
              <w:rPr>
                <w:rFonts w:hint="eastAsia" w:ascii="宋体" w:hAnsi="宋体" w:cs="宋体"/>
                <w:szCs w:val="21"/>
              </w:rPr>
            </w:pPr>
            <w:r>
              <w:rPr>
                <w:rFonts w:hint="eastAsia" w:ascii="宋体" w:hAnsi="宋体" w:cs="宋体"/>
                <w:szCs w:val="21"/>
              </w:rPr>
              <w:t>供应商承诺在满足《建设工程质量管理条例》规定的建设工程的最低保修期限的基础上，每承诺多提供1年质量保修期加2分，最多加3分。需提供承诺书并加盖供应商公章（格式自拟）。</w:t>
            </w:r>
          </w:p>
        </w:tc>
      </w:tr>
      <w:tr w14:paraId="5DA0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18" w:type="pct"/>
            <w:vMerge w:val="continue"/>
            <w:tcBorders>
              <w:left w:val="single" w:color="auto" w:sz="4" w:space="0"/>
              <w:right w:val="single" w:color="auto" w:sz="4" w:space="0"/>
            </w:tcBorders>
            <w:vAlign w:val="center"/>
          </w:tcPr>
          <w:p w14:paraId="7FD3A9D4">
            <w:pPr>
              <w:contextualSpacing/>
              <w:jc w:val="center"/>
              <w:rPr>
                <w:rFonts w:hint="eastAsia" w:ascii="宋体" w:hAnsi="宋体" w:cs="宋体"/>
                <w:b/>
                <w:bCs/>
                <w:color w:val="FF0000"/>
                <w:szCs w:val="21"/>
              </w:rPr>
            </w:pPr>
          </w:p>
        </w:tc>
        <w:tc>
          <w:tcPr>
            <w:tcW w:w="604" w:type="pct"/>
            <w:tcBorders>
              <w:top w:val="single" w:color="auto" w:sz="4" w:space="0"/>
              <w:left w:val="single" w:color="auto" w:sz="4" w:space="0"/>
              <w:right w:val="single" w:color="auto" w:sz="4" w:space="0"/>
            </w:tcBorders>
            <w:vAlign w:val="center"/>
          </w:tcPr>
          <w:p w14:paraId="390F63C0">
            <w:pPr>
              <w:jc w:val="center"/>
              <w:rPr>
                <w:rFonts w:hint="eastAsia" w:ascii="宋体" w:hAnsi="宋体" w:cs="宋体"/>
                <w:bCs/>
                <w:szCs w:val="21"/>
              </w:rPr>
            </w:pPr>
            <w:r>
              <w:rPr>
                <w:rFonts w:hint="eastAsia" w:ascii="宋体" w:hAnsi="宋体" w:cs="宋体"/>
                <w:bCs/>
                <w:szCs w:val="21"/>
              </w:rPr>
              <w:t>安全生产、文明施工措施</w:t>
            </w:r>
          </w:p>
        </w:tc>
        <w:tc>
          <w:tcPr>
            <w:tcW w:w="372" w:type="pct"/>
            <w:tcBorders>
              <w:top w:val="single" w:color="auto" w:sz="4" w:space="0"/>
              <w:left w:val="single" w:color="auto" w:sz="4" w:space="0"/>
              <w:bottom w:val="single" w:color="auto" w:sz="4" w:space="0"/>
              <w:right w:val="single" w:color="auto" w:sz="4" w:space="0"/>
            </w:tcBorders>
            <w:vAlign w:val="center"/>
          </w:tcPr>
          <w:p w14:paraId="054FC948">
            <w:pPr>
              <w:contextualSpacing/>
              <w:jc w:val="center"/>
              <w:rPr>
                <w:rFonts w:hint="eastAsia" w:ascii="宋体" w:hAnsi="宋体" w:cs="宋体"/>
                <w:szCs w:val="21"/>
              </w:rPr>
            </w:pPr>
            <w:r>
              <w:rPr>
                <w:rFonts w:hint="eastAsia" w:ascii="宋体" w:hAnsi="宋体" w:cs="宋体"/>
                <w:szCs w:val="21"/>
              </w:rPr>
              <w:t>7</w:t>
            </w:r>
          </w:p>
        </w:tc>
        <w:tc>
          <w:tcPr>
            <w:tcW w:w="3604" w:type="pct"/>
            <w:tcBorders>
              <w:top w:val="single" w:color="auto" w:sz="4" w:space="0"/>
              <w:left w:val="single" w:color="auto" w:sz="4" w:space="0"/>
              <w:bottom w:val="single" w:color="auto" w:sz="4" w:space="0"/>
              <w:right w:val="single" w:color="auto" w:sz="4" w:space="0"/>
            </w:tcBorders>
            <w:vAlign w:val="center"/>
          </w:tcPr>
          <w:p w14:paraId="76F5504E">
            <w:pPr>
              <w:contextualSpacing/>
              <w:jc w:val="left"/>
              <w:rPr>
                <w:rFonts w:hint="eastAsia" w:ascii="宋体" w:hAnsi="宋体" w:cs="宋体"/>
                <w:szCs w:val="21"/>
              </w:rPr>
            </w:pPr>
            <w:r>
              <w:rPr>
                <w:rFonts w:hint="eastAsia" w:ascii="宋体" w:hAnsi="宋体" w:cs="宋体"/>
                <w:szCs w:val="21"/>
              </w:rPr>
              <w:t>1）安全生产、文明施工措施内容全面、方案科学、针对性强、合理性强，完全满足项目需要，得7分；</w:t>
            </w:r>
          </w:p>
          <w:p w14:paraId="241B03B3">
            <w:pPr>
              <w:contextualSpacing/>
              <w:jc w:val="left"/>
              <w:rPr>
                <w:rFonts w:hint="eastAsia" w:ascii="宋体" w:hAnsi="宋体" w:cs="宋体"/>
                <w:szCs w:val="21"/>
              </w:rPr>
            </w:pPr>
            <w:r>
              <w:rPr>
                <w:rFonts w:hint="eastAsia" w:ascii="宋体" w:hAnsi="宋体" w:cs="宋体"/>
                <w:szCs w:val="21"/>
              </w:rPr>
              <w:t>2）安全生产、文明施工措施内容较全面、方案较科学、针对性较强、合理性较强，可较好的满足项目需要，得5分；</w:t>
            </w:r>
          </w:p>
          <w:p w14:paraId="602FBEAC">
            <w:pPr>
              <w:contextualSpacing/>
              <w:jc w:val="left"/>
              <w:rPr>
                <w:rFonts w:hint="eastAsia" w:ascii="宋体" w:hAnsi="宋体" w:cs="宋体"/>
                <w:szCs w:val="21"/>
              </w:rPr>
            </w:pPr>
            <w:r>
              <w:rPr>
                <w:rFonts w:hint="eastAsia" w:ascii="宋体" w:hAnsi="宋体" w:cs="宋体"/>
                <w:szCs w:val="21"/>
              </w:rPr>
              <w:t>3）安全生产、文明施工措施内容基本全面、方案基本科学、针对性一般、合理性一般，基本满足项目需要，得3分；</w:t>
            </w:r>
          </w:p>
          <w:p w14:paraId="5816069D">
            <w:pPr>
              <w:contextualSpacing/>
              <w:jc w:val="left"/>
              <w:rPr>
                <w:rFonts w:hint="eastAsia" w:ascii="宋体" w:hAnsi="宋体" w:cs="宋体"/>
                <w:szCs w:val="21"/>
              </w:rPr>
            </w:pPr>
            <w:r>
              <w:rPr>
                <w:rFonts w:hint="eastAsia" w:ascii="宋体" w:hAnsi="宋体" w:cs="宋体"/>
                <w:szCs w:val="21"/>
              </w:rPr>
              <w:t>4）安全生产、文明施工措施内容不够全面、不够合理、缺少针对性，部分满足项目需要，得1分；</w:t>
            </w:r>
          </w:p>
          <w:p w14:paraId="72876D23">
            <w:pPr>
              <w:contextualSpacing/>
              <w:jc w:val="left"/>
              <w:rPr>
                <w:rFonts w:hint="eastAsia" w:ascii="宋体" w:hAnsi="宋体" w:cs="宋体"/>
                <w:szCs w:val="21"/>
              </w:rPr>
            </w:pPr>
            <w:r>
              <w:rPr>
                <w:rFonts w:hint="eastAsia" w:ascii="宋体" w:hAnsi="宋体" w:cs="宋体"/>
                <w:szCs w:val="21"/>
              </w:rPr>
              <w:t>5）未提供安全生产、文明施工措施，得0分。</w:t>
            </w:r>
          </w:p>
        </w:tc>
      </w:tr>
      <w:tr w14:paraId="7325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18" w:type="pct"/>
            <w:vMerge w:val="continue"/>
            <w:tcBorders>
              <w:left w:val="single" w:color="auto" w:sz="4" w:space="0"/>
              <w:right w:val="single" w:color="auto" w:sz="4" w:space="0"/>
            </w:tcBorders>
            <w:vAlign w:val="center"/>
          </w:tcPr>
          <w:p w14:paraId="637BD040">
            <w:pPr>
              <w:contextualSpacing/>
              <w:jc w:val="center"/>
              <w:rPr>
                <w:rFonts w:hint="eastAsia" w:ascii="宋体" w:hAnsi="宋体" w:cs="宋体"/>
                <w:b/>
                <w:bCs/>
                <w:color w:val="FF0000"/>
                <w:szCs w:val="21"/>
              </w:rPr>
            </w:pPr>
          </w:p>
        </w:tc>
        <w:tc>
          <w:tcPr>
            <w:tcW w:w="604" w:type="pct"/>
            <w:tcBorders>
              <w:top w:val="single" w:color="auto" w:sz="4" w:space="0"/>
              <w:left w:val="single" w:color="auto" w:sz="4" w:space="0"/>
              <w:right w:val="single" w:color="auto" w:sz="4" w:space="0"/>
            </w:tcBorders>
            <w:vAlign w:val="center"/>
          </w:tcPr>
          <w:p w14:paraId="03A6D559">
            <w:pPr>
              <w:jc w:val="center"/>
              <w:rPr>
                <w:rFonts w:hint="eastAsia" w:ascii="宋体" w:hAnsi="宋体" w:cs="宋体"/>
                <w:szCs w:val="21"/>
              </w:rPr>
            </w:pPr>
            <w:r>
              <w:rPr>
                <w:rFonts w:hint="eastAsia" w:ascii="宋体" w:hAnsi="宋体" w:cs="宋体"/>
                <w:szCs w:val="21"/>
              </w:rPr>
              <w:t>特殊气候条件下的施工方案</w:t>
            </w:r>
          </w:p>
        </w:tc>
        <w:tc>
          <w:tcPr>
            <w:tcW w:w="372" w:type="pct"/>
            <w:tcBorders>
              <w:top w:val="single" w:color="auto" w:sz="4" w:space="0"/>
              <w:left w:val="single" w:color="auto" w:sz="4" w:space="0"/>
              <w:bottom w:val="single" w:color="auto" w:sz="4" w:space="0"/>
              <w:right w:val="single" w:color="auto" w:sz="4" w:space="0"/>
            </w:tcBorders>
            <w:vAlign w:val="center"/>
          </w:tcPr>
          <w:p w14:paraId="72BFD715">
            <w:pPr>
              <w:contextualSpacing/>
              <w:jc w:val="center"/>
              <w:rPr>
                <w:rFonts w:hint="eastAsia" w:ascii="宋体" w:hAnsi="宋体" w:cs="宋体"/>
                <w:szCs w:val="21"/>
              </w:rPr>
            </w:pPr>
            <w:r>
              <w:rPr>
                <w:rFonts w:hint="eastAsia" w:ascii="宋体" w:hAnsi="宋体" w:cs="宋体"/>
                <w:szCs w:val="21"/>
              </w:rPr>
              <w:t>6</w:t>
            </w:r>
          </w:p>
        </w:tc>
        <w:tc>
          <w:tcPr>
            <w:tcW w:w="3604" w:type="pct"/>
            <w:tcBorders>
              <w:top w:val="single" w:color="auto" w:sz="4" w:space="0"/>
              <w:left w:val="single" w:color="auto" w:sz="4" w:space="0"/>
              <w:bottom w:val="single" w:color="auto" w:sz="4" w:space="0"/>
              <w:right w:val="single" w:color="auto" w:sz="4" w:space="0"/>
            </w:tcBorders>
            <w:vAlign w:val="center"/>
          </w:tcPr>
          <w:p w14:paraId="15C21CFD">
            <w:pPr>
              <w:pStyle w:val="251"/>
              <w:rPr>
                <w:rFonts w:hint="eastAsia" w:ascii="宋体" w:hAnsi="宋体" w:cs="宋体"/>
                <w:szCs w:val="21"/>
              </w:rPr>
            </w:pPr>
            <w:r>
              <w:rPr>
                <w:rFonts w:hint="eastAsia" w:ascii="宋体" w:hAnsi="宋体" w:cs="宋体"/>
                <w:szCs w:val="21"/>
              </w:rPr>
              <w:t>1）方案及措施全面，科学性、专业性、完整性强；方案阐述详细、无遗漏，针对性强，可完全满足项目需求，得6分；</w:t>
            </w:r>
          </w:p>
          <w:p w14:paraId="17B04B87">
            <w:pPr>
              <w:pStyle w:val="251"/>
              <w:rPr>
                <w:rFonts w:hint="eastAsia" w:ascii="宋体" w:hAnsi="宋体" w:cs="宋体"/>
                <w:szCs w:val="21"/>
              </w:rPr>
            </w:pPr>
            <w:r>
              <w:rPr>
                <w:rFonts w:hint="eastAsia" w:ascii="宋体" w:hAnsi="宋体" w:cs="宋体"/>
                <w:szCs w:val="21"/>
              </w:rPr>
              <w:t>2）方案及措施较全面，科学性、专业性、完整性一般；方案阐述完整，针对性较弱，基本可满足项目需求，得3分；</w:t>
            </w:r>
          </w:p>
          <w:p w14:paraId="36803703">
            <w:pPr>
              <w:pStyle w:val="251"/>
              <w:rPr>
                <w:rFonts w:hint="eastAsia" w:ascii="宋体" w:hAnsi="宋体" w:cs="宋体"/>
                <w:szCs w:val="21"/>
              </w:rPr>
            </w:pPr>
            <w:r>
              <w:rPr>
                <w:rFonts w:hint="eastAsia" w:ascii="宋体" w:hAnsi="宋体" w:cs="宋体"/>
                <w:szCs w:val="21"/>
              </w:rPr>
              <w:t>3）方案及措施基本全面，专业性和科学性较差，方案的描述基本完整，但有遗漏的内容，具有一定的专业性，部分满足项目需求，得1分；</w:t>
            </w:r>
          </w:p>
          <w:p w14:paraId="59D2DA24">
            <w:pPr>
              <w:contextualSpacing/>
              <w:jc w:val="left"/>
              <w:rPr>
                <w:rFonts w:hint="eastAsia" w:ascii="宋体" w:hAnsi="宋体" w:cs="宋体"/>
                <w:szCs w:val="21"/>
              </w:rPr>
            </w:pPr>
            <w:r>
              <w:rPr>
                <w:rFonts w:hint="eastAsia" w:ascii="宋体" w:hAnsi="宋体" w:cs="宋体"/>
                <w:szCs w:val="21"/>
              </w:rPr>
              <w:t>4）未提供具体方案及措施的，得0分。</w:t>
            </w:r>
          </w:p>
        </w:tc>
      </w:tr>
      <w:tr w14:paraId="23F8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18" w:type="pct"/>
            <w:vMerge w:val="continue"/>
            <w:tcBorders>
              <w:left w:val="single" w:color="auto" w:sz="4" w:space="0"/>
              <w:right w:val="single" w:color="auto" w:sz="4" w:space="0"/>
            </w:tcBorders>
            <w:vAlign w:val="center"/>
          </w:tcPr>
          <w:p w14:paraId="3D017F87">
            <w:pPr>
              <w:contextualSpacing/>
              <w:jc w:val="center"/>
              <w:rPr>
                <w:rFonts w:hint="eastAsia" w:ascii="宋体" w:hAnsi="宋体" w:cs="宋体"/>
                <w:b/>
                <w:bCs/>
                <w:color w:val="FF0000"/>
                <w:szCs w:val="21"/>
              </w:rPr>
            </w:pPr>
          </w:p>
        </w:tc>
        <w:tc>
          <w:tcPr>
            <w:tcW w:w="604" w:type="pct"/>
            <w:tcBorders>
              <w:top w:val="single" w:color="auto" w:sz="4" w:space="0"/>
              <w:left w:val="single" w:color="auto" w:sz="4" w:space="0"/>
              <w:bottom w:val="single" w:color="auto" w:sz="4" w:space="0"/>
              <w:right w:val="single" w:color="auto" w:sz="4" w:space="0"/>
            </w:tcBorders>
            <w:vAlign w:val="center"/>
          </w:tcPr>
          <w:p w14:paraId="5DD6707D">
            <w:pPr>
              <w:jc w:val="center"/>
              <w:rPr>
                <w:rFonts w:hint="eastAsia" w:ascii="宋体" w:hAnsi="宋体" w:cs="宋体"/>
                <w:szCs w:val="21"/>
              </w:rPr>
            </w:pPr>
            <w:r>
              <w:rPr>
                <w:rFonts w:hint="eastAsia" w:ascii="宋体" w:hAnsi="宋体" w:cs="宋体"/>
                <w:szCs w:val="21"/>
              </w:rPr>
              <w:t>应急预案</w:t>
            </w:r>
          </w:p>
        </w:tc>
        <w:tc>
          <w:tcPr>
            <w:tcW w:w="372" w:type="pct"/>
            <w:tcBorders>
              <w:top w:val="single" w:color="auto" w:sz="4" w:space="0"/>
              <w:left w:val="single" w:color="auto" w:sz="4" w:space="0"/>
              <w:bottom w:val="single" w:color="auto" w:sz="4" w:space="0"/>
              <w:right w:val="single" w:color="auto" w:sz="4" w:space="0"/>
            </w:tcBorders>
            <w:vAlign w:val="center"/>
          </w:tcPr>
          <w:p w14:paraId="1B494BD0">
            <w:pPr>
              <w:contextualSpacing/>
              <w:jc w:val="center"/>
              <w:rPr>
                <w:rFonts w:hint="eastAsia" w:ascii="宋体" w:hAnsi="宋体" w:cs="宋体"/>
                <w:szCs w:val="21"/>
              </w:rPr>
            </w:pPr>
            <w:r>
              <w:rPr>
                <w:rFonts w:hint="eastAsia" w:ascii="宋体" w:hAnsi="宋体" w:cs="宋体"/>
                <w:szCs w:val="21"/>
              </w:rPr>
              <w:t>6</w:t>
            </w:r>
          </w:p>
        </w:tc>
        <w:tc>
          <w:tcPr>
            <w:tcW w:w="3604" w:type="pct"/>
            <w:tcBorders>
              <w:top w:val="single" w:color="auto" w:sz="4" w:space="0"/>
              <w:left w:val="single" w:color="auto" w:sz="4" w:space="0"/>
              <w:bottom w:val="single" w:color="auto" w:sz="4" w:space="0"/>
              <w:right w:val="single" w:color="auto" w:sz="4" w:space="0"/>
            </w:tcBorders>
            <w:vAlign w:val="center"/>
          </w:tcPr>
          <w:p w14:paraId="4E58A39D">
            <w:pPr>
              <w:pStyle w:val="251"/>
              <w:rPr>
                <w:rFonts w:hint="eastAsia" w:ascii="宋体" w:hAnsi="宋体" w:cs="宋体"/>
                <w:szCs w:val="21"/>
              </w:rPr>
            </w:pPr>
            <w:r>
              <w:rPr>
                <w:rFonts w:hint="eastAsia" w:ascii="宋体" w:hAnsi="宋体" w:cs="宋体"/>
                <w:szCs w:val="21"/>
              </w:rPr>
              <w:t>1）方案及措施全面，科学性、专业性、完整性强；方案阐述详细、无遗漏，针对性强，可完全满足项目需求，得6分；</w:t>
            </w:r>
          </w:p>
          <w:p w14:paraId="7C60198F">
            <w:pPr>
              <w:pStyle w:val="251"/>
              <w:rPr>
                <w:rFonts w:hint="eastAsia" w:ascii="宋体" w:hAnsi="宋体" w:cs="宋体"/>
                <w:szCs w:val="21"/>
              </w:rPr>
            </w:pPr>
            <w:r>
              <w:rPr>
                <w:rFonts w:hint="eastAsia" w:ascii="宋体" w:hAnsi="宋体" w:cs="宋体"/>
                <w:szCs w:val="21"/>
              </w:rPr>
              <w:t>2）方案及措施较全面，科学性、专业性、完整性一般；方案阐述完整，针对性较弱，基本可满足项目需求，得3分；</w:t>
            </w:r>
          </w:p>
          <w:p w14:paraId="7E852AC0">
            <w:pPr>
              <w:pStyle w:val="251"/>
              <w:rPr>
                <w:rFonts w:hint="eastAsia" w:ascii="宋体" w:hAnsi="宋体" w:cs="宋体"/>
                <w:szCs w:val="21"/>
              </w:rPr>
            </w:pPr>
            <w:r>
              <w:rPr>
                <w:rFonts w:hint="eastAsia" w:ascii="宋体" w:hAnsi="宋体" w:cs="宋体"/>
                <w:szCs w:val="21"/>
              </w:rPr>
              <w:t>3）方案及措施基本全面，专业性和科学性较差，方案的描述基本完整，但有遗漏的内容，具有一定的专业性，部分满足项目需求，得1分；</w:t>
            </w:r>
          </w:p>
          <w:p w14:paraId="59C4DEF9">
            <w:pPr>
              <w:contextualSpacing/>
              <w:jc w:val="left"/>
              <w:rPr>
                <w:rFonts w:hint="eastAsia" w:ascii="宋体" w:hAnsi="宋体" w:cs="宋体"/>
                <w:szCs w:val="21"/>
              </w:rPr>
            </w:pPr>
            <w:r>
              <w:rPr>
                <w:rFonts w:hint="eastAsia" w:ascii="宋体" w:hAnsi="宋体" w:cs="宋体"/>
                <w:szCs w:val="21"/>
              </w:rPr>
              <w:t>4）未提供具体方案及措施的，得0分。</w:t>
            </w:r>
          </w:p>
        </w:tc>
      </w:tr>
      <w:tr w14:paraId="1C0C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23" w:type="pct"/>
            <w:gridSpan w:val="2"/>
            <w:tcBorders>
              <w:left w:val="single" w:color="auto" w:sz="4" w:space="0"/>
              <w:right w:val="single" w:color="auto" w:sz="4" w:space="0"/>
            </w:tcBorders>
            <w:vAlign w:val="center"/>
          </w:tcPr>
          <w:p w14:paraId="4A451C34">
            <w:pPr>
              <w:jc w:val="center"/>
              <w:rPr>
                <w:rFonts w:hint="eastAsia" w:ascii="宋体" w:hAnsi="宋体" w:cs="宋体"/>
                <w:szCs w:val="21"/>
              </w:rPr>
            </w:pPr>
            <w:r>
              <w:rPr>
                <w:rFonts w:hint="eastAsia" w:ascii="宋体" w:hAnsi="宋体" w:cs="宋体"/>
                <w:szCs w:val="21"/>
              </w:rPr>
              <w:t>合计</w:t>
            </w:r>
          </w:p>
        </w:tc>
        <w:tc>
          <w:tcPr>
            <w:tcW w:w="372" w:type="pct"/>
            <w:tcBorders>
              <w:top w:val="single" w:color="auto" w:sz="4" w:space="0"/>
              <w:left w:val="single" w:color="auto" w:sz="4" w:space="0"/>
              <w:right w:val="single" w:color="auto" w:sz="4" w:space="0"/>
            </w:tcBorders>
            <w:vAlign w:val="center"/>
          </w:tcPr>
          <w:p w14:paraId="5581F680">
            <w:pPr>
              <w:contextualSpacing/>
              <w:jc w:val="center"/>
              <w:rPr>
                <w:rFonts w:hint="eastAsia" w:ascii="宋体" w:hAnsi="宋体" w:cs="宋体"/>
                <w:szCs w:val="21"/>
              </w:rPr>
            </w:pPr>
            <w:r>
              <w:rPr>
                <w:rFonts w:hint="eastAsia" w:ascii="宋体" w:hAnsi="宋体" w:cs="宋体"/>
                <w:szCs w:val="21"/>
              </w:rPr>
              <w:t>100</w:t>
            </w:r>
          </w:p>
        </w:tc>
        <w:tc>
          <w:tcPr>
            <w:tcW w:w="3604" w:type="pct"/>
            <w:tcBorders>
              <w:top w:val="single" w:color="auto" w:sz="4" w:space="0"/>
              <w:left w:val="single" w:color="auto" w:sz="4" w:space="0"/>
              <w:right w:val="single" w:color="auto" w:sz="4" w:space="0"/>
            </w:tcBorders>
            <w:vAlign w:val="center"/>
          </w:tcPr>
          <w:p w14:paraId="460A50B5">
            <w:pPr>
              <w:contextualSpacing/>
              <w:jc w:val="left"/>
              <w:rPr>
                <w:rFonts w:hint="eastAsia" w:ascii="宋体" w:hAnsi="宋体" w:cs="宋体"/>
                <w:szCs w:val="21"/>
              </w:rPr>
            </w:pPr>
          </w:p>
        </w:tc>
      </w:tr>
    </w:tbl>
    <w:p w14:paraId="006B95EF">
      <w:pPr>
        <w:tabs>
          <w:tab w:val="left" w:pos="360"/>
          <w:tab w:val="left" w:pos="900"/>
          <w:tab w:val="left" w:pos="1080"/>
          <w:tab w:val="left" w:pos="2014"/>
        </w:tabs>
        <w:snapToGrid w:val="0"/>
        <w:spacing w:line="360" w:lineRule="auto"/>
        <w:rPr>
          <w:rFonts w:eastAsiaTheme="minorEastAsia"/>
          <w:sz w:val="24"/>
        </w:rPr>
      </w:pPr>
      <w:r>
        <w:rPr>
          <w:rFonts w:hint="eastAsia" w:eastAsiaTheme="minorEastAsia"/>
          <w:b/>
          <w:sz w:val="24"/>
        </w:rPr>
        <w:t>注：评分分值计算保留小数点后两位，小数点后第三位“四舍五入”。</w:t>
      </w:r>
    </w:p>
    <w:p w14:paraId="41CAF231">
      <w:pPr>
        <w:tabs>
          <w:tab w:val="left" w:pos="360"/>
          <w:tab w:val="left" w:pos="1080"/>
        </w:tabs>
        <w:snapToGrid w:val="0"/>
        <w:spacing w:line="360" w:lineRule="auto"/>
        <w:ind w:left="1080"/>
        <w:rPr>
          <w:rFonts w:eastAsiaTheme="minorEastAsia"/>
          <w:color w:val="000000"/>
          <w:sz w:val="24"/>
        </w:rPr>
      </w:pPr>
    </w:p>
    <w:p w14:paraId="03441C63">
      <w:pPr>
        <w:widowControl/>
        <w:jc w:val="left"/>
        <w:rPr>
          <w:rFonts w:eastAsiaTheme="minorEastAsia"/>
          <w:b/>
          <w:sz w:val="36"/>
          <w:szCs w:val="36"/>
        </w:rPr>
      </w:pPr>
    </w:p>
    <w:p w14:paraId="4DCA75E1">
      <w:pPr>
        <w:pStyle w:val="2"/>
        <w:rPr>
          <w:rFonts w:hint="eastAsia" w:eastAsiaTheme="minorEastAsia"/>
          <w:szCs w:val="36"/>
        </w:rPr>
      </w:pPr>
      <w:r>
        <w:rPr>
          <w:rFonts w:eastAsiaTheme="minorEastAsia"/>
          <w:szCs w:val="36"/>
        </w:rPr>
        <w:br w:type="page"/>
      </w:r>
      <w:bookmarkStart w:id="674" w:name="_Toc16987"/>
      <w:r>
        <w:t>第四章   采购需求</w:t>
      </w:r>
      <w:bookmarkEnd w:id="674"/>
    </w:p>
    <w:p w14:paraId="1240001D">
      <w:pPr>
        <w:pStyle w:val="74"/>
        <w:numPr>
          <w:ilvl w:val="0"/>
          <w:numId w:val="1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采购标的</w:t>
      </w:r>
    </w:p>
    <w:p w14:paraId="272ED6E1">
      <w:pPr>
        <w:spacing w:line="360" w:lineRule="auto"/>
        <w:contextualSpacing/>
        <w:rPr>
          <w:rFonts w:eastAsiaTheme="minorEastAsia"/>
          <w:bCs/>
          <w:sz w:val="24"/>
        </w:rPr>
      </w:pPr>
      <w:r>
        <w:rPr>
          <w:rFonts w:eastAsiaTheme="minorEastAsia"/>
          <w:bCs/>
          <w:sz w:val="24"/>
        </w:rPr>
        <w:t>1. 采购标的（货物需求一览表或简要服务内容及数量）</w:t>
      </w:r>
    </w:p>
    <w:p w14:paraId="2B90D4FC">
      <w:pPr>
        <w:spacing w:line="360" w:lineRule="auto"/>
        <w:contextualSpacing/>
        <w:rPr>
          <w:rFonts w:eastAsiaTheme="minorEastAsia"/>
          <w:bCs/>
          <w:sz w:val="24"/>
        </w:rPr>
      </w:pPr>
      <w:r>
        <w:rPr>
          <w:rFonts w:eastAsiaTheme="minorEastAsia"/>
          <w:b/>
          <w:sz w:val="24"/>
        </w:rPr>
        <w:t>采购标的</w:t>
      </w:r>
      <w:r>
        <w:rPr>
          <w:rFonts w:hint="eastAsia" w:eastAsiaTheme="minorEastAsia"/>
          <w:b/>
          <w:sz w:val="24"/>
        </w:rPr>
        <w:t>：</w:t>
      </w:r>
      <w:r>
        <w:rPr>
          <w:rFonts w:hint="eastAsia" w:eastAsiaTheme="minorEastAsia"/>
          <w:bCs/>
          <w:sz w:val="24"/>
        </w:rPr>
        <w:t>额度外—2026年丰台区职业教育中心学校芳群园校区四楼改造其他建筑工程采购项目</w:t>
      </w:r>
    </w:p>
    <w:p w14:paraId="1773B8AE">
      <w:pPr>
        <w:spacing w:line="360" w:lineRule="auto"/>
        <w:contextualSpacing/>
        <w:rPr>
          <w:rFonts w:eastAsiaTheme="minorEastAsia"/>
          <w:bCs/>
          <w:sz w:val="24"/>
        </w:rPr>
      </w:pPr>
      <w:r>
        <w:rPr>
          <w:rFonts w:eastAsiaTheme="minorEastAsia"/>
          <w:bCs/>
          <w:sz w:val="24"/>
        </w:rPr>
        <w:t>2. 项目背景/项目概述（如有）</w:t>
      </w:r>
      <w:r>
        <w:rPr>
          <w:rFonts w:hint="eastAsia" w:eastAsiaTheme="minorEastAsia"/>
          <w:bCs/>
          <w:sz w:val="24"/>
        </w:rPr>
        <w:t>：/</w:t>
      </w:r>
    </w:p>
    <w:p w14:paraId="48EBA087">
      <w:pPr>
        <w:spacing w:line="360" w:lineRule="auto"/>
        <w:ind w:firstLine="482"/>
        <w:contextualSpacing/>
        <w:rPr>
          <w:rFonts w:eastAsiaTheme="minorEastAsia"/>
          <w:b/>
          <w:sz w:val="24"/>
        </w:rPr>
      </w:pPr>
    </w:p>
    <w:p w14:paraId="27BA5A3F">
      <w:pPr>
        <w:pStyle w:val="74"/>
        <w:numPr>
          <w:ilvl w:val="0"/>
          <w:numId w:val="1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商务要求</w:t>
      </w:r>
    </w:p>
    <w:p w14:paraId="53AB70B2">
      <w:pPr>
        <w:spacing w:line="360" w:lineRule="auto"/>
        <w:contextualSpacing/>
        <w:rPr>
          <w:rFonts w:eastAsiaTheme="minorEastAsia"/>
          <w:i/>
          <w:sz w:val="24"/>
        </w:rPr>
      </w:pPr>
      <w:r>
        <w:rPr>
          <w:rFonts w:eastAsiaTheme="minorEastAsia"/>
          <w:sz w:val="24"/>
        </w:rPr>
        <w:t>1. 交付（实施）的时间（期限）和地点（范围）</w:t>
      </w:r>
    </w:p>
    <w:p w14:paraId="527B2632">
      <w:pPr>
        <w:spacing w:line="360" w:lineRule="auto"/>
        <w:ind w:firstLine="420"/>
        <w:contextualSpacing/>
        <w:rPr>
          <w:rFonts w:hint="eastAsia" w:ascii="宋体" w:hAnsi="宋体" w:cs="宋体"/>
          <w:bCs/>
          <w:sz w:val="24"/>
          <w:szCs w:val="20"/>
        </w:rPr>
      </w:pPr>
      <w:r>
        <w:rPr>
          <w:rFonts w:hint="eastAsia" w:ascii="宋体" w:hAnsi="宋体" w:cs="宋体"/>
          <w:bCs/>
          <w:sz w:val="24"/>
          <w:szCs w:val="20"/>
        </w:rPr>
        <w:t>交付（实施）的时间（期限）：计划工期：</w:t>
      </w:r>
      <w:r>
        <w:rPr>
          <w:rFonts w:hint="eastAsia" w:eastAsiaTheme="minorEastAsia"/>
          <w:bCs/>
          <w:sz w:val="24"/>
        </w:rPr>
        <w:t>40</w:t>
      </w:r>
      <w:r>
        <w:rPr>
          <w:rFonts w:hint="eastAsia" w:ascii="宋体" w:hAnsi="宋体" w:cs="宋体"/>
          <w:bCs/>
          <w:sz w:val="24"/>
          <w:szCs w:val="20"/>
        </w:rPr>
        <w:t>天。开工时间以采购人通知为准。</w:t>
      </w:r>
    </w:p>
    <w:p w14:paraId="5467C8E7">
      <w:pPr>
        <w:tabs>
          <w:tab w:val="left" w:pos="1680"/>
        </w:tabs>
        <w:spacing w:line="360" w:lineRule="auto"/>
        <w:ind w:firstLine="420"/>
        <w:contextualSpacing/>
        <w:rPr>
          <w:rFonts w:hint="eastAsia" w:ascii="宋体" w:hAnsi="宋体" w:cs="宋体"/>
          <w:bCs/>
          <w:sz w:val="24"/>
          <w:szCs w:val="20"/>
        </w:rPr>
      </w:pPr>
      <w:r>
        <w:rPr>
          <w:rFonts w:hint="eastAsia" w:ascii="宋体" w:hAnsi="宋体" w:cs="宋体"/>
          <w:bCs/>
          <w:sz w:val="24"/>
          <w:szCs w:val="20"/>
        </w:rPr>
        <w:t>交付（实施）的地点（范围）：</w:t>
      </w:r>
      <w:r>
        <w:rPr>
          <w:rFonts w:hint="eastAsia" w:ascii="宋体" w:hAnsi="宋体" w:cs="宋体"/>
          <w:sz w:val="24"/>
        </w:rPr>
        <w:t>北京市丰台区方庄芳古园二区9号</w:t>
      </w:r>
      <w:r>
        <w:rPr>
          <w:rFonts w:hint="eastAsia" w:ascii="宋体" w:hAnsi="宋体" w:cs="宋体"/>
          <w:bCs/>
          <w:sz w:val="24"/>
          <w:szCs w:val="20"/>
        </w:rPr>
        <w:t xml:space="preserve"> 。</w:t>
      </w:r>
    </w:p>
    <w:p w14:paraId="712EBF40">
      <w:pPr>
        <w:spacing w:line="360" w:lineRule="auto"/>
        <w:contextualSpacing/>
        <w:rPr>
          <w:rFonts w:eastAsiaTheme="minorEastAsia"/>
          <w:sz w:val="24"/>
        </w:rPr>
      </w:pPr>
      <w:r>
        <w:rPr>
          <w:rFonts w:eastAsiaTheme="minorEastAsia"/>
          <w:sz w:val="24"/>
        </w:rPr>
        <w:t>2. 付款条件（进度和方式）</w:t>
      </w:r>
    </w:p>
    <w:p w14:paraId="5FA5438D">
      <w:pPr>
        <w:spacing w:line="360" w:lineRule="auto"/>
        <w:ind w:firstLine="420"/>
        <w:contextualSpacing/>
        <w:rPr>
          <w:rFonts w:eastAsiaTheme="minorEastAsia"/>
          <w:bCs/>
          <w:color w:val="FF0000"/>
          <w:sz w:val="24"/>
        </w:rPr>
      </w:pPr>
      <w:r>
        <w:rPr>
          <w:rFonts w:hint="eastAsia" w:eastAsiaTheme="minorEastAsia"/>
          <w:bCs/>
          <w:sz w:val="24"/>
        </w:rPr>
        <w:t>根据合同约定付款。</w:t>
      </w:r>
    </w:p>
    <w:p w14:paraId="78B53060">
      <w:pPr>
        <w:spacing w:line="360" w:lineRule="auto"/>
        <w:contextualSpacing/>
        <w:rPr>
          <w:rFonts w:eastAsiaTheme="minorEastAsia"/>
          <w:sz w:val="24"/>
        </w:rPr>
      </w:pPr>
      <w:r>
        <w:rPr>
          <w:rFonts w:hint="eastAsia" w:eastAsiaTheme="minorEastAsia"/>
          <w:sz w:val="24"/>
        </w:rPr>
        <w:t>3</w:t>
      </w:r>
      <w:r>
        <w:rPr>
          <w:rFonts w:eastAsiaTheme="minorEastAsia"/>
          <w:sz w:val="24"/>
        </w:rPr>
        <w:t>. 售后服务（质保期）</w:t>
      </w:r>
    </w:p>
    <w:p w14:paraId="49DC8F13">
      <w:pPr>
        <w:spacing w:line="360" w:lineRule="auto"/>
        <w:ind w:firstLine="420"/>
        <w:contextualSpacing/>
        <w:rPr>
          <w:rFonts w:hint="eastAsia" w:ascii="宋体" w:hAnsi="宋体" w:cs="宋体"/>
          <w:bCs/>
          <w:sz w:val="24"/>
          <w:szCs w:val="20"/>
        </w:rPr>
      </w:pPr>
      <w:r>
        <w:rPr>
          <w:rFonts w:hint="eastAsia" w:ascii="宋体" w:hAnsi="宋体" w:cs="宋体"/>
          <w:bCs/>
          <w:sz w:val="24"/>
          <w:szCs w:val="20"/>
        </w:rPr>
        <w:t>建设工程质量保修依据《建设工程质量管理条例》规定执行，保修期自竣工验收合格之日起计算。</w:t>
      </w:r>
    </w:p>
    <w:p w14:paraId="6067743C">
      <w:pPr>
        <w:pStyle w:val="74"/>
        <w:numPr>
          <w:ilvl w:val="0"/>
          <w:numId w:val="11"/>
        </w:numPr>
        <w:spacing w:line="360" w:lineRule="auto"/>
        <w:ind w:firstLineChars="0"/>
        <w:contextualSpacing/>
        <w:rPr>
          <w:rFonts w:ascii="Times New Roman" w:hAnsi="Times New Roman" w:eastAsiaTheme="minorEastAsia"/>
          <w:b/>
          <w:sz w:val="24"/>
          <w:szCs w:val="24"/>
        </w:rPr>
      </w:pPr>
      <w:r>
        <w:rPr>
          <w:rFonts w:ascii="Times New Roman" w:hAnsi="Times New Roman" w:eastAsiaTheme="minorEastAsia"/>
          <w:b/>
          <w:sz w:val="24"/>
          <w:szCs w:val="24"/>
        </w:rPr>
        <w:t>技术要求</w:t>
      </w:r>
    </w:p>
    <w:p w14:paraId="6B223558">
      <w:pPr>
        <w:spacing w:line="360" w:lineRule="auto"/>
        <w:contextualSpacing/>
        <w:rPr>
          <w:rFonts w:eastAsiaTheme="minorEastAsia"/>
          <w:sz w:val="24"/>
        </w:rPr>
      </w:pPr>
      <w:r>
        <w:rPr>
          <w:rFonts w:eastAsiaTheme="minorEastAsia"/>
          <w:sz w:val="24"/>
        </w:rPr>
        <w:t>1. 基本要求</w:t>
      </w:r>
    </w:p>
    <w:p w14:paraId="2B3379F5">
      <w:pPr>
        <w:spacing w:line="360" w:lineRule="auto"/>
        <w:ind w:firstLine="480" w:firstLineChars="200"/>
        <w:contextualSpacing/>
        <w:rPr>
          <w:rFonts w:eastAsiaTheme="minorEastAsia"/>
          <w:sz w:val="24"/>
        </w:rPr>
      </w:pPr>
      <w:r>
        <w:rPr>
          <w:rFonts w:eastAsiaTheme="minorEastAsia"/>
          <w:sz w:val="24"/>
        </w:rPr>
        <w:t>1.1 采购标的需实现的功能或者目标</w:t>
      </w:r>
    </w:p>
    <w:p w14:paraId="0720AB71">
      <w:pPr>
        <w:spacing w:line="360" w:lineRule="auto"/>
        <w:ind w:firstLine="480" w:firstLineChars="200"/>
        <w:contextualSpacing/>
        <w:rPr>
          <w:rFonts w:eastAsiaTheme="minorEastAsia"/>
          <w:sz w:val="24"/>
        </w:rPr>
      </w:pPr>
      <w:r>
        <w:rPr>
          <w:rFonts w:hint="eastAsia" w:eastAsiaTheme="minorEastAsia"/>
          <w:sz w:val="24"/>
        </w:rPr>
        <w:t>完成额度外—2026年丰台区职业教育中心学校芳群园校区四楼改造其他建筑工程采购项目所需全部内容。</w:t>
      </w:r>
    </w:p>
    <w:p w14:paraId="224E9F9F">
      <w:pPr>
        <w:spacing w:line="360" w:lineRule="auto"/>
        <w:ind w:firstLine="480" w:firstLineChars="200"/>
        <w:contextualSpacing/>
        <w:rPr>
          <w:rFonts w:eastAsiaTheme="minorEastAsia"/>
          <w:sz w:val="24"/>
        </w:rPr>
      </w:pPr>
      <w:r>
        <w:rPr>
          <w:rFonts w:eastAsiaTheme="minorEastAsia"/>
          <w:sz w:val="24"/>
        </w:rPr>
        <w:t>1.2 需执行的国家相关标准、行业标准、地方标准或者其他标准、规范</w:t>
      </w:r>
    </w:p>
    <w:p w14:paraId="1ABB2D1C">
      <w:pPr>
        <w:spacing w:line="360" w:lineRule="auto"/>
        <w:ind w:firstLine="480" w:firstLineChars="200"/>
        <w:contextualSpacing/>
        <w:rPr>
          <w:sz w:val="24"/>
        </w:rPr>
      </w:pPr>
      <w:r>
        <w:rPr>
          <w:rFonts w:hint="eastAsia"/>
          <w:sz w:val="24"/>
        </w:rPr>
        <w:t>需符合国家相关标准、行业标准、地方标准或者其他标准、规范，包括但不限于《中华人民共和国建筑法》、《建设工程质量管理条例》、《北京市建设工程安全文明施工费管理办法(试行)》、《北京市环境噪声污染防治办法》等。</w:t>
      </w:r>
    </w:p>
    <w:p w14:paraId="00A9111C">
      <w:pPr>
        <w:spacing w:line="360" w:lineRule="auto"/>
        <w:contextualSpacing/>
        <w:rPr>
          <w:rFonts w:eastAsiaTheme="minorEastAsia"/>
          <w:sz w:val="24"/>
        </w:rPr>
      </w:pPr>
      <w:r>
        <w:rPr>
          <w:rFonts w:eastAsiaTheme="minorEastAsia"/>
          <w:sz w:val="24"/>
        </w:rPr>
        <w:t>2. 服务内容及要求</w:t>
      </w:r>
    </w:p>
    <w:p w14:paraId="2A6BE18E">
      <w:pPr>
        <w:widowControl/>
        <w:spacing w:line="360" w:lineRule="auto"/>
        <w:ind w:firstLine="480" w:firstLineChars="200"/>
        <w:contextualSpacing/>
        <w:rPr>
          <w:rFonts w:eastAsiaTheme="minorEastAsia"/>
          <w:sz w:val="24"/>
        </w:rPr>
      </w:pPr>
      <w:r>
        <w:rPr>
          <w:rFonts w:eastAsiaTheme="minorEastAsia"/>
          <w:sz w:val="24"/>
        </w:rPr>
        <w:t>2.1</w:t>
      </w:r>
      <w:r>
        <w:rPr>
          <w:rFonts w:hint="eastAsia" w:eastAsiaTheme="minorEastAsia"/>
          <w:sz w:val="24"/>
        </w:rPr>
        <w:t>建设地点：北京市丰台区方庄芳古园二区9号</w:t>
      </w:r>
    </w:p>
    <w:p w14:paraId="4686DD41">
      <w:pPr>
        <w:widowControl/>
        <w:spacing w:line="360" w:lineRule="auto"/>
        <w:ind w:firstLine="480" w:firstLineChars="200"/>
        <w:contextualSpacing/>
        <w:rPr>
          <w:rFonts w:eastAsiaTheme="minorEastAsia"/>
          <w:sz w:val="24"/>
        </w:rPr>
      </w:pPr>
      <w:r>
        <w:rPr>
          <w:rFonts w:eastAsiaTheme="minorEastAsia"/>
          <w:sz w:val="24"/>
        </w:rPr>
        <w:t>2.2</w:t>
      </w:r>
      <w:r>
        <w:rPr>
          <w:rFonts w:hint="eastAsia"/>
          <w:sz w:val="24"/>
        </w:rPr>
        <w:t>本工程具体改造内容为：完成额度外—2026年丰台区职业教育中心学校芳群园校区四楼改造其他建筑工程采购项目所需全部内容，包括拆除工程、装饰装修工程、电气工程、土建及配套工程等内容。详见图纸及工程量清单。</w:t>
      </w:r>
    </w:p>
    <w:p w14:paraId="0027EFDC">
      <w:pPr>
        <w:widowControl/>
        <w:spacing w:line="360" w:lineRule="auto"/>
        <w:ind w:firstLine="480" w:firstLineChars="200"/>
        <w:contextualSpacing/>
        <w:rPr>
          <w:sz w:val="24"/>
        </w:rPr>
      </w:pPr>
      <w:r>
        <w:rPr>
          <w:rFonts w:eastAsiaTheme="minorEastAsia"/>
          <w:sz w:val="24"/>
        </w:rPr>
        <w:t>2.3</w:t>
      </w:r>
      <w:r>
        <w:rPr>
          <w:rFonts w:hint="eastAsia"/>
          <w:sz w:val="24"/>
        </w:rPr>
        <w:t>本项目招标控制价为：</w:t>
      </w:r>
      <w:r>
        <w:rPr>
          <w:rFonts w:hint="eastAsia" w:eastAsiaTheme="minorEastAsia"/>
          <w:sz w:val="24"/>
        </w:rPr>
        <w:t>1070667.11元</w:t>
      </w:r>
    </w:p>
    <w:p w14:paraId="1C8E721C">
      <w:pPr>
        <w:widowControl/>
        <w:spacing w:line="360" w:lineRule="auto"/>
        <w:ind w:firstLine="480" w:firstLineChars="200"/>
        <w:contextualSpacing/>
        <w:rPr>
          <w:rFonts w:eastAsiaTheme="minorEastAsia"/>
          <w:sz w:val="24"/>
        </w:rPr>
      </w:pPr>
      <w:r>
        <w:rPr>
          <w:rFonts w:hint="eastAsia" w:eastAsiaTheme="minorEastAsia"/>
          <w:sz w:val="24"/>
        </w:rPr>
        <w:t>其中：</w:t>
      </w:r>
    </w:p>
    <w:p w14:paraId="004726C9">
      <w:pPr>
        <w:widowControl/>
        <w:spacing w:line="360" w:lineRule="auto"/>
        <w:ind w:firstLine="480" w:firstLineChars="200"/>
        <w:contextualSpacing/>
        <w:rPr>
          <w:rFonts w:eastAsiaTheme="minorEastAsia"/>
          <w:sz w:val="24"/>
        </w:rPr>
      </w:pPr>
      <w:r>
        <w:rPr>
          <w:rFonts w:hint="eastAsia" w:eastAsiaTheme="minorEastAsia"/>
          <w:sz w:val="24"/>
        </w:rPr>
        <w:t>分部分项工程合价:850033.6元；</w:t>
      </w:r>
    </w:p>
    <w:p w14:paraId="5F1A7F20">
      <w:pPr>
        <w:widowControl/>
        <w:spacing w:line="360" w:lineRule="auto"/>
        <w:ind w:firstLine="480" w:firstLineChars="200"/>
        <w:contextualSpacing/>
        <w:rPr>
          <w:rFonts w:eastAsiaTheme="minorEastAsia"/>
          <w:sz w:val="24"/>
        </w:rPr>
      </w:pPr>
      <w:r>
        <w:rPr>
          <w:rFonts w:hint="eastAsia" w:eastAsiaTheme="minorEastAsia"/>
          <w:sz w:val="24"/>
        </w:rPr>
        <w:t>措施项目合价:132229.8元；</w:t>
      </w:r>
    </w:p>
    <w:p w14:paraId="29AA5050">
      <w:pPr>
        <w:widowControl/>
        <w:spacing w:line="360" w:lineRule="auto"/>
        <w:ind w:firstLine="480" w:firstLineChars="200"/>
        <w:contextualSpacing/>
        <w:rPr>
          <w:rFonts w:eastAsiaTheme="minorEastAsia"/>
          <w:sz w:val="24"/>
        </w:rPr>
      </w:pPr>
      <w:r>
        <w:rPr>
          <w:rFonts w:hint="eastAsia" w:eastAsiaTheme="minorEastAsia"/>
          <w:sz w:val="24"/>
        </w:rPr>
        <w:t>其他项目合价: 0元；</w:t>
      </w:r>
    </w:p>
    <w:p w14:paraId="6B21A748">
      <w:pPr>
        <w:widowControl/>
        <w:spacing w:line="360" w:lineRule="auto"/>
        <w:ind w:firstLine="480" w:firstLineChars="200"/>
        <w:contextualSpacing/>
        <w:rPr>
          <w:rFonts w:eastAsiaTheme="minorEastAsia"/>
          <w:sz w:val="24"/>
        </w:rPr>
      </w:pPr>
      <w:r>
        <w:rPr>
          <w:rFonts w:hint="eastAsia" w:eastAsiaTheme="minorEastAsia"/>
          <w:sz w:val="24"/>
        </w:rPr>
        <w:t>增值税的合价:88403.71元；</w:t>
      </w:r>
    </w:p>
    <w:p w14:paraId="3080FB19">
      <w:pPr>
        <w:widowControl/>
        <w:spacing w:line="360" w:lineRule="auto"/>
        <w:ind w:firstLine="480" w:firstLineChars="200"/>
        <w:contextualSpacing/>
        <w:rPr>
          <w:rFonts w:eastAsiaTheme="minorEastAsia"/>
          <w:sz w:val="24"/>
        </w:rPr>
      </w:pPr>
      <w:r>
        <w:rPr>
          <w:rFonts w:hint="eastAsia" w:eastAsiaTheme="minorEastAsia"/>
          <w:sz w:val="24"/>
        </w:rPr>
        <w:t>其他说明:</w:t>
      </w:r>
    </w:p>
    <w:p w14:paraId="2015CBB3">
      <w:pPr>
        <w:widowControl/>
        <w:spacing w:line="360" w:lineRule="auto"/>
        <w:ind w:firstLine="480" w:firstLineChars="200"/>
        <w:contextualSpacing/>
        <w:rPr>
          <w:rFonts w:eastAsiaTheme="minorEastAsia"/>
          <w:sz w:val="24"/>
        </w:rPr>
      </w:pPr>
      <w:r>
        <w:rPr>
          <w:rFonts w:hint="eastAsia" w:eastAsiaTheme="minorEastAsia"/>
          <w:sz w:val="24"/>
        </w:rPr>
        <w:t>专业工程暂估价(含税)合计金额:0元；</w:t>
      </w:r>
    </w:p>
    <w:p w14:paraId="320969A1">
      <w:pPr>
        <w:widowControl/>
        <w:spacing w:line="360" w:lineRule="auto"/>
        <w:ind w:firstLine="480" w:firstLineChars="200"/>
        <w:contextualSpacing/>
        <w:rPr>
          <w:rFonts w:eastAsiaTheme="minorEastAsia"/>
          <w:sz w:val="24"/>
        </w:rPr>
      </w:pPr>
      <w:r>
        <w:rPr>
          <w:rFonts w:hint="eastAsia" w:eastAsiaTheme="minorEastAsia"/>
          <w:sz w:val="24"/>
        </w:rPr>
        <w:t>材料暂估价(含税)合计金额:0元；</w:t>
      </w:r>
    </w:p>
    <w:p w14:paraId="606F54F4">
      <w:pPr>
        <w:widowControl/>
        <w:spacing w:line="360" w:lineRule="auto"/>
        <w:ind w:firstLine="480" w:firstLineChars="200"/>
        <w:contextualSpacing/>
        <w:rPr>
          <w:rFonts w:eastAsiaTheme="minorEastAsia"/>
          <w:sz w:val="24"/>
        </w:rPr>
      </w:pPr>
      <w:r>
        <w:rPr>
          <w:rFonts w:hint="eastAsia" w:eastAsiaTheme="minorEastAsia"/>
          <w:sz w:val="24"/>
        </w:rPr>
        <w:t>暂列金额(不含计日工)(含税)合计金额:0元；</w:t>
      </w:r>
    </w:p>
    <w:p w14:paraId="5981CE7D">
      <w:pPr>
        <w:widowControl/>
        <w:spacing w:line="360" w:lineRule="auto"/>
        <w:ind w:firstLine="480" w:firstLineChars="200"/>
        <w:contextualSpacing/>
        <w:rPr>
          <w:rFonts w:eastAsiaTheme="minorEastAsia"/>
          <w:sz w:val="24"/>
        </w:rPr>
      </w:pPr>
      <w:r>
        <w:rPr>
          <w:rFonts w:hint="eastAsia" w:eastAsiaTheme="minorEastAsia"/>
          <w:sz w:val="24"/>
        </w:rPr>
        <w:t xml:space="preserve">安全生产标准化措施费(含税)合计金额:51209.81元； </w:t>
      </w:r>
    </w:p>
    <w:p w14:paraId="68931E85">
      <w:pPr>
        <w:widowControl/>
        <w:spacing w:line="360" w:lineRule="auto"/>
        <w:ind w:firstLine="480" w:firstLineChars="200"/>
        <w:contextualSpacing/>
        <w:rPr>
          <w:rFonts w:eastAsiaTheme="minorEastAsia"/>
          <w:sz w:val="24"/>
        </w:rPr>
      </w:pPr>
      <w:r>
        <w:rPr>
          <w:rFonts w:hint="eastAsia" w:eastAsiaTheme="minorEastAsia"/>
          <w:sz w:val="24"/>
        </w:rPr>
        <w:t>赶工增加费(含税)合计金额(如有):0元；</w:t>
      </w:r>
    </w:p>
    <w:p w14:paraId="2B2F0670">
      <w:pPr>
        <w:spacing w:line="360" w:lineRule="auto"/>
        <w:contextualSpacing/>
        <w:rPr>
          <w:rFonts w:eastAsiaTheme="minorEastAsia"/>
          <w:i/>
          <w:iCs/>
          <w:sz w:val="24"/>
        </w:rPr>
      </w:pPr>
      <w:r>
        <w:rPr>
          <w:rFonts w:eastAsiaTheme="minorEastAsia"/>
          <w:sz w:val="24"/>
        </w:rPr>
        <w:t>3. 验收标准</w:t>
      </w:r>
    </w:p>
    <w:p w14:paraId="0650A460">
      <w:pPr>
        <w:widowControl/>
        <w:spacing w:line="360" w:lineRule="auto"/>
        <w:ind w:firstLine="482"/>
        <w:contextualSpacing/>
        <w:rPr>
          <w:rFonts w:eastAsiaTheme="minorEastAsia"/>
          <w:b/>
          <w:sz w:val="24"/>
        </w:rPr>
      </w:pPr>
      <w:r>
        <w:rPr>
          <w:rFonts w:hint="eastAsia"/>
          <w:sz w:val="24"/>
        </w:rPr>
        <w:t>供应商所提供服务须符合国家、北京市相关法律法规、行业标准等规定，采购人按照项目建设需求，组织验收。</w:t>
      </w:r>
    </w:p>
    <w:p w14:paraId="7FE522F5">
      <w:pPr>
        <w:spacing w:line="360" w:lineRule="auto"/>
        <w:contextualSpacing/>
        <w:rPr>
          <w:rFonts w:eastAsiaTheme="minorEastAsia"/>
          <w:sz w:val="24"/>
        </w:rPr>
      </w:pPr>
      <w:r>
        <w:rPr>
          <w:rFonts w:eastAsiaTheme="minorEastAsia"/>
          <w:sz w:val="24"/>
        </w:rPr>
        <w:t>4. 其他要求（如有）</w:t>
      </w:r>
    </w:p>
    <w:p w14:paraId="7386BA72">
      <w:pPr>
        <w:spacing w:line="360" w:lineRule="auto"/>
        <w:rPr>
          <w:rFonts w:eastAsiaTheme="minorEastAsia"/>
          <w:b/>
          <w:sz w:val="24"/>
        </w:rPr>
      </w:pPr>
      <w:r>
        <w:rPr>
          <w:rFonts w:eastAsiaTheme="minorEastAsia"/>
          <w:b/>
          <w:sz w:val="24"/>
        </w:rPr>
        <w:t>5. 图纸（如有）</w:t>
      </w:r>
    </w:p>
    <w:p w14:paraId="7DE90C60">
      <w:pPr>
        <w:spacing w:line="360" w:lineRule="auto"/>
        <w:rPr>
          <w:rFonts w:eastAsiaTheme="minorEastAsia"/>
          <w:b/>
          <w:sz w:val="24"/>
        </w:rPr>
      </w:pPr>
      <w:r>
        <w:rPr>
          <w:rFonts w:eastAsiaTheme="minorEastAsia"/>
          <w:b/>
          <w:sz w:val="24"/>
        </w:rPr>
        <w:t>6. 工程量清单（</w:t>
      </w:r>
      <w:r>
        <w:rPr>
          <w:rFonts w:hint="eastAsia" w:eastAsiaTheme="minorEastAsia"/>
          <w:b/>
          <w:sz w:val="24"/>
        </w:rPr>
        <w:t>后附</w:t>
      </w:r>
      <w:r>
        <w:rPr>
          <w:rFonts w:eastAsiaTheme="minorEastAsia"/>
          <w:b/>
          <w:sz w:val="24"/>
        </w:rPr>
        <w:t>）</w:t>
      </w:r>
    </w:p>
    <w:p w14:paraId="0D1605AC">
      <w:pPr>
        <w:widowControl/>
        <w:jc w:val="left"/>
        <w:rPr>
          <w:rFonts w:eastAsiaTheme="minorEastAsia"/>
          <w:b/>
          <w:sz w:val="24"/>
        </w:rPr>
      </w:pPr>
      <w:r>
        <w:rPr>
          <w:rFonts w:eastAsiaTheme="minorEastAsia"/>
          <w:b/>
          <w:sz w:val="24"/>
        </w:rPr>
        <w:br w:type="page"/>
      </w:r>
    </w:p>
    <w:p w14:paraId="6E4F57CD">
      <w:pPr>
        <w:spacing w:line="360" w:lineRule="auto"/>
        <w:rPr>
          <w:rFonts w:eastAsiaTheme="minorEastAsia"/>
          <w:b/>
          <w:sz w:val="24"/>
        </w:rPr>
      </w:pPr>
    </w:p>
    <w:p w14:paraId="08C84A15">
      <w:pPr>
        <w:spacing w:line="360" w:lineRule="auto"/>
        <w:rPr>
          <w:rFonts w:eastAsiaTheme="minorEastAsia"/>
          <w:i/>
          <w:color w:val="FF0000"/>
          <w:sz w:val="24"/>
        </w:rPr>
      </w:pPr>
      <w:r>
        <w:drawing>
          <wp:inline distT="0" distB="0" distL="0" distR="0">
            <wp:extent cx="7832090" cy="5538470"/>
            <wp:effectExtent l="3810" t="0" r="1270" b="1270"/>
            <wp:docPr id="9794524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52428" name="图片 1"/>
                    <pic:cNvPicPr>
                      <a:picLocks noChangeAspect="1"/>
                    </pic:cNvPicPr>
                  </pic:nvPicPr>
                  <pic:blipFill>
                    <a:blip r:embed="rId38"/>
                    <a:stretch>
                      <a:fillRect/>
                    </a:stretch>
                  </pic:blipFill>
                  <pic:spPr>
                    <a:xfrm rot="16200000">
                      <a:off x="0" y="0"/>
                      <a:ext cx="7832449" cy="5538829"/>
                    </a:xfrm>
                    <a:prstGeom prst="rect">
                      <a:avLst/>
                    </a:prstGeom>
                  </pic:spPr>
                </pic:pic>
              </a:graphicData>
            </a:graphic>
          </wp:inline>
        </w:drawing>
      </w:r>
    </w:p>
    <w:p w14:paraId="78CBD2A7">
      <w:pPr>
        <w:widowControl/>
        <w:jc w:val="left"/>
        <w:rPr>
          <w:rFonts w:eastAsiaTheme="minorEastAsia"/>
          <w:i/>
          <w:color w:val="FF0000"/>
          <w:sz w:val="24"/>
        </w:rPr>
      </w:pPr>
      <w:r>
        <w:rPr>
          <w:rFonts w:eastAsiaTheme="minorEastAsia"/>
          <w:i/>
          <w:color w:val="FF0000"/>
          <w:sz w:val="24"/>
        </w:rPr>
        <w:br w:type="page"/>
      </w:r>
    </w:p>
    <w:p w14:paraId="650454AF">
      <w:pPr>
        <w:spacing w:line="360" w:lineRule="auto"/>
        <w:rPr>
          <w:rFonts w:eastAsiaTheme="minorEastAsia"/>
          <w:i/>
          <w:color w:val="FF0000"/>
          <w:sz w:val="24"/>
        </w:rPr>
      </w:pPr>
      <w:r>
        <w:drawing>
          <wp:inline distT="0" distB="0" distL="0" distR="0">
            <wp:extent cx="5273675" cy="7058025"/>
            <wp:effectExtent l="0" t="0" r="3175" b="9525"/>
            <wp:docPr id="8024444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444436" name="图片 1"/>
                    <pic:cNvPicPr>
                      <a:picLocks noChangeAspect="1"/>
                    </pic:cNvPicPr>
                  </pic:nvPicPr>
                  <pic:blipFill>
                    <a:blip r:embed="rId39"/>
                    <a:stretch>
                      <a:fillRect/>
                    </a:stretch>
                  </pic:blipFill>
                  <pic:spPr>
                    <a:xfrm>
                      <a:off x="0" y="0"/>
                      <a:ext cx="5273675" cy="7058025"/>
                    </a:xfrm>
                    <a:prstGeom prst="rect">
                      <a:avLst/>
                    </a:prstGeom>
                  </pic:spPr>
                </pic:pic>
              </a:graphicData>
            </a:graphic>
          </wp:inline>
        </w:drawing>
      </w:r>
      <w:r>
        <w:drawing>
          <wp:inline distT="0" distB="0" distL="0" distR="0">
            <wp:extent cx="5273675" cy="7256145"/>
            <wp:effectExtent l="0" t="0" r="3175" b="1905"/>
            <wp:docPr id="7514956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95612" name="图片 1"/>
                    <pic:cNvPicPr>
                      <a:picLocks noChangeAspect="1"/>
                    </pic:cNvPicPr>
                  </pic:nvPicPr>
                  <pic:blipFill>
                    <a:blip r:embed="rId40"/>
                    <a:stretch>
                      <a:fillRect/>
                    </a:stretch>
                  </pic:blipFill>
                  <pic:spPr>
                    <a:xfrm>
                      <a:off x="0" y="0"/>
                      <a:ext cx="5273675" cy="7256145"/>
                    </a:xfrm>
                    <a:prstGeom prst="rect">
                      <a:avLst/>
                    </a:prstGeom>
                  </pic:spPr>
                </pic:pic>
              </a:graphicData>
            </a:graphic>
          </wp:inline>
        </w:drawing>
      </w:r>
      <w:r>
        <w:drawing>
          <wp:inline distT="0" distB="0" distL="0" distR="0">
            <wp:extent cx="5273675" cy="6971665"/>
            <wp:effectExtent l="0" t="0" r="3175" b="635"/>
            <wp:docPr id="15172976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97637" name="图片 1"/>
                    <pic:cNvPicPr>
                      <a:picLocks noChangeAspect="1"/>
                    </pic:cNvPicPr>
                  </pic:nvPicPr>
                  <pic:blipFill>
                    <a:blip r:embed="rId41"/>
                    <a:stretch>
                      <a:fillRect/>
                    </a:stretch>
                  </pic:blipFill>
                  <pic:spPr>
                    <a:xfrm>
                      <a:off x="0" y="0"/>
                      <a:ext cx="5273675" cy="6971665"/>
                    </a:xfrm>
                    <a:prstGeom prst="rect">
                      <a:avLst/>
                    </a:prstGeom>
                  </pic:spPr>
                </pic:pic>
              </a:graphicData>
            </a:graphic>
          </wp:inline>
        </w:drawing>
      </w:r>
      <w:r>
        <w:drawing>
          <wp:inline distT="0" distB="0" distL="0" distR="0">
            <wp:extent cx="8055610" cy="5420360"/>
            <wp:effectExtent l="3175" t="0" r="5715" b="5715"/>
            <wp:docPr id="340292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9247" name="图片 1"/>
                    <pic:cNvPicPr>
                      <a:picLocks noChangeAspect="1"/>
                    </pic:cNvPicPr>
                  </pic:nvPicPr>
                  <pic:blipFill>
                    <a:blip r:embed="rId42"/>
                    <a:stretch>
                      <a:fillRect/>
                    </a:stretch>
                  </pic:blipFill>
                  <pic:spPr>
                    <a:xfrm rot="16200000">
                      <a:off x="0" y="0"/>
                      <a:ext cx="8056040" cy="5420488"/>
                    </a:xfrm>
                    <a:prstGeom prst="rect">
                      <a:avLst/>
                    </a:prstGeom>
                  </pic:spPr>
                </pic:pic>
              </a:graphicData>
            </a:graphic>
          </wp:inline>
        </w:drawing>
      </w:r>
      <w:r>
        <w:drawing>
          <wp:inline distT="0" distB="0" distL="0" distR="0">
            <wp:extent cx="7940675" cy="5240655"/>
            <wp:effectExtent l="0" t="2540" r="635" b="635"/>
            <wp:docPr id="10052934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93437" name="图片 1"/>
                    <pic:cNvPicPr>
                      <a:picLocks noChangeAspect="1"/>
                    </pic:cNvPicPr>
                  </pic:nvPicPr>
                  <pic:blipFill>
                    <a:blip r:embed="rId43"/>
                    <a:stretch>
                      <a:fillRect/>
                    </a:stretch>
                  </pic:blipFill>
                  <pic:spPr>
                    <a:xfrm rot="16200000">
                      <a:off x="0" y="0"/>
                      <a:ext cx="7940840" cy="5240668"/>
                    </a:xfrm>
                    <a:prstGeom prst="rect">
                      <a:avLst/>
                    </a:prstGeom>
                  </pic:spPr>
                </pic:pic>
              </a:graphicData>
            </a:graphic>
          </wp:inline>
        </w:drawing>
      </w:r>
      <w:r>
        <w:drawing>
          <wp:inline distT="0" distB="0" distL="0" distR="0">
            <wp:extent cx="7873365" cy="5133975"/>
            <wp:effectExtent l="0" t="1905" r="0" b="0"/>
            <wp:docPr id="73837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7601" name="图片 1"/>
                    <pic:cNvPicPr>
                      <a:picLocks noChangeAspect="1"/>
                    </pic:cNvPicPr>
                  </pic:nvPicPr>
                  <pic:blipFill>
                    <a:blip r:embed="rId44"/>
                    <a:stretch>
                      <a:fillRect/>
                    </a:stretch>
                  </pic:blipFill>
                  <pic:spPr>
                    <a:xfrm rot="16200000">
                      <a:off x="0" y="0"/>
                      <a:ext cx="7873381" cy="5134525"/>
                    </a:xfrm>
                    <a:prstGeom prst="rect">
                      <a:avLst/>
                    </a:prstGeom>
                  </pic:spPr>
                </pic:pic>
              </a:graphicData>
            </a:graphic>
          </wp:inline>
        </w:drawing>
      </w:r>
    </w:p>
    <w:p w14:paraId="6E5947D7">
      <w:pPr>
        <w:autoSpaceDE w:val="0"/>
        <w:autoSpaceDN w:val="0"/>
        <w:rPr>
          <w:rFonts w:eastAsiaTheme="minorEastAsia"/>
          <w:bCs/>
        </w:rPr>
      </w:pPr>
      <w:r>
        <w:drawing>
          <wp:inline distT="0" distB="0" distL="0" distR="0">
            <wp:extent cx="7551420" cy="5130800"/>
            <wp:effectExtent l="0" t="8890" r="2540" b="2540"/>
            <wp:docPr id="4188530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53096" name="图片 1"/>
                    <pic:cNvPicPr>
                      <a:picLocks noChangeAspect="1"/>
                    </pic:cNvPicPr>
                  </pic:nvPicPr>
                  <pic:blipFill>
                    <a:blip r:embed="rId45"/>
                    <a:stretch>
                      <a:fillRect/>
                    </a:stretch>
                  </pic:blipFill>
                  <pic:spPr>
                    <a:xfrm rot="16200000">
                      <a:off x="0" y="0"/>
                      <a:ext cx="7551697" cy="5131153"/>
                    </a:xfrm>
                    <a:prstGeom prst="rect">
                      <a:avLst/>
                    </a:prstGeom>
                  </pic:spPr>
                </pic:pic>
              </a:graphicData>
            </a:graphic>
          </wp:inline>
        </w:drawing>
      </w:r>
    </w:p>
    <w:p w14:paraId="13713B0A">
      <w:pPr>
        <w:rPr>
          <w:rFonts w:eastAsiaTheme="minorEastAsia"/>
        </w:rPr>
      </w:pPr>
      <w:r>
        <w:drawing>
          <wp:inline distT="0" distB="0" distL="0" distR="0">
            <wp:extent cx="8008620" cy="5301615"/>
            <wp:effectExtent l="952" t="0" r="0" b="0"/>
            <wp:docPr id="1018496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96194" name="图片 1"/>
                    <pic:cNvPicPr>
                      <a:picLocks noChangeAspect="1"/>
                    </pic:cNvPicPr>
                  </pic:nvPicPr>
                  <pic:blipFill>
                    <a:blip r:embed="rId46"/>
                    <a:stretch>
                      <a:fillRect/>
                    </a:stretch>
                  </pic:blipFill>
                  <pic:spPr>
                    <a:xfrm rot="16200000">
                      <a:off x="0" y="0"/>
                      <a:ext cx="8008954" cy="5302014"/>
                    </a:xfrm>
                    <a:prstGeom prst="rect">
                      <a:avLst/>
                    </a:prstGeom>
                  </pic:spPr>
                </pic:pic>
              </a:graphicData>
            </a:graphic>
          </wp:inline>
        </w:drawing>
      </w:r>
    </w:p>
    <w:p w14:paraId="73A80898">
      <w:pPr>
        <w:pStyle w:val="2"/>
        <w:rPr>
          <w:rFonts w:hint="eastAsia" w:eastAsiaTheme="minorEastAsia"/>
          <w:szCs w:val="36"/>
        </w:rPr>
      </w:pPr>
      <w:r>
        <w:drawing>
          <wp:inline distT="0" distB="0" distL="0" distR="0">
            <wp:extent cx="7895590" cy="5325745"/>
            <wp:effectExtent l="8572" t="0" r="0" b="0"/>
            <wp:docPr id="7749090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09074" name="图片 1"/>
                    <pic:cNvPicPr>
                      <a:picLocks noChangeAspect="1"/>
                    </pic:cNvPicPr>
                  </pic:nvPicPr>
                  <pic:blipFill>
                    <a:blip r:embed="rId47"/>
                    <a:stretch>
                      <a:fillRect/>
                    </a:stretch>
                  </pic:blipFill>
                  <pic:spPr>
                    <a:xfrm rot="16200000">
                      <a:off x="0" y="0"/>
                      <a:ext cx="7895596" cy="5325843"/>
                    </a:xfrm>
                    <a:prstGeom prst="rect">
                      <a:avLst/>
                    </a:prstGeom>
                  </pic:spPr>
                </pic:pic>
              </a:graphicData>
            </a:graphic>
          </wp:inline>
        </w:drawing>
      </w:r>
      <w:r>
        <w:drawing>
          <wp:inline distT="0" distB="0" distL="0" distR="0">
            <wp:extent cx="5273675" cy="7396480"/>
            <wp:effectExtent l="0" t="0" r="3175" b="0"/>
            <wp:docPr id="16336213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21354" name="图片 1"/>
                    <pic:cNvPicPr>
                      <a:picLocks noChangeAspect="1"/>
                    </pic:cNvPicPr>
                  </pic:nvPicPr>
                  <pic:blipFill>
                    <a:blip r:embed="rId48"/>
                    <a:stretch>
                      <a:fillRect/>
                    </a:stretch>
                  </pic:blipFill>
                  <pic:spPr>
                    <a:xfrm>
                      <a:off x="0" y="0"/>
                      <a:ext cx="5273675" cy="7396480"/>
                    </a:xfrm>
                    <a:prstGeom prst="rect">
                      <a:avLst/>
                    </a:prstGeom>
                  </pic:spPr>
                </pic:pic>
              </a:graphicData>
            </a:graphic>
          </wp:inline>
        </w:drawing>
      </w:r>
      <w:r>
        <w:drawing>
          <wp:inline distT="0" distB="0" distL="0" distR="0">
            <wp:extent cx="5273675" cy="6882130"/>
            <wp:effectExtent l="0" t="0" r="3175" b="0"/>
            <wp:docPr id="14731210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21036" name="图片 1"/>
                    <pic:cNvPicPr>
                      <a:picLocks noChangeAspect="1"/>
                    </pic:cNvPicPr>
                  </pic:nvPicPr>
                  <pic:blipFill>
                    <a:blip r:embed="rId49"/>
                    <a:stretch>
                      <a:fillRect/>
                    </a:stretch>
                  </pic:blipFill>
                  <pic:spPr>
                    <a:xfrm>
                      <a:off x="0" y="0"/>
                      <a:ext cx="5273675" cy="6882130"/>
                    </a:xfrm>
                    <a:prstGeom prst="rect">
                      <a:avLst/>
                    </a:prstGeom>
                  </pic:spPr>
                </pic:pic>
              </a:graphicData>
            </a:graphic>
          </wp:inline>
        </w:drawing>
      </w:r>
      <w:r>
        <w:drawing>
          <wp:inline distT="0" distB="0" distL="0" distR="0">
            <wp:extent cx="5273675" cy="7082155"/>
            <wp:effectExtent l="0" t="0" r="3175" b="4445"/>
            <wp:docPr id="484656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5652" name="图片 1"/>
                    <pic:cNvPicPr>
                      <a:picLocks noChangeAspect="1"/>
                    </pic:cNvPicPr>
                  </pic:nvPicPr>
                  <pic:blipFill>
                    <a:blip r:embed="rId50"/>
                    <a:stretch>
                      <a:fillRect/>
                    </a:stretch>
                  </pic:blipFill>
                  <pic:spPr>
                    <a:xfrm>
                      <a:off x="0" y="0"/>
                      <a:ext cx="5273675" cy="7082155"/>
                    </a:xfrm>
                    <a:prstGeom prst="rect">
                      <a:avLst/>
                    </a:prstGeom>
                  </pic:spPr>
                </pic:pic>
              </a:graphicData>
            </a:graphic>
          </wp:inline>
        </w:drawing>
      </w:r>
      <w:r>
        <w:drawing>
          <wp:inline distT="0" distB="0" distL="0" distR="0">
            <wp:extent cx="5273675" cy="7242810"/>
            <wp:effectExtent l="0" t="0" r="3175" b="0"/>
            <wp:docPr id="1111642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4252" name="图片 1"/>
                    <pic:cNvPicPr>
                      <a:picLocks noChangeAspect="1"/>
                    </pic:cNvPicPr>
                  </pic:nvPicPr>
                  <pic:blipFill>
                    <a:blip r:embed="rId51"/>
                    <a:stretch>
                      <a:fillRect/>
                    </a:stretch>
                  </pic:blipFill>
                  <pic:spPr>
                    <a:xfrm>
                      <a:off x="0" y="0"/>
                      <a:ext cx="5273675" cy="7242810"/>
                    </a:xfrm>
                    <a:prstGeom prst="rect">
                      <a:avLst/>
                    </a:prstGeom>
                  </pic:spPr>
                </pic:pic>
              </a:graphicData>
            </a:graphic>
          </wp:inline>
        </w:drawing>
      </w:r>
      <w:r>
        <w:drawing>
          <wp:inline distT="0" distB="0" distL="0" distR="0">
            <wp:extent cx="5273675" cy="6612890"/>
            <wp:effectExtent l="0" t="0" r="3175" b="0"/>
            <wp:docPr id="1075494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94553" name="图片 1"/>
                    <pic:cNvPicPr>
                      <a:picLocks noChangeAspect="1"/>
                    </pic:cNvPicPr>
                  </pic:nvPicPr>
                  <pic:blipFill>
                    <a:blip r:embed="rId52"/>
                    <a:stretch>
                      <a:fillRect/>
                    </a:stretch>
                  </pic:blipFill>
                  <pic:spPr>
                    <a:xfrm>
                      <a:off x="0" y="0"/>
                      <a:ext cx="5273675" cy="6612890"/>
                    </a:xfrm>
                    <a:prstGeom prst="rect">
                      <a:avLst/>
                    </a:prstGeom>
                  </pic:spPr>
                </pic:pic>
              </a:graphicData>
            </a:graphic>
          </wp:inline>
        </w:drawing>
      </w:r>
      <w:r>
        <w:drawing>
          <wp:inline distT="0" distB="0" distL="0" distR="0">
            <wp:extent cx="5273675" cy="7381240"/>
            <wp:effectExtent l="0" t="0" r="3175" b="0"/>
            <wp:docPr id="1766024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24779" name="图片 1"/>
                    <pic:cNvPicPr>
                      <a:picLocks noChangeAspect="1"/>
                    </pic:cNvPicPr>
                  </pic:nvPicPr>
                  <pic:blipFill>
                    <a:blip r:embed="rId53"/>
                    <a:stretch>
                      <a:fillRect/>
                    </a:stretch>
                  </pic:blipFill>
                  <pic:spPr>
                    <a:xfrm>
                      <a:off x="0" y="0"/>
                      <a:ext cx="5273675" cy="7381240"/>
                    </a:xfrm>
                    <a:prstGeom prst="rect">
                      <a:avLst/>
                    </a:prstGeom>
                  </pic:spPr>
                </pic:pic>
              </a:graphicData>
            </a:graphic>
          </wp:inline>
        </w:drawing>
      </w:r>
      <w:r>
        <w:drawing>
          <wp:inline distT="0" distB="0" distL="0" distR="0">
            <wp:extent cx="5273675" cy="7319010"/>
            <wp:effectExtent l="0" t="0" r="3175" b="0"/>
            <wp:docPr id="1126284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84104" name="图片 1"/>
                    <pic:cNvPicPr>
                      <a:picLocks noChangeAspect="1"/>
                    </pic:cNvPicPr>
                  </pic:nvPicPr>
                  <pic:blipFill>
                    <a:blip r:embed="rId54"/>
                    <a:stretch>
                      <a:fillRect/>
                    </a:stretch>
                  </pic:blipFill>
                  <pic:spPr>
                    <a:xfrm>
                      <a:off x="0" y="0"/>
                      <a:ext cx="5273675" cy="7319010"/>
                    </a:xfrm>
                    <a:prstGeom prst="rect">
                      <a:avLst/>
                    </a:prstGeom>
                  </pic:spPr>
                </pic:pic>
              </a:graphicData>
            </a:graphic>
          </wp:inline>
        </w:drawing>
      </w:r>
      <w:r>
        <w:drawing>
          <wp:inline distT="0" distB="0" distL="0" distR="0">
            <wp:extent cx="5273675" cy="7114540"/>
            <wp:effectExtent l="0" t="0" r="3175" b="0"/>
            <wp:docPr id="7058405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40544" name="图片 1"/>
                    <pic:cNvPicPr>
                      <a:picLocks noChangeAspect="1"/>
                    </pic:cNvPicPr>
                  </pic:nvPicPr>
                  <pic:blipFill>
                    <a:blip r:embed="rId55"/>
                    <a:stretch>
                      <a:fillRect/>
                    </a:stretch>
                  </pic:blipFill>
                  <pic:spPr>
                    <a:xfrm>
                      <a:off x="0" y="0"/>
                      <a:ext cx="5273675" cy="7114540"/>
                    </a:xfrm>
                    <a:prstGeom prst="rect">
                      <a:avLst/>
                    </a:prstGeom>
                  </pic:spPr>
                </pic:pic>
              </a:graphicData>
            </a:graphic>
          </wp:inline>
        </w:drawing>
      </w:r>
      <w:r>
        <w:drawing>
          <wp:inline distT="0" distB="0" distL="0" distR="0">
            <wp:extent cx="5273675" cy="7165975"/>
            <wp:effectExtent l="0" t="0" r="3175" b="0"/>
            <wp:docPr id="6708570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57023" name="图片 1"/>
                    <pic:cNvPicPr>
                      <a:picLocks noChangeAspect="1"/>
                    </pic:cNvPicPr>
                  </pic:nvPicPr>
                  <pic:blipFill>
                    <a:blip r:embed="rId56"/>
                    <a:stretch>
                      <a:fillRect/>
                    </a:stretch>
                  </pic:blipFill>
                  <pic:spPr>
                    <a:xfrm>
                      <a:off x="0" y="0"/>
                      <a:ext cx="5273675" cy="7165975"/>
                    </a:xfrm>
                    <a:prstGeom prst="rect">
                      <a:avLst/>
                    </a:prstGeom>
                  </pic:spPr>
                </pic:pic>
              </a:graphicData>
            </a:graphic>
          </wp:inline>
        </w:drawing>
      </w:r>
      <w:r>
        <w:drawing>
          <wp:inline distT="0" distB="0" distL="0" distR="0">
            <wp:extent cx="5273675" cy="7331710"/>
            <wp:effectExtent l="0" t="0" r="3175" b="2540"/>
            <wp:docPr id="15641876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87689" name="图片 1"/>
                    <pic:cNvPicPr>
                      <a:picLocks noChangeAspect="1"/>
                    </pic:cNvPicPr>
                  </pic:nvPicPr>
                  <pic:blipFill>
                    <a:blip r:embed="rId57"/>
                    <a:stretch>
                      <a:fillRect/>
                    </a:stretch>
                  </pic:blipFill>
                  <pic:spPr>
                    <a:xfrm>
                      <a:off x="0" y="0"/>
                      <a:ext cx="5273675" cy="7331710"/>
                    </a:xfrm>
                    <a:prstGeom prst="rect">
                      <a:avLst/>
                    </a:prstGeom>
                  </pic:spPr>
                </pic:pic>
              </a:graphicData>
            </a:graphic>
          </wp:inline>
        </w:drawing>
      </w:r>
      <w:r>
        <w:drawing>
          <wp:inline distT="0" distB="0" distL="0" distR="0">
            <wp:extent cx="5273675" cy="7341235"/>
            <wp:effectExtent l="0" t="0" r="3175" b="0"/>
            <wp:docPr id="19373910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91014" name="图片 1"/>
                    <pic:cNvPicPr>
                      <a:picLocks noChangeAspect="1"/>
                    </pic:cNvPicPr>
                  </pic:nvPicPr>
                  <pic:blipFill>
                    <a:blip r:embed="rId58"/>
                    <a:stretch>
                      <a:fillRect/>
                    </a:stretch>
                  </pic:blipFill>
                  <pic:spPr>
                    <a:xfrm>
                      <a:off x="0" y="0"/>
                      <a:ext cx="5273675" cy="7341235"/>
                    </a:xfrm>
                    <a:prstGeom prst="rect">
                      <a:avLst/>
                    </a:prstGeom>
                  </pic:spPr>
                </pic:pic>
              </a:graphicData>
            </a:graphic>
          </wp:inline>
        </w:drawing>
      </w:r>
      <w:r>
        <w:drawing>
          <wp:inline distT="0" distB="0" distL="0" distR="0">
            <wp:extent cx="5273675" cy="7265670"/>
            <wp:effectExtent l="0" t="0" r="3175" b="0"/>
            <wp:docPr id="1420311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1118" name="图片 1"/>
                    <pic:cNvPicPr>
                      <a:picLocks noChangeAspect="1"/>
                    </pic:cNvPicPr>
                  </pic:nvPicPr>
                  <pic:blipFill>
                    <a:blip r:embed="rId59"/>
                    <a:stretch>
                      <a:fillRect/>
                    </a:stretch>
                  </pic:blipFill>
                  <pic:spPr>
                    <a:xfrm>
                      <a:off x="0" y="0"/>
                      <a:ext cx="5273675" cy="7265670"/>
                    </a:xfrm>
                    <a:prstGeom prst="rect">
                      <a:avLst/>
                    </a:prstGeom>
                  </pic:spPr>
                </pic:pic>
              </a:graphicData>
            </a:graphic>
          </wp:inline>
        </w:drawing>
      </w:r>
      <w:r>
        <w:drawing>
          <wp:inline distT="0" distB="0" distL="0" distR="0">
            <wp:extent cx="5273675" cy="6681470"/>
            <wp:effectExtent l="0" t="0" r="3175" b="5080"/>
            <wp:docPr id="16182109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10931" name="图片 1"/>
                    <pic:cNvPicPr>
                      <a:picLocks noChangeAspect="1"/>
                    </pic:cNvPicPr>
                  </pic:nvPicPr>
                  <pic:blipFill>
                    <a:blip r:embed="rId60"/>
                    <a:stretch>
                      <a:fillRect/>
                    </a:stretch>
                  </pic:blipFill>
                  <pic:spPr>
                    <a:xfrm>
                      <a:off x="0" y="0"/>
                      <a:ext cx="5273675" cy="6681470"/>
                    </a:xfrm>
                    <a:prstGeom prst="rect">
                      <a:avLst/>
                    </a:prstGeom>
                  </pic:spPr>
                </pic:pic>
              </a:graphicData>
            </a:graphic>
          </wp:inline>
        </w:drawing>
      </w:r>
      <w:r>
        <w:drawing>
          <wp:inline distT="0" distB="0" distL="0" distR="0">
            <wp:extent cx="5273675" cy="7331075"/>
            <wp:effectExtent l="0" t="0" r="3175" b="3175"/>
            <wp:docPr id="289565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65692" name="图片 1"/>
                    <pic:cNvPicPr>
                      <a:picLocks noChangeAspect="1"/>
                    </pic:cNvPicPr>
                  </pic:nvPicPr>
                  <pic:blipFill>
                    <a:blip r:embed="rId61"/>
                    <a:stretch>
                      <a:fillRect/>
                    </a:stretch>
                  </pic:blipFill>
                  <pic:spPr>
                    <a:xfrm>
                      <a:off x="0" y="0"/>
                      <a:ext cx="5273675" cy="7331075"/>
                    </a:xfrm>
                    <a:prstGeom prst="rect">
                      <a:avLst/>
                    </a:prstGeom>
                  </pic:spPr>
                </pic:pic>
              </a:graphicData>
            </a:graphic>
          </wp:inline>
        </w:drawing>
      </w:r>
      <w:r>
        <w:drawing>
          <wp:inline distT="0" distB="0" distL="0" distR="0">
            <wp:extent cx="5273675" cy="7044055"/>
            <wp:effectExtent l="0" t="0" r="3175" b="4445"/>
            <wp:docPr id="2064557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57256" name="图片 1"/>
                    <pic:cNvPicPr>
                      <a:picLocks noChangeAspect="1"/>
                    </pic:cNvPicPr>
                  </pic:nvPicPr>
                  <pic:blipFill>
                    <a:blip r:embed="rId62"/>
                    <a:stretch>
                      <a:fillRect/>
                    </a:stretch>
                  </pic:blipFill>
                  <pic:spPr>
                    <a:xfrm>
                      <a:off x="0" y="0"/>
                      <a:ext cx="5273675" cy="7044055"/>
                    </a:xfrm>
                    <a:prstGeom prst="rect">
                      <a:avLst/>
                    </a:prstGeom>
                  </pic:spPr>
                </pic:pic>
              </a:graphicData>
            </a:graphic>
          </wp:inline>
        </w:drawing>
      </w:r>
      <w:r>
        <w:drawing>
          <wp:inline distT="0" distB="0" distL="0" distR="0">
            <wp:extent cx="5273675" cy="7394575"/>
            <wp:effectExtent l="0" t="0" r="3175" b="0"/>
            <wp:docPr id="16005898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89843" name="图片 1"/>
                    <pic:cNvPicPr>
                      <a:picLocks noChangeAspect="1"/>
                    </pic:cNvPicPr>
                  </pic:nvPicPr>
                  <pic:blipFill>
                    <a:blip r:embed="rId63"/>
                    <a:stretch>
                      <a:fillRect/>
                    </a:stretch>
                  </pic:blipFill>
                  <pic:spPr>
                    <a:xfrm>
                      <a:off x="0" y="0"/>
                      <a:ext cx="5273675" cy="7394575"/>
                    </a:xfrm>
                    <a:prstGeom prst="rect">
                      <a:avLst/>
                    </a:prstGeom>
                  </pic:spPr>
                </pic:pic>
              </a:graphicData>
            </a:graphic>
          </wp:inline>
        </w:drawing>
      </w:r>
      <w:r>
        <w:drawing>
          <wp:inline distT="0" distB="0" distL="0" distR="0">
            <wp:extent cx="5273675" cy="7106920"/>
            <wp:effectExtent l="0" t="0" r="3175" b="0"/>
            <wp:docPr id="1846832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32765" name="图片 1"/>
                    <pic:cNvPicPr>
                      <a:picLocks noChangeAspect="1"/>
                    </pic:cNvPicPr>
                  </pic:nvPicPr>
                  <pic:blipFill>
                    <a:blip r:embed="rId64"/>
                    <a:stretch>
                      <a:fillRect/>
                    </a:stretch>
                  </pic:blipFill>
                  <pic:spPr>
                    <a:xfrm>
                      <a:off x="0" y="0"/>
                      <a:ext cx="5273675" cy="7106920"/>
                    </a:xfrm>
                    <a:prstGeom prst="rect">
                      <a:avLst/>
                    </a:prstGeom>
                  </pic:spPr>
                </pic:pic>
              </a:graphicData>
            </a:graphic>
          </wp:inline>
        </w:drawing>
      </w:r>
      <w:r>
        <w:drawing>
          <wp:inline distT="0" distB="0" distL="0" distR="0">
            <wp:extent cx="5273675" cy="7354570"/>
            <wp:effectExtent l="0" t="0" r="3175" b="0"/>
            <wp:docPr id="8430068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06897" name="图片 1"/>
                    <pic:cNvPicPr>
                      <a:picLocks noChangeAspect="1"/>
                    </pic:cNvPicPr>
                  </pic:nvPicPr>
                  <pic:blipFill>
                    <a:blip r:embed="rId65"/>
                    <a:stretch>
                      <a:fillRect/>
                    </a:stretch>
                  </pic:blipFill>
                  <pic:spPr>
                    <a:xfrm>
                      <a:off x="0" y="0"/>
                      <a:ext cx="5273675" cy="7354570"/>
                    </a:xfrm>
                    <a:prstGeom prst="rect">
                      <a:avLst/>
                    </a:prstGeom>
                  </pic:spPr>
                </pic:pic>
              </a:graphicData>
            </a:graphic>
          </wp:inline>
        </w:drawing>
      </w:r>
      <w:r>
        <w:drawing>
          <wp:inline distT="0" distB="0" distL="0" distR="0">
            <wp:extent cx="5273675" cy="7526655"/>
            <wp:effectExtent l="0" t="0" r="3175" b="0"/>
            <wp:docPr id="16746604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60407" name="图片 1"/>
                    <pic:cNvPicPr>
                      <a:picLocks noChangeAspect="1"/>
                    </pic:cNvPicPr>
                  </pic:nvPicPr>
                  <pic:blipFill>
                    <a:blip r:embed="rId66"/>
                    <a:stretch>
                      <a:fillRect/>
                    </a:stretch>
                  </pic:blipFill>
                  <pic:spPr>
                    <a:xfrm>
                      <a:off x="0" y="0"/>
                      <a:ext cx="5273675" cy="7526655"/>
                    </a:xfrm>
                    <a:prstGeom prst="rect">
                      <a:avLst/>
                    </a:prstGeom>
                  </pic:spPr>
                </pic:pic>
              </a:graphicData>
            </a:graphic>
          </wp:inline>
        </w:drawing>
      </w:r>
      <w:r>
        <w:drawing>
          <wp:inline distT="0" distB="0" distL="0" distR="0">
            <wp:extent cx="5273675" cy="6938645"/>
            <wp:effectExtent l="0" t="0" r="3175" b="0"/>
            <wp:docPr id="79209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9026" name="图片 1"/>
                    <pic:cNvPicPr>
                      <a:picLocks noChangeAspect="1"/>
                    </pic:cNvPicPr>
                  </pic:nvPicPr>
                  <pic:blipFill>
                    <a:blip r:embed="rId67"/>
                    <a:stretch>
                      <a:fillRect/>
                    </a:stretch>
                  </pic:blipFill>
                  <pic:spPr>
                    <a:xfrm>
                      <a:off x="0" y="0"/>
                      <a:ext cx="5273675" cy="6938645"/>
                    </a:xfrm>
                    <a:prstGeom prst="rect">
                      <a:avLst/>
                    </a:prstGeom>
                  </pic:spPr>
                </pic:pic>
              </a:graphicData>
            </a:graphic>
          </wp:inline>
        </w:drawing>
      </w:r>
      <w:r>
        <w:drawing>
          <wp:inline distT="0" distB="0" distL="0" distR="0">
            <wp:extent cx="5273675" cy="7379335"/>
            <wp:effectExtent l="0" t="0" r="3175" b="0"/>
            <wp:docPr id="7346934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93400" name="图片 1"/>
                    <pic:cNvPicPr>
                      <a:picLocks noChangeAspect="1"/>
                    </pic:cNvPicPr>
                  </pic:nvPicPr>
                  <pic:blipFill>
                    <a:blip r:embed="rId68"/>
                    <a:stretch>
                      <a:fillRect/>
                    </a:stretch>
                  </pic:blipFill>
                  <pic:spPr>
                    <a:xfrm>
                      <a:off x="0" y="0"/>
                      <a:ext cx="5273675" cy="7379335"/>
                    </a:xfrm>
                    <a:prstGeom prst="rect">
                      <a:avLst/>
                    </a:prstGeom>
                  </pic:spPr>
                </pic:pic>
              </a:graphicData>
            </a:graphic>
          </wp:inline>
        </w:drawing>
      </w:r>
      <w:r>
        <w:drawing>
          <wp:inline distT="0" distB="0" distL="0" distR="0">
            <wp:extent cx="5273675" cy="6954520"/>
            <wp:effectExtent l="0" t="0" r="3175" b="0"/>
            <wp:docPr id="2021893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9348" name="图片 1"/>
                    <pic:cNvPicPr>
                      <a:picLocks noChangeAspect="1"/>
                    </pic:cNvPicPr>
                  </pic:nvPicPr>
                  <pic:blipFill>
                    <a:blip r:embed="rId69"/>
                    <a:stretch>
                      <a:fillRect/>
                    </a:stretch>
                  </pic:blipFill>
                  <pic:spPr>
                    <a:xfrm>
                      <a:off x="0" y="0"/>
                      <a:ext cx="5273675" cy="6954520"/>
                    </a:xfrm>
                    <a:prstGeom prst="rect">
                      <a:avLst/>
                    </a:prstGeom>
                  </pic:spPr>
                </pic:pic>
              </a:graphicData>
            </a:graphic>
          </wp:inline>
        </w:drawing>
      </w:r>
      <w:r>
        <w:drawing>
          <wp:inline distT="0" distB="0" distL="0" distR="0">
            <wp:extent cx="5273675" cy="7169785"/>
            <wp:effectExtent l="0" t="0" r="3175" b="0"/>
            <wp:docPr id="386306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06627" name="图片 1"/>
                    <pic:cNvPicPr>
                      <a:picLocks noChangeAspect="1"/>
                    </pic:cNvPicPr>
                  </pic:nvPicPr>
                  <pic:blipFill>
                    <a:blip r:embed="rId70"/>
                    <a:stretch>
                      <a:fillRect/>
                    </a:stretch>
                  </pic:blipFill>
                  <pic:spPr>
                    <a:xfrm>
                      <a:off x="0" y="0"/>
                      <a:ext cx="5273675" cy="7169785"/>
                    </a:xfrm>
                    <a:prstGeom prst="rect">
                      <a:avLst/>
                    </a:prstGeom>
                  </pic:spPr>
                </pic:pic>
              </a:graphicData>
            </a:graphic>
          </wp:inline>
        </w:drawing>
      </w:r>
      <w:r>
        <w:drawing>
          <wp:inline distT="0" distB="0" distL="0" distR="0">
            <wp:extent cx="5273675" cy="7198995"/>
            <wp:effectExtent l="0" t="0" r="3175" b="1905"/>
            <wp:docPr id="1492611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11697" name="图片 1"/>
                    <pic:cNvPicPr>
                      <a:picLocks noChangeAspect="1"/>
                    </pic:cNvPicPr>
                  </pic:nvPicPr>
                  <pic:blipFill>
                    <a:blip r:embed="rId71"/>
                    <a:stretch>
                      <a:fillRect/>
                    </a:stretch>
                  </pic:blipFill>
                  <pic:spPr>
                    <a:xfrm>
                      <a:off x="0" y="0"/>
                      <a:ext cx="5273675" cy="7198995"/>
                    </a:xfrm>
                    <a:prstGeom prst="rect">
                      <a:avLst/>
                    </a:prstGeom>
                  </pic:spPr>
                </pic:pic>
              </a:graphicData>
            </a:graphic>
          </wp:inline>
        </w:drawing>
      </w:r>
      <w:r>
        <w:drawing>
          <wp:inline distT="0" distB="0" distL="0" distR="0">
            <wp:extent cx="5273675" cy="7407910"/>
            <wp:effectExtent l="0" t="0" r="3175" b="2540"/>
            <wp:docPr id="14868734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73489" name="图片 1"/>
                    <pic:cNvPicPr>
                      <a:picLocks noChangeAspect="1"/>
                    </pic:cNvPicPr>
                  </pic:nvPicPr>
                  <pic:blipFill>
                    <a:blip r:embed="rId72"/>
                    <a:stretch>
                      <a:fillRect/>
                    </a:stretch>
                  </pic:blipFill>
                  <pic:spPr>
                    <a:xfrm>
                      <a:off x="0" y="0"/>
                      <a:ext cx="5273675" cy="7407910"/>
                    </a:xfrm>
                    <a:prstGeom prst="rect">
                      <a:avLst/>
                    </a:prstGeom>
                  </pic:spPr>
                </pic:pic>
              </a:graphicData>
            </a:graphic>
          </wp:inline>
        </w:drawing>
      </w:r>
      <w:r>
        <w:drawing>
          <wp:inline distT="0" distB="0" distL="0" distR="0">
            <wp:extent cx="5273675" cy="7240905"/>
            <wp:effectExtent l="0" t="0" r="3175" b="0"/>
            <wp:docPr id="21167937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93747" name="图片 1"/>
                    <pic:cNvPicPr>
                      <a:picLocks noChangeAspect="1"/>
                    </pic:cNvPicPr>
                  </pic:nvPicPr>
                  <pic:blipFill>
                    <a:blip r:embed="rId73"/>
                    <a:stretch>
                      <a:fillRect/>
                    </a:stretch>
                  </pic:blipFill>
                  <pic:spPr>
                    <a:xfrm>
                      <a:off x="0" y="0"/>
                      <a:ext cx="5273675" cy="7240905"/>
                    </a:xfrm>
                    <a:prstGeom prst="rect">
                      <a:avLst/>
                    </a:prstGeom>
                  </pic:spPr>
                </pic:pic>
              </a:graphicData>
            </a:graphic>
          </wp:inline>
        </w:drawing>
      </w:r>
      <w:r>
        <w:drawing>
          <wp:inline distT="0" distB="0" distL="0" distR="0">
            <wp:extent cx="5273675" cy="7098665"/>
            <wp:effectExtent l="0" t="0" r="3175" b="6985"/>
            <wp:docPr id="2497696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69673" name="图片 1"/>
                    <pic:cNvPicPr>
                      <a:picLocks noChangeAspect="1"/>
                    </pic:cNvPicPr>
                  </pic:nvPicPr>
                  <pic:blipFill>
                    <a:blip r:embed="rId74"/>
                    <a:stretch>
                      <a:fillRect/>
                    </a:stretch>
                  </pic:blipFill>
                  <pic:spPr>
                    <a:xfrm>
                      <a:off x="0" y="0"/>
                      <a:ext cx="5273675" cy="7098665"/>
                    </a:xfrm>
                    <a:prstGeom prst="rect">
                      <a:avLst/>
                    </a:prstGeom>
                  </pic:spPr>
                </pic:pic>
              </a:graphicData>
            </a:graphic>
          </wp:inline>
        </w:drawing>
      </w:r>
      <w:r>
        <w:drawing>
          <wp:inline distT="0" distB="0" distL="0" distR="0">
            <wp:extent cx="5273675" cy="7369810"/>
            <wp:effectExtent l="0" t="0" r="3175" b="2540"/>
            <wp:docPr id="1164194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94698" name="图片 1"/>
                    <pic:cNvPicPr>
                      <a:picLocks noChangeAspect="1"/>
                    </pic:cNvPicPr>
                  </pic:nvPicPr>
                  <pic:blipFill>
                    <a:blip r:embed="rId75"/>
                    <a:stretch>
                      <a:fillRect/>
                    </a:stretch>
                  </pic:blipFill>
                  <pic:spPr>
                    <a:xfrm>
                      <a:off x="0" y="0"/>
                      <a:ext cx="5273675" cy="7369810"/>
                    </a:xfrm>
                    <a:prstGeom prst="rect">
                      <a:avLst/>
                    </a:prstGeom>
                  </pic:spPr>
                </pic:pic>
              </a:graphicData>
            </a:graphic>
          </wp:inline>
        </w:drawing>
      </w:r>
      <w:r>
        <w:drawing>
          <wp:inline distT="0" distB="0" distL="0" distR="0">
            <wp:extent cx="5273675" cy="7044055"/>
            <wp:effectExtent l="0" t="0" r="3175" b="4445"/>
            <wp:docPr id="11026480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48079" name="图片 1"/>
                    <pic:cNvPicPr>
                      <a:picLocks noChangeAspect="1"/>
                    </pic:cNvPicPr>
                  </pic:nvPicPr>
                  <pic:blipFill>
                    <a:blip r:embed="rId76"/>
                    <a:stretch>
                      <a:fillRect/>
                    </a:stretch>
                  </pic:blipFill>
                  <pic:spPr>
                    <a:xfrm>
                      <a:off x="0" y="0"/>
                      <a:ext cx="5273675" cy="7044055"/>
                    </a:xfrm>
                    <a:prstGeom prst="rect">
                      <a:avLst/>
                    </a:prstGeom>
                  </pic:spPr>
                </pic:pic>
              </a:graphicData>
            </a:graphic>
          </wp:inline>
        </w:drawing>
      </w:r>
      <w:r>
        <w:drawing>
          <wp:inline distT="0" distB="0" distL="0" distR="0">
            <wp:extent cx="5273675" cy="7139305"/>
            <wp:effectExtent l="0" t="0" r="3175" b="4445"/>
            <wp:docPr id="2204940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94033" name="图片 1"/>
                    <pic:cNvPicPr>
                      <a:picLocks noChangeAspect="1"/>
                    </pic:cNvPicPr>
                  </pic:nvPicPr>
                  <pic:blipFill>
                    <a:blip r:embed="rId77"/>
                    <a:stretch>
                      <a:fillRect/>
                    </a:stretch>
                  </pic:blipFill>
                  <pic:spPr>
                    <a:xfrm>
                      <a:off x="0" y="0"/>
                      <a:ext cx="5273675" cy="7139305"/>
                    </a:xfrm>
                    <a:prstGeom prst="rect">
                      <a:avLst/>
                    </a:prstGeom>
                  </pic:spPr>
                </pic:pic>
              </a:graphicData>
            </a:graphic>
          </wp:inline>
        </w:drawing>
      </w:r>
      <w:r>
        <w:drawing>
          <wp:inline distT="0" distB="0" distL="0" distR="0">
            <wp:extent cx="5273675" cy="7138670"/>
            <wp:effectExtent l="0" t="0" r="3175" b="5080"/>
            <wp:docPr id="294561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61196" name="图片 1"/>
                    <pic:cNvPicPr>
                      <a:picLocks noChangeAspect="1"/>
                    </pic:cNvPicPr>
                  </pic:nvPicPr>
                  <pic:blipFill>
                    <a:blip r:embed="rId78"/>
                    <a:stretch>
                      <a:fillRect/>
                    </a:stretch>
                  </pic:blipFill>
                  <pic:spPr>
                    <a:xfrm>
                      <a:off x="0" y="0"/>
                      <a:ext cx="5273675" cy="7138670"/>
                    </a:xfrm>
                    <a:prstGeom prst="rect">
                      <a:avLst/>
                    </a:prstGeom>
                  </pic:spPr>
                </pic:pic>
              </a:graphicData>
            </a:graphic>
          </wp:inline>
        </w:drawing>
      </w:r>
      <w:r>
        <w:drawing>
          <wp:inline distT="0" distB="0" distL="0" distR="0">
            <wp:extent cx="5273675" cy="7333615"/>
            <wp:effectExtent l="0" t="0" r="3175" b="635"/>
            <wp:docPr id="21439063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06369" name="图片 1"/>
                    <pic:cNvPicPr>
                      <a:picLocks noChangeAspect="1"/>
                    </pic:cNvPicPr>
                  </pic:nvPicPr>
                  <pic:blipFill>
                    <a:blip r:embed="rId79"/>
                    <a:stretch>
                      <a:fillRect/>
                    </a:stretch>
                  </pic:blipFill>
                  <pic:spPr>
                    <a:xfrm>
                      <a:off x="0" y="0"/>
                      <a:ext cx="5273675" cy="7333615"/>
                    </a:xfrm>
                    <a:prstGeom prst="rect">
                      <a:avLst/>
                    </a:prstGeom>
                  </pic:spPr>
                </pic:pic>
              </a:graphicData>
            </a:graphic>
          </wp:inline>
        </w:drawing>
      </w:r>
      <w:r>
        <w:drawing>
          <wp:inline distT="0" distB="0" distL="0" distR="0">
            <wp:extent cx="5273675" cy="7371715"/>
            <wp:effectExtent l="0" t="0" r="3175" b="635"/>
            <wp:docPr id="9479194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19480" name="图片 1"/>
                    <pic:cNvPicPr>
                      <a:picLocks noChangeAspect="1"/>
                    </pic:cNvPicPr>
                  </pic:nvPicPr>
                  <pic:blipFill>
                    <a:blip r:embed="rId80"/>
                    <a:stretch>
                      <a:fillRect/>
                    </a:stretch>
                  </pic:blipFill>
                  <pic:spPr>
                    <a:xfrm>
                      <a:off x="0" y="0"/>
                      <a:ext cx="5273675" cy="7371715"/>
                    </a:xfrm>
                    <a:prstGeom prst="rect">
                      <a:avLst/>
                    </a:prstGeom>
                  </pic:spPr>
                </pic:pic>
              </a:graphicData>
            </a:graphic>
          </wp:inline>
        </w:drawing>
      </w:r>
      <w:r>
        <w:rPr>
          <w:rFonts w:eastAsiaTheme="minorEastAsia"/>
          <w:szCs w:val="36"/>
        </w:rPr>
        <w:br w:type="page"/>
      </w:r>
      <w:bookmarkStart w:id="675" w:name="_Toc31461"/>
      <w:r>
        <w:t>第五章   合同草案条款</w:t>
      </w:r>
      <w:bookmarkEnd w:id="675"/>
    </w:p>
    <w:p w14:paraId="6774CC6C">
      <w:pPr>
        <w:pStyle w:val="32"/>
        <w:snapToGrid w:val="0"/>
        <w:spacing w:before="0" w:after="0"/>
        <w:rPr>
          <w:rStyle w:val="252"/>
          <w:rFonts w:hint="eastAsia" w:ascii="宋体" w:hAnsi="宋体"/>
          <w:b/>
          <w:bCs/>
          <w:u w:color="000000" w:themeColor="text1"/>
        </w:rPr>
      </w:pPr>
      <w:r>
        <w:rPr>
          <w:rStyle w:val="252"/>
          <w:rFonts w:hint="eastAsia" w:ascii="宋体" w:hAnsi="宋体"/>
          <w:b/>
          <w:bCs/>
          <w:u w:color="000000" w:themeColor="text1"/>
        </w:rPr>
        <w:t>合同文件引索</w:t>
      </w:r>
    </w:p>
    <w:p w14:paraId="75E438DD">
      <w:pPr>
        <w:snapToGrid w:val="0"/>
        <w:jc w:val="center"/>
        <w:rPr>
          <w:rFonts w:hint="eastAsia" w:ascii="宋体" w:hAnsi="宋体"/>
          <w:sz w:val="44"/>
          <w:szCs w:val="44"/>
          <w:u w:val="single" w:color="000000" w:themeColor="text1"/>
        </w:rPr>
      </w:pPr>
    </w:p>
    <w:tbl>
      <w:tblPr>
        <w:tblStyle w:val="4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6672"/>
      </w:tblGrid>
      <w:tr w14:paraId="429E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2165" w:type="dxa"/>
            <w:vAlign w:val="center"/>
          </w:tcPr>
          <w:p w14:paraId="2931CC36">
            <w:pPr>
              <w:snapToGrid w:val="0"/>
              <w:jc w:val="center"/>
              <w:rPr>
                <w:rFonts w:hint="eastAsia" w:ascii="宋体" w:hAnsi="宋体"/>
                <w:sz w:val="28"/>
                <w:szCs w:val="28"/>
                <w:u w:color="000000" w:themeColor="text1"/>
              </w:rPr>
            </w:pPr>
            <w:r>
              <w:rPr>
                <w:rFonts w:hint="eastAsia" w:ascii="宋体" w:hAnsi="宋体"/>
                <w:sz w:val="28"/>
                <w:szCs w:val="28"/>
                <w:u w:color="000000" w:themeColor="text1"/>
              </w:rPr>
              <w:t>序号</w:t>
            </w:r>
          </w:p>
        </w:tc>
        <w:tc>
          <w:tcPr>
            <w:tcW w:w="6672" w:type="dxa"/>
            <w:vAlign w:val="center"/>
          </w:tcPr>
          <w:p w14:paraId="56688CEC">
            <w:pPr>
              <w:snapToGrid w:val="0"/>
              <w:jc w:val="center"/>
              <w:rPr>
                <w:rFonts w:hint="eastAsia" w:ascii="宋体" w:hAnsi="宋体"/>
                <w:sz w:val="28"/>
                <w:szCs w:val="28"/>
                <w:u w:color="000000" w:themeColor="text1"/>
              </w:rPr>
            </w:pPr>
            <w:r>
              <w:rPr>
                <w:rFonts w:hint="eastAsia" w:ascii="宋体" w:hAnsi="宋体"/>
                <w:sz w:val="28"/>
                <w:szCs w:val="28"/>
                <w:u w:color="000000" w:themeColor="text1"/>
              </w:rPr>
              <w:t>合同文件名称</w:t>
            </w:r>
          </w:p>
        </w:tc>
      </w:tr>
      <w:tr w14:paraId="633C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3" w:hRule="atLeast"/>
          <w:jc w:val="center"/>
        </w:trPr>
        <w:tc>
          <w:tcPr>
            <w:tcW w:w="2165" w:type="dxa"/>
          </w:tcPr>
          <w:p w14:paraId="07AB158A">
            <w:pPr>
              <w:snapToGrid w:val="0"/>
              <w:ind w:firstLine="560"/>
              <w:jc w:val="center"/>
              <w:rPr>
                <w:rFonts w:hint="eastAsia" w:ascii="宋体" w:hAnsi="宋体"/>
                <w:sz w:val="28"/>
                <w:szCs w:val="28"/>
                <w:u w:color="000000" w:themeColor="text1"/>
              </w:rPr>
            </w:pPr>
          </w:p>
          <w:p w14:paraId="19B13F8F">
            <w:pPr>
              <w:snapToGrid w:val="0"/>
              <w:rPr>
                <w:rFonts w:hint="eastAsia" w:ascii="宋体" w:hAnsi="宋体"/>
                <w:sz w:val="28"/>
                <w:szCs w:val="28"/>
                <w:u w:color="000000" w:themeColor="text1"/>
              </w:rPr>
            </w:pPr>
            <w:r>
              <w:rPr>
                <w:rFonts w:hint="eastAsia" w:ascii="宋体" w:hAnsi="宋体"/>
                <w:sz w:val="28"/>
                <w:szCs w:val="28"/>
                <w:u w:color="000000" w:themeColor="text1"/>
              </w:rPr>
              <w:t>第一部分</w:t>
            </w:r>
          </w:p>
          <w:p w14:paraId="71AF228D">
            <w:pPr>
              <w:snapToGrid w:val="0"/>
              <w:ind w:firstLine="560"/>
              <w:jc w:val="center"/>
              <w:rPr>
                <w:rFonts w:hint="eastAsia" w:ascii="宋体" w:hAnsi="宋体"/>
                <w:sz w:val="28"/>
                <w:szCs w:val="28"/>
                <w:u w:color="000000" w:themeColor="text1"/>
              </w:rPr>
            </w:pPr>
          </w:p>
          <w:p w14:paraId="2EC846F8">
            <w:pPr>
              <w:snapToGrid w:val="0"/>
              <w:rPr>
                <w:rFonts w:hint="eastAsia" w:ascii="宋体" w:hAnsi="宋体"/>
                <w:sz w:val="28"/>
                <w:szCs w:val="28"/>
                <w:u w:color="000000" w:themeColor="text1"/>
              </w:rPr>
            </w:pPr>
            <w:r>
              <w:rPr>
                <w:rFonts w:hint="eastAsia" w:ascii="宋体" w:hAnsi="宋体"/>
                <w:sz w:val="28"/>
                <w:szCs w:val="28"/>
                <w:u w:color="000000" w:themeColor="text1"/>
              </w:rPr>
              <w:t>第二部分</w:t>
            </w:r>
          </w:p>
          <w:p w14:paraId="3FB622BD">
            <w:pPr>
              <w:snapToGrid w:val="0"/>
              <w:ind w:firstLine="560"/>
              <w:jc w:val="center"/>
              <w:rPr>
                <w:rFonts w:hint="eastAsia" w:ascii="宋体" w:hAnsi="宋体"/>
                <w:sz w:val="28"/>
                <w:szCs w:val="28"/>
                <w:u w:color="000000" w:themeColor="text1"/>
              </w:rPr>
            </w:pPr>
          </w:p>
          <w:p w14:paraId="4FF45021">
            <w:pPr>
              <w:snapToGrid w:val="0"/>
              <w:rPr>
                <w:rFonts w:hint="eastAsia" w:ascii="宋体" w:hAnsi="宋体"/>
                <w:sz w:val="28"/>
                <w:szCs w:val="28"/>
                <w:u w:color="000000" w:themeColor="text1"/>
              </w:rPr>
            </w:pPr>
            <w:r>
              <w:rPr>
                <w:rFonts w:hint="eastAsia" w:ascii="宋体" w:hAnsi="宋体"/>
                <w:sz w:val="28"/>
                <w:szCs w:val="28"/>
                <w:u w:color="000000" w:themeColor="text1"/>
              </w:rPr>
              <w:t>第三部分</w:t>
            </w:r>
          </w:p>
          <w:p w14:paraId="0BAAECB1">
            <w:pPr>
              <w:snapToGrid w:val="0"/>
              <w:ind w:firstLine="560"/>
              <w:jc w:val="center"/>
              <w:rPr>
                <w:rFonts w:hint="eastAsia" w:ascii="宋体" w:hAnsi="宋体"/>
                <w:sz w:val="28"/>
                <w:szCs w:val="28"/>
                <w:u w:color="000000" w:themeColor="text1"/>
              </w:rPr>
            </w:pPr>
          </w:p>
          <w:p w14:paraId="02A61B60">
            <w:pPr>
              <w:snapToGrid w:val="0"/>
              <w:rPr>
                <w:rFonts w:hint="eastAsia" w:ascii="宋体" w:hAnsi="宋体"/>
                <w:sz w:val="28"/>
                <w:szCs w:val="28"/>
                <w:u w:color="000000" w:themeColor="text1"/>
              </w:rPr>
            </w:pPr>
            <w:r>
              <w:rPr>
                <w:rFonts w:hint="eastAsia" w:ascii="宋体" w:hAnsi="宋体"/>
                <w:sz w:val="28"/>
                <w:szCs w:val="28"/>
                <w:u w:color="000000" w:themeColor="text1"/>
              </w:rPr>
              <w:t>第四部分</w:t>
            </w:r>
          </w:p>
          <w:p w14:paraId="4C6F2D10">
            <w:pPr>
              <w:snapToGrid w:val="0"/>
              <w:rPr>
                <w:rFonts w:hint="eastAsia" w:ascii="宋体" w:hAnsi="宋体"/>
                <w:sz w:val="28"/>
                <w:szCs w:val="28"/>
                <w:u w:color="000000" w:themeColor="text1"/>
              </w:rPr>
            </w:pPr>
          </w:p>
        </w:tc>
        <w:tc>
          <w:tcPr>
            <w:tcW w:w="6672" w:type="dxa"/>
          </w:tcPr>
          <w:p w14:paraId="45F80A12">
            <w:pPr>
              <w:snapToGrid w:val="0"/>
              <w:ind w:firstLine="560"/>
              <w:jc w:val="center"/>
              <w:rPr>
                <w:rFonts w:hint="eastAsia" w:ascii="宋体" w:hAnsi="宋体"/>
                <w:sz w:val="28"/>
                <w:szCs w:val="28"/>
                <w:u w:color="000000" w:themeColor="text1"/>
              </w:rPr>
            </w:pPr>
          </w:p>
          <w:p w14:paraId="1A3E050C">
            <w:pPr>
              <w:snapToGrid w:val="0"/>
              <w:rPr>
                <w:rFonts w:hint="eastAsia" w:ascii="宋体" w:hAnsi="宋体"/>
                <w:sz w:val="28"/>
                <w:szCs w:val="28"/>
                <w:u w:color="000000" w:themeColor="text1"/>
              </w:rPr>
            </w:pPr>
            <w:r>
              <w:rPr>
                <w:rFonts w:hint="eastAsia" w:ascii="宋体" w:hAnsi="宋体"/>
                <w:sz w:val="28"/>
                <w:szCs w:val="28"/>
                <w:u w:color="000000" w:themeColor="text1"/>
              </w:rPr>
              <w:t>合同协议书</w:t>
            </w:r>
          </w:p>
          <w:p w14:paraId="2E832633">
            <w:pPr>
              <w:snapToGrid w:val="0"/>
              <w:ind w:firstLine="560"/>
              <w:jc w:val="center"/>
              <w:rPr>
                <w:rFonts w:hint="eastAsia" w:ascii="宋体" w:hAnsi="宋体"/>
                <w:sz w:val="28"/>
                <w:szCs w:val="28"/>
                <w:u w:color="000000" w:themeColor="text1"/>
              </w:rPr>
            </w:pPr>
          </w:p>
          <w:p w14:paraId="34E74EAD">
            <w:pPr>
              <w:snapToGrid w:val="0"/>
              <w:rPr>
                <w:rFonts w:hint="eastAsia" w:ascii="宋体" w:hAnsi="宋体"/>
                <w:sz w:val="28"/>
                <w:szCs w:val="28"/>
                <w:u w:color="000000" w:themeColor="text1"/>
              </w:rPr>
            </w:pPr>
            <w:r>
              <w:rPr>
                <w:rFonts w:hint="eastAsia" w:ascii="宋体" w:hAnsi="宋体"/>
                <w:sz w:val="28"/>
                <w:szCs w:val="28"/>
                <w:u w:color="000000" w:themeColor="text1"/>
              </w:rPr>
              <w:t>合同条款通用部分</w:t>
            </w:r>
          </w:p>
          <w:p w14:paraId="71F43588">
            <w:pPr>
              <w:snapToGrid w:val="0"/>
              <w:ind w:firstLine="560"/>
              <w:jc w:val="center"/>
              <w:rPr>
                <w:rFonts w:hint="eastAsia" w:ascii="宋体" w:hAnsi="宋体"/>
                <w:sz w:val="28"/>
                <w:szCs w:val="28"/>
                <w:u w:color="000000" w:themeColor="text1"/>
              </w:rPr>
            </w:pPr>
          </w:p>
          <w:p w14:paraId="45C49089">
            <w:pPr>
              <w:snapToGrid w:val="0"/>
              <w:rPr>
                <w:rFonts w:hint="eastAsia" w:ascii="宋体" w:hAnsi="宋体"/>
                <w:sz w:val="28"/>
                <w:szCs w:val="28"/>
                <w:u w:color="000000" w:themeColor="text1"/>
              </w:rPr>
            </w:pPr>
            <w:r>
              <w:rPr>
                <w:rFonts w:hint="eastAsia" w:ascii="宋体" w:hAnsi="宋体"/>
                <w:sz w:val="28"/>
                <w:szCs w:val="28"/>
                <w:u w:color="000000" w:themeColor="text1"/>
              </w:rPr>
              <w:t>合同条款专用部分</w:t>
            </w:r>
          </w:p>
          <w:p w14:paraId="037DDB92">
            <w:pPr>
              <w:snapToGrid w:val="0"/>
              <w:ind w:firstLine="560"/>
              <w:jc w:val="center"/>
              <w:rPr>
                <w:rFonts w:hint="eastAsia" w:ascii="宋体" w:hAnsi="宋体"/>
                <w:sz w:val="28"/>
                <w:szCs w:val="28"/>
                <w:u w:color="000000" w:themeColor="text1"/>
              </w:rPr>
            </w:pPr>
          </w:p>
          <w:p w14:paraId="7637E6B9">
            <w:pPr>
              <w:snapToGrid w:val="0"/>
              <w:rPr>
                <w:rFonts w:hint="eastAsia" w:ascii="宋体" w:hAnsi="宋体"/>
                <w:sz w:val="28"/>
                <w:szCs w:val="28"/>
                <w:u w:color="000000" w:themeColor="text1"/>
              </w:rPr>
            </w:pPr>
            <w:r>
              <w:rPr>
                <w:rFonts w:ascii="宋体" w:hAnsi="宋体"/>
                <w:sz w:val="28"/>
                <w:szCs w:val="28"/>
                <w:u w:color="000000" w:themeColor="text1"/>
              </w:rPr>
              <w:t>其他</w:t>
            </w:r>
          </w:p>
          <w:p w14:paraId="7C7B8668">
            <w:pPr>
              <w:snapToGrid w:val="0"/>
              <w:ind w:firstLine="560"/>
              <w:jc w:val="center"/>
              <w:rPr>
                <w:rFonts w:hint="eastAsia" w:ascii="宋体" w:hAnsi="宋体"/>
                <w:sz w:val="28"/>
                <w:szCs w:val="28"/>
                <w:u w:color="000000" w:themeColor="text1"/>
              </w:rPr>
            </w:pPr>
          </w:p>
        </w:tc>
      </w:tr>
    </w:tbl>
    <w:p w14:paraId="13AF10A5">
      <w:pPr>
        <w:pStyle w:val="42"/>
        <w:snapToGrid w:val="0"/>
        <w:ind w:firstLine="210"/>
        <w:rPr>
          <w:u w:color="000000" w:themeColor="text1"/>
        </w:rPr>
        <w:sectPr>
          <w:footerReference r:id="rId18" w:type="default"/>
          <w:pgSz w:w="11905" w:h="16837" w:orient="landscape"/>
          <w:pgMar w:top="1440" w:right="1800" w:bottom="1440" w:left="1800" w:header="851" w:footer="992" w:gutter="0"/>
          <w:pgNumType w:start="1"/>
          <w:cols w:space="720" w:num="1"/>
          <w:docGrid w:linePitch="312" w:charSpace="0"/>
        </w:sectPr>
      </w:pPr>
    </w:p>
    <w:p w14:paraId="259AC9A7">
      <w:pPr>
        <w:pStyle w:val="2"/>
        <w:snapToGrid w:val="0"/>
        <w:rPr>
          <w:rFonts w:hint="eastAsia"/>
          <w:u w:color="000000" w:themeColor="text1"/>
        </w:rPr>
      </w:pPr>
      <w:bookmarkStart w:id="676" w:name="_Toc7732"/>
      <w:r>
        <w:rPr>
          <w:rFonts w:hint="eastAsia"/>
          <w:u w:color="000000" w:themeColor="text1"/>
        </w:rPr>
        <w:t>第一部分合同协议书</w:t>
      </w:r>
      <w:bookmarkEnd w:id="676"/>
    </w:p>
    <w:p w14:paraId="21F4F31B">
      <w:pPr>
        <w:snapToGrid w:val="0"/>
        <w:rPr>
          <w:u w:color="000000" w:themeColor="text1"/>
        </w:rPr>
      </w:pPr>
      <w:r>
        <w:rPr>
          <w:u w:color="000000" w:themeColor="text1"/>
        </w:rPr>
        <w:t xml:space="preserve">                                                    </w:t>
      </w:r>
    </w:p>
    <w:p w14:paraId="415513A9">
      <w:pPr>
        <w:snapToGrid w:val="0"/>
        <w:spacing w:line="360" w:lineRule="auto"/>
        <w:rPr>
          <w:rFonts w:ascii="宋体" w:cs="Arial"/>
          <w:sz w:val="24"/>
          <w:u w:val="single" w:color="000000" w:themeColor="text1"/>
        </w:rPr>
      </w:pPr>
      <w:bookmarkStart w:id="677" w:name="_Hlk155349033"/>
      <w:r>
        <w:rPr>
          <w:rFonts w:hint="eastAsia" w:ascii="宋体" w:hAnsi="宋体" w:cs="Arial"/>
          <w:sz w:val="24"/>
          <w:u w:color="000000" w:themeColor="text1"/>
        </w:rPr>
        <w:t>发包人（全称）：</w:t>
      </w:r>
      <w:r>
        <w:rPr>
          <w:rFonts w:hint="eastAsia" w:eastAsiaTheme="minorEastAsia"/>
          <w:sz w:val="24"/>
          <w:u w:val="single"/>
        </w:rPr>
        <w:t>北京市丰台区职业教育中心学校</w:t>
      </w:r>
    </w:p>
    <w:p w14:paraId="5E5DA7ED">
      <w:pPr>
        <w:snapToGrid w:val="0"/>
        <w:spacing w:line="360" w:lineRule="auto"/>
        <w:rPr>
          <w:rFonts w:ascii="宋体"/>
          <w:sz w:val="24"/>
          <w:u w:color="000000" w:themeColor="text1"/>
        </w:rPr>
      </w:pPr>
      <w:r>
        <w:rPr>
          <w:rFonts w:hint="eastAsia" w:ascii="宋体" w:hAnsi="宋体"/>
          <w:sz w:val="24"/>
          <w:u w:color="000000" w:themeColor="text1"/>
        </w:rPr>
        <w:t>法定代表人：</w:t>
      </w:r>
      <w:r>
        <w:rPr>
          <w:rFonts w:hint="eastAsia" w:ascii="宋体" w:hAnsi="宋体" w:cs="Arial"/>
          <w:sz w:val="24"/>
          <w:u w:val="single" w:color="000000" w:themeColor="text1"/>
        </w:rPr>
        <w:t xml:space="preserve">  赵爱芹 </w:t>
      </w:r>
    </w:p>
    <w:p w14:paraId="043E3C19">
      <w:pPr>
        <w:snapToGrid w:val="0"/>
        <w:spacing w:line="360" w:lineRule="auto"/>
        <w:rPr>
          <w:rFonts w:hint="eastAsia" w:ascii="宋体" w:hAnsi="宋体"/>
          <w:sz w:val="24"/>
          <w:u w:val="single" w:color="000000" w:themeColor="text1"/>
        </w:rPr>
      </w:pPr>
      <w:r>
        <w:rPr>
          <w:rFonts w:hint="eastAsia" w:ascii="宋体" w:hAnsi="宋体"/>
          <w:sz w:val="24"/>
          <w:u w:color="000000" w:themeColor="text1"/>
        </w:rPr>
        <w:t>法定注册地址：</w:t>
      </w:r>
      <w:r>
        <w:rPr>
          <w:rFonts w:hint="eastAsia" w:ascii="宋体" w:hAnsi="宋体" w:cs="宋体"/>
          <w:sz w:val="24"/>
          <w:u w:val="single"/>
        </w:rPr>
        <w:t>北京市丰台区方庄芳古园二区9号</w:t>
      </w:r>
    </w:p>
    <w:p w14:paraId="1641B8F7">
      <w:pPr>
        <w:snapToGrid w:val="0"/>
        <w:spacing w:line="360" w:lineRule="auto"/>
        <w:rPr>
          <w:rFonts w:hint="eastAsia" w:ascii="宋体" w:hAnsi="宋体"/>
          <w:sz w:val="24"/>
          <w:u w:val="single" w:color="000000" w:themeColor="text1"/>
        </w:rPr>
      </w:pPr>
    </w:p>
    <w:p w14:paraId="2F0CCAC7">
      <w:pPr>
        <w:snapToGrid w:val="0"/>
        <w:spacing w:line="360" w:lineRule="auto"/>
        <w:rPr>
          <w:sz w:val="24"/>
          <w:u w:val="single" w:color="000000" w:themeColor="text1"/>
        </w:rPr>
      </w:pPr>
      <w:r>
        <w:rPr>
          <w:rFonts w:hint="eastAsia"/>
          <w:sz w:val="24"/>
          <w:u w:color="000000" w:themeColor="text1"/>
        </w:rPr>
        <w:t>承包人（全称）：</w:t>
      </w:r>
      <w:r>
        <w:rPr>
          <w:rFonts w:hint="eastAsia"/>
          <w:sz w:val="24"/>
          <w:u w:val="single" w:color="000000" w:themeColor="text1"/>
        </w:rPr>
        <w:t xml:space="preserve">                </w:t>
      </w:r>
    </w:p>
    <w:p w14:paraId="341AEE6E">
      <w:pPr>
        <w:snapToGrid w:val="0"/>
        <w:spacing w:line="360" w:lineRule="auto"/>
        <w:rPr>
          <w:sz w:val="24"/>
          <w:u w:color="000000" w:themeColor="text1"/>
        </w:rPr>
      </w:pPr>
      <w:r>
        <w:rPr>
          <w:rFonts w:hint="eastAsia"/>
          <w:sz w:val="24"/>
          <w:u w:color="000000" w:themeColor="text1"/>
        </w:rPr>
        <w:t>法</w:t>
      </w:r>
      <w:r>
        <w:rPr>
          <w:sz w:val="24"/>
          <w:u w:color="000000" w:themeColor="text1"/>
        </w:rPr>
        <w:t xml:space="preserve"> </w:t>
      </w:r>
      <w:r>
        <w:rPr>
          <w:rFonts w:hint="eastAsia"/>
          <w:sz w:val="24"/>
          <w:u w:color="000000" w:themeColor="text1"/>
        </w:rPr>
        <w:t>定</w:t>
      </w:r>
      <w:r>
        <w:rPr>
          <w:sz w:val="24"/>
          <w:u w:color="000000" w:themeColor="text1"/>
        </w:rPr>
        <w:t xml:space="preserve"> </w:t>
      </w:r>
      <w:r>
        <w:rPr>
          <w:rFonts w:hint="eastAsia"/>
          <w:sz w:val="24"/>
          <w:u w:color="000000" w:themeColor="text1"/>
        </w:rPr>
        <w:t>代</w:t>
      </w:r>
      <w:r>
        <w:rPr>
          <w:sz w:val="24"/>
          <w:u w:color="000000" w:themeColor="text1"/>
        </w:rPr>
        <w:t xml:space="preserve"> </w:t>
      </w:r>
      <w:r>
        <w:rPr>
          <w:rFonts w:hint="eastAsia"/>
          <w:sz w:val="24"/>
          <w:u w:color="000000" w:themeColor="text1"/>
        </w:rPr>
        <w:t>表</w:t>
      </w:r>
      <w:r>
        <w:rPr>
          <w:sz w:val="24"/>
          <w:u w:color="000000" w:themeColor="text1"/>
        </w:rPr>
        <w:t xml:space="preserve"> </w:t>
      </w:r>
      <w:r>
        <w:rPr>
          <w:rFonts w:hint="eastAsia"/>
          <w:sz w:val="24"/>
          <w:u w:color="000000" w:themeColor="text1"/>
        </w:rPr>
        <w:t>人：</w:t>
      </w:r>
      <w:r>
        <w:rPr>
          <w:rFonts w:hint="eastAsia"/>
          <w:sz w:val="24"/>
          <w:u w:val="single" w:color="000000" w:themeColor="text1"/>
        </w:rPr>
        <w:t xml:space="preserve">              </w:t>
      </w:r>
    </w:p>
    <w:p w14:paraId="32981538">
      <w:pPr>
        <w:snapToGrid w:val="0"/>
        <w:spacing w:line="360" w:lineRule="auto"/>
        <w:rPr>
          <w:sz w:val="24"/>
          <w:u w:color="000000" w:themeColor="text1"/>
        </w:rPr>
      </w:pPr>
      <w:r>
        <w:rPr>
          <w:rFonts w:hint="eastAsia"/>
          <w:sz w:val="24"/>
          <w:u w:color="000000" w:themeColor="text1"/>
        </w:rPr>
        <w:t>法定注册地址</w:t>
      </w:r>
      <w:r>
        <w:rPr>
          <w:rFonts w:hint="eastAsia"/>
          <w:b/>
          <w:sz w:val="24"/>
          <w:u w:color="000000" w:themeColor="text1"/>
        </w:rPr>
        <w:t>：</w:t>
      </w:r>
      <w:r>
        <w:rPr>
          <w:rFonts w:hint="eastAsia"/>
          <w:sz w:val="24"/>
          <w:u w:val="single" w:color="000000" w:themeColor="text1"/>
        </w:rPr>
        <w:t xml:space="preserve">                 </w:t>
      </w:r>
    </w:p>
    <w:p w14:paraId="7EEAFF56">
      <w:pPr>
        <w:snapToGrid w:val="0"/>
        <w:spacing w:line="360" w:lineRule="auto"/>
        <w:rPr>
          <w:sz w:val="24"/>
          <w:u w:color="000000" w:themeColor="text1"/>
        </w:rPr>
      </w:pPr>
    </w:p>
    <w:p w14:paraId="192252C9">
      <w:pPr>
        <w:snapToGrid w:val="0"/>
        <w:spacing w:line="360" w:lineRule="auto"/>
        <w:rPr>
          <w:sz w:val="24"/>
          <w:u w:color="000000" w:themeColor="text1"/>
        </w:rPr>
      </w:pPr>
      <w:r>
        <w:rPr>
          <w:rFonts w:hint="eastAsia"/>
          <w:sz w:val="24"/>
          <w:u w:color="000000" w:themeColor="text1"/>
        </w:rPr>
        <w:t>发包人为建设</w:t>
      </w:r>
      <w:r>
        <w:rPr>
          <w:rFonts w:hint="eastAsia" w:eastAsiaTheme="minorEastAsia"/>
          <w:sz w:val="24"/>
          <w:u w:val="single"/>
        </w:rPr>
        <w:t>额度外—2026年丰台区职业教育中心学校芳群园校区四楼改造其他建筑工程采购项目</w:t>
      </w:r>
      <w:r>
        <w:rPr>
          <w:rFonts w:hint="eastAsia"/>
          <w:sz w:val="24"/>
          <w:u w:color="000000" w:themeColor="text1"/>
        </w:rPr>
        <w:t>（以下简称“本工程”），</w:t>
      </w:r>
      <w:r>
        <w:rPr>
          <w:rFonts w:ascii="宋体" w:hAnsi="宋体" w:cs="宋体"/>
          <w:sz w:val="24"/>
          <w:u w:color="000000" w:themeColor="text1"/>
        </w:rPr>
        <w:t>已接受承包人提出的承担本工程的施工、竣工、交付并维修其任何缺陷的投标。依照《中华人民共和国招标投标法》、《中华人民共和国民法典》、《中华人民共和国建筑法》及其他有关法律、行政法规</w:t>
      </w:r>
      <w:r>
        <w:rPr>
          <w:rFonts w:hint="eastAsia" w:ascii="宋体" w:hAnsi="宋体" w:cs="宋体"/>
          <w:sz w:val="24"/>
          <w:u w:color="000000" w:themeColor="text1"/>
        </w:rPr>
        <w:t>规定</w:t>
      </w:r>
      <w:r>
        <w:rPr>
          <w:rFonts w:ascii="宋体" w:hAnsi="宋体" w:cs="宋体"/>
          <w:sz w:val="24"/>
          <w:u w:color="000000" w:themeColor="text1"/>
        </w:rPr>
        <w:t>，遵循平等、自愿、公平和诚实信用的原则，双方共同达成并订立如下协议。</w:t>
      </w:r>
    </w:p>
    <w:p w14:paraId="4A569FD4">
      <w:pPr>
        <w:snapToGrid w:val="0"/>
        <w:spacing w:line="360" w:lineRule="auto"/>
        <w:rPr>
          <w:sz w:val="24"/>
          <w:u w:color="000000" w:themeColor="text1"/>
        </w:rPr>
      </w:pPr>
      <w:r>
        <w:rPr>
          <w:rFonts w:hint="eastAsia"/>
          <w:sz w:val="24"/>
          <w:u w:color="000000" w:themeColor="text1"/>
        </w:rPr>
        <w:t>一、工程概况</w:t>
      </w:r>
    </w:p>
    <w:p w14:paraId="70A5B1A5">
      <w:pPr>
        <w:snapToGrid w:val="0"/>
        <w:spacing w:line="360" w:lineRule="auto"/>
        <w:rPr>
          <w:sz w:val="24"/>
          <w:u w:color="000000" w:themeColor="text1"/>
        </w:rPr>
      </w:pPr>
      <w:r>
        <w:rPr>
          <w:rFonts w:hint="eastAsia"/>
          <w:sz w:val="24"/>
          <w:u w:color="000000" w:themeColor="text1"/>
        </w:rPr>
        <w:t>工程名称：</w:t>
      </w:r>
      <w:r>
        <w:rPr>
          <w:rFonts w:hint="eastAsia" w:eastAsiaTheme="minorEastAsia"/>
          <w:sz w:val="24"/>
          <w:u w:val="single"/>
        </w:rPr>
        <w:t>额度外—2026年丰台区职业教育中心学校芳群园校区四楼改造其他建筑工程采购项目</w:t>
      </w:r>
    </w:p>
    <w:p w14:paraId="665E7123">
      <w:pPr>
        <w:snapToGrid w:val="0"/>
        <w:spacing w:line="360" w:lineRule="auto"/>
        <w:rPr>
          <w:sz w:val="24"/>
          <w:u w:val="single" w:color="000000" w:themeColor="text1"/>
        </w:rPr>
      </w:pPr>
      <w:r>
        <w:rPr>
          <w:rFonts w:hint="eastAsia"/>
          <w:sz w:val="24"/>
          <w:u w:color="000000" w:themeColor="text1"/>
        </w:rPr>
        <w:t>工程地点：</w:t>
      </w:r>
      <w:r>
        <w:rPr>
          <w:rFonts w:hint="eastAsia" w:ascii="宋体" w:hAnsi="宋体" w:cs="宋体"/>
          <w:sz w:val="24"/>
          <w:u w:val="single"/>
        </w:rPr>
        <w:t>北京市丰台区方庄芳古园二区9号</w:t>
      </w:r>
    </w:p>
    <w:p w14:paraId="3A404715">
      <w:pPr>
        <w:snapToGrid w:val="0"/>
        <w:spacing w:line="360" w:lineRule="auto"/>
        <w:rPr>
          <w:sz w:val="24"/>
          <w:u w:val="single" w:color="000000" w:themeColor="text1"/>
        </w:rPr>
      </w:pPr>
      <w:r>
        <w:rPr>
          <w:rFonts w:hint="eastAsia"/>
          <w:sz w:val="24"/>
          <w:u w:color="000000" w:themeColor="text1"/>
        </w:rPr>
        <w:t>工程内容：</w:t>
      </w:r>
      <w:r>
        <w:rPr>
          <w:rFonts w:hint="eastAsia" w:eastAsiaTheme="minorEastAsia"/>
          <w:sz w:val="24"/>
          <w:u w:val="single"/>
        </w:rPr>
        <w:t>完成额度外—2026年丰台区职业教育中心学校芳群园校区四楼改造其他建筑工程采购项目所需全部内容，包括</w:t>
      </w:r>
      <w:r>
        <w:rPr>
          <w:rFonts w:ascii="宋体" w:hAnsi="宋体" w:cs="宋体"/>
          <w:sz w:val="24"/>
          <w:u w:val="single"/>
        </w:rPr>
        <w:t>拆除工程</w:t>
      </w:r>
      <w:r>
        <w:rPr>
          <w:rFonts w:hint="eastAsia" w:ascii="宋体" w:hAnsi="宋体" w:cs="宋体"/>
          <w:sz w:val="24"/>
          <w:u w:val="single"/>
        </w:rPr>
        <w:t>、</w:t>
      </w:r>
      <w:r>
        <w:rPr>
          <w:rFonts w:ascii="宋体" w:hAnsi="宋体" w:cs="宋体"/>
          <w:sz w:val="24"/>
          <w:u w:val="single"/>
        </w:rPr>
        <w:t>装饰装修工程</w:t>
      </w:r>
      <w:r>
        <w:rPr>
          <w:rFonts w:hint="eastAsia" w:ascii="宋体" w:hAnsi="宋体" w:cs="宋体"/>
          <w:sz w:val="24"/>
          <w:u w:val="single"/>
        </w:rPr>
        <w:t>、</w:t>
      </w:r>
      <w:r>
        <w:rPr>
          <w:rFonts w:ascii="宋体" w:hAnsi="宋体" w:cs="宋体"/>
          <w:sz w:val="24"/>
          <w:u w:val="single"/>
        </w:rPr>
        <w:t>电气工程</w:t>
      </w:r>
      <w:r>
        <w:rPr>
          <w:rFonts w:hint="eastAsia" w:ascii="宋体" w:hAnsi="宋体" w:cs="宋体"/>
          <w:sz w:val="24"/>
          <w:u w:val="single"/>
        </w:rPr>
        <w:t>、</w:t>
      </w:r>
      <w:r>
        <w:rPr>
          <w:rFonts w:ascii="宋体" w:hAnsi="宋体" w:cs="宋体"/>
          <w:sz w:val="24"/>
          <w:u w:val="single"/>
        </w:rPr>
        <w:t>土建及配套工程</w:t>
      </w:r>
      <w:r>
        <w:rPr>
          <w:rFonts w:hint="eastAsia" w:ascii="宋体" w:hAnsi="宋体" w:cs="宋体"/>
          <w:sz w:val="24"/>
          <w:u w:val="single"/>
        </w:rPr>
        <w:t>等内容</w:t>
      </w:r>
      <w:r>
        <w:rPr>
          <w:rFonts w:hint="eastAsia"/>
          <w:sz w:val="24"/>
          <w:u w:val="single"/>
        </w:rPr>
        <w:t>。</w:t>
      </w:r>
    </w:p>
    <w:p w14:paraId="4AFD01BD">
      <w:pPr>
        <w:tabs>
          <w:tab w:val="left" w:pos="8998"/>
          <w:tab w:val="left" w:pos="9103"/>
          <w:tab w:val="left" w:pos="9191"/>
        </w:tabs>
        <w:snapToGrid w:val="0"/>
        <w:spacing w:line="360" w:lineRule="auto"/>
        <w:ind w:right="1189"/>
        <w:rPr>
          <w:rFonts w:hint="eastAsia" w:ascii="宋体" w:hAnsi="宋体" w:cs="宋体"/>
          <w:sz w:val="24"/>
          <w:u w:color="000000" w:themeColor="text1"/>
        </w:rPr>
      </w:pPr>
      <w:r>
        <w:rPr>
          <w:rFonts w:ascii="宋体" w:hAnsi="宋体" w:cs="宋体"/>
          <w:sz w:val="24"/>
          <w:u w:color="000000" w:themeColor="text1"/>
        </w:rPr>
        <w:t>群体工程应附“承包人承揽工程项目一览表”（附件二）</w:t>
      </w:r>
    </w:p>
    <w:p w14:paraId="071640C1">
      <w:pPr>
        <w:snapToGrid w:val="0"/>
        <w:spacing w:line="360" w:lineRule="auto"/>
        <w:rPr>
          <w:sz w:val="24"/>
          <w:u w:color="000000" w:themeColor="text1"/>
        </w:rPr>
      </w:pPr>
      <w:r>
        <w:rPr>
          <w:rFonts w:hint="eastAsia"/>
          <w:sz w:val="24"/>
          <w:u w:color="000000" w:themeColor="text1"/>
        </w:rPr>
        <w:t>工程立项批准文号：</w:t>
      </w:r>
      <w:r>
        <w:rPr>
          <w:rFonts w:hint="eastAsia"/>
          <w:sz w:val="24"/>
          <w:u w:val="single" w:color="000000" w:themeColor="text1"/>
        </w:rPr>
        <w:t xml:space="preserve"> /  </w:t>
      </w:r>
    </w:p>
    <w:p w14:paraId="2D96FBF8">
      <w:pPr>
        <w:snapToGrid w:val="0"/>
        <w:spacing w:line="360" w:lineRule="auto"/>
        <w:rPr>
          <w:sz w:val="24"/>
          <w:u w:val="single" w:color="000000" w:themeColor="text1"/>
        </w:rPr>
      </w:pPr>
      <w:r>
        <w:rPr>
          <w:rFonts w:hint="eastAsia"/>
          <w:sz w:val="24"/>
          <w:u w:color="000000" w:themeColor="text1"/>
        </w:rPr>
        <w:t>资金来源：</w:t>
      </w:r>
      <w:r>
        <w:rPr>
          <w:rFonts w:hint="eastAsia"/>
          <w:sz w:val="24"/>
          <w:u w:val="single" w:color="000000" w:themeColor="text1"/>
        </w:rPr>
        <w:t>财政资金</w:t>
      </w:r>
    </w:p>
    <w:p w14:paraId="7A0848B0">
      <w:pPr>
        <w:snapToGrid w:val="0"/>
        <w:spacing w:line="360" w:lineRule="auto"/>
        <w:rPr>
          <w:sz w:val="24"/>
          <w:u w:color="000000" w:themeColor="text1"/>
        </w:rPr>
      </w:pPr>
      <w:r>
        <w:rPr>
          <w:rFonts w:hint="eastAsia"/>
          <w:sz w:val="24"/>
          <w:u w:color="000000" w:themeColor="text1"/>
        </w:rPr>
        <w:t>二、工程承包范围</w:t>
      </w:r>
    </w:p>
    <w:p w14:paraId="0CF511D9">
      <w:pPr>
        <w:snapToGrid w:val="0"/>
        <w:spacing w:line="360" w:lineRule="auto"/>
        <w:rPr>
          <w:sz w:val="24"/>
          <w:u w:val="single" w:color="000000" w:themeColor="text1"/>
        </w:rPr>
      </w:pPr>
      <w:r>
        <w:rPr>
          <w:rFonts w:hint="eastAsia"/>
          <w:sz w:val="24"/>
          <w:u w:color="000000" w:themeColor="text1"/>
        </w:rPr>
        <w:t>承包范围：</w:t>
      </w:r>
      <w:r>
        <w:rPr>
          <w:rFonts w:hint="eastAsia" w:eastAsiaTheme="minorEastAsia"/>
          <w:sz w:val="24"/>
          <w:u w:val="single"/>
        </w:rPr>
        <w:t>完成额度外—2026年丰台区职业教育中心学校芳群园校区四楼改造其他建筑工程采购项目所需全部内容，包括</w:t>
      </w:r>
      <w:r>
        <w:rPr>
          <w:rFonts w:ascii="宋体" w:hAnsi="宋体" w:cs="宋体"/>
          <w:sz w:val="24"/>
          <w:u w:val="single"/>
        </w:rPr>
        <w:t>拆除工程</w:t>
      </w:r>
      <w:r>
        <w:rPr>
          <w:rFonts w:hint="eastAsia" w:ascii="宋体" w:hAnsi="宋体" w:cs="宋体"/>
          <w:sz w:val="24"/>
          <w:u w:val="single"/>
        </w:rPr>
        <w:t>、</w:t>
      </w:r>
      <w:r>
        <w:rPr>
          <w:rFonts w:ascii="宋体" w:hAnsi="宋体" w:cs="宋体"/>
          <w:sz w:val="24"/>
          <w:u w:val="single"/>
        </w:rPr>
        <w:t>装饰装修工程</w:t>
      </w:r>
      <w:r>
        <w:rPr>
          <w:rFonts w:hint="eastAsia" w:ascii="宋体" w:hAnsi="宋体" w:cs="宋体"/>
          <w:sz w:val="24"/>
          <w:u w:val="single"/>
        </w:rPr>
        <w:t>、</w:t>
      </w:r>
      <w:r>
        <w:rPr>
          <w:rFonts w:ascii="宋体" w:hAnsi="宋体" w:cs="宋体"/>
          <w:sz w:val="24"/>
          <w:u w:val="single"/>
        </w:rPr>
        <w:t>电气工程</w:t>
      </w:r>
      <w:r>
        <w:rPr>
          <w:rFonts w:hint="eastAsia" w:ascii="宋体" w:hAnsi="宋体" w:cs="宋体"/>
          <w:sz w:val="24"/>
          <w:u w:val="single"/>
        </w:rPr>
        <w:t>、</w:t>
      </w:r>
      <w:r>
        <w:rPr>
          <w:rFonts w:ascii="宋体" w:hAnsi="宋体" w:cs="宋体"/>
          <w:sz w:val="24"/>
          <w:u w:val="single"/>
        </w:rPr>
        <w:t>土建及配套工程</w:t>
      </w:r>
      <w:r>
        <w:rPr>
          <w:rFonts w:hint="eastAsia" w:ascii="宋体" w:hAnsi="宋体" w:cs="宋体"/>
          <w:sz w:val="24"/>
          <w:u w:val="single"/>
        </w:rPr>
        <w:t>等内容</w:t>
      </w:r>
      <w:r>
        <w:rPr>
          <w:rFonts w:hint="eastAsia"/>
          <w:sz w:val="24"/>
          <w:u w:val="single"/>
        </w:rPr>
        <w:t>。</w:t>
      </w:r>
    </w:p>
    <w:p w14:paraId="580052DC">
      <w:pPr>
        <w:snapToGrid w:val="0"/>
        <w:spacing w:line="360" w:lineRule="auto"/>
        <w:rPr>
          <w:b/>
          <w:sz w:val="24"/>
          <w:u w:val="single" w:color="000000" w:themeColor="text1"/>
        </w:rPr>
      </w:pPr>
      <w:r>
        <w:rPr>
          <w:rFonts w:hint="eastAsia"/>
          <w:sz w:val="24"/>
          <w:u w:color="000000" w:themeColor="text1"/>
        </w:rPr>
        <w:t>详细承包范围见第五章“技术标准和要求”。</w:t>
      </w:r>
    </w:p>
    <w:p w14:paraId="37D782E6">
      <w:pPr>
        <w:snapToGrid w:val="0"/>
        <w:spacing w:line="360" w:lineRule="auto"/>
        <w:rPr>
          <w:sz w:val="24"/>
          <w:u w:color="000000" w:themeColor="text1"/>
        </w:rPr>
      </w:pPr>
      <w:r>
        <w:rPr>
          <w:rFonts w:hint="eastAsia"/>
          <w:sz w:val="24"/>
          <w:u w:color="000000" w:themeColor="text1"/>
        </w:rPr>
        <w:t>三、合同工期</w:t>
      </w:r>
    </w:p>
    <w:p w14:paraId="1118A59D">
      <w:pPr>
        <w:snapToGrid w:val="0"/>
        <w:spacing w:line="360" w:lineRule="auto"/>
        <w:rPr>
          <w:sz w:val="24"/>
          <w:u w:color="000000" w:themeColor="text1"/>
        </w:rPr>
      </w:pPr>
      <w:r>
        <w:rPr>
          <w:rFonts w:hint="eastAsia"/>
          <w:sz w:val="24"/>
          <w:u w:color="000000" w:themeColor="text1"/>
        </w:rPr>
        <w:t>计划开工日期：</w:t>
      </w:r>
      <w:r>
        <w:rPr>
          <w:rFonts w:hint="eastAsia" w:cs="宋体"/>
          <w:w w:val="95"/>
          <w:sz w:val="24"/>
          <w:u w:val="single" w:color="000000" w:themeColor="text1"/>
        </w:rPr>
        <w:t xml:space="preserve">    </w:t>
      </w:r>
      <w:r>
        <w:rPr>
          <w:rFonts w:cs="宋体"/>
          <w:w w:val="95"/>
          <w:sz w:val="24"/>
          <w:u w:val="single" w:color="000000" w:themeColor="text1"/>
        </w:rPr>
        <w:t>年</w:t>
      </w:r>
      <w:r>
        <w:rPr>
          <w:rFonts w:hint="eastAsia" w:cs="宋体"/>
          <w:w w:val="95"/>
          <w:sz w:val="24"/>
          <w:u w:val="single" w:color="000000" w:themeColor="text1"/>
        </w:rPr>
        <w:t xml:space="preserve">  </w:t>
      </w:r>
      <w:r>
        <w:rPr>
          <w:rFonts w:cs="宋体"/>
          <w:w w:val="95"/>
          <w:sz w:val="24"/>
          <w:u w:val="single" w:color="000000" w:themeColor="text1"/>
        </w:rPr>
        <w:t>月</w:t>
      </w:r>
      <w:r>
        <w:rPr>
          <w:rFonts w:hint="eastAsia" w:cs="宋体"/>
          <w:w w:val="95"/>
          <w:sz w:val="24"/>
          <w:u w:val="single" w:color="000000" w:themeColor="text1"/>
        </w:rPr>
        <w:t xml:space="preserve">  </w:t>
      </w:r>
      <w:r>
        <w:rPr>
          <w:rFonts w:cs="宋体"/>
          <w:w w:val="95"/>
          <w:sz w:val="24"/>
          <w:u w:val="single" w:color="000000" w:themeColor="text1"/>
        </w:rPr>
        <w:t>日</w:t>
      </w:r>
    </w:p>
    <w:p w14:paraId="17E19282">
      <w:pPr>
        <w:snapToGrid w:val="0"/>
        <w:spacing w:line="360" w:lineRule="auto"/>
        <w:rPr>
          <w:sz w:val="24"/>
          <w:u w:color="000000" w:themeColor="text1"/>
        </w:rPr>
      </w:pPr>
      <w:r>
        <w:rPr>
          <w:rFonts w:hint="eastAsia"/>
          <w:sz w:val="24"/>
          <w:u w:color="000000" w:themeColor="text1"/>
        </w:rPr>
        <w:t>计划竣工日期：</w:t>
      </w:r>
      <w:r>
        <w:rPr>
          <w:rFonts w:hint="eastAsia" w:cs="宋体"/>
          <w:w w:val="95"/>
          <w:sz w:val="24"/>
          <w:u w:val="single" w:color="000000" w:themeColor="text1"/>
        </w:rPr>
        <w:t xml:space="preserve">    </w:t>
      </w:r>
      <w:r>
        <w:rPr>
          <w:rFonts w:cs="宋体"/>
          <w:w w:val="95"/>
          <w:sz w:val="24"/>
          <w:u w:val="single" w:color="000000" w:themeColor="text1"/>
        </w:rPr>
        <w:t>年</w:t>
      </w:r>
      <w:r>
        <w:rPr>
          <w:rFonts w:hint="eastAsia" w:cs="宋体"/>
          <w:w w:val="95"/>
          <w:sz w:val="24"/>
          <w:u w:val="single" w:color="000000" w:themeColor="text1"/>
        </w:rPr>
        <w:t xml:space="preserve">  </w:t>
      </w:r>
      <w:r>
        <w:rPr>
          <w:rFonts w:cs="宋体"/>
          <w:w w:val="95"/>
          <w:sz w:val="24"/>
          <w:u w:val="single" w:color="000000" w:themeColor="text1"/>
        </w:rPr>
        <w:t>月</w:t>
      </w:r>
      <w:r>
        <w:rPr>
          <w:rFonts w:hint="eastAsia" w:cs="宋体"/>
          <w:w w:val="95"/>
          <w:sz w:val="24"/>
          <w:u w:val="single" w:color="000000" w:themeColor="text1"/>
        </w:rPr>
        <w:t xml:space="preserve">  </w:t>
      </w:r>
      <w:r>
        <w:rPr>
          <w:rFonts w:cs="宋体"/>
          <w:w w:val="95"/>
          <w:sz w:val="24"/>
          <w:u w:val="single" w:color="000000" w:themeColor="text1"/>
        </w:rPr>
        <w:t>日</w:t>
      </w:r>
    </w:p>
    <w:p w14:paraId="047170E7">
      <w:pPr>
        <w:snapToGrid w:val="0"/>
        <w:spacing w:line="360" w:lineRule="auto"/>
        <w:rPr>
          <w:sz w:val="24"/>
          <w:u w:color="000000" w:themeColor="text1"/>
        </w:rPr>
      </w:pPr>
      <w:r>
        <w:rPr>
          <w:rFonts w:hint="eastAsia"/>
          <w:sz w:val="24"/>
          <w:u w:color="000000" w:themeColor="text1"/>
        </w:rPr>
        <w:t>工期总日历天数</w:t>
      </w:r>
      <w:r>
        <w:rPr>
          <w:rFonts w:hint="eastAsia"/>
          <w:sz w:val="24"/>
          <w:u w:val="single" w:color="000000" w:themeColor="text1"/>
        </w:rPr>
        <w:t xml:space="preserve">    </w:t>
      </w:r>
      <w:r>
        <w:rPr>
          <w:rFonts w:hint="eastAsia"/>
          <w:sz w:val="24"/>
          <w:u w:color="000000" w:themeColor="text1"/>
        </w:rPr>
        <w:t>天，自监理人发出的开工通知中载明的开工日期起算。</w:t>
      </w:r>
    </w:p>
    <w:p w14:paraId="1835169C">
      <w:pPr>
        <w:snapToGrid w:val="0"/>
        <w:spacing w:line="360" w:lineRule="auto"/>
        <w:rPr>
          <w:sz w:val="24"/>
          <w:u w:color="000000" w:themeColor="text1"/>
        </w:rPr>
      </w:pPr>
      <w:r>
        <w:rPr>
          <w:rFonts w:hint="eastAsia"/>
          <w:sz w:val="24"/>
          <w:u w:color="000000" w:themeColor="text1"/>
        </w:rPr>
        <w:t>四、质量标准</w:t>
      </w:r>
    </w:p>
    <w:p w14:paraId="40F5F1B4">
      <w:pPr>
        <w:snapToGrid w:val="0"/>
        <w:spacing w:line="360" w:lineRule="auto"/>
        <w:rPr>
          <w:sz w:val="24"/>
          <w:u w:val="single" w:color="000000" w:themeColor="text1"/>
        </w:rPr>
      </w:pPr>
      <w:r>
        <w:rPr>
          <w:rFonts w:hint="eastAsia"/>
          <w:sz w:val="24"/>
          <w:u w:color="000000" w:themeColor="text1"/>
        </w:rPr>
        <w:t>工程质量标准：</w:t>
      </w:r>
      <w:r>
        <w:rPr>
          <w:rFonts w:hint="eastAsia"/>
          <w:sz w:val="24"/>
          <w:u w:val="single" w:color="000000" w:themeColor="text1"/>
        </w:rPr>
        <w:t>合格</w:t>
      </w:r>
    </w:p>
    <w:p w14:paraId="11FFC0B7">
      <w:pPr>
        <w:snapToGrid w:val="0"/>
        <w:spacing w:line="360" w:lineRule="auto"/>
        <w:rPr>
          <w:sz w:val="24"/>
          <w:u w:color="000000" w:themeColor="text1"/>
        </w:rPr>
      </w:pPr>
      <w:r>
        <w:rPr>
          <w:rFonts w:hint="eastAsia"/>
          <w:sz w:val="24"/>
          <w:u w:color="000000" w:themeColor="text1"/>
        </w:rPr>
        <w:t>五、施工现场安全生产标准化管理目标等级要求</w:t>
      </w:r>
    </w:p>
    <w:p w14:paraId="2B7BD184">
      <w:pPr>
        <w:snapToGrid w:val="0"/>
        <w:spacing w:line="360" w:lineRule="auto"/>
        <w:rPr>
          <w:sz w:val="24"/>
          <w:u w:val="single" w:color="000000" w:themeColor="text1"/>
        </w:rPr>
      </w:pPr>
      <w:r>
        <w:rPr>
          <w:rFonts w:hint="eastAsia"/>
          <w:sz w:val="24"/>
          <w:u w:color="000000" w:themeColor="text1"/>
        </w:rPr>
        <w:t>施工现场安全生产标准化管理目标等级：</w:t>
      </w:r>
      <w:r>
        <w:rPr>
          <w:rFonts w:hint="eastAsia"/>
          <w:sz w:val="24"/>
          <w:u w:val="single" w:color="000000" w:themeColor="text1"/>
        </w:rPr>
        <w:t>达标</w:t>
      </w:r>
    </w:p>
    <w:p w14:paraId="15E50133">
      <w:pPr>
        <w:snapToGrid w:val="0"/>
        <w:spacing w:line="360" w:lineRule="auto"/>
        <w:rPr>
          <w:sz w:val="24"/>
          <w:u w:color="000000" w:themeColor="text1"/>
        </w:rPr>
      </w:pPr>
      <w:r>
        <w:rPr>
          <w:rFonts w:hint="eastAsia"/>
          <w:sz w:val="24"/>
          <w:u w:color="000000" w:themeColor="text1"/>
        </w:rPr>
        <w:t>六、合同形式</w:t>
      </w:r>
    </w:p>
    <w:p w14:paraId="1E8FEE73">
      <w:pPr>
        <w:snapToGrid w:val="0"/>
        <w:spacing w:line="360" w:lineRule="auto"/>
        <w:rPr>
          <w:b/>
          <w:sz w:val="24"/>
          <w:u w:val="single" w:color="000000" w:themeColor="text1"/>
        </w:rPr>
      </w:pPr>
      <w:r>
        <w:rPr>
          <w:rFonts w:hint="eastAsia"/>
          <w:sz w:val="24"/>
          <w:u w:color="000000" w:themeColor="text1"/>
        </w:rPr>
        <w:t>本合同采用</w:t>
      </w:r>
      <w:r>
        <w:rPr>
          <w:rFonts w:hint="eastAsia"/>
          <w:sz w:val="24"/>
          <w:u w:val="single" w:color="000000" w:themeColor="text1"/>
        </w:rPr>
        <w:t>固定单价</w:t>
      </w:r>
      <w:r>
        <w:rPr>
          <w:rFonts w:hint="eastAsia"/>
          <w:sz w:val="24"/>
          <w:u w:color="000000" w:themeColor="text1"/>
        </w:rPr>
        <w:t>合同形式。</w:t>
      </w:r>
    </w:p>
    <w:p w14:paraId="7155CF4F">
      <w:pPr>
        <w:snapToGrid w:val="0"/>
        <w:spacing w:line="360" w:lineRule="auto"/>
        <w:rPr>
          <w:sz w:val="24"/>
          <w:u w:color="000000" w:themeColor="text1"/>
        </w:rPr>
      </w:pPr>
      <w:r>
        <w:rPr>
          <w:rFonts w:hint="eastAsia"/>
          <w:sz w:val="24"/>
          <w:u w:color="000000" w:themeColor="text1"/>
        </w:rPr>
        <w:t>七、签约合同价</w:t>
      </w:r>
    </w:p>
    <w:p w14:paraId="6908CA0D">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金额（含税）（大写）：</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（人民币）</w:t>
      </w:r>
    </w:p>
    <w:p w14:paraId="5E774401">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（小写）¥：</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元</w:t>
      </w:r>
    </w:p>
    <w:p w14:paraId="42D4F2EA">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其中：安全生产标准化措施费</w:t>
      </w:r>
      <w:bookmarkStart w:id="678" w:name="_Hlk8292053"/>
      <w:r>
        <w:rPr>
          <w:rFonts w:hint="eastAsia" w:asciiTheme="minorEastAsia" w:hAnsiTheme="minorEastAsia" w:eastAsiaTheme="minorEastAsia"/>
          <w:sz w:val="24"/>
          <w:u w:color="000000" w:themeColor="text1"/>
        </w:rPr>
        <w:t>（</w:t>
      </w:r>
      <w:r>
        <w:rPr>
          <w:rFonts w:hint="eastAsia" w:cs="Arial" w:asciiTheme="minorEastAsia" w:hAnsiTheme="minorEastAsia" w:eastAsiaTheme="minorEastAsia"/>
          <w:bCs/>
          <w:sz w:val="24"/>
          <w:u w:color="000000" w:themeColor="text1"/>
        </w:rPr>
        <w:t>含税</w:t>
      </w:r>
      <w:r>
        <w:rPr>
          <w:rFonts w:hint="eastAsia" w:asciiTheme="minorEastAsia" w:hAnsiTheme="minorEastAsia" w:eastAsiaTheme="minorEastAsia"/>
          <w:sz w:val="24"/>
          <w:u w:color="000000" w:themeColor="text1"/>
        </w:rPr>
        <w:t>）：</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元</w:t>
      </w:r>
      <w:bookmarkEnd w:id="678"/>
    </w:p>
    <w:p w14:paraId="312CC76D">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建筑垃圾运输处置费（</w:t>
      </w:r>
      <w:r>
        <w:rPr>
          <w:rFonts w:hint="eastAsia" w:cs="Arial" w:asciiTheme="minorEastAsia" w:hAnsiTheme="minorEastAsia" w:eastAsiaTheme="minorEastAsia"/>
          <w:bCs/>
          <w:sz w:val="24"/>
          <w:u w:color="000000" w:themeColor="text1"/>
        </w:rPr>
        <w:t>含税</w:t>
      </w:r>
      <w:r>
        <w:rPr>
          <w:rFonts w:hint="eastAsia" w:asciiTheme="minorEastAsia" w:hAnsiTheme="minorEastAsia" w:eastAsiaTheme="minorEastAsia"/>
          <w:sz w:val="24"/>
          <w:u w:color="000000" w:themeColor="text1"/>
        </w:rPr>
        <w:t>）：</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元</w:t>
      </w:r>
    </w:p>
    <w:p w14:paraId="150A7BD2">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暂列金额（</w:t>
      </w:r>
      <w:r>
        <w:rPr>
          <w:rFonts w:hint="eastAsia" w:cs="Arial" w:asciiTheme="minorEastAsia" w:hAnsiTheme="minorEastAsia" w:eastAsiaTheme="minorEastAsia"/>
          <w:bCs/>
          <w:sz w:val="24"/>
          <w:u w:color="000000" w:themeColor="text1"/>
        </w:rPr>
        <w:t>含税</w:t>
      </w:r>
      <w:r>
        <w:rPr>
          <w:rFonts w:hint="eastAsia" w:asciiTheme="minorEastAsia" w:hAnsiTheme="minorEastAsia" w:eastAsiaTheme="minorEastAsia"/>
          <w:sz w:val="24"/>
          <w:u w:color="000000" w:themeColor="text1"/>
        </w:rPr>
        <w:t>）：</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元</w:t>
      </w:r>
    </w:p>
    <w:p w14:paraId="3823E86A">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bCs/>
          <w:sz w:val="24"/>
          <w:u w:color="000000" w:themeColor="text1"/>
        </w:rPr>
        <w:t>专业工程暂估价</w:t>
      </w:r>
      <w:r>
        <w:rPr>
          <w:rFonts w:hint="eastAsia" w:asciiTheme="minorEastAsia" w:hAnsiTheme="minorEastAsia" w:eastAsiaTheme="minorEastAsia"/>
          <w:sz w:val="24"/>
          <w:u w:color="000000" w:themeColor="text1"/>
        </w:rPr>
        <w:t>（</w:t>
      </w:r>
      <w:r>
        <w:rPr>
          <w:rFonts w:hint="eastAsia" w:cs="Arial" w:asciiTheme="minorEastAsia" w:hAnsiTheme="minorEastAsia" w:eastAsiaTheme="minorEastAsia"/>
          <w:bCs/>
          <w:sz w:val="24"/>
          <w:u w:color="000000" w:themeColor="text1"/>
        </w:rPr>
        <w:t>含税</w:t>
      </w:r>
      <w:r>
        <w:rPr>
          <w:rFonts w:hint="eastAsia" w:asciiTheme="minorEastAsia" w:hAnsiTheme="minorEastAsia" w:eastAsiaTheme="minorEastAsia"/>
          <w:sz w:val="24"/>
          <w:u w:color="000000" w:themeColor="text1"/>
        </w:rPr>
        <w:t>）</w:t>
      </w:r>
      <w:r>
        <w:rPr>
          <w:rFonts w:hint="eastAsia" w:asciiTheme="minorEastAsia" w:hAnsiTheme="minorEastAsia" w:eastAsiaTheme="minorEastAsia"/>
          <w:bCs/>
          <w:sz w:val="24"/>
          <w:u w:color="000000" w:themeColor="text1"/>
        </w:rPr>
        <w:t>：</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元</w:t>
      </w:r>
    </w:p>
    <w:p w14:paraId="7237E19B">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农民工工伤保险费:</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元</w:t>
      </w:r>
    </w:p>
    <w:p w14:paraId="59D1A68F">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八、承包人项目经理：</w:t>
      </w:r>
    </w:p>
    <w:p w14:paraId="77BB3505">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姓名：</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w:t>
      </w:r>
      <w:r>
        <w:rPr>
          <w:rFonts w:asciiTheme="minorEastAsia" w:hAnsiTheme="minorEastAsia" w:eastAsiaTheme="minorEastAsia"/>
          <w:sz w:val="24"/>
          <w:u w:color="000000" w:themeColor="text1"/>
        </w:rPr>
        <w:t xml:space="preserve">      </w:t>
      </w:r>
      <w:r>
        <w:rPr>
          <w:rFonts w:hint="eastAsia" w:asciiTheme="minorEastAsia" w:hAnsiTheme="minorEastAsia" w:eastAsiaTheme="minorEastAsia"/>
          <w:sz w:val="24"/>
          <w:u w:color="000000" w:themeColor="text1"/>
        </w:rPr>
        <w:t>职称：</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w:t>
      </w:r>
    </w:p>
    <w:p w14:paraId="161A3818">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身份证号：</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w:t>
      </w:r>
      <w:r>
        <w:rPr>
          <w:rFonts w:asciiTheme="minorEastAsia" w:hAnsiTheme="minorEastAsia" w:eastAsiaTheme="minorEastAsia"/>
          <w:sz w:val="24"/>
          <w:u w:color="000000" w:themeColor="text1"/>
        </w:rPr>
        <w:t xml:space="preserve">    </w:t>
      </w:r>
    </w:p>
    <w:p w14:paraId="4471508E">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建造师执业资格证书号：</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w:t>
      </w:r>
    </w:p>
    <w:p w14:paraId="1E900DF8">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建造师注册证书号：</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w:t>
      </w:r>
    </w:p>
    <w:p w14:paraId="73FEE092">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建造师执业印章号：</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w:t>
      </w:r>
    </w:p>
    <w:p w14:paraId="6D39F4C3">
      <w:pPr>
        <w:snapToGrid w:val="0"/>
        <w:spacing w:line="360" w:lineRule="auto"/>
        <w:rPr>
          <w:rFonts w:hint="eastAsia"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安全生产考核合格证书号：</w:t>
      </w:r>
      <w:r>
        <w:rPr>
          <w:rFonts w:hint="eastAsia" w:asciiTheme="minorEastAsia" w:hAnsiTheme="minorEastAsia" w:eastAsiaTheme="minorEastAsia"/>
          <w:sz w:val="24"/>
          <w:u w:val="single" w:color="000000" w:themeColor="text1"/>
        </w:rPr>
        <w:t xml:space="preserve">                  </w:t>
      </w:r>
      <w:r>
        <w:rPr>
          <w:rFonts w:hint="eastAsia" w:asciiTheme="minorEastAsia" w:hAnsiTheme="minorEastAsia" w:eastAsiaTheme="minorEastAsia"/>
          <w:sz w:val="24"/>
          <w:u w:color="000000" w:themeColor="text1"/>
        </w:rPr>
        <w:t>。</w:t>
      </w:r>
    </w:p>
    <w:p w14:paraId="3FB47DC6">
      <w:pPr>
        <w:snapToGrid w:val="0"/>
        <w:spacing w:line="360" w:lineRule="auto"/>
        <w:rPr>
          <w:rFonts w:ascii="宋体"/>
          <w:sz w:val="24"/>
          <w:u w:color="000000" w:themeColor="text1"/>
        </w:rPr>
      </w:pPr>
      <w:r>
        <w:rPr>
          <w:rFonts w:hint="eastAsia" w:ascii="宋体" w:hAnsi="宋体"/>
          <w:sz w:val="24"/>
          <w:u w:color="000000" w:themeColor="text1"/>
        </w:rPr>
        <w:t>九、合同文件的组成</w:t>
      </w:r>
    </w:p>
    <w:p w14:paraId="29482235">
      <w:pPr>
        <w:snapToGrid w:val="0"/>
        <w:spacing w:line="360" w:lineRule="auto"/>
        <w:rPr>
          <w:rFonts w:ascii="宋体"/>
          <w:sz w:val="24"/>
          <w:u w:color="000000" w:themeColor="text1"/>
        </w:rPr>
      </w:pPr>
      <w:r>
        <w:rPr>
          <w:rFonts w:hint="eastAsia" w:ascii="宋体" w:hAnsi="宋体"/>
          <w:sz w:val="24"/>
          <w:u w:color="000000" w:themeColor="text1"/>
        </w:rPr>
        <w:t>下列文件共同构成合同文件：</w:t>
      </w:r>
    </w:p>
    <w:p w14:paraId="407A23A9">
      <w:pPr>
        <w:snapToGrid w:val="0"/>
        <w:spacing w:line="360" w:lineRule="auto"/>
        <w:rPr>
          <w:rFonts w:ascii="宋体"/>
          <w:sz w:val="24"/>
          <w:u w:color="000000" w:themeColor="text1"/>
        </w:rPr>
      </w:pPr>
      <w:r>
        <w:rPr>
          <w:rFonts w:ascii="宋体" w:hAnsi="宋体"/>
          <w:sz w:val="24"/>
          <w:u w:color="000000" w:themeColor="text1"/>
        </w:rPr>
        <w:t>1</w:t>
      </w:r>
      <w:r>
        <w:rPr>
          <w:rFonts w:hint="eastAsia" w:ascii="宋体" w:hAnsi="宋体"/>
          <w:sz w:val="24"/>
          <w:u w:color="000000" w:themeColor="text1"/>
        </w:rPr>
        <w:t>、本协议书；</w:t>
      </w:r>
    </w:p>
    <w:p w14:paraId="405DA50F">
      <w:pPr>
        <w:snapToGrid w:val="0"/>
        <w:spacing w:line="360" w:lineRule="auto"/>
        <w:rPr>
          <w:rFonts w:ascii="宋体"/>
          <w:sz w:val="24"/>
          <w:u w:color="000000" w:themeColor="text1"/>
        </w:rPr>
      </w:pPr>
      <w:r>
        <w:rPr>
          <w:rFonts w:ascii="宋体" w:hAnsi="宋体"/>
          <w:sz w:val="24"/>
          <w:u w:color="000000" w:themeColor="text1"/>
        </w:rPr>
        <w:t>2</w:t>
      </w:r>
      <w:r>
        <w:rPr>
          <w:rFonts w:hint="eastAsia" w:ascii="宋体" w:hAnsi="宋体"/>
          <w:sz w:val="24"/>
          <w:u w:color="000000" w:themeColor="text1"/>
        </w:rPr>
        <w:t>、中标通知书；</w:t>
      </w:r>
    </w:p>
    <w:p w14:paraId="14899EFA">
      <w:pPr>
        <w:snapToGrid w:val="0"/>
        <w:spacing w:line="360" w:lineRule="auto"/>
        <w:rPr>
          <w:rFonts w:ascii="宋体"/>
          <w:sz w:val="24"/>
          <w:u w:color="000000" w:themeColor="text1"/>
        </w:rPr>
      </w:pPr>
      <w:r>
        <w:rPr>
          <w:rFonts w:ascii="宋体" w:hAnsi="宋体"/>
          <w:sz w:val="24"/>
          <w:u w:color="000000" w:themeColor="text1"/>
        </w:rPr>
        <w:t>3</w:t>
      </w:r>
      <w:r>
        <w:rPr>
          <w:rFonts w:hint="eastAsia" w:ascii="宋体" w:hAnsi="宋体"/>
          <w:sz w:val="24"/>
          <w:u w:color="000000" w:themeColor="text1"/>
        </w:rPr>
        <w:t>、投标函及投标函附录；</w:t>
      </w:r>
    </w:p>
    <w:p w14:paraId="1039C2FF">
      <w:pPr>
        <w:snapToGrid w:val="0"/>
        <w:spacing w:line="360" w:lineRule="auto"/>
        <w:rPr>
          <w:rFonts w:ascii="宋体"/>
          <w:sz w:val="24"/>
          <w:u w:color="000000" w:themeColor="text1"/>
        </w:rPr>
      </w:pPr>
      <w:r>
        <w:rPr>
          <w:rFonts w:ascii="宋体" w:hAnsi="宋体"/>
          <w:sz w:val="24"/>
          <w:u w:color="000000" w:themeColor="text1"/>
        </w:rPr>
        <w:t>4</w:t>
      </w:r>
      <w:r>
        <w:rPr>
          <w:rFonts w:hint="eastAsia" w:ascii="宋体" w:hAnsi="宋体"/>
          <w:sz w:val="24"/>
          <w:u w:color="000000" w:themeColor="text1"/>
        </w:rPr>
        <w:t>、合同条款专用部分；</w:t>
      </w:r>
    </w:p>
    <w:p w14:paraId="1E650EEB">
      <w:pPr>
        <w:snapToGrid w:val="0"/>
        <w:spacing w:line="360" w:lineRule="auto"/>
        <w:rPr>
          <w:rFonts w:ascii="宋体"/>
          <w:sz w:val="24"/>
          <w:u w:color="000000" w:themeColor="text1"/>
        </w:rPr>
      </w:pPr>
      <w:r>
        <w:rPr>
          <w:rFonts w:ascii="宋体" w:hAnsi="宋体"/>
          <w:sz w:val="24"/>
          <w:u w:color="000000" w:themeColor="text1"/>
        </w:rPr>
        <w:t>5</w:t>
      </w:r>
      <w:r>
        <w:rPr>
          <w:rFonts w:hint="eastAsia" w:ascii="宋体" w:hAnsi="宋体"/>
          <w:sz w:val="24"/>
          <w:u w:color="000000" w:themeColor="text1"/>
        </w:rPr>
        <w:t>、合同条款通用部分；</w:t>
      </w:r>
    </w:p>
    <w:p w14:paraId="7BDF052F">
      <w:pPr>
        <w:snapToGrid w:val="0"/>
        <w:spacing w:line="360" w:lineRule="auto"/>
        <w:rPr>
          <w:rFonts w:ascii="宋体"/>
          <w:sz w:val="24"/>
          <w:u w:color="000000" w:themeColor="text1"/>
        </w:rPr>
      </w:pPr>
      <w:r>
        <w:rPr>
          <w:rFonts w:ascii="宋体" w:hAnsi="宋体"/>
          <w:sz w:val="24"/>
          <w:u w:color="000000" w:themeColor="text1"/>
        </w:rPr>
        <w:t>6</w:t>
      </w:r>
      <w:r>
        <w:rPr>
          <w:rFonts w:hint="eastAsia" w:ascii="宋体" w:hAnsi="宋体"/>
          <w:sz w:val="24"/>
          <w:u w:color="000000" w:themeColor="text1"/>
        </w:rPr>
        <w:t>、技术标准和要求；</w:t>
      </w:r>
    </w:p>
    <w:p w14:paraId="63AAD3F3">
      <w:pPr>
        <w:snapToGrid w:val="0"/>
        <w:spacing w:line="360" w:lineRule="auto"/>
        <w:rPr>
          <w:rFonts w:ascii="宋体"/>
          <w:sz w:val="24"/>
          <w:u w:color="000000" w:themeColor="text1"/>
        </w:rPr>
      </w:pPr>
      <w:r>
        <w:rPr>
          <w:rFonts w:ascii="宋体" w:hAnsi="宋体"/>
          <w:sz w:val="24"/>
          <w:u w:color="000000" w:themeColor="text1"/>
        </w:rPr>
        <w:t>7</w:t>
      </w:r>
      <w:r>
        <w:rPr>
          <w:rFonts w:hint="eastAsia" w:ascii="宋体" w:hAnsi="宋体"/>
          <w:sz w:val="24"/>
          <w:u w:color="000000" w:themeColor="text1"/>
        </w:rPr>
        <w:t>、图纸；</w:t>
      </w:r>
    </w:p>
    <w:p w14:paraId="69067266">
      <w:pPr>
        <w:snapToGrid w:val="0"/>
        <w:spacing w:line="360" w:lineRule="auto"/>
        <w:rPr>
          <w:rFonts w:ascii="宋体"/>
          <w:sz w:val="24"/>
          <w:u w:color="000000" w:themeColor="text1"/>
        </w:rPr>
      </w:pPr>
      <w:r>
        <w:rPr>
          <w:rFonts w:ascii="宋体" w:hAnsi="宋体"/>
          <w:sz w:val="24"/>
          <w:u w:color="000000" w:themeColor="text1"/>
        </w:rPr>
        <w:t>8</w:t>
      </w:r>
      <w:r>
        <w:rPr>
          <w:rFonts w:hint="eastAsia" w:ascii="宋体" w:hAnsi="宋体"/>
          <w:sz w:val="24"/>
          <w:u w:color="000000" w:themeColor="text1"/>
        </w:rPr>
        <w:t>、合同清单；</w:t>
      </w:r>
    </w:p>
    <w:p w14:paraId="7533AFCE">
      <w:pPr>
        <w:snapToGrid w:val="0"/>
        <w:spacing w:line="360" w:lineRule="auto"/>
        <w:rPr>
          <w:rFonts w:ascii="宋体"/>
          <w:sz w:val="24"/>
          <w:u w:color="000000" w:themeColor="text1"/>
        </w:rPr>
      </w:pPr>
      <w:r>
        <w:rPr>
          <w:rFonts w:ascii="宋体" w:hAnsi="宋体"/>
          <w:sz w:val="24"/>
          <w:u w:color="000000" w:themeColor="text1"/>
        </w:rPr>
        <w:t>9</w:t>
      </w:r>
      <w:r>
        <w:rPr>
          <w:rFonts w:hint="eastAsia" w:ascii="宋体" w:hAnsi="宋体"/>
          <w:sz w:val="24"/>
          <w:u w:color="000000" w:themeColor="text1"/>
        </w:rPr>
        <w:t>、其他合同文件。</w:t>
      </w:r>
    </w:p>
    <w:p w14:paraId="0054C050">
      <w:pPr>
        <w:snapToGrid w:val="0"/>
        <w:spacing w:line="360" w:lineRule="auto"/>
        <w:rPr>
          <w:rFonts w:hint="eastAsia" w:ascii="宋体" w:hAnsi="宋体"/>
          <w:sz w:val="24"/>
          <w:u w:color="000000" w:themeColor="text1"/>
        </w:rPr>
      </w:pPr>
      <w:r>
        <w:rPr>
          <w:rFonts w:hint="eastAsia" w:ascii="宋体" w:hAnsi="宋体"/>
          <w:sz w:val="24"/>
          <w:u w:color="000000" w:themeColor="text1"/>
        </w:rPr>
        <w:t>在合同订立及履行过程中形成的与合同有关的文件均构成合同文件组成部分。</w:t>
      </w:r>
    </w:p>
    <w:p w14:paraId="6486C7BD">
      <w:pPr>
        <w:pStyle w:val="253"/>
        <w:spacing w:before="0" w:line="360" w:lineRule="auto"/>
        <w:rPr>
          <w:rFonts w:hint="eastAsia" w:cs="Times New Roman"/>
          <w:snapToGrid/>
          <w:kern w:val="2"/>
          <w:u w:color="000000" w:themeColor="text1"/>
        </w:rPr>
      </w:pPr>
      <w:r>
        <w:rPr>
          <w:rFonts w:hint="eastAsia" w:cs="Times New Roman"/>
          <w:snapToGrid/>
          <w:kern w:val="2"/>
          <w:u w:color="000000" w:themeColor="text1"/>
        </w:rPr>
        <w:t>上述各项合同文件包括合同双方就该项合同文件所作出的补充和修改，属于同一类内容的文件，应以最新签署的为准。</w:t>
      </w:r>
    </w:p>
    <w:p w14:paraId="58BD51D0">
      <w:pPr>
        <w:snapToGrid w:val="0"/>
        <w:spacing w:line="360" w:lineRule="auto"/>
        <w:rPr>
          <w:rFonts w:ascii="宋体"/>
          <w:sz w:val="24"/>
          <w:u w:color="000000" w:themeColor="text1"/>
        </w:rPr>
      </w:pPr>
      <w:r>
        <w:rPr>
          <w:rFonts w:hint="eastAsia" w:ascii="宋体" w:hAnsi="宋体"/>
          <w:sz w:val="24"/>
          <w:u w:color="000000" w:themeColor="text1"/>
        </w:rPr>
        <w:t>上述文件互相补充和解释，如有不明确或不一致之处，以合同约定次序在先者为准。</w:t>
      </w:r>
    </w:p>
    <w:p w14:paraId="1655AEA7">
      <w:pPr>
        <w:snapToGrid w:val="0"/>
        <w:spacing w:line="360" w:lineRule="auto"/>
        <w:rPr>
          <w:rFonts w:ascii="宋体"/>
          <w:sz w:val="24"/>
          <w:u w:color="000000" w:themeColor="text1"/>
        </w:rPr>
      </w:pPr>
      <w:r>
        <w:rPr>
          <w:rFonts w:hint="eastAsia" w:ascii="宋体" w:hAnsi="宋体"/>
          <w:sz w:val="24"/>
          <w:u w:color="000000" w:themeColor="text1"/>
        </w:rPr>
        <w:t>十、本协议书中有关词语定义与合同条款中的定义相同。</w:t>
      </w:r>
    </w:p>
    <w:p w14:paraId="6AA89CAC">
      <w:pPr>
        <w:snapToGrid w:val="0"/>
        <w:spacing w:line="360" w:lineRule="auto"/>
        <w:rPr>
          <w:rFonts w:ascii="宋体"/>
          <w:sz w:val="24"/>
          <w:u w:color="000000" w:themeColor="text1"/>
        </w:rPr>
      </w:pPr>
      <w:r>
        <w:rPr>
          <w:rFonts w:hint="eastAsia" w:ascii="宋体" w:hAnsi="宋体"/>
          <w:sz w:val="24"/>
          <w:u w:color="000000" w:themeColor="text1"/>
        </w:rPr>
        <w:t>十一、承包人承诺按照合同约定进行施工、竣工、交付并承担质量缺陷保修责任。</w:t>
      </w:r>
    </w:p>
    <w:p w14:paraId="5FD0C4FE">
      <w:pPr>
        <w:snapToGrid w:val="0"/>
        <w:spacing w:line="360" w:lineRule="auto"/>
        <w:rPr>
          <w:sz w:val="24"/>
          <w:u w:color="000000" w:themeColor="text1"/>
        </w:rPr>
      </w:pPr>
      <w:r>
        <w:rPr>
          <w:rFonts w:hint="eastAsia" w:ascii="宋体" w:hAnsi="宋体"/>
          <w:sz w:val="24"/>
          <w:u w:color="000000" w:themeColor="text1"/>
        </w:rPr>
        <w:t>十二、发包人承诺按照合同约定的条件、期限和方式向承包人支付合同价款。</w:t>
      </w:r>
    </w:p>
    <w:p w14:paraId="1CD2820D">
      <w:pPr>
        <w:snapToGrid w:val="0"/>
        <w:spacing w:line="360" w:lineRule="auto"/>
        <w:rPr>
          <w:sz w:val="24"/>
          <w:u w:val="single" w:color="000000" w:themeColor="text1"/>
        </w:rPr>
      </w:pPr>
      <w:r>
        <w:rPr>
          <w:rFonts w:hint="eastAsia"/>
          <w:sz w:val="24"/>
          <w:u w:color="000000" w:themeColor="text1"/>
        </w:rPr>
        <w:t>十三、本协议书连同其他合同文件正本一式两份，合同双方各执一份，具有同等法律效力；副本一式四份，合同双方各执两份。本合同经双方法定代表人（或委托代理人）签字或盖章并加盖双方公司公章或合同专用章后生效。</w:t>
      </w:r>
    </w:p>
    <w:p w14:paraId="6679B9CE">
      <w:pPr>
        <w:snapToGrid w:val="0"/>
        <w:spacing w:line="360" w:lineRule="auto"/>
        <w:rPr>
          <w:sz w:val="24"/>
          <w:u w:color="000000" w:themeColor="text1"/>
        </w:rPr>
      </w:pPr>
      <w:r>
        <w:rPr>
          <w:rFonts w:hint="eastAsia"/>
          <w:sz w:val="24"/>
          <w:u w:color="000000" w:themeColor="text1"/>
        </w:rPr>
        <w:t>十四、合同未尽事宜，双方另行签订补充协议，但不得背离本协议第九条所约定的合同文件的实质性内容。补充协议是合同文件的组成部分。</w:t>
      </w:r>
    </w:p>
    <w:p w14:paraId="69EA6975">
      <w:pPr>
        <w:snapToGrid w:val="0"/>
        <w:spacing w:line="360" w:lineRule="auto"/>
        <w:rPr>
          <w:sz w:val="24"/>
          <w:u w:color="000000" w:themeColor="text1"/>
        </w:rPr>
      </w:pPr>
      <w:r>
        <w:rPr>
          <w:rFonts w:hint="eastAsia"/>
          <w:sz w:val="24"/>
          <w:u w:color="000000" w:themeColor="text1"/>
        </w:rPr>
        <w:t>（本页以下无正文）</w:t>
      </w:r>
    </w:p>
    <w:p w14:paraId="77096A6D">
      <w:pPr>
        <w:pStyle w:val="42"/>
        <w:snapToGrid w:val="0"/>
        <w:spacing w:line="360" w:lineRule="auto"/>
        <w:ind w:firstLine="240"/>
        <w:rPr>
          <w:sz w:val="24"/>
          <w:u w:color="000000" w:themeColor="text1"/>
        </w:rPr>
      </w:pPr>
    </w:p>
    <w:p w14:paraId="76BDB6C4">
      <w:pPr>
        <w:pStyle w:val="42"/>
        <w:snapToGrid w:val="0"/>
        <w:spacing w:line="360" w:lineRule="auto"/>
        <w:ind w:firstLine="240"/>
        <w:rPr>
          <w:sz w:val="24"/>
          <w:u w:color="000000" w:themeColor="text1"/>
        </w:rPr>
      </w:pPr>
    </w:p>
    <w:p w14:paraId="5F68BED0">
      <w:pPr>
        <w:snapToGrid w:val="0"/>
        <w:spacing w:line="360" w:lineRule="auto"/>
        <w:rPr>
          <w:sz w:val="24"/>
          <w:u w:color="000000" w:themeColor="text1"/>
        </w:rPr>
      </w:pPr>
      <w:r>
        <w:rPr>
          <w:rFonts w:hint="eastAsia"/>
          <w:bCs/>
          <w:sz w:val="24"/>
          <w:u w:color="000000" w:themeColor="text1"/>
        </w:rPr>
        <w:t>发包人：</w:t>
      </w:r>
      <w:r>
        <w:rPr>
          <w:rFonts w:hint="eastAsia"/>
          <w:sz w:val="24"/>
          <w:u w:val="single"/>
        </w:rPr>
        <w:t>北京市丰台区职业教育中心学校</w:t>
      </w:r>
      <w:r>
        <w:rPr>
          <w:bCs/>
          <w:sz w:val="24"/>
          <w:u w:color="000000" w:themeColor="text1"/>
        </w:rPr>
        <w:t xml:space="preserve">   </w:t>
      </w:r>
      <w:r>
        <w:rPr>
          <w:rFonts w:hint="eastAsia"/>
          <w:bCs/>
          <w:sz w:val="24"/>
          <w:u w:color="000000" w:themeColor="text1"/>
        </w:rPr>
        <w:t>承包人：</w:t>
      </w:r>
      <w:r>
        <w:rPr>
          <w:rFonts w:hint="eastAsia"/>
          <w:sz w:val="24"/>
          <w:u w:color="000000" w:themeColor="text1"/>
        </w:rPr>
        <w:t>（盖单位章）</w:t>
      </w:r>
    </w:p>
    <w:p w14:paraId="39ABAEB1">
      <w:pPr>
        <w:snapToGrid w:val="0"/>
        <w:spacing w:line="360" w:lineRule="auto"/>
        <w:rPr>
          <w:sz w:val="24"/>
          <w:u w:color="000000" w:themeColor="text1"/>
        </w:rPr>
      </w:pPr>
      <w:r>
        <w:rPr>
          <w:rFonts w:hint="eastAsia"/>
          <w:bCs/>
          <w:sz w:val="24"/>
          <w:u w:color="000000" w:themeColor="text1"/>
        </w:rPr>
        <w:t>法定代表人或其</w:t>
      </w:r>
      <w:r>
        <w:rPr>
          <w:sz w:val="24"/>
          <w:u w:color="000000" w:themeColor="text1"/>
        </w:rPr>
        <w:t xml:space="preserve">                         </w:t>
      </w:r>
      <w:r>
        <w:rPr>
          <w:rFonts w:hint="eastAsia"/>
          <w:bCs/>
          <w:sz w:val="24"/>
          <w:u w:color="000000" w:themeColor="text1"/>
        </w:rPr>
        <w:t>法定代表人或其</w:t>
      </w:r>
    </w:p>
    <w:p w14:paraId="5E0ABD50">
      <w:pPr>
        <w:snapToGrid w:val="0"/>
        <w:spacing w:line="360" w:lineRule="auto"/>
        <w:rPr>
          <w:sz w:val="24"/>
          <w:u w:color="000000" w:themeColor="text1"/>
        </w:rPr>
      </w:pPr>
      <w:r>
        <w:rPr>
          <w:rFonts w:hint="eastAsia"/>
          <w:bCs/>
          <w:sz w:val="24"/>
          <w:u w:color="000000" w:themeColor="text1"/>
        </w:rPr>
        <w:t>委托代理人：</w:t>
      </w:r>
      <w:r>
        <w:rPr>
          <w:sz w:val="24"/>
          <w:u w:val="single"/>
        </w:rPr>
        <w:t xml:space="preserve">             </w:t>
      </w:r>
      <w:r>
        <w:rPr>
          <w:rFonts w:hint="eastAsia"/>
          <w:sz w:val="24"/>
          <w:u w:color="000000" w:themeColor="text1"/>
        </w:rPr>
        <w:t>（签字）</w:t>
      </w:r>
      <w:r>
        <w:rPr>
          <w:sz w:val="24"/>
          <w:u w:color="000000" w:themeColor="text1"/>
        </w:rPr>
        <w:t xml:space="preserve"> </w:t>
      </w:r>
      <w:r>
        <w:rPr>
          <w:bCs/>
          <w:sz w:val="24"/>
          <w:u w:color="000000" w:themeColor="text1"/>
        </w:rPr>
        <w:t xml:space="preserve">     </w:t>
      </w:r>
      <w:r>
        <w:rPr>
          <w:rFonts w:hint="eastAsia"/>
          <w:bCs/>
          <w:sz w:val="24"/>
          <w:u w:color="000000" w:themeColor="text1"/>
        </w:rPr>
        <w:t>委托代理人：</w:t>
      </w:r>
      <w:r>
        <w:rPr>
          <w:sz w:val="24"/>
          <w:u w:val="single"/>
        </w:rPr>
        <w:t xml:space="preserve">         </w:t>
      </w:r>
      <w:r>
        <w:rPr>
          <w:rFonts w:hint="eastAsia"/>
          <w:sz w:val="24"/>
          <w:u w:color="000000" w:themeColor="text1"/>
        </w:rPr>
        <w:t>（签字）</w:t>
      </w:r>
    </w:p>
    <w:p w14:paraId="4D51C94C">
      <w:pPr>
        <w:snapToGrid w:val="0"/>
        <w:spacing w:line="360" w:lineRule="auto"/>
        <w:rPr>
          <w:sz w:val="24"/>
          <w:u w:color="000000" w:themeColor="text1"/>
        </w:rPr>
      </w:pPr>
      <w:r>
        <w:rPr>
          <w:rFonts w:hint="eastAsia"/>
          <w:sz w:val="24"/>
          <w:u w:val="single" w:color="000000" w:themeColor="text1"/>
        </w:rPr>
        <w:t xml:space="preserve">    </w:t>
      </w:r>
      <w:r>
        <w:rPr>
          <w:rFonts w:hint="eastAsia"/>
          <w:sz w:val="24"/>
          <w:u w:color="000000" w:themeColor="text1"/>
        </w:rPr>
        <w:t>年</w:t>
      </w:r>
      <w:r>
        <w:rPr>
          <w:sz w:val="24"/>
          <w:u w:val="single" w:color="000000" w:themeColor="text1"/>
        </w:rPr>
        <w:t xml:space="preserve">    </w:t>
      </w:r>
      <w:r>
        <w:rPr>
          <w:rFonts w:hint="eastAsia"/>
          <w:sz w:val="24"/>
          <w:u w:color="000000" w:themeColor="text1"/>
        </w:rPr>
        <w:t>月</w:t>
      </w:r>
      <w:r>
        <w:rPr>
          <w:sz w:val="24"/>
          <w:u w:color="000000" w:themeColor="text1"/>
        </w:rPr>
        <w:t xml:space="preserve"> </w:t>
      </w:r>
      <w:r>
        <w:rPr>
          <w:sz w:val="24"/>
          <w:u w:val="single" w:color="000000" w:themeColor="text1"/>
        </w:rPr>
        <w:t xml:space="preserve">    </w:t>
      </w:r>
      <w:r>
        <w:rPr>
          <w:sz w:val="24"/>
          <w:u w:color="000000" w:themeColor="text1"/>
        </w:rPr>
        <w:t xml:space="preserve"> </w:t>
      </w:r>
      <w:r>
        <w:rPr>
          <w:rFonts w:hint="eastAsia"/>
          <w:sz w:val="24"/>
          <w:u w:color="000000" w:themeColor="text1"/>
        </w:rPr>
        <w:t>日</w:t>
      </w:r>
      <w:r>
        <w:rPr>
          <w:sz w:val="24"/>
          <w:u w:color="000000" w:themeColor="text1"/>
        </w:rPr>
        <w:t xml:space="preserve">                   </w:t>
      </w:r>
      <w:r>
        <w:rPr>
          <w:rFonts w:hint="eastAsia"/>
          <w:sz w:val="24"/>
          <w:u w:val="single" w:color="000000" w:themeColor="text1"/>
        </w:rPr>
        <w:t xml:space="preserve">    </w:t>
      </w:r>
      <w:r>
        <w:rPr>
          <w:rFonts w:hint="eastAsia"/>
          <w:sz w:val="24"/>
          <w:u w:color="000000" w:themeColor="text1"/>
        </w:rPr>
        <w:t>年</w:t>
      </w:r>
      <w:r>
        <w:rPr>
          <w:sz w:val="24"/>
          <w:u w:val="single" w:color="000000" w:themeColor="text1"/>
        </w:rPr>
        <w:t xml:space="preserve">    </w:t>
      </w:r>
      <w:r>
        <w:rPr>
          <w:rFonts w:hint="eastAsia"/>
          <w:sz w:val="24"/>
          <w:u w:color="000000" w:themeColor="text1"/>
        </w:rPr>
        <w:t>月</w:t>
      </w:r>
      <w:r>
        <w:rPr>
          <w:sz w:val="24"/>
          <w:u w:color="000000" w:themeColor="text1"/>
        </w:rPr>
        <w:t xml:space="preserve"> </w:t>
      </w:r>
      <w:r>
        <w:rPr>
          <w:sz w:val="24"/>
          <w:u w:val="single" w:color="000000" w:themeColor="text1"/>
        </w:rPr>
        <w:t xml:space="preserve">    </w:t>
      </w:r>
      <w:r>
        <w:rPr>
          <w:rFonts w:hint="eastAsia"/>
          <w:sz w:val="24"/>
          <w:u w:color="000000" w:themeColor="text1"/>
        </w:rPr>
        <w:t>日</w:t>
      </w:r>
    </w:p>
    <w:p w14:paraId="4881CAE1">
      <w:pPr>
        <w:snapToGrid w:val="0"/>
        <w:spacing w:line="360" w:lineRule="auto"/>
        <w:rPr>
          <w:rFonts w:hint="eastAsia" w:asciiTheme="minorEastAsia" w:hAnsiTheme="minorEastAsia"/>
          <w:b/>
          <w:sz w:val="24"/>
          <w:u w:color="000000" w:themeColor="text1"/>
        </w:rPr>
      </w:pPr>
      <w:r>
        <w:rPr>
          <w:rFonts w:hint="eastAsia"/>
          <w:sz w:val="24"/>
          <w:u w:color="000000" w:themeColor="text1"/>
        </w:rPr>
        <w:t>签约地点：</w:t>
      </w:r>
      <w:r>
        <w:rPr>
          <w:rFonts w:hint="eastAsia" w:ascii="宋体" w:hAnsi="宋体" w:cs="宋体"/>
          <w:sz w:val="24"/>
          <w:u w:val="single"/>
        </w:rPr>
        <w:t>北京市丰台区方庄芳古园二区9号</w:t>
      </w:r>
    </w:p>
    <w:bookmarkEnd w:id="677"/>
    <w:p w14:paraId="0F9BC98A">
      <w:pPr>
        <w:snapToGrid w:val="0"/>
        <w:spacing w:line="360" w:lineRule="auto"/>
        <w:rPr>
          <w:sz w:val="24"/>
          <w:u w:color="000000" w:themeColor="text1"/>
        </w:rPr>
        <w:sectPr>
          <w:headerReference r:id="rId21" w:type="first"/>
          <w:footerReference r:id="rId24" w:type="first"/>
          <w:headerReference r:id="rId19" w:type="default"/>
          <w:footerReference r:id="rId22" w:type="default"/>
          <w:headerReference r:id="rId20" w:type="even"/>
          <w:footerReference r:id="rId23" w:type="even"/>
          <w:pgSz w:w="11905" w:h="16837" w:orient="landscape"/>
          <w:pgMar w:top="1440" w:right="1800" w:bottom="1440" w:left="1800" w:header="851" w:footer="992" w:gutter="0"/>
          <w:cols w:space="720" w:num="1"/>
          <w:docGrid w:linePitch="312" w:charSpace="0"/>
        </w:sectPr>
      </w:pPr>
    </w:p>
    <w:p w14:paraId="03D83CFB">
      <w:pPr>
        <w:pStyle w:val="2"/>
        <w:snapToGrid w:val="0"/>
        <w:rPr>
          <w:rFonts w:hint="eastAsia"/>
          <w:u w:color="000000" w:themeColor="text1"/>
        </w:rPr>
      </w:pPr>
      <w:bookmarkStart w:id="679" w:name="_Toc24757"/>
      <w:r>
        <w:rPr>
          <w:rFonts w:hint="eastAsia"/>
          <w:u w:color="000000" w:themeColor="text1"/>
        </w:rPr>
        <w:t>第二部分 合同条款通用部分</w:t>
      </w:r>
      <w:bookmarkEnd w:id="679"/>
    </w:p>
    <w:p w14:paraId="02054178">
      <w:pPr>
        <w:spacing w:line="360" w:lineRule="auto"/>
        <w:rPr>
          <w:rFonts w:hint="eastAsia" w:ascii="宋体" w:hAnsi="宋体" w:cs="宋体"/>
          <w:b/>
          <w:bCs/>
          <w:sz w:val="24"/>
        </w:rPr>
      </w:pPr>
      <w:r>
        <w:rPr>
          <w:rFonts w:hint="eastAsia" w:ascii="宋体" w:hAnsi="宋体" w:cs="宋体"/>
          <w:b/>
          <w:bCs/>
          <w:sz w:val="24"/>
        </w:rPr>
        <w:t>1.一般约定</w:t>
      </w:r>
    </w:p>
    <w:p w14:paraId="33FA21FB">
      <w:pPr>
        <w:spacing w:line="360" w:lineRule="auto"/>
        <w:rPr>
          <w:rFonts w:hint="eastAsia" w:ascii="宋体" w:hAnsi="宋体" w:cs="宋体"/>
          <w:sz w:val="24"/>
        </w:rPr>
      </w:pPr>
      <w:r>
        <w:rPr>
          <w:rFonts w:hint="eastAsia" w:ascii="宋体" w:hAnsi="宋体" w:cs="宋体"/>
          <w:sz w:val="24"/>
        </w:rPr>
        <w:t>1.1  词语定义</w:t>
      </w:r>
    </w:p>
    <w:p w14:paraId="799AE873">
      <w:pPr>
        <w:spacing w:line="360" w:lineRule="auto"/>
        <w:ind w:firstLine="440" w:firstLineChars="200"/>
        <w:rPr>
          <w:rFonts w:hint="eastAsia" w:ascii="宋体" w:hAnsi="宋体" w:cs="宋体"/>
          <w:sz w:val="22"/>
          <w:szCs w:val="22"/>
        </w:rPr>
      </w:pPr>
      <w:r>
        <w:rPr>
          <w:rFonts w:hint="eastAsia" w:ascii="宋体" w:hAnsi="宋体" w:cs="宋体"/>
          <w:sz w:val="22"/>
          <w:szCs w:val="22"/>
        </w:rPr>
        <w:t>合同条款通用部分、合同条款专用部分中的下列词语应具有本款所赋予的含义。</w:t>
      </w:r>
    </w:p>
    <w:p w14:paraId="77BF9DDC">
      <w:pPr>
        <w:spacing w:line="360" w:lineRule="auto"/>
        <w:ind w:firstLine="440" w:firstLineChars="200"/>
        <w:rPr>
          <w:rFonts w:hint="eastAsia" w:ascii="宋体" w:hAnsi="宋体" w:cs="宋体"/>
          <w:sz w:val="22"/>
          <w:szCs w:val="22"/>
        </w:rPr>
      </w:pPr>
      <w:r>
        <w:rPr>
          <w:rFonts w:hint="eastAsia" w:ascii="宋体" w:hAnsi="宋体" w:cs="宋体"/>
          <w:sz w:val="22"/>
          <w:szCs w:val="22"/>
        </w:rPr>
        <w:t>1.1.1  合同</w:t>
      </w:r>
    </w:p>
    <w:p w14:paraId="20205438">
      <w:pPr>
        <w:spacing w:line="360" w:lineRule="auto"/>
        <w:ind w:firstLine="660" w:firstLineChars="300"/>
        <w:rPr>
          <w:rFonts w:hint="eastAsia" w:ascii="宋体" w:hAnsi="宋体" w:cs="宋体"/>
          <w:sz w:val="22"/>
          <w:szCs w:val="22"/>
        </w:rPr>
      </w:pPr>
      <w:r>
        <w:rPr>
          <w:rFonts w:hint="eastAsia" w:ascii="宋体" w:hAnsi="宋体" w:cs="宋体"/>
          <w:sz w:val="22"/>
          <w:szCs w:val="22"/>
        </w:rPr>
        <w:t>1.1.1.1  合同文件（或称合同）：指合同协议书、中标通知书、投标函及投标函附录、 合同条款专用部分、合同条款通用部分、技术标准和要求、图纸、合同清单，以及其他合同文件。</w:t>
      </w:r>
    </w:p>
    <w:p w14:paraId="0488B153">
      <w:pPr>
        <w:spacing w:line="360" w:lineRule="auto"/>
        <w:ind w:firstLine="660" w:firstLineChars="300"/>
        <w:rPr>
          <w:rFonts w:hint="eastAsia" w:ascii="宋体" w:hAnsi="宋体" w:cs="宋体"/>
          <w:sz w:val="22"/>
          <w:szCs w:val="22"/>
        </w:rPr>
      </w:pPr>
      <w:r>
        <w:rPr>
          <w:rFonts w:hint="eastAsia" w:ascii="宋体" w:hAnsi="宋体" w:cs="宋体"/>
          <w:sz w:val="22"/>
          <w:szCs w:val="22"/>
        </w:rPr>
        <w:t>1.1.1.2  合同协议书：指第 1.5 款所指的合同协议书。</w:t>
      </w:r>
    </w:p>
    <w:p w14:paraId="7933DDF5">
      <w:pPr>
        <w:spacing w:line="360" w:lineRule="auto"/>
        <w:ind w:firstLine="660" w:firstLineChars="300"/>
        <w:rPr>
          <w:rFonts w:hint="eastAsia" w:ascii="宋体" w:hAnsi="宋体" w:cs="宋体"/>
          <w:sz w:val="22"/>
          <w:szCs w:val="22"/>
        </w:rPr>
      </w:pPr>
      <w:r>
        <w:rPr>
          <w:rFonts w:hint="eastAsia" w:ascii="宋体" w:hAnsi="宋体" w:cs="宋体"/>
          <w:sz w:val="22"/>
          <w:szCs w:val="22"/>
        </w:rPr>
        <w:t>1.1.1.3  中标通知书：指发包人通知承包人中标的函件。</w:t>
      </w:r>
    </w:p>
    <w:p w14:paraId="1360E8FB">
      <w:pPr>
        <w:spacing w:line="360" w:lineRule="auto"/>
        <w:ind w:firstLine="660" w:firstLineChars="300"/>
        <w:rPr>
          <w:rFonts w:hint="eastAsia" w:ascii="宋体" w:hAnsi="宋体" w:cs="宋体"/>
          <w:sz w:val="22"/>
          <w:szCs w:val="22"/>
        </w:rPr>
      </w:pPr>
      <w:r>
        <w:rPr>
          <w:rFonts w:hint="eastAsia" w:ascii="宋体" w:hAnsi="宋体" w:cs="宋体"/>
          <w:sz w:val="22"/>
          <w:szCs w:val="22"/>
        </w:rPr>
        <w:t>1.1.1.4  投标函：指构成合同文件组成部分的由承包人填写并签署的投标函。</w:t>
      </w:r>
    </w:p>
    <w:p w14:paraId="73F1979E">
      <w:pPr>
        <w:spacing w:line="360" w:lineRule="auto"/>
        <w:ind w:firstLine="660" w:firstLineChars="300"/>
        <w:rPr>
          <w:rFonts w:hint="eastAsia" w:ascii="宋体" w:hAnsi="宋体" w:cs="宋体"/>
          <w:sz w:val="22"/>
          <w:szCs w:val="22"/>
        </w:rPr>
      </w:pPr>
      <w:r>
        <w:rPr>
          <w:rFonts w:hint="eastAsia" w:ascii="宋体" w:hAnsi="宋体" w:cs="宋体"/>
          <w:sz w:val="22"/>
          <w:szCs w:val="22"/>
        </w:rPr>
        <w:t>1.1.1.5  投标函附录：指附在投标函后构成合同文件的投标函附录。</w:t>
      </w:r>
    </w:p>
    <w:p w14:paraId="04DAFAF1">
      <w:pPr>
        <w:spacing w:line="360" w:lineRule="auto"/>
        <w:ind w:firstLine="660" w:firstLineChars="300"/>
        <w:rPr>
          <w:rFonts w:hint="eastAsia" w:ascii="宋体" w:hAnsi="宋体" w:cs="宋体"/>
          <w:sz w:val="22"/>
          <w:szCs w:val="22"/>
        </w:rPr>
      </w:pPr>
      <w:r>
        <w:rPr>
          <w:rFonts w:hint="eastAsia" w:ascii="宋体" w:hAnsi="宋体" w:cs="宋体"/>
          <w:sz w:val="22"/>
          <w:szCs w:val="22"/>
        </w:rPr>
        <w:t>1.1.1.6  合同条款：指构成合同文件组成部分的合同条款通用部分和（或）合同条款专用部分。</w:t>
      </w:r>
    </w:p>
    <w:p w14:paraId="42A1E249">
      <w:pPr>
        <w:spacing w:line="360" w:lineRule="auto"/>
        <w:ind w:firstLine="660" w:firstLineChars="300"/>
        <w:rPr>
          <w:rFonts w:hint="eastAsia" w:ascii="宋体" w:hAnsi="宋体" w:cs="宋体"/>
          <w:sz w:val="22"/>
          <w:szCs w:val="22"/>
        </w:rPr>
      </w:pPr>
      <w:r>
        <w:rPr>
          <w:rFonts w:hint="eastAsia" w:ascii="宋体" w:hAnsi="宋体" w:cs="宋体"/>
          <w:sz w:val="22"/>
          <w:szCs w:val="22"/>
        </w:rPr>
        <w:t>1.1.1.7  技术标准和要求：指构成合同文件组成部分的名为技术标准和要求的文件， 包括合同双方当事人约定对其所作的修改或补充。</w:t>
      </w:r>
    </w:p>
    <w:p w14:paraId="3A98BAD8">
      <w:pPr>
        <w:spacing w:line="360" w:lineRule="auto"/>
        <w:ind w:firstLine="660" w:firstLineChars="300"/>
        <w:rPr>
          <w:rFonts w:hint="eastAsia" w:ascii="宋体" w:hAnsi="宋体" w:cs="宋体"/>
          <w:sz w:val="22"/>
          <w:szCs w:val="22"/>
        </w:rPr>
      </w:pPr>
      <w:r>
        <w:rPr>
          <w:rFonts w:hint="eastAsia" w:ascii="宋体" w:hAnsi="宋体" w:cs="宋体"/>
          <w:sz w:val="22"/>
          <w:szCs w:val="22"/>
        </w:rPr>
        <w:t>1.1.1.8  图纸：指包含在合同中的工程图纸，以及由发包人按合同约定提供的任何 补充和修改的图纸，包括配套的说明。</w:t>
      </w:r>
    </w:p>
    <w:p w14:paraId="07FBEF53">
      <w:pPr>
        <w:spacing w:line="360" w:lineRule="auto"/>
        <w:ind w:firstLine="660" w:firstLineChars="300"/>
        <w:rPr>
          <w:rFonts w:hint="eastAsia" w:ascii="宋体" w:hAnsi="宋体" w:cs="宋体"/>
          <w:sz w:val="22"/>
          <w:szCs w:val="22"/>
        </w:rPr>
      </w:pPr>
      <w:r>
        <w:rPr>
          <w:rFonts w:hint="eastAsia" w:ascii="宋体" w:hAnsi="宋体" w:cs="宋体"/>
          <w:sz w:val="22"/>
          <w:szCs w:val="22"/>
        </w:rPr>
        <w:t>1.1.1.9  合同清单：指构成合同文件组成部分的由承包人在投标时所填报并获得发包人接纳的已标明投标总价、合价及其综合单价，以及投标报价澄清或说明修正价格的已标价工程量清单，用以说明承包人所填报合同总价的详细构成及综合单价分析，包括其说明和表格。</w:t>
      </w:r>
    </w:p>
    <w:p w14:paraId="582040E1">
      <w:pPr>
        <w:spacing w:line="360" w:lineRule="auto"/>
        <w:ind w:firstLine="660" w:firstLineChars="300"/>
        <w:rPr>
          <w:rFonts w:hint="eastAsia" w:ascii="宋体" w:hAnsi="宋体" w:cs="宋体"/>
          <w:sz w:val="22"/>
          <w:szCs w:val="22"/>
        </w:rPr>
      </w:pPr>
      <w:r>
        <w:rPr>
          <w:rFonts w:hint="eastAsia" w:ascii="宋体" w:hAnsi="宋体" w:cs="宋体"/>
          <w:sz w:val="22"/>
          <w:szCs w:val="22"/>
        </w:rPr>
        <w:t>1.1.1.10  其他合同文件：指经合同双方当事人确认构成合同文件的其他文件。</w:t>
      </w:r>
    </w:p>
    <w:p w14:paraId="20055116">
      <w:pPr>
        <w:spacing w:line="360" w:lineRule="auto"/>
        <w:ind w:firstLine="440" w:firstLineChars="200"/>
        <w:rPr>
          <w:rFonts w:hint="eastAsia" w:ascii="宋体" w:hAnsi="宋体" w:cs="宋体"/>
          <w:sz w:val="22"/>
          <w:szCs w:val="22"/>
        </w:rPr>
      </w:pPr>
      <w:r>
        <w:rPr>
          <w:rFonts w:hint="eastAsia" w:ascii="宋体" w:hAnsi="宋体" w:cs="宋体"/>
          <w:sz w:val="22"/>
          <w:szCs w:val="22"/>
        </w:rPr>
        <w:t>1.1.2  合同当事人和人员</w:t>
      </w:r>
    </w:p>
    <w:p w14:paraId="59607A1C">
      <w:pPr>
        <w:spacing w:line="360" w:lineRule="auto"/>
        <w:ind w:firstLine="660" w:firstLineChars="300"/>
        <w:rPr>
          <w:rFonts w:hint="eastAsia" w:ascii="宋体" w:hAnsi="宋体" w:cs="宋体"/>
          <w:sz w:val="22"/>
          <w:szCs w:val="22"/>
        </w:rPr>
      </w:pPr>
      <w:r>
        <w:rPr>
          <w:rFonts w:hint="eastAsia" w:ascii="宋体" w:hAnsi="宋体" w:cs="宋体"/>
          <w:sz w:val="22"/>
          <w:szCs w:val="22"/>
        </w:rPr>
        <w:t>1.1.2.1  合同当事人：指发包人和（或）承包人。</w:t>
      </w:r>
    </w:p>
    <w:p w14:paraId="21BA61A9">
      <w:pPr>
        <w:spacing w:line="360" w:lineRule="auto"/>
        <w:ind w:firstLine="660" w:firstLineChars="300"/>
        <w:rPr>
          <w:rFonts w:hint="eastAsia" w:ascii="宋体" w:hAnsi="宋体" w:cs="宋体"/>
          <w:sz w:val="22"/>
          <w:szCs w:val="22"/>
        </w:rPr>
      </w:pPr>
      <w:r>
        <w:rPr>
          <w:rFonts w:hint="eastAsia" w:ascii="宋体" w:hAnsi="宋体" w:cs="宋体"/>
          <w:sz w:val="22"/>
          <w:szCs w:val="22"/>
        </w:rPr>
        <w:t>1.1.2.2  发包人：指合同协议书中约定，具有工程发包主体资格和承诺按照合同约定的条件、期限和方式向承包人支付工程价款的当事人，以及取得该当事人资格的合法继承人。发包人名称见合同条款专用部分。</w:t>
      </w:r>
    </w:p>
    <w:p w14:paraId="02FE620C">
      <w:pPr>
        <w:spacing w:line="360" w:lineRule="auto"/>
        <w:ind w:firstLine="660" w:firstLineChars="300"/>
        <w:rPr>
          <w:rFonts w:hint="eastAsia" w:ascii="宋体" w:hAnsi="宋体" w:cs="宋体"/>
          <w:sz w:val="22"/>
          <w:szCs w:val="22"/>
        </w:rPr>
      </w:pPr>
      <w:r>
        <w:rPr>
          <w:rFonts w:hint="eastAsia" w:ascii="宋体" w:hAnsi="宋体" w:cs="宋体"/>
          <w:sz w:val="22"/>
          <w:szCs w:val="22"/>
        </w:rPr>
        <w:t>1.1.2.3  承包人：指合同协议书中约定，具有合同工程承包主体资格，并承诺按照合同约定进行施工、竣工、交付并承担质量缺陷保修责任的当事人，以及取得该当事人资格的合法继承人。承包人名称见合同条款专用部分。</w:t>
      </w:r>
    </w:p>
    <w:p w14:paraId="169B573F">
      <w:pPr>
        <w:spacing w:line="360" w:lineRule="auto"/>
        <w:ind w:firstLine="660" w:firstLineChars="300"/>
        <w:rPr>
          <w:rFonts w:hint="eastAsia" w:ascii="宋体" w:hAnsi="宋体" w:cs="宋体"/>
          <w:sz w:val="22"/>
          <w:szCs w:val="22"/>
        </w:rPr>
      </w:pPr>
      <w:r>
        <w:rPr>
          <w:rFonts w:hint="eastAsia" w:ascii="宋体" w:hAnsi="宋体" w:cs="宋体"/>
          <w:sz w:val="22"/>
          <w:szCs w:val="22"/>
        </w:rPr>
        <w:t>1.1.2.4  承包人项目经理：指承包人派驻施工场地的全权负责人。</w:t>
      </w:r>
    </w:p>
    <w:p w14:paraId="3A7E781C">
      <w:pPr>
        <w:spacing w:line="360" w:lineRule="auto"/>
        <w:ind w:firstLine="660" w:firstLineChars="300"/>
        <w:rPr>
          <w:rFonts w:hint="eastAsia" w:ascii="宋体" w:hAnsi="宋体" w:cs="宋体"/>
          <w:sz w:val="22"/>
          <w:szCs w:val="22"/>
        </w:rPr>
      </w:pPr>
      <w:r>
        <w:rPr>
          <w:rFonts w:hint="eastAsia" w:ascii="宋体" w:hAnsi="宋体" w:cs="宋体"/>
          <w:sz w:val="22"/>
          <w:szCs w:val="22"/>
        </w:rPr>
        <w:t>1.1.2.5  分包人：指从承包人处分包合同中某一部分工程，并与其签订分包合同的分包人。</w:t>
      </w:r>
    </w:p>
    <w:p w14:paraId="0835F89B">
      <w:pPr>
        <w:spacing w:line="360" w:lineRule="auto"/>
        <w:ind w:firstLine="660" w:firstLineChars="300"/>
        <w:rPr>
          <w:rFonts w:hint="eastAsia" w:ascii="宋体" w:hAnsi="宋体" w:cs="宋体"/>
          <w:sz w:val="22"/>
          <w:szCs w:val="22"/>
        </w:rPr>
      </w:pPr>
      <w:r>
        <w:rPr>
          <w:rFonts w:hint="eastAsia" w:ascii="宋体" w:hAnsi="宋体" w:cs="宋体"/>
          <w:sz w:val="22"/>
          <w:szCs w:val="22"/>
        </w:rPr>
        <w:t>1.1.2.6  监理人：指发包人委托的对合同履行实施管理的法人或其他组织。监理人名称见合同条款专用部分。</w:t>
      </w:r>
    </w:p>
    <w:p w14:paraId="36B592D1">
      <w:pPr>
        <w:spacing w:line="360" w:lineRule="auto"/>
        <w:ind w:firstLine="660" w:firstLineChars="300"/>
        <w:rPr>
          <w:rFonts w:hint="eastAsia" w:ascii="宋体" w:hAnsi="宋体" w:cs="宋体"/>
          <w:sz w:val="22"/>
          <w:szCs w:val="22"/>
        </w:rPr>
      </w:pPr>
      <w:r>
        <w:rPr>
          <w:rFonts w:hint="eastAsia" w:ascii="宋体" w:hAnsi="宋体" w:cs="宋体"/>
          <w:sz w:val="22"/>
          <w:szCs w:val="22"/>
        </w:rPr>
        <w:t>1.1.2.7  总监理工程师（总监）：指由监理人委派常驻施工场地对合同履行实施管理的全权负责人。</w:t>
      </w:r>
    </w:p>
    <w:p w14:paraId="77F20790">
      <w:pPr>
        <w:spacing w:line="360" w:lineRule="auto"/>
        <w:ind w:firstLine="660" w:firstLineChars="300"/>
        <w:rPr>
          <w:rFonts w:hint="eastAsia" w:ascii="宋体" w:hAnsi="宋体" w:cs="宋体"/>
          <w:sz w:val="22"/>
          <w:szCs w:val="22"/>
        </w:rPr>
      </w:pPr>
      <w:r>
        <w:rPr>
          <w:rFonts w:hint="eastAsia" w:ascii="宋体" w:hAnsi="宋体" w:cs="宋体"/>
          <w:sz w:val="22"/>
          <w:szCs w:val="22"/>
        </w:rPr>
        <w:t>1.1.2.8  发包人代表：指由发包人指定的派驻施工场地（现场）的全权代表。发包人代表相关信息见合同条款专用部分。</w:t>
      </w:r>
    </w:p>
    <w:p w14:paraId="23BFDA2D">
      <w:pPr>
        <w:spacing w:line="360" w:lineRule="auto"/>
        <w:ind w:firstLine="660" w:firstLineChars="300"/>
        <w:rPr>
          <w:rFonts w:hint="eastAsia" w:ascii="宋体" w:hAnsi="宋体" w:cs="宋体"/>
          <w:sz w:val="22"/>
          <w:szCs w:val="22"/>
        </w:rPr>
      </w:pPr>
      <w:r>
        <w:rPr>
          <w:rFonts w:hint="eastAsia" w:ascii="宋体" w:hAnsi="宋体" w:cs="宋体"/>
          <w:sz w:val="22"/>
          <w:szCs w:val="22"/>
        </w:rPr>
        <w:t>1.1.2.9  专业分包人：指根据合同条款第 15.8.1 项的约定，由发包人和承包人以招标方式选择的分包人。</w:t>
      </w:r>
    </w:p>
    <w:p w14:paraId="4F55972D">
      <w:pPr>
        <w:spacing w:line="360" w:lineRule="auto"/>
        <w:ind w:firstLine="660" w:firstLineChars="300"/>
        <w:rPr>
          <w:rFonts w:hint="eastAsia" w:ascii="宋体" w:hAnsi="宋体" w:cs="宋体"/>
          <w:sz w:val="22"/>
          <w:szCs w:val="22"/>
        </w:rPr>
      </w:pPr>
      <w:r>
        <w:rPr>
          <w:rFonts w:hint="eastAsia" w:ascii="宋体" w:hAnsi="宋体" w:cs="宋体"/>
          <w:sz w:val="22"/>
          <w:szCs w:val="22"/>
        </w:rPr>
        <w:t>1.1.2.10  专项供应商：指根据合同条款第 15.8.1 项的约定， 由发包人和承包人以招标方式选择的供应商。</w:t>
      </w:r>
    </w:p>
    <w:p w14:paraId="0101394B">
      <w:pPr>
        <w:spacing w:line="360" w:lineRule="auto"/>
        <w:ind w:firstLine="660" w:firstLineChars="300"/>
        <w:rPr>
          <w:rFonts w:hint="eastAsia" w:ascii="宋体" w:hAnsi="宋体" w:cs="宋体"/>
          <w:sz w:val="22"/>
          <w:szCs w:val="22"/>
        </w:rPr>
      </w:pPr>
      <w:r>
        <w:rPr>
          <w:rFonts w:hint="eastAsia" w:ascii="宋体" w:hAnsi="宋体" w:cs="宋体"/>
          <w:sz w:val="22"/>
          <w:szCs w:val="22"/>
        </w:rPr>
        <w:t>1.1.2.11  独立承包人：指与发包人直接订立工程承包合同，负责实施与工程有关的其他工作的当事人。</w:t>
      </w:r>
    </w:p>
    <w:p w14:paraId="630F6CEA">
      <w:pPr>
        <w:spacing w:line="360" w:lineRule="auto"/>
        <w:ind w:firstLine="440" w:firstLineChars="200"/>
        <w:rPr>
          <w:rFonts w:hint="eastAsia" w:ascii="宋体" w:hAnsi="宋体" w:cs="宋体"/>
          <w:sz w:val="22"/>
          <w:szCs w:val="22"/>
        </w:rPr>
      </w:pPr>
      <w:r>
        <w:rPr>
          <w:rFonts w:hint="eastAsia" w:ascii="宋体" w:hAnsi="宋体" w:cs="宋体"/>
          <w:sz w:val="22"/>
          <w:szCs w:val="22"/>
        </w:rPr>
        <w:t>1.1.3  工程和设备</w:t>
      </w:r>
    </w:p>
    <w:p w14:paraId="63F3D8C7">
      <w:pPr>
        <w:spacing w:line="360" w:lineRule="auto"/>
        <w:ind w:firstLine="660" w:firstLineChars="300"/>
        <w:rPr>
          <w:rFonts w:hint="eastAsia" w:ascii="宋体" w:hAnsi="宋体" w:cs="宋体"/>
          <w:sz w:val="22"/>
          <w:szCs w:val="22"/>
        </w:rPr>
      </w:pPr>
      <w:r>
        <w:rPr>
          <w:rFonts w:hint="eastAsia" w:ascii="宋体" w:hAnsi="宋体" w:cs="宋体"/>
          <w:sz w:val="22"/>
          <w:szCs w:val="22"/>
        </w:rPr>
        <w:t>1.1.3.1  工程：指永久工程和（或）临时工程。</w:t>
      </w:r>
    </w:p>
    <w:p w14:paraId="5A75BF98">
      <w:pPr>
        <w:spacing w:line="360" w:lineRule="auto"/>
        <w:ind w:firstLine="660" w:firstLineChars="300"/>
        <w:rPr>
          <w:rFonts w:hint="eastAsia" w:ascii="宋体" w:hAnsi="宋体" w:cs="宋体"/>
          <w:sz w:val="22"/>
          <w:szCs w:val="22"/>
        </w:rPr>
      </w:pPr>
      <w:r>
        <w:rPr>
          <w:rFonts w:hint="eastAsia" w:ascii="宋体" w:hAnsi="宋体" w:cs="宋体"/>
          <w:sz w:val="22"/>
          <w:szCs w:val="22"/>
        </w:rPr>
        <w:t>1.1.3.2  永久工程：指按照合同约定所需建造、完成并移交给发包人的工程，包括工程设备。永久工程的约定见合同条款专用部分。</w:t>
      </w:r>
    </w:p>
    <w:p w14:paraId="38D78CFF">
      <w:pPr>
        <w:spacing w:line="360" w:lineRule="auto"/>
        <w:ind w:firstLine="660" w:firstLineChars="300"/>
        <w:rPr>
          <w:rFonts w:hint="eastAsia" w:ascii="宋体" w:hAnsi="宋体" w:cs="宋体"/>
          <w:sz w:val="22"/>
          <w:szCs w:val="22"/>
        </w:rPr>
      </w:pPr>
      <w:r>
        <w:rPr>
          <w:rFonts w:hint="eastAsia" w:ascii="宋体" w:hAnsi="宋体" w:cs="宋体"/>
          <w:sz w:val="22"/>
          <w:szCs w:val="22"/>
        </w:rPr>
        <w:t>1.1.3.3  临时工程：指为完成合同约定的永久工程所修建的各类临时性工程，不包括施工设备。临时工程的约定见合同条款专用部分。</w:t>
      </w:r>
    </w:p>
    <w:p w14:paraId="128208F3">
      <w:pPr>
        <w:spacing w:line="360" w:lineRule="auto"/>
        <w:ind w:firstLine="660" w:firstLineChars="300"/>
        <w:rPr>
          <w:rFonts w:hint="eastAsia" w:ascii="宋体" w:hAnsi="宋体" w:cs="宋体"/>
          <w:sz w:val="22"/>
          <w:szCs w:val="22"/>
        </w:rPr>
      </w:pPr>
      <w:r>
        <w:rPr>
          <w:rFonts w:hint="eastAsia" w:ascii="宋体" w:hAnsi="宋体" w:cs="宋体"/>
          <w:sz w:val="22"/>
          <w:szCs w:val="22"/>
        </w:rPr>
        <w:t>1.1.3.4  单位工程：指具有相对独立的设计文件，能够独立组织施工并能形成独立使用功能的永久工程的组成部分。</w:t>
      </w:r>
    </w:p>
    <w:p w14:paraId="0EC7C336">
      <w:pPr>
        <w:spacing w:line="360" w:lineRule="auto"/>
        <w:ind w:firstLine="660" w:firstLineChars="300"/>
        <w:rPr>
          <w:rFonts w:hint="eastAsia" w:ascii="宋体" w:hAnsi="宋体" w:cs="宋体"/>
          <w:sz w:val="22"/>
          <w:szCs w:val="22"/>
        </w:rPr>
      </w:pPr>
      <w:r>
        <w:rPr>
          <w:rFonts w:hint="eastAsia" w:ascii="宋体" w:hAnsi="宋体" w:cs="宋体"/>
          <w:sz w:val="22"/>
          <w:szCs w:val="22"/>
        </w:rPr>
        <w:t>1.1.3.5  工程设备：指构成或计划构成永久工程一部分的机电设备、金属结构设备、 仪器装置及其他类似的设备和装置。</w:t>
      </w:r>
    </w:p>
    <w:p w14:paraId="53E969EA">
      <w:pPr>
        <w:spacing w:line="360" w:lineRule="auto"/>
        <w:ind w:firstLine="660" w:firstLineChars="300"/>
        <w:rPr>
          <w:rFonts w:hint="eastAsia" w:ascii="宋体" w:hAnsi="宋体" w:cs="宋体"/>
          <w:sz w:val="22"/>
          <w:szCs w:val="22"/>
        </w:rPr>
      </w:pPr>
      <w:r>
        <w:rPr>
          <w:rFonts w:hint="eastAsia" w:ascii="宋体" w:hAnsi="宋体" w:cs="宋体"/>
          <w:sz w:val="22"/>
          <w:szCs w:val="22"/>
        </w:rPr>
        <w:t>1.1.3.6  施工设备：指为完成合同约定的各项工作所需的设备、器具和其他物品，不包括临时工程和材料。</w:t>
      </w:r>
    </w:p>
    <w:p w14:paraId="61097E71">
      <w:pPr>
        <w:spacing w:line="360" w:lineRule="auto"/>
        <w:ind w:firstLine="660" w:firstLineChars="300"/>
        <w:rPr>
          <w:rFonts w:hint="eastAsia" w:ascii="宋体" w:hAnsi="宋体" w:cs="宋体"/>
          <w:sz w:val="22"/>
          <w:szCs w:val="22"/>
        </w:rPr>
      </w:pPr>
      <w:r>
        <w:rPr>
          <w:rFonts w:hint="eastAsia" w:ascii="宋体" w:hAnsi="宋体" w:cs="宋体"/>
          <w:sz w:val="22"/>
          <w:szCs w:val="22"/>
        </w:rPr>
        <w:t>1.1.3.7  临时设施：指为完成合同约定的各项工作所服务的临时性生产和生活设施。</w:t>
      </w:r>
    </w:p>
    <w:p w14:paraId="72D3C02A">
      <w:pPr>
        <w:spacing w:line="360" w:lineRule="auto"/>
        <w:ind w:firstLine="660" w:firstLineChars="300"/>
        <w:rPr>
          <w:rFonts w:hint="eastAsia" w:ascii="宋体" w:hAnsi="宋体" w:cs="宋体"/>
          <w:sz w:val="22"/>
          <w:szCs w:val="22"/>
        </w:rPr>
      </w:pPr>
      <w:r>
        <w:rPr>
          <w:rFonts w:hint="eastAsia" w:ascii="宋体" w:hAnsi="宋体" w:cs="宋体"/>
          <w:sz w:val="22"/>
          <w:szCs w:val="22"/>
        </w:rPr>
        <w:t>1.1.3.8  承包人设备：指承包人自带的施工设备。</w:t>
      </w:r>
    </w:p>
    <w:p w14:paraId="2C980771">
      <w:pPr>
        <w:spacing w:line="360" w:lineRule="auto"/>
        <w:ind w:firstLine="660" w:firstLineChars="300"/>
        <w:rPr>
          <w:rFonts w:hint="eastAsia" w:ascii="宋体" w:hAnsi="宋体" w:cs="宋体"/>
          <w:sz w:val="22"/>
          <w:szCs w:val="22"/>
        </w:rPr>
      </w:pPr>
      <w:r>
        <w:rPr>
          <w:rFonts w:hint="eastAsia" w:ascii="宋体" w:hAnsi="宋体" w:cs="宋体"/>
          <w:sz w:val="22"/>
          <w:szCs w:val="22"/>
        </w:rPr>
        <w:t>1.1.3.9  施工场地（或称工地、现场）：指用于合同工程施工的场所，以及在合同中指定作为施工场地组成部分的其他场所，包括永久占地和临时占地。</w:t>
      </w:r>
    </w:p>
    <w:p w14:paraId="2CF5332C">
      <w:pPr>
        <w:spacing w:line="360" w:lineRule="auto"/>
        <w:ind w:firstLine="660" w:firstLineChars="300"/>
        <w:rPr>
          <w:rFonts w:hint="eastAsia" w:ascii="宋体" w:hAnsi="宋体" w:cs="宋体"/>
          <w:sz w:val="22"/>
          <w:szCs w:val="22"/>
        </w:rPr>
      </w:pPr>
      <w:r>
        <w:rPr>
          <w:rFonts w:hint="eastAsia" w:ascii="宋体" w:hAnsi="宋体" w:cs="宋体"/>
          <w:sz w:val="22"/>
          <w:szCs w:val="22"/>
        </w:rPr>
        <w:t>1.1.3.10  永久占地：指为实施合同工程需永久占用的土地。永久占地的约定见合同条款专用部分。</w:t>
      </w:r>
    </w:p>
    <w:p w14:paraId="28376449">
      <w:pPr>
        <w:spacing w:line="360" w:lineRule="auto"/>
        <w:ind w:firstLine="660" w:firstLineChars="300"/>
        <w:rPr>
          <w:rFonts w:hint="eastAsia" w:ascii="宋体" w:hAnsi="宋体" w:cs="宋体"/>
          <w:sz w:val="22"/>
          <w:szCs w:val="22"/>
        </w:rPr>
      </w:pPr>
      <w:r>
        <w:rPr>
          <w:rFonts w:hint="eastAsia" w:ascii="宋体" w:hAnsi="宋体" w:cs="宋体"/>
          <w:sz w:val="22"/>
          <w:szCs w:val="22"/>
        </w:rPr>
        <w:t>1.1.3.11  临时占地：指为实施合同工程需临时占用的土地。临时占地的约定见合同条款专用部分。</w:t>
      </w:r>
    </w:p>
    <w:p w14:paraId="6400F45C">
      <w:pPr>
        <w:spacing w:line="360" w:lineRule="auto"/>
        <w:ind w:firstLine="660" w:firstLineChars="300"/>
        <w:rPr>
          <w:rFonts w:hint="eastAsia" w:ascii="宋体" w:hAnsi="宋体" w:cs="宋体"/>
          <w:sz w:val="22"/>
          <w:szCs w:val="22"/>
        </w:rPr>
      </w:pPr>
      <w:r>
        <w:rPr>
          <w:rFonts w:hint="eastAsia" w:ascii="宋体" w:hAnsi="宋体" w:cs="宋体"/>
          <w:sz w:val="22"/>
          <w:szCs w:val="22"/>
        </w:rPr>
        <w:t>1.1.3.12  材料：指构成或将构成永久工程组成部分的各类物品(含工程设备)，包括合同中可能约定的承包人仅负责供应的材料。</w:t>
      </w:r>
    </w:p>
    <w:p w14:paraId="10B32141">
      <w:pPr>
        <w:spacing w:line="360" w:lineRule="auto"/>
        <w:ind w:firstLine="480" w:firstLineChars="200"/>
        <w:rPr>
          <w:rFonts w:hint="eastAsia" w:ascii="宋体" w:hAnsi="宋体" w:cs="宋体"/>
          <w:sz w:val="24"/>
        </w:rPr>
      </w:pPr>
      <w:r>
        <w:rPr>
          <w:rFonts w:hint="eastAsia" w:ascii="宋体" w:hAnsi="宋体" w:cs="宋体"/>
          <w:sz w:val="24"/>
        </w:rPr>
        <w:t>1.1.4  日期</w:t>
      </w:r>
    </w:p>
    <w:p w14:paraId="1BEF9BEB">
      <w:pPr>
        <w:spacing w:line="360" w:lineRule="auto"/>
        <w:ind w:firstLine="660" w:firstLineChars="300"/>
        <w:rPr>
          <w:rFonts w:hint="eastAsia" w:ascii="宋体" w:hAnsi="宋体" w:cs="宋体"/>
          <w:sz w:val="22"/>
          <w:szCs w:val="22"/>
        </w:rPr>
      </w:pPr>
      <w:r>
        <w:rPr>
          <w:rFonts w:hint="eastAsia" w:ascii="宋体" w:hAnsi="宋体" w:cs="宋体"/>
          <w:sz w:val="22"/>
          <w:szCs w:val="22"/>
        </w:rPr>
        <w:t>1.1.4.1  开工通知：指监理人按第 11.1 款通知承包人开工的函件。</w:t>
      </w:r>
    </w:p>
    <w:p w14:paraId="37E406FB">
      <w:pPr>
        <w:spacing w:line="360" w:lineRule="auto"/>
        <w:ind w:firstLine="660" w:firstLineChars="300"/>
        <w:rPr>
          <w:rFonts w:hint="eastAsia" w:ascii="宋体" w:hAnsi="宋体" w:cs="宋体"/>
          <w:sz w:val="22"/>
          <w:szCs w:val="22"/>
        </w:rPr>
      </w:pPr>
      <w:r>
        <w:rPr>
          <w:rFonts w:hint="eastAsia" w:ascii="宋体" w:hAnsi="宋体" w:cs="宋体"/>
          <w:sz w:val="22"/>
          <w:szCs w:val="22"/>
        </w:rPr>
        <w:t>1.1.4.2  开工日期：指监理人按第 11.1 款发出的开工通知中写明的开工日期。</w:t>
      </w:r>
    </w:p>
    <w:p w14:paraId="156EDD2E">
      <w:pPr>
        <w:spacing w:line="360" w:lineRule="auto"/>
        <w:ind w:firstLine="660" w:firstLineChars="300"/>
        <w:rPr>
          <w:rFonts w:hint="eastAsia" w:ascii="宋体" w:hAnsi="宋体" w:cs="宋体"/>
          <w:sz w:val="22"/>
          <w:szCs w:val="22"/>
        </w:rPr>
      </w:pPr>
      <w:r>
        <w:rPr>
          <w:rFonts w:hint="eastAsia" w:ascii="宋体" w:hAnsi="宋体" w:cs="宋体"/>
          <w:sz w:val="22"/>
          <w:szCs w:val="22"/>
        </w:rPr>
        <w:t>1.1.4.3  工期：指承包人在投标函中承诺的完成合同工程所需的期限，包括按第11.3 款、第 11.4 款和第 11.6 款约定所作的变更。</w:t>
      </w:r>
    </w:p>
    <w:p w14:paraId="1C87D2E0">
      <w:pPr>
        <w:spacing w:line="360" w:lineRule="auto"/>
        <w:ind w:firstLine="660" w:firstLineChars="300"/>
        <w:rPr>
          <w:rFonts w:hint="eastAsia" w:ascii="宋体" w:hAnsi="宋体" w:cs="宋体"/>
          <w:sz w:val="22"/>
          <w:szCs w:val="22"/>
        </w:rPr>
      </w:pPr>
      <w:r>
        <w:rPr>
          <w:rFonts w:hint="eastAsia" w:ascii="宋体" w:hAnsi="宋体" w:cs="宋体"/>
          <w:sz w:val="22"/>
          <w:szCs w:val="22"/>
        </w:rPr>
        <w:t>1.1.4.4  竣工日期：指第 1.1.4.3 目约定工期届满时的日期。实际竣工日期以工程 接收证书中写明的日期为准。</w:t>
      </w:r>
    </w:p>
    <w:p w14:paraId="2B5AB1D1">
      <w:pPr>
        <w:spacing w:line="360" w:lineRule="auto"/>
        <w:ind w:firstLine="660" w:firstLineChars="300"/>
        <w:rPr>
          <w:rFonts w:hint="eastAsia" w:ascii="宋体" w:hAnsi="宋体" w:cs="宋体"/>
          <w:sz w:val="22"/>
          <w:szCs w:val="22"/>
        </w:rPr>
      </w:pPr>
      <w:r>
        <w:rPr>
          <w:rFonts w:hint="eastAsia" w:ascii="宋体" w:hAnsi="宋体" w:cs="宋体"/>
          <w:sz w:val="22"/>
          <w:szCs w:val="22"/>
        </w:rPr>
        <w:t>1.1.4.5  缺陷责任期：指履行第 19.2 款约定的缺陷责任的期限，包括根据第 19.3 款约定所作的延长。缺陷责任期的具体期限见合同条款专用部分。</w:t>
      </w:r>
    </w:p>
    <w:p w14:paraId="4B56F205">
      <w:pPr>
        <w:spacing w:line="360" w:lineRule="auto"/>
        <w:ind w:firstLine="660" w:firstLineChars="300"/>
        <w:rPr>
          <w:rFonts w:hint="eastAsia" w:ascii="宋体" w:hAnsi="宋体" w:cs="宋体"/>
          <w:sz w:val="22"/>
          <w:szCs w:val="22"/>
        </w:rPr>
      </w:pPr>
      <w:r>
        <w:rPr>
          <w:rFonts w:hint="eastAsia" w:ascii="宋体" w:hAnsi="宋体" w:cs="宋体"/>
          <w:sz w:val="22"/>
          <w:szCs w:val="22"/>
        </w:rPr>
        <w:t>1.1.4.6  基准日期：除合同条款专用部分另有约定外，指投标截止时间前 28 天的日期。</w:t>
      </w:r>
    </w:p>
    <w:p w14:paraId="5A9AC344">
      <w:pPr>
        <w:spacing w:line="360" w:lineRule="auto"/>
        <w:ind w:firstLine="660" w:firstLineChars="300"/>
        <w:rPr>
          <w:rFonts w:hint="eastAsia" w:ascii="宋体" w:hAnsi="宋体" w:cs="宋体"/>
          <w:sz w:val="22"/>
          <w:szCs w:val="22"/>
        </w:rPr>
      </w:pPr>
      <w:r>
        <w:rPr>
          <w:rFonts w:hint="eastAsia" w:ascii="宋体" w:hAnsi="宋体" w:cs="宋体"/>
          <w:sz w:val="22"/>
          <w:szCs w:val="22"/>
        </w:rPr>
        <w:t>1.1.4.7  天：除特别指明外，指日历天。合同中按天计算时间的，开始当天不计入，从次日开始计算。期限最后一天的截止时间为当天 24:00。</w:t>
      </w:r>
    </w:p>
    <w:p w14:paraId="1427BCA5">
      <w:pPr>
        <w:spacing w:line="360" w:lineRule="auto"/>
        <w:ind w:firstLine="660" w:firstLineChars="300"/>
        <w:rPr>
          <w:rFonts w:hint="eastAsia" w:ascii="宋体" w:hAnsi="宋体" w:cs="宋体"/>
          <w:sz w:val="22"/>
          <w:szCs w:val="22"/>
        </w:rPr>
      </w:pPr>
      <w:r>
        <w:rPr>
          <w:rFonts w:hint="eastAsia" w:ascii="宋体" w:hAnsi="宋体" w:cs="宋体"/>
          <w:sz w:val="22"/>
          <w:szCs w:val="22"/>
        </w:rPr>
        <w:t>1.1.4.8  保修期：是根据现行有关法律规定，在合同条款第 19.7 款中约定的由承包人负责对合同约定的保修范围内发生的质量问题履行保修义务并对造成的损失承担赔偿责任的期限。</w:t>
      </w:r>
    </w:p>
    <w:p w14:paraId="5DD5B5FC">
      <w:pPr>
        <w:spacing w:line="360" w:lineRule="auto"/>
        <w:ind w:firstLine="480" w:firstLineChars="200"/>
        <w:rPr>
          <w:rFonts w:hint="eastAsia" w:ascii="宋体" w:hAnsi="宋体" w:cs="宋体"/>
          <w:sz w:val="24"/>
        </w:rPr>
      </w:pPr>
      <w:r>
        <w:rPr>
          <w:rFonts w:hint="eastAsia" w:ascii="宋体" w:hAnsi="宋体" w:cs="宋体"/>
          <w:sz w:val="24"/>
        </w:rPr>
        <w:t>1.1.5  合同价格和费用</w:t>
      </w:r>
    </w:p>
    <w:p w14:paraId="54C89E17">
      <w:pPr>
        <w:spacing w:line="360" w:lineRule="auto"/>
        <w:ind w:firstLine="660" w:firstLineChars="300"/>
        <w:rPr>
          <w:rFonts w:hint="eastAsia" w:ascii="宋体" w:hAnsi="宋体" w:cs="宋体"/>
          <w:sz w:val="22"/>
          <w:szCs w:val="22"/>
        </w:rPr>
      </w:pPr>
      <w:r>
        <w:rPr>
          <w:rFonts w:hint="eastAsia" w:ascii="宋体" w:hAnsi="宋体" w:cs="宋体"/>
          <w:sz w:val="22"/>
          <w:szCs w:val="22"/>
        </w:rPr>
        <w:t>1.1.5.1  签约合同价：指签定合同时合同协议书中写明的，包括了暂列金额、暂估价的合同总金额。</w:t>
      </w:r>
    </w:p>
    <w:p w14:paraId="40FAAE10">
      <w:pPr>
        <w:spacing w:line="360" w:lineRule="auto"/>
        <w:ind w:firstLine="660" w:firstLineChars="300"/>
        <w:rPr>
          <w:rFonts w:hint="eastAsia" w:ascii="宋体" w:hAnsi="宋体" w:cs="宋体"/>
          <w:sz w:val="22"/>
          <w:szCs w:val="22"/>
        </w:rPr>
      </w:pPr>
      <w:r>
        <w:rPr>
          <w:rFonts w:hint="eastAsia" w:ascii="宋体" w:hAnsi="宋体" w:cs="宋体"/>
          <w:sz w:val="22"/>
          <w:szCs w:val="22"/>
        </w:rPr>
        <w:t>1.1.5.2  合同价格：指承包人按合同约定完成了包括缺陷责任期内的全部承包工作后，发包人应付给承包人的金额，包括在履行合同过程中按合同约定进行的变更和调整。</w:t>
      </w:r>
    </w:p>
    <w:p w14:paraId="29E002B6">
      <w:pPr>
        <w:spacing w:line="360" w:lineRule="auto"/>
        <w:ind w:firstLine="660" w:firstLineChars="300"/>
        <w:rPr>
          <w:rFonts w:hint="eastAsia" w:ascii="宋体" w:hAnsi="宋体" w:cs="宋体"/>
          <w:sz w:val="22"/>
          <w:szCs w:val="22"/>
        </w:rPr>
      </w:pPr>
      <w:r>
        <w:rPr>
          <w:rFonts w:hint="eastAsia" w:ascii="宋体" w:hAnsi="宋体" w:cs="宋体"/>
          <w:sz w:val="22"/>
          <w:szCs w:val="22"/>
        </w:rPr>
        <w:t>1.1.5.3  费用：指为履行合同所发生的或将要发生的所有合理开支，包括管理费和应分摊的其他费用，但不包括利润。</w:t>
      </w:r>
    </w:p>
    <w:p w14:paraId="64F52A65">
      <w:pPr>
        <w:spacing w:line="360" w:lineRule="auto"/>
        <w:ind w:firstLine="660" w:firstLineChars="300"/>
        <w:rPr>
          <w:rFonts w:hint="eastAsia" w:ascii="宋体" w:hAnsi="宋体" w:cs="宋体"/>
          <w:sz w:val="22"/>
          <w:szCs w:val="22"/>
        </w:rPr>
      </w:pPr>
      <w:r>
        <w:rPr>
          <w:rFonts w:hint="eastAsia" w:ascii="宋体" w:hAnsi="宋体" w:cs="宋体"/>
          <w:sz w:val="22"/>
          <w:szCs w:val="22"/>
        </w:rPr>
        <w:t>1.1.5.4  暂列金额：指合同清单中所列的暂列金额，用于在签订协议书时尚未确定或不可预见变更的施工及其所需材料、服务等的金额，包括以计日工方式支付的金额。</w:t>
      </w:r>
    </w:p>
    <w:p w14:paraId="2380A083">
      <w:pPr>
        <w:spacing w:line="360" w:lineRule="auto"/>
        <w:ind w:firstLine="660" w:firstLineChars="300"/>
        <w:rPr>
          <w:rFonts w:hint="eastAsia" w:ascii="宋体" w:hAnsi="宋体" w:cs="宋体"/>
          <w:sz w:val="22"/>
          <w:szCs w:val="22"/>
        </w:rPr>
      </w:pPr>
      <w:r>
        <w:rPr>
          <w:rFonts w:hint="eastAsia" w:ascii="宋体" w:hAnsi="宋体" w:cs="宋体"/>
          <w:sz w:val="22"/>
          <w:szCs w:val="22"/>
        </w:rPr>
        <w:t>1.1.5.5  暂估价：指发包人在工程量清单中给定的用于支付必然发生但暂时不能确定价格的材料以及专业工程的金额。</w:t>
      </w:r>
    </w:p>
    <w:p w14:paraId="7D5863C9">
      <w:pPr>
        <w:spacing w:line="360" w:lineRule="auto"/>
        <w:ind w:firstLine="660" w:firstLineChars="300"/>
        <w:rPr>
          <w:rFonts w:hint="eastAsia" w:ascii="宋体" w:hAnsi="宋体" w:cs="宋体"/>
          <w:sz w:val="22"/>
          <w:szCs w:val="22"/>
        </w:rPr>
      </w:pPr>
      <w:r>
        <w:rPr>
          <w:rFonts w:hint="eastAsia" w:ascii="宋体" w:hAnsi="宋体" w:cs="宋体"/>
          <w:sz w:val="22"/>
          <w:szCs w:val="22"/>
        </w:rPr>
        <w:t>1.1.5.6  计日工：指对零星工作采取的一种计价方式，按合同中的计日工项目及其单价计价付款。</w:t>
      </w:r>
    </w:p>
    <w:p w14:paraId="6B6D36AD">
      <w:pPr>
        <w:spacing w:line="360" w:lineRule="auto"/>
        <w:ind w:firstLine="660" w:firstLineChars="300"/>
        <w:rPr>
          <w:rFonts w:hint="eastAsia" w:ascii="宋体" w:hAnsi="宋体" w:cs="宋体"/>
          <w:sz w:val="22"/>
          <w:szCs w:val="22"/>
        </w:rPr>
      </w:pPr>
      <w:r>
        <w:rPr>
          <w:rFonts w:hint="eastAsia" w:ascii="宋体" w:hAnsi="宋体" w:cs="宋体"/>
          <w:sz w:val="22"/>
          <w:szCs w:val="22"/>
        </w:rPr>
        <w:t>1.1.5.7  工程量清单缺陷：指招标工程量清单的分部分项工程项目清单中所列的清单项目与对应的签约图纸及签约规范的清单项目在列项、项目特征、工程数量上存在的差异。 包括工程量清单多列项、错漏项,项目特征不符、工程数量偏差及其他同类。</w:t>
      </w:r>
    </w:p>
    <w:p w14:paraId="0F28AD7E">
      <w:pPr>
        <w:spacing w:line="360" w:lineRule="auto"/>
        <w:ind w:firstLine="660" w:firstLineChars="300"/>
        <w:rPr>
          <w:rFonts w:hint="eastAsia" w:ascii="宋体" w:hAnsi="宋体" w:cs="宋体"/>
          <w:sz w:val="22"/>
          <w:szCs w:val="22"/>
        </w:rPr>
      </w:pPr>
      <w:r>
        <w:rPr>
          <w:rFonts w:hint="eastAsia" w:ascii="宋体" w:hAnsi="宋体" w:cs="宋体"/>
          <w:sz w:val="22"/>
          <w:szCs w:val="22"/>
        </w:rPr>
        <w:t>1.1.5.8  质量保证金（或称保留金）：指按第 17.4.1 项约定用于保证在缺陷责任期内履行缺陷修复义务的金额。</w:t>
      </w:r>
    </w:p>
    <w:p w14:paraId="6A7F0B48">
      <w:pPr>
        <w:spacing w:line="360" w:lineRule="auto"/>
        <w:ind w:firstLine="480" w:firstLineChars="200"/>
        <w:rPr>
          <w:rFonts w:hint="eastAsia" w:ascii="宋体" w:hAnsi="宋体" w:cs="宋体"/>
          <w:sz w:val="24"/>
        </w:rPr>
      </w:pPr>
      <w:r>
        <w:rPr>
          <w:rFonts w:hint="eastAsia" w:ascii="宋体" w:hAnsi="宋体" w:cs="宋体"/>
          <w:sz w:val="24"/>
        </w:rPr>
        <w:t>1.1.6  书面形式</w:t>
      </w:r>
    </w:p>
    <w:p w14:paraId="2C2C994E">
      <w:pPr>
        <w:spacing w:line="360" w:lineRule="auto"/>
        <w:ind w:firstLine="660" w:firstLineChars="300"/>
        <w:rPr>
          <w:rFonts w:hint="eastAsia" w:ascii="宋体" w:hAnsi="宋体" w:cs="宋体"/>
          <w:sz w:val="22"/>
          <w:szCs w:val="22"/>
        </w:rPr>
      </w:pPr>
      <w:r>
        <w:rPr>
          <w:rFonts w:hint="eastAsia" w:ascii="宋体" w:hAnsi="宋体" w:cs="宋体"/>
          <w:sz w:val="22"/>
          <w:szCs w:val="22"/>
        </w:rPr>
        <w:t>书面形式：指合同文件、信函、 电报、传真等可以有形地表现所载内容的形式。</w:t>
      </w:r>
    </w:p>
    <w:p w14:paraId="25A01B0B">
      <w:pPr>
        <w:spacing w:line="360" w:lineRule="auto"/>
        <w:ind w:firstLine="480" w:firstLineChars="200"/>
        <w:rPr>
          <w:rFonts w:hint="eastAsia" w:ascii="宋体" w:hAnsi="宋体" w:cs="宋体"/>
          <w:sz w:val="24"/>
        </w:rPr>
      </w:pPr>
      <w:r>
        <w:rPr>
          <w:rFonts w:hint="eastAsia" w:ascii="宋体" w:hAnsi="宋体" w:cs="宋体"/>
          <w:sz w:val="24"/>
        </w:rPr>
        <w:t>1.1.7  争议评审委员会（或机构）</w:t>
      </w:r>
    </w:p>
    <w:p w14:paraId="71728F9F">
      <w:pPr>
        <w:spacing w:line="360" w:lineRule="auto"/>
        <w:ind w:firstLine="660" w:firstLineChars="300"/>
        <w:rPr>
          <w:rFonts w:hint="eastAsia" w:ascii="宋体" w:hAnsi="宋体" w:cs="宋体"/>
          <w:sz w:val="22"/>
          <w:szCs w:val="22"/>
        </w:rPr>
      </w:pPr>
      <w:r>
        <w:rPr>
          <w:rFonts w:hint="eastAsia" w:ascii="宋体" w:hAnsi="宋体" w:cs="宋体"/>
          <w:sz w:val="22"/>
          <w:szCs w:val="22"/>
        </w:rPr>
        <w:t>争议评审委员会（或机构）：是由发包人和承包人共同聘请的人员组成的独立、公正的第三方临时性组织，其组成人数为单数。争议评审委员会（或机构）负责对发包人和（或）承包人提请进行评审的本合同项下的争议进行评审并在规定的期限内给出评审意见，合同双 方在规定的期限内均未对评审意见提出异议时，评审意见对合同双方有最终约束力。发包人和承包人应当分别与接受聘请的争议评审专家签订聘用协议，就评审的争议范围、评审意见 效力等必要事项做出约定。</w:t>
      </w:r>
    </w:p>
    <w:p w14:paraId="7AE44494">
      <w:pPr>
        <w:spacing w:line="360" w:lineRule="auto"/>
        <w:ind w:firstLine="480" w:firstLineChars="200"/>
        <w:rPr>
          <w:rFonts w:hint="eastAsia" w:ascii="宋体" w:hAnsi="宋体" w:cs="宋体"/>
          <w:sz w:val="24"/>
        </w:rPr>
      </w:pPr>
      <w:r>
        <w:rPr>
          <w:rFonts w:hint="eastAsia" w:ascii="宋体" w:hAnsi="宋体" w:cs="宋体"/>
          <w:sz w:val="24"/>
        </w:rPr>
        <w:t>1.1.8  其他需要补充的内容</w:t>
      </w:r>
    </w:p>
    <w:p w14:paraId="1BBE6A5C">
      <w:pPr>
        <w:spacing w:line="360" w:lineRule="auto"/>
        <w:ind w:firstLine="660" w:firstLineChars="300"/>
        <w:rPr>
          <w:rFonts w:hint="eastAsia" w:ascii="宋体" w:hAnsi="宋体" w:cs="宋体"/>
          <w:sz w:val="22"/>
          <w:szCs w:val="22"/>
        </w:rPr>
      </w:pPr>
      <w:r>
        <w:rPr>
          <w:rFonts w:hint="eastAsia" w:ascii="宋体" w:hAnsi="宋体" w:cs="宋体"/>
          <w:sz w:val="22"/>
          <w:szCs w:val="22"/>
        </w:rPr>
        <w:t>1.1.8.1  签约图纸：指招标文件提供的设计文件和招标人在招标过程中发出的有关设计文件的补充、澄清或修改文件。</w:t>
      </w:r>
    </w:p>
    <w:p w14:paraId="4D61A8E6">
      <w:pPr>
        <w:spacing w:line="360" w:lineRule="auto"/>
        <w:ind w:firstLine="660" w:firstLineChars="300"/>
        <w:rPr>
          <w:rFonts w:hint="eastAsia" w:ascii="宋体" w:hAnsi="宋体" w:cs="宋体"/>
          <w:sz w:val="22"/>
          <w:szCs w:val="22"/>
        </w:rPr>
      </w:pPr>
      <w:r>
        <w:rPr>
          <w:rFonts w:hint="eastAsia" w:ascii="宋体" w:hAnsi="宋体" w:cs="宋体"/>
          <w:sz w:val="22"/>
          <w:szCs w:val="22"/>
        </w:rPr>
        <w:t>1.1.8.2  签约规范：指招标文件提供的说明合同工程的材料标准或要求、工程技术标准、施工验收标准等的技术要求文件，和招标人在招标过程中发出的有关技术要求文件的补充、澄清或修改文件。</w:t>
      </w:r>
    </w:p>
    <w:p w14:paraId="7DD2F43D">
      <w:pPr>
        <w:spacing w:line="360" w:lineRule="auto"/>
        <w:ind w:firstLine="660" w:firstLineChars="300"/>
        <w:rPr>
          <w:rFonts w:hint="eastAsia" w:ascii="宋体" w:hAnsi="宋体" w:cs="宋体"/>
          <w:sz w:val="22"/>
          <w:szCs w:val="22"/>
        </w:rPr>
      </w:pPr>
      <w:r>
        <w:rPr>
          <w:rFonts w:hint="eastAsia" w:ascii="宋体" w:hAnsi="宋体" w:cs="宋体"/>
          <w:sz w:val="22"/>
          <w:szCs w:val="22"/>
        </w:rPr>
        <w:t>1.1.8.3  已标价工程量清单：指构成合同文件组成部分的由承包人在投标时按照规定的格式和要求填写并标明价格的工程量清单。</w:t>
      </w:r>
    </w:p>
    <w:p w14:paraId="547EB4EC">
      <w:pPr>
        <w:spacing w:line="360" w:lineRule="auto"/>
        <w:ind w:firstLine="660" w:firstLineChars="300"/>
        <w:rPr>
          <w:rFonts w:hint="eastAsia" w:ascii="宋体" w:hAnsi="宋体" w:cs="宋体"/>
          <w:sz w:val="22"/>
          <w:szCs w:val="22"/>
        </w:rPr>
      </w:pPr>
      <w:r>
        <w:rPr>
          <w:rFonts w:hint="eastAsia" w:ascii="宋体" w:hAnsi="宋体" w:cs="宋体"/>
          <w:sz w:val="22"/>
          <w:szCs w:val="22"/>
        </w:rPr>
        <w:t>1.1.8.4  合同单价：承包人在已标价工程量清单内所报的综合单价,以及承包人投标报价澄清或说明中获得发包人接纳的修正综合单价。</w:t>
      </w:r>
    </w:p>
    <w:p w14:paraId="32E51400">
      <w:pPr>
        <w:spacing w:line="360" w:lineRule="auto"/>
        <w:ind w:firstLine="660" w:firstLineChars="300"/>
        <w:rPr>
          <w:rFonts w:hint="eastAsia" w:ascii="宋体" w:hAnsi="宋体" w:cs="宋体"/>
          <w:sz w:val="22"/>
          <w:szCs w:val="22"/>
        </w:rPr>
      </w:pPr>
      <w:r>
        <w:rPr>
          <w:rFonts w:hint="eastAsia" w:ascii="宋体" w:hAnsi="宋体" w:cs="宋体"/>
          <w:sz w:val="22"/>
          <w:szCs w:val="22"/>
        </w:rPr>
        <w:t>1.1.8.5  其他需要补充的内容见合同条款专用部分。</w:t>
      </w:r>
    </w:p>
    <w:p w14:paraId="7F0D379D">
      <w:pPr>
        <w:spacing w:line="360" w:lineRule="auto"/>
        <w:rPr>
          <w:rFonts w:hint="eastAsia" w:ascii="宋体" w:hAnsi="宋体" w:cs="宋体"/>
          <w:sz w:val="24"/>
        </w:rPr>
      </w:pPr>
      <w:r>
        <w:rPr>
          <w:rFonts w:hint="eastAsia" w:ascii="宋体" w:hAnsi="宋体" w:cs="宋体"/>
          <w:sz w:val="24"/>
        </w:rPr>
        <w:t>1.2  语言文字</w:t>
      </w:r>
    </w:p>
    <w:p w14:paraId="1EA6468A">
      <w:pPr>
        <w:spacing w:line="360" w:lineRule="auto"/>
        <w:ind w:firstLine="660" w:firstLineChars="300"/>
        <w:rPr>
          <w:rFonts w:hint="eastAsia" w:ascii="宋体" w:hAnsi="宋体" w:cs="宋体"/>
          <w:sz w:val="22"/>
          <w:szCs w:val="22"/>
        </w:rPr>
      </w:pPr>
      <w:r>
        <w:rPr>
          <w:rFonts w:hint="eastAsia" w:ascii="宋体" w:hAnsi="宋体" w:cs="宋体"/>
          <w:sz w:val="22"/>
          <w:szCs w:val="22"/>
        </w:rPr>
        <w:t>除专用术语外，合同使用的语言文字为中文。必要时专用术语应附有中文注释。</w:t>
      </w:r>
    </w:p>
    <w:p w14:paraId="52000A93">
      <w:pPr>
        <w:spacing w:line="360" w:lineRule="auto"/>
        <w:rPr>
          <w:rFonts w:hint="eastAsia" w:ascii="宋体" w:hAnsi="宋体" w:cs="宋体"/>
          <w:sz w:val="24"/>
        </w:rPr>
      </w:pPr>
      <w:r>
        <w:rPr>
          <w:rFonts w:hint="eastAsia" w:ascii="宋体" w:hAnsi="宋体" w:cs="宋体"/>
          <w:sz w:val="24"/>
        </w:rPr>
        <w:t>1.3  法律</w:t>
      </w:r>
    </w:p>
    <w:p w14:paraId="684DC4B0">
      <w:pPr>
        <w:spacing w:line="360" w:lineRule="auto"/>
        <w:ind w:firstLine="660" w:firstLineChars="300"/>
        <w:rPr>
          <w:rFonts w:hint="eastAsia" w:ascii="宋体" w:hAnsi="宋体" w:cs="宋体"/>
          <w:sz w:val="22"/>
          <w:szCs w:val="22"/>
        </w:rPr>
      </w:pPr>
      <w:r>
        <w:rPr>
          <w:rFonts w:hint="eastAsia" w:ascii="宋体" w:hAnsi="宋体" w:cs="宋体"/>
          <w:sz w:val="22"/>
          <w:szCs w:val="22"/>
        </w:rPr>
        <w:t>适用于合同的法律包括中华人民共和国法律、行政法规、部门规章，以及工程所在地的地方法规、 自治条例、单行条例和地方政府规章。</w:t>
      </w:r>
    </w:p>
    <w:p w14:paraId="581075CF">
      <w:pPr>
        <w:spacing w:line="360" w:lineRule="auto"/>
        <w:rPr>
          <w:rFonts w:hint="eastAsia" w:ascii="宋体" w:hAnsi="宋体" w:cs="宋体"/>
          <w:sz w:val="24"/>
        </w:rPr>
      </w:pPr>
      <w:r>
        <w:rPr>
          <w:rFonts w:hint="eastAsia" w:ascii="宋体" w:hAnsi="宋体" w:cs="宋体"/>
          <w:sz w:val="24"/>
        </w:rPr>
        <w:t>1.4  合同文件的优先顺序</w:t>
      </w:r>
    </w:p>
    <w:p w14:paraId="6B9DEF2A">
      <w:pPr>
        <w:spacing w:line="360" w:lineRule="auto"/>
        <w:ind w:firstLine="660" w:firstLineChars="300"/>
        <w:rPr>
          <w:rFonts w:hint="eastAsia" w:ascii="宋体" w:hAnsi="宋体" w:cs="宋体"/>
          <w:sz w:val="22"/>
          <w:szCs w:val="22"/>
        </w:rPr>
      </w:pPr>
      <w:r>
        <w:rPr>
          <w:rFonts w:hint="eastAsia" w:ascii="宋体" w:hAnsi="宋体" w:cs="宋体"/>
          <w:sz w:val="22"/>
          <w:szCs w:val="22"/>
        </w:rPr>
        <w:t>组成合同的各项文件应互相解释，互为说明。除合同条款专用部分另有约定外，解释合同文件的优先顺序如下：</w:t>
      </w:r>
    </w:p>
    <w:p w14:paraId="4BB1A230">
      <w:pPr>
        <w:spacing w:line="360" w:lineRule="auto"/>
        <w:ind w:firstLine="660" w:firstLineChars="300"/>
        <w:rPr>
          <w:rFonts w:hint="eastAsia" w:ascii="宋体" w:hAnsi="宋体" w:cs="宋体"/>
          <w:sz w:val="22"/>
          <w:szCs w:val="22"/>
        </w:rPr>
      </w:pPr>
      <w:r>
        <w:rPr>
          <w:rFonts w:hint="eastAsia" w:ascii="宋体" w:hAnsi="宋体" w:cs="宋体"/>
          <w:sz w:val="22"/>
          <w:szCs w:val="22"/>
        </w:rPr>
        <w:t>（1）合同协议书；</w:t>
      </w:r>
    </w:p>
    <w:p w14:paraId="78F0D74E">
      <w:pPr>
        <w:spacing w:line="360" w:lineRule="auto"/>
        <w:ind w:firstLine="660" w:firstLineChars="300"/>
        <w:rPr>
          <w:rFonts w:hint="eastAsia" w:ascii="宋体" w:hAnsi="宋体" w:cs="宋体"/>
          <w:sz w:val="22"/>
          <w:szCs w:val="22"/>
        </w:rPr>
      </w:pPr>
      <w:r>
        <w:rPr>
          <w:rFonts w:hint="eastAsia" w:ascii="宋体" w:hAnsi="宋体" w:cs="宋体"/>
          <w:sz w:val="22"/>
          <w:szCs w:val="22"/>
        </w:rPr>
        <w:t>（2）中标通知书；</w:t>
      </w:r>
    </w:p>
    <w:p w14:paraId="18ABAE9A">
      <w:pPr>
        <w:spacing w:line="360" w:lineRule="auto"/>
        <w:ind w:firstLine="660" w:firstLineChars="300"/>
        <w:rPr>
          <w:rFonts w:hint="eastAsia" w:ascii="宋体" w:hAnsi="宋体" w:cs="宋体"/>
          <w:sz w:val="22"/>
          <w:szCs w:val="22"/>
        </w:rPr>
      </w:pPr>
      <w:r>
        <w:rPr>
          <w:rFonts w:hint="eastAsia" w:ascii="宋体" w:hAnsi="宋体" w:cs="宋体"/>
          <w:sz w:val="22"/>
          <w:szCs w:val="22"/>
        </w:rPr>
        <w:t>（3）投标函及投标函附录；</w:t>
      </w:r>
    </w:p>
    <w:p w14:paraId="0081C1B1">
      <w:pPr>
        <w:spacing w:line="360" w:lineRule="auto"/>
        <w:ind w:firstLine="660" w:firstLineChars="300"/>
        <w:rPr>
          <w:rFonts w:hint="eastAsia" w:ascii="宋体" w:hAnsi="宋体" w:cs="宋体"/>
          <w:sz w:val="22"/>
          <w:szCs w:val="22"/>
        </w:rPr>
      </w:pPr>
      <w:r>
        <w:rPr>
          <w:rFonts w:hint="eastAsia" w:ascii="宋体" w:hAnsi="宋体" w:cs="宋体"/>
          <w:sz w:val="22"/>
          <w:szCs w:val="22"/>
        </w:rPr>
        <w:t>（4）合同条款专用部分；</w:t>
      </w:r>
    </w:p>
    <w:p w14:paraId="6AEAFAFE">
      <w:pPr>
        <w:spacing w:line="360" w:lineRule="auto"/>
        <w:ind w:firstLine="660" w:firstLineChars="300"/>
        <w:rPr>
          <w:rFonts w:hint="eastAsia" w:ascii="宋体" w:hAnsi="宋体" w:cs="宋体"/>
          <w:sz w:val="22"/>
          <w:szCs w:val="22"/>
        </w:rPr>
      </w:pPr>
      <w:r>
        <w:rPr>
          <w:rFonts w:hint="eastAsia" w:ascii="宋体" w:hAnsi="宋体" w:cs="宋体"/>
          <w:sz w:val="22"/>
          <w:szCs w:val="22"/>
        </w:rPr>
        <w:t>（5）合同条款通用部分；</w:t>
      </w:r>
    </w:p>
    <w:p w14:paraId="6112A4F1">
      <w:pPr>
        <w:spacing w:line="360" w:lineRule="auto"/>
        <w:ind w:firstLine="660" w:firstLineChars="300"/>
        <w:rPr>
          <w:rFonts w:hint="eastAsia" w:ascii="宋体" w:hAnsi="宋体" w:cs="宋体"/>
          <w:sz w:val="22"/>
          <w:szCs w:val="22"/>
        </w:rPr>
      </w:pPr>
      <w:r>
        <w:rPr>
          <w:rFonts w:hint="eastAsia" w:ascii="宋体" w:hAnsi="宋体" w:cs="宋体"/>
          <w:sz w:val="22"/>
          <w:szCs w:val="22"/>
        </w:rPr>
        <w:t>（6）技术标准和要求；</w:t>
      </w:r>
    </w:p>
    <w:p w14:paraId="67C76DCE">
      <w:pPr>
        <w:spacing w:line="360" w:lineRule="auto"/>
        <w:ind w:firstLine="660" w:firstLineChars="300"/>
        <w:rPr>
          <w:rFonts w:hint="eastAsia" w:ascii="宋体" w:hAnsi="宋体" w:cs="宋体"/>
          <w:sz w:val="22"/>
          <w:szCs w:val="22"/>
        </w:rPr>
      </w:pPr>
      <w:r>
        <w:rPr>
          <w:rFonts w:hint="eastAsia" w:ascii="宋体" w:hAnsi="宋体" w:cs="宋体"/>
          <w:sz w:val="22"/>
          <w:szCs w:val="22"/>
        </w:rPr>
        <w:t>（7）图纸；</w:t>
      </w:r>
    </w:p>
    <w:p w14:paraId="72CDB46F">
      <w:pPr>
        <w:spacing w:line="360" w:lineRule="auto"/>
        <w:ind w:firstLine="660" w:firstLineChars="300"/>
        <w:rPr>
          <w:rFonts w:hint="eastAsia" w:ascii="宋体" w:hAnsi="宋体" w:cs="宋体"/>
          <w:sz w:val="22"/>
          <w:szCs w:val="22"/>
        </w:rPr>
      </w:pPr>
      <w:r>
        <w:rPr>
          <w:rFonts w:hint="eastAsia" w:ascii="宋体" w:hAnsi="宋体" w:cs="宋体"/>
          <w:sz w:val="22"/>
          <w:szCs w:val="22"/>
        </w:rPr>
        <w:t>（8）合同清单；</w:t>
      </w:r>
    </w:p>
    <w:p w14:paraId="2701F5DC">
      <w:pPr>
        <w:spacing w:line="360" w:lineRule="auto"/>
        <w:ind w:firstLine="660" w:firstLineChars="300"/>
        <w:rPr>
          <w:rFonts w:hint="eastAsia" w:ascii="宋体" w:hAnsi="宋体" w:cs="宋体"/>
          <w:sz w:val="22"/>
          <w:szCs w:val="22"/>
        </w:rPr>
      </w:pPr>
      <w:r>
        <w:rPr>
          <w:rFonts w:hint="eastAsia" w:ascii="宋体" w:hAnsi="宋体" w:cs="宋体"/>
          <w:sz w:val="22"/>
          <w:szCs w:val="22"/>
        </w:rPr>
        <w:t>（9）其他合同文件。</w:t>
      </w:r>
    </w:p>
    <w:p w14:paraId="4EE6EF3A">
      <w:pPr>
        <w:spacing w:line="360" w:lineRule="auto"/>
        <w:ind w:firstLine="660" w:firstLineChars="300"/>
        <w:rPr>
          <w:rFonts w:hint="eastAsia" w:ascii="宋体" w:hAnsi="宋体" w:cs="宋体"/>
          <w:sz w:val="22"/>
          <w:szCs w:val="22"/>
        </w:rPr>
      </w:pPr>
      <w:r>
        <w:rPr>
          <w:rFonts w:hint="eastAsia" w:ascii="宋体" w:hAnsi="宋体" w:cs="宋体"/>
          <w:sz w:val="22"/>
          <w:szCs w:val="22"/>
        </w:rPr>
        <w:t>附注：构成合同文件的图纸与技术标准和要求之间有矛盾或者不一致的，应以其中要求较严格的标准为准。</w:t>
      </w:r>
    </w:p>
    <w:p w14:paraId="6E901CAE">
      <w:pPr>
        <w:spacing w:line="360" w:lineRule="auto"/>
        <w:ind w:firstLine="660" w:firstLineChars="300"/>
        <w:rPr>
          <w:rFonts w:hint="eastAsia" w:ascii="宋体" w:hAnsi="宋体" w:cs="宋体"/>
          <w:sz w:val="22"/>
          <w:szCs w:val="22"/>
        </w:rPr>
      </w:pPr>
      <w:r>
        <w:rPr>
          <w:rFonts w:hint="eastAsia" w:ascii="宋体" w:hAnsi="宋体" w:cs="宋体"/>
          <w:sz w:val="22"/>
          <w:szCs w:val="22"/>
        </w:rPr>
        <w:t>合同双方在合同履行过程中签署的不背离合同实质性内容的补充协议，应当视为合同文件的有效组成部分，其解释顺序视其内容与其他合同文件的相互关系而定。</w:t>
      </w:r>
    </w:p>
    <w:p w14:paraId="3822783A">
      <w:pPr>
        <w:spacing w:line="360" w:lineRule="auto"/>
        <w:rPr>
          <w:rFonts w:hint="eastAsia" w:ascii="宋体" w:hAnsi="宋体" w:cs="宋体"/>
          <w:sz w:val="24"/>
        </w:rPr>
      </w:pPr>
      <w:r>
        <w:rPr>
          <w:rFonts w:hint="eastAsia" w:ascii="宋体" w:hAnsi="宋体" w:cs="宋体"/>
          <w:sz w:val="24"/>
        </w:rPr>
        <w:t>1.5  合同协议书</w:t>
      </w:r>
    </w:p>
    <w:p w14:paraId="3AB1CD15">
      <w:pPr>
        <w:spacing w:line="360" w:lineRule="auto"/>
        <w:ind w:firstLine="660" w:firstLineChars="300"/>
        <w:rPr>
          <w:rFonts w:hint="eastAsia" w:ascii="宋体" w:hAnsi="宋体" w:cs="宋体"/>
          <w:sz w:val="22"/>
          <w:szCs w:val="22"/>
        </w:rPr>
      </w:pPr>
      <w:r>
        <w:rPr>
          <w:rFonts w:hint="eastAsia" w:ascii="宋体" w:hAnsi="宋体" w:cs="宋体"/>
          <w:sz w:val="22"/>
          <w:szCs w:val="22"/>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委托代理人在合同协议书上签字并盖单位章后，合同生效。合同生效的条件见合同条款专用部分。</w:t>
      </w:r>
    </w:p>
    <w:p w14:paraId="57569F31">
      <w:pPr>
        <w:spacing w:line="360" w:lineRule="auto"/>
        <w:rPr>
          <w:rFonts w:hint="eastAsia" w:ascii="宋体" w:hAnsi="宋体" w:cs="宋体"/>
          <w:sz w:val="24"/>
        </w:rPr>
      </w:pPr>
      <w:r>
        <w:rPr>
          <w:rFonts w:hint="eastAsia" w:ascii="宋体" w:hAnsi="宋体" w:cs="宋体"/>
          <w:sz w:val="24"/>
        </w:rPr>
        <w:t>1.6  图纸和承包人文件</w:t>
      </w:r>
    </w:p>
    <w:p w14:paraId="699846AC">
      <w:pPr>
        <w:spacing w:line="360" w:lineRule="auto"/>
        <w:ind w:firstLine="660" w:firstLineChars="300"/>
        <w:rPr>
          <w:rFonts w:hint="eastAsia" w:ascii="宋体" w:hAnsi="宋体" w:cs="宋体"/>
          <w:sz w:val="22"/>
          <w:szCs w:val="22"/>
        </w:rPr>
      </w:pPr>
      <w:r>
        <w:rPr>
          <w:rFonts w:hint="eastAsia" w:ascii="宋体" w:hAnsi="宋体" w:cs="宋体"/>
          <w:sz w:val="22"/>
          <w:szCs w:val="22"/>
        </w:rPr>
        <w:t>1.6.1  图纸的提供</w:t>
      </w:r>
    </w:p>
    <w:p w14:paraId="104D0D7A">
      <w:pPr>
        <w:spacing w:line="360" w:lineRule="auto"/>
        <w:ind w:firstLine="660" w:firstLineChars="300"/>
        <w:rPr>
          <w:rFonts w:hint="eastAsia" w:ascii="宋体" w:hAnsi="宋体" w:cs="宋体"/>
          <w:sz w:val="22"/>
          <w:szCs w:val="22"/>
        </w:rPr>
      </w:pPr>
      <w:r>
        <w:rPr>
          <w:rFonts w:hint="eastAsia" w:ascii="宋体" w:hAnsi="宋体" w:cs="宋体"/>
          <w:sz w:val="22"/>
          <w:szCs w:val="22"/>
        </w:rPr>
        <w:t>（1）发包人按照合同约定向承包人提供图纸。发包人未按时提供图纸造成工期延误的，按第 11.3 款的约定办理。承包人需要增加图纸套数的，发包人应代为复制，复制费用由承包人承担。</w:t>
      </w:r>
    </w:p>
    <w:p w14:paraId="7981345C">
      <w:pPr>
        <w:spacing w:line="360" w:lineRule="auto"/>
        <w:ind w:firstLine="660" w:firstLineChars="300"/>
        <w:rPr>
          <w:rFonts w:hint="eastAsia" w:ascii="宋体" w:hAnsi="宋体" w:cs="宋体"/>
          <w:sz w:val="22"/>
          <w:szCs w:val="22"/>
        </w:rPr>
      </w:pPr>
      <w:r>
        <w:rPr>
          <w:rFonts w:hint="eastAsia" w:ascii="宋体" w:hAnsi="宋体" w:cs="宋体"/>
          <w:sz w:val="22"/>
          <w:szCs w:val="22"/>
        </w:rPr>
        <w:t>（2）依据合同条款专用部分第 10.1 款约定制定的合同进度计划，或依据合同条款专用部分第 10.2 款约定修订的合同进度计划，经监理人批准后 7 日内，承包人应当根据合同进度计划或合同进度计划修订和本项约定的图纸提供期限和数量，编制或者修改图纸供应计划并报送监理人，其中应当载明承包人对各最新版本图纸(包括第 1.6.3 项约定的图纸修改图) 的最迟需求时间，监理人应当在收到图纸供应计划后 7 天内批复或提出修改意见，否则该图纸供应计划视为得到批准。</w:t>
      </w:r>
    </w:p>
    <w:p w14:paraId="25B6BF49">
      <w:pPr>
        <w:spacing w:line="360" w:lineRule="auto"/>
        <w:ind w:firstLine="660" w:firstLineChars="300"/>
        <w:rPr>
          <w:rFonts w:hint="eastAsia" w:ascii="宋体" w:hAnsi="宋体" w:cs="宋体"/>
          <w:sz w:val="22"/>
          <w:szCs w:val="22"/>
        </w:rPr>
      </w:pPr>
      <w:r>
        <w:rPr>
          <w:rFonts w:hint="eastAsia" w:ascii="宋体" w:hAnsi="宋体" w:cs="宋体"/>
          <w:sz w:val="22"/>
          <w:szCs w:val="22"/>
        </w:rPr>
        <w:t>（3）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14:paraId="5315DE6D">
      <w:pPr>
        <w:spacing w:line="360" w:lineRule="auto"/>
        <w:ind w:firstLine="660" w:firstLineChars="300"/>
        <w:rPr>
          <w:rFonts w:hint="eastAsia" w:ascii="宋体" w:hAnsi="宋体" w:cs="宋体"/>
          <w:sz w:val="22"/>
          <w:szCs w:val="22"/>
        </w:rPr>
      </w:pPr>
      <w:r>
        <w:rPr>
          <w:rFonts w:hint="eastAsia" w:ascii="宋体" w:hAnsi="宋体" w:cs="宋体"/>
          <w:sz w:val="22"/>
          <w:szCs w:val="22"/>
        </w:rPr>
        <w:t>（4）承包人未按照约定的时间向监理人提交图纸供应计划,致使发包人或者监理人未能在约定的时间内提供相应图纸或者承包人未按照图纸供应计划组织施工所造成的费用增加和（或）工期延误由承包人承担。</w:t>
      </w:r>
    </w:p>
    <w:p w14:paraId="7211F2E1">
      <w:pPr>
        <w:spacing w:line="360" w:lineRule="auto"/>
        <w:ind w:firstLine="660" w:firstLineChars="300"/>
        <w:rPr>
          <w:rFonts w:hint="eastAsia" w:ascii="宋体" w:hAnsi="宋体" w:cs="宋体"/>
          <w:sz w:val="22"/>
          <w:szCs w:val="22"/>
        </w:rPr>
      </w:pPr>
      <w:r>
        <w:rPr>
          <w:rFonts w:hint="eastAsia" w:ascii="宋体" w:hAnsi="宋体" w:cs="宋体"/>
          <w:sz w:val="22"/>
          <w:szCs w:val="22"/>
        </w:rPr>
        <w:t>（5）发包人提供图纸的期限、数量和其他约定见合同条款专用部分。</w:t>
      </w:r>
    </w:p>
    <w:p w14:paraId="54EBD2B3">
      <w:pPr>
        <w:spacing w:line="360" w:lineRule="auto"/>
        <w:ind w:firstLine="660" w:firstLineChars="300"/>
        <w:rPr>
          <w:rFonts w:hint="eastAsia" w:ascii="宋体" w:hAnsi="宋体" w:cs="宋体"/>
          <w:sz w:val="22"/>
          <w:szCs w:val="22"/>
        </w:rPr>
      </w:pPr>
      <w:r>
        <w:rPr>
          <w:rFonts w:hint="eastAsia" w:ascii="宋体" w:hAnsi="宋体" w:cs="宋体"/>
          <w:sz w:val="22"/>
          <w:szCs w:val="22"/>
        </w:rPr>
        <w:t>1.6.2  承包人提供的文件</w:t>
      </w:r>
    </w:p>
    <w:p w14:paraId="345AB9D5">
      <w:pPr>
        <w:spacing w:line="360" w:lineRule="auto"/>
        <w:ind w:firstLine="660" w:firstLineChars="300"/>
        <w:rPr>
          <w:rFonts w:hint="eastAsia" w:ascii="宋体" w:hAnsi="宋体" w:cs="宋体"/>
          <w:sz w:val="22"/>
          <w:szCs w:val="22"/>
        </w:rPr>
      </w:pPr>
      <w:r>
        <w:rPr>
          <w:rFonts w:hint="eastAsia" w:ascii="宋体" w:hAnsi="宋体" w:cs="宋体"/>
          <w:sz w:val="22"/>
          <w:szCs w:val="22"/>
        </w:rPr>
        <w:t>（1） 由承包人提供的文件包括部分工程的大样图、加工图等，承包人应当按照约定的范围、数量和期限报送监理人，监理人应当在约定的期限内批复。承包人提供文件的范围、数量、期限和监理人批复期限以及其他约定见合同条款专用部分。</w:t>
      </w:r>
    </w:p>
    <w:p w14:paraId="6F2BC06B">
      <w:pPr>
        <w:spacing w:line="360" w:lineRule="auto"/>
        <w:ind w:firstLine="660" w:firstLineChars="300"/>
        <w:rPr>
          <w:rFonts w:hint="eastAsia" w:ascii="宋体" w:hAnsi="宋体" w:cs="宋体"/>
          <w:sz w:val="22"/>
          <w:szCs w:val="22"/>
        </w:rPr>
      </w:pPr>
      <w:r>
        <w:rPr>
          <w:rFonts w:hint="eastAsia" w:ascii="宋体" w:hAnsi="宋体" w:cs="宋体"/>
          <w:sz w:val="22"/>
          <w:szCs w:val="22"/>
        </w:rPr>
        <w:t>（2）除合同条款第4.1.10 项约定的由承包人提供的设计文件外，本项约定的其他应由承包人提供的文件，包括必要的加工图和大样图，均不能作为合同计量与支付的依据文件。</w:t>
      </w:r>
    </w:p>
    <w:p w14:paraId="40F797A6">
      <w:pPr>
        <w:spacing w:line="360" w:lineRule="auto"/>
        <w:ind w:firstLine="660" w:firstLineChars="300"/>
        <w:rPr>
          <w:rFonts w:hint="eastAsia" w:ascii="宋体" w:hAnsi="宋体" w:cs="宋体"/>
          <w:sz w:val="22"/>
          <w:szCs w:val="22"/>
        </w:rPr>
      </w:pPr>
      <w:r>
        <w:rPr>
          <w:rFonts w:hint="eastAsia" w:ascii="宋体" w:hAnsi="宋体" w:cs="宋体"/>
          <w:sz w:val="22"/>
          <w:szCs w:val="22"/>
        </w:rPr>
        <w:t>1.6.3  图纸的修改</w:t>
      </w:r>
    </w:p>
    <w:p w14:paraId="63E7E3EF">
      <w:pPr>
        <w:spacing w:line="360" w:lineRule="auto"/>
        <w:ind w:firstLine="660" w:firstLineChars="300"/>
        <w:rPr>
          <w:rFonts w:hint="eastAsia" w:ascii="宋体" w:hAnsi="宋体" w:cs="宋体"/>
          <w:sz w:val="22"/>
          <w:szCs w:val="22"/>
        </w:rPr>
      </w:pPr>
      <w:r>
        <w:rPr>
          <w:rFonts w:hint="eastAsia" w:ascii="宋体" w:hAnsi="宋体" w:cs="宋体"/>
          <w:sz w:val="22"/>
          <w:szCs w:val="22"/>
        </w:rPr>
        <w:t>图纸需要修改和补充的，监理人应当按照合同条款第 1.6.1（2） 目约定的有合同约束力的图纸供应计划，签发图纸修改图给承包人。承包人应按修改后的图纸施工。</w:t>
      </w:r>
    </w:p>
    <w:p w14:paraId="259DD1D8">
      <w:pPr>
        <w:spacing w:line="360" w:lineRule="auto"/>
        <w:ind w:firstLine="660" w:firstLineChars="300"/>
        <w:rPr>
          <w:rFonts w:hint="eastAsia" w:ascii="宋体" w:hAnsi="宋体" w:cs="宋体"/>
          <w:sz w:val="22"/>
          <w:szCs w:val="22"/>
        </w:rPr>
      </w:pPr>
      <w:r>
        <w:rPr>
          <w:rFonts w:hint="eastAsia" w:ascii="宋体" w:hAnsi="宋体" w:cs="宋体"/>
          <w:sz w:val="22"/>
          <w:szCs w:val="22"/>
        </w:rPr>
        <w:t>1.6.4  图纸的错误</w:t>
      </w:r>
    </w:p>
    <w:p w14:paraId="20F7437F">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承包人发现发包人提供的图纸存在明显错误或疏忽，应及时通知监理人。</w:t>
      </w:r>
    </w:p>
    <w:p w14:paraId="3BE154FE">
      <w:pPr>
        <w:spacing w:line="360" w:lineRule="auto"/>
        <w:ind w:firstLine="660" w:firstLineChars="300"/>
        <w:rPr>
          <w:rFonts w:hint="eastAsia" w:ascii="宋体" w:hAnsi="宋体" w:cs="宋体"/>
          <w:sz w:val="22"/>
          <w:szCs w:val="22"/>
        </w:rPr>
      </w:pPr>
      <w:r>
        <w:rPr>
          <w:rFonts w:hint="eastAsia" w:ascii="宋体" w:hAnsi="宋体" w:cs="宋体"/>
          <w:sz w:val="22"/>
          <w:szCs w:val="22"/>
        </w:rPr>
        <w:t>1.6.5  图纸和承包人文件的保管</w:t>
      </w:r>
    </w:p>
    <w:p w14:paraId="4E838B5F">
      <w:pPr>
        <w:spacing w:line="360" w:lineRule="auto"/>
        <w:ind w:firstLine="660" w:firstLineChars="300"/>
        <w:rPr>
          <w:rFonts w:hint="eastAsia" w:ascii="宋体" w:hAnsi="宋体" w:cs="宋体"/>
          <w:sz w:val="22"/>
          <w:szCs w:val="22"/>
        </w:rPr>
      </w:pPr>
      <w:r>
        <w:rPr>
          <w:rFonts w:hint="eastAsia" w:ascii="宋体" w:hAnsi="宋体" w:cs="宋体"/>
          <w:sz w:val="22"/>
          <w:szCs w:val="22"/>
        </w:rPr>
        <w:t>监理人和承包人均应在施工场地各保存一套完整的包含第 1.6.1 项、第 1.6.2 项、第 1.6.3 项约定内容的图纸和承包人文件。</w:t>
      </w:r>
    </w:p>
    <w:p w14:paraId="61E0B8D9">
      <w:pPr>
        <w:spacing w:line="360" w:lineRule="auto"/>
        <w:rPr>
          <w:rFonts w:hint="eastAsia" w:ascii="宋体" w:hAnsi="宋体" w:cs="宋体"/>
          <w:sz w:val="24"/>
        </w:rPr>
      </w:pPr>
      <w:r>
        <w:rPr>
          <w:rFonts w:hint="eastAsia" w:ascii="宋体" w:hAnsi="宋体" w:cs="宋体"/>
          <w:sz w:val="24"/>
        </w:rPr>
        <w:t>1.7  联络</w:t>
      </w:r>
    </w:p>
    <w:p w14:paraId="07A8D486">
      <w:pPr>
        <w:spacing w:line="360" w:lineRule="auto"/>
        <w:ind w:firstLine="660" w:firstLineChars="300"/>
        <w:rPr>
          <w:rFonts w:hint="eastAsia" w:ascii="宋体" w:hAnsi="宋体" w:cs="宋体"/>
          <w:sz w:val="22"/>
          <w:szCs w:val="22"/>
        </w:rPr>
      </w:pPr>
      <w:r>
        <w:rPr>
          <w:rFonts w:hint="eastAsia" w:ascii="宋体" w:hAnsi="宋体" w:cs="宋体"/>
          <w:sz w:val="22"/>
          <w:szCs w:val="22"/>
        </w:rPr>
        <w:t>1.7.1  与合同有关的通知、批准、证明、证书、指示、要求、请求、同意、意见、确定和决定等，均应采用书面形式。</w:t>
      </w:r>
    </w:p>
    <w:p w14:paraId="4C74F2D8">
      <w:pPr>
        <w:spacing w:line="360" w:lineRule="auto"/>
        <w:ind w:firstLine="660" w:firstLineChars="300"/>
        <w:rPr>
          <w:rFonts w:hint="eastAsia" w:ascii="宋体" w:hAnsi="宋体" w:cs="宋体"/>
          <w:sz w:val="22"/>
          <w:szCs w:val="22"/>
        </w:rPr>
      </w:pPr>
      <w:r>
        <w:rPr>
          <w:rFonts w:hint="eastAsia" w:ascii="宋体" w:hAnsi="宋体" w:cs="宋体"/>
          <w:sz w:val="22"/>
          <w:szCs w:val="22"/>
        </w:rPr>
        <w:t>1.7.2  第 1.7.1 项中的通知、批准、证明、证书、指示、要求、请求、同意、意见、确定和决定等来往函件，均应在合同约定的期限内送达指定地点和接收人，并办理签收手续。</w:t>
      </w:r>
    </w:p>
    <w:p w14:paraId="18BAA736">
      <w:pPr>
        <w:spacing w:line="360" w:lineRule="auto"/>
        <w:ind w:firstLine="660" w:firstLineChars="300"/>
        <w:rPr>
          <w:rFonts w:hint="eastAsia" w:ascii="宋体" w:hAnsi="宋体" w:cs="宋体"/>
          <w:sz w:val="22"/>
          <w:szCs w:val="22"/>
        </w:rPr>
      </w:pPr>
      <w:r>
        <w:rPr>
          <w:rFonts w:hint="eastAsia" w:ascii="宋体" w:hAnsi="宋体" w:cs="宋体"/>
          <w:sz w:val="22"/>
          <w:szCs w:val="22"/>
        </w:rPr>
        <w:t>（1）联络来往信函的送达期限：合同约定了发出期限的，送达期限为合同约定的发出期限后的 24 小时内；合同约定了通知、提供或者报送期限的，通知、提供或者报送期限即为送达期限。</w:t>
      </w:r>
    </w:p>
    <w:p w14:paraId="0E3F6E96">
      <w:pPr>
        <w:spacing w:line="360" w:lineRule="auto"/>
        <w:ind w:firstLine="660" w:firstLineChars="300"/>
        <w:rPr>
          <w:rFonts w:hint="eastAsia" w:ascii="宋体" w:hAnsi="宋体" w:cs="宋体"/>
          <w:sz w:val="22"/>
          <w:szCs w:val="22"/>
        </w:rPr>
      </w:pPr>
      <w:r>
        <w:rPr>
          <w:rFonts w:hint="eastAsia" w:ascii="宋体" w:hAnsi="宋体" w:cs="宋体"/>
          <w:sz w:val="22"/>
          <w:szCs w:val="22"/>
        </w:rPr>
        <w:t>（2）发包人指定的接收人和接收地点见合同条款专用部分。</w:t>
      </w:r>
    </w:p>
    <w:p w14:paraId="65A9D72F">
      <w:pPr>
        <w:spacing w:line="360" w:lineRule="auto"/>
        <w:ind w:firstLine="660" w:firstLineChars="300"/>
        <w:rPr>
          <w:rFonts w:hint="eastAsia" w:ascii="宋体" w:hAnsi="宋体" w:cs="宋体"/>
          <w:sz w:val="22"/>
          <w:szCs w:val="22"/>
        </w:rPr>
      </w:pPr>
      <w:r>
        <w:rPr>
          <w:rFonts w:hint="eastAsia" w:ascii="宋体" w:hAnsi="宋体" w:cs="宋体"/>
          <w:sz w:val="22"/>
          <w:szCs w:val="22"/>
        </w:rPr>
        <w:t>（3）监理人指定的接收人和接收地点见合同条款专用部分。</w:t>
      </w:r>
    </w:p>
    <w:p w14:paraId="36590EAD">
      <w:pPr>
        <w:spacing w:line="360" w:lineRule="auto"/>
        <w:ind w:firstLine="660" w:firstLineChars="300"/>
        <w:rPr>
          <w:rFonts w:hint="eastAsia" w:ascii="宋体" w:hAnsi="宋体" w:cs="宋体"/>
          <w:sz w:val="22"/>
          <w:szCs w:val="22"/>
        </w:rPr>
      </w:pPr>
      <w:r>
        <w:rPr>
          <w:rFonts w:hint="eastAsia" w:ascii="宋体" w:hAnsi="宋体" w:cs="宋体"/>
          <w:sz w:val="22"/>
          <w:szCs w:val="22"/>
        </w:rPr>
        <w:t>（4）承包人指定的接收人为合同协议书中载明的承包人项目经理本人或者项目经理的 授权代表。承包人应在收到开工通知后 7 天内，按照合同条款第4.5.4 项的约定，将授权代表其接收来往信函的项目经理的授权代表姓名和授权范围通知监理人。除合同条款专用部分另有约定外，承包人施工场地管理机构的办公地点即为承包人指定的接收地点。</w:t>
      </w:r>
    </w:p>
    <w:p w14:paraId="5B8221D5">
      <w:pPr>
        <w:spacing w:line="360" w:lineRule="auto"/>
        <w:ind w:firstLine="660" w:firstLineChars="300"/>
        <w:rPr>
          <w:rFonts w:hint="eastAsia" w:ascii="宋体" w:hAnsi="宋体" w:cs="宋体"/>
          <w:sz w:val="22"/>
          <w:szCs w:val="22"/>
        </w:rPr>
      </w:pPr>
      <w:r>
        <w:rPr>
          <w:rFonts w:hint="eastAsia" w:ascii="宋体" w:hAnsi="宋体" w:cs="宋体"/>
          <w:sz w:val="22"/>
          <w:szCs w:val="22"/>
        </w:rPr>
        <w:t>（5）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14:paraId="654F4604">
      <w:pPr>
        <w:spacing w:line="360" w:lineRule="auto"/>
        <w:ind w:firstLine="660" w:firstLineChars="300"/>
        <w:rPr>
          <w:rFonts w:hint="eastAsia" w:ascii="宋体" w:hAnsi="宋体" w:cs="宋体"/>
          <w:sz w:val="22"/>
          <w:szCs w:val="22"/>
        </w:rPr>
      </w:pPr>
      <w:r>
        <w:rPr>
          <w:rFonts w:hint="eastAsia" w:ascii="宋体" w:hAnsi="宋体" w:cs="宋体"/>
          <w:sz w:val="22"/>
          <w:szCs w:val="22"/>
        </w:rPr>
        <w:t>（6）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2FCF5DF2">
      <w:pPr>
        <w:spacing w:line="360" w:lineRule="auto"/>
        <w:rPr>
          <w:rFonts w:hint="eastAsia" w:ascii="宋体" w:hAnsi="宋体" w:cs="宋体"/>
          <w:sz w:val="24"/>
        </w:rPr>
      </w:pPr>
      <w:r>
        <w:rPr>
          <w:rFonts w:hint="eastAsia" w:ascii="宋体" w:hAnsi="宋体" w:cs="宋体"/>
          <w:sz w:val="24"/>
        </w:rPr>
        <w:t>1.8  转让</w:t>
      </w:r>
    </w:p>
    <w:p w14:paraId="0E1537BB">
      <w:pPr>
        <w:spacing w:line="360" w:lineRule="auto"/>
        <w:ind w:firstLine="660" w:firstLineChars="300"/>
        <w:rPr>
          <w:rFonts w:hint="eastAsia" w:ascii="宋体" w:hAnsi="宋体" w:cs="宋体"/>
          <w:sz w:val="22"/>
          <w:szCs w:val="22"/>
        </w:rPr>
      </w:pPr>
      <w:r>
        <w:rPr>
          <w:rFonts w:hint="eastAsia" w:ascii="宋体" w:hAnsi="宋体" w:cs="宋体"/>
          <w:sz w:val="22"/>
          <w:szCs w:val="22"/>
        </w:rPr>
        <w:t>除合同另有约定外，未经对方当事人同意，一方当事人不得将合同权利全部或部分转让给第三人，也不得全部或部分转移合同义务。</w:t>
      </w:r>
    </w:p>
    <w:p w14:paraId="5953A7D4">
      <w:pPr>
        <w:spacing w:line="360" w:lineRule="auto"/>
        <w:rPr>
          <w:rFonts w:hint="eastAsia" w:ascii="宋体" w:hAnsi="宋体" w:cs="宋体"/>
          <w:sz w:val="24"/>
        </w:rPr>
      </w:pPr>
      <w:r>
        <w:rPr>
          <w:rFonts w:hint="eastAsia" w:ascii="宋体" w:hAnsi="宋体" w:cs="宋体"/>
          <w:sz w:val="24"/>
        </w:rPr>
        <w:t>1.9  严禁贿赂</w:t>
      </w:r>
    </w:p>
    <w:p w14:paraId="0E7101A7">
      <w:pPr>
        <w:spacing w:line="360" w:lineRule="auto"/>
        <w:ind w:firstLine="660" w:firstLineChars="300"/>
        <w:rPr>
          <w:rFonts w:hint="eastAsia" w:ascii="宋体" w:hAnsi="宋体" w:cs="宋体"/>
          <w:sz w:val="22"/>
          <w:szCs w:val="22"/>
        </w:rPr>
      </w:pPr>
      <w:r>
        <w:rPr>
          <w:rFonts w:hint="eastAsia" w:ascii="宋体" w:hAnsi="宋体" w:cs="宋体"/>
          <w:sz w:val="22"/>
          <w:szCs w:val="22"/>
        </w:rPr>
        <w:t>合同双方当事人不得以贿赂或变相贿赂的方式，谋取不当利益或损害对方权益。因贿赂造成对方损失的，行为人应赔偿损失，并承担相应的法律责任。</w:t>
      </w:r>
    </w:p>
    <w:p w14:paraId="68CC9397">
      <w:pPr>
        <w:spacing w:line="360" w:lineRule="auto"/>
        <w:rPr>
          <w:rFonts w:hint="eastAsia" w:ascii="宋体" w:hAnsi="宋体" w:cs="宋体"/>
          <w:sz w:val="24"/>
        </w:rPr>
      </w:pPr>
      <w:r>
        <w:rPr>
          <w:rFonts w:hint="eastAsia" w:ascii="宋体" w:hAnsi="宋体" w:cs="宋体"/>
          <w:sz w:val="24"/>
        </w:rPr>
        <w:t>1.10  化石、文物</w:t>
      </w:r>
    </w:p>
    <w:p w14:paraId="649DE282">
      <w:pPr>
        <w:spacing w:line="360" w:lineRule="auto"/>
        <w:ind w:firstLine="660" w:firstLineChars="300"/>
        <w:rPr>
          <w:rFonts w:hint="eastAsia" w:ascii="宋体" w:hAnsi="宋体" w:cs="宋体"/>
          <w:sz w:val="22"/>
          <w:szCs w:val="22"/>
        </w:rPr>
      </w:pPr>
      <w:r>
        <w:rPr>
          <w:rFonts w:hint="eastAsia" w:ascii="宋体" w:hAnsi="宋体" w:cs="宋体"/>
          <w:sz w:val="22"/>
          <w:szCs w:val="22"/>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 工期延误由发包人承担。</w:t>
      </w:r>
    </w:p>
    <w:p w14:paraId="63CBADB9">
      <w:pPr>
        <w:spacing w:line="360" w:lineRule="auto"/>
        <w:ind w:firstLine="660" w:firstLineChars="300"/>
        <w:rPr>
          <w:rFonts w:hint="eastAsia" w:ascii="宋体" w:hAnsi="宋体" w:cs="宋体"/>
          <w:sz w:val="22"/>
          <w:szCs w:val="22"/>
        </w:rPr>
      </w:pPr>
      <w:r>
        <w:rPr>
          <w:rFonts w:hint="eastAsia" w:ascii="宋体" w:hAnsi="宋体" w:cs="宋体"/>
          <w:sz w:val="22"/>
          <w:szCs w:val="22"/>
        </w:rPr>
        <w:t>1.10.2  承包人发现文物后不及时报告或隐瞒不报，致使文物丢失或损坏的，应赔偿损失，并承担相应的法律责任。</w:t>
      </w:r>
    </w:p>
    <w:p w14:paraId="20150DE1">
      <w:pPr>
        <w:spacing w:line="360" w:lineRule="auto"/>
        <w:rPr>
          <w:rFonts w:hint="eastAsia" w:ascii="宋体" w:hAnsi="宋体" w:cs="宋体"/>
          <w:sz w:val="24"/>
        </w:rPr>
      </w:pPr>
      <w:r>
        <w:rPr>
          <w:rFonts w:hint="eastAsia" w:ascii="宋体" w:hAnsi="宋体" w:cs="宋体"/>
          <w:sz w:val="24"/>
        </w:rPr>
        <w:t>1.11  专利技术</w:t>
      </w:r>
    </w:p>
    <w:p w14:paraId="39D47574">
      <w:pPr>
        <w:spacing w:line="360" w:lineRule="auto"/>
        <w:ind w:firstLine="660" w:firstLineChars="300"/>
        <w:rPr>
          <w:rFonts w:hint="eastAsia" w:ascii="宋体" w:hAnsi="宋体" w:cs="宋体"/>
          <w:sz w:val="22"/>
          <w:szCs w:val="22"/>
        </w:rPr>
      </w:pPr>
      <w:r>
        <w:rPr>
          <w:rFonts w:hint="eastAsia" w:ascii="宋体" w:hAnsi="宋体" w:cs="宋体"/>
          <w:sz w:val="22"/>
          <w:szCs w:val="22"/>
        </w:rPr>
        <w:t>1.11.1  承包人在使用任何材料、承包人设备或采用施工工艺时，因侵犯专利权或其他知识产权所引起的责任，由承包人承担，但由于遵照发包人提供的设计或技术标准和要求引起的除外。</w:t>
      </w:r>
    </w:p>
    <w:p w14:paraId="7B582EB5">
      <w:pPr>
        <w:spacing w:line="360" w:lineRule="auto"/>
        <w:ind w:firstLine="660" w:firstLineChars="300"/>
        <w:rPr>
          <w:rFonts w:hint="eastAsia" w:ascii="宋体" w:hAnsi="宋体" w:cs="宋体"/>
          <w:sz w:val="22"/>
          <w:szCs w:val="22"/>
        </w:rPr>
      </w:pPr>
      <w:r>
        <w:rPr>
          <w:rFonts w:hint="eastAsia" w:ascii="宋体" w:hAnsi="宋体" w:cs="宋体"/>
          <w:sz w:val="22"/>
          <w:szCs w:val="22"/>
        </w:rPr>
        <w:t>1.11.2  承包人在投标文件中采用专利技术的，专利技术的使用费包含在投标报价内。</w:t>
      </w:r>
    </w:p>
    <w:p w14:paraId="4FB9A4F6">
      <w:pPr>
        <w:spacing w:line="360" w:lineRule="auto"/>
        <w:ind w:firstLine="660" w:firstLineChars="300"/>
        <w:rPr>
          <w:rFonts w:hint="eastAsia" w:ascii="宋体" w:hAnsi="宋体" w:cs="宋体"/>
          <w:sz w:val="22"/>
          <w:szCs w:val="22"/>
        </w:rPr>
      </w:pPr>
      <w:r>
        <w:rPr>
          <w:rFonts w:hint="eastAsia" w:ascii="宋体" w:hAnsi="宋体" w:cs="宋体"/>
          <w:sz w:val="22"/>
          <w:szCs w:val="22"/>
        </w:rPr>
        <w:t>1.11.3  承包人的技术秘密和声明需要保密的资料和信息，发包人和监理人不得为合同以外的目的泄露给他人。</w:t>
      </w:r>
    </w:p>
    <w:p w14:paraId="228D09E0">
      <w:pPr>
        <w:spacing w:line="360" w:lineRule="auto"/>
        <w:rPr>
          <w:rFonts w:hint="eastAsia" w:ascii="宋体" w:hAnsi="宋体" w:cs="宋体"/>
          <w:sz w:val="24"/>
        </w:rPr>
      </w:pPr>
      <w:r>
        <w:rPr>
          <w:rFonts w:hint="eastAsia" w:ascii="宋体" w:hAnsi="宋体" w:cs="宋体"/>
          <w:sz w:val="24"/>
        </w:rPr>
        <w:t>1.12  图纸和文件的保密</w:t>
      </w:r>
    </w:p>
    <w:p w14:paraId="02B693C9">
      <w:pPr>
        <w:spacing w:line="360" w:lineRule="auto"/>
        <w:ind w:firstLine="660" w:firstLineChars="300"/>
        <w:rPr>
          <w:rFonts w:hint="eastAsia" w:ascii="宋体" w:hAnsi="宋体" w:cs="宋体"/>
          <w:sz w:val="22"/>
          <w:szCs w:val="22"/>
        </w:rPr>
      </w:pPr>
      <w:r>
        <w:rPr>
          <w:rFonts w:hint="eastAsia" w:ascii="宋体" w:hAnsi="宋体" w:cs="宋体"/>
          <w:sz w:val="22"/>
          <w:szCs w:val="22"/>
        </w:rPr>
        <w:t>1.12.1  发包人提供的图纸和文件，未经发包人同意，承包人不得为合同以外的目的泄露给他人或公开发表与引用。</w:t>
      </w:r>
    </w:p>
    <w:p w14:paraId="39933135">
      <w:pPr>
        <w:spacing w:line="360" w:lineRule="auto"/>
        <w:ind w:firstLine="660" w:firstLineChars="300"/>
        <w:rPr>
          <w:rFonts w:hint="eastAsia" w:ascii="宋体" w:hAnsi="宋体" w:cs="宋体"/>
          <w:sz w:val="22"/>
          <w:szCs w:val="22"/>
        </w:rPr>
      </w:pPr>
      <w:r>
        <w:rPr>
          <w:rFonts w:hint="eastAsia" w:ascii="宋体" w:hAnsi="宋体" w:cs="宋体"/>
          <w:sz w:val="22"/>
          <w:szCs w:val="22"/>
        </w:rPr>
        <w:t>1.12.2  承包人提供的文件，未经承包人同意，发包人和监理人不得为合同以外的目的泄露给他人或公开发表与引用。</w:t>
      </w:r>
    </w:p>
    <w:p w14:paraId="1C1B212A">
      <w:pPr>
        <w:spacing w:line="360" w:lineRule="auto"/>
        <w:rPr>
          <w:rFonts w:hint="eastAsia" w:ascii="宋体" w:hAnsi="宋体" w:cs="宋体"/>
          <w:sz w:val="24"/>
        </w:rPr>
      </w:pPr>
      <w:r>
        <w:rPr>
          <w:rFonts w:hint="eastAsia" w:ascii="宋体" w:hAnsi="宋体" w:cs="宋体"/>
          <w:sz w:val="24"/>
        </w:rPr>
        <w:t>1.13  工程量清单缺陷引起的价格调整（适用于采用单价合同形式）</w:t>
      </w:r>
    </w:p>
    <w:p w14:paraId="2C3FA06A">
      <w:pPr>
        <w:spacing w:line="360" w:lineRule="auto"/>
        <w:ind w:firstLine="660" w:firstLineChars="300"/>
        <w:rPr>
          <w:rFonts w:hint="eastAsia" w:ascii="宋体" w:hAnsi="宋体" w:cs="宋体"/>
          <w:sz w:val="22"/>
          <w:szCs w:val="22"/>
        </w:rPr>
      </w:pPr>
      <w:r>
        <w:rPr>
          <w:rFonts w:hint="eastAsia" w:ascii="宋体" w:hAnsi="宋体" w:cs="宋体"/>
          <w:sz w:val="22"/>
          <w:szCs w:val="22"/>
        </w:rPr>
        <w:t>因工程量清单缺陷引起价格调整的办法见合同条款专用部分。</w:t>
      </w:r>
    </w:p>
    <w:p w14:paraId="5EF6B20D">
      <w:pPr>
        <w:spacing w:line="360" w:lineRule="auto"/>
        <w:rPr>
          <w:rFonts w:hint="eastAsia" w:ascii="宋体" w:hAnsi="宋体" w:cs="宋体"/>
          <w:sz w:val="24"/>
        </w:rPr>
      </w:pPr>
      <w:r>
        <w:rPr>
          <w:rFonts w:hint="eastAsia" w:ascii="宋体" w:hAnsi="宋体" w:cs="宋体"/>
          <w:sz w:val="24"/>
        </w:rPr>
        <w:t>1.13  暂定数量单价计价项目的价格调整（适用于采用总价合同形式）</w:t>
      </w:r>
    </w:p>
    <w:p w14:paraId="6F307949">
      <w:pPr>
        <w:spacing w:line="360" w:lineRule="auto"/>
        <w:ind w:firstLine="660" w:firstLineChars="300"/>
        <w:rPr>
          <w:rFonts w:hint="eastAsia" w:ascii="宋体" w:hAnsi="宋体" w:cs="宋体"/>
          <w:sz w:val="22"/>
          <w:szCs w:val="22"/>
        </w:rPr>
      </w:pPr>
      <w:r>
        <w:rPr>
          <w:rFonts w:hint="eastAsia" w:ascii="宋体" w:hAnsi="宋体" w:cs="宋体"/>
          <w:sz w:val="22"/>
          <w:szCs w:val="22"/>
        </w:rPr>
        <w:t>分部分项工程项目清单工程量为暂定数量单价计价项目的价格调整办法见合同条款专用部分。</w:t>
      </w:r>
    </w:p>
    <w:p w14:paraId="291DCB49">
      <w:pPr>
        <w:spacing w:line="360" w:lineRule="auto"/>
        <w:rPr>
          <w:rFonts w:hint="eastAsia" w:ascii="宋体" w:hAnsi="宋体" w:cs="宋体"/>
          <w:b/>
          <w:bCs/>
          <w:sz w:val="24"/>
        </w:rPr>
      </w:pPr>
      <w:r>
        <w:rPr>
          <w:rFonts w:hint="eastAsia" w:ascii="宋体" w:hAnsi="宋体" w:cs="宋体"/>
          <w:b/>
          <w:bCs/>
          <w:sz w:val="24"/>
        </w:rPr>
        <w:t>2.发包人义务</w:t>
      </w:r>
    </w:p>
    <w:p w14:paraId="692E9F65">
      <w:pPr>
        <w:spacing w:line="360" w:lineRule="auto"/>
        <w:rPr>
          <w:rFonts w:hint="eastAsia" w:ascii="宋体" w:hAnsi="宋体" w:cs="宋体"/>
          <w:sz w:val="24"/>
        </w:rPr>
      </w:pPr>
      <w:r>
        <w:rPr>
          <w:rFonts w:hint="eastAsia" w:ascii="宋体" w:hAnsi="宋体" w:cs="宋体"/>
          <w:sz w:val="24"/>
        </w:rPr>
        <w:t>2.1  遵守法律</w:t>
      </w:r>
    </w:p>
    <w:p w14:paraId="122C48C3">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发包人在履行合同过程中应遵守法律，并保证承包人免于承担因发包人违反法律而引起的任何责任。</w:t>
      </w:r>
    </w:p>
    <w:p w14:paraId="3F78D15E">
      <w:pPr>
        <w:spacing w:line="360" w:lineRule="auto"/>
        <w:rPr>
          <w:rFonts w:hint="eastAsia" w:ascii="宋体" w:hAnsi="宋体" w:cs="宋体"/>
          <w:sz w:val="24"/>
        </w:rPr>
      </w:pPr>
      <w:r>
        <w:rPr>
          <w:rFonts w:hint="eastAsia" w:ascii="宋体" w:hAnsi="宋体" w:cs="宋体"/>
          <w:sz w:val="24"/>
        </w:rPr>
        <w:t>2.2  发出开工通知</w:t>
      </w:r>
    </w:p>
    <w:p w14:paraId="3078B9E5">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发包人应委托监理人按第 11.1 款的约定向承包人发出开工通知。</w:t>
      </w:r>
    </w:p>
    <w:p w14:paraId="345BDE44">
      <w:pPr>
        <w:spacing w:line="360" w:lineRule="auto"/>
        <w:rPr>
          <w:rFonts w:hint="eastAsia" w:ascii="宋体" w:hAnsi="宋体" w:cs="宋体"/>
          <w:sz w:val="24"/>
        </w:rPr>
      </w:pPr>
      <w:r>
        <w:rPr>
          <w:rFonts w:hint="eastAsia" w:ascii="宋体" w:hAnsi="宋体" w:cs="宋体"/>
          <w:sz w:val="24"/>
        </w:rPr>
        <w:t>2.3  提供施工场地</w:t>
      </w:r>
    </w:p>
    <w:p w14:paraId="2E7220A5">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发包人应在约定期限前确保施工场地具备施工条件并移交给承包人，具体施工条件在“技术标准和要求 ”第一节“一般要求 ”中约定。发包人最迟应当在移交施工场地的同时向承包人提供施工场地内地下管线和地下设施等有关资料，并保证资料的真实、准确和完整。发包人移交施工场地的期限见合同条款专用部分。</w:t>
      </w:r>
    </w:p>
    <w:p w14:paraId="6FA69CB7">
      <w:pPr>
        <w:spacing w:line="360" w:lineRule="auto"/>
        <w:rPr>
          <w:rFonts w:hint="eastAsia" w:ascii="宋体" w:hAnsi="宋体" w:cs="宋体"/>
          <w:sz w:val="24"/>
        </w:rPr>
      </w:pPr>
      <w:r>
        <w:rPr>
          <w:rFonts w:hint="eastAsia" w:ascii="宋体" w:hAnsi="宋体" w:cs="宋体"/>
          <w:sz w:val="24"/>
        </w:rPr>
        <w:t>2.4  协助承包人办理证件和批件</w:t>
      </w:r>
    </w:p>
    <w:p w14:paraId="2E79CF1D">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发包人应协助承包人办理法律规定的有关施工证件和批件。</w:t>
      </w:r>
    </w:p>
    <w:p w14:paraId="11509E9A">
      <w:pPr>
        <w:spacing w:line="360" w:lineRule="auto"/>
        <w:rPr>
          <w:rFonts w:hint="eastAsia" w:ascii="宋体" w:hAnsi="宋体" w:cs="宋体"/>
          <w:sz w:val="24"/>
        </w:rPr>
      </w:pPr>
      <w:r>
        <w:rPr>
          <w:rFonts w:hint="eastAsia" w:ascii="宋体" w:hAnsi="宋体" w:cs="宋体"/>
          <w:sz w:val="24"/>
        </w:rPr>
        <w:t>2.5  组织设计交底</w:t>
      </w:r>
    </w:p>
    <w:p w14:paraId="28513DB1">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发包人应根据批准的合同进度计划，组织设计单位向承包人进行设计交底。</w:t>
      </w:r>
    </w:p>
    <w:p w14:paraId="1042A95A">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发包人应在第 11.1.1 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14:paraId="00DBEAB2">
      <w:pPr>
        <w:spacing w:line="360" w:lineRule="auto"/>
        <w:rPr>
          <w:rFonts w:hint="eastAsia" w:ascii="宋体" w:hAnsi="宋体" w:cs="宋体"/>
          <w:sz w:val="24"/>
        </w:rPr>
      </w:pPr>
      <w:r>
        <w:rPr>
          <w:rFonts w:hint="eastAsia" w:ascii="宋体" w:hAnsi="宋体" w:cs="宋体"/>
          <w:sz w:val="24"/>
        </w:rPr>
        <w:t>2.6  支付合同价款</w:t>
      </w:r>
    </w:p>
    <w:p w14:paraId="19413E7C">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发包人应按合同约定向承包人及时支付合同价款。</w:t>
      </w:r>
    </w:p>
    <w:p w14:paraId="1D356AF8">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发包人应当严格落实人工费用与其他工程款分账管理制度，分解工程价款中的人工费用，及时足额将人工费用拨付到承包人的工资专用账户。</w:t>
      </w:r>
    </w:p>
    <w:p w14:paraId="7721C9B0">
      <w:pPr>
        <w:spacing w:line="360" w:lineRule="auto"/>
        <w:rPr>
          <w:rFonts w:hint="eastAsia" w:ascii="宋体" w:hAnsi="宋体" w:cs="宋体"/>
          <w:sz w:val="24"/>
        </w:rPr>
      </w:pPr>
      <w:r>
        <w:rPr>
          <w:rFonts w:hint="eastAsia" w:ascii="宋体" w:hAnsi="宋体" w:cs="宋体"/>
          <w:sz w:val="24"/>
        </w:rPr>
        <w:t>2.7  组织竣工验收</w:t>
      </w:r>
    </w:p>
    <w:p w14:paraId="257EF321">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发包人应按合同约定及时组织竣工验收。发包人在组织竣工验收时，应对工程是否符合 消防要求进行查验。经查验不符合规定的，发包人不得编制工程竣工验收报告。</w:t>
      </w:r>
    </w:p>
    <w:p w14:paraId="3F585EC4">
      <w:pPr>
        <w:spacing w:line="360" w:lineRule="auto"/>
        <w:rPr>
          <w:rFonts w:hint="eastAsia" w:ascii="宋体" w:hAnsi="宋体" w:cs="宋体"/>
          <w:sz w:val="24"/>
        </w:rPr>
      </w:pPr>
      <w:r>
        <w:rPr>
          <w:rFonts w:hint="eastAsia" w:ascii="宋体" w:hAnsi="宋体" w:cs="宋体"/>
          <w:sz w:val="24"/>
        </w:rPr>
        <w:t>2.8  向承包人提交支付担保</w:t>
      </w:r>
    </w:p>
    <w:p w14:paraId="63E3007B">
      <w:pPr>
        <w:spacing w:line="360" w:lineRule="auto"/>
        <w:ind w:firstLine="660" w:firstLineChars="300"/>
        <w:rPr>
          <w:rFonts w:hint="eastAsia" w:ascii="宋体" w:hAnsi="宋体" w:cs="宋体"/>
          <w:sz w:val="22"/>
          <w:szCs w:val="22"/>
        </w:rPr>
      </w:pPr>
      <w:r>
        <w:rPr>
          <w:rFonts w:hint="eastAsia" w:ascii="宋体" w:hAnsi="宋体" w:cs="宋体"/>
          <w:sz w:val="22"/>
          <w:szCs w:val="22"/>
        </w:rPr>
        <w:t>（1）发包人要求承包人提交履约担保的，除合同条款专用部分另有约定的，在承包人按合同条款第4.2 款向发包人递交符合合同约定的履约担保的同时，发包人应当按照金额和条件对等的原则和合同文件中规定的格式或者其他经过承包人事先认可的格式向承包人递交一份支付担保。发包人提供支付担保格式见合同条款专用部分附件六。</w:t>
      </w:r>
    </w:p>
    <w:p w14:paraId="2027D17F">
      <w:pPr>
        <w:spacing w:line="360" w:lineRule="auto"/>
        <w:ind w:firstLine="660" w:firstLineChars="300"/>
        <w:rPr>
          <w:rFonts w:hint="eastAsia" w:ascii="宋体" w:hAnsi="宋体" w:cs="宋体"/>
          <w:sz w:val="22"/>
          <w:szCs w:val="22"/>
        </w:rPr>
      </w:pPr>
      <w:r>
        <w:rPr>
          <w:rFonts w:hint="eastAsia" w:ascii="宋体" w:hAnsi="宋体" w:cs="宋体"/>
          <w:sz w:val="22"/>
          <w:szCs w:val="22"/>
        </w:rPr>
        <w:t>（2）支付担保的有效期应当自本合同生效之日起至发包人实际支付竣工付款之日止。</w:t>
      </w:r>
    </w:p>
    <w:p w14:paraId="3256F519">
      <w:pPr>
        <w:spacing w:line="360" w:lineRule="auto"/>
        <w:ind w:firstLine="660" w:firstLineChars="300"/>
        <w:rPr>
          <w:rFonts w:hint="eastAsia" w:ascii="宋体" w:hAnsi="宋体" w:cs="宋体"/>
          <w:sz w:val="22"/>
          <w:szCs w:val="22"/>
        </w:rPr>
      </w:pPr>
      <w:r>
        <w:rPr>
          <w:rFonts w:hint="eastAsia" w:ascii="宋体" w:hAnsi="宋体" w:cs="宋体"/>
          <w:sz w:val="22"/>
          <w:szCs w:val="22"/>
        </w:rPr>
        <w:t>（3）发包人无法获得一份不带具体截止日期的履约担保，支付担保中应当约定有“变 更工程竣工付款支付日期的，保证期间按照变更后的竣工付款支付日期做相应调整 ”或类似 约定的条款。</w:t>
      </w:r>
    </w:p>
    <w:p w14:paraId="175E2F9E">
      <w:pPr>
        <w:spacing w:line="360" w:lineRule="auto"/>
        <w:ind w:firstLine="660" w:firstLineChars="300"/>
        <w:rPr>
          <w:rFonts w:hint="eastAsia" w:ascii="宋体" w:hAnsi="宋体" w:cs="宋体"/>
          <w:sz w:val="22"/>
          <w:szCs w:val="22"/>
        </w:rPr>
      </w:pPr>
      <w:r>
        <w:rPr>
          <w:rFonts w:hint="eastAsia" w:ascii="宋体" w:hAnsi="宋体" w:cs="宋体"/>
          <w:sz w:val="22"/>
          <w:szCs w:val="22"/>
        </w:rPr>
        <w:t>（4）支付担保应当在发包人付清竣工付款之日后 28 天内退还给发包人；承包人不承担发包人与支付担保有关的任何利息或其它类似的费用或者收益。</w:t>
      </w:r>
    </w:p>
    <w:p w14:paraId="3D076309">
      <w:pPr>
        <w:spacing w:line="360" w:lineRule="auto"/>
        <w:rPr>
          <w:rFonts w:hint="eastAsia" w:ascii="宋体" w:hAnsi="宋体" w:cs="宋体"/>
          <w:sz w:val="24"/>
        </w:rPr>
      </w:pPr>
      <w:r>
        <w:rPr>
          <w:rFonts w:hint="eastAsia" w:ascii="宋体" w:hAnsi="宋体" w:cs="宋体"/>
          <w:sz w:val="24"/>
        </w:rPr>
        <w:t>2.9  办理工程质量监督手续</w:t>
      </w:r>
    </w:p>
    <w:p w14:paraId="473B2AF9">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发包人应按有关规定及时办理工程质量监督手续。</w:t>
      </w:r>
    </w:p>
    <w:p w14:paraId="7F2B8CAD">
      <w:pPr>
        <w:spacing w:line="360" w:lineRule="auto"/>
        <w:rPr>
          <w:rFonts w:hint="eastAsia" w:ascii="宋体" w:hAnsi="宋体" w:cs="宋体"/>
          <w:sz w:val="24"/>
        </w:rPr>
      </w:pPr>
      <w:r>
        <w:rPr>
          <w:rFonts w:hint="eastAsia" w:ascii="宋体" w:hAnsi="宋体" w:cs="宋体"/>
          <w:sz w:val="24"/>
        </w:rPr>
        <w:t>2.10  环境保护责任</w:t>
      </w:r>
    </w:p>
    <w:p w14:paraId="2B728965">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发包人对建筑垃圾处理、施工扬尘治理负总责。</w:t>
      </w:r>
    </w:p>
    <w:p w14:paraId="29FAB9B5">
      <w:pPr>
        <w:spacing w:line="360" w:lineRule="auto"/>
        <w:rPr>
          <w:rFonts w:hint="eastAsia" w:ascii="宋体" w:hAnsi="宋体" w:cs="宋体"/>
          <w:sz w:val="24"/>
        </w:rPr>
      </w:pPr>
      <w:r>
        <w:rPr>
          <w:rFonts w:hint="eastAsia" w:ascii="宋体" w:hAnsi="宋体" w:cs="宋体"/>
          <w:sz w:val="24"/>
        </w:rPr>
        <w:t>2.11  移交工程档案</w:t>
      </w:r>
    </w:p>
    <w:p w14:paraId="6C2AA2D9">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发包人应根据建设行政主管部门和（或）城市建设档案管理机构的规定，收集、整理、立卷、归档工程资料，并按规定时间向建设行政主管部门或者城市建设档案管理机构移交规定的工程档案。</w:t>
      </w:r>
    </w:p>
    <w:p w14:paraId="33B2D916">
      <w:pPr>
        <w:spacing w:line="360" w:lineRule="auto"/>
        <w:rPr>
          <w:rFonts w:hint="eastAsia" w:ascii="宋体" w:hAnsi="宋体" w:cs="宋体"/>
          <w:sz w:val="24"/>
        </w:rPr>
      </w:pPr>
      <w:r>
        <w:rPr>
          <w:rFonts w:hint="eastAsia" w:ascii="宋体" w:hAnsi="宋体" w:cs="宋体"/>
          <w:sz w:val="24"/>
        </w:rPr>
        <w:t>2.12  批准和确认</w:t>
      </w:r>
    </w:p>
    <w:p w14:paraId="5DD2D1AF">
      <w:pPr>
        <w:spacing w:line="360" w:lineRule="auto"/>
        <w:ind w:firstLine="660" w:firstLineChars="300"/>
        <w:rPr>
          <w:rFonts w:hint="eastAsia" w:ascii="宋体" w:hAnsi="宋体" w:cs="宋体"/>
          <w:sz w:val="22"/>
          <w:szCs w:val="22"/>
        </w:rPr>
      </w:pPr>
      <w:r>
        <w:rPr>
          <w:rFonts w:hint="eastAsia" w:ascii="宋体" w:hAnsi="宋体" w:cs="宋体"/>
          <w:sz w:val="22"/>
          <w:szCs w:val="22"/>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0274835A">
      <w:pPr>
        <w:spacing w:line="360" w:lineRule="auto"/>
        <w:rPr>
          <w:rFonts w:hint="eastAsia" w:ascii="宋体" w:hAnsi="宋体" w:cs="宋体"/>
          <w:sz w:val="24"/>
        </w:rPr>
      </w:pPr>
      <w:r>
        <w:rPr>
          <w:rFonts w:hint="eastAsia" w:ascii="宋体" w:hAnsi="宋体" w:cs="宋体"/>
          <w:sz w:val="24"/>
        </w:rPr>
        <w:t>2.13  其他义务</w:t>
      </w:r>
    </w:p>
    <w:p w14:paraId="1F68413C">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发包人应履行的其他义务见合同条款专用部分。</w:t>
      </w:r>
    </w:p>
    <w:p w14:paraId="49C08D85">
      <w:pPr>
        <w:spacing w:line="360" w:lineRule="auto"/>
        <w:rPr>
          <w:rFonts w:hint="eastAsia" w:ascii="宋体" w:hAnsi="宋体" w:cs="宋体"/>
          <w:b/>
          <w:bCs/>
          <w:sz w:val="24"/>
        </w:rPr>
      </w:pPr>
      <w:r>
        <w:rPr>
          <w:rFonts w:hint="eastAsia" w:ascii="宋体" w:hAnsi="宋体" w:cs="宋体"/>
          <w:b/>
          <w:bCs/>
          <w:sz w:val="24"/>
        </w:rPr>
        <w:t>3.监理人</w:t>
      </w:r>
    </w:p>
    <w:p w14:paraId="7813C77B">
      <w:pPr>
        <w:spacing w:line="360" w:lineRule="auto"/>
        <w:rPr>
          <w:rFonts w:hint="eastAsia" w:ascii="宋体" w:hAnsi="宋体" w:cs="宋体"/>
          <w:sz w:val="24"/>
        </w:rPr>
      </w:pPr>
      <w:r>
        <w:rPr>
          <w:rFonts w:hint="eastAsia" w:ascii="宋体" w:hAnsi="宋体" w:cs="宋体"/>
          <w:sz w:val="24"/>
        </w:rPr>
        <w:t>3.1  监理人的职责和权力</w:t>
      </w:r>
    </w:p>
    <w:p w14:paraId="78E862BE">
      <w:pPr>
        <w:spacing w:line="360" w:lineRule="auto"/>
        <w:ind w:firstLine="660" w:firstLineChars="300"/>
        <w:rPr>
          <w:rFonts w:hint="eastAsia" w:ascii="宋体" w:hAnsi="宋体" w:cs="宋体"/>
          <w:sz w:val="22"/>
          <w:szCs w:val="22"/>
        </w:rPr>
      </w:pPr>
      <w:r>
        <w:rPr>
          <w:rFonts w:hint="eastAsia" w:ascii="宋体" w:hAnsi="宋体" w:cs="宋体"/>
          <w:sz w:val="22"/>
          <w:szCs w:val="22"/>
        </w:rPr>
        <w:t>3.1.1  监理人受发包人委托，享有合同约定的权力。监理人在行使某项权力前需要经 发包人事先批准，合同条款通用部分没有指明的，应在合同中指明。监理人履行须经发包人批准行使的权力时，应当向承包人出示其行使该权力已经取得发包人批准的文件或者其他合法有效的证明。发包人需批准明确行使的权力见合同条款专用部分。</w:t>
      </w:r>
    </w:p>
    <w:p w14:paraId="36656EF6">
      <w:pPr>
        <w:spacing w:line="360" w:lineRule="auto"/>
        <w:ind w:firstLine="660" w:firstLineChars="300"/>
        <w:rPr>
          <w:rFonts w:hint="eastAsia" w:ascii="宋体" w:hAnsi="宋体" w:cs="宋体"/>
          <w:sz w:val="22"/>
          <w:szCs w:val="22"/>
        </w:rPr>
      </w:pPr>
      <w:r>
        <w:rPr>
          <w:rFonts w:hint="eastAsia" w:ascii="宋体" w:hAnsi="宋体" w:cs="宋体"/>
          <w:sz w:val="22"/>
          <w:szCs w:val="22"/>
        </w:rPr>
        <w:t>3.1.2  监理人发出的任何指示应视为已得到发包人的批准，但监理人无权免除或变更 合同约定的发包人和承包人的权利、义务和责任。</w:t>
      </w:r>
    </w:p>
    <w:p w14:paraId="65AB607B">
      <w:pPr>
        <w:spacing w:line="360" w:lineRule="auto"/>
        <w:ind w:firstLine="660" w:firstLineChars="300"/>
        <w:rPr>
          <w:rFonts w:hint="eastAsia" w:ascii="宋体" w:hAnsi="宋体" w:cs="宋体"/>
          <w:sz w:val="22"/>
          <w:szCs w:val="22"/>
        </w:rPr>
      </w:pPr>
      <w:r>
        <w:rPr>
          <w:rFonts w:hint="eastAsia" w:ascii="宋体" w:hAnsi="宋体" w:cs="宋体"/>
          <w:sz w:val="22"/>
          <w:szCs w:val="22"/>
        </w:rPr>
        <w:t>3.1.3  合同约定应由承包人承担的义务和责任，不因监理人对承包人提交文件的审查 或批准，对工程、材料和设备的检查和检验，以及为实施监理作出的指示等职务行为而减轻或解除。</w:t>
      </w:r>
    </w:p>
    <w:p w14:paraId="13256AAB">
      <w:pPr>
        <w:spacing w:line="360" w:lineRule="auto"/>
        <w:rPr>
          <w:rFonts w:hint="eastAsia" w:ascii="宋体" w:hAnsi="宋体" w:cs="宋体"/>
          <w:sz w:val="24"/>
        </w:rPr>
      </w:pPr>
      <w:r>
        <w:rPr>
          <w:rFonts w:hint="eastAsia" w:ascii="宋体" w:hAnsi="宋体" w:cs="宋体"/>
          <w:sz w:val="24"/>
        </w:rPr>
        <w:t>3.2  总监理工程师</w:t>
      </w:r>
    </w:p>
    <w:p w14:paraId="149C3385">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发包人应在发出开工通知前将总监理工程师的任命通知承包人。总监理工程师更换时， 应在调离 14 天前通知承包人。总监理工程师短期离开施工场地的，应委派代表代行其职责， 并通知承包人。</w:t>
      </w:r>
    </w:p>
    <w:p w14:paraId="19512257">
      <w:pPr>
        <w:spacing w:line="360" w:lineRule="auto"/>
        <w:rPr>
          <w:rFonts w:hint="eastAsia" w:ascii="宋体" w:hAnsi="宋体" w:cs="宋体"/>
          <w:sz w:val="24"/>
        </w:rPr>
      </w:pPr>
      <w:r>
        <w:rPr>
          <w:rFonts w:hint="eastAsia" w:ascii="宋体" w:hAnsi="宋体" w:cs="宋体"/>
          <w:sz w:val="24"/>
        </w:rPr>
        <w:t>3.3  监理人员</w:t>
      </w:r>
    </w:p>
    <w:p w14:paraId="67EDF277">
      <w:pPr>
        <w:spacing w:line="360" w:lineRule="auto"/>
        <w:ind w:firstLine="660" w:firstLineChars="300"/>
        <w:rPr>
          <w:rFonts w:hint="eastAsia" w:ascii="宋体" w:hAnsi="宋体" w:cs="宋体"/>
          <w:sz w:val="22"/>
          <w:szCs w:val="22"/>
        </w:rPr>
      </w:pPr>
      <w:r>
        <w:rPr>
          <w:rFonts w:hint="eastAsia" w:ascii="宋体" w:hAnsi="宋体" w:cs="宋体"/>
          <w:sz w:val="22"/>
          <w:szCs w:val="22"/>
        </w:rPr>
        <w:t>3.3.1  总监理工程师可以授权其他监理人员负责执行其指派的一项或多项监理工作。总监理工程师应将被授权监理人员的姓名及其授权范围通知承包人。被授权的监理人员在授 权范围内发出的指示视为已得到总监理工程师的同意，与总监理工程师发出的指示具有同等效力。总监理工程师撤销某项授权时，应将撤销授权的决定及时通知承包人。</w:t>
      </w:r>
    </w:p>
    <w:p w14:paraId="68A4F25A">
      <w:pPr>
        <w:spacing w:line="360" w:lineRule="auto"/>
        <w:ind w:firstLine="660" w:firstLineChars="300"/>
        <w:rPr>
          <w:rFonts w:hint="eastAsia" w:ascii="宋体" w:hAnsi="宋体" w:cs="宋体"/>
          <w:sz w:val="22"/>
          <w:szCs w:val="22"/>
        </w:rPr>
      </w:pPr>
      <w:r>
        <w:rPr>
          <w:rFonts w:hint="eastAsia" w:ascii="宋体" w:hAnsi="宋体" w:cs="宋体"/>
          <w:sz w:val="22"/>
          <w:szCs w:val="22"/>
        </w:rPr>
        <w:t>3.3.2  监理人员对承包人的任何工作、工程或其采用的材料未在约定的或合理的期限内提出否定意见的，视为已获批准，但不影响监理人在以后拒绝该项工作、工程、材料的权利。</w:t>
      </w:r>
    </w:p>
    <w:p w14:paraId="57EEB291">
      <w:pPr>
        <w:spacing w:line="360" w:lineRule="auto"/>
        <w:ind w:firstLine="660" w:firstLineChars="300"/>
        <w:rPr>
          <w:rFonts w:hint="eastAsia" w:ascii="宋体" w:hAnsi="宋体" w:cs="宋体"/>
          <w:sz w:val="22"/>
          <w:szCs w:val="22"/>
        </w:rPr>
      </w:pPr>
      <w:r>
        <w:rPr>
          <w:rFonts w:hint="eastAsia" w:ascii="宋体" w:hAnsi="宋体" w:cs="宋体"/>
          <w:sz w:val="22"/>
          <w:szCs w:val="22"/>
        </w:rPr>
        <w:t>3.3.3  承包人对总监理工程师授权的监理人员发出的指示有疑问的，可向总监理工程师提出书面异议，总监理工程师应在48 小时内对该指示予以确认、更改或撤销。</w:t>
      </w:r>
    </w:p>
    <w:p w14:paraId="6F83B3C0">
      <w:pPr>
        <w:spacing w:line="360" w:lineRule="auto"/>
        <w:ind w:firstLine="660" w:firstLineChars="300"/>
        <w:rPr>
          <w:rFonts w:hint="eastAsia" w:ascii="宋体" w:hAnsi="宋体" w:cs="宋体"/>
          <w:sz w:val="22"/>
          <w:szCs w:val="22"/>
        </w:rPr>
      </w:pPr>
      <w:r>
        <w:rPr>
          <w:rFonts w:hint="eastAsia" w:ascii="宋体" w:hAnsi="宋体" w:cs="宋体"/>
          <w:sz w:val="22"/>
          <w:szCs w:val="22"/>
        </w:rPr>
        <w:t>3.3.4  总监理工程师不应将合同条款通用部分第 3.5 款约定应由总监理工程师作出确定的权力授权或者委托给其他监理人员。</w:t>
      </w:r>
    </w:p>
    <w:p w14:paraId="1480E690">
      <w:pPr>
        <w:spacing w:line="360" w:lineRule="auto"/>
        <w:rPr>
          <w:rFonts w:hint="eastAsia" w:ascii="宋体" w:hAnsi="宋体" w:cs="宋体"/>
          <w:sz w:val="24"/>
        </w:rPr>
      </w:pPr>
      <w:r>
        <w:rPr>
          <w:rFonts w:hint="eastAsia" w:ascii="宋体" w:hAnsi="宋体" w:cs="宋体"/>
          <w:sz w:val="24"/>
        </w:rPr>
        <w:t>3.4  监理人的指示</w:t>
      </w:r>
    </w:p>
    <w:p w14:paraId="2EB04353">
      <w:pPr>
        <w:spacing w:line="360" w:lineRule="auto"/>
        <w:ind w:firstLine="660" w:firstLineChars="300"/>
        <w:rPr>
          <w:rFonts w:hint="eastAsia" w:ascii="宋体" w:hAnsi="宋体" w:cs="宋体"/>
          <w:sz w:val="22"/>
          <w:szCs w:val="22"/>
        </w:rPr>
      </w:pPr>
      <w:r>
        <w:rPr>
          <w:rFonts w:hint="eastAsia" w:ascii="宋体" w:hAnsi="宋体" w:cs="宋体"/>
          <w:sz w:val="22"/>
          <w:szCs w:val="22"/>
        </w:rPr>
        <w:t>3.4.1  监理人应按第 3.1 款的约定向承包人发出指示，监理人的指示应加盖监理人授权的施工场地机构章，并由总监理工程师或总监理工程师按第 3.3.1 项约定授权的监理人员 签字。</w:t>
      </w:r>
    </w:p>
    <w:p w14:paraId="00B21309">
      <w:pPr>
        <w:spacing w:line="360" w:lineRule="auto"/>
        <w:ind w:firstLine="660" w:firstLineChars="300"/>
        <w:rPr>
          <w:rFonts w:hint="eastAsia" w:ascii="宋体" w:hAnsi="宋体" w:cs="宋体"/>
          <w:sz w:val="22"/>
          <w:szCs w:val="22"/>
        </w:rPr>
      </w:pPr>
      <w:r>
        <w:rPr>
          <w:rFonts w:hint="eastAsia" w:ascii="宋体" w:hAnsi="宋体" w:cs="宋体"/>
          <w:sz w:val="22"/>
          <w:szCs w:val="22"/>
        </w:rPr>
        <w:t>3.4.2  承包人收到监理人按第 3.4.1 项作出的指示后，应遵照执行。指示构成变更的，应按第 15 条处理。</w:t>
      </w:r>
    </w:p>
    <w:p w14:paraId="5E4091FF">
      <w:pPr>
        <w:spacing w:line="360" w:lineRule="auto"/>
        <w:ind w:firstLine="660" w:firstLineChars="300"/>
        <w:rPr>
          <w:rFonts w:hint="eastAsia" w:ascii="宋体" w:hAnsi="宋体" w:cs="宋体"/>
          <w:sz w:val="22"/>
          <w:szCs w:val="22"/>
        </w:rPr>
      </w:pPr>
      <w:r>
        <w:rPr>
          <w:rFonts w:hint="eastAsia" w:ascii="宋体" w:hAnsi="宋体" w:cs="宋体"/>
          <w:sz w:val="22"/>
          <w:szCs w:val="22"/>
        </w:rPr>
        <w:t>3.4.3  在紧急情况下，总监理工程师或被授权的监理人员可以当场签发临时书面指示，承包人应遵照执行。承包人应在收到上述临时书面指示后 24 小时内，向监理人发出书面确认函。监理人在收到书面确认函后 24 小时内未予答复的，该书面确认函应被视为监理人的正式指示。</w:t>
      </w:r>
    </w:p>
    <w:p w14:paraId="657948B7">
      <w:pPr>
        <w:spacing w:line="360" w:lineRule="auto"/>
        <w:ind w:firstLine="660" w:firstLineChars="300"/>
        <w:rPr>
          <w:rFonts w:hint="eastAsia" w:ascii="宋体" w:hAnsi="宋体" w:cs="宋体"/>
          <w:sz w:val="22"/>
          <w:szCs w:val="22"/>
        </w:rPr>
      </w:pPr>
      <w:r>
        <w:rPr>
          <w:rFonts w:hint="eastAsia" w:ascii="宋体" w:hAnsi="宋体" w:cs="宋体"/>
          <w:sz w:val="22"/>
          <w:szCs w:val="22"/>
        </w:rPr>
        <w:t>3.4.4  除合同另有约定外，承包人只从总监理工程师或按第 3.3.1 项被授权的监理人 员处取得指示。</w:t>
      </w:r>
    </w:p>
    <w:p w14:paraId="1B2574D1">
      <w:pPr>
        <w:spacing w:line="360" w:lineRule="auto"/>
        <w:ind w:firstLine="660" w:firstLineChars="300"/>
        <w:rPr>
          <w:rFonts w:hint="eastAsia" w:ascii="宋体" w:hAnsi="宋体" w:cs="宋体"/>
          <w:sz w:val="22"/>
          <w:szCs w:val="22"/>
        </w:rPr>
      </w:pPr>
      <w:r>
        <w:rPr>
          <w:rFonts w:hint="eastAsia" w:ascii="宋体" w:hAnsi="宋体" w:cs="宋体"/>
          <w:sz w:val="22"/>
          <w:szCs w:val="22"/>
        </w:rPr>
        <w:t>3.4.5  由于监理人未能按合同约定发出指示、指示延误或指示错误而导致承包人费用 增加和（或）工期延误的，由发包人承担赔偿责任。</w:t>
      </w:r>
    </w:p>
    <w:p w14:paraId="711B34F8">
      <w:pPr>
        <w:spacing w:line="360" w:lineRule="auto"/>
        <w:rPr>
          <w:rFonts w:hint="eastAsia" w:ascii="宋体" w:hAnsi="宋体" w:cs="宋体"/>
          <w:sz w:val="24"/>
        </w:rPr>
      </w:pPr>
      <w:r>
        <w:rPr>
          <w:rFonts w:hint="eastAsia" w:ascii="宋体" w:hAnsi="宋体" w:cs="宋体"/>
          <w:sz w:val="24"/>
        </w:rPr>
        <w:t>3.5  商定或确定</w:t>
      </w:r>
    </w:p>
    <w:p w14:paraId="04862174">
      <w:pPr>
        <w:spacing w:line="360" w:lineRule="auto"/>
        <w:ind w:firstLine="660" w:firstLineChars="300"/>
        <w:rPr>
          <w:rFonts w:hint="eastAsia" w:ascii="宋体" w:hAnsi="宋体" w:cs="宋体"/>
          <w:sz w:val="22"/>
          <w:szCs w:val="22"/>
        </w:rPr>
      </w:pPr>
      <w:r>
        <w:rPr>
          <w:rFonts w:hint="eastAsia" w:ascii="宋体" w:hAnsi="宋体" w:cs="宋体"/>
          <w:sz w:val="22"/>
          <w:szCs w:val="22"/>
        </w:rPr>
        <w:t>3.5.1  总监理工程师应按照本款对任何事项进行商定或确定时，总监理工程师应与合同当事人协商，尽量达成一致。不能达成一致的，总监理工程师应认真研究后审慎确定。</w:t>
      </w:r>
    </w:p>
    <w:p w14:paraId="4E7C525B">
      <w:pPr>
        <w:spacing w:line="360" w:lineRule="auto"/>
        <w:ind w:firstLine="660" w:firstLineChars="300"/>
        <w:rPr>
          <w:rFonts w:hint="eastAsia" w:ascii="宋体" w:hAnsi="宋体" w:cs="宋体"/>
          <w:sz w:val="22"/>
          <w:szCs w:val="22"/>
        </w:rPr>
      </w:pPr>
      <w:r>
        <w:rPr>
          <w:rFonts w:hint="eastAsia" w:ascii="宋体" w:hAnsi="宋体" w:cs="宋体"/>
          <w:sz w:val="22"/>
          <w:szCs w:val="22"/>
        </w:rPr>
        <w:t>3.5.2  总监理工程师应将商定或确定的事项通知合同当事人，并附详细依据。对总监理工程师的确定有异议的，构成争议，按照第 24 条的约定处理。在争议解决前，双方应暂按总监理工程师的确定执行；按照第 24 条的约定对总监理工程师的确定需要作出修改的，按修改后的结果执行。</w:t>
      </w:r>
    </w:p>
    <w:p w14:paraId="3D97A9A1">
      <w:pPr>
        <w:spacing w:line="360" w:lineRule="auto"/>
        <w:rPr>
          <w:rFonts w:hint="eastAsia" w:ascii="宋体" w:hAnsi="宋体" w:cs="宋体"/>
          <w:sz w:val="24"/>
        </w:rPr>
      </w:pPr>
      <w:r>
        <w:rPr>
          <w:rFonts w:hint="eastAsia" w:ascii="宋体" w:hAnsi="宋体" w:cs="宋体"/>
          <w:sz w:val="24"/>
        </w:rPr>
        <w:t>3.6  监理人的宽恕</w:t>
      </w:r>
    </w:p>
    <w:p w14:paraId="0A309F4D">
      <w:pPr>
        <w:spacing w:line="360" w:lineRule="auto"/>
        <w:ind w:firstLine="660" w:firstLineChars="300"/>
        <w:rPr>
          <w:rFonts w:hint="eastAsia" w:ascii="宋体" w:hAnsi="宋体" w:cs="宋体"/>
          <w:sz w:val="22"/>
          <w:szCs w:val="22"/>
        </w:rPr>
      </w:pPr>
      <w:r>
        <w:rPr>
          <w:rFonts w:hint="eastAsia" w:ascii="宋体" w:hAnsi="宋体" w:cs="宋体"/>
          <w:sz w:val="22"/>
          <w:szCs w:val="22"/>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7EF09E6E">
      <w:pPr>
        <w:spacing w:line="360" w:lineRule="auto"/>
        <w:rPr>
          <w:rFonts w:hint="eastAsia" w:ascii="宋体" w:hAnsi="宋体" w:cs="宋体"/>
          <w:b/>
          <w:bCs/>
          <w:sz w:val="24"/>
        </w:rPr>
      </w:pPr>
      <w:r>
        <w:rPr>
          <w:rFonts w:hint="eastAsia" w:ascii="宋体" w:hAnsi="宋体" w:cs="宋体"/>
          <w:b/>
          <w:bCs/>
          <w:sz w:val="24"/>
        </w:rPr>
        <w:t>4.承包人</w:t>
      </w:r>
    </w:p>
    <w:p w14:paraId="356D4B45">
      <w:pPr>
        <w:spacing w:line="360" w:lineRule="auto"/>
        <w:rPr>
          <w:rFonts w:hint="eastAsia" w:ascii="宋体" w:hAnsi="宋体" w:cs="宋体"/>
          <w:sz w:val="24"/>
        </w:rPr>
      </w:pPr>
      <w:r>
        <w:rPr>
          <w:rFonts w:hint="eastAsia" w:ascii="宋体" w:hAnsi="宋体" w:cs="宋体"/>
          <w:sz w:val="24"/>
        </w:rPr>
        <w:t>4.1  承包人的一般义务</w:t>
      </w:r>
    </w:p>
    <w:p w14:paraId="164000CB">
      <w:pPr>
        <w:spacing w:line="360" w:lineRule="auto"/>
        <w:ind w:firstLine="660" w:firstLineChars="300"/>
        <w:rPr>
          <w:rFonts w:hint="eastAsia" w:ascii="宋体" w:hAnsi="宋体" w:cs="宋体"/>
          <w:sz w:val="22"/>
          <w:szCs w:val="22"/>
        </w:rPr>
      </w:pPr>
      <w:r>
        <w:rPr>
          <w:rFonts w:hint="eastAsia" w:ascii="宋体" w:hAnsi="宋体" w:cs="宋体"/>
          <w:sz w:val="22"/>
          <w:szCs w:val="22"/>
        </w:rPr>
        <w:t>4.1.1  遵守法律</w:t>
      </w:r>
    </w:p>
    <w:p w14:paraId="064D2D89">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承包人在履行合同过程中应遵守法律，并保证发包人免于承担因承包人违反法律而引起的任何责任。</w:t>
      </w:r>
    </w:p>
    <w:p w14:paraId="06128396">
      <w:pPr>
        <w:spacing w:line="360" w:lineRule="auto"/>
        <w:ind w:firstLine="660" w:firstLineChars="300"/>
        <w:rPr>
          <w:rFonts w:hint="eastAsia" w:ascii="宋体" w:hAnsi="宋体" w:cs="宋体"/>
          <w:sz w:val="22"/>
          <w:szCs w:val="22"/>
        </w:rPr>
      </w:pPr>
      <w:r>
        <w:rPr>
          <w:rFonts w:hint="eastAsia" w:ascii="宋体" w:hAnsi="宋体" w:cs="宋体"/>
          <w:sz w:val="22"/>
          <w:szCs w:val="22"/>
        </w:rPr>
        <w:t>4.1.2  依法纳税</w:t>
      </w:r>
    </w:p>
    <w:p w14:paraId="266D14D0">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承包人应按有关法律规定纳税，应缴纳的增值税包括在合同价格内。</w:t>
      </w:r>
    </w:p>
    <w:p w14:paraId="324CE5B0">
      <w:pPr>
        <w:spacing w:line="360" w:lineRule="auto"/>
        <w:ind w:firstLine="660" w:firstLineChars="300"/>
        <w:rPr>
          <w:rFonts w:hint="eastAsia" w:ascii="宋体" w:hAnsi="宋体" w:cs="宋体"/>
          <w:sz w:val="22"/>
          <w:szCs w:val="22"/>
        </w:rPr>
      </w:pPr>
      <w:r>
        <w:rPr>
          <w:rFonts w:hint="eastAsia" w:ascii="宋体" w:hAnsi="宋体" w:cs="宋体"/>
          <w:sz w:val="22"/>
          <w:szCs w:val="22"/>
        </w:rPr>
        <w:t>4.1.3  完成各项承包工作</w:t>
      </w:r>
    </w:p>
    <w:p w14:paraId="5006FECF">
      <w:pPr>
        <w:spacing w:line="360" w:lineRule="auto"/>
        <w:ind w:firstLine="660" w:firstLineChars="300"/>
        <w:rPr>
          <w:rFonts w:hint="eastAsia" w:ascii="宋体" w:hAnsi="宋体" w:cs="宋体"/>
          <w:sz w:val="22"/>
          <w:szCs w:val="22"/>
        </w:rPr>
      </w:pPr>
      <w:r>
        <w:rPr>
          <w:rFonts w:hint="eastAsia" w:ascii="宋体" w:hAnsi="宋体" w:cs="宋体"/>
          <w:sz w:val="22"/>
          <w:szCs w:val="22"/>
        </w:rPr>
        <w:t>（1）承包人应按合同约定以及监理人根据第 3.4 款作出的指示，实施、完成全部工程， 并修补工程中的任何缺陷。除第 5.2 款约定由发包人提供的材料和第 6.2 款约定由发包人提 供的施工设备和临时设施外，承包人应负责提供为完成合同工作所需的劳务、材料、施工设备和其他物品，并按照合同约定负责临时设施的设计、建造、运行、维护、管理和拆除工作。</w:t>
      </w:r>
    </w:p>
    <w:p w14:paraId="237E54FE">
      <w:pPr>
        <w:spacing w:line="360" w:lineRule="auto"/>
        <w:ind w:firstLine="660" w:firstLineChars="300"/>
        <w:rPr>
          <w:rFonts w:hint="eastAsia" w:ascii="宋体" w:hAnsi="宋体" w:cs="宋体"/>
          <w:sz w:val="22"/>
          <w:szCs w:val="22"/>
        </w:rPr>
      </w:pPr>
      <w:r>
        <w:rPr>
          <w:rFonts w:hint="eastAsia" w:ascii="宋体" w:hAnsi="宋体" w:cs="宋体"/>
          <w:sz w:val="22"/>
          <w:szCs w:val="22"/>
        </w:rPr>
        <w:t>（2）承包人应当依法合规建立施工扬尘综合治理、建筑垃圾、土方和砂石清运与消纳、 保证使用已在本市进行信息编码登记符合排放标准的非道路移动机械和严禁使用高排放非 道路移动机械以及行业挥发性有机物治理（如建筑外墙涂装、钢结构等鼓励使用水性漆替代 油性漆；建筑施工、室外构筑物防护和道路交通标识等其他涂装作业，推广使用水性、高固体分、无溶剂、粉末等涂料和水基、本体型等低 VOCs 含量胶粘剂）等责任制，制定具体的管控机制和实施方案，严格落实。</w:t>
      </w:r>
    </w:p>
    <w:p w14:paraId="68F957E7">
      <w:pPr>
        <w:spacing w:line="360" w:lineRule="auto"/>
        <w:ind w:firstLine="660" w:firstLineChars="300"/>
        <w:rPr>
          <w:rFonts w:hint="eastAsia" w:ascii="宋体" w:hAnsi="宋体" w:cs="宋体"/>
          <w:sz w:val="22"/>
          <w:szCs w:val="22"/>
        </w:rPr>
      </w:pPr>
      <w:r>
        <w:rPr>
          <w:rFonts w:hint="eastAsia" w:ascii="宋体" w:hAnsi="宋体" w:cs="宋体"/>
          <w:sz w:val="22"/>
          <w:szCs w:val="22"/>
        </w:rPr>
        <w:t>（3）承包人应按法律法规、经消防设计审查合格或者满足工程需要的消防设计文件等规定组织施工，编制消防专项施工方案；按消防设计要求、施工技术标准和合同约定检验消防产品和具有防火性能要求的建筑材料、建筑构配件和设备的质量，保证消防施工质量；配合发包人组织的竣工验收消防查验，对建设工程消防施工质量签章确认。</w:t>
      </w:r>
    </w:p>
    <w:p w14:paraId="03367E8F">
      <w:pPr>
        <w:spacing w:line="360" w:lineRule="auto"/>
        <w:ind w:firstLine="660" w:firstLineChars="300"/>
        <w:rPr>
          <w:rFonts w:hint="eastAsia" w:ascii="宋体" w:hAnsi="宋体" w:cs="宋体"/>
          <w:sz w:val="22"/>
          <w:szCs w:val="22"/>
        </w:rPr>
      </w:pPr>
      <w:r>
        <w:rPr>
          <w:rFonts w:hint="eastAsia" w:ascii="宋体" w:hAnsi="宋体" w:cs="宋体"/>
          <w:sz w:val="22"/>
          <w:szCs w:val="22"/>
        </w:rPr>
        <w:t>4.1.4  对施工作业和施工方法的完备性负责</w:t>
      </w:r>
    </w:p>
    <w:p w14:paraId="741F534F">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承包人应按合同约定的工作内容和施工进度要求，编制施工组织设计和施工措施计划， 并对所有施工作业和施工方法的完备性和安全可靠性负责。</w:t>
      </w:r>
    </w:p>
    <w:p w14:paraId="329B494E">
      <w:pPr>
        <w:spacing w:line="360" w:lineRule="auto"/>
        <w:ind w:firstLine="660" w:firstLineChars="300"/>
        <w:rPr>
          <w:rFonts w:hint="eastAsia" w:ascii="宋体" w:hAnsi="宋体" w:cs="宋体"/>
          <w:sz w:val="22"/>
          <w:szCs w:val="22"/>
        </w:rPr>
      </w:pPr>
      <w:r>
        <w:rPr>
          <w:rFonts w:hint="eastAsia" w:ascii="宋体" w:hAnsi="宋体" w:cs="宋体"/>
          <w:sz w:val="22"/>
          <w:szCs w:val="22"/>
        </w:rPr>
        <w:t>4.1.5  保证工程施工和人员的安全</w:t>
      </w:r>
    </w:p>
    <w:p w14:paraId="3FC08674">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承包人应按照第9.2 款约定采取施工安全措施，确保工程及其人员、材料、设备和设施的安全，防止因工程施工造成的人身伤害和财产损失。</w:t>
      </w:r>
    </w:p>
    <w:p w14:paraId="1C239A2F">
      <w:pPr>
        <w:spacing w:line="360" w:lineRule="auto"/>
        <w:ind w:firstLine="660" w:firstLineChars="300"/>
        <w:rPr>
          <w:rFonts w:hint="eastAsia" w:ascii="宋体" w:hAnsi="宋体" w:cs="宋体"/>
          <w:sz w:val="22"/>
          <w:szCs w:val="22"/>
        </w:rPr>
      </w:pPr>
      <w:r>
        <w:rPr>
          <w:rFonts w:hint="eastAsia" w:ascii="宋体" w:hAnsi="宋体" w:cs="宋体"/>
          <w:sz w:val="22"/>
          <w:szCs w:val="22"/>
        </w:rPr>
        <w:t>4.1.6  负责施工场地、周边环境和生态保护工作</w:t>
      </w:r>
    </w:p>
    <w:p w14:paraId="1BF6FB51">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承包人应按照第 9.4 款约定负责施工场地及其周边环境与生态的保护工作。</w:t>
      </w:r>
    </w:p>
    <w:p w14:paraId="78DBA4DD">
      <w:pPr>
        <w:spacing w:line="360" w:lineRule="auto"/>
        <w:ind w:firstLine="660" w:firstLineChars="300"/>
        <w:rPr>
          <w:rFonts w:hint="eastAsia" w:ascii="宋体" w:hAnsi="宋体" w:cs="宋体"/>
          <w:sz w:val="22"/>
          <w:szCs w:val="22"/>
        </w:rPr>
      </w:pPr>
      <w:r>
        <w:rPr>
          <w:rFonts w:hint="eastAsia" w:ascii="宋体" w:hAnsi="宋体" w:cs="宋体"/>
          <w:sz w:val="22"/>
          <w:szCs w:val="22"/>
        </w:rPr>
        <w:t>4.1.7  避免施工对公众与他人的利益造成损害</w:t>
      </w:r>
    </w:p>
    <w:p w14:paraId="3DA6CFA0">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FCDDF92">
      <w:pPr>
        <w:spacing w:line="360" w:lineRule="auto"/>
        <w:ind w:firstLine="660" w:firstLineChars="300"/>
        <w:rPr>
          <w:rFonts w:hint="eastAsia" w:ascii="宋体" w:hAnsi="宋体" w:cs="宋体"/>
          <w:sz w:val="22"/>
          <w:szCs w:val="22"/>
        </w:rPr>
      </w:pPr>
      <w:r>
        <w:rPr>
          <w:rFonts w:hint="eastAsia" w:ascii="宋体" w:hAnsi="宋体" w:cs="宋体"/>
          <w:sz w:val="22"/>
          <w:szCs w:val="22"/>
        </w:rPr>
        <w:t>4.1.8  为他人提供方便</w:t>
      </w:r>
    </w:p>
    <w:p w14:paraId="2DF14FEE">
      <w:pPr>
        <w:spacing w:line="360" w:lineRule="auto"/>
        <w:ind w:firstLine="660" w:firstLineChars="300"/>
        <w:rPr>
          <w:rFonts w:hint="eastAsia" w:ascii="宋体" w:hAnsi="宋体" w:cs="宋体"/>
          <w:sz w:val="22"/>
          <w:szCs w:val="22"/>
        </w:rPr>
      </w:pPr>
      <w:r>
        <w:rPr>
          <w:rFonts w:hint="eastAsia" w:ascii="宋体" w:hAnsi="宋体" w:cs="宋体"/>
          <w:sz w:val="22"/>
          <w:szCs w:val="22"/>
        </w:rPr>
        <w:t>（1）承包人应当对在施工场地或者附近实施与合同工程有关的其他工作的独立承包人履行管理、协调、配合、照管和服务义务，由此发生的费用被认为已经包括在承包人的签约合同价（投标总报价）中，具体工作内容和要求见合同条款专用部分。</w:t>
      </w:r>
    </w:p>
    <w:p w14:paraId="1C00C8A1">
      <w:pPr>
        <w:spacing w:line="360" w:lineRule="auto"/>
        <w:ind w:firstLine="660" w:firstLineChars="300"/>
        <w:rPr>
          <w:rFonts w:hint="eastAsia" w:ascii="宋体" w:hAnsi="宋体" w:cs="宋体"/>
          <w:sz w:val="24"/>
        </w:rPr>
      </w:pPr>
      <w:r>
        <w:rPr>
          <w:rFonts w:hint="eastAsia" w:ascii="宋体" w:hAnsi="宋体" w:cs="宋体"/>
          <w:sz w:val="22"/>
          <w:szCs w:val="22"/>
        </w:rPr>
        <w:t>（2）承包人还应按照监理人指示为独立承包人以外的他人在施工场地或者附近实施与合同工程有关的其他工作提供可能的条件，可能发生费用由监理人按合同条款通用部分第</w:t>
      </w:r>
      <w:r>
        <w:rPr>
          <w:rFonts w:hint="eastAsia" w:ascii="宋体" w:hAnsi="宋体" w:cs="宋体"/>
          <w:sz w:val="24"/>
        </w:rPr>
        <w:t>3.5 款商定或者确定。</w:t>
      </w:r>
    </w:p>
    <w:p w14:paraId="3E534656">
      <w:pPr>
        <w:spacing w:line="360" w:lineRule="auto"/>
        <w:ind w:firstLine="660" w:firstLineChars="300"/>
        <w:rPr>
          <w:rFonts w:hint="eastAsia" w:ascii="宋体" w:hAnsi="宋体" w:cs="宋体"/>
          <w:sz w:val="22"/>
          <w:szCs w:val="22"/>
        </w:rPr>
      </w:pPr>
      <w:r>
        <w:rPr>
          <w:rFonts w:hint="eastAsia" w:ascii="宋体" w:hAnsi="宋体" w:cs="宋体"/>
          <w:sz w:val="22"/>
          <w:szCs w:val="22"/>
        </w:rPr>
        <w:t>4.1.9  工程的维护和照管</w:t>
      </w:r>
    </w:p>
    <w:p w14:paraId="34C33E21">
      <w:pPr>
        <w:spacing w:line="360" w:lineRule="auto"/>
        <w:ind w:firstLine="660" w:firstLineChars="300"/>
        <w:rPr>
          <w:rFonts w:hint="eastAsia" w:ascii="宋体" w:hAnsi="宋体" w:cs="宋体"/>
          <w:sz w:val="22"/>
          <w:szCs w:val="22"/>
        </w:rPr>
      </w:pPr>
      <w:r>
        <w:rPr>
          <w:rFonts w:hint="eastAsia" w:ascii="宋体" w:hAnsi="宋体" w:cs="宋体"/>
          <w:sz w:val="22"/>
          <w:szCs w:val="22"/>
        </w:rPr>
        <w:t>工程接收证书颁发前，承包人应负责照管和维护工程。工程接收证书颁发时尚有部分未竣工工程的，承包人还应负责该未竣工工程的照管和维护工作，直至竣工后移交给发包人为 止。</w:t>
      </w:r>
    </w:p>
    <w:p w14:paraId="4350F6A3">
      <w:pPr>
        <w:spacing w:line="360" w:lineRule="auto"/>
        <w:ind w:firstLine="660" w:firstLineChars="300"/>
        <w:rPr>
          <w:rFonts w:hint="eastAsia" w:ascii="宋体" w:hAnsi="宋体" w:cs="宋体"/>
          <w:sz w:val="22"/>
          <w:szCs w:val="22"/>
        </w:rPr>
      </w:pPr>
      <w:r>
        <w:rPr>
          <w:rFonts w:hint="eastAsia" w:ascii="宋体" w:hAnsi="宋体" w:cs="宋体"/>
          <w:sz w:val="22"/>
          <w:szCs w:val="22"/>
        </w:rPr>
        <w:t>4.1.10  承包人的设计工作</w:t>
      </w:r>
    </w:p>
    <w:p w14:paraId="422AD9C0">
      <w:pPr>
        <w:spacing w:line="360" w:lineRule="auto"/>
        <w:ind w:firstLine="660" w:firstLineChars="300"/>
        <w:rPr>
          <w:rFonts w:hint="eastAsia" w:ascii="宋体" w:hAnsi="宋体" w:cs="宋体"/>
          <w:sz w:val="22"/>
          <w:szCs w:val="22"/>
        </w:rPr>
      </w:pPr>
      <w:r>
        <w:rPr>
          <w:rFonts w:hint="eastAsia" w:ascii="宋体" w:hAnsi="宋体" w:cs="宋体"/>
          <w:sz w:val="22"/>
          <w:szCs w:val="22"/>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 1.6.2 项约定的承包人提供的文件，承包人应按照合同条款专用部分第 1.6.2 项约定的期限和数量提交，由此发生的费用被认为已经包括在承包人的签约合同价（投标总报价）中。承包人承担的施工图设计或与工程配套的设计工作内容见合同条款专用部分。</w:t>
      </w:r>
    </w:p>
    <w:p w14:paraId="18220FDF">
      <w:pPr>
        <w:spacing w:line="360" w:lineRule="auto"/>
        <w:ind w:firstLine="660" w:firstLineChars="300"/>
        <w:rPr>
          <w:rFonts w:hint="eastAsia" w:ascii="宋体" w:hAnsi="宋体" w:cs="宋体"/>
          <w:sz w:val="22"/>
          <w:szCs w:val="22"/>
        </w:rPr>
      </w:pPr>
      <w:r>
        <w:rPr>
          <w:rFonts w:hint="eastAsia" w:ascii="宋体" w:hAnsi="宋体" w:cs="宋体"/>
          <w:sz w:val="22"/>
          <w:szCs w:val="22"/>
        </w:rPr>
        <w:t>4.1.11  农民工工资保证金</w:t>
      </w:r>
    </w:p>
    <w:p w14:paraId="50DEACEF">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承包人应在银行设立工资保证金专用账户，专项用于发生欠薪时支付农民工工资的应急保障。账户内资金启用应当经建设主管部门和劳动保障行政部门批准。</w:t>
      </w:r>
    </w:p>
    <w:p w14:paraId="39ABF4D8">
      <w:pPr>
        <w:spacing w:line="360" w:lineRule="auto"/>
        <w:ind w:firstLine="660" w:firstLineChars="300"/>
        <w:rPr>
          <w:rFonts w:hint="eastAsia" w:ascii="宋体" w:hAnsi="宋体" w:cs="宋体"/>
          <w:sz w:val="22"/>
          <w:szCs w:val="22"/>
        </w:rPr>
      </w:pPr>
      <w:r>
        <w:rPr>
          <w:rFonts w:hint="eastAsia" w:ascii="宋体" w:hAnsi="宋体" w:cs="宋体"/>
          <w:sz w:val="22"/>
          <w:szCs w:val="22"/>
        </w:rPr>
        <w:t>4.1.12  保障妇女的劳动和社会保障权益</w:t>
      </w:r>
    </w:p>
    <w:p w14:paraId="089ECCCB">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承包人应遵守《中华人民共和国妇女权益保障法》中关于“劳动和社会保障权益 ”的有关要求。</w:t>
      </w:r>
    </w:p>
    <w:p w14:paraId="1A1E02C4">
      <w:pPr>
        <w:spacing w:line="360" w:lineRule="auto"/>
        <w:ind w:firstLine="660" w:firstLineChars="300"/>
        <w:rPr>
          <w:rFonts w:hint="eastAsia" w:ascii="宋体" w:hAnsi="宋体" w:cs="宋体"/>
          <w:sz w:val="22"/>
          <w:szCs w:val="22"/>
        </w:rPr>
      </w:pPr>
      <w:r>
        <w:rPr>
          <w:rFonts w:hint="eastAsia" w:ascii="宋体" w:hAnsi="宋体" w:cs="宋体"/>
          <w:sz w:val="22"/>
          <w:szCs w:val="22"/>
        </w:rPr>
        <w:t>4.1.13  其他义务</w:t>
      </w:r>
    </w:p>
    <w:p w14:paraId="0BAC9DAA">
      <w:pPr>
        <w:spacing w:line="360" w:lineRule="auto"/>
        <w:ind w:firstLine="660" w:firstLineChars="300"/>
        <w:rPr>
          <w:rFonts w:hint="eastAsia" w:ascii="宋体" w:hAnsi="宋体" w:cs="宋体"/>
          <w:sz w:val="24"/>
        </w:rPr>
      </w:pPr>
      <w:r>
        <w:rPr>
          <w:rFonts w:hint="eastAsia" w:ascii="宋体" w:hAnsi="宋体" w:cs="宋体"/>
          <w:sz w:val="22"/>
          <w:szCs w:val="22"/>
        </w:rPr>
        <w:t>承包人应履行的其他义务见合同条款专用部分。</w:t>
      </w:r>
    </w:p>
    <w:p w14:paraId="0263DF7B">
      <w:pPr>
        <w:spacing w:line="360" w:lineRule="auto"/>
        <w:rPr>
          <w:rFonts w:hint="eastAsia" w:ascii="宋体" w:hAnsi="宋体" w:cs="宋体"/>
          <w:sz w:val="24"/>
        </w:rPr>
      </w:pPr>
      <w:r>
        <w:rPr>
          <w:rFonts w:hint="eastAsia" w:ascii="宋体" w:hAnsi="宋体" w:cs="宋体"/>
          <w:sz w:val="24"/>
        </w:rPr>
        <w:t>4.2  履约担保</w:t>
      </w:r>
    </w:p>
    <w:p w14:paraId="48F5D5EE">
      <w:pPr>
        <w:spacing w:line="360" w:lineRule="auto"/>
        <w:ind w:firstLine="660" w:firstLineChars="300"/>
        <w:rPr>
          <w:rFonts w:hint="eastAsia" w:ascii="宋体" w:hAnsi="宋体" w:cs="宋体"/>
          <w:sz w:val="22"/>
          <w:szCs w:val="22"/>
        </w:rPr>
      </w:pPr>
      <w:r>
        <w:rPr>
          <w:rFonts w:hint="eastAsia" w:ascii="宋体" w:hAnsi="宋体" w:cs="宋体"/>
          <w:sz w:val="22"/>
          <w:szCs w:val="22"/>
        </w:rPr>
        <w:t>4.2.1  履约担保的格式和金额</w:t>
      </w:r>
    </w:p>
    <w:p w14:paraId="1E520A65">
      <w:pPr>
        <w:spacing w:line="360" w:lineRule="auto"/>
        <w:ind w:firstLine="660" w:firstLineChars="300"/>
        <w:rPr>
          <w:rFonts w:hint="eastAsia" w:ascii="宋体" w:hAnsi="宋体" w:cs="宋体"/>
          <w:sz w:val="22"/>
          <w:szCs w:val="22"/>
        </w:rPr>
      </w:pPr>
      <w:r>
        <w:rPr>
          <w:rFonts w:hint="eastAsia" w:ascii="宋体" w:hAnsi="宋体" w:cs="宋体"/>
          <w:sz w:val="22"/>
          <w:szCs w:val="22"/>
        </w:rPr>
        <w:t>合同约定承包人提交履约担保的，承包人应在签订合同前，按照发包人约定的格式或者其他经过发包人认可的格式向发包人递交一份履约担保。经过发包人事先书面认可的其他格 式的履约担保，其担保条款的实质性内容应当与发包人合同文件约定的格式内容保持一致。 承包人是否提交履约担保及需要提交履约担保的金额见合同条款专用部分。承包人履约担保格式见合同条款专用部分附件五。</w:t>
      </w:r>
    </w:p>
    <w:p w14:paraId="3C602326">
      <w:pPr>
        <w:spacing w:line="360" w:lineRule="auto"/>
        <w:ind w:firstLine="660" w:firstLineChars="300"/>
        <w:rPr>
          <w:rFonts w:hint="eastAsia" w:ascii="宋体" w:hAnsi="宋体" w:cs="宋体"/>
          <w:sz w:val="22"/>
          <w:szCs w:val="22"/>
        </w:rPr>
      </w:pPr>
      <w:r>
        <w:rPr>
          <w:rFonts w:hint="eastAsia" w:ascii="宋体" w:hAnsi="宋体" w:cs="宋体"/>
          <w:sz w:val="22"/>
          <w:szCs w:val="22"/>
        </w:rPr>
        <w:t>4.2.2  履约担保的有效期</w:t>
      </w:r>
    </w:p>
    <w:p w14:paraId="515995F8">
      <w:pPr>
        <w:spacing w:line="360" w:lineRule="auto"/>
        <w:ind w:firstLine="660" w:firstLineChars="300"/>
        <w:rPr>
          <w:rFonts w:hint="eastAsia" w:ascii="宋体" w:hAnsi="宋体" w:cs="宋体"/>
          <w:sz w:val="22"/>
          <w:szCs w:val="22"/>
        </w:rPr>
      </w:pPr>
      <w:r>
        <w:rPr>
          <w:rFonts w:hint="eastAsia" w:ascii="宋体" w:hAnsi="宋体" w:cs="宋体"/>
          <w:sz w:val="22"/>
          <w:szCs w:val="22"/>
        </w:rPr>
        <w:t>履约担保的有效期应当自本合同生效之日起至发包人签认并由监理人向承包人出具工程接收证书之日止。如果承包人无法获得一份不带具体截止日期的担保，履约担保中就应当约定有“变更工程竣工日期的，保证期间按照变更后的竣工日期做相应调整 ”或类似约定的 条款。</w:t>
      </w:r>
    </w:p>
    <w:p w14:paraId="2A1D6D0E">
      <w:pPr>
        <w:spacing w:line="360" w:lineRule="auto"/>
        <w:ind w:firstLine="660" w:firstLineChars="300"/>
        <w:rPr>
          <w:rFonts w:hint="eastAsia" w:ascii="宋体" w:hAnsi="宋体" w:cs="宋体"/>
          <w:sz w:val="22"/>
          <w:szCs w:val="22"/>
        </w:rPr>
      </w:pPr>
      <w:r>
        <w:rPr>
          <w:rFonts w:hint="eastAsia" w:ascii="宋体" w:hAnsi="宋体" w:cs="宋体"/>
          <w:sz w:val="22"/>
          <w:szCs w:val="22"/>
        </w:rPr>
        <w:t>4.2.3  履约担保的退还</w:t>
      </w:r>
    </w:p>
    <w:p w14:paraId="2DBE59C3">
      <w:pPr>
        <w:spacing w:line="360" w:lineRule="auto"/>
        <w:ind w:firstLine="660" w:firstLineChars="300"/>
        <w:rPr>
          <w:rFonts w:hint="eastAsia" w:ascii="宋体" w:hAnsi="宋体" w:cs="宋体"/>
          <w:sz w:val="22"/>
          <w:szCs w:val="22"/>
        </w:rPr>
      </w:pPr>
      <w:r>
        <w:rPr>
          <w:rFonts w:hint="eastAsia" w:ascii="宋体" w:hAnsi="宋体" w:cs="宋体"/>
          <w:sz w:val="22"/>
          <w:szCs w:val="22"/>
        </w:rPr>
        <w:t>履约担保应在监理人向承包人颁发（出具）工程接收证书之日后 28 天内退还给承包人。 发包人不承担承包人与履约担保有关的任何利息或其它类似的费用或者收益。</w:t>
      </w:r>
    </w:p>
    <w:p w14:paraId="555D105E">
      <w:pPr>
        <w:spacing w:line="360" w:lineRule="auto"/>
        <w:ind w:firstLine="660" w:firstLineChars="300"/>
        <w:rPr>
          <w:rFonts w:hint="eastAsia" w:ascii="宋体" w:hAnsi="宋体" w:cs="宋体"/>
          <w:sz w:val="22"/>
          <w:szCs w:val="22"/>
        </w:rPr>
      </w:pPr>
      <w:r>
        <w:rPr>
          <w:rFonts w:hint="eastAsia" w:ascii="宋体" w:hAnsi="宋体" w:cs="宋体"/>
          <w:sz w:val="22"/>
          <w:szCs w:val="22"/>
        </w:rPr>
        <w:t>4.2.4  通知义务</w:t>
      </w:r>
    </w:p>
    <w:p w14:paraId="7BA39899">
      <w:pPr>
        <w:spacing w:line="360" w:lineRule="auto"/>
        <w:ind w:firstLine="660" w:firstLineChars="300"/>
        <w:rPr>
          <w:rFonts w:hint="eastAsia" w:ascii="宋体" w:hAnsi="宋体" w:cs="宋体"/>
          <w:sz w:val="22"/>
          <w:szCs w:val="22"/>
        </w:rPr>
      </w:pPr>
      <w:r>
        <w:rPr>
          <w:rFonts w:hint="eastAsia" w:ascii="宋体" w:hAnsi="宋体" w:cs="宋体"/>
          <w:sz w:val="22"/>
          <w:szCs w:val="22"/>
        </w:rPr>
        <w:t>不管履约担保条款中如何约定，发包人根据担保条款提出索赔或兑现要求 28 天前，应 通知承包人并说明导致此类索赔或兑现的违约性质或原因。相应地，不管第 2.8 款约定的支付担保条款中如何约定，承包人根据担保条款提出索赔或兑现要求 28 天前，也应通知发包人并说明导致此类索赔或兑现的违约性质或原因。但是，本项约定的通知不应理解为是在任何意义上寻求承包人或者发包人的同意。</w:t>
      </w:r>
    </w:p>
    <w:p w14:paraId="3CB51ECE">
      <w:pPr>
        <w:spacing w:line="360" w:lineRule="auto"/>
        <w:rPr>
          <w:rFonts w:hint="eastAsia" w:ascii="宋体" w:hAnsi="宋体" w:cs="宋体"/>
          <w:sz w:val="24"/>
        </w:rPr>
      </w:pPr>
      <w:r>
        <w:rPr>
          <w:rFonts w:hint="eastAsia" w:ascii="宋体" w:hAnsi="宋体" w:cs="宋体"/>
          <w:sz w:val="24"/>
        </w:rPr>
        <w:t>4.3  分包</w:t>
      </w:r>
    </w:p>
    <w:p w14:paraId="67A4E498">
      <w:pPr>
        <w:spacing w:line="360" w:lineRule="auto"/>
        <w:ind w:firstLine="660" w:firstLineChars="300"/>
        <w:rPr>
          <w:rFonts w:hint="eastAsia" w:ascii="宋体" w:hAnsi="宋体" w:cs="宋体"/>
          <w:sz w:val="22"/>
          <w:szCs w:val="22"/>
        </w:rPr>
      </w:pPr>
      <w:r>
        <w:rPr>
          <w:rFonts w:hint="eastAsia" w:ascii="宋体" w:hAnsi="宋体" w:cs="宋体"/>
          <w:sz w:val="22"/>
          <w:szCs w:val="22"/>
        </w:rPr>
        <w:t>4.3.1  承包人不得将其承包的全部工程转包给第三人，或将其承包的全部工程肢解后 以分包的名义转包给第三人。</w:t>
      </w:r>
    </w:p>
    <w:p w14:paraId="7E2027EC">
      <w:pPr>
        <w:spacing w:line="360" w:lineRule="auto"/>
        <w:ind w:firstLine="660" w:firstLineChars="300"/>
        <w:rPr>
          <w:rFonts w:hint="eastAsia" w:ascii="宋体" w:hAnsi="宋体" w:cs="宋体"/>
          <w:sz w:val="22"/>
          <w:szCs w:val="22"/>
        </w:rPr>
      </w:pPr>
      <w:r>
        <w:rPr>
          <w:rFonts w:hint="eastAsia" w:ascii="宋体" w:hAnsi="宋体" w:cs="宋体"/>
          <w:sz w:val="22"/>
          <w:szCs w:val="22"/>
        </w:rPr>
        <w:t>4.3.2  承包人不得将工程主体、关键性工作分包给第三人。</w:t>
      </w:r>
    </w:p>
    <w:p w14:paraId="7A250BB4">
      <w:pPr>
        <w:spacing w:line="360" w:lineRule="auto"/>
        <w:ind w:firstLine="660" w:firstLineChars="300"/>
        <w:rPr>
          <w:rFonts w:hint="eastAsia" w:ascii="宋体" w:hAnsi="宋体" w:cs="宋体"/>
          <w:sz w:val="22"/>
          <w:szCs w:val="22"/>
        </w:rPr>
      </w:pPr>
      <w:r>
        <w:rPr>
          <w:rFonts w:hint="eastAsia" w:ascii="宋体" w:hAnsi="宋体" w:cs="宋体"/>
          <w:sz w:val="22"/>
          <w:szCs w:val="22"/>
        </w:rPr>
        <w:t>4.3.3  未经发包人同意，承包人不得将其自行施工范围工程的其他部分或工作分包给 第三人。发包人同意承包人分包的非主体、非关键性工作包括：</w:t>
      </w:r>
    </w:p>
    <w:p w14:paraId="428040BC">
      <w:pPr>
        <w:spacing w:line="360" w:lineRule="auto"/>
        <w:ind w:firstLine="660" w:firstLineChars="300"/>
        <w:rPr>
          <w:rFonts w:hint="eastAsia" w:ascii="宋体" w:hAnsi="宋体" w:cs="宋体"/>
          <w:sz w:val="22"/>
          <w:szCs w:val="22"/>
        </w:rPr>
      </w:pPr>
      <w:r>
        <w:rPr>
          <w:rFonts w:hint="eastAsia" w:ascii="宋体" w:hAnsi="宋体" w:cs="宋体"/>
          <w:sz w:val="22"/>
          <w:szCs w:val="22"/>
        </w:rPr>
        <w:t>（1）投标函附录约定的分包工程；</w:t>
      </w:r>
    </w:p>
    <w:p w14:paraId="2CB5A19E">
      <w:pPr>
        <w:spacing w:line="360" w:lineRule="auto"/>
        <w:ind w:firstLine="660" w:firstLineChars="300"/>
        <w:rPr>
          <w:rFonts w:hint="eastAsia" w:ascii="宋体" w:hAnsi="宋体" w:cs="宋体"/>
          <w:sz w:val="22"/>
          <w:szCs w:val="22"/>
        </w:rPr>
      </w:pPr>
      <w:r>
        <w:rPr>
          <w:rFonts w:hint="eastAsia" w:ascii="宋体" w:hAnsi="宋体" w:cs="宋体"/>
          <w:sz w:val="22"/>
          <w:szCs w:val="22"/>
        </w:rPr>
        <w:t>（2）除投标函附录中约定的分包内容外，经过发包人和监理人同意的其他非主体、非关 键性工作，但分包人应当经过发包人和监理人审批。发包人和监理人有权拒绝承包人的分包 请求和承包人选择的分包人。</w:t>
      </w:r>
    </w:p>
    <w:p w14:paraId="77451A02">
      <w:pPr>
        <w:spacing w:line="360" w:lineRule="auto"/>
        <w:ind w:firstLine="660" w:firstLineChars="300"/>
        <w:rPr>
          <w:rFonts w:hint="eastAsia" w:ascii="宋体" w:hAnsi="宋体" w:cs="宋体"/>
          <w:sz w:val="22"/>
          <w:szCs w:val="22"/>
        </w:rPr>
      </w:pPr>
      <w:r>
        <w:rPr>
          <w:rFonts w:hint="eastAsia" w:ascii="宋体" w:hAnsi="宋体" w:cs="宋体"/>
          <w:sz w:val="22"/>
          <w:szCs w:val="22"/>
        </w:rPr>
        <w:t>4.3.4  发包人在工程量清单中给定暂估价的专业工程，包括从暂列金额开支的专业工程，达到依法应当招标的规模标准的，以及虽未达到规定的规模标准但合同中约定采用招标方式实施的，应当按第 15.8.1 项的约定，由发包人和承包人以招标方式确定专业分包人。 除项目审批部门有特别核准外，暂估价的专业工程的招标应当采用与施工总承包同样的招标方式。</w:t>
      </w:r>
    </w:p>
    <w:p w14:paraId="5601575A">
      <w:pPr>
        <w:spacing w:line="360" w:lineRule="auto"/>
        <w:ind w:firstLine="660" w:firstLineChars="300"/>
        <w:rPr>
          <w:rFonts w:hint="eastAsia" w:ascii="宋体" w:hAnsi="宋体" w:cs="宋体"/>
          <w:sz w:val="22"/>
          <w:szCs w:val="22"/>
        </w:rPr>
      </w:pPr>
      <w:r>
        <w:rPr>
          <w:rFonts w:hint="eastAsia" w:ascii="宋体" w:hAnsi="宋体" w:cs="宋体"/>
          <w:sz w:val="22"/>
          <w:szCs w:val="22"/>
        </w:rPr>
        <w:t>4.3.5  在相关分包合同签订并报送有关建设行政主管部门后 7 天内，承包人应当将一份副本提交给监理人，承包人应保障分包工作不得再次分包。</w:t>
      </w:r>
    </w:p>
    <w:p w14:paraId="5CAD3B12">
      <w:pPr>
        <w:spacing w:line="360" w:lineRule="auto"/>
        <w:ind w:firstLine="660" w:firstLineChars="300"/>
        <w:rPr>
          <w:rFonts w:hint="eastAsia" w:ascii="宋体" w:hAnsi="宋体" w:cs="宋体"/>
          <w:sz w:val="22"/>
          <w:szCs w:val="22"/>
        </w:rPr>
      </w:pPr>
      <w:r>
        <w:rPr>
          <w:rFonts w:hint="eastAsia" w:ascii="宋体" w:hAnsi="宋体" w:cs="宋体"/>
          <w:sz w:val="22"/>
          <w:szCs w:val="22"/>
        </w:rPr>
        <w:t>4.3.6  分包工程价款由承包人与分包人（包括专业分包人）结算。未经承包人同意，发包人不得以任何形式向分包人（包括专业分包人）支付相关分包合同项下的任何工程款项。 因发包人未经承包人同意直接向分包人（包括专业分包人）支付相关分包合同项下的任何工程款项而影响承包人工作的，所造成的承包人费用增加和（或）延误的工期由发包人承担。</w:t>
      </w:r>
    </w:p>
    <w:p w14:paraId="6AD73CAE">
      <w:pPr>
        <w:spacing w:line="360" w:lineRule="auto"/>
        <w:ind w:firstLine="660" w:firstLineChars="300"/>
        <w:rPr>
          <w:rFonts w:hint="eastAsia" w:ascii="宋体" w:hAnsi="宋体" w:cs="宋体"/>
          <w:sz w:val="22"/>
          <w:szCs w:val="22"/>
        </w:rPr>
      </w:pPr>
      <w:r>
        <w:rPr>
          <w:rFonts w:hint="eastAsia" w:ascii="宋体" w:hAnsi="宋体" w:cs="宋体"/>
          <w:sz w:val="22"/>
          <w:szCs w:val="22"/>
        </w:rPr>
        <w:t>4.3.7  未经发包人和监理人审批同意的分包工程和分包人，发包人有权拒绝验收分包工程和支付相应款项， 由此引起的承包人费用增加和（或）延误的工期由承包人承担。</w:t>
      </w:r>
    </w:p>
    <w:p w14:paraId="03084339">
      <w:pPr>
        <w:spacing w:line="360" w:lineRule="auto"/>
        <w:ind w:firstLine="660" w:firstLineChars="300"/>
        <w:rPr>
          <w:rFonts w:hint="eastAsia" w:ascii="宋体" w:hAnsi="宋体" w:cs="宋体"/>
          <w:sz w:val="22"/>
          <w:szCs w:val="22"/>
        </w:rPr>
      </w:pPr>
      <w:r>
        <w:rPr>
          <w:rFonts w:hint="eastAsia" w:ascii="宋体" w:hAnsi="宋体" w:cs="宋体"/>
          <w:sz w:val="22"/>
          <w:szCs w:val="22"/>
        </w:rPr>
        <w:t>4.3.8  分包人的资格能力应与其分包工程的标准和规模相适应。</w:t>
      </w:r>
    </w:p>
    <w:p w14:paraId="78C2C453">
      <w:pPr>
        <w:spacing w:line="360" w:lineRule="auto"/>
        <w:ind w:firstLine="660" w:firstLineChars="300"/>
        <w:rPr>
          <w:rFonts w:hint="eastAsia" w:ascii="宋体" w:hAnsi="宋体" w:cs="宋体"/>
          <w:sz w:val="22"/>
          <w:szCs w:val="22"/>
        </w:rPr>
      </w:pPr>
      <w:r>
        <w:rPr>
          <w:rFonts w:hint="eastAsia" w:ascii="宋体" w:hAnsi="宋体" w:cs="宋体"/>
          <w:sz w:val="22"/>
          <w:szCs w:val="22"/>
        </w:rPr>
        <w:t>4.3.9  发包人同意的分包工程，承包人应向发包人和监理人提供合同副本。</w:t>
      </w:r>
    </w:p>
    <w:p w14:paraId="3F0E918B">
      <w:pPr>
        <w:spacing w:line="360" w:lineRule="auto"/>
        <w:ind w:firstLine="660" w:firstLineChars="300"/>
        <w:rPr>
          <w:rFonts w:hint="eastAsia" w:ascii="宋体" w:hAnsi="宋体" w:cs="宋体"/>
          <w:sz w:val="22"/>
          <w:szCs w:val="22"/>
        </w:rPr>
      </w:pPr>
      <w:r>
        <w:rPr>
          <w:rFonts w:hint="eastAsia" w:ascii="宋体" w:hAnsi="宋体" w:cs="宋体"/>
          <w:sz w:val="22"/>
          <w:szCs w:val="22"/>
        </w:rPr>
        <w:t>4.3.10  承包人应与分包人就分包工程向发包人承担连带责任。</w:t>
      </w:r>
    </w:p>
    <w:p w14:paraId="7BF758FE">
      <w:pPr>
        <w:spacing w:line="360" w:lineRule="auto"/>
        <w:rPr>
          <w:rFonts w:hint="eastAsia" w:ascii="宋体" w:hAnsi="宋体" w:cs="宋体"/>
          <w:sz w:val="24"/>
        </w:rPr>
      </w:pPr>
      <w:r>
        <w:rPr>
          <w:rFonts w:hint="eastAsia" w:ascii="宋体" w:hAnsi="宋体" w:cs="宋体"/>
          <w:sz w:val="24"/>
        </w:rPr>
        <w:t>4.4  联合体</w:t>
      </w:r>
    </w:p>
    <w:p w14:paraId="5E72E5F5">
      <w:pPr>
        <w:spacing w:line="360" w:lineRule="auto"/>
        <w:ind w:firstLine="660" w:firstLineChars="300"/>
        <w:rPr>
          <w:rFonts w:hint="eastAsia" w:ascii="宋体" w:hAnsi="宋体" w:cs="宋体"/>
          <w:sz w:val="22"/>
          <w:szCs w:val="22"/>
        </w:rPr>
      </w:pPr>
      <w:r>
        <w:rPr>
          <w:rFonts w:hint="eastAsia" w:ascii="宋体" w:hAnsi="宋体" w:cs="宋体"/>
          <w:sz w:val="22"/>
          <w:szCs w:val="22"/>
        </w:rPr>
        <w:t>4.4.1  联合体各方应共同与发包人签订合同协议书。联合体各方应为履行合同承担连带责任。</w:t>
      </w:r>
    </w:p>
    <w:p w14:paraId="0191F167">
      <w:pPr>
        <w:spacing w:line="360" w:lineRule="auto"/>
        <w:ind w:firstLine="660" w:firstLineChars="300"/>
        <w:rPr>
          <w:rFonts w:hint="eastAsia" w:ascii="宋体" w:hAnsi="宋体" w:cs="宋体"/>
          <w:sz w:val="22"/>
          <w:szCs w:val="22"/>
        </w:rPr>
      </w:pPr>
      <w:r>
        <w:rPr>
          <w:rFonts w:hint="eastAsia" w:ascii="宋体" w:hAnsi="宋体" w:cs="宋体"/>
          <w:sz w:val="22"/>
          <w:szCs w:val="22"/>
        </w:rPr>
        <w:t>4.4.2  联合体协议经发包人确认后作为合同附件。在履行合同过程中，未经发包人同意，不得修改联合体协议。</w:t>
      </w:r>
    </w:p>
    <w:p w14:paraId="4BCA8549">
      <w:pPr>
        <w:spacing w:line="360" w:lineRule="auto"/>
        <w:ind w:firstLine="660" w:firstLineChars="300"/>
        <w:rPr>
          <w:rFonts w:hint="eastAsia" w:ascii="宋体" w:hAnsi="宋体" w:cs="宋体"/>
          <w:sz w:val="22"/>
          <w:szCs w:val="22"/>
        </w:rPr>
      </w:pPr>
      <w:r>
        <w:rPr>
          <w:rFonts w:hint="eastAsia" w:ascii="宋体" w:hAnsi="宋体" w:cs="宋体"/>
          <w:sz w:val="22"/>
          <w:szCs w:val="22"/>
        </w:rPr>
        <w:t>4.4.3  联合体牵头人负责与发包人和监理人联系，并接受指示，负责组织联合体各成员全面履行合同。</w:t>
      </w:r>
    </w:p>
    <w:p w14:paraId="5CA7D719">
      <w:pPr>
        <w:spacing w:line="360" w:lineRule="auto"/>
        <w:rPr>
          <w:rFonts w:hint="eastAsia" w:ascii="宋体" w:hAnsi="宋体" w:cs="宋体"/>
          <w:sz w:val="24"/>
        </w:rPr>
      </w:pPr>
      <w:r>
        <w:rPr>
          <w:rFonts w:hint="eastAsia" w:ascii="宋体" w:hAnsi="宋体" w:cs="宋体"/>
          <w:sz w:val="24"/>
        </w:rPr>
        <w:t>4.5  承包人项目经理</w:t>
      </w:r>
    </w:p>
    <w:p w14:paraId="07FF00AF">
      <w:pPr>
        <w:spacing w:line="360" w:lineRule="auto"/>
        <w:ind w:firstLine="660" w:firstLineChars="300"/>
        <w:rPr>
          <w:rFonts w:hint="eastAsia" w:ascii="宋体" w:hAnsi="宋体" w:cs="宋体"/>
          <w:sz w:val="22"/>
          <w:szCs w:val="22"/>
        </w:rPr>
      </w:pPr>
      <w:r>
        <w:rPr>
          <w:rFonts w:hint="eastAsia" w:ascii="宋体" w:hAnsi="宋体" w:cs="宋体"/>
          <w:sz w:val="22"/>
          <w:szCs w:val="22"/>
        </w:rPr>
        <w:t>4.5.1  承包人项目经理必须与承包人投标时所承诺的人员一致，并在根据第 11.1.1 项确定的开工日期前到任。在监理人向承包人颁发（出具）工程接收证书前，项目经理不得 同时兼任其他任何项目的项目经理。未经发包人书面许可，承包人不得更换项目经理。承包 人项目经理的姓名、职称、身份证号、执业资格证书号、注册证书号、执业印章号、安全生 产考核合格证书号等细节资料应当在合同协议书中载明。承包人更换项目经理应事先征得发 包人同意，并应在更换 14 天前通知发包人和监理人。承包人项目经理短期离开施工场地， 应事先征得监理人同意，并委派代表代行其职责。</w:t>
      </w:r>
    </w:p>
    <w:p w14:paraId="21BBD5E6">
      <w:pPr>
        <w:spacing w:line="360" w:lineRule="auto"/>
        <w:ind w:firstLine="660" w:firstLineChars="300"/>
        <w:rPr>
          <w:rFonts w:hint="eastAsia" w:ascii="宋体" w:hAnsi="宋体" w:cs="宋体"/>
          <w:sz w:val="22"/>
          <w:szCs w:val="22"/>
        </w:rPr>
      </w:pPr>
      <w:r>
        <w:rPr>
          <w:rFonts w:hint="eastAsia" w:ascii="宋体" w:hAnsi="宋体" w:cs="宋体"/>
          <w:sz w:val="22"/>
          <w:szCs w:val="22"/>
        </w:rPr>
        <w:t>4.5.2  承包人项目经理应按合同约定以及监理人按第 3.4 款作出的指示，负责组织合同工程的实施。在情况紧急且无法与监理人取得联系时，可采取保证工程和人员生命财产安全的紧急措施，并在采取措施后 24 小时内向监理人提交书面报告。</w:t>
      </w:r>
    </w:p>
    <w:p w14:paraId="617308E3">
      <w:pPr>
        <w:spacing w:line="360" w:lineRule="auto"/>
        <w:ind w:firstLine="660" w:firstLineChars="300"/>
        <w:rPr>
          <w:rFonts w:hint="eastAsia" w:ascii="宋体" w:hAnsi="宋体" w:cs="宋体"/>
          <w:sz w:val="22"/>
          <w:szCs w:val="22"/>
        </w:rPr>
      </w:pPr>
      <w:r>
        <w:rPr>
          <w:rFonts w:hint="eastAsia" w:ascii="宋体" w:hAnsi="宋体" w:cs="宋体"/>
          <w:sz w:val="22"/>
          <w:szCs w:val="22"/>
        </w:rPr>
        <w:t>4.5.3  承包人为履行合同发出的一切函件均应盖有承包人授权的施工场地管理机构章，并由承包人项目经理或其授权代表签字。</w:t>
      </w:r>
    </w:p>
    <w:p w14:paraId="3BA7C502">
      <w:pPr>
        <w:spacing w:line="360" w:lineRule="auto"/>
        <w:ind w:firstLine="660" w:firstLineChars="300"/>
        <w:rPr>
          <w:rFonts w:hint="eastAsia" w:ascii="宋体" w:hAnsi="宋体" w:cs="宋体"/>
          <w:sz w:val="22"/>
          <w:szCs w:val="22"/>
        </w:rPr>
      </w:pPr>
      <w:r>
        <w:rPr>
          <w:rFonts w:hint="eastAsia" w:ascii="宋体" w:hAnsi="宋体" w:cs="宋体"/>
          <w:sz w:val="22"/>
          <w:szCs w:val="22"/>
        </w:rPr>
        <w:t>4.5.4  承包人项目经理可以授权其下属人员履行其某项职责，但事先应将这些人员的姓名和授权范围通知监理人。</w:t>
      </w:r>
    </w:p>
    <w:p w14:paraId="1E6CD36D">
      <w:pPr>
        <w:spacing w:line="360" w:lineRule="auto"/>
        <w:ind w:firstLine="660" w:firstLineChars="300"/>
        <w:rPr>
          <w:rFonts w:hint="eastAsia" w:ascii="宋体" w:hAnsi="宋体" w:cs="宋体"/>
          <w:sz w:val="22"/>
          <w:szCs w:val="22"/>
        </w:rPr>
      </w:pPr>
      <w:r>
        <w:rPr>
          <w:rFonts w:hint="eastAsia" w:ascii="宋体" w:hAnsi="宋体" w:cs="宋体"/>
          <w:sz w:val="22"/>
          <w:szCs w:val="22"/>
        </w:rPr>
        <w:t>4.6  承包人人员的管理</w:t>
      </w:r>
    </w:p>
    <w:p w14:paraId="29431659">
      <w:pPr>
        <w:spacing w:line="360" w:lineRule="auto"/>
        <w:ind w:firstLine="660" w:firstLineChars="300"/>
        <w:rPr>
          <w:rFonts w:hint="eastAsia" w:ascii="宋体" w:hAnsi="宋体" w:cs="宋体"/>
          <w:sz w:val="22"/>
          <w:szCs w:val="22"/>
        </w:rPr>
      </w:pPr>
      <w:r>
        <w:rPr>
          <w:rFonts w:hint="eastAsia" w:ascii="宋体" w:hAnsi="宋体" w:cs="宋体"/>
          <w:sz w:val="22"/>
          <w:szCs w:val="22"/>
        </w:rPr>
        <w:t>4.6.1  承包人应在接到开工通知后 28 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 的报告。</w:t>
      </w:r>
    </w:p>
    <w:p w14:paraId="7BE9C797">
      <w:pPr>
        <w:spacing w:line="360" w:lineRule="auto"/>
        <w:ind w:firstLine="660" w:firstLineChars="300"/>
        <w:rPr>
          <w:rFonts w:hint="eastAsia" w:ascii="宋体" w:hAnsi="宋体" w:cs="宋体"/>
          <w:sz w:val="22"/>
          <w:szCs w:val="22"/>
        </w:rPr>
      </w:pPr>
      <w:r>
        <w:rPr>
          <w:rFonts w:hint="eastAsia" w:ascii="宋体" w:hAnsi="宋体" w:cs="宋体"/>
          <w:sz w:val="22"/>
          <w:szCs w:val="22"/>
        </w:rPr>
        <w:t>4.6.2  为完成合同约定的各项工作，承包人应向施工场地派遣或雇佣足够数量的下列人员：</w:t>
      </w:r>
    </w:p>
    <w:p w14:paraId="35DC72B9">
      <w:pPr>
        <w:spacing w:line="360" w:lineRule="auto"/>
        <w:ind w:firstLine="660" w:firstLineChars="300"/>
        <w:rPr>
          <w:rFonts w:hint="eastAsia" w:ascii="宋体" w:hAnsi="宋体" w:cs="宋体"/>
          <w:sz w:val="22"/>
          <w:szCs w:val="22"/>
        </w:rPr>
      </w:pPr>
      <w:r>
        <w:rPr>
          <w:rFonts w:hint="eastAsia" w:ascii="宋体" w:hAnsi="宋体" w:cs="宋体"/>
          <w:sz w:val="22"/>
          <w:szCs w:val="22"/>
        </w:rPr>
        <w:t>（1）具有相应资格的专业技工和合格的普工；</w:t>
      </w:r>
    </w:p>
    <w:p w14:paraId="0F48AC28">
      <w:pPr>
        <w:spacing w:line="360" w:lineRule="auto"/>
        <w:ind w:firstLine="660" w:firstLineChars="300"/>
        <w:rPr>
          <w:rFonts w:hint="eastAsia" w:ascii="宋体" w:hAnsi="宋体" w:cs="宋体"/>
          <w:sz w:val="22"/>
          <w:szCs w:val="22"/>
        </w:rPr>
      </w:pPr>
      <w:r>
        <w:rPr>
          <w:rFonts w:hint="eastAsia" w:ascii="宋体" w:hAnsi="宋体" w:cs="宋体"/>
          <w:sz w:val="22"/>
          <w:szCs w:val="22"/>
        </w:rPr>
        <w:t>（2）具有相应施工经验的技术人员；</w:t>
      </w:r>
    </w:p>
    <w:p w14:paraId="6674B055">
      <w:pPr>
        <w:spacing w:line="360" w:lineRule="auto"/>
        <w:ind w:firstLine="660" w:firstLineChars="300"/>
        <w:rPr>
          <w:rFonts w:hint="eastAsia" w:ascii="宋体" w:hAnsi="宋体" w:cs="宋体"/>
          <w:sz w:val="22"/>
          <w:szCs w:val="22"/>
        </w:rPr>
      </w:pPr>
      <w:r>
        <w:rPr>
          <w:rFonts w:hint="eastAsia" w:ascii="宋体" w:hAnsi="宋体" w:cs="宋体"/>
          <w:sz w:val="22"/>
          <w:szCs w:val="22"/>
        </w:rPr>
        <w:t>（3）具有相应岗位资格的各级管理人员（包含符合工程项目规模和技术难度的涉及消防各专业齐全、具备相应能力的质量管理人员）。</w:t>
      </w:r>
    </w:p>
    <w:p w14:paraId="61C2A070">
      <w:pPr>
        <w:spacing w:line="360" w:lineRule="auto"/>
        <w:ind w:firstLine="660" w:firstLineChars="300"/>
        <w:rPr>
          <w:rFonts w:hint="eastAsia" w:ascii="宋体" w:hAnsi="宋体" w:cs="宋体"/>
          <w:sz w:val="22"/>
          <w:szCs w:val="22"/>
        </w:rPr>
      </w:pPr>
      <w:r>
        <w:rPr>
          <w:rFonts w:hint="eastAsia" w:ascii="宋体" w:hAnsi="宋体" w:cs="宋体"/>
          <w:sz w:val="22"/>
          <w:szCs w:val="22"/>
        </w:rPr>
        <w:t>4.6.3  承包人安排在施工场地的主要管理人员和技术骨干应相对稳定。承包人更换主要管理人员和技术骨干时，应取得监理人的同意。</w:t>
      </w:r>
    </w:p>
    <w:p w14:paraId="40FAA896">
      <w:pPr>
        <w:spacing w:line="360" w:lineRule="auto"/>
        <w:ind w:firstLine="660" w:firstLineChars="300"/>
        <w:rPr>
          <w:rFonts w:hint="eastAsia" w:ascii="宋体" w:hAnsi="宋体" w:cs="宋体"/>
          <w:sz w:val="24"/>
        </w:rPr>
      </w:pPr>
      <w:r>
        <w:rPr>
          <w:rFonts w:hint="eastAsia" w:ascii="宋体" w:hAnsi="宋体" w:cs="宋体"/>
          <w:sz w:val="22"/>
          <w:szCs w:val="22"/>
        </w:rPr>
        <w:t>4.6.4  特殊岗位的工作人员均应持有相应的资格证明，监理人有权随时检查。</w:t>
      </w:r>
      <w:r>
        <w:rPr>
          <w:rFonts w:hint="eastAsia" w:ascii="宋体" w:hAnsi="宋体" w:cs="宋体"/>
          <w:sz w:val="24"/>
        </w:rPr>
        <w:t>监理人认为有必要时，可进行现场考核。</w:t>
      </w:r>
    </w:p>
    <w:p w14:paraId="2484AC9E">
      <w:pPr>
        <w:spacing w:line="360" w:lineRule="auto"/>
        <w:rPr>
          <w:rFonts w:hint="eastAsia" w:ascii="宋体" w:hAnsi="宋体" w:cs="宋体"/>
          <w:sz w:val="24"/>
        </w:rPr>
      </w:pPr>
      <w:r>
        <w:rPr>
          <w:rFonts w:hint="eastAsia" w:ascii="宋体" w:hAnsi="宋体" w:cs="宋体"/>
          <w:sz w:val="24"/>
        </w:rPr>
        <w:t>4.7  撤换承包人项目经理和其他人员</w:t>
      </w:r>
    </w:p>
    <w:p w14:paraId="78B1F99E">
      <w:pPr>
        <w:spacing w:line="360" w:lineRule="auto"/>
        <w:rPr>
          <w:rFonts w:hint="eastAsia" w:ascii="宋体" w:hAnsi="宋体" w:cs="宋体"/>
          <w:sz w:val="24"/>
        </w:rPr>
      </w:pPr>
      <w:r>
        <w:rPr>
          <w:rFonts w:hint="eastAsia" w:ascii="宋体" w:hAnsi="宋体" w:cs="宋体"/>
          <w:sz w:val="24"/>
        </w:rPr>
        <w:t>承包人应对其项目经理和其他人员进行有效管理。监理人要求撤换不能胜任本职工作、 行为不端或玩忽职守的承包人项目经理和其他人员的，承包人应予以撤换。</w:t>
      </w:r>
    </w:p>
    <w:p w14:paraId="617D3ADA">
      <w:pPr>
        <w:spacing w:line="360" w:lineRule="auto"/>
        <w:rPr>
          <w:rFonts w:hint="eastAsia" w:ascii="宋体" w:hAnsi="宋体" w:cs="宋体"/>
          <w:sz w:val="24"/>
        </w:rPr>
      </w:pPr>
      <w:r>
        <w:rPr>
          <w:rFonts w:hint="eastAsia" w:ascii="宋体" w:hAnsi="宋体" w:cs="宋体"/>
          <w:sz w:val="24"/>
        </w:rPr>
        <w:t>4.8  保障承包人人员的合法权益</w:t>
      </w:r>
    </w:p>
    <w:p w14:paraId="14440D72">
      <w:pPr>
        <w:spacing w:line="360" w:lineRule="auto"/>
        <w:ind w:firstLine="660" w:firstLineChars="300"/>
        <w:rPr>
          <w:rFonts w:hint="eastAsia" w:ascii="宋体" w:hAnsi="宋体" w:cs="宋体"/>
          <w:sz w:val="22"/>
          <w:szCs w:val="22"/>
        </w:rPr>
      </w:pPr>
      <w:r>
        <w:rPr>
          <w:rFonts w:hint="eastAsia" w:ascii="宋体" w:hAnsi="宋体" w:cs="宋体"/>
          <w:sz w:val="22"/>
          <w:szCs w:val="22"/>
        </w:rPr>
        <w:t>4.8.1  承包人应与其雇佣的人员签订劳动合同，并按时发放工资。</w:t>
      </w:r>
    </w:p>
    <w:p w14:paraId="19A69E89">
      <w:pPr>
        <w:spacing w:line="360" w:lineRule="auto"/>
        <w:ind w:firstLine="660" w:firstLineChars="300"/>
        <w:rPr>
          <w:rFonts w:hint="eastAsia" w:ascii="宋体" w:hAnsi="宋体" w:cs="宋体"/>
          <w:sz w:val="22"/>
          <w:szCs w:val="22"/>
        </w:rPr>
      </w:pPr>
      <w:r>
        <w:rPr>
          <w:rFonts w:hint="eastAsia" w:ascii="宋体" w:hAnsi="宋体" w:cs="宋体"/>
          <w:sz w:val="22"/>
          <w:szCs w:val="22"/>
        </w:rPr>
        <w:t>4.8.2  承包人应按劳动法的规定安排工作时间，保证其雇佣人员享有休息和休假的权利。因工程施工的特殊需要占用休假日或延长工作时间的，应不超过法律规定的限度，并按 法律规定给予补休或付酬。</w:t>
      </w:r>
    </w:p>
    <w:p w14:paraId="6883A114">
      <w:pPr>
        <w:spacing w:line="360" w:lineRule="auto"/>
        <w:ind w:firstLine="660" w:firstLineChars="300"/>
        <w:rPr>
          <w:rFonts w:hint="eastAsia" w:ascii="宋体" w:hAnsi="宋体" w:cs="宋体"/>
          <w:sz w:val="22"/>
          <w:szCs w:val="22"/>
        </w:rPr>
      </w:pPr>
      <w:r>
        <w:rPr>
          <w:rFonts w:hint="eastAsia" w:ascii="宋体" w:hAnsi="宋体" w:cs="宋体"/>
          <w:sz w:val="22"/>
          <w:szCs w:val="22"/>
        </w:rPr>
        <w:t>4.8.3  承包人应为其雇佣人员提供必要的食宿条件，以及符合环境保护和卫生要求的生活环境，在远离城镇的施工场地，还应配备必要的伤病防治和急救的医务人员与医疗设施。</w:t>
      </w:r>
    </w:p>
    <w:p w14:paraId="5635AD61">
      <w:pPr>
        <w:spacing w:line="360" w:lineRule="auto"/>
        <w:ind w:firstLine="660" w:firstLineChars="300"/>
        <w:rPr>
          <w:rFonts w:hint="eastAsia" w:ascii="宋体" w:hAnsi="宋体" w:cs="宋体"/>
          <w:sz w:val="22"/>
          <w:szCs w:val="22"/>
        </w:rPr>
      </w:pPr>
      <w:r>
        <w:rPr>
          <w:rFonts w:hint="eastAsia" w:ascii="宋体" w:hAnsi="宋体" w:cs="宋体"/>
          <w:sz w:val="22"/>
          <w:szCs w:val="22"/>
        </w:rPr>
        <w:t>4.8.4  承包人应按国家有关劳动保护的规定，采取有效的防止粉尘、降低噪声、控制 有害气体和保障高温、高寒、高空作业安全等劳动保护措施。其雇佣人员在施工中受到伤害 的，承包人应立即采取有效措施进行抢救和治疗。</w:t>
      </w:r>
    </w:p>
    <w:p w14:paraId="732A590E">
      <w:pPr>
        <w:spacing w:line="360" w:lineRule="auto"/>
        <w:ind w:firstLine="660" w:firstLineChars="300"/>
        <w:rPr>
          <w:rFonts w:hint="eastAsia" w:ascii="宋体" w:hAnsi="宋体" w:cs="宋体"/>
          <w:sz w:val="22"/>
          <w:szCs w:val="22"/>
        </w:rPr>
      </w:pPr>
      <w:r>
        <w:rPr>
          <w:rFonts w:hint="eastAsia" w:ascii="宋体" w:hAnsi="宋体" w:cs="宋体"/>
          <w:sz w:val="22"/>
          <w:szCs w:val="22"/>
        </w:rPr>
        <w:t>4.8.5  承包人应按有关法律规定和合同约定，为其雇佣人员办理保险。</w:t>
      </w:r>
    </w:p>
    <w:p w14:paraId="443FAE8C">
      <w:pPr>
        <w:spacing w:line="360" w:lineRule="auto"/>
        <w:ind w:firstLine="660" w:firstLineChars="300"/>
        <w:rPr>
          <w:rFonts w:hint="eastAsia" w:ascii="宋体" w:hAnsi="宋体" w:cs="宋体"/>
          <w:sz w:val="22"/>
          <w:szCs w:val="22"/>
        </w:rPr>
      </w:pPr>
      <w:r>
        <w:rPr>
          <w:rFonts w:hint="eastAsia" w:ascii="宋体" w:hAnsi="宋体" w:cs="宋体"/>
          <w:sz w:val="22"/>
          <w:szCs w:val="22"/>
        </w:rPr>
        <w:t>4.8.6  承包人应负责处理其雇佣人员因工伤亡事故的善后事宜。</w:t>
      </w:r>
    </w:p>
    <w:p w14:paraId="60EEBB9B">
      <w:pPr>
        <w:spacing w:line="360" w:lineRule="auto"/>
        <w:ind w:firstLine="660" w:firstLineChars="300"/>
        <w:rPr>
          <w:rFonts w:hint="eastAsia" w:ascii="宋体" w:hAnsi="宋体" w:cs="宋体"/>
          <w:sz w:val="22"/>
          <w:szCs w:val="22"/>
        </w:rPr>
      </w:pPr>
      <w:r>
        <w:rPr>
          <w:rFonts w:hint="eastAsia" w:ascii="宋体" w:hAnsi="宋体" w:cs="宋体"/>
          <w:sz w:val="22"/>
          <w:szCs w:val="22"/>
        </w:rPr>
        <w:t>4.9  工程价款应专款专用</w:t>
      </w:r>
    </w:p>
    <w:p w14:paraId="4590DF5E">
      <w:pPr>
        <w:spacing w:line="360" w:lineRule="auto"/>
        <w:ind w:firstLine="660" w:firstLineChars="300"/>
        <w:rPr>
          <w:rFonts w:hint="eastAsia" w:ascii="宋体" w:hAnsi="宋体" w:cs="宋体"/>
          <w:sz w:val="22"/>
          <w:szCs w:val="22"/>
        </w:rPr>
      </w:pPr>
      <w:r>
        <w:rPr>
          <w:rFonts w:hint="eastAsia" w:ascii="宋体" w:hAnsi="宋体" w:cs="宋体"/>
          <w:sz w:val="22"/>
          <w:szCs w:val="22"/>
        </w:rPr>
        <w:t>发包人按合同约定支付给承包人的各项价款应专用于合同工程。</w:t>
      </w:r>
    </w:p>
    <w:p w14:paraId="2B287377">
      <w:pPr>
        <w:spacing w:line="360" w:lineRule="auto"/>
        <w:ind w:firstLine="660" w:firstLineChars="300"/>
        <w:rPr>
          <w:rFonts w:hint="eastAsia" w:ascii="宋体" w:hAnsi="宋体" w:cs="宋体"/>
          <w:sz w:val="22"/>
          <w:szCs w:val="22"/>
        </w:rPr>
      </w:pPr>
      <w:r>
        <w:rPr>
          <w:rFonts w:hint="eastAsia" w:ascii="宋体" w:hAnsi="宋体" w:cs="宋体"/>
          <w:sz w:val="22"/>
          <w:szCs w:val="22"/>
        </w:rPr>
        <w:t>4.10  承包人现场查勘</w:t>
      </w:r>
    </w:p>
    <w:p w14:paraId="0600F6BB">
      <w:pPr>
        <w:spacing w:line="360" w:lineRule="auto"/>
        <w:ind w:firstLine="660" w:firstLineChars="300"/>
        <w:rPr>
          <w:rFonts w:hint="eastAsia" w:ascii="宋体" w:hAnsi="宋体" w:cs="宋体"/>
          <w:sz w:val="22"/>
          <w:szCs w:val="22"/>
        </w:rPr>
      </w:pPr>
      <w:r>
        <w:rPr>
          <w:rFonts w:hint="eastAsia" w:ascii="宋体" w:hAnsi="宋体" w:cs="宋体"/>
          <w:sz w:val="22"/>
          <w:szCs w:val="22"/>
        </w:rPr>
        <w:t>4.10.1  发包人应将其持有的现场地质勘探资料、水文气象资料提供给承包人，并对其 准确性负责。但承包人应对其阅读上述有关资料后所作出的解释和推断负责。</w:t>
      </w:r>
    </w:p>
    <w:p w14:paraId="1921E022">
      <w:pPr>
        <w:spacing w:line="360" w:lineRule="auto"/>
        <w:ind w:firstLine="660" w:firstLineChars="300"/>
        <w:rPr>
          <w:rFonts w:hint="eastAsia" w:ascii="宋体" w:hAnsi="宋体" w:cs="宋体"/>
          <w:sz w:val="22"/>
          <w:szCs w:val="22"/>
        </w:rPr>
      </w:pPr>
      <w:r>
        <w:rPr>
          <w:rFonts w:hint="eastAsia" w:ascii="宋体" w:hAnsi="宋体" w:cs="宋体"/>
          <w:sz w:val="22"/>
          <w:szCs w:val="22"/>
        </w:rPr>
        <w:t>4.10.2  承包人应对施工场地和周围环境进行查勘，并收集有关地质、水文、气象条件、 交通条件、风俗习惯以及其他为完成合同工作有关的当地资料。在全部合同工作中，应视为 承包人已充分估计了应承担的责任和风险。</w:t>
      </w:r>
    </w:p>
    <w:p w14:paraId="761BD68E">
      <w:pPr>
        <w:spacing w:line="360" w:lineRule="auto"/>
        <w:rPr>
          <w:rFonts w:hint="eastAsia" w:ascii="宋体" w:hAnsi="宋体" w:cs="宋体"/>
          <w:sz w:val="24"/>
        </w:rPr>
      </w:pPr>
      <w:r>
        <w:rPr>
          <w:rFonts w:hint="eastAsia" w:ascii="宋体" w:hAnsi="宋体" w:cs="宋体"/>
          <w:sz w:val="24"/>
        </w:rPr>
        <w:t>4.11  不利物质条件</w:t>
      </w:r>
    </w:p>
    <w:p w14:paraId="25ED2F98">
      <w:pPr>
        <w:spacing w:line="360" w:lineRule="auto"/>
        <w:ind w:firstLine="660" w:firstLineChars="300"/>
        <w:rPr>
          <w:rFonts w:hint="eastAsia" w:ascii="宋体" w:hAnsi="宋体" w:cs="宋体"/>
          <w:sz w:val="22"/>
          <w:szCs w:val="22"/>
        </w:rPr>
      </w:pPr>
      <w:r>
        <w:rPr>
          <w:rFonts w:hint="eastAsia" w:ascii="宋体" w:hAnsi="宋体" w:cs="宋体"/>
          <w:sz w:val="22"/>
          <w:szCs w:val="22"/>
        </w:rPr>
        <w:t>4.11.1  不利物质条件一般是指承包人在施工场地遇到的不可预见的自然物质条件、非 自然的物质障碍和污染物，包括地下和水文条件，但不包括气候条件。不利物质条件的具体范围见合同条款专用部分。</w:t>
      </w:r>
    </w:p>
    <w:p w14:paraId="33AEB2DB">
      <w:pPr>
        <w:spacing w:line="360" w:lineRule="auto"/>
        <w:ind w:firstLine="660" w:firstLineChars="300"/>
        <w:rPr>
          <w:rFonts w:hint="eastAsia" w:ascii="宋体" w:hAnsi="宋体" w:cs="宋体"/>
          <w:sz w:val="22"/>
          <w:szCs w:val="22"/>
        </w:rPr>
      </w:pPr>
      <w:r>
        <w:rPr>
          <w:rFonts w:hint="eastAsia" w:ascii="宋体" w:hAnsi="宋体" w:cs="宋体"/>
          <w:sz w:val="22"/>
          <w:szCs w:val="22"/>
        </w:rPr>
        <w:t>4.11.2  承包人遇到不利物质条件时，应采取适应不利物质条件的合理措施继续施工， 并及时通知监理人。监理人应当及时发出指示，指示构成变更的，按第 15 条约定办理。监 理人没有发出指示的，承包人因采取合理措施增加的费用和（或）工期延误，由发包人承担。</w:t>
      </w:r>
    </w:p>
    <w:p w14:paraId="473E32B5">
      <w:pPr>
        <w:spacing w:line="360" w:lineRule="auto"/>
        <w:rPr>
          <w:rFonts w:hint="eastAsia" w:ascii="宋体" w:hAnsi="宋体" w:cs="宋体"/>
          <w:b/>
          <w:bCs/>
          <w:sz w:val="24"/>
        </w:rPr>
      </w:pPr>
      <w:r>
        <w:rPr>
          <w:rFonts w:hint="eastAsia" w:ascii="宋体" w:hAnsi="宋体" w:cs="宋体"/>
          <w:b/>
          <w:bCs/>
          <w:sz w:val="24"/>
        </w:rPr>
        <w:t>5.材料</w:t>
      </w:r>
    </w:p>
    <w:p w14:paraId="3A7E5D18">
      <w:pPr>
        <w:spacing w:line="360" w:lineRule="auto"/>
        <w:rPr>
          <w:rFonts w:hint="eastAsia" w:ascii="宋体" w:hAnsi="宋体" w:cs="宋体"/>
          <w:sz w:val="24"/>
        </w:rPr>
      </w:pPr>
      <w:r>
        <w:rPr>
          <w:rFonts w:hint="eastAsia" w:ascii="宋体" w:hAnsi="宋体" w:cs="宋体"/>
          <w:sz w:val="24"/>
        </w:rPr>
        <w:t>5.1  承包人提供的材料</w:t>
      </w:r>
    </w:p>
    <w:p w14:paraId="0522D91D">
      <w:pPr>
        <w:spacing w:line="360" w:lineRule="auto"/>
        <w:ind w:firstLine="660" w:firstLineChars="300"/>
        <w:rPr>
          <w:rFonts w:hint="eastAsia" w:ascii="宋体" w:hAnsi="宋体" w:cs="宋体"/>
          <w:sz w:val="22"/>
          <w:szCs w:val="22"/>
        </w:rPr>
      </w:pPr>
      <w:r>
        <w:rPr>
          <w:rFonts w:hint="eastAsia" w:ascii="宋体" w:hAnsi="宋体" w:cs="宋体"/>
          <w:sz w:val="22"/>
          <w:szCs w:val="22"/>
        </w:rPr>
        <w:t>5.1.1  除第 5.2 款约定由发包人提供的材料外， 由承包人提供的材料均由承包人负责 采购、运输和保管。但是，发包人在工程量清单中给定暂估价的材料，包括从暂列金额开支 的材料，其中属于依法必须招标的范围并达到规定的规模标准的，以及虽不属于依法必须招 标的范围但合同中约定采用招标方式采购的，应当按第 15.8.1 项的约定，由发包人和承包 人以招标方式确定专项供应商。承包人负责提供的主要材料清单见合同条款专用部分“附件 三：承包人提供的材料一览表”。</w:t>
      </w:r>
    </w:p>
    <w:p w14:paraId="45755799">
      <w:pPr>
        <w:spacing w:line="360" w:lineRule="auto"/>
        <w:ind w:firstLine="660" w:firstLineChars="300"/>
        <w:rPr>
          <w:rFonts w:hint="eastAsia" w:ascii="宋体" w:hAnsi="宋体" w:cs="宋体"/>
          <w:sz w:val="22"/>
          <w:szCs w:val="22"/>
        </w:rPr>
      </w:pPr>
      <w:r>
        <w:rPr>
          <w:rFonts w:hint="eastAsia" w:ascii="宋体" w:hAnsi="宋体" w:cs="宋体"/>
          <w:sz w:val="22"/>
          <w:szCs w:val="22"/>
        </w:rPr>
        <w:t>5.1.2  承包人应在合同约定的期限内，将各项材料的供货人和品种、规格、数量及供 货时间等报送监理人审批。承包人应向监理人提交其负责提供的材料的质量证明文件，并满 足合同约定的质量标准。承包人将其提供的各项材料的供货人和品种、规格、数量及供货时 间等报送监理人审批的期限见合同条款专用部分。</w:t>
      </w:r>
    </w:p>
    <w:p w14:paraId="4769C03B">
      <w:pPr>
        <w:spacing w:line="360" w:lineRule="auto"/>
        <w:ind w:firstLine="660" w:firstLineChars="300"/>
        <w:rPr>
          <w:rFonts w:hint="eastAsia" w:ascii="宋体" w:hAnsi="宋体" w:cs="宋体"/>
          <w:sz w:val="22"/>
          <w:szCs w:val="22"/>
        </w:rPr>
      </w:pPr>
      <w:r>
        <w:rPr>
          <w:rFonts w:hint="eastAsia" w:ascii="宋体" w:hAnsi="宋体" w:cs="宋体"/>
          <w:sz w:val="22"/>
          <w:szCs w:val="22"/>
        </w:rPr>
        <w:t>5.1.3  对承包人提供的材料，承包人应会同监理人进行检验和交货验收，查验材料合 格证明和产品合格证书，并按照合同约定和监理人指示，进行材料的抽样检验和工程设备的 检验测试，检验和测试结果应提交监理人。除合同另有约定外，所需费用由承包人承担。</w:t>
      </w:r>
    </w:p>
    <w:p w14:paraId="6B7ACBA3">
      <w:pPr>
        <w:spacing w:line="360" w:lineRule="auto"/>
        <w:rPr>
          <w:rFonts w:hint="eastAsia" w:ascii="宋体" w:hAnsi="宋体" w:cs="宋体"/>
          <w:sz w:val="24"/>
        </w:rPr>
      </w:pPr>
      <w:r>
        <w:rPr>
          <w:rFonts w:hint="eastAsia" w:ascii="宋体" w:hAnsi="宋体" w:cs="宋体"/>
          <w:sz w:val="24"/>
        </w:rPr>
        <w:t>5.2  发包人提供的材料</w:t>
      </w:r>
    </w:p>
    <w:p w14:paraId="777C5F0D">
      <w:pPr>
        <w:spacing w:line="360" w:lineRule="auto"/>
        <w:ind w:firstLine="660" w:firstLineChars="300"/>
        <w:rPr>
          <w:rFonts w:hint="eastAsia" w:ascii="宋体" w:hAnsi="宋体" w:cs="宋体"/>
          <w:sz w:val="22"/>
          <w:szCs w:val="22"/>
        </w:rPr>
      </w:pPr>
      <w:r>
        <w:rPr>
          <w:rFonts w:hint="eastAsia" w:ascii="宋体" w:hAnsi="宋体" w:cs="宋体"/>
          <w:sz w:val="22"/>
          <w:szCs w:val="22"/>
        </w:rPr>
        <w:t>5.2.1  发包人负责提供的材料名称、规格、数量、价格、有效损耗率、交货方式、交 货地点和计划交货日期等见合同条款专用部分“附件四：发包人提供的材料一览表”。</w:t>
      </w:r>
    </w:p>
    <w:p w14:paraId="5A533F71">
      <w:pPr>
        <w:spacing w:line="360" w:lineRule="auto"/>
        <w:ind w:firstLine="660" w:firstLineChars="300"/>
        <w:rPr>
          <w:rFonts w:hint="eastAsia" w:ascii="宋体" w:hAnsi="宋体" w:cs="宋体"/>
          <w:sz w:val="22"/>
          <w:szCs w:val="22"/>
        </w:rPr>
      </w:pPr>
      <w:r>
        <w:rPr>
          <w:rFonts w:hint="eastAsia" w:ascii="宋体" w:hAnsi="宋体" w:cs="宋体"/>
          <w:sz w:val="22"/>
          <w:szCs w:val="22"/>
        </w:rPr>
        <w:t>5.2.2  承包人应根据合同进度计划的安排，向监理人报送要求发包人交货的日期计划。 发包人应按照监理人与合同双方当事人商定的交货日期，向承包人提交材料。</w:t>
      </w:r>
    </w:p>
    <w:p w14:paraId="518B3B3E">
      <w:pPr>
        <w:spacing w:line="360" w:lineRule="auto"/>
        <w:ind w:firstLine="660" w:firstLineChars="300"/>
        <w:rPr>
          <w:rFonts w:hint="eastAsia" w:ascii="宋体" w:hAnsi="宋体" w:cs="宋体"/>
          <w:sz w:val="22"/>
          <w:szCs w:val="22"/>
        </w:rPr>
      </w:pPr>
      <w:r>
        <w:rPr>
          <w:rFonts w:hint="eastAsia" w:ascii="宋体" w:hAnsi="宋体" w:cs="宋体"/>
          <w:sz w:val="22"/>
          <w:szCs w:val="22"/>
        </w:rPr>
        <w:t>5.2.3  发包人应在材料到货 7 天前通知承包人，承包人应会同监理人在约定的时间内， 赴交货地点共同进行验收。 由发包人提供的材料验收后，由承包人负责接收、运输和保管。</w:t>
      </w:r>
    </w:p>
    <w:p w14:paraId="321EFA04">
      <w:pPr>
        <w:spacing w:line="360" w:lineRule="auto"/>
        <w:ind w:firstLine="660" w:firstLineChars="300"/>
        <w:rPr>
          <w:rFonts w:hint="eastAsia" w:ascii="宋体" w:hAnsi="宋体" w:cs="宋体"/>
          <w:sz w:val="22"/>
          <w:szCs w:val="22"/>
        </w:rPr>
      </w:pPr>
      <w:r>
        <w:rPr>
          <w:rFonts w:hint="eastAsia" w:ascii="宋体" w:hAnsi="宋体" w:cs="宋体"/>
          <w:sz w:val="22"/>
          <w:szCs w:val="22"/>
        </w:rPr>
        <w:t>5.2.4  发包人要求向承包人提前交货的，承包人不得拒绝，但发包人应承担承包人由此增加的费用。</w:t>
      </w:r>
    </w:p>
    <w:p w14:paraId="094B44C9">
      <w:pPr>
        <w:spacing w:line="360" w:lineRule="auto"/>
        <w:ind w:firstLine="660" w:firstLineChars="300"/>
        <w:rPr>
          <w:rFonts w:hint="eastAsia" w:ascii="宋体" w:hAnsi="宋体" w:cs="宋体"/>
          <w:sz w:val="22"/>
          <w:szCs w:val="22"/>
        </w:rPr>
      </w:pPr>
      <w:r>
        <w:rPr>
          <w:rFonts w:hint="eastAsia" w:ascii="宋体" w:hAnsi="宋体" w:cs="宋体"/>
          <w:sz w:val="22"/>
          <w:szCs w:val="22"/>
        </w:rPr>
        <w:t>5.2.5  承包人要求更改交货日期或地点的，应事先报请监理人批准。 由于承包人要求更改交货时间或地点所增加的费用和（或）工期延误由承包人承担。</w:t>
      </w:r>
    </w:p>
    <w:p w14:paraId="5E8B2C27">
      <w:pPr>
        <w:spacing w:line="360" w:lineRule="auto"/>
        <w:ind w:firstLine="660" w:firstLineChars="300"/>
        <w:rPr>
          <w:rFonts w:hint="eastAsia" w:ascii="宋体" w:hAnsi="宋体" w:cs="宋体"/>
          <w:sz w:val="22"/>
          <w:szCs w:val="22"/>
        </w:rPr>
      </w:pPr>
      <w:r>
        <w:rPr>
          <w:rFonts w:hint="eastAsia" w:ascii="宋体" w:hAnsi="宋体" w:cs="宋体"/>
          <w:sz w:val="22"/>
          <w:szCs w:val="22"/>
        </w:rPr>
        <w:t>5.2.6  发包人提供的材料的规格、数量或质量不符合合同要求，或由于发包人原因发生交货日期延误及交货地点变更等情况的，发包人应承担由此增加的费用和（或）工期延误， 并向承包人支付合理利润。</w:t>
      </w:r>
    </w:p>
    <w:p w14:paraId="1304F4D6">
      <w:pPr>
        <w:spacing w:line="360" w:lineRule="auto"/>
        <w:ind w:firstLine="660" w:firstLineChars="300"/>
        <w:rPr>
          <w:rFonts w:hint="eastAsia" w:ascii="宋体" w:hAnsi="宋体" w:cs="宋体"/>
          <w:sz w:val="22"/>
          <w:szCs w:val="22"/>
        </w:rPr>
      </w:pPr>
      <w:r>
        <w:rPr>
          <w:rFonts w:hint="eastAsia" w:ascii="宋体" w:hAnsi="宋体" w:cs="宋体"/>
          <w:sz w:val="22"/>
          <w:szCs w:val="22"/>
        </w:rPr>
        <w:t>5.2.7  因承包人原因引起发包人提供的材料的实际领用数量超过合同条款专用部分约定的数量时，超出部分的材料费用由承包人承担。发包人可按相应供货合同的单价计算确定超领数量的材料费用，并从承包人完成合同工程的施工过程结算或竣工结算的价款中扣除。 因发包人实际提供材料的规格型号与招标文件中规定的规格型号不同而引起材料实际损耗 率超出有效损耗率的，超出部分应由发包人承担。</w:t>
      </w:r>
    </w:p>
    <w:p w14:paraId="07F19E78">
      <w:pPr>
        <w:spacing w:line="360" w:lineRule="auto"/>
        <w:rPr>
          <w:rFonts w:hint="eastAsia" w:ascii="宋体" w:hAnsi="宋体" w:cs="宋体"/>
          <w:sz w:val="24"/>
        </w:rPr>
      </w:pPr>
      <w:r>
        <w:rPr>
          <w:rFonts w:hint="eastAsia" w:ascii="宋体" w:hAnsi="宋体" w:cs="宋体"/>
          <w:sz w:val="24"/>
        </w:rPr>
        <w:t>5.3  材料专用于合同工程</w:t>
      </w:r>
    </w:p>
    <w:p w14:paraId="288B52EC">
      <w:pPr>
        <w:spacing w:line="360" w:lineRule="auto"/>
        <w:ind w:firstLine="660" w:firstLineChars="300"/>
        <w:rPr>
          <w:rFonts w:hint="eastAsia" w:ascii="宋体" w:hAnsi="宋体" w:cs="宋体"/>
          <w:sz w:val="22"/>
          <w:szCs w:val="22"/>
        </w:rPr>
      </w:pPr>
      <w:r>
        <w:rPr>
          <w:rFonts w:hint="eastAsia" w:ascii="宋体" w:hAnsi="宋体" w:cs="宋体"/>
          <w:sz w:val="22"/>
          <w:szCs w:val="22"/>
        </w:rPr>
        <w:t>5.3.1  运入施工场地的材料，包括备品备件、安装专用工器具与随机资料，必须专用于合同工程，未经监理人同意，承包人不得运出施工场地或挪作他用。</w:t>
      </w:r>
    </w:p>
    <w:p w14:paraId="3B301E24">
      <w:pPr>
        <w:spacing w:line="360" w:lineRule="auto"/>
        <w:ind w:firstLine="660" w:firstLineChars="300"/>
        <w:rPr>
          <w:rFonts w:hint="eastAsia" w:ascii="宋体" w:hAnsi="宋体" w:cs="宋体"/>
          <w:sz w:val="22"/>
          <w:szCs w:val="22"/>
        </w:rPr>
      </w:pPr>
      <w:r>
        <w:rPr>
          <w:rFonts w:hint="eastAsia" w:ascii="宋体" w:hAnsi="宋体" w:cs="宋体"/>
          <w:sz w:val="22"/>
          <w:szCs w:val="22"/>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65837692">
      <w:pPr>
        <w:spacing w:line="360" w:lineRule="auto"/>
        <w:rPr>
          <w:rFonts w:hint="eastAsia" w:ascii="宋体" w:hAnsi="宋体" w:cs="宋体"/>
          <w:sz w:val="24"/>
        </w:rPr>
      </w:pPr>
      <w:r>
        <w:rPr>
          <w:rFonts w:hint="eastAsia" w:ascii="宋体" w:hAnsi="宋体" w:cs="宋体"/>
          <w:sz w:val="24"/>
        </w:rPr>
        <w:t>5.4  禁止使用不合格的材料</w:t>
      </w:r>
    </w:p>
    <w:p w14:paraId="5C4B17F3">
      <w:pPr>
        <w:spacing w:line="360" w:lineRule="auto"/>
        <w:ind w:firstLine="660" w:firstLineChars="300"/>
        <w:rPr>
          <w:rFonts w:hint="eastAsia" w:ascii="宋体" w:hAnsi="宋体" w:cs="宋体"/>
          <w:sz w:val="22"/>
          <w:szCs w:val="22"/>
        </w:rPr>
      </w:pPr>
      <w:r>
        <w:rPr>
          <w:rFonts w:hint="eastAsia" w:ascii="宋体" w:hAnsi="宋体" w:cs="宋体"/>
          <w:sz w:val="22"/>
          <w:szCs w:val="22"/>
        </w:rPr>
        <w:t>5.4.1  监理人有权拒绝承包人提供的不合格材料，并要求承包人立即进行更换。监理人应在更换后再次进行检查和检验，由此增加的费用和（或）工期延误由承包人承担。</w:t>
      </w:r>
    </w:p>
    <w:p w14:paraId="3E778B72">
      <w:pPr>
        <w:spacing w:line="360" w:lineRule="auto"/>
        <w:ind w:firstLine="660" w:firstLineChars="300"/>
        <w:rPr>
          <w:rFonts w:hint="eastAsia" w:ascii="宋体" w:hAnsi="宋体" w:cs="宋体"/>
          <w:sz w:val="22"/>
          <w:szCs w:val="22"/>
        </w:rPr>
      </w:pPr>
      <w:r>
        <w:rPr>
          <w:rFonts w:hint="eastAsia" w:ascii="宋体" w:hAnsi="宋体" w:cs="宋体"/>
          <w:sz w:val="22"/>
          <w:szCs w:val="22"/>
        </w:rPr>
        <w:t>5.4.2  监理人发现承包人使用了不合格的材料，应即时发出指示要求承包人立即改正， 并禁止在工程中继续使用不合格的材料。</w:t>
      </w:r>
    </w:p>
    <w:p w14:paraId="25F70F49">
      <w:pPr>
        <w:spacing w:line="360" w:lineRule="auto"/>
        <w:ind w:firstLine="660" w:firstLineChars="300"/>
        <w:rPr>
          <w:rFonts w:hint="eastAsia" w:ascii="宋体" w:hAnsi="宋体" w:cs="宋体"/>
          <w:sz w:val="24"/>
        </w:rPr>
      </w:pPr>
      <w:r>
        <w:rPr>
          <w:rFonts w:hint="eastAsia" w:ascii="宋体" w:hAnsi="宋体" w:cs="宋体"/>
          <w:sz w:val="22"/>
          <w:szCs w:val="22"/>
        </w:rPr>
        <w:t>5.4.3  发包人提供的材料不符合合同要求的，承包人有权拒绝，并可要求发包人更换， 由此增加的费用和（或）工期延误由发包人承担。</w:t>
      </w:r>
    </w:p>
    <w:p w14:paraId="4736A2A5">
      <w:pPr>
        <w:spacing w:line="360" w:lineRule="auto"/>
        <w:rPr>
          <w:rFonts w:hint="eastAsia" w:ascii="宋体" w:hAnsi="宋体" w:cs="宋体"/>
          <w:b/>
          <w:bCs/>
          <w:sz w:val="24"/>
        </w:rPr>
      </w:pPr>
      <w:r>
        <w:rPr>
          <w:rFonts w:hint="eastAsia" w:ascii="宋体" w:hAnsi="宋体" w:cs="宋体"/>
          <w:b/>
          <w:bCs/>
          <w:sz w:val="24"/>
        </w:rPr>
        <w:t>6.施工设备和临时设施</w:t>
      </w:r>
    </w:p>
    <w:p w14:paraId="4DFE512E">
      <w:pPr>
        <w:spacing w:line="360" w:lineRule="auto"/>
        <w:rPr>
          <w:rFonts w:hint="eastAsia" w:ascii="宋体" w:hAnsi="宋体" w:cs="宋体"/>
          <w:sz w:val="24"/>
        </w:rPr>
      </w:pPr>
      <w:r>
        <w:rPr>
          <w:rFonts w:hint="eastAsia" w:ascii="宋体" w:hAnsi="宋体" w:cs="宋体"/>
          <w:sz w:val="24"/>
        </w:rPr>
        <w:t>6.1  承包人提供的施工设备和临时设施</w:t>
      </w:r>
    </w:p>
    <w:p w14:paraId="776523CF">
      <w:pPr>
        <w:spacing w:line="360" w:lineRule="auto"/>
        <w:ind w:firstLine="660" w:firstLineChars="300"/>
        <w:rPr>
          <w:rFonts w:hint="eastAsia" w:ascii="宋体" w:hAnsi="宋体" w:cs="宋体"/>
          <w:sz w:val="22"/>
          <w:szCs w:val="22"/>
        </w:rPr>
      </w:pPr>
      <w:r>
        <w:rPr>
          <w:rFonts w:hint="eastAsia" w:ascii="宋体" w:hAnsi="宋体" w:cs="宋体"/>
          <w:sz w:val="22"/>
          <w:szCs w:val="22"/>
        </w:rPr>
        <w:t>6.1.1  承包人应按合同进度计划的要求，及时配置施工设备和修建临时设施。进入施 工场地的承包人设备需经监理人核查后才能投入使用。承包人更换合同约定的承包人设备 的，应报监理人批准。</w:t>
      </w:r>
    </w:p>
    <w:p w14:paraId="2DC20A40">
      <w:pPr>
        <w:spacing w:line="360" w:lineRule="auto"/>
        <w:ind w:firstLine="660" w:firstLineChars="300"/>
        <w:rPr>
          <w:rFonts w:hint="eastAsia" w:ascii="宋体" w:hAnsi="宋体" w:cs="宋体"/>
          <w:sz w:val="22"/>
          <w:szCs w:val="22"/>
        </w:rPr>
      </w:pPr>
      <w:r>
        <w:rPr>
          <w:rFonts w:hint="eastAsia" w:ascii="宋体" w:hAnsi="宋体" w:cs="宋体"/>
          <w:sz w:val="22"/>
          <w:szCs w:val="22"/>
        </w:rPr>
        <w:t>6.1.2  除合同另有约定外，承包人应承担自行修建临时设施的费用。需要临时占地的， 应由发包人办理申请手续并承担相应费用。承包人自行修建临时设施的范围以及所需临时占 地见合同条款专用部分。</w:t>
      </w:r>
    </w:p>
    <w:p w14:paraId="2524523E">
      <w:pPr>
        <w:spacing w:line="360" w:lineRule="auto"/>
        <w:rPr>
          <w:rFonts w:hint="eastAsia" w:ascii="宋体" w:hAnsi="宋体" w:cs="宋体"/>
          <w:sz w:val="24"/>
        </w:rPr>
      </w:pPr>
      <w:r>
        <w:rPr>
          <w:rFonts w:hint="eastAsia" w:ascii="宋体" w:hAnsi="宋体" w:cs="宋体"/>
          <w:sz w:val="24"/>
        </w:rPr>
        <w:t>6.2  发包人提供的施工设备和临时设施</w:t>
      </w:r>
    </w:p>
    <w:p w14:paraId="26471E9E">
      <w:pPr>
        <w:spacing w:line="360" w:lineRule="auto"/>
        <w:ind w:firstLine="660" w:firstLineChars="300"/>
        <w:rPr>
          <w:rFonts w:hint="eastAsia" w:ascii="宋体" w:hAnsi="宋体" w:cs="宋体"/>
          <w:sz w:val="22"/>
          <w:szCs w:val="22"/>
        </w:rPr>
      </w:pPr>
      <w:r>
        <w:rPr>
          <w:rFonts w:hint="eastAsia" w:ascii="宋体" w:hAnsi="宋体" w:cs="宋体"/>
          <w:sz w:val="22"/>
          <w:szCs w:val="22"/>
        </w:rPr>
        <w:t>发包人提供的施工设备或临时设施，以及相关运行、维护、拆除、清运费用的承担人见合同条款专用部分。</w:t>
      </w:r>
    </w:p>
    <w:p w14:paraId="112AA114">
      <w:pPr>
        <w:spacing w:line="360" w:lineRule="auto"/>
        <w:rPr>
          <w:rFonts w:hint="eastAsia" w:ascii="宋体" w:hAnsi="宋体" w:cs="宋体"/>
          <w:sz w:val="24"/>
        </w:rPr>
      </w:pPr>
      <w:r>
        <w:rPr>
          <w:rFonts w:hint="eastAsia" w:ascii="宋体" w:hAnsi="宋体" w:cs="宋体"/>
          <w:sz w:val="24"/>
        </w:rPr>
        <w:t>6.3  要求承包人增加或更换施工设备</w:t>
      </w:r>
    </w:p>
    <w:p w14:paraId="7CC8D952">
      <w:pPr>
        <w:spacing w:line="360" w:lineRule="auto"/>
        <w:ind w:firstLine="660" w:firstLineChars="300"/>
        <w:rPr>
          <w:rFonts w:hint="eastAsia" w:ascii="宋体" w:hAnsi="宋体" w:cs="宋体"/>
          <w:sz w:val="22"/>
          <w:szCs w:val="22"/>
        </w:rPr>
      </w:pPr>
      <w:r>
        <w:rPr>
          <w:rFonts w:hint="eastAsia" w:ascii="宋体" w:hAnsi="宋体" w:cs="宋体"/>
          <w:sz w:val="22"/>
          <w:szCs w:val="22"/>
        </w:rPr>
        <w:t>承包人使用的施工设备不能满足合同进度计划和（或）质量要求时，监理人有权要求承包人增加或更换施工设备，承包人应及时增加或更换，由此增加的费用和（或）工期延误由承包人承担。</w:t>
      </w:r>
    </w:p>
    <w:p w14:paraId="1FF3C6B2">
      <w:pPr>
        <w:spacing w:line="360" w:lineRule="auto"/>
        <w:rPr>
          <w:rFonts w:hint="eastAsia" w:ascii="宋体" w:hAnsi="宋体" w:cs="宋体"/>
          <w:sz w:val="24"/>
        </w:rPr>
      </w:pPr>
      <w:r>
        <w:rPr>
          <w:rFonts w:hint="eastAsia" w:ascii="宋体" w:hAnsi="宋体" w:cs="宋体"/>
          <w:sz w:val="24"/>
        </w:rPr>
        <w:t>6.4  施工设备和临时设施专用于合同工程</w:t>
      </w:r>
    </w:p>
    <w:p w14:paraId="14942D11">
      <w:pPr>
        <w:spacing w:line="360" w:lineRule="auto"/>
        <w:ind w:firstLine="660" w:firstLineChars="300"/>
        <w:rPr>
          <w:rFonts w:hint="eastAsia" w:ascii="宋体" w:hAnsi="宋体" w:cs="宋体"/>
          <w:sz w:val="22"/>
          <w:szCs w:val="22"/>
        </w:rPr>
      </w:pPr>
      <w:r>
        <w:rPr>
          <w:rFonts w:hint="eastAsia" w:ascii="宋体" w:hAnsi="宋体" w:cs="宋体"/>
          <w:sz w:val="22"/>
          <w:szCs w:val="22"/>
        </w:rPr>
        <w:t>6.4.1  除为第 4.1.8 项约定的其他独立承包人和监理人指示的他人提供条件外,承包人运入施工场地的所有施工设备以及在施工场地建设的临时设施仅限于用于合同工程。未经监理人同意，不得将上述施工设备和临时设施中的任何部分运出施工场地或挪作他用。</w:t>
      </w:r>
    </w:p>
    <w:p w14:paraId="2127EF49">
      <w:pPr>
        <w:spacing w:line="360" w:lineRule="auto"/>
        <w:ind w:firstLine="660" w:firstLineChars="300"/>
        <w:rPr>
          <w:rFonts w:hint="eastAsia" w:ascii="宋体" w:hAnsi="宋体" w:cs="宋体"/>
          <w:sz w:val="22"/>
          <w:szCs w:val="22"/>
        </w:rPr>
      </w:pPr>
      <w:r>
        <w:rPr>
          <w:rFonts w:hint="eastAsia" w:ascii="宋体" w:hAnsi="宋体" w:cs="宋体"/>
          <w:sz w:val="22"/>
          <w:szCs w:val="22"/>
        </w:rPr>
        <w:t>6.4.2  经监理人同意，承包人可根据合同进度计划撤走闲置的施工设备。</w:t>
      </w:r>
    </w:p>
    <w:p w14:paraId="2D95FAE4">
      <w:pPr>
        <w:spacing w:line="360" w:lineRule="auto"/>
        <w:rPr>
          <w:rFonts w:hint="eastAsia" w:ascii="宋体" w:hAnsi="宋体" w:cs="宋体"/>
          <w:b/>
          <w:bCs/>
          <w:sz w:val="24"/>
        </w:rPr>
      </w:pPr>
      <w:r>
        <w:rPr>
          <w:rFonts w:hint="eastAsia" w:ascii="宋体" w:hAnsi="宋体" w:cs="宋体"/>
          <w:b/>
          <w:bCs/>
          <w:sz w:val="24"/>
        </w:rPr>
        <w:t>7.交通运输</w:t>
      </w:r>
    </w:p>
    <w:p w14:paraId="73411D0D">
      <w:pPr>
        <w:spacing w:line="360" w:lineRule="auto"/>
        <w:rPr>
          <w:rFonts w:hint="eastAsia" w:ascii="宋体" w:hAnsi="宋体" w:cs="宋体"/>
          <w:sz w:val="24"/>
        </w:rPr>
      </w:pPr>
      <w:r>
        <w:rPr>
          <w:rFonts w:hint="eastAsia" w:ascii="宋体" w:hAnsi="宋体" w:cs="宋体"/>
          <w:sz w:val="24"/>
        </w:rPr>
        <w:t>7.1  道路通行权和场外设施</w:t>
      </w:r>
    </w:p>
    <w:p w14:paraId="1DD4880A">
      <w:pPr>
        <w:spacing w:line="360" w:lineRule="auto"/>
        <w:ind w:firstLine="660" w:firstLineChars="300"/>
        <w:rPr>
          <w:rFonts w:hint="eastAsia" w:ascii="宋体" w:hAnsi="宋体" w:cs="宋体"/>
          <w:sz w:val="22"/>
          <w:szCs w:val="22"/>
        </w:rPr>
      </w:pPr>
      <w:r>
        <w:rPr>
          <w:rFonts w:hint="eastAsia" w:ascii="宋体" w:hAnsi="宋体" w:cs="宋体"/>
          <w:sz w:val="22"/>
          <w:szCs w:val="22"/>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2FB612CA">
      <w:pPr>
        <w:spacing w:line="360" w:lineRule="auto"/>
        <w:rPr>
          <w:rFonts w:hint="eastAsia" w:ascii="宋体" w:hAnsi="宋体" w:cs="宋体"/>
          <w:sz w:val="24"/>
        </w:rPr>
      </w:pPr>
      <w:r>
        <w:rPr>
          <w:rFonts w:hint="eastAsia" w:ascii="宋体" w:hAnsi="宋体" w:cs="宋体"/>
          <w:sz w:val="24"/>
        </w:rPr>
        <w:t>7.2  场内施工道路</w:t>
      </w:r>
    </w:p>
    <w:p w14:paraId="50BD6AB9">
      <w:pPr>
        <w:spacing w:line="360" w:lineRule="auto"/>
        <w:ind w:firstLine="660" w:firstLineChars="300"/>
        <w:rPr>
          <w:rFonts w:hint="eastAsia" w:ascii="宋体" w:hAnsi="宋体" w:cs="宋体"/>
          <w:sz w:val="22"/>
          <w:szCs w:val="22"/>
        </w:rPr>
      </w:pPr>
      <w:r>
        <w:rPr>
          <w:rFonts w:hint="eastAsia" w:ascii="宋体" w:hAnsi="宋体" w:cs="宋体"/>
          <w:sz w:val="22"/>
          <w:szCs w:val="22"/>
        </w:rPr>
        <w:t>7.2.1  除合同条款专用部分另有约定外，承包人应负责修建、维修、养护和管理施工所需的临时道路和交通设施，包括维修、养护和管理发包人提供的道路和交通设施，并承担相应费用。</w:t>
      </w:r>
    </w:p>
    <w:p w14:paraId="06BA2C13">
      <w:pPr>
        <w:spacing w:line="360" w:lineRule="auto"/>
        <w:ind w:firstLine="660" w:firstLineChars="300"/>
        <w:rPr>
          <w:rFonts w:hint="eastAsia" w:ascii="宋体" w:hAnsi="宋体" w:cs="宋体"/>
          <w:sz w:val="22"/>
          <w:szCs w:val="22"/>
        </w:rPr>
      </w:pPr>
      <w:r>
        <w:rPr>
          <w:rFonts w:hint="eastAsia" w:ascii="宋体" w:hAnsi="宋体" w:cs="宋体"/>
          <w:sz w:val="22"/>
          <w:szCs w:val="22"/>
        </w:rPr>
        <w:t>7.2.2  发包人和监理人有权无偿使用承包人修建的临时道路和交通设施，不需要交纳任何费用。</w:t>
      </w:r>
    </w:p>
    <w:p w14:paraId="0D11F512">
      <w:pPr>
        <w:spacing w:line="360" w:lineRule="auto"/>
        <w:rPr>
          <w:rFonts w:hint="eastAsia" w:ascii="宋体" w:hAnsi="宋体" w:cs="宋体"/>
          <w:sz w:val="24"/>
        </w:rPr>
      </w:pPr>
      <w:r>
        <w:rPr>
          <w:rFonts w:hint="eastAsia" w:ascii="宋体" w:hAnsi="宋体" w:cs="宋体"/>
          <w:sz w:val="24"/>
        </w:rPr>
        <w:t>7.3  场外交通</w:t>
      </w:r>
    </w:p>
    <w:p w14:paraId="0801FAAF">
      <w:pPr>
        <w:spacing w:line="360" w:lineRule="auto"/>
        <w:ind w:firstLine="660" w:firstLineChars="300"/>
        <w:rPr>
          <w:rFonts w:hint="eastAsia" w:ascii="宋体" w:hAnsi="宋体" w:cs="宋体"/>
          <w:sz w:val="22"/>
          <w:szCs w:val="22"/>
        </w:rPr>
      </w:pPr>
      <w:r>
        <w:rPr>
          <w:rFonts w:hint="eastAsia" w:ascii="宋体" w:hAnsi="宋体" w:cs="宋体"/>
          <w:sz w:val="22"/>
          <w:szCs w:val="22"/>
        </w:rPr>
        <w:t>7.3.1  承包人车辆外出行驶所需的场外公共道路的通行费、养路费和税款等由承包人承担。</w:t>
      </w:r>
    </w:p>
    <w:p w14:paraId="314E8CB2">
      <w:pPr>
        <w:spacing w:line="360" w:lineRule="auto"/>
        <w:ind w:firstLine="660" w:firstLineChars="300"/>
        <w:rPr>
          <w:rFonts w:hint="eastAsia" w:ascii="宋体" w:hAnsi="宋体" w:cs="宋体"/>
          <w:sz w:val="22"/>
          <w:szCs w:val="22"/>
        </w:rPr>
      </w:pPr>
      <w:r>
        <w:rPr>
          <w:rFonts w:hint="eastAsia" w:ascii="宋体" w:hAnsi="宋体" w:cs="宋体"/>
          <w:sz w:val="22"/>
          <w:szCs w:val="22"/>
        </w:rPr>
        <w:t>7.3.2  承包人应遵守有关交通法规，严格按照道路和桥梁的限制荷重安全行驶，并服从交通管理部门的检查和监督。</w:t>
      </w:r>
    </w:p>
    <w:p w14:paraId="122C2724">
      <w:pPr>
        <w:spacing w:line="360" w:lineRule="auto"/>
        <w:rPr>
          <w:rFonts w:hint="eastAsia" w:ascii="宋体" w:hAnsi="宋体" w:cs="宋体"/>
          <w:sz w:val="24"/>
        </w:rPr>
      </w:pPr>
      <w:r>
        <w:rPr>
          <w:rFonts w:hint="eastAsia" w:ascii="宋体" w:hAnsi="宋体" w:cs="宋体"/>
          <w:sz w:val="24"/>
        </w:rPr>
        <w:t>7.4  超大件和超重件的运输</w:t>
      </w:r>
    </w:p>
    <w:p w14:paraId="7C5DEA0E">
      <w:pPr>
        <w:spacing w:line="360" w:lineRule="auto"/>
        <w:ind w:firstLine="660" w:firstLineChars="300"/>
        <w:rPr>
          <w:rFonts w:hint="eastAsia" w:ascii="宋体" w:hAnsi="宋体" w:cs="宋体"/>
          <w:sz w:val="22"/>
          <w:szCs w:val="22"/>
        </w:rPr>
      </w:pPr>
      <w:r>
        <w:rPr>
          <w:rFonts w:hint="eastAsia" w:ascii="宋体" w:hAnsi="宋体" w:cs="宋体"/>
          <w:sz w:val="22"/>
          <w:szCs w:val="22"/>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7A98E694">
      <w:pPr>
        <w:spacing w:line="360" w:lineRule="auto"/>
        <w:rPr>
          <w:rFonts w:hint="eastAsia" w:ascii="宋体" w:hAnsi="宋体" w:cs="宋体"/>
          <w:sz w:val="24"/>
        </w:rPr>
      </w:pPr>
      <w:r>
        <w:rPr>
          <w:rFonts w:hint="eastAsia" w:ascii="宋体" w:hAnsi="宋体" w:cs="宋体"/>
          <w:sz w:val="24"/>
        </w:rPr>
        <w:t>7.5  道路和桥梁的损坏责任</w:t>
      </w:r>
    </w:p>
    <w:p w14:paraId="0E9EDD90">
      <w:pPr>
        <w:spacing w:line="360" w:lineRule="auto"/>
        <w:ind w:firstLine="660" w:firstLineChars="300"/>
        <w:rPr>
          <w:rFonts w:hint="eastAsia" w:ascii="宋体" w:hAnsi="宋体" w:cs="宋体"/>
          <w:sz w:val="22"/>
          <w:szCs w:val="22"/>
        </w:rPr>
      </w:pPr>
      <w:r>
        <w:rPr>
          <w:rFonts w:hint="eastAsia" w:ascii="宋体" w:hAnsi="宋体" w:cs="宋体"/>
          <w:sz w:val="22"/>
          <w:szCs w:val="22"/>
        </w:rPr>
        <w:t>因承包人运输造成施工场地内外公共道路和桥梁损坏的，由承包人承担修复损坏的全部费用和可能引起的赔偿。</w:t>
      </w:r>
    </w:p>
    <w:p w14:paraId="62301546">
      <w:pPr>
        <w:spacing w:line="360" w:lineRule="auto"/>
        <w:rPr>
          <w:rFonts w:hint="eastAsia" w:ascii="宋体" w:hAnsi="宋体" w:cs="宋体"/>
          <w:sz w:val="24"/>
        </w:rPr>
      </w:pPr>
      <w:r>
        <w:rPr>
          <w:rFonts w:hint="eastAsia" w:ascii="宋体" w:hAnsi="宋体" w:cs="宋体"/>
          <w:sz w:val="24"/>
        </w:rPr>
        <w:t>7.6  水路和航空运输</w:t>
      </w:r>
    </w:p>
    <w:p w14:paraId="0A42B39F">
      <w:pPr>
        <w:spacing w:line="360" w:lineRule="auto"/>
        <w:ind w:firstLine="660" w:firstLineChars="300"/>
        <w:rPr>
          <w:rFonts w:hint="eastAsia" w:ascii="宋体" w:hAnsi="宋体" w:cs="宋体"/>
          <w:sz w:val="22"/>
          <w:szCs w:val="22"/>
        </w:rPr>
      </w:pPr>
      <w:r>
        <w:rPr>
          <w:rFonts w:hint="eastAsia" w:ascii="宋体" w:hAnsi="宋体" w:cs="宋体"/>
          <w:sz w:val="22"/>
          <w:szCs w:val="22"/>
        </w:rPr>
        <w:t>本条上述各款的内容适用于水路运输和航空运输，其中“道路 ”一词的涵义包括河道、 航线、船闸、机场、码头、堤防以及水路或航空运输中其他相似结构物；“车辆 ”一词的涵义包括船舶和飞机等。</w:t>
      </w:r>
    </w:p>
    <w:p w14:paraId="516804F3">
      <w:pPr>
        <w:spacing w:line="360" w:lineRule="auto"/>
        <w:rPr>
          <w:rFonts w:hint="eastAsia" w:ascii="宋体" w:hAnsi="宋体" w:cs="宋体"/>
          <w:sz w:val="24"/>
        </w:rPr>
      </w:pPr>
      <w:r>
        <w:rPr>
          <w:rFonts w:hint="eastAsia" w:ascii="宋体" w:hAnsi="宋体" w:cs="宋体"/>
          <w:sz w:val="24"/>
        </w:rPr>
        <w:t>8.测量放线</w:t>
      </w:r>
    </w:p>
    <w:p w14:paraId="55AC2294">
      <w:pPr>
        <w:spacing w:line="360" w:lineRule="auto"/>
        <w:rPr>
          <w:rFonts w:hint="eastAsia" w:ascii="宋体" w:hAnsi="宋体" w:cs="宋体"/>
          <w:sz w:val="24"/>
        </w:rPr>
      </w:pPr>
      <w:r>
        <w:rPr>
          <w:rFonts w:hint="eastAsia" w:ascii="宋体" w:hAnsi="宋体" w:cs="宋体"/>
          <w:sz w:val="24"/>
        </w:rPr>
        <w:t>8.1  施工控制网</w:t>
      </w:r>
    </w:p>
    <w:p w14:paraId="471F1A4C">
      <w:pPr>
        <w:spacing w:line="360" w:lineRule="auto"/>
        <w:ind w:firstLine="660" w:firstLineChars="300"/>
        <w:rPr>
          <w:rFonts w:hint="eastAsia" w:ascii="宋体" w:hAnsi="宋体" w:cs="宋体"/>
          <w:sz w:val="22"/>
          <w:szCs w:val="22"/>
        </w:rPr>
      </w:pPr>
      <w:r>
        <w:rPr>
          <w:rFonts w:hint="eastAsia" w:ascii="宋体" w:hAnsi="宋体" w:cs="宋体"/>
          <w:sz w:val="22"/>
          <w:szCs w:val="22"/>
        </w:rPr>
        <w:t>8.1.1  发包人应在合同约定的期限内，通过监理人向承包人提供测量基准点、基准线和水准点及其书面资料。向承包人提供测量基准点、基准线和水准点及其书面资料的期限见合同条款专用部分。</w:t>
      </w:r>
    </w:p>
    <w:p w14:paraId="4D610399">
      <w:pPr>
        <w:spacing w:line="360" w:lineRule="auto"/>
        <w:ind w:firstLine="660" w:firstLineChars="300"/>
        <w:rPr>
          <w:rFonts w:hint="eastAsia" w:ascii="宋体" w:hAnsi="宋体" w:cs="宋体"/>
          <w:sz w:val="22"/>
          <w:szCs w:val="22"/>
        </w:rPr>
      </w:pPr>
      <w:r>
        <w:rPr>
          <w:rFonts w:hint="eastAsia" w:ascii="宋体" w:hAnsi="宋体" w:cs="宋体"/>
          <w:sz w:val="22"/>
          <w:szCs w:val="22"/>
        </w:rPr>
        <w:t>8.1.2  承包人应根据国家测绘基准、测绘系统和工程测量技术规范，按上述基准点（线） 以及合同工程精度要求，测设施工控制网，承包人测设施工控制网的其他要求见合同条款专用部分。并将施工控制网资料在约定期限内报送监理人审批，其报送监理人审批的期限见合同条款专用部分。</w:t>
      </w:r>
    </w:p>
    <w:p w14:paraId="60225FC0">
      <w:pPr>
        <w:spacing w:line="360" w:lineRule="auto"/>
        <w:ind w:firstLine="660" w:firstLineChars="300"/>
        <w:rPr>
          <w:rFonts w:hint="eastAsia" w:ascii="宋体" w:hAnsi="宋体" w:cs="宋体"/>
          <w:sz w:val="22"/>
          <w:szCs w:val="22"/>
        </w:rPr>
      </w:pPr>
      <w:r>
        <w:rPr>
          <w:rFonts w:hint="eastAsia" w:ascii="宋体" w:hAnsi="宋体" w:cs="宋体"/>
          <w:sz w:val="22"/>
          <w:szCs w:val="22"/>
        </w:rPr>
        <w:t>8.1.3  承包人应负责管理施工控制网点。施工控制网点丢失或损坏的，承包人应及时修复，并承担施工控制网点的管理与修复费用。工程竣工后将施工控制网点移交发包人。</w:t>
      </w:r>
    </w:p>
    <w:p w14:paraId="5712EECF">
      <w:pPr>
        <w:spacing w:line="360" w:lineRule="auto"/>
        <w:rPr>
          <w:rFonts w:hint="eastAsia" w:ascii="宋体" w:hAnsi="宋体" w:cs="宋体"/>
          <w:sz w:val="24"/>
        </w:rPr>
      </w:pPr>
      <w:r>
        <w:rPr>
          <w:rFonts w:hint="eastAsia" w:ascii="宋体" w:hAnsi="宋体" w:cs="宋体"/>
          <w:sz w:val="24"/>
        </w:rPr>
        <w:t>8.2  施工测量</w:t>
      </w:r>
    </w:p>
    <w:p w14:paraId="0D851839">
      <w:pPr>
        <w:spacing w:line="360" w:lineRule="auto"/>
        <w:ind w:firstLine="660" w:firstLineChars="300"/>
        <w:rPr>
          <w:rFonts w:hint="eastAsia" w:ascii="宋体" w:hAnsi="宋体" w:cs="宋体"/>
          <w:sz w:val="22"/>
          <w:szCs w:val="22"/>
        </w:rPr>
      </w:pPr>
      <w:r>
        <w:rPr>
          <w:rFonts w:hint="eastAsia" w:ascii="宋体" w:hAnsi="宋体" w:cs="宋体"/>
          <w:sz w:val="22"/>
          <w:szCs w:val="22"/>
        </w:rPr>
        <w:t>8.2.1  承包人应负责施工过程中的全部施工测量放线工作，并配置合格的人员、仪器、设备和其他物品。</w:t>
      </w:r>
    </w:p>
    <w:p w14:paraId="286BD3BC">
      <w:pPr>
        <w:spacing w:line="360" w:lineRule="auto"/>
        <w:ind w:firstLine="660" w:firstLineChars="300"/>
        <w:rPr>
          <w:rFonts w:hint="eastAsia" w:ascii="宋体" w:hAnsi="宋体" w:cs="宋体"/>
          <w:sz w:val="22"/>
          <w:szCs w:val="22"/>
        </w:rPr>
      </w:pPr>
      <w:r>
        <w:rPr>
          <w:rFonts w:hint="eastAsia" w:ascii="宋体" w:hAnsi="宋体" w:cs="宋体"/>
          <w:sz w:val="22"/>
          <w:szCs w:val="22"/>
        </w:rPr>
        <w:t>8.2.2  监理人可以指示承包人进行抽样复测，当复测中发现错误或出现超过合同约定的误差时，承包人应按监理人指示进行修正或补测，并承担相应的复测费用。</w:t>
      </w:r>
    </w:p>
    <w:p w14:paraId="59E5CE11">
      <w:pPr>
        <w:spacing w:line="360" w:lineRule="auto"/>
        <w:rPr>
          <w:rFonts w:hint="eastAsia" w:ascii="宋体" w:hAnsi="宋体" w:cs="宋体"/>
          <w:sz w:val="24"/>
        </w:rPr>
      </w:pPr>
      <w:r>
        <w:rPr>
          <w:rFonts w:hint="eastAsia" w:ascii="宋体" w:hAnsi="宋体" w:cs="宋体"/>
          <w:sz w:val="24"/>
        </w:rPr>
        <w:t>8.3  基准资料错误的责任</w:t>
      </w:r>
    </w:p>
    <w:p w14:paraId="4E669882">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 发现发包人提供的上述基准资料存在明显错误或疏忽的，应及时通知监理人。</w:t>
      </w:r>
    </w:p>
    <w:p w14:paraId="06968421">
      <w:pPr>
        <w:spacing w:line="360" w:lineRule="auto"/>
        <w:rPr>
          <w:rFonts w:hint="eastAsia" w:ascii="宋体" w:hAnsi="宋体" w:cs="宋体"/>
          <w:sz w:val="24"/>
        </w:rPr>
      </w:pPr>
      <w:r>
        <w:rPr>
          <w:rFonts w:hint="eastAsia" w:ascii="宋体" w:hAnsi="宋体" w:cs="宋体"/>
          <w:sz w:val="24"/>
        </w:rPr>
        <w:t>8.4  监理人使用施工控制网</w:t>
      </w:r>
    </w:p>
    <w:p w14:paraId="1E97DBB7">
      <w:pPr>
        <w:spacing w:line="360" w:lineRule="auto"/>
        <w:ind w:firstLine="660" w:firstLineChars="300"/>
        <w:rPr>
          <w:rFonts w:hint="eastAsia" w:ascii="宋体" w:hAnsi="宋体" w:cs="宋体"/>
          <w:sz w:val="22"/>
          <w:szCs w:val="22"/>
        </w:rPr>
      </w:pPr>
      <w:r>
        <w:rPr>
          <w:rFonts w:hint="eastAsia" w:ascii="宋体" w:hAnsi="宋体" w:cs="宋体"/>
          <w:sz w:val="22"/>
          <w:szCs w:val="22"/>
        </w:rPr>
        <w:t>监理人需要使用施工控制网的，承包人应提供必要的协助，发包人不再为此支付费用。</w:t>
      </w:r>
    </w:p>
    <w:p w14:paraId="223B17D1">
      <w:pPr>
        <w:spacing w:line="360" w:lineRule="auto"/>
        <w:rPr>
          <w:rFonts w:hint="eastAsia" w:ascii="宋体" w:hAnsi="宋体" w:cs="宋体"/>
          <w:b/>
          <w:bCs/>
          <w:sz w:val="24"/>
        </w:rPr>
      </w:pPr>
      <w:r>
        <w:rPr>
          <w:rFonts w:hint="eastAsia" w:ascii="宋体" w:hAnsi="宋体" w:cs="宋体"/>
          <w:b/>
          <w:bCs/>
          <w:sz w:val="24"/>
        </w:rPr>
        <w:t>9.施工安全、治安保卫和环境保护</w:t>
      </w:r>
    </w:p>
    <w:p w14:paraId="7C906831">
      <w:pPr>
        <w:spacing w:line="360" w:lineRule="auto"/>
        <w:rPr>
          <w:rFonts w:hint="eastAsia" w:ascii="宋体" w:hAnsi="宋体" w:cs="宋体"/>
          <w:sz w:val="24"/>
        </w:rPr>
      </w:pPr>
      <w:r>
        <w:rPr>
          <w:rFonts w:hint="eastAsia" w:ascii="宋体" w:hAnsi="宋体" w:cs="宋体"/>
          <w:sz w:val="24"/>
        </w:rPr>
        <w:t>9.1  发包人的施工安全责任</w:t>
      </w:r>
    </w:p>
    <w:p w14:paraId="330AB28A">
      <w:pPr>
        <w:spacing w:line="360" w:lineRule="auto"/>
        <w:ind w:firstLine="660" w:firstLineChars="300"/>
        <w:rPr>
          <w:rFonts w:hint="eastAsia" w:ascii="宋体" w:hAnsi="宋体" w:cs="宋体"/>
          <w:sz w:val="22"/>
          <w:szCs w:val="22"/>
        </w:rPr>
      </w:pPr>
      <w:r>
        <w:rPr>
          <w:rFonts w:hint="eastAsia" w:ascii="宋体" w:hAnsi="宋体" w:cs="宋体"/>
          <w:sz w:val="22"/>
          <w:szCs w:val="22"/>
        </w:rPr>
        <w:t>9.1.1  发包人应按合同约定履行安全职责，授权监理人按合同约定的安全工作内容监 督、检查承包人安全工作的实施，组织承包人和有关单位进行安全检查。</w:t>
      </w:r>
    </w:p>
    <w:p w14:paraId="2FDA5FD7">
      <w:pPr>
        <w:spacing w:line="360" w:lineRule="auto"/>
        <w:ind w:firstLine="660" w:firstLineChars="300"/>
        <w:rPr>
          <w:rFonts w:hint="eastAsia" w:ascii="宋体" w:hAnsi="宋体" w:cs="宋体"/>
          <w:sz w:val="22"/>
          <w:szCs w:val="22"/>
        </w:rPr>
      </w:pPr>
      <w:r>
        <w:rPr>
          <w:rFonts w:hint="eastAsia" w:ascii="宋体" w:hAnsi="宋体" w:cs="宋体"/>
          <w:sz w:val="22"/>
          <w:szCs w:val="22"/>
        </w:rPr>
        <w:t>9.1.2  发包人应对其现场机构雇佣的全部人员的工伤事故承担责任，但由于承包人原 因造成发包人人员工伤的，应由承包人承担责任。</w:t>
      </w:r>
    </w:p>
    <w:p w14:paraId="25F89C4F">
      <w:pPr>
        <w:spacing w:line="360" w:lineRule="auto"/>
        <w:ind w:firstLine="660" w:firstLineChars="300"/>
        <w:rPr>
          <w:rFonts w:hint="eastAsia" w:ascii="宋体" w:hAnsi="宋体" w:cs="宋体"/>
          <w:sz w:val="22"/>
          <w:szCs w:val="22"/>
        </w:rPr>
      </w:pPr>
      <w:r>
        <w:rPr>
          <w:rFonts w:hint="eastAsia" w:ascii="宋体" w:hAnsi="宋体" w:cs="宋体"/>
          <w:sz w:val="22"/>
          <w:szCs w:val="22"/>
        </w:rPr>
        <w:t>9.1.3  发包人应负责赔偿以下各种情况造成的第三者人身伤亡和财产损失：</w:t>
      </w:r>
    </w:p>
    <w:p w14:paraId="02E3CD34">
      <w:pPr>
        <w:spacing w:line="360" w:lineRule="auto"/>
        <w:ind w:firstLine="660" w:firstLineChars="300"/>
        <w:rPr>
          <w:rFonts w:hint="eastAsia" w:ascii="宋体" w:hAnsi="宋体" w:cs="宋体"/>
          <w:sz w:val="22"/>
          <w:szCs w:val="22"/>
        </w:rPr>
      </w:pPr>
      <w:r>
        <w:rPr>
          <w:rFonts w:hint="eastAsia" w:ascii="宋体" w:hAnsi="宋体" w:cs="宋体"/>
          <w:sz w:val="22"/>
          <w:szCs w:val="22"/>
        </w:rPr>
        <w:t>（1）工程或工程的任何部分对土地的占用所造成的第三者财产损失；</w:t>
      </w:r>
    </w:p>
    <w:p w14:paraId="3C17F17E">
      <w:pPr>
        <w:spacing w:line="360" w:lineRule="auto"/>
        <w:ind w:firstLine="660" w:firstLineChars="300"/>
        <w:rPr>
          <w:rFonts w:hint="eastAsia" w:ascii="宋体" w:hAnsi="宋体" w:cs="宋体"/>
          <w:sz w:val="22"/>
          <w:szCs w:val="22"/>
        </w:rPr>
      </w:pPr>
      <w:r>
        <w:rPr>
          <w:rFonts w:hint="eastAsia" w:ascii="宋体" w:hAnsi="宋体" w:cs="宋体"/>
          <w:sz w:val="22"/>
          <w:szCs w:val="22"/>
        </w:rPr>
        <w:t>（2） 由于发包人原因在施工场地及其毗邻地带造成的第三者人身伤亡和财产损失。</w:t>
      </w:r>
    </w:p>
    <w:p w14:paraId="013C966E">
      <w:pPr>
        <w:spacing w:line="360" w:lineRule="auto"/>
        <w:rPr>
          <w:rFonts w:hint="eastAsia" w:ascii="宋体" w:hAnsi="宋体" w:cs="宋体"/>
          <w:sz w:val="24"/>
        </w:rPr>
      </w:pPr>
      <w:r>
        <w:rPr>
          <w:rFonts w:hint="eastAsia" w:ascii="宋体" w:hAnsi="宋体" w:cs="宋体"/>
          <w:sz w:val="24"/>
        </w:rPr>
        <w:t>9.2  承包人的施工安全责任</w:t>
      </w:r>
    </w:p>
    <w:p w14:paraId="16BBD370">
      <w:pPr>
        <w:spacing w:line="360" w:lineRule="auto"/>
        <w:ind w:firstLine="660" w:firstLineChars="300"/>
        <w:rPr>
          <w:rFonts w:hint="eastAsia" w:ascii="宋体" w:hAnsi="宋体" w:cs="宋体"/>
          <w:sz w:val="22"/>
          <w:szCs w:val="22"/>
        </w:rPr>
      </w:pPr>
      <w:r>
        <w:rPr>
          <w:rFonts w:hint="eastAsia" w:ascii="宋体" w:hAnsi="宋体" w:cs="宋体"/>
          <w:sz w:val="22"/>
          <w:szCs w:val="22"/>
        </w:rPr>
        <w:t>9.2.1  承包人应按合同约定履行安全职责,执行监理人有关安全工作的指示,并在合同条款专用部分约定的期限内，按合同约定的安全工作内容，编制施工安全措施计划报送监理人审批。监理人应在合同条款专用部分约定的期限内完成批复。</w:t>
      </w:r>
    </w:p>
    <w:p w14:paraId="730AB589">
      <w:pPr>
        <w:spacing w:line="360" w:lineRule="auto"/>
        <w:ind w:firstLine="660" w:firstLineChars="300"/>
        <w:rPr>
          <w:rFonts w:hint="eastAsia" w:ascii="宋体" w:hAnsi="宋体" w:cs="宋体"/>
          <w:sz w:val="22"/>
          <w:szCs w:val="22"/>
        </w:rPr>
      </w:pPr>
      <w:r>
        <w:rPr>
          <w:rFonts w:hint="eastAsia" w:ascii="宋体" w:hAnsi="宋体" w:cs="宋体"/>
          <w:sz w:val="22"/>
          <w:szCs w:val="22"/>
        </w:rPr>
        <w:t>9.2.2  承包人应加强施工作业安全管理，特别应加强易燃、易爆材料、火工器材、有毒与腐蚀性材料、行业挥发性有机物和其他危险品的管理，以及对爆破作业和地下工程施工等危险作业的管理。</w:t>
      </w:r>
    </w:p>
    <w:p w14:paraId="045A81BB">
      <w:pPr>
        <w:spacing w:line="360" w:lineRule="auto"/>
        <w:ind w:firstLine="660" w:firstLineChars="300"/>
        <w:rPr>
          <w:rFonts w:hint="eastAsia" w:ascii="宋体" w:hAnsi="宋体" w:cs="宋体"/>
          <w:sz w:val="22"/>
          <w:szCs w:val="22"/>
        </w:rPr>
      </w:pPr>
      <w:r>
        <w:rPr>
          <w:rFonts w:hint="eastAsia" w:ascii="宋体" w:hAnsi="宋体" w:cs="宋体"/>
          <w:sz w:val="22"/>
          <w:szCs w:val="22"/>
        </w:rPr>
        <w:t>9.2.3  承包人应严格按照国家安全标准制定施工安全操作规程，配备必要的安全生产 和劳动保护设施，加强对承包人人员的安全教育，并发放安全工作手册和劳动保护用具。</w:t>
      </w:r>
    </w:p>
    <w:p w14:paraId="5B847BA3">
      <w:pPr>
        <w:spacing w:line="360" w:lineRule="auto"/>
        <w:ind w:firstLine="660" w:firstLineChars="300"/>
        <w:rPr>
          <w:rFonts w:hint="eastAsia" w:ascii="宋体" w:hAnsi="宋体" w:cs="宋体"/>
          <w:sz w:val="22"/>
          <w:szCs w:val="22"/>
        </w:rPr>
      </w:pPr>
      <w:r>
        <w:rPr>
          <w:rFonts w:hint="eastAsia" w:ascii="宋体" w:hAnsi="宋体" w:cs="宋体"/>
          <w:sz w:val="22"/>
          <w:szCs w:val="22"/>
        </w:rPr>
        <w:t>9.2.4  承包人应按监理人的指示制定应对灾害的紧急预案，报送监理人审批。承包人还应按预案做好安全检查，配置必要的救助物资和器材，切实保护好有关人员的人身和财产安全。</w:t>
      </w:r>
    </w:p>
    <w:p w14:paraId="3BE3EEE4">
      <w:pPr>
        <w:spacing w:line="360" w:lineRule="auto"/>
        <w:ind w:firstLine="660" w:firstLineChars="300"/>
        <w:rPr>
          <w:rFonts w:hint="eastAsia" w:ascii="宋体" w:hAnsi="宋体" w:cs="宋体"/>
          <w:sz w:val="22"/>
          <w:szCs w:val="22"/>
        </w:rPr>
      </w:pPr>
      <w:r>
        <w:rPr>
          <w:rFonts w:hint="eastAsia" w:ascii="宋体" w:hAnsi="宋体" w:cs="宋体"/>
          <w:sz w:val="22"/>
          <w:szCs w:val="22"/>
        </w:rPr>
        <w:t>9.2.5  合同约定的安全作业环境及安全施工措施所需费用应遵守有关规定，并包括在相关工作的合同价格中。因采取合同未约定的安全作业环境及安全施工措施增加的费用，由监理人按第 3.5 款商定或确定。</w:t>
      </w:r>
    </w:p>
    <w:p w14:paraId="1B941BA0">
      <w:pPr>
        <w:spacing w:line="360" w:lineRule="auto"/>
        <w:ind w:firstLine="660" w:firstLineChars="300"/>
        <w:rPr>
          <w:rFonts w:hint="eastAsia" w:ascii="宋体" w:hAnsi="宋体" w:cs="宋体"/>
          <w:sz w:val="22"/>
          <w:szCs w:val="22"/>
        </w:rPr>
      </w:pPr>
      <w:r>
        <w:rPr>
          <w:rFonts w:hint="eastAsia" w:ascii="宋体" w:hAnsi="宋体" w:cs="宋体"/>
          <w:sz w:val="22"/>
          <w:szCs w:val="22"/>
        </w:rPr>
        <w:t>9.2.6  承包人应对其履行合同所雇佣的全部人员，包括分包人人员的工伤事故承担责任，但由于发包人原因造成承包人人员工伤事故的，应由发包人承担责任。</w:t>
      </w:r>
    </w:p>
    <w:p w14:paraId="5CAEA1D3">
      <w:pPr>
        <w:spacing w:line="360" w:lineRule="auto"/>
        <w:ind w:firstLine="660" w:firstLineChars="300"/>
        <w:rPr>
          <w:rFonts w:hint="eastAsia" w:ascii="宋体" w:hAnsi="宋体" w:cs="宋体"/>
          <w:sz w:val="22"/>
          <w:szCs w:val="22"/>
        </w:rPr>
      </w:pPr>
      <w:r>
        <w:rPr>
          <w:rFonts w:hint="eastAsia" w:ascii="宋体" w:hAnsi="宋体" w:cs="宋体"/>
          <w:sz w:val="22"/>
          <w:szCs w:val="22"/>
        </w:rPr>
        <w:t>9.2.7  由于承包人原因在施工场地内及其毗邻地带造成的第三者人员伤亡和财产损失， 由承包人负责赔偿。</w:t>
      </w:r>
    </w:p>
    <w:p w14:paraId="7F8D0E9E">
      <w:pPr>
        <w:spacing w:line="360" w:lineRule="auto"/>
        <w:rPr>
          <w:rFonts w:hint="eastAsia" w:ascii="宋体" w:hAnsi="宋体" w:cs="宋体"/>
          <w:sz w:val="24"/>
        </w:rPr>
      </w:pPr>
      <w:r>
        <w:rPr>
          <w:rFonts w:hint="eastAsia" w:ascii="宋体" w:hAnsi="宋体" w:cs="宋体"/>
          <w:sz w:val="24"/>
        </w:rPr>
        <w:t>9.3  治安保卫</w:t>
      </w:r>
    </w:p>
    <w:p w14:paraId="11E9CDE5">
      <w:pPr>
        <w:spacing w:line="360" w:lineRule="auto"/>
        <w:ind w:firstLine="660" w:firstLineChars="300"/>
        <w:rPr>
          <w:rFonts w:hint="eastAsia" w:ascii="宋体" w:hAnsi="宋体" w:cs="宋体"/>
          <w:sz w:val="22"/>
          <w:szCs w:val="22"/>
        </w:rPr>
      </w:pPr>
      <w:r>
        <w:rPr>
          <w:rFonts w:hint="eastAsia" w:ascii="宋体" w:hAnsi="宋体" w:cs="宋体"/>
          <w:sz w:val="22"/>
          <w:szCs w:val="22"/>
        </w:rPr>
        <w:t>9.3.1  发包人应与当地公安部门协商，在现场建立治安管理机构或联防组织，负责统一管理施工场地的治安保卫事项，履行合同工程的治安保卫职责。</w:t>
      </w:r>
    </w:p>
    <w:p w14:paraId="66DA8E9E">
      <w:pPr>
        <w:spacing w:line="360" w:lineRule="auto"/>
        <w:ind w:firstLine="660" w:firstLineChars="300"/>
        <w:rPr>
          <w:rFonts w:hint="eastAsia" w:ascii="宋体" w:hAnsi="宋体" w:cs="宋体"/>
          <w:sz w:val="22"/>
          <w:szCs w:val="22"/>
        </w:rPr>
      </w:pPr>
      <w:r>
        <w:rPr>
          <w:rFonts w:hint="eastAsia" w:ascii="宋体" w:hAnsi="宋体" w:cs="宋体"/>
          <w:sz w:val="22"/>
          <w:szCs w:val="22"/>
        </w:rPr>
        <w:t>9.3.2  发包人和承包人除应协助现场治安管理机构或联防组织维护施工场地的社会治安外，还应做好包括生活区在内的各自管辖区的治安保卫工作。</w:t>
      </w:r>
    </w:p>
    <w:p w14:paraId="15E48519">
      <w:pPr>
        <w:spacing w:line="360" w:lineRule="auto"/>
        <w:ind w:firstLine="660" w:firstLineChars="300"/>
        <w:rPr>
          <w:rFonts w:hint="eastAsia" w:ascii="宋体" w:hAnsi="宋体" w:cs="宋体"/>
          <w:sz w:val="22"/>
          <w:szCs w:val="22"/>
        </w:rPr>
      </w:pPr>
      <w:r>
        <w:rPr>
          <w:rFonts w:hint="eastAsia" w:ascii="宋体" w:hAnsi="宋体" w:cs="宋体"/>
          <w:sz w:val="22"/>
          <w:szCs w:val="22"/>
        </w:rPr>
        <w:t>9.3.3  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 当地有关部门采取措施平息事态，防止事态扩大，尽量减少财产损失和避免人员伤亡。制定施工场地治安管理计划和突发治安事件紧急预案的责任人见合同条款专用部分。</w:t>
      </w:r>
    </w:p>
    <w:p w14:paraId="0CAC2A2A">
      <w:pPr>
        <w:spacing w:line="360" w:lineRule="auto"/>
        <w:rPr>
          <w:rFonts w:hint="eastAsia" w:ascii="宋体" w:hAnsi="宋体" w:cs="宋体"/>
          <w:sz w:val="24"/>
        </w:rPr>
      </w:pPr>
      <w:r>
        <w:rPr>
          <w:rFonts w:hint="eastAsia" w:ascii="宋体" w:hAnsi="宋体" w:cs="宋体"/>
          <w:sz w:val="24"/>
        </w:rPr>
        <w:t>9.4  环境保护</w:t>
      </w:r>
    </w:p>
    <w:p w14:paraId="28C296B8">
      <w:pPr>
        <w:spacing w:line="360" w:lineRule="auto"/>
        <w:ind w:firstLine="660" w:firstLineChars="300"/>
        <w:rPr>
          <w:rFonts w:hint="eastAsia" w:ascii="宋体" w:hAnsi="宋体" w:cs="宋体"/>
          <w:sz w:val="22"/>
          <w:szCs w:val="22"/>
        </w:rPr>
      </w:pPr>
      <w:r>
        <w:rPr>
          <w:rFonts w:hint="eastAsia" w:ascii="宋体" w:hAnsi="宋体" w:cs="宋体"/>
          <w:sz w:val="22"/>
          <w:szCs w:val="22"/>
        </w:rPr>
        <w:t>9.4.1  承包人在施工过程中，应遵守有关环境保护的法律，履行合同约定的环境保护义务，并对违反法律和合同约定义务所造成的环境破坏、人身伤害和财产损失负责。</w:t>
      </w:r>
    </w:p>
    <w:p w14:paraId="62FBC9EE">
      <w:pPr>
        <w:spacing w:line="360" w:lineRule="auto"/>
        <w:ind w:firstLine="660" w:firstLineChars="300"/>
        <w:rPr>
          <w:rFonts w:hint="eastAsia" w:ascii="宋体" w:hAnsi="宋体" w:cs="宋体"/>
          <w:sz w:val="22"/>
          <w:szCs w:val="22"/>
        </w:rPr>
      </w:pPr>
      <w:r>
        <w:rPr>
          <w:rFonts w:hint="eastAsia" w:ascii="宋体" w:hAnsi="宋体" w:cs="宋体"/>
          <w:sz w:val="22"/>
          <w:szCs w:val="22"/>
        </w:rPr>
        <w:t>9.4.2  承包人应建立施工扬尘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建筑施工、室外构筑物防护和道路交通标识等其他涂装作业，推广使用水性、高固体分、无溶 剂、粉末等涂料和水基、本体型等低 VOCs 含量胶粘剂）等责任制，针对工程项目特点制定 具体的实施方案，并严格实施。如扬尘治理，承包人应在建筑工地公示施工扬尘治理措施、责任人、主管部门等信息，并及时向当地主管部门报送施工扬尘治理措施落实情况。</w:t>
      </w:r>
    </w:p>
    <w:p w14:paraId="55B7089F">
      <w:pPr>
        <w:spacing w:line="360" w:lineRule="auto"/>
        <w:ind w:firstLine="660" w:firstLineChars="300"/>
        <w:rPr>
          <w:rFonts w:hint="eastAsia" w:ascii="宋体" w:hAnsi="宋体" w:cs="宋体"/>
          <w:sz w:val="22"/>
          <w:szCs w:val="22"/>
        </w:rPr>
      </w:pPr>
      <w:r>
        <w:rPr>
          <w:rFonts w:hint="eastAsia" w:ascii="宋体" w:hAnsi="宋体" w:cs="宋体"/>
          <w:sz w:val="22"/>
          <w:szCs w:val="22"/>
        </w:rPr>
        <w:t>9.4.3  承包人应在合同条款专用部分约定的时限内，按合同约定的环保工作内容，编制施工环保措施计划（包含第9.4.2 项约定的实施方案内容），报送监理人审批。监理人在合同条款专用部分约定的期限内给予批复。</w:t>
      </w:r>
    </w:p>
    <w:p w14:paraId="26B204E7">
      <w:pPr>
        <w:spacing w:line="360" w:lineRule="auto"/>
        <w:ind w:firstLine="660" w:firstLineChars="300"/>
        <w:rPr>
          <w:rFonts w:hint="eastAsia" w:ascii="宋体" w:hAnsi="宋体" w:cs="宋体"/>
          <w:sz w:val="22"/>
          <w:szCs w:val="22"/>
        </w:rPr>
      </w:pPr>
      <w:r>
        <w:rPr>
          <w:rFonts w:hint="eastAsia" w:ascii="宋体" w:hAnsi="宋体" w:cs="宋体"/>
          <w:sz w:val="22"/>
          <w:szCs w:val="22"/>
        </w:rPr>
        <w:t>9.4.4  承包人应按照批准的施工环保措施计划有序地堆放和处理施工废弃物，避免对环境造成破坏。因承包人任意堆放或弃置施工废弃物造成妨碍公共交通、影响城镇居民生活、 降低河流行洪能力、危及居民安全、破坏和污染环境，或者影响其他承包人施工等后果的，承包人应承担责任。</w:t>
      </w:r>
    </w:p>
    <w:p w14:paraId="6359F20F">
      <w:pPr>
        <w:spacing w:line="360" w:lineRule="auto"/>
        <w:ind w:firstLine="660" w:firstLineChars="300"/>
        <w:rPr>
          <w:rFonts w:hint="eastAsia" w:ascii="宋体" w:hAnsi="宋体" w:cs="宋体"/>
          <w:sz w:val="22"/>
          <w:szCs w:val="22"/>
        </w:rPr>
      </w:pPr>
      <w:r>
        <w:rPr>
          <w:rFonts w:hint="eastAsia" w:ascii="宋体" w:hAnsi="宋体" w:cs="宋体"/>
          <w:sz w:val="22"/>
          <w:szCs w:val="22"/>
        </w:rPr>
        <w:t>9.4.5  承包人应按合同约定采取有效措施，对施工开挖的边坡及时进行支护,维护排水设施，并进行水土保护，避免因施工造成的地质灾害。</w:t>
      </w:r>
    </w:p>
    <w:p w14:paraId="2C3EFD8F">
      <w:pPr>
        <w:spacing w:line="360" w:lineRule="auto"/>
        <w:ind w:firstLine="660" w:firstLineChars="300"/>
        <w:rPr>
          <w:rFonts w:hint="eastAsia" w:ascii="宋体" w:hAnsi="宋体" w:cs="宋体"/>
          <w:sz w:val="22"/>
          <w:szCs w:val="22"/>
        </w:rPr>
      </w:pPr>
      <w:r>
        <w:rPr>
          <w:rFonts w:hint="eastAsia" w:ascii="宋体" w:hAnsi="宋体" w:cs="宋体"/>
          <w:sz w:val="22"/>
          <w:szCs w:val="22"/>
        </w:rPr>
        <w:t>9.4.6  承包人应按国家饮用水管理标准定期对饮用水源进行监测，防止施工活动污染饮用水源。</w:t>
      </w:r>
    </w:p>
    <w:p w14:paraId="6CBC8640">
      <w:pPr>
        <w:spacing w:line="360" w:lineRule="auto"/>
        <w:ind w:firstLine="660" w:firstLineChars="300"/>
        <w:rPr>
          <w:rFonts w:hint="eastAsia" w:ascii="宋体" w:hAnsi="宋体" w:cs="宋体"/>
          <w:sz w:val="22"/>
          <w:szCs w:val="22"/>
        </w:rPr>
      </w:pPr>
      <w:r>
        <w:rPr>
          <w:rFonts w:hint="eastAsia" w:ascii="宋体" w:hAnsi="宋体" w:cs="宋体"/>
          <w:sz w:val="22"/>
          <w:szCs w:val="22"/>
        </w:rPr>
        <w:t>9.4.7  承包人应按合同约定，加强对噪声、粉尘、废气、废水和废油的控制，努力降低噪声，控制粉尘和废气浓度，做好废水和废油的治理和排放。</w:t>
      </w:r>
    </w:p>
    <w:p w14:paraId="3A132C06">
      <w:pPr>
        <w:spacing w:line="360" w:lineRule="auto"/>
        <w:rPr>
          <w:rFonts w:hint="eastAsia" w:ascii="宋体" w:hAnsi="宋体" w:cs="宋体"/>
          <w:sz w:val="24"/>
        </w:rPr>
      </w:pPr>
      <w:r>
        <w:rPr>
          <w:rFonts w:hint="eastAsia" w:ascii="宋体" w:hAnsi="宋体" w:cs="宋体"/>
          <w:sz w:val="24"/>
        </w:rPr>
        <w:t>9.5  事故处理</w:t>
      </w:r>
    </w:p>
    <w:p w14:paraId="6F7185D6">
      <w:pPr>
        <w:spacing w:line="360" w:lineRule="auto"/>
        <w:ind w:firstLine="660" w:firstLineChars="300"/>
        <w:rPr>
          <w:rFonts w:hint="eastAsia" w:ascii="宋体" w:hAnsi="宋体" w:cs="宋体"/>
          <w:sz w:val="22"/>
          <w:szCs w:val="22"/>
        </w:rPr>
      </w:pPr>
      <w:r>
        <w:rPr>
          <w:rFonts w:hint="eastAsia" w:ascii="宋体" w:hAnsi="宋体" w:cs="宋体"/>
          <w:sz w:val="22"/>
          <w:szCs w:val="22"/>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34D2D807">
      <w:pPr>
        <w:spacing w:line="360" w:lineRule="auto"/>
        <w:rPr>
          <w:rFonts w:hint="eastAsia" w:ascii="宋体" w:hAnsi="宋体" w:cs="宋体"/>
          <w:sz w:val="24"/>
        </w:rPr>
      </w:pPr>
      <w:r>
        <w:rPr>
          <w:rFonts w:hint="eastAsia" w:ascii="宋体" w:hAnsi="宋体" w:cs="宋体"/>
          <w:sz w:val="24"/>
        </w:rPr>
        <w:t>9.6  施工现场安全生产标准化管理目标</w:t>
      </w:r>
    </w:p>
    <w:p w14:paraId="55F9F478">
      <w:pPr>
        <w:spacing w:line="360" w:lineRule="auto"/>
        <w:ind w:firstLine="660" w:firstLineChars="300"/>
        <w:rPr>
          <w:rFonts w:hint="eastAsia" w:ascii="宋体" w:hAnsi="宋体" w:cs="宋体"/>
          <w:sz w:val="22"/>
          <w:szCs w:val="22"/>
        </w:rPr>
      </w:pPr>
      <w:r>
        <w:rPr>
          <w:rFonts w:hint="eastAsia" w:ascii="宋体" w:hAnsi="宋体" w:cs="宋体"/>
          <w:sz w:val="22"/>
          <w:szCs w:val="22"/>
        </w:rPr>
        <w:t>9.6.1 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见合同条款专用部分。</w:t>
      </w:r>
    </w:p>
    <w:p w14:paraId="11476496">
      <w:pPr>
        <w:spacing w:line="360" w:lineRule="auto"/>
        <w:ind w:firstLine="660" w:firstLineChars="300"/>
        <w:rPr>
          <w:rFonts w:hint="eastAsia" w:ascii="宋体" w:hAnsi="宋体" w:cs="宋体"/>
          <w:sz w:val="22"/>
          <w:szCs w:val="22"/>
        </w:rPr>
      </w:pPr>
      <w:r>
        <w:rPr>
          <w:rFonts w:hint="eastAsia" w:ascii="宋体" w:hAnsi="宋体" w:cs="宋体"/>
          <w:sz w:val="22"/>
          <w:szCs w:val="22"/>
        </w:rPr>
        <w:t>9.6.2 发包人鼓励承包人提高施工现场安全生产标准化管理。施工现场安全生产标准化评定、认定等级高于合同协议书中约定的管理目标等级的，发包人可给予承包人创优奖励。 发包人是否给予承包人创优奖励及创优奖励金额或者计算方法见合同条款专用部分。</w:t>
      </w:r>
    </w:p>
    <w:p w14:paraId="0EA8AE42">
      <w:pPr>
        <w:spacing w:line="360" w:lineRule="auto"/>
        <w:rPr>
          <w:rFonts w:hint="eastAsia" w:ascii="宋体" w:hAnsi="宋体" w:cs="宋体"/>
          <w:sz w:val="24"/>
        </w:rPr>
      </w:pPr>
      <w:r>
        <w:rPr>
          <w:rFonts w:hint="eastAsia" w:ascii="宋体" w:hAnsi="宋体" w:cs="宋体"/>
          <w:sz w:val="24"/>
        </w:rPr>
        <w:t>9.7  特殊安全生产标准化</w:t>
      </w:r>
    </w:p>
    <w:p w14:paraId="41F0E6C3">
      <w:pPr>
        <w:spacing w:line="360" w:lineRule="auto"/>
        <w:ind w:firstLine="660" w:firstLineChars="300"/>
        <w:rPr>
          <w:rFonts w:hint="eastAsia" w:ascii="宋体" w:hAnsi="宋体" w:cs="宋体"/>
          <w:sz w:val="22"/>
          <w:szCs w:val="22"/>
        </w:rPr>
      </w:pPr>
      <w:r>
        <w:rPr>
          <w:rFonts w:hint="eastAsia" w:ascii="宋体" w:hAnsi="宋体" w:cs="宋体"/>
          <w:sz w:val="22"/>
          <w:szCs w:val="22"/>
        </w:rPr>
        <w:t>9.7.1 由于承包人原因，特殊安全生产标准化要求未达到合同约定的要求，承包人应当向发包人支付未达到合同约定的特殊安全生产标准化要求的违约金或损失赔偿金。未达到合同约定的特殊安全生产标准化要求的违约金或损失赔偿金的金额或者计算方法见合同条款专用部分。</w:t>
      </w:r>
    </w:p>
    <w:p w14:paraId="119521FB">
      <w:pPr>
        <w:spacing w:line="360" w:lineRule="auto"/>
        <w:ind w:firstLine="660" w:firstLineChars="300"/>
        <w:rPr>
          <w:rFonts w:hint="eastAsia" w:ascii="宋体" w:hAnsi="宋体" w:cs="宋体"/>
          <w:sz w:val="22"/>
          <w:szCs w:val="22"/>
        </w:rPr>
      </w:pPr>
      <w:r>
        <w:rPr>
          <w:rFonts w:hint="eastAsia" w:ascii="宋体" w:hAnsi="宋体" w:cs="宋体"/>
          <w:sz w:val="22"/>
          <w:szCs w:val="22"/>
        </w:rPr>
        <w:t>9.7.2 发包人鼓励承包人提高特殊安全生产标准化要求。特殊安全生产标准化要求高于合同约定的要求，发包人可给予承包人创优奖励。发包人是否给予承包人创优奖励及创优奖励金额或者计算方法见合同条款专用部分。</w:t>
      </w:r>
    </w:p>
    <w:p w14:paraId="011E04F8">
      <w:pPr>
        <w:spacing w:line="360" w:lineRule="auto"/>
        <w:rPr>
          <w:rFonts w:hint="eastAsia" w:ascii="宋体" w:hAnsi="宋体" w:cs="宋体"/>
          <w:b/>
          <w:bCs/>
          <w:sz w:val="24"/>
        </w:rPr>
      </w:pPr>
      <w:r>
        <w:rPr>
          <w:rFonts w:hint="eastAsia" w:ascii="宋体" w:hAnsi="宋体" w:cs="宋体"/>
          <w:b/>
          <w:bCs/>
          <w:sz w:val="24"/>
        </w:rPr>
        <w:t>10.进度计划</w:t>
      </w:r>
    </w:p>
    <w:p w14:paraId="2D5F0D80">
      <w:pPr>
        <w:spacing w:line="360" w:lineRule="auto"/>
        <w:rPr>
          <w:rFonts w:hint="eastAsia" w:ascii="宋体" w:hAnsi="宋体" w:cs="宋体"/>
          <w:sz w:val="24"/>
        </w:rPr>
      </w:pPr>
      <w:r>
        <w:rPr>
          <w:rFonts w:hint="eastAsia" w:ascii="宋体" w:hAnsi="宋体" w:cs="宋体"/>
          <w:sz w:val="24"/>
        </w:rPr>
        <w:t>10.1  合同进度计划</w:t>
      </w:r>
    </w:p>
    <w:p w14:paraId="4F1497D3">
      <w:pPr>
        <w:spacing w:line="360" w:lineRule="auto"/>
        <w:ind w:firstLine="660" w:firstLineChars="300"/>
        <w:rPr>
          <w:rFonts w:hint="eastAsia" w:ascii="宋体" w:hAnsi="宋体" w:cs="宋体"/>
          <w:sz w:val="22"/>
          <w:szCs w:val="22"/>
        </w:rPr>
      </w:pPr>
      <w:r>
        <w:rPr>
          <w:rFonts w:hint="eastAsia" w:ascii="宋体" w:hAnsi="宋体" w:cs="宋体"/>
          <w:sz w:val="22"/>
          <w:szCs w:val="22"/>
        </w:rPr>
        <w:t>10.1.1  承包人应当在收到监理人按照第 11.1.1 项发出的开工通知后 7 天内，编制详细的施工进度计划和施工方案说明报送监理人，施工进度计划应当反映进度管理的相关要素，包括开工日期和竣工日期、要求发包人组织设计人进行阶段性工程设计交底的时间、区段工程的开始时间和完成时间、施工次序和方法、施工活动的逻辑关系，主要材料进场时间 和数量，管理人员、劳动力及主要施工机械设备进出场时间和数量，保障工程安全、质量和工期的技术措施等。监理人应在收到承包人报送的相关进度计划和施工方案说明后 14 天内 批复或提出修改意见，否则该进度计划视为已得到批准。经监理人批准的施工进度计划称合 同进度计划，是控制合同工程进度的依据。承包人编制施工进度计划和施工方案说明的内容 见合同条款专用部分。</w:t>
      </w:r>
    </w:p>
    <w:p w14:paraId="362224C0">
      <w:pPr>
        <w:spacing w:line="360" w:lineRule="auto"/>
        <w:ind w:firstLine="660" w:firstLineChars="300"/>
        <w:rPr>
          <w:rFonts w:hint="eastAsia" w:ascii="宋体" w:hAnsi="宋体" w:cs="宋体"/>
          <w:sz w:val="22"/>
          <w:szCs w:val="22"/>
        </w:rPr>
      </w:pPr>
      <w:r>
        <w:rPr>
          <w:rFonts w:hint="eastAsia" w:ascii="宋体" w:hAnsi="宋体" w:cs="宋体"/>
          <w:sz w:val="22"/>
          <w:szCs w:val="22"/>
        </w:rPr>
        <w:t>10.1.2  承包人还应根据合同进度计划，按照第 10.1.1 项相关约定编制更为详细的分阶段或分项进度计划，报监理人审批。承包人编制分阶段或分项施工进度计划和施工方案说明的内容及时限要求见合同条款专用部分。</w:t>
      </w:r>
    </w:p>
    <w:p w14:paraId="17332BA8">
      <w:pPr>
        <w:spacing w:line="360" w:lineRule="auto"/>
        <w:ind w:firstLine="660" w:firstLineChars="300"/>
        <w:rPr>
          <w:rFonts w:hint="eastAsia" w:ascii="宋体" w:hAnsi="宋体" w:cs="宋体"/>
          <w:sz w:val="24"/>
        </w:rPr>
      </w:pPr>
      <w:r>
        <w:rPr>
          <w:rFonts w:hint="eastAsia" w:ascii="宋体" w:hAnsi="宋体" w:cs="宋体"/>
          <w:sz w:val="22"/>
          <w:szCs w:val="22"/>
        </w:rPr>
        <w:t>10.1.3  群体工程中单位工程分期进行施工的，承包人应当按照发包人提供图纸及有关 资料的时间要求，编制单位工程进度计划和施工方案说明。群体工程中有关编制进度计划和 施工方案说明的要求见合同条款专用部分。</w:t>
      </w:r>
    </w:p>
    <w:p w14:paraId="4893F2C7">
      <w:pPr>
        <w:spacing w:line="360" w:lineRule="auto"/>
        <w:rPr>
          <w:rFonts w:hint="eastAsia" w:ascii="宋体" w:hAnsi="宋体" w:cs="宋体"/>
          <w:sz w:val="24"/>
        </w:rPr>
      </w:pPr>
      <w:r>
        <w:rPr>
          <w:rFonts w:hint="eastAsia" w:ascii="宋体" w:hAnsi="宋体" w:cs="宋体"/>
          <w:sz w:val="24"/>
        </w:rPr>
        <w:t>10.2  合同进度计划的修订</w:t>
      </w:r>
    </w:p>
    <w:p w14:paraId="1CCC039A">
      <w:pPr>
        <w:spacing w:line="360" w:lineRule="auto"/>
        <w:ind w:firstLine="660" w:firstLineChars="300"/>
        <w:rPr>
          <w:rFonts w:hint="eastAsia" w:ascii="宋体" w:hAnsi="宋体" w:cs="宋体"/>
          <w:sz w:val="22"/>
          <w:szCs w:val="22"/>
        </w:rPr>
      </w:pPr>
      <w:r>
        <w:rPr>
          <w:rFonts w:hint="eastAsia" w:ascii="宋体" w:hAnsi="宋体" w:cs="宋体"/>
          <w:sz w:val="22"/>
          <w:szCs w:val="22"/>
        </w:rPr>
        <w:t>10.2.1  不论何种原因造成工程的实际进度与第 10.1 款的合同进度计划不符时，承包人可以在合同条款专用部分约定的期限内向监理人提交修订合同进度计划的申请报告，并附有关措施和相关资料，报监理人审批；</w:t>
      </w:r>
    </w:p>
    <w:p w14:paraId="08D8B61E">
      <w:pPr>
        <w:spacing w:line="360" w:lineRule="auto"/>
        <w:ind w:firstLine="660" w:firstLineChars="300"/>
        <w:rPr>
          <w:rFonts w:hint="eastAsia" w:ascii="宋体" w:hAnsi="宋体" w:cs="宋体"/>
          <w:sz w:val="22"/>
          <w:szCs w:val="22"/>
        </w:rPr>
      </w:pPr>
      <w:r>
        <w:rPr>
          <w:rFonts w:hint="eastAsia" w:ascii="宋体" w:hAnsi="宋体" w:cs="宋体"/>
          <w:sz w:val="22"/>
          <w:szCs w:val="22"/>
        </w:rPr>
        <w:t>10.2.2  监理人也可以直接向承包人作出修订合同进度计划的指示，承包人应按该指示修订合同进度计划，报监理人审批。监理人应在合同条款专用部分约定的期限内完成批复。 监理人在批复前应获得发包人同意。</w:t>
      </w:r>
    </w:p>
    <w:p w14:paraId="5FD6A62A">
      <w:pPr>
        <w:spacing w:line="360" w:lineRule="auto"/>
        <w:ind w:firstLine="660" w:firstLineChars="300"/>
        <w:rPr>
          <w:rFonts w:hint="eastAsia" w:ascii="宋体" w:hAnsi="宋体" w:cs="宋体"/>
          <w:sz w:val="22"/>
          <w:szCs w:val="22"/>
        </w:rPr>
      </w:pPr>
      <w:r>
        <w:rPr>
          <w:rFonts w:hint="eastAsia" w:ascii="宋体" w:hAnsi="宋体" w:cs="宋体"/>
          <w:sz w:val="22"/>
          <w:szCs w:val="22"/>
        </w:rPr>
        <w:t>10.2.3 发包人对修订合同进度计划的批准，不影响发包人主张逾期损失赔偿和（或） 承包人主张工期顺延的权利。</w:t>
      </w:r>
    </w:p>
    <w:p w14:paraId="18D8A970">
      <w:pPr>
        <w:spacing w:line="360" w:lineRule="auto"/>
        <w:rPr>
          <w:rFonts w:hint="eastAsia" w:ascii="宋体" w:hAnsi="宋体" w:cs="宋体"/>
          <w:sz w:val="24"/>
        </w:rPr>
      </w:pPr>
      <w:r>
        <w:rPr>
          <w:rFonts w:hint="eastAsia" w:ascii="宋体" w:hAnsi="宋体" w:cs="宋体"/>
          <w:sz w:val="24"/>
        </w:rPr>
        <w:t>10.3  合同进度计划的其他要求</w:t>
      </w:r>
    </w:p>
    <w:p w14:paraId="2E7F80B7">
      <w:pPr>
        <w:spacing w:line="360" w:lineRule="auto"/>
        <w:ind w:firstLine="660" w:firstLineChars="300"/>
        <w:rPr>
          <w:rFonts w:hint="eastAsia" w:ascii="宋体" w:hAnsi="宋体" w:cs="宋体"/>
          <w:sz w:val="22"/>
          <w:szCs w:val="22"/>
        </w:rPr>
      </w:pPr>
      <w:r>
        <w:rPr>
          <w:rFonts w:hint="eastAsia" w:ascii="宋体" w:hAnsi="宋体" w:cs="宋体"/>
          <w:sz w:val="22"/>
          <w:szCs w:val="22"/>
        </w:rPr>
        <w:t>10.3.1  经发包人批准的合同进度计划或最新版本合同进度计划的修订是合同双方调配施工生产资源和实施进度管理的根据。</w:t>
      </w:r>
    </w:p>
    <w:p w14:paraId="67B09D57">
      <w:pPr>
        <w:spacing w:line="360" w:lineRule="auto"/>
        <w:ind w:firstLine="660" w:firstLineChars="300"/>
        <w:rPr>
          <w:rFonts w:hint="eastAsia" w:ascii="宋体" w:hAnsi="宋体" w:cs="宋体"/>
          <w:sz w:val="22"/>
          <w:szCs w:val="22"/>
        </w:rPr>
      </w:pPr>
      <w:r>
        <w:rPr>
          <w:rFonts w:hint="eastAsia" w:ascii="宋体" w:hAnsi="宋体" w:cs="宋体"/>
          <w:sz w:val="22"/>
          <w:szCs w:val="22"/>
        </w:rPr>
        <w:t>10.3.2  施工进度计划管理的人员配置要求见合同条款专用部分。</w:t>
      </w:r>
    </w:p>
    <w:p w14:paraId="1FC3E833">
      <w:pPr>
        <w:spacing w:line="360" w:lineRule="auto"/>
        <w:ind w:firstLine="660" w:firstLineChars="300"/>
        <w:rPr>
          <w:rFonts w:hint="eastAsia" w:ascii="宋体" w:hAnsi="宋体" w:cs="宋体"/>
          <w:sz w:val="22"/>
          <w:szCs w:val="22"/>
        </w:rPr>
      </w:pPr>
      <w:r>
        <w:rPr>
          <w:rFonts w:hint="eastAsia" w:ascii="宋体" w:hAnsi="宋体" w:cs="宋体"/>
          <w:sz w:val="22"/>
          <w:szCs w:val="22"/>
        </w:rPr>
        <w:t>10.3.3  施工进度计划的计算机应用软件要求见合同条款专用部分。</w:t>
      </w:r>
    </w:p>
    <w:p w14:paraId="49D75A77">
      <w:pPr>
        <w:spacing w:line="360" w:lineRule="auto"/>
        <w:rPr>
          <w:rFonts w:hint="eastAsia" w:ascii="宋体" w:hAnsi="宋体" w:cs="宋体"/>
          <w:b/>
          <w:bCs/>
          <w:sz w:val="24"/>
        </w:rPr>
      </w:pPr>
      <w:r>
        <w:rPr>
          <w:rFonts w:hint="eastAsia" w:ascii="宋体" w:hAnsi="宋体" w:cs="宋体"/>
          <w:b/>
          <w:bCs/>
          <w:sz w:val="24"/>
        </w:rPr>
        <w:t>11.开工和竣工</w:t>
      </w:r>
    </w:p>
    <w:p w14:paraId="01B57D9C">
      <w:pPr>
        <w:spacing w:line="360" w:lineRule="auto"/>
        <w:rPr>
          <w:rFonts w:hint="eastAsia" w:ascii="宋体" w:hAnsi="宋体" w:cs="宋体"/>
          <w:sz w:val="24"/>
        </w:rPr>
      </w:pPr>
      <w:r>
        <w:rPr>
          <w:rFonts w:hint="eastAsia" w:ascii="宋体" w:hAnsi="宋体" w:cs="宋体"/>
          <w:sz w:val="24"/>
        </w:rPr>
        <w:t>11.1  开工</w:t>
      </w:r>
    </w:p>
    <w:p w14:paraId="0619C521">
      <w:pPr>
        <w:spacing w:line="360" w:lineRule="auto"/>
        <w:ind w:firstLine="660" w:firstLineChars="300"/>
        <w:rPr>
          <w:rFonts w:hint="eastAsia" w:ascii="宋体" w:hAnsi="宋体" w:cs="宋体"/>
          <w:sz w:val="22"/>
          <w:szCs w:val="22"/>
        </w:rPr>
      </w:pPr>
      <w:r>
        <w:rPr>
          <w:rFonts w:hint="eastAsia" w:ascii="宋体" w:hAnsi="宋体" w:cs="宋体"/>
          <w:sz w:val="22"/>
          <w:szCs w:val="22"/>
        </w:rPr>
        <w:t>11.1.1  监理人应在开工日期 7 天前向承包人发出开工通知。监理人在发出开工通知前应获得发包人同意。工期自监理人发出的开工通知中载明的开工日期起计算。承包人应在开工日期后尽快施工。</w:t>
      </w:r>
    </w:p>
    <w:p w14:paraId="127CA769">
      <w:pPr>
        <w:spacing w:line="360" w:lineRule="auto"/>
        <w:ind w:firstLine="660" w:firstLineChars="300"/>
        <w:rPr>
          <w:rFonts w:hint="eastAsia" w:ascii="宋体" w:hAnsi="宋体" w:cs="宋体"/>
          <w:sz w:val="22"/>
          <w:szCs w:val="22"/>
        </w:rPr>
      </w:pPr>
      <w:r>
        <w:rPr>
          <w:rFonts w:hint="eastAsia" w:ascii="宋体" w:hAnsi="宋体" w:cs="宋体"/>
          <w:sz w:val="22"/>
          <w:szCs w:val="22"/>
        </w:rPr>
        <w:t>11.1.2  承包人应按第 10.1 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23927607">
      <w:pPr>
        <w:spacing w:line="360" w:lineRule="auto"/>
        <w:rPr>
          <w:rFonts w:hint="eastAsia" w:ascii="宋体" w:hAnsi="宋体" w:cs="宋体"/>
          <w:sz w:val="24"/>
        </w:rPr>
      </w:pPr>
      <w:r>
        <w:rPr>
          <w:rFonts w:hint="eastAsia" w:ascii="宋体" w:hAnsi="宋体" w:cs="宋体"/>
          <w:sz w:val="24"/>
        </w:rPr>
        <w:t>11.2  竣工</w:t>
      </w:r>
    </w:p>
    <w:p w14:paraId="75510B18">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承包人应在第 1.1.4.3 目约定的期限内完成合同工程。实际竣工日期在接收证书中写明。</w:t>
      </w:r>
    </w:p>
    <w:p w14:paraId="4F4D423B">
      <w:pPr>
        <w:spacing w:line="360" w:lineRule="auto"/>
        <w:rPr>
          <w:rFonts w:hint="eastAsia" w:ascii="宋体" w:hAnsi="宋体" w:cs="宋体"/>
          <w:sz w:val="24"/>
        </w:rPr>
      </w:pPr>
      <w:r>
        <w:rPr>
          <w:rFonts w:hint="eastAsia" w:ascii="宋体" w:hAnsi="宋体" w:cs="宋体"/>
          <w:sz w:val="24"/>
        </w:rPr>
        <w:t>11.3  发包人的工期延误</w:t>
      </w:r>
    </w:p>
    <w:p w14:paraId="677AD84B">
      <w:pPr>
        <w:spacing w:line="360" w:lineRule="auto"/>
        <w:ind w:firstLine="660" w:firstLineChars="300"/>
        <w:rPr>
          <w:rFonts w:hint="eastAsia" w:ascii="宋体" w:hAnsi="宋体" w:cs="宋体"/>
          <w:sz w:val="22"/>
          <w:szCs w:val="22"/>
        </w:rPr>
      </w:pPr>
      <w:r>
        <w:rPr>
          <w:rFonts w:hint="eastAsia" w:ascii="宋体" w:hAnsi="宋体" w:cs="宋体"/>
          <w:sz w:val="22"/>
          <w:szCs w:val="22"/>
        </w:rPr>
        <w:t>在履行合同过程中，由于发包人的下列原因造成承包人关键线路工期延误的，承包人有 权要求发包人延长工期和（或）增加费用，并支付合理利润。需要修订合同进度计划的，按 照第 10.2 款的约定办理。</w:t>
      </w:r>
    </w:p>
    <w:p w14:paraId="7C7EDFBF">
      <w:pPr>
        <w:spacing w:line="360" w:lineRule="auto"/>
        <w:ind w:firstLine="660" w:firstLineChars="300"/>
        <w:rPr>
          <w:rFonts w:hint="eastAsia" w:ascii="宋体" w:hAnsi="宋体" w:cs="宋体"/>
          <w:sz w:val="22"/>
          <w:szCs w:val="22"/>
        </w:rPr>
      </w:pPr>
      <w:r>
        <w:rPr>
          <w:rFonts w:hint="eastAsia" w:ascii="宋体" w:hAnsi="宋体" w:cs="宋体"/>
          <w:sz w:val="22"/>
          <w:szCs w:val="22"/>
        </w:rPr>
        <w:t>（1）增加合同工作内容；</w:t>
      </w:r>
    </w:p>
    <w:p w14:paraId="728435F6">
      <w:pPr>
        <w:spacing w:line="360" w:lineRule="auto"/>
        <w:ind w:firstLine="660" w:firstLineChars="300"/>
        <w:rPr>
          <w:rFonts w:hint="eastAsia" w:ascii="宋体" w:hAnsi="宋体" w:cs="宋体"/>
          <w:sz w:val="22"/>
          <w:szCs w:val="22"/>
        </w:rPr>
      </w:pPr>
      <w:r>
        <w:rPr>
          <w:rFonts w:hint="eastAsia" w:ascii="宋体" w:hAnsi="宋体" w:cs="宋体"/>
          <w:sz w:val="22"/>
          <w:szCs w:val="22"/>
        </w:rPr>
        <w:t>（2）改变合同中任何一项工作的质量要求或其他特性；</w:t>
      </w:r>
    </w:p>
    <w:p w14:paraId="4D49312C">
      <w:pPr>
        <w:spacing w:line="360" w:lineRule="auto"/>
        <w:ind w:firstLine="660" w:firstLineChars="300"/>
        <w:rPr>
          <w:rFonts w:hint="eastAsia" w:ascii="宋体" w:hAnsi="宋体" w:cs="宋体"/>
          <w:sz w:val="22"/>
          <w:szCs w:val="22"/>
        </w:rPr>
      </w:pPr>
      <w:r>
        <w:rPr>
          <w:rFonts w:hint="eastAsia" w:ascii="宋体" w:hAnsi="宋体" w:cs="宋体"/>
          <w:sz w:val="22"/>
          <w:szCs w:val="22"/>
        </w:rPr>
        <w:t>（3）发包人迟延提供材料或变更交货地点的；</w:t>
      </w:r>
    </w:p>
    <w:p w14:paraId="06F20F09">
      <w:pPr>
        <w:spacing w:line="360" w:lineRule="auto"/>
        <w:ind w:firstLine="660" w:firstLineChars="300"/>
        <w:rPr>
          <w:rFonts w:hint="eastAsia" w:ascii="宋体" w:hAnsi="宋体" w:cs="宋体"/>
          <w:sz w:val="22"/>
          <w:szCs w:val="22"/>
        </w:rPr>
      </w:pPr>
      <w:r>
        <w:rPr>
          <w:rFonts w:hint="eastAsia" w:ascii="宋体" w:hAnsi="宋体" w:cs="宋体"/>
          <w:sz w:val="22"/>
          <w:szCs w:val="22"/>
        </w:rPr>
        <w:t>（4）因发包人原因导致的暂停施工；</w:t>
      </w:r>
    </w:p>
    <w:p w14:paraId="1C50F41C">
      <w:pPr>
        <w:spacing w:line="360" w:lineRule="auto"/>
        <w:ind w:firstLine="660" w:firstLineChars="300"/>
        <w:rPr>
          <w:rFonts w:hint="eastAsia" w:ascii="宋体" w:hAnsi="宋体" w:cs="宋体"/>
          <w:sz w:val="22"/>
          <w:szCs w:val="22"/>
        </w:rPr>
      </w:pPr>
      <w:r>
        <w:rPr>
          <w:rFonts w:hint="eastAsia" w:ascii="宋体" w:hAnsi="宋体" w:cs="宋体"/>
          <w:sz w:val="22"/>
          <w:szCs w:val="22"/>
        </w:rPr>
        <w:t>（5）提供图纸延误；</w:t>
      </w:r>
    </w:p>
    <w:p w14:paraId="053F9FE5">
      <w:pPr>
        <w:spacing w:line="360" w:lineRule="auto"/>
        <w:ind w:firstLine="660" w:firstLineChars="300"/>
        <w:rPr>
          <w:rFonts w:hint="eastAsia" w:ascii="宋体" w:hAnsi="宋体" w:cs="宋体"/>
          <w:sz w:val="22"/>
          <w:szCs w:val="22"/>
        </w:rPr>
      </w:pPr>
      <w:r>
        <w:rPr>
          <w:rFonts w:hint="eastAsia" w:ascii="宋体" w:hAnsi="宋体" w:cs="宋体"/>
          <w:sz w:val="22"/>
          <w:szCs w:val="22"/>
        </w:rPr>
        <w:t>（6）未按合同约定及时支付预付款、进度款；</w:t>
      </w:r>
    </w:p>
    <w:p w14:paraId="48BF1C5F">
      <w:pPr>
        <w:spacing w:line="360" w:lineRule="auto"/>
        <w:ind w:firstLine="660" w:firstLineChars="300"/>
        <w:rPr>
          <w:rFonts w:hint="eastAsia" w:ascii="宋体" w:hAnsi="宋体" w:cs="宋体"/>
          <w:sz w:val="22"/>
          <w:szCs w:val="22"/>
        </w:rPr>
      </w:pPr>
      <w:r>
        <w:rPr>
          <w:rFonts w:hint="eastAsia" w:ascii="宋体" w:hAnsi="宋体" w:cs="宋体"/>
          <w:sz w:val="22"/>
          <w:szCs w:val="22"/>
        </w:rPr>
        <w:t>（7）因发包人原因不能按照监理人发出的开工通知中载明的开工日期开工；</w:t>
      </w:r>
    </w:p>
    <w:p w14:paraId="316C1693">
      <w:pPr>
        <w:spacing w:line="360" w:lineRule="auto"/>
        <w:ind w:firstLine="660" w:firstLineChars="300"/>
        <w:rPr>
          <w:rFonts w:hint="eastAsia" w:ascii="宋体" w:hAnsi="宋体" w:cs="宋体"/>
          <w:sz w:val="22"/>
          <w:szCs w:val="22"/>
        </w:rPr>
      </w:pPr>
      <w:r>
        <w:rPr>
          <w:rFonts w:hint="eastAsia" w:ascii="宋体" w:hAnsi="宋体" w:cs="宋体"/>
          <w:sz w:val="22"/>
          <w:szCs w:val="22"/>
        </w:rPr>
        <w:t>（8）发包人造成工期延误的其他原因见合同条款专用部分。</w:t>
      </w:r>
    </w:p>
    <w:p w14:paraId="5B73D115">
      <w:pPr>
        <w:spacing w:line="360" w:lineRule="auto"/>
        <w:rPr>
          <w:rFonts w:hint="eastAsia" w:ascii="宋体" w:hAnsi="宋体" w:cs="宋体"/>
          <w:sz w:val="24"/>
        </w:rPr>
      </w:pPr>
      <w:r>
        <w:rPr>
          <w:rFonts w:hint="eastAsia" w:ascii="宋体" w:hAnsi="宋体" w:cs="宋体"/>
          <w:sz w:val="24"/>
        </w:rPr>
        <w:t>11.4  异常恶劣的气候条件</w:t>
      </w:r>
    </w:p>
    <w:p w14:paraId="71CC45D8">
      <w:pPr>
        <w:spacing w:line="360" w:lineRule="auto"/>
        <w:ind w:firstLine="660" w:firstLineChars="300"/>
        <w:rPr>
          <w:rFonts w:hint="eastAsia" w:ascii="宋体" w:hAnsi="宋体" w:cs="宋体"/>
          <w:sz w:val="22"/>
          <w:szCs w:val="22"/>
        </w:rPr>
      </w:pPr>
      <w:r>
        <w:rPr>
          <w:rFonts w:hint="eastAsia" w:ascii="宋体" w:hAnsi="宋体" w:cs="宋体"/>
          <w:sz w:val="22"/>
          <w:szCs w:val="22"/>
        </w:rPr>
        <w:t>由于出现异常恶劣气候的条件导致工期延误的，承包人有权要求发包人延长工期。异常恶劣的气候条件的范围和标准见合同条款专用部分。</w:t>
      </w:r>
    </w:p>
    <w:p w14:paraId="7D0C8D03">
      <w:pPr>
        <w:spacing w:line="360" w:lineRule="auto"/>
        <w:rPr>
          <w:rFonts w:hint="eastAsia" w:ascii="宋体" w:hAnsi="宋体" w:cs="宋体"/>
          <w:sz w:val="24"/>
        </w:rPr>
      </w:pPr>
      <w:r>
        <w:rPr>
          <w:rFonts w:hint="eastAsia" w:ascii="宋体" w:hAnsi="宋体" w:cs="宋体"/>
          <w:sz w:val="24"/>
        </w:rPr>
        <w:t>11.5  承包人的工期延误</w:t>
      </w:r>
    </w:p>
    <w:p w14:paraId="26285CCA">
      <w:pPr>
        <w:spacing w:line="360" w:lineRule="auto"/>
        <w:ind w:firstLine="660" w:firstLineChars="300"/>
        <w:rPr>
          <w:rFonts w:hint="eastAsia" w:ascii="宋体" w:hAnsi="宋体" w:cs="宋体"/>
          <w:sz w:val="22"/>
          <w:szCs w:val="22"/>
        </w:rPr>
      </w:pPr>
      <w:r>
        <w:rPr>
          <w:rFonts w:hint="eastAsia" w:ascii="宋体" w:hAnsi="宋体" w:cs="宋体"/>
          <w:sz w:val="22"/>
          <w:szCs w:val="22"/>
        </w:rPr>
        <w:t>11.5.1  由于承包人原因，未能按合同进度计划完成工作，或监理人认为承包人施工进度不能满足合同工期要求的，承包人应在不影响工程安全和质量的前提下采取必要的赶工措施加快进度，并承担加快进度所增加的费用。</w:t>
      </w:r>
    </w:p>
    <w:p w14:paraId="798461C1">
      <w:pPr>
        <w:spacing w:line="360" w:lineRule="auto"/>
        <w:ind w:firstLine="660" w:firstLineChars="300"/>
        <w:rPr>
          <w:rFonts w:hint="eastAsia" w:ascii="宋体" w:hAnsi="宋体" w:cs="宋体"/>
          <w:sz w:val="22"/>
          <w:szCs w:val="22"/>
        </w:rPr>
      </w:pPr>
      <w:r>
        <w:rPr>
          <w:rFonts w:hint="eastAsia" w:ascii="宋体" w:hAnsi="宋体" w:cs="宋体"/>
          <w:sz w:val="22"/>
          <w:szCs w:val="22"/>
        </w:rPr>
        <w:t>11.5.2  由于承包人原因造成不能按期竣工的，按照合同约定的竣工日期（包括按合同工期延长）后 7 天内，监理人应当按第 23.4.1 项的约定书面通知承包人,说明发包人有权得 到逾期竣工违约金，逾期竣工违约金计算标准和计算方法见合同条款专用部分。但最终逾期竣工违约金的金额不应超过合同约定的逾期竣工违约金最高限额。逾期竣工违约金最高限额见合同条款专用部分。</w:t>
      </w:r>
    </w:p>
    <w:p w14:paraId="2F29C121">
      <w:pPr>
        <w:spacing w:line="360" w:lineRule="auto"/>
        <w:ind w:firstLine="660" w:firstLineChars="300"/>
        <w:rPr>
          <w:rFonts w:hint="eastAsia" w:ascii="宋体" w:hAnsi="宋体" w:cs="宋体"/>
          <w:sz w:val="24"/>
        </w:rPr>
      </w:pPr>
      <w:r>
        <w:rPr>
          <w:rFonts w:hint="eastAsia" w:ascii="宋体" w:hAnsi="宋体" w:cs="宋体"/>
          <w:sz w:val="22"/>
          <w:szCs w:val="22"/>
        </w:rPr>
        <w:t>监理人未在规定的期限内发出本款约定的书面通知的，发包人丧失主张逾期竣工违约金</w:t>
      </w:r>
      <w:r>
        <w:rPr>
          <w:rFonts w:hint="eastAsia" w:ascii="宋体" w:hAnsi="宋体" w:cs="宋体"/>
          <w:sz w:val="24"/>
        </w:rPr>
        <w:t>的权利。</w:t>
      </w:r>
    </w:p>
    <w:p w14:paraId="4620CBE9">
      <w:pPr>
        <w:spacing w:line="360" w:lineRule="auto"/>
        <w:ind w:firstLine="660" w:firstLineChars="300"/>
        <w:rPr>
          <w:rFonts w:hint="eastAsia" w:ascii="宋体" w:hAnsi="宋体" w:cs="宋体"/>
          <w:sz w:val="22"/>
          <w:szCs w:val="22"/>
        </w:rPr>
      </w:pPr>
      <w:r>
        <w:rPr>
          <w:rFonts w:hint="eastAsia" w:ascii="宋体" w:hAnsi="宋体" w:cs="宋体"/>
          <w:sz w:val="22"/>
          <w:szCs w:val="22"/>
        </w:rPr>
        <w:t>11.5.3  承包人支付逾期竣工违约金，不免除承包人完成工程及修补缺陷的义务。</w:t>
      </w:r>
    </w:p>
    <w:p w14:paraId="631F0B7B">
      <w:pPr>
        <w:spacing w:line="360" w:lineRule="auto"/>
        <w:rPr>
          <w:rFonts w:hint="eastAsia" w:ascii="宋体" w:hAnsi="宋体" w:cs="宋体"/>
          <w:sz w:val="24"/>
        </w:rPr>
      </w:pPr>
      <w:r>
        <w:rPr>
          <w:rFonts w:hint="eastAsia" w:ascii="宋体" w:hAnsi="宋体" w:cs="宋体"/>
          <w:sz w:val="24"/>
        </w:rPr>
        <w:t>11.6  合同双方原因导致的工期延误</w:t>
      </w:r>
    </w:p>
    <w:p w14:paraId="57641B05">
      <w:pPr>
        <w:spacing w:line="360" w:lineRule="auto"/>
        <w:ind w:firstLine="660" w:firstLineChars="300"/>
        <w:rPr>
          <w:rFonts w:hint="eastAsia" w:ascii="宋体" w:hAnsi="宋体" w:cs="宋体"/>
          <w:sz w:val="22"/>
          <w:szCs w:val="22"/>
        </w:rPr>
      </w:pPr>
      <w:r>
        <w:rPr>
          <w:rFonts w:hint="eastAsia" w:ascii="宋体" w:hAnsi="宋体" w:cs="宋体"/>
          <w:sz w:val="22"/>
          <w:szCs w:val="22"/>
        </w:rPr>
        <w:t>在履行合同过程中，由于合同双方的原因造成承包人关键线路工期延误或窝工降效的，承包人可根据实际影响情况并按照合同约定期限提出工期顺延和（或）费用损失申请，发包人应当在合同约定的期限内及时处理，并按过错责任分担工期和（或）费用损失；责任划分不清的，以主导原因为主承担工期和（或）费用损失。需要修订合同进度计划的，按照第 10.2 款的约定办理。合同双方导致工期延误的原因见合同条款专用部分。</w:t>
      </w:r>
    </w:p>
    <w:p w14:paraId="6CA18750">
      <w:pPr>
        <w:spacing w:line="360" w:lineRule="auto"/>
        <w:rPr>
          <w:rFonts w:hint="eastAsia" w:ascii="宋体" w:hAnsi="宋体" w:cs="宋体"/>
          <w:sz w:val="24"/>
        </w:rPr>
      </w:pPr>
      <w:r>
        <w:rPr>
          <w:rFonts w:hint="eastAsia" w:ascii="宋体" w:hAnsi="宋体" w:cs="宋体"/>
          <w:sz w:val="24"/>
        </w:rPr>
        <w:t>11.7  非合同双方原因导致的工期延误</w:t>
      </w:r>
    </w:p>
    <w:p w14:paraId="24E94A21">
      <w:pPr>
        <w:spacing w:line="360" w:lineRule="auto"/>
        <w:ind w:firstLine="660" w:firstLineChars="300"/>
        <w:rPr>
          <w:rFonts w:hint="eastAsia" w:ascii="宋体" w:hAnsi="宋体" w:cs="宋体"/>
          <w:sz w:val="24"/>
        </w:rPr>
      </w:pPr>
      <w:r>
        <w:rPr>
          <w:rFonts w:hint="eastAsia" w:ascii="宋体" w:hAnsi="宋体" w:cs="宋体"/>
          <w:sz w:val="22"/>
          <w:szCs w:val="22"/>
        </w:rPr>
        <w:t>在履行合同过程中， 由于非合同双方的原因造成承包人关键线路工期延误或窝工降效的，承包人可根据实际影响情况并按照合同约定期限提出工期顺延和（或）费用损失申请，发包人应当在合同约定的期限内及时处理，给予顺延工期，合同双方应根据公平原则分担费用损失。需要修订合同进度计划的，按照第 10.2 款的约定办理。非合同双方导致工期延误的原因见合同条款专用部分。</w:t>
      </w:r>
    </w:p>
    <w:p w14:paraId="02A7B160">
      <w:pPr>
        <w:spacing w:line="360" w:lineRule="auto"/>
        <w:rPr>
          <w:rFonts w:hint="eastAsia" w:ascii="宋体" w:hAnsi="宋体" w:cs="宋体"/>
          <w:sz w:val="24"/>
        </w:rPr>
      </w:pPr>
      <w:r>
        <w:rPr>
          <w:rFonts w:hint="eastAsia" w:ascii="宋体" w:hAnsi="宋体" w:cs="宋体"/>
          <w:sz w:val="24"/>
        </w:rPr>
        <w:t>11.8  工期提前</w:t>
      </w:r>
    </w:p>
    <w:p w14:paraId="644DB06D">
      <w:pPr>
        <w:spacing w:line="360" w:lineRule="auto"/>
        <w:ind w:firstLine="660" w:firstLineChars="300"/>
        <w:rPr>
          <w:rFonts w:hint="eastAsia" w:ascii="宋体" w:hAnsi="宋体" w:cs="宋体"/>
          <w:sz w:val="22"/>
          <w:szCs w:val="22"/>
        </w:rPr>
      </w:pPr>
      <w:r>
        <w:rPr>
          <w:rFonts w:hint="eastAsia" w:ascii="宋体" w:hAnsi="宋体" w:cs="宋体"/>
          <w:sz w:val="22"/>
          <w:szCs w:val="22"/>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提前竣工的奖励办法见合同条款专用部分。</w:t>
      </w:r>
    </w:p>
    <w:p w14:paraId="302D50A2">
      <w:pPr>
        <w:spacing w:line="360" w:lineRule="auto"/>
        <w:rPr>
          <w:rFonts w:hint="eastAsia" w:ascii="宋体" w:hAnsi="宋体" w:cs="宋体"/>
          <w:b/>
          <w:bCs/>
          <w:sz w:val="24"/>
        </w:rPr>
      </w:pPr>
      <w:r>
        <w:rPr>
          <w:rFonts w:hint="eastAsia" w:ascii="宋体" w:hAnsi="宋体" w:cs="宋体"/>
          <w:b/>
          <w:bCs/>
          <w:sz w:val="24"/>
        </w:rPr>
        <w:t>12.暂停施工</w:t>
      </w:r>
    </w:p>
    <w:p w14:paraId="57BAA306">
      <w:pPr>
        <w:spacing w:line="360" w:lineRule="auto"/>
        <w:rPr>
          <w:rFonts w:hint="eastAsia" w:ascii="宋体" w:hAnsi="宋体" w:cs="宋体"/>
          <w:sz w:val="24"/>
        </w:rPr>
      </w:pPr>
      <w:r>
        <w:rPr>
          <w:rFonts w:hint="eastAsia" w:ascii="宋体" w:hAnsi="宋体" w:cs="宋体"/>
          <w:sz w:val="24"/>
        </w:rPr>
        <w:t>12.1  承包人暂停施工的责任</w:t>
      </w:r>
    </w:p>
    <w:p w14:paraId="5761C409">
      <w:pPr>
        <w:spacing w:line="360" w:lineRule="auto"/>
        <w:ind w:firstLine="660" w:firstLineChars="300"/>
        <w:rPr>
          <w:rFonts w:hint="eastAsia" w:ascii="宋体" w:hAnsi="宋体" w:cs="宋体"/>
          <w:sz w:val="22"/>
          <w:szCs w:val="22"/>
        </w:rPr>
      </w:pPr>
      <w:r>
        <w:rPr>
          <w:rFonts w:hint="eastAsia" w:ascii="宋体" w:hAnsi="宋体" w:cs="宋体"/>
          <w:sz w:val="22"/>
          <w:szCs w:val="22"/>
        </w:rPr>
        <w:t>因下列情形暂停施工增加的费用和（或）工期延误由承包人承担：</w:t>
      </w:r>
    </w:p>
    <w:p w14:paraId="71B75CD8">
      <w:pPr>
        <w:spacing w:line="360" w:lineRule="auto"/>
        <w:ind w:firstLine="660" w:firstLineChars="300"/>
        <w:rPr>
          <w:rFonts w:hint="eastAsia" w:ascii="宋体" w:hAnsi="宋体" w:cs="宋体"/>
          <w:sz w:val="22"/>
          <w:szCs w:val="22"/>
        </w:rPr>
      </w:pPr>
      <w:r>
        <w:rPr>
          <w:rFonts w:hint="eastAsia" w:ascii="宋体" w:hAnsi="宋体" w:cs="宋体"/>
          <w:sz w:val="22"/>
          <w:szCs w:val="22"/>
        </w:rPr>
        <w:t>（1）承包人违约引起的暂停施工；</w:t>
      </w:r>
    </w:p>
    <w:p w14:paraId="67F96F9B">
      <w:pPr>
        <w:spacing w:line="360" w:lineRule="auto"/>
        <w:ind w:firstLine="660" w:firstLineChars="300"/>
        <w:rPr>
          <w:rFonts w:hint="eastAsia" w:ascii="宋体" w:hAnsi="宋体" w:cs="宋体"/>
          <w:sz w:val="22"/>
          <w:szCs w:val="22"/>
        </w:rPr>
      </w:pPr>
      <w:r>
        <w:rPr>
          <w:rFonts w:hint="eastAsia" w:ascii="宋体" w:hAnsi="宋体" w:cs="宋体"/>
          <w:sz w:val="22"/>
          <w:szCs w:val="22"/>
        </w:rPr>
        <w:t>（2） 由于承包人原因为工程合理施工和安全保障所必需的暂停施工；</w:t>
      </w:r>
    </w:p>
    <w:p w14:paraId="7F62C338">
      <w:pPr>
        <w:spacing w:line="360" w:lineRule="auto"/>
        <w:ind w:firstLine="660" w:firstLineChars="300"/>
        <w:rPr>
          <w:rFonts w:hint="eastAsia" w:ascii="宋体" w:hAnsi="宋体" w:cs="宋体"/>
          <w:sz w:val="22"/>
          <w:szCs w:val="22"/>
        </w:rPr>
      </w:pPr>
      <w:r>
        <w:rPr>
          <w:rFonts w:hint="eastAsia" w:ascii="宋体" w:hAnsi="宋体" w:cs="宋体"/>
          <w:sz w:val="22"/>
          <w:szCs w:val="22"/>
        </w:rPr>
        <w:t>（3）承包人擅自暂停施工；</w:t>
      </w:r>
    </w:p>
    <w:p w14:paraId="19EAD8AC">
      <w:pPr>
        <w:spacing w:line="360" w:lineRule="auto"/>
        <w:ind w:firstLine="660" w:firstLineChars="300"/>
        <w:rPr>
          <w:rFonts w:hint="eastAsia" w:ascii="宋体" w:hAnsi="宋体" w:cs="宋体"/>
          <w:sz w:val="22"/>
          <w:szCs w:val="22"/>
        </w:rPr>
      </w:pPr>
      <w:r>
        <w:rPr>
          <w:rFonts w:hint="eastAsia" w:ascii="宋体" w:hAnsi="宋体" w:cs="宋体"/>
          <w:sz w:val="22"/>
          <w:szCs w:val="22"/>
        </w:rPr>
        <w:t>（4）承包人承担暂停施工责任的其他情形见合同条款专用部分。</w:t>
      </w:r>
    </w:p>
    <w:p w14:paraId="57115CED">
      <w:pPr>
        <w:spacing w:line="360" w:lineRule="auto"/>
        <w:rPr>
          <w:rFonts w:hint="eastAsia" w:ascii="宋体" w:hAnsi="宋体" w:cs="宋体"/>
          <w:sz w:val="24"/>
        </w:rPr>
      </w:pPr>
      <w:r>
        <w:rPr>
          <w:rFonts w:hint="eastAsia" w:ascii="宋体" w:hAnsi="宋体" w:cs="宋体"/>
          <w:sz w:val="24"/>
        </w:rPr>
        <w:t>12.2  发包人暂停施工的责任</w:t>
      </w:r>
    </w:p>
    <w:p w14:paraId="22CD3B64">
      <w:pPr>
        <w:spacing w:line="360" w:lineRule="auto"/>
        <w:ind w:firstLine="660" w:firstLineChars="300"/>
        <w:rPr>
          <w:rFonts w:hint="eastAsia" w:ascii="宋体" w:hAnsi="宋体" w:cs="宋体"/>
          <w:sz w:val="22"/>
          <w:szCs w:val="22"/>
        </w:rPr>
      </w:pPr>
      <w:r>
        <w:rPr>
          <w:rFonts w:hint="eastAsia" w:ascii="宋体" w:hAnsi="宋体" w:cs="宋体"/>
          <w:sz w:val="22"/>
          <w:szCs w:val="22"/>
        </w:rPr>
        <w:t>由于发包人原因引起的暂停施工造成工期延误的，承包人有权要求发包人延长工期和（或）增加费用，并支付合理利润。</w:t>
      </w:r>
    </w:p>
    <w:p w14:paraId="6C21FFF2">
      <w:pPr>
        <w:spacing w:line="360" w:lineRule="auto"/>
        <w:rPr>
          <w:rFonts w:hint="eastAsia" w:ascii="宋体" w:hAnsi="宋体" w:cs="宋体"/>
          <w:sz w:val="24"/>
        </w:rPr>
      </w:pPr>
      <w:r>
        <w:rPr>
          <w:rFonts w:hint="eastAsia" w:ascii="宋体" w:hAnsi="宋体" w:cs="宋体"/>
          <w:sz w:val="24"/>
        </w:rPr>
        <w:t>12.3  监理人暂停施工指示</w:t>
      </w:r>
    </w:p>
    <w:p w14:paraId="66A601F0">
      <w:pPr>
        <w:spacing w:line="360" w:lineRule="auto"/>
        <w:ind w:firstLine="660" w:firstLineChars="300"/>
        <w:rPr>
          <w:rFonts w:hint="eastAsia" w:ascii="宋体" w:hAnsi="宋体" w:cs="宋体"/>
          <w:sz w:val="22"/>
          <w:szCs w:val="22"/>
        </w:rPr>
      </w:pPr>
      <w:r>
        <w:rPr>
          <w:rFonts w:hint="eastAsia" w:ascii="宋体" w:hAnsi="宋体" w:cs="宋体"/>
          <w:sz w:val="22"/>
          <w:szCs w:val="22"/>
        </w:rPr>
        <w:t>12.3.1  监理人认为有必要时，可向承包人作出暂停施工的指示，承包人应按监理人指示暂停施工。不论由于何种原因引起的暂停施工，暂停施工期间承包人应负责妥善保护工程 并提供安全保障。</w:t>
      </w:r>
    </w:p>
    <w:p w14:paraId="010CFE93">
      <w:pPr>
        <w:spacing w:line="360" w:lineRule="auto"/>
        <w:ind w:firstLine="660" w:firstLineChars="300"/>
        <w:rPr>
          <w:rFonts w:hint="eastAsia" w:ascii="宋体" w:hAnsi="宋体" w:cs="宋体"/>
          <w:sz w:val="22"/>
          <w:szCs w:val="22"/>
        </w:rPr>
      </w:pPr>
      <w:r>
        <w:rPr>
          <w:rFonts w:hint="eastAsia" w:ascii="宋体" w:hAnsi="宋体" w:cs="宋体"/>
          <w:sz w:val="22"/>
          <w:szCs w:val="22"/>
        </w:rPr>
        <w:t>12.3.2  由于发包人的原因发生暂停施工的紧急情况，且监理人未及时下达暂停施工指示的，承包人可先暂停施工，并及时向监理人提出暂停施工的书面请求。监理人应在接到书面请求后的 24 小时内予以答复，逾期未答复的，视为同意承包人的暂停施工请求。</w:t>
      </w:r>
    </w:p>
    <w:p w14:paraId="7754291B">
      <w:pPr>
        <w:spacing w:line="360" w:lineRule="auto"/>
        <w:rPr>
          <w:rFonts w:hint="eastAsia" w:ascii="宋体" w:hAnsi="宋体" w:cs="宋体"/>
          <w:sz w:val="24"/>
        </w:rPr>
      </w:pPr>
      <w:r>
        <w:rPr>
          <w:rFonts w:hint="eastAsia" w:ascii="宋体" w:hAnsi="宋体" w:cs="宋体"/>
          <w:sz w:val="24"/>
        </w:rPr>
        <w:t>12.4  暂停施工后的复工</w:t>
      </w:r>
    </w:p>
    <w:p w14:paraId="313C0ECC">
      <w:pPr>
        <w:spacing w:line="360" w:lineRule="auto"/>
        <w:ind w:firstLine="720" w:firstLineChars="300"/>
        <w:rPr>
          <w:rFonts w:hint="eastAsia" w:ascii="宋体" w:hAnsi="宋体" w:cs="宋体"/>
          <w:sz w:val="22"/>
          <w:szCs w:val="22"/>
        </w:rPr>
      </w:pPr>
      <w:r>
        <w:rPr>
          <w:rFonts w:hint="eastAsia" w:ascii="宋体" w:hAnsi="宋体" w:cs="宋体"/>
          <w:sz w:val="24"/>
        </w:rPr>
        <w:t>1</w:t>
      </w:r>
      <w:r>
        <w:rPr>
          <w:rFonts w:hint="eastAsia" w:ascii="宋体" w:hAnsi="宋体" w:cs="宋体"/>
          <w:sz w:val="22"/>
          <w:szCs w:val="22"/>
        </w:rPr>
        <w:t>2.4.1  暂停施工后，监理人应与发包人和承包人协商，采取有效措施积极消除暂停施 工的影响。当工程具备复工条件时，监理人应立即向承包人发出复工通知。承包人收到复工 通知后，应在监理人指定的期限内复工。</w:t>
      </w:r>
    </w:p>
    <w:p w14:paraId="1272F9E1">
      <w:pPr>
        <w:spacing w:line="360" w:lineRule="auto"/>
        <w:ind w:firstLine="660" w:firstLineChars="300"/>
        <w:rPr>
          <w:rFonts w:hint="eastAsia" w:ascii="宋体" w:hAnsi="宋体" w:cs="宋体"/>
          <w:sz w:val="22"/>
          <w:szCs w:val="22"/>
        </w:rPr>
      </w:pPr>
      <w:r>
        <w:rPr>
          <w:rFonts w:hint="eastAsia" w:ascii="宋体" w:hAnsi="宋体" w:cs="宋体"/>
          <w:sz w:val="22"/>
          <w:szCs w:val="22"/>
        </w:rPr>
        <w:t>12.4.2  承包人无故拖延和拒绝复工的，由此增加的费用和工期延误由承包人承担；因 发包人原因无法按时复工的，承包人有权要求发包人延长工期和（或）增加费用，并支付合理利润。</w:t>
      </w:r>
    </w:p>
    <w:p w14:paraId="4E22D1D0">
      <w:pPr>
        <w:spacing w:line="360" w:lineRule="auto"/>
        <w:ind w:firstLine="660" w:firstLineChars="300"/>
        <w:rPr>
          <w:rFonts w:hint="eastAsia" w:ascii="宋体" w:hAnsi="宋体" w:cs="宋体"/>
          <w:sz w:val="22"/>
          <w:szCs w:val="22"/>
        </w:rPr>
      </w:pPr>
      <w:r>
        <w:rPr>
          <w:rFonts w:hint="eastAsia" w:ascii="宋体" w:hAnsi="宋体" w:cs="宋体"/>
          <w:sz w:val="22"/>
          <w:szCs w:val="22"/>
        </w:rPr>
        <w:t>12.4.3  根据第 12.4.1 款的约定，监理人发出复工通知后，监理人应和承包人一起对受到暂停施工影响的工程以及材料进行检查。承包人负责修复在暂停施工期间发生在工程以及材料上的任何损蚀、缺陷或损失，修复费用由承担暂停施工责任的责任人承担。</w:t>
      </w:r>
    </w:p>
    <w:p w14:paraId="3341BA65">
      <w:pPr>
        <w:spacing w:line="360" w:lineRule="auto"/>
        <w:ind w:firstLine="660" w:firstLineChars="300"/>
        <w:rPr>
          <w:rFonts w:hint="eastAsia" w:ascii="宋体" w:hAnsi="宋体" w:cs="宋体"/>
          <w:sz w:val="22"/>
          <w:szCs w:val="22"/>
        </w:rPr>
      </w:pPr>
      <w:r>
        <w:rPr>
          <w:rFonts w:hint="eastAsia" w:ascii="宋体" w:hAnsi="宋体" w:cs="宋体"/>
          <w:sz w:val="22"/>
          <w:szCs w:val="22"/>
        </w:rPr>
        <w:t>12.4.4  暂停施工持续 56 天以上，按合同约定由承包人提供的材料，由于暂停施工原因导致承包人在暂停施工前已经订购但被暂停运至施工现场的，发包人应按照承包人订购合同的约定支付相应的订购款项。</w:t>
      </w:r>
    </w:p>
    <w:p w14:paraId="05221B94">
      <w:pPr>
        <w:spacing w:line="360" w:lineRule="auto"/>
        <w:rPr>
          <w:rFonts w:hint="eastAsia" w:ascii="宋体" w:hAnsi="宋体" w:cs="宋体"/>
          <w:sz w:val="24"/>
        </w:rPr>
      </w:pPr>
      <w:r>
        <w:rPr>
          <w:rFonts w:hint="eastAsia" w:ascii="宋体" w:hAnsi="宋体" w:cs="宋体"/>
          <w:sz w:val="24"/>
        </w:rPr>
        <w:t>12.5  暂停施工持续 56 天以上</w:t>
      </w:r>
    </w:p>
    <w:p w14:paraId="30495CE3">
      <w:pPr>
        <w:spacing w:line="360" w:lineRule="auto"/>
        <w:ind w:firstLine="660" w:firstLineChars="300"/>
        <w:rPr>
          <w:rFonts w:hint="eastAsia" w:ascii="宋体" w:hAnsi="宋体" w:cs="宋体"/>
          <w:sz w:val="22"/>
          <w:szCs w:val="22"/>
        </w:rPr>
      </w:pPr>
      <w:r>
        <w:rPr>
          <w:rFonts w:hint="eastAsia" w:ascii="宋体" w:hAnsi="宋体" w:cs="宋体"/>
          <w:sz w:val="22"/>
          <w:szCs w:val="22"/>
        </w:rPr>
        <w:t>12.5.1  监理人发出暂停施工指示后 56 天内未向承包人发出复工通知，除了该项停工属于第 12.1 款的情况外，承包人可向监理人提交书面通知，要求监理人在收到书面通知后 28 天内准许已暂停施工的工程或其中一部分工程继续施工。如监理人逾期不予批准，则承包人可以通知监理人，将工程受影响的部分视为按第 15.1.1（1） 目的可取消工作。如暂停 施工影响到整个工程，可视为发包人违约，应按第 22.2 款的规定办理。</w:t>
      </w:r>
    </w:p>
    <w:p w14:paraId="2DC8CC25">
      <w:pPr>
        <w:spacing w:line="360" w:lineRule="auto"/>
        <w:ind w:firstLine="660" w:firstLineChars="300"/>
        <w:rPr>
          <w:rFonts w:hint="eastAsia" w:ascii="宋体" w:hAnsi="宋体" w:cs="宋体"/>
          <w:sz w:val="22"/>
          <w:szCs w:val="22"/>
        </w:rPr>
      </w:pPr>
      <w:r>
        <w:rPr>
          <w:rFonts w:hint="eastAsia" w:ascii="宋体" w:hAnsi="宋体" w:cs="宋体"/>
          <w:sz w:val="22"/>
          <w:szCs w:val="22"/>
        </w:rPr>
        <w:t>12.5.2  由于承包人责任引起的暂停施工，如承包人在收到监理人暂停施工指示后 56 天内不认真采取有效的复工措施，造成工期延误，可视为承包人违约，应按第 22.1 款的规定办理。</w:t>
      </w:r>
    </w:p>
    <w:p w14:paraId="253FA2A4">
      <w:pPr>
        <w:spacing w:line="360" w:lineRule="auto"/>
        <w:rPr>
          <w:rFonts w:hint="eastAsia" w:ascii="宋体" w:hAnsi="宋体" w:cs="宋体"/>
          <w:b/>
          <w:bCs/>
          <w:sz w:val="24"/>
        </w:rPr>
      </w:pPr>
      <w:r>
        <w:rPr>
          <w:rFonts w:hint="eastAsia" w:ascii="宋体" w:hAnsi="宋体" w:cs="宋体"/>
          <w:b/>
          <w:bCs/>
          <w:sz w:val="24"/>
        </w:rPr>
        <w:t>13.工程质量</w:t>
      </w:r>
    </w:p>
    <w:p w14:paraId="53DDB06C">
      <w:pPr>
        <w:spacing w:line="360" w:lineRule="auto"/>
        <w:rPr>
          <w:rFonts w:hint="eastAsia" w:ascii="宋体" w:hAnsi="宋体" w:cs="宋体"/>
          <w:sz w:val="24"/>
        </w:rPr>
      </w:pPr>
      <w:r>
        <w:rPr>
          <w:rFonts w:hint="eastAsia" w:ascii="宋体" w:hAnsi="宋体" w:cs="宋体"/>
          <w:sz w:val="24"/>
        </w:rPr>
        <w:t>13.1  工程质量要求</w:t>
      </w:r>
    </w:p>
    <w:p w14:paraId="0BC51905">
      <w:pPr>
        <w:spacing w:line="360" w:lineRule="auto"/>
        <w:ind w:firstLine="660" w:firstLineChars="300"/>
        <w:rPr>
          <w:rFonts w:hint="eastAsia" w:ascii="宋体" w:hAnsi="宋体" w:cs="宋体"/>
          <w:sz w:val="22"/>
          <w:szCs w:val="22"/>
        </w:rPr>
      </w:pPr>
      <w:r>
        <w:rPr>
          <w:rFonts w:hint="eastAsia" w:ascii="宋体" w:hAnsi="宋体" w:cs="宋体"/>
          <w:sz w:val="22"/>
          <w:szCs w:val="22"/>
        </w:rPr>
        <w:t>13.1.1  工程质量验收按合同约定验收标准执行。</w:t>
      </w:r>
    </w:p>
    <w:p w14:paraId="572C38BD">
      <w:pPr>
        <w:spacing w:line="360" w:lineRule="auto"/>
        <w:ind w:firstLine="660" w:firstLineChars="300"/>
        <w:rPr>
          <w:rFonts w:hint="eastAsia" w:ascii="宋体" w:hAnsi="宋体" w:cs="宋体"/>
          <w:sz w:val="22"/>
          <w:szCs w:val="22"/>
        </w:rPr>
      </w:pPr>
      <w:r>
        <w:rPr>
          <w:rFonts w:hint="eastAsia" w:ascii="宋体" w:hAnsi="宋体" w:cs="宋体"/>
          <w:sz w:val="22"/>
          <w:szCs w:val="22"/>
        </w:rPr>
        <w:t>13.1.2  因承包人原因造成工程质量达不到合同约定验收标准的，监理人有权要求承包人返工直至符合合同要求为止， 由此造成的费用增加和（或）工期延误由承包人承担。</w:t>
      </w:r>
    </w:p>
    <w:p w14:paraId="5204A468">
      <w:pPr>
        <w:spacing w:line="360" w:lineRule="auto"/>
        <w:ind w:firstLine="660" w:firstLineChars="300"/>
        <w:rPr>
          <w:rFonts w:hint="eastAsia" w:ascii="宋体" w:hAnsi="宋体" w:cs="宋体"/>
          <w:sz w:val="22"/>
          <w:szCs w:val="22"/>
        </w:rPr>
      </w:pPr>
      <w:r>
        <w:rPr>
          <w:rFonts w:hint="eastAsia" w:ascii="宋体" w:hAnsi="宋体" w:cs="宋体"/>
          <w:sz w:val="22"/>
          <w:szCs w:val="22"/>
        </w:rPr>
        <w:t>13.1.3  因发包人原因造成工程质量达不到合同约定验收标准的，发包人应承担由于承包人返工造成的费用增加和（或）工期延误，并支付承包人合理利润。</w:t>
      </w:r>
    </w:p>
    <w:p w14:paraId="3AD286F3">
      <w:pPr>
        <w:spacing w:line="360" w:lineRule="auto"/>
        <w:rPr>
          <w:rFonts w:hint="eastAsia" w:ascii="宋体" w:hAnsi="宋体" w:cs="宋体"/>
          <w:sz w:val="24"/>
        </w:rPr>
      </w:pPr>
      <w:r>
        <w:rPr>
          <w:rFonts w:hint="eastAsia" w:ascii="宋体" w:hAnsi="宋体" w:cs="宋体"/>
          <w:sz w:val="24"/>
        </w:rPr>
        <w:t>13.2  承包人的质量管理</w:t>
      </w:r>
    </w:p>
    <w:p w14:paraId="443B6F7E">
      <w:pPr>
        <w:spacing w:line="360" w:lineRule="auto"/>
        <w:ind w:firstLine="660" w:firstLineChars="300"/>
        <w:rPr>
          <w:rFonts w:hint="eastAsia" w:ascii="宋体" w:hAnsi="宋体" w:cs="宋体"/>
          <w:sz w:val="22"/>
          <w:szCs w:val="22"/>
        </w:rPr>
      </w:pPr>
      <w:r>
        <w:rPr>
          <w:rFonts w:hint="eastAsia" w:ascii="宋体" w:hAnsi="宋体" w:cs="宋体"/>
          <w:sz w:val="22"/>
          <w:szCs w:val="22"/>
        </w:rPr>
        <w:t>13.2.1  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14:paraId="2D3F09FB">
      <w:pPr>
        <w:spacing w:line="360" w:lineRule="auto"/>
        <w:ind w:firstLine="660" w:firstLineChars="300"/>
        <w:rPr>
          <w:rFonts w:hint="eastAsia" w:ascii="宋体" w:hAnsi="宋体" w:cs="宋体"/>
          <w:sz w:val="22"/>
          <w:szCs w:val="22"/>
        </w:rPr>
      </w:pPr>
      <w:r>
        <w:rPr>
          <w:rFonts w:hint="eastAsia" w:ascii="宋体" w:hAnsi="宋体" w:cs="宋体"/>
          <w:sz w:val="22"/>
          <w:szCs w:val="22"/>
        </w:rPr>
        <w:t>13.2.2  承包人应加强对施工人员的质量教育和技术培训，定期考核施工人员的劳动技能，严格执行规范和操作规程。</w:t>
      </w:r>
    </w:p>
    <w:p w14:paraId="0FED8297">
      <w:pPr>
        <w:spacing w:line="360" w:lineRule="auto"/>
        <w:rPr>
          <w:rFonts w:hint="eastAsia" w:ascii="宋体" w:hAnsi="宋体" w:cs="宋体"/>
          <w:sz w:val="24"/>
        </w:rPr>
      </w:pPr>
      <w:r>
        <w:rPr>
          <w:rFonts w:hint="eastAsia" w:ascii="宋体" w:hAnsi="宋体" w:cs="宋体"/>
          <w:sz w:val="24"/>
        </w:rPr>
        <w:t>13.3  承包人的质量检查</w:t>
      </w:r>
    </w:p>
    <w:p w14:paraId="5FD327E8">
      <w:pPr>
        <w:spacing w:line="360" w:lineRule="auto"/>
        <w:ind w:firstLine="660" w:firstLineChars="300"/>
        <w:rPr>
          <w:rFonts w:hint="eastAsia" w:ascii="宋体" w:hAnsi="宋体" w:cs="宋体"/>
          <w:sz w:val="24"/>
        </w:rPr>
      </w:pPr>
      <w:r>
        <w:rPr>
          <w:rFonts w:hint="eastAsia" w:ascii="宋体" w:hAnsi="宋体" w:cs="宋体"/>
          <w:sz w:val="22"/>
          <w:szCs w:val="22"/>
        </w:rPr>
        <w:t>承包人应按合同条款专用部分的约定对材料以及工程的所有部位及其施工工艺进行全过程的质量检查和检验，并作详细记录，编制工程质量报表，报送监理人审查。监理人应在合同条款专用部分约定的期限内完成审查。</w:t>
      </w:r>
    </w:p>
    <w:p w14:paraId="7CA8CBFD">
      <w:pPr>
        <w:spacing w:line="360" w:lineRule="auto"/>
        <w:rPr>
          <w:rFonts w:hint="eastAsia" w:ascii="宋体" w:hAnsi="宋体" w:cs="宋体"/>
          <w:sz w:val="24"/>
        </w:rPr>
      </w:pPr>
      <w:r>
        <w:rPr>
          <w:rFonts w:hint="eastAsia" w:ascii="宋体" w:hAnsi="宋体" w:cs="宋体"/>
          <w:sz w:val="24"/>
        </w:rPr>
        <w:t>13.4  监理人的质量检查</w:t>
      </w:r>
    </w:p>
    <w:p w14:paraId="19511F8D">
      <w:pPr>
        <w:spacing w:line="360" w:lineRule="auto"/>
        <w:ind w:firstLine="660" w:firstLineChars="300"/>
        <w:rPr>
          <w:rFonts w:hint="eastAsia" w:ascii="宋体" w:hAnsi="宋体" w:cs="宋体"/>
          <w:sz w:val="22"/>
          <w:szCs w:val="22"/>
        </w:rPr>
      </w:pPr>
      <w:r>
        <w:rPr>
          <w:rFonts w:hint="eastAsia" w:ascii="宋体" w:hAnsi="宋体" w:cs="宋体"/>
          <w:sz w:val="22"/>
          <w:szCs w:val="22"/>
        </w:rPr>
        <w:t>监理人有权对工程的所有部位及其施工工艺以及材料进行检查和检验。承包人应为监理人的检查和检验提供方便，包括监理人到施工场地，或制造、加工地点，或合同约定的其他 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 察看和查阅施工原始记录的其他地方见合同条款专用部分。</w:t>
      </w:r>
    </w:p>
    <w:p w14:paraId="40ABC37C">
      <w:pPr>
        <w:spacing w:line="360" w:lineRule="auto"/>
        <w:rPr>
          <w:rFonts w:hint="eastAsia" w:ascii="宋体" w:hAnsi="宋体" w:cs="宋体"/>
          <w:sz w:val="24"/>
        </w:rPr>
      </w:pPr>
      <w:r>
        <w:rPr>
          <w:rFonts w:hint="eastAsia" w:ascii="宋体" w:hAnsi="宋体" w:cs="宋体"/>
          <w:sz w:val="24"/>
        </w:rPr>
        <w:t>13.5  工程隐蔽部位覆盖前的检查</w:t>
      </w:r>
    </w:p>
    <w:p w14:paraId="307F6780">
      <w:pPr>
        <w:spacing w:line="360" w:lineRule="auto"/>
        <w:ind w:firstLine="660" w:firstLineChars="300"/>
        <w:rPr>
          <w:rFonts w:hint="eastAsia" w:ascii="宋体" w:hAnsi="宋体" w:cs="宋体"/>
          <w:sz w:val="22"/>
          <w:szCs w:val="22"/>
        </w:rPr>
      </w:pPr>
      <w:r>
        <w:rPr>
          <w:rFonts w:hint="eastAsia" w:ascii="宋体" w:hAnsi="宋体" w:cs="宋体"/>
          <w:sz w:val="22"/>
          <w:szCs w:val="22"/>
        </w:rPr>
        <w:t>13.5.1  通知监理人检查</w:t>
      </w:r>
    </w:p>
    <w:p w14:paraId="5097EC9B">
      <w:pPr>
        <w:spacing w:line="360" w:lineRule="auto"/>
        <w:ind w:firstLine="660" w:firstLineChars="300"/>
        <w:rPr>
          <w:rFonts w:hint="eastAsia" w:ascii="宋体" w:hAnsi="宋体" w:cs="宋体"/>
          <w:sz w:val="22"/>
          <w:szCs w:val="22"/>
        </w:rPr>
      </w:pPr>
      <w:r>
        <w:rPr>
          <w:rFonts w:hint="eastAsia" w:ascii="宋体" w:hAnsi="宋体" w:cs="宋体"/>
          <w:sz w:val="22"/>
          <w:szCs w:val="22"/>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 监理人对工程隐蔽部位进行检查的期限见合同条款专用部分。</w:t>
      </w:r>
    </w:p>
    <w:p w14:paraId="4A36572B">
      <w:pPr>
        <w:spacing w:line="360" w:lineRule="auto"/>
        <w:ind w:firstLine="660" w:firstLineChars="300"/>
        <w:rPr>
          <w:rFonts w:hint="eastAsia" w:ascii="宋体" w:hAnsi="宋体" w:cs="宋体"/>
          <w:sz w:val="22"/>
          <w:szCs w:val="22"/>
        </w:rPr>
      </w:pPr>
      <w:r>
        <w:rPr>
          <w:rFonts w:hint="eastAsia" w:ascii="宋体" w:hAnsi="宋体" w:cs="宋体"/>
          <w:sz w:val="22"/>
          <w:szCs w:val="22"/>
        </w:rPr>
        <w:t>13.5.2  监理人未到场检查</w:t>
      </w:r>
    </w:p>
    <w:p w14:paraId="122C6AC2">
      <w:pPr>
        <w:spacing w:line="360" w:lineRule="auto"/>
        <w:ind w:firstLine="660" w:firstLineChars="300"/>
        <w:rPr>
          <w:rFonts w:hint="eastAsia" w:ascii="宋体" w:hAnsi="宋体" w:cs="宋体"/>
          <w:sz w:val="22"/>
          <w:szCs w:val="22"/>
        </w:rPr>
      </w:pPr>
      <w:r>
        <w:rPr>
          <w:rFonts w:hint="eastAsia" w:ascii="宋体" w:hAnsi="宋体" w:cs="宋体"/>
          <w:sz w:val="22"/>
          <w:szCs w:val="22"/>
        </w:rPr>
        <w:t>监理人未按第 13.5.1 项约定的时间进行检查的，除监理人另有指示外，承包人可自行完成覆盖工作，并作相应记录报送监理人，监理人应签字确认。监理人事后对检查记录有疑问的，可按第 13.5.3 项的约定重新检查。</w:t>
      </w:r>
    </w:p>
    <w:p w14:paraId="0276080A">
      <w:pPr>
        <w:spacing w:line="360" w:lineRule="auto"/>
        <w:ind w:firstLine="660" w:firstLineChars="300"/>
        <w:rPr>
          <w:rFonts w:hint="eastAsia" w:ascii="宋体" w:hAnsi="宋体" w:cs="宋体"/>
          <w:sz w:val="22"/>
          <w:szCs w:val="22"/>
        </w:rPr>
      </w:pPr>
      <w:r>
        <w:rPr>
          <w:rFonts w:hint="eastAsia" w:ascii="宋体" w:hAnsi="宋体" w:cs="宋体"/>
          <w:sz w:val="22"/>
          <w:szCs w:val="22"/>
        </w:rPr>
        <w:t>13.5.3  监理人重新检查</w:t>
      </w:r>
    </w:p>
    <w:p w14:paraId="6E552026">
      <w:pPr>
        <w:spacing w:line="360" w:lineRule="auto"/>
        <w:ind w:firstLine="660" w:firstLineChars="300"/>
        <w:rPr>
          <w:rFonts w:hint="eastAsia" w:ascii="宋体" w:hAnsi="宋体" w:cs="宋体"/>
          <w:sz w:val="22"/>
          <w:szCs w:val="22"/>
        </w:rPr>
      </w:pPr>
      <w:r>
        <w:rPr>
          <w:rFonts w:hint="eastAsia" w:ascii="宋体" w:hAnsi="宋体" w:cs="宋体"/>
          <w:sz w:val="22"/>
          <w:szCs w:val="22"/>
        </w:rPr>
        <w:t>承包人按第 13.5.1 项或第 13.5.2 项覆盖工程隐蔽部位后，监理人对质量有疑问的，可要求承包人对已覆盖的部位进行钻孔探测或揭开重新检验，承包人应遵照执行，并在检验后 重新覆盖恢复原状。经检验证明工程质量符合合同要求的，由发包人承担由此增加的费用和 （或）工期延误，并支付承包人合理利润；经检验证明工程质量不符合合同要求的，由此增加的费用和（或）工期延误由承包人承担。</w:t>
      </w:r>
    </w:p>
    <w:p w14:paraId="21417201">
      <w:pPr>
        <w:spacing w:line="360" w:lineRule="auto"/>
        <w:ind w:firstLine="660" w:firstLineChars="300"/>
        <w:rPr>
          <w:rFonts w:hint="eastAsia" w:ascii="宋体" w:hAnsi="宋体" w:cs="宋体"/>
          <w:sz w:val="22"/>
          <w:szCs w:val="22"/>
        </w:rPr>
      </w:pPr>
      <w:r>
        <w:rPr>
          <w:rFonts w:hint="eastAsia" w:ascii="宋体" w:hAnsi="宋体" w:cs="宋体"/>
          <w:sz w:val="22"/>
          <w:szCs w:val="22"/>
        </w:rPr>
        <w:t>13.5.4  承包人私自覆盖</w:t>
      </w:r>
    </w:p>
    <w:p w14:paraId="2F13EDD9">
      <w:pPr>
        <w:spacing w:line="360" w:lineRule="auto"/>
        <w:ind w:firstLine="660" w:firstLineChars="300"/>
        <w:rPr>
          <w:rFonts w:hint="eastAsia" w:ascii="宋体" w:hAnsi="宋体" w:cs="宋体"/>
          <w:sz w:val="22"/>
          <w:szCs w:val="22"/>
        </w:rPr>
      </w:pPr>
      <w:r>
        <w:rPr>
          <w:rFonts w:hint="eastAsia" w:ascii="宋体" w:hAnsi="宋体" w:cs="宋体"/>
          <w:sz w:val="22"/>
          <w:szCs w:val="22"/>
        </w:rPr>
        <w:t>承包人未通知监理人到场检查，私自将工程隐蔽部位覆盖的，监理人有权指示承包人钻孔探测或揭开检查，由此增加的费用和（或）工期延误由承包人承担。</w:t>
      </w:r>
    </w:p>
    <w:p w14:paraId="0F288BB1">
      <w:pPr>
        <w:spacing w:line="360" w:lineRule="auto"/>
        <w:rPr>
          <w:rFonts w:hint="eastAsia" w:ascii="宋体" w:hAnsi="宋体" w:cs="宋体"/>
          <w:sz w:val="24"/>
        </w:rPr>
      </w:pPr>
      <w:r>
        <w:rPr>
          <w:rFonts w:hint="eastAsia" w:ascii="宋体" w:hAnsi="宋体" w:cs="宋体"/>
          <w:sz w:val="24"/>
        </w:rPr>
        <w:t>13.6  清除不合格工程</w:t>
      </w:r>
    </w:p>
    <w:p w14:paraId="5F9A32F0">
      <w:pPr>
        <w:spacing w:line="360" w:lineRule="auto"/>
        <w:ind w:firstLine="660" w:firstLineChars="300"/>
        <w:rPr>
          <w:rFonts w:hint="eastAsia" w:ascii="宋体" w:hAnsi="宋体" w:cs="宋体"/>
          <w:sz w:val="22"/>
          <w:szCs w:val="22"/>
        </w:rPr>
      </w:pPr>
      <w:r>
        <w:rPr>
          <w:rFonts w:hint="eastAsia" w:ascii="宋体" w:hAnsi="宋体" w:cs="宋体"/>
          <w:sz w:val="22"/>
          <w:szCs w:val="22"/>
        </w:rPr>
        <w:t>13.6.1  承包人使用不合格材料，或采用不适当的施工工艺，或施工不当，造成工程不合格的，监理人可以随时发出指示，要求承包人立即采取措施进行补救，直至达到合同要求的质量标准， 由此增加的费用和（或）工期延误由承包人承担。</w:t>
      </w:r>
    </w:p>
    <w:p w14:paraId="20C96838">
      <w:pPr>
        <w:spacing w:line="360" w:lineRule="auto"/>
        <w:ind w:firstLine="660" w:firstLineChars="300"/>
        <w:rPr>
          <w:rFonts w:hint="eastAsia" w:ascii="宋体" w:hAnsi="宋体" w:cs="宋体"/>
          <w:sz w:val="22"/>
          <w:szCs w:val="22"/>
        </w:rPr>
      </w:pPr>
      <w:r>
        <w:rPr>
          <w:rFonts w:hint="eastAsia" w:ascii="宋体" w:hAnsi="宋体" w:cs="宋体"/>
          <w:sz w:val="22"/>
          <w:szCs w:val="22"/>
        </w:rPr>
        <w:t>13.6.2  由于发包人提供的材料不合格造成的工程不合格，需要承包人采取措施补救的，发包人应承担由此增加的费用和（或）工期延误，并支付承包人合理利润。</w:t>
      </w:r>
    </w:p>
    <w:p w14:paraId="40DB9C63">
      <w:pPr>
        <w:spacing w:line="360" w:lineRule="auto"/>
        <w:rPr>
          <w:rFonts w:hint="eastAsia" w:ascii="宋体" w:hAnsi="宋体" w:cs="宋体"/>
          <w:sz w:val="24"/>
        </w:rPr>
      </w:pPr>
      <w:r>
        <w:rPr>
          <w:rFonts w:hint="eastAsia" w:ascii="宋体" w:hAnsi="宋体" w:cs="宋体"/>
          <w:sz w:val="24"/>
        </w:rPr>
        <w:t>13.7  质量争议</w:t>
      </w:r>
    </w:p>
    <w:p w14:paraId="42C5D2F2">
      <w:pPr>
        <w:spacing w:line="360" w:lineRule="auto"/>
        <w:ind w:firstLine="660" w:firstLineChars="300"/>
        <w:rPr>
          <w:rFonts w:hint="eastAsia" w:ascii="宋体" w:hAnsi="宋体" w:cs="宋体"/>
          <w:sz w:val="22"/>
          <w:szCs w:val="22"/>
        </w:rPr>
      </w:pPr>
      <w:r>
        <w:rPr>
          <w:rFonts w:hint="eastAsia" w:ascii="宋体" w:hAnsi="宋体" w:cs="宋体"/>
          <w:sz w:val="22"/>
          <w:szCs w:val="22"/>
        </w:rPr>
        <w:t>发包人和承包人对工程质量有争议的，除可按第 24 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76B8EE8D">
      <w:pPr>
        <w:spacing w:line="360" w:lineRule="auto"/>
        <w:rPr>
          <w:rFonts w:hint="eastAsia" w:ascii="宋体" w:hAnsi="宋体" w:cs="宋体"/>
          <w:b/>
          <w:bCs/>
          <w:sz w:val="24"/>
        </w:rPr>
      </w:pPr>
      <w:r>
        <w:rPr>
          <w:rFonts w:hint="eastAsia" w:ascii="宋体" w:hAnsi="宋体" w:cs="宋体"/>
          <w:b/>
          <w:bCs/>
          <w:sz w:val="24"/>
        </w:rPr>
        <w:t>14.试验和检验</w:t>
      </w:r>
    </w:p>
    <w:p w14:paraId="5873CB27">
      <w:pPr>
        <w:spacing w:line="360" w:lineRule="auto"/>
        <w:rPr>
          <w:rFonts w:hint="eastAsia" w:ascii="宋体" w:hAnsi="宋体" w:cs="宋体"/>
          <w:sz w:val="24"/>
        </w:rPr>
      </w:pPr>
      <w:r>
        <w:rPr>
          <w:rFonts w:hint="eastAsia" w:ascii="宋体" w:hAnsi="宋体" w:cs="宋体"/>
          <w:sz w:val="24"/>
        </w:rPr>
        <w:t>14.1  材料和工程的试验和检验</w:t>
      </w:r>
    </w:p>
    <w:p w14:paraId="375FEAF4">
      <w:pPr>
        <w:spacing w:line="360" w:lineRule="auto"/>
        <w:ind w:firstLine="660" w:firstLineChars="300"/>
        <w:rPr>
          <w:rFonts w:hint="eastAsia" w:ascii="宋体" w:hAnsi="宋体" w:cs="宋体"/>
          <w:sz w:val="22"/>
          <w:szCs w:val="22"/>
        </w:rPr>
      </w:pPr>
      <w:r>
        <w:rPr>
          <w:rFonts w:hint="eastAsia" w:ascii="宋体" w:hAnsi="宋体" w:cs="宋体"/>
          <w:sz w:val="22"/>
          <w:szCs w:val="22"/>
        </w:rPr>
        <w:t>14.1.1  承包人应按合同约定进行材料和工程的试验和检验，并为监理人对上述材料和工程的质量检查提供必要的试验资料和原始记录。按合同约定应由监理人与承包人共同进行试验和检验的，由承包人负责提供必要的试验资料和原始记录。</w:t>
      </w:r>
    </w:p>
    <w:p w14:paraId="5A5B912F">
      <w:pPr>
        <w:spacing w:line="360" w:lineRule="auto"/>
        <w:ind w:firstLine="660" w:firstLineChars="300"/>
        <w:rPr>
          <w:rFonts w:hint="eastAsia" w:ascii="宋体" w:hAnsi="宋体" w:cs="宋体"/>
          <w:sz w:val="22"/>
          <w:szCs w:val="22"/>
        </w:rPr>
      </w:pPr>
      <w:r>
        <w:rPr>
          <w:rFonts w:hint="eastAsia" w:ascii="宋体" w:hAnsi="宋体" w:cs="宋体"/>
          <w:sz w:val="22"/>
          <w:szCs w:val="22"/>
        </w:rPr>
        <w:t>14.1.2  监理人未按合同约定派员参加试验和检验的，除监理人另有指示外，承包人可自行试验和检验，并应立即将试验和检验结果报送监理人，监理人应签字确认。</w:t>
      </w:r>
    </w:p>
    <w:p w14:paraId="3BBA7912">
      <w:pPr>
        <w:spacing w:line="360" w:lineRule="auto"/>
        <w:ind w:firstLine="660" w:firstLineChars="300"/>
        <w:rPr>
          <w:rFonts w:hint="eastAsia" w:ascii="宋体" w:hAnsi="宋体" w:cs="宋体"/>
          <w:sz w:val="22"/>
          <w:szCs w:val="22"/>
        </w:rPr>
      </w:pPr>
      <w:r>
        <w:rPr>
          <w:rFonts w:hint="eastAsia" w:ascii="宋体" w:hAnsi="宋体" w:cs="宋体"/>
          <w:sz w:val="22"/>
          <w:szCs w:val="22"/>
        </w:rPr>
        <w:t>14.1.3  监理人对承包人的试验和检验结果有疑问的，或为查清承包人试验和检验成果的可靠性要求承包人重新试验和检验的，可按合同约定由监理人与承包人共同进行。重新试验和检验的结果证明该项材料或工程的质量不符合合同要求的，由此增加的费用和（或）工期延误由承包人承担；重新试验和检验结果证明该项材料和工程符合合同要求，由发包人承 担由此增加的费用和（或）工期延误，并支付承包人合理利润。</w:t>
      </w:r>
    </w:p>
    <w:p w14:paraId="0CBFEA11">
      <w:pPr>
        <w:spacing w:line="360" w:lineRule="auto"/>
        <w:rPr>
          <w:rFonts w:hint="eastAsia" w:ascii="宋体" w:hAnsi="宋体" w:cs="宋体"/>
          <w:sz w:val="24"/>
        </w:rPr>
      </w:pPr>
      <w:r>
        <w:rPr>
          <w:rFonts w:hint="eastAsia" w:ascii="宋体" w:hAnsi="宋体" w:cs="宋体"/>
          <w:sz w:val="24"/>
        </w:rPr>
        <w:t>14.2  现场材料试验</w:t>
      </w:r>
    </w:p>
    <w:p w14:paraId="48122C21">
      <w:pPr>
        <w:spacing w:line="360" w:lineRule="auto"/>
        <w:ind w:firstLine="660" w:firstLineChars="300"/>
        <w:rPr>
          <w:rFonts w:hint="eastAsia" w:ascii="宋体" w:hAnsi="宋体" w:cs="宋体"/>
          <w:sz w:val="22"/>
          <w:szCs w:val="22"/>
        </w:rPr>
      </w:pPr>
      <w:r>
        <w:rPr>
          <w:rFonts w:hint="eastAsia" w:ascii="宋体" w:hAnsi="宋体" w:cs="宋体"/>
          <w:sz w:val="22"/>
          <w:szCs w:val="22"/>
        </w:rPr>
        <w:t>14.2.1  承包人根据合同约定或监理人指示进行的现场材料试验，应由承包人提供试验场所、试验人员、试验设备器材以及其他必要的试验条件。</w:t>
      </w:r>
    </w:p>
    <w:p w14:paraId="7B373D81">
      <w:pPr>
        <w:spacing w:line="360" w:lineRule="auto"/>
        <w:ind w:firstLine="660" w:firstLineChars="300"/>
        <w:rPr>
          <w:rFonts w:hint="eastAsia" w:ascii="宋体" w:hAnsi="宋体" w:cs="宋体"/>
          <w:sz w:val="22"/>
          <w:szCs w:val="22"/>
        </w:rPr>
      </w:pPr>
      <w:r>
        <w:rPr>
          <w:rFonts w:hint="eastAsia" w:ascii="宋体" w:hAnsi="宋体" w:cs="宋体"/>
          <w:sz w:val="22"/>
          <w:szCs w:val="22"/>
        </w:rPr>
        <w:t>14.2.2  监理人在必要时可以使用承包人的试验场所、试验设备器材以及其他试验条件，进行以工程质量检查为目的的复核性材料试验，承包人应予以协助。</w:t>
      </w:r>
    </w:p>
    <w:p w14:paraId="145A6265">
      <w:pPr>
        <w:spacing w:line="360" w:lineRule="auto"/>
        <w:ind w:firstLine="660" w:firstLineChars="300"/>
        <w:rPr>
          <w:rFonts w:hint="eastAsia" w:ascii="宋体" w:hAnsi="宋体" w:cs="宋体"/>
          <w:sz w:val="22"/>
          <w:szCs w:val="22"/>
        </w:rPr>
      </w:pPr>
      <w:r>
        <w:rPr>
          <w:rFonts w:hint="eastAsia" w:ascii="宋体" w:hAnsi="宋体" w:cs="宋体"/>
          <w:sz w:val="22"/>
          <w:szCs w:val="22"/>
        </w:rPr>
        <w:t>14.3  现场工艺试验</w:t>
      </w:r>
    </w:p>
    <w:p w14:paraId="7268F41A">
      <w:pPr>
        <w:spacing w:line="360" w:lineRule="auto"/>
        <w:ind w:firstLine="660" w:firstLineChars="300"/>
        <w:rPr>
          <w:rFonts w:hint="eastAsia" w:ascii="宋体" w:hAnsi="宋体" w:cs="宋体"/>
          <w:sz w:val="22"/>
          <w:szCs w:val="22"/>
        </w:rPr>
      </w:pPr>
      <w:r>
        <w:rPr>
          <w:rFonts w:hint="eastAsia" w:ascii="宋体" w:hAnsi="宋体" w:cs="宋体"/>
          <w:sz w:val="22"/>
          <w:szCs w:val="22"/>
        </w:rPr>
        <w:t>承包人应按合同约定或监理人指示进行现场工艺试验。对大型的现场工艺试验，监理人认为必要时，应由承包人根据监理人提出的工艺试验要求，编制工艺试验措施计划，报送监理人审批。</w:t>
      </w:r>
    </w:p>
    <w:p w14:paraId="6B5468DA">
      <w:pPr>
        <w:spacing w:line="360" w:lineRule="auto"/>
        <w:rPr>
          <w:rFonts w:hint="eastAsia" w:ascii="宋体" w:hAnsi="宋体" w:cs="宋体"/>
          <w:b/>
          <w:bCs/>
          <w:sz w:val="24"/>
        </w:rPr>
      </w:pPr>
      <w:r>
        <w:rPr>
          <w:rFonts w:hint="eastAsia" w:ascii="宋体" w:hAnsi="宋体" w:cs="宋体"/>
          <w:b/>
          <w:bCs/>
          <w:sz w:val="24"/>
        </w:rPr>
        <w:t>15.变更</w:t>
      </w:r>
    </w:p>
    <w:p w14:paraId="5C44CDAB">
      <w:pPr>
        <w:spacing w:line="360" w:lineRule="auto"/>
        <w:rPr>
          <w:rFonts w:hint="eastAsia" w:ascii="宋体" w:hAnsi="宋体" w:cs="宋体"/>
          <w:sz w:val="24"/>
        </w:rPr>
      </w:pPr>
      <w:r>
        <w:rPr>
          <w:rFonts w:hint="eastAsia" w:ascii="宋体" w:hAnsi="宋体" w:cs="宋体"/>
          <w:sz w:val="24"/>
        </w:rPr>
        <w:t>15.1  变更的范围和内容</w:t>
      </w:r>
    </w:p>
    <w:p w14:paraId="467134BF">
      <w:pPr>
        <w:spacing w:line="360" w:lineRule="auto"/>
        <w:ind w:firstLine="630" w:firstLineChars="300"/>
        <w:rPr>
          <w:rFonts w:hint="eastAsia" w:ascii="宋体" w:hAnsi="宋体" w:cs="宋体"/>
          <w:szCs w:val="21"/>
        </w:rPr>
      </w:pPr>
      <w:r>
        <w:rPr>
          <w:rFonts w:hint="eastAsia" w:ascii="宋体" w:hAnsi="宋体" w:cs="宋体"/>
          <w:szCs w:val="21"/>
        </w:rPr>
        <w:t>15.1.1  在履行合同中发生以下情形之一，应按照本条规定进行变更。</w:t>
      </w:r>
    </w:p>
    <w:p w14:paraId="70755227">
      <w:pPr>
        <w:spacing w:line="360" w:lineRule="auto"/>
        <w:ind w:firstLine="630" w:firstLineChars="300"/>
        <w:rPr>
          <w:rFonts w:hint="eastAsia" w:ascii="宋体" w:hAnsi="宋体" w:cs="宋体"/>
          <w:szCs w:val="21"/>
        </w:rPr>
      </w:pPr>
      <w:r>
        <w:rPr>
          <w:rFonts w:hint="eastAsia" w:ascii="宋体" w:hAnsi="宋体" w:cs="宋体"/>
          <w:szCs w:val="21"/>
        </w:rPr>
        <w:t>（1）取消合同中任何一项工作，但被取消的工作不能转由发包人或其他人实施；</w:t>
      </w:r>
    </w:p>
    <w:p w14:paraId="72ECF2DA">
      <w:pPr>
        <w:spacing w:line="360" w:lineRule="auto"/>
        <w:ind w:firstLine="630" w:firstLineChars="300"/>
        <w:rPr>
          <w:rFonts w:hint="eastAsia" w:ascii="宋体" w:hAnsi="宋体" w:cs="宋体"/>
          <w:szCs w:val="21"/>
        </w:rPr>
      </w:pPr>
      <w:r>
        <w:rPr>
          <w:rFonts w:hint="eastAsia" w:ascii="宋体" w:hAnsi="宋体" w:cs="宋体"/>
          <w:szCs w:val="21"/>
        </w:rPr>
        <w:t>（2）改变合同中任何一项工作的质量或其他特性；</w:t>
      </w:r>
    </w:p>
    <w:p w14:paraId="1F8B9E68">
      <w:pPr>
        <w:spacing w:line="360" w:lineRule="auto"/>
        <w:ind w:firstLine="630" w:firstLineChars="300"/>
        <w:rPr>
          <w:rFonts w:hint="eastAsia" w:ascii="宋体" w:hAnsi="宋体" w:cs="宋体"/>
          <w:szCs w:val="21"/>
        </w:rPr>
      </w:pPr>
      <w:r>
        <w:rPr>
          <w:rFonts w:hint="eastAsia" w:ascii="宋体" w:hAnsi="宋体" w:cs="宋体"/>
          <w:szCs w:val="21"/>
        </w:rPr>
        <w:t>（3）改变合同工程的基线、标高、位置或尺寸；</w:t>
      </w:r>
    </w:p>
    <w:p w14:paraId="3D75B743">
      <w:pPr>
        <w:spacing w:line="360" w:lineRule="auto"/>
        <w:ind w:firstLine="630" w:firstLineChars="300"/>
        <w:rPr>
          <w:rFonts w:hint="eastAsia" w:ascii="宋体" w:hAnsi="宋体" w:cs="宋体"/>
          <w:szCs w:val="21"/>
        </w:rPr>
      </w:pPr>
      <w:r>
        <w:rPr>
          <w:rFonts w:hint="eastAsia" w:ascii="宋体" w:hAnsi="宋体" w:cs="宋体"/>
          <w:szCs w:val="21"/>
        </w:rPr>
        <w:t>（4）改变合同中任何一项工作的施工时间或改变已批准的施工工艺或顺序；</w:t>
      </w:r>
    </w:p>
    <w:p w14:paraId="4759CDB6">
      <w:pPr>
        <w:spacing w:line="360" w:lineRule="auto"/>
        <w:ind w:firstLine="630" w:firstLineChars="300"/>
        <w:rPr>
          <w:rFonts w:hint="eastAsia" w:ascii="宋体" w:hAnsi="宋体" w:cs="宋体"/>
          <w:szCs w:val="21"/>
        </w:rPr>
      </w:pPr>
      <w:r>
        <w:rPr>
          <w:rFonts w:hint="eastAsia" w:ascii="宋体" w:hAnsi="宋体" w:cs="宋体"/>
          <w:szCs w:val="21"/>
        </w:rPr>
        <w:t>（5）为完成工程需要追加的额外工作；</w:t>
      </w:r>
    </w:p>
    <w:p w14:paraId="3BF48A39">
      <w:pPr>
        <w:spacing w:line="360" w:lineRule="auto"/>
        <w:ind w:firstLine="630" w:firstLineChars="300"/>
        <w:rPr>
          <w:rFonts w:hint="eastAsia" w:ascii="宋体" w:hAnsi="宋体" w:cs="宋体"/>
          <w:szCs w:val="21"/>
        </w:rPr>
      </w:pPr>
      <w:r>
        <w:rPr>
          <w:rFonts w:hint="eastAsia" w:ascii="宋体" w:hAnsi="宋体" w:cs="宋体"/>
          <w:szCs w:val="21"/>
        </w:rPr>
        <w:t>（6）变更的其他情形见合同条款专用部分。</w:t>
      </w:r>
    </w:p>
    <w:p w14:paraId="5D3D13A5">
      <w:pPr>
        <w:spacing w:line="360" w:lineRule="auto"/>
        <w:ind w:firstLine="630" w:firstLineChars="300"/>
        <w:rPr>
          <w:rFonts w:hint="eastAsia" w:ascii="宋体" w:hAnsi="宋体" w:cs="宋体"/>
          <w:szCs w:val="21"/>
        </w:rPr>
      </w:pPr>
      <w:r>
        <w:rPr>
          <w:rFonts w:hint="eastAsia" w:ascii="宋体" w:hAnsi="宋体" w:cs="宋体"/>
          <w:szCs w:val="21"/>
        </w:rPr>
        <w:t>15.1.2  发包人违背第 15.1.1（1） 目的约定，将被取消的合同中的工作转由发包人或其他人实施的，承包人可向监理人发出通知，要求发包人采取有效措施纠正违约行为，发包人在监理人收到承包人通知后 28 天内仍不纠正违约行为的，应当赔偿承包人损失（包括合 理的利润）并承担由此引起的其他责任。承包人应当按第 23.1（1）项的约定，在上述 28 天期限到期后的 28 天内，向监理人递交工程索赔意向通知书,并按第 23.1（2）项的约定，及时向监理人递交正式工程索赔通知书，说明有权得到的损失赔偿金额并附必要的记录和证明材料。发包人支付给承包人的损失赔偿金额应当包括被取消工作的合同价值中所包含的承包人管理费、利润以及相应的增值税。</w:t>
      </w:r>
    </w:p>
    <w:p w14:paraId="475A755D">
      <w:pPr>
        <w:spacing w:line="360" w:lineRule="auto"/>
        <w:rPr>
          <w:rFonts w:hint="eastAsia" w:ascii="宋体" w:hAnsi="宋体" w:cs="宋体"/>
          <w:sz w:val="24"/>
        </w:rPr>
      </w:pPr>
      <w:r>
        <w:rPr>
          <w:rFonts w:hint="eastAsia" w:ascii="宋体" w:hAnsi="宋体" w:cs="宋体"/>
          <w:sz w:val="24"/>
        </w:rPr>
        <w:t>15.2  变更权</w:t>
      </w:r>
    </w:p>
    <w:p w14:paraId="2D8096C8">
      <w:pPr>
        <w:spacing w:line="360" w:lineRule="auto"/>
        <w:ind w:firstLine="630" w:firstLineChars="300"/>
        <w:rPr>
          <w:rFonts w:hint="eastAsia" w:ascii="宋体" w:hAnsi="宋体" w:cs="宋体"/>
          <w:szCs w:val="21"/>
        </w:rPr>
      </w:pPr>
      <w:r>
        <w:rPr>
          <w:rFonts w:hint="eastAsia" w:ascii="宋体" w:hAnsi="宋体" w:cs="宋体"/>
          <w:szCs w:val="21"/>
        </w:rPr>
        <w:t>在履行合同过程中，经发包人同意，监理人可按第 15.3 款约定的变更程序向承包人作出变更指示，承包人应遵照执行。没有监理人的变更指示，承包人不得擅自变更。</w:t>
      </w:r>
    </w:p>
    <w:p w14:paraId="0231E044">
      <w:pPr>
        <w:spacing w:line="360" w:lineRule="auto"/>
        <w:rPr>
          <w:rFonts w:hint="eastAsia" w:ascii="宋体" w:hAnsi="宋体" w:cs="宋体"/>
          <w:sz w:val="24"/>
        </w:rPr>
      </w:pPr>
      <w:r>
        <w:rPr>
          <w:rFonts w:hint="eastAsia" w:ascii="宋体" w:hAnsi="宋体" w:cs="宋体"/>
          <w:sz w:val="24"/>
        </w:rPr>
        <w:t>15.3  变更程序</w:t>
      </w:r>
    </w:p>
    <w:p w14:paraId="3202B7C6">
      <w:pPr>
        <w:spacing w:line="360" w:lineRule="auto"/>
        <w:ind w:firstLine="630" w:firstLineChars="300"/>
        <w:rPr>
          <w:rFonts w:hint="eastAsia" w:ascii="宋体" w:hAnsi="宋体" w:cs="宋体"/>
          <w:szCs w:val="21"/>
        </w:rPr>
      </w:pPr>
      <w:r>
        <w:rPr>
          <w:rFonts w:hint="eastAsia" w:ascii="宋体" w:hAnsi="宋体" w:cs="宋体"/>
          <w:szCs w:val="21"/>
        </w:rPr>
        <w:t>15.3.1  变更的提出</w:t>
      </w:r>
    </w:p>
    <w:p w14:paraId="271F18BD">
      <w:pPr>
        <w:spacing w:line="360" w:lineRule="auto"/>
        <w:ind w:firstLine="630" w:firstLineChars="300"/>
        <w:rPr>
          <w:rFonts w:hint="eastAsia" w:ascii="宋体" w:hAnsi="宋体" w:cs="宋体"/>
          <w:szCs w:val="21"/>
        </w:rPr>
      </w:pPr>
      <w:r>
        <w:rPr>
          <w:rFonts w:hint="eastAsia" w:ascii="宋体" w:hAnsi="宋体" w:cs="宋体"/>
          <w:szCs w:val="21"/>
        </w:rPr>
        <w:t>（1）在合同履行过程中，可能发生第 15.1.1 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 15.3.3 项约定发出变更指示。</w:t>
      </w:r>
    </w:p>
    <w:p w14:paraId="4F529BC2">
      <w:pPr>
        <w:spacing w:line="360" w:lineRule="auto"/>
        <w:ind w:firstLine="630" w:firstLineChars="300"/>
        <w:rPr>
          <w:rFonts w:hint="eastAsia" w:ascii="宋体" w:hAnsi="宋体" w:cs="宋体"/>
          <w:szCs w:val="21"/>
        </w:rPr>
      </w:pPr>
      <w:r>
        <w:rPr>
          <w:rFonts w:hint="eastAsia" w:ascii="宋体" w:hAnsi="宋体" w:cs="宋体"/>
          <w:szCs w:val="21"/>
        </w:rPr>
        <w:t>（2）在合同履行过程中，发生第 15.1.1 项约定情形的，监理人应按照第 15.3.3 项约定向承包人发出变更指示。</w:t>
      </w:r>
    </w:p>
    <w:p w14:paraId="0D077AE7">
      <w:pPr>
        <w:spacing w:line="360" w:lineRule="auto"/>
        <w:ind w:firstLine="630" w:firstLineChars="300"/>
        <w:rPr>
          <w:rFonts w:hint="eastAsia" w:ascii="宋体" w:hAnsi="宋体" w:cs="宋体"/>
          <w:szCs w:val="21"/>
        </w:rPr>
      </w:pPr>
      <w:r>
        <w:rPr>
          <w:rFonts w:hint="eastAsia" w:ascii="宋体" w:hAnsi="宋体" w:cs="宋体"/>
          <w:szCs w:val="21"/>
        </w:rPr>
        <w:t>（3）承包人收到监理人按合同约定发出的图纸和文件，经检查认为其中存在第 15.1.1 项约定情形的，可向监理人提出书面变更建议。变更建议应阐明要求变更的依据，并附必要 的图纸和说明。监理人收到承包人书面建议后，应与发包人共同研究，确认存在变更的，应在收到承包人书面建议后的 14 天内作出变更指示。经研究后不同意作为变更的，应由监理人书面答复承包人。</w:t>
      </w:r>
    </w:p>
    <w:p w14:paraId="53EFE84D">
      <w:pPr>
        <w:spacing w:line="360" w:lineRule="auto"/>
        <w:ind w:firstLine="630" w:firstLineChars="300"/>
        <w:rPr>
          <w:rFonts w:hint="eastAsia" w:ascii="宋体" w:hAnsi="宋体" w:cs="宋体"/>
          <w:szCs w:val="21"/>
        </w:rPr>
      </w:pPr>
      <w:r>
        <w:rPr>
          <w:rFonts w:hint="eastAsia" w:ascii="宋体" w:hAnsi="宋体" w:cs="宋体"/>
          <w:szCs w:val="21"/>
        </w:rPr>
        <w:t>（4）若承包人收到监理人的变更意向书后认为难以实施此项变更，应立即通知监理人，说明原因并附详细依据。监理人与承包人和发包人协商后确定撤销、改变或不改变原变更意向书。</w:t>
      </w:r>
    </w:p>
    <w:p w14:paraId="112BAAC2">
      <w:pPr>
        <w:spacing w:line="360" w:lineRule="auto"/>
        <w:ind w:firstLine="630" w:firstLineChars="300"/>
        <w:rPr>
          <w:rFonts w:hint="eastAsia" w:ascii="宋体" w:hAnsi="宋体" w:cs="宋体"/>
          <w:szCs w:val="21"/>
        </w:rPr>
      </w:pPr>
      <w:r>
        <w:rPr>
          <w:rFonts w:hint="eastAsia" w:ascii="宋体" w:hAnsi="宋体" w:cs="宋体"/>
          <w:szCs w:val="21"/>
        </w:rPr>
        <w:t>15.3.2  变更估价</w:t>
      </w:r>
    </w:p>
    <w:p w14:paraId="3B7CA989">
      <w:pPr>
        <w:spacing w:line="360" w:lineRule="auto"/>
        <w:ind w:firstLine="630" w:firstLineChars="300"/>
        <w:rPr>
          <w:rFonts w:hint="eastAsia" w:ascii="宋体" w:hAnsi="宋体" w:cs="宋体"/>
          <w:szCs w:val="21"/>
        </w:rPr>
      </w:pPr>
      <w:r>
        <w:rPr>
          <w:rFonts w:hint="eastAsia" w:ascii="宋体" w:hAnsi="宋体" w:cs="宋体"/>
          <w:szCs w:val="21"/>
        </w:rPr>
        <w:t>（1）除合同条款专用部分对期限另有约定外，承包人应在收到变更指示或变更意向书后的 14 天内，向监理人提交变更报价书，报价内容应根据第 15.4 款约定的估价原则，详细开列变更工作的价格组成及其依据，并附必要的施工方法说明和有关图纸。承包人提交变更报价书的期限见合同条款专用部分。</w:t>
      </w:r>
    </w:p>
    <w:p w14:paraId="292023E4">
      <w:pPr>
        <w:spacing w:line="360" w:lineRule="auto"/>
        <w:ind w:firstLine="630" w:firstLineChars="300"/>
        <w:rPr>
          <w:rFonts w:hint="eastAsia" w:ascii="宋体" w:hAnsi="宋体" w:cs="宋体"/>
          <w:szCs w:val="21"/>
        </w:rPr>
      </w:pPr>
      <w:r>
        <w:rPr>
          <w:rFonts w:hint="eastAsia" w:ascii="宋体" w:hAnsi="宋体" w:cs="宋体"/>
          <w:szCs w:val="21"/>
        </w:rPr>
        <w:t>（2）变更工作影响工期的，承包人应提出调整工期的具体细节。监理人认为有必要时， 可要求承包人提交要求提前或延长工期的施工进度计划，及相应施工措施等详细资料。</w:t>
      </w:r>
    </w:p>
    <w:p w14:paraId="1E351FA6">
      <w:pPr>
        <w:spacing w:line="360" w:lineRule="auto"/>
        <w:ind w:firstLine="630" w:firstLineChars="300"/>
        <w:rPr>
          <w:rFonts w:hint="eastAsia" w:ascii="宋体" w:hAnsi="宋体" w:cs="宋体"/>
          <w:szCs w:val="21"/>
        </w:rPr>
      </w:pPr>
      <w:r>
        <w:rPr>
          <w:rFonts w:hint="eastAsia" w:ascii="宋体" w:hAnsi="宋体" w:cs="宋体"/>
          <w:szCs w:val="21"/>
        </w:rPr>
        <w:t>（3）除合同条款专用部分对期限另有约定外，监理人收到承包人变更报价书后的 14 天内，根据第 15.4 款约定的估价原则，按照第 3.5 款商定或确定变更价格。监理人商定或确定变更价格的期限见合同条款专用部分。</w:t>
      </w:r>
    </w:p>
    <w:p w14:paraId="1980F489">
      <w:pPr>
        <w:spacing w:line="360" w:lineRule="auto"/>
        <w:ind w:firstLine="630" w:firstLineChars="300"/>
        <w:rPr>
          <w:rFonts w:hint="eastAsia" w:ascii="宋体" w:hAnsi="宋体" w:cs="宋体"/>
          <w:szCs w:val="21"/>
        </w:rPr>
      </w:pPr>
      <w:r>
        <w:rPr>
          <w:rFonts w:hint="eastAsia" w:ascii="宋体" w:hAnsi="宋体" w:cs="宋体"/>
          <w:szCs w:val="21"/>
        </w:rPr>
        <w:t>（4）收到变更指示后，如承包人未在规定的期限内提交变更报价书的，监理人可自行决定是否调整合同价款以及如果监理人决定调整合同价款时，相应调整的具体金额。</w:t>
      </w:r>
    </w:p>
    <w:p w14:paraId="2A07FB7F">
      <w:pPr>
        <w:spacing w:line="360" w:lineRule="auto"/>
        <w:ind w:firstLine="630" w:firstLineChars="300"/>
        <w:rPr>
          <w:rFonts w:hint="eastAsia" w:ascii="宋体" w:hAnsi="宋体" w:cs="宋体"/>
          <w:szCs w:val="21"/>
        </w:rPr>
      </w:pPr>
      <w:r>
        <w:rPr>
          <w:rFonts w:hint="eastAsia" w:ascii="宋体" w:hAnsi="宋体" w:cs="宋体"/>
          <w:szCs w:val="21"/>
        </w:rPr>
        <w:t>15.3.3  变更指示</w:t>
      </w:r>
    </w:p>
    <w:p w14:paraId="66AD8851">
      <w:pPr>
        <w:spacing w:line="360" w:lineRule="auto"/>
        <w:ind w:firstLine="630" w:firstLineChars="300"/>
        <w:rPr>
          <w:rFonts w:hint="eastAsia" w:ascii="宋体" w:hAnsi="宋体" w:cs="宋体"/>
          <w:szCs w:val="21"/>
        </w:rPr>
      </w:pPr>
      <w:r>
        <w:rPr>
          <w:rFonts w:hint="eastAsia" w:ascii="宋体" w:hAnsi="宋体" w:cs="宋体"/>
          <w:szCs w:val="21"/>
        </w:rPr>
        <w:t>（1）变更指示只能由监理人发出。</w:t>
      </w:r>
    </w:p>
    <w:p w14:paraId="57593079">
      <w:pPr>
        <w:spacing w:line="360" w:lineRule="auto"/>
        <w:ind w:firstLine="630" w:firstLineChars="300"/>
        <w:rPr>
          <w:rFonts w:hint="eastAsia" w:ascii="宋体" w:hAnsi="宋体" w:cs="宋体"/>
          <w:szCs w:val="21"/>
        </w:rPr>
      </w:pPr>
      <w:r>
        <w:rPr>
          <w:rFonts w:hint="eastAsia" w:ascii="宋体" w:hAnsi="宋体" w:cs="宋体"/>
          <w:szCs w:val="21"/>
        </w:rPr>
        <w:t>（2）变更指示应说明变更的目的、范围、变更内容以及变更的工程量及其进度和技术要求，并附有关图纸和文件。承包人收到变更指示后，应按变更指示进行变更工作。</w:t>
      </w:r>
    </w:p>
    <w:p w14:paraId="08A742C5">
      <w:pPr>
        <w:spacing w:line="360" w:lineRule="auto"/>
        <w:rPr>
          <w:rFonts w:hint="eastAsia" w:ascii="宋体" w:hAnsi="宋体" w:cs="宋体"/>
          <w:sz w:val="24"/>
        </w:rPr>
      </w:pPr>
      <w:r>
        <w:rPr>
          <w:rFonts w:hint="eastAsia" w:ascii="宋体" w:hAnsi="宋体" w:cs="宋体"/>
          <w:sz w:val="24"/>
        </w:rPr>
        <w:t>15.4  变更的估价原则</w:t>
      </w:r>
    </w:p>
    <w:p w14:paraId="57BDF9B1">
      <w:pPr>
        <w:spacing w:line="360" w:lineRule="auto"/>
        <w:ind w:firstLine="630" w:firstLineChars="300"/>
        <w:rPr>
          <w:rFonts w:hint="eastAsia" w:ascii="宋体" w:hAnsi="宋体" w:cs="宋体"/>
          <w:szCs w:val="21"/>
        </w:rPr>
      </w:pPr>
      <w:r>
        <w:rPr>
          <w:rFonts w:hint="eastAsia" w:ascii="宋体" w:hAnsi="宋体" w:cs="宋体"/>
          <w:szCs w:val="21"/>
        </w:rPr>
        <w:t>除合同条款专用部分另有约定外，因变更引起的价格调整按照本款约定处理。</w:t>
      </w:r>
    </w:p>
    <w:p w14:paraId="0C5357F7">
      <w:pPr>
        <w:spacing w:line="360" w:lineRule="auto"/>
        <w:ind w:firstLine="630" w:firstLineChars="300"/>
        <w:rPr>
          <w:rFonts w:hint="eastAsia" w:ascii="宋体" w:hAnsi="宋体" w:cs="宋体"/>
          <w:szCs w:val="21"/>
        </w:rPr>
      </w:pPr>
      <w:r>
        <w:rPr>
          <w:rFonts w:hint="eastAsia" w:ascii="宋体" w:hAnsi="宋体" w:cs="宋体"/>
          <w:szCs w:val="21"/>
        </w:rPr>
        <w:t>15.4.1  合同清单中有适用于变更工作的项目的，采用该项目的合同单价。</w:t>
      </w:r>
    </w:p>
    <w:p w14:paraId="39408894">
      <w:pPr>
        <w:spacing w:line="360" w:lineRule="auto"/>
        <w:ind w:firstLine="630" w:firstLineChars="300"/>
        <w:rPr>
          <w:rFonts w:hint="eastAsia" w:ascii="宋体" w:hAnsi="宋体" w:cs="宋体"/>
          <w:szCs w:val="21"/>
        </w:rPr>
      </w:pPr>
      <w:r>
        <w:rPr>
          <w:rFonts w:hint="eastAsia" w:ascii="宋体" w:hAnsi="宋体" w:cs="宋体"/>
          <w:szCs w:val="21"/>
        </w:rPr>
        <w:t>15.4.2  合同清单中无适用于变更工作的项目，但有类似项目的，可在合理范围内参照类似项目的合同单价，由监理人按第 3.5 款商定或确定变更工作的单价。</w:t>
      </w:r>
    </w:p>
    <w:p w14:paraId="294C8AFD">
      <w:pPr>
        <w:spacing w:line="360" w:lineRule="auto"/>
        <w:ind w:firstLine="630" w:firstLineChars="300"/>
        <w:rPr>
          <w:rFonts w:hint="eastAsia" w:ascii="宋体" w:hAnsi="宋体" w:cs="宋体"/>
          <w:szCs w:val="21"/>
        </w:rPr>
      </w:pPr>
      <w:r>
        <w:rPr>
          <w:rFonts w:hint="eastAsia" w:ascii="宋体" w:hAnsi="宋体" w:cs="宋体"/>
          <w:szCs w:val="21"/>
        </w:rPr>
        <w:t>15.4.3  合同清单中无适用或类似项目的合同单价，可按照成本加利润的原则，由监理人按第 3.5 款商定或确定变更工作的单价。</w:t>
      </w:r>
    </w:p>
    <w:p w14:paraId="5718B80D">
      <w:pPr>
        <w:spacing w:line="360" w:lineRule="auto"/>
        <w:ind w:firstLine="630" w:firstLineChars="300"/>
        <w:rPr>
          <w:rFonts w:hint="eastAsia" w:ascii="宋体" w:hAnsi="宋体" w:cs="宋体"/>
          <w:szCs w:val="21"/>
        </w:rPr>
      </w:pPr>
      <w:r>
        <w:rPr>
          <w:rFonts w:hint="eastAsia" w:ascii="宋体" w:hAnsi="宋体" w:cs="宋体"/>
          <w:szCs w:val="21"/>
        </w:rPr>
        <w:t>15.4.4  因变更引起措施项目发生变化的，措施项目费调整方法见合同条款专用部分。</w:t>
      </w:r>
    </w:p>
    <w:p w14:paraId="531F8BD9">
      <w:pPr>
        <w:spacing w:line="360" w:lineRule="auto"/>
        <w:ind w:firstLine="630" w:firstLineChars="300"/>
        <w:rPr>
          <w:rFonts w:hint="eastAsia" w:ascii="宋体" w:hAnsi="宋体" w:cs="宋体"/>
          <w:szCs w:val="21"/>
        </w:rPr>
      </w:pPr>
      <w:r>
        <w:rPr>
          <w:rFonts w:hint="eastAsia" w:ascii="宋体" w:hAnsi="宋体" w:cs="宋体"/>
          <w:szCs w:val="21"/>
        </w:rPr>
        <w:t>15.4.5  合同协议书约定采用单价合同形式时，因非承包人原因引起合同清单中列明的工程量发生增减，超过合同约定范围且导致分部分项工程费总额变化超过一定幅度时，可以调整单价，否则不因合同清单中列明工程量的增减而调整单价。其调整的原则见合同条款专用部分。</w:t>
      </w:r>
    </w:p>
    <w:p w14:paraId="5F3920F4">
      <w:pPr>
        <w:spacing w:line="360" w:lineRule="auto"/>
        <w:ind w:firstLine="630" w:firstLineChars="300"/>
        <w:rPr>
          <w:rFonts w:hint="eastAsia" w:ascii="宋体" w:hAnsi="宋体" w:cs="宋体"/>
          <w:szCs w:val="21"/>
        </w:rPr>
      </w:pPr>
      <w:r>
        <w:rPr>
          <w:rFonts w:hint="eastAsia" w:ascii="宋体" w:hAnsi="宋体" w:cs="宋体"/>
          <w:szCs w:val="21"/>
        </w:rPr>
        <w:t>15.4.6  合同单价中存在修正综合单价的，本条第 15.4.1、15.4.2、15.4.3 项中的合同单价是指修正综合单价。</w:t>
      </w:r>
    </w:p>
    <w:p w14:paraId="5131644D">
      <w:pPr>
        <w:spacing w:line="360" w:lineRule="auto"/>
        <w:ind w:firstLine="630" w:firstLineChars="300"/>
        <w:rPr>
          <w:rFonts w:hint="eastAsia" w:ascii="宋体" w:hAnsi="宋体" w:cs="宋体"/>
          <w:szCs w:val="21"/>
        </w:rPr>
      </w:pPr>
      <w:r>
        <w:rPr>
          <w:rFonts w:hint="eastAsia" w:ascii="宋体" w:hAnsi="宋体" w:cs="宋体"/>
          <w:szCs w:val="21"/>
        </w:rPr>
        <w:t>15.4.7  因变更引起价格调整的其他处理方式见合同条款专用部分。</w:t>
      </w:r>
    </w:p>
    <w:p w14:paraId="57BD4A9F">
      <w:pPr>
        <w:spacing w:line="360" w:lineRule="auto"/>
        <w:rPr>
          <w:rFonts w:hint="eastAsia" w:ascii="宋体" w:hAnsi="宋体" w:cs="宋体"/>
          <w:sz w:val="24"/>
        </w:rPr>
      </w:pPr>
      <w:r>
        <w:rPr>
          <w:rFonts w:hint="eastAsia" w:ascii="宋体" w:hAnsi="宋体" w:cs="宋体"/>
          <w:sz w:val="24"/>
        </w:rPr>
        <w:t>15.5  承包人的合理化建议</w:t>
      </w:r>
    </w:p>
    <w:p w14:paraId="5FCC7D29">
      <w:pPr>
        <w:spacing w:line="360" w:lineRule="auto"/>
        <w:ind w:firstLine="630" w:firstLineChars="300"/>
        <w:rPr>
          <w:rFonts w:hint="eastAsia" w:ascii="宋体" w:hAnsi="宋体" w:cs="宋体"/>
          <w:szCs w:val="21"/>
        </w:rPr>
      </w:pPr>
      <w:r>
        <w:rPr>
          <w:rFonts w:hint="eastAsia" w:ascii="宋体" w:hAnsi="宋体" w:cs="宋体"/>
          <w:szCs w:val="21"/>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 15.3.3 项约定向承包人发出变更指示。</w:t>
      </w:r>
    </w:p>
    <w:p w14:paraId="381811BA">
      <w:pPr>
        <w:spacing w:line="360" w:lineRule="auto"/>
        <w:ind w:firstLine="630" w:firstLineChars="300"/>
        <w:rPr>
          <w:rFonts w:hint="eastAsia" w:ascii="宋体" w:hAnsi="宋体" w:cs="宋体"/>
          <w:szCs w:val="21"/>
        </w:rPr>
      </w:pPr>
      <w:r>
        <w:rPr>
          <w:rFonts w:hint="eastAsia" w:ascii="宋体" w:hAnsi="宋体" w:cs="宋体"/>
          <w:szCs w:val="21"/>
        </w:rPr>
        <w:t>15.5.2  承包人提出的合理化建议降低了合同价格、缩短了工期或者提高了工程经济效益的，发包人可按国家有关规定给予奖励。对承包人提出合理化建议的奖励方法见合同条款专用部分。</w:t>
      </w:r>
    </w:p>
    <w:p w14:paraId="4F82C94B">
      <w:pPr>
        <w:spacing w:line="360" w:lineRule="auto"/>
        <w:rPr>
          <w:rFonts w:hint="eastAsia" w:ascii="宋体" w:hAnsi="宋体" w:cs="宋体"/>
          <w:sz w:val="24"/>
        </w:rPr>
      </w:pPr>
      <w:r>
        <w:rPr>
          <w:rFonts w:hint="eastAsia" w:ascii="宋体" w:hAnsi="宋体" w:cs="宋体"/>
          <w:sz w:val="24"/>
        </w:rPr>
        <w:t>15.6  暂列金额</w:t>
      </w:r>
    </w:p>
    <w:p w14:paraId="576147F3">
      <w:pPr>
        <w:spacing w:line="360" w:lineRule="auto"/>
        <w:ind w:firstLine="630" w:firstLineChars="300"/>
        <w:rPr>
          <w:rFonts w:hint="eastAsia" w:ascii="宋体" w:hAnsi="宋体" w:cs="宋体"/>
          <w:szCs w:val="21"/>
        </w:rPr>
      </w:pPr>
      <w:r>
        <w:rPr>
          <w:rFonts w:hint="eastAsia" w:ascii="宋体" w:hAnsi="宋体" w:cs="宋体"/>
          <w:szCs w:val="21"/>
        </w:rPr>
        <w:t>暂列金额只能按照监理人的指示使用，并对合同价格进行相应调整。</w:t>
      </w:r>
    </w:p>
    <w:p w14:paraId="495C3E73">
      <w:pPr>
        <w:spacing w:line="360" w:lineRule="auto"/>
        <w:rPr>
          <w:rFonts w:hint="eastAsia" w:ascii="宋体" w:hAnsi="宋体" w:cs="宋体"/>
          <w:sz w:val="24"/>
        </w:rPr>
      </w:pPr>
      <w:r>
        <w:rPr>
          <w:rFonts w:hint="eastAsia" w:ascii="宋体" w:hAnsi="宋体" w:cs="宋体"/>
          <w:sz w:val="24"/>
        </w:rPr>
        <w:t>15.7  计日工</w:t>
      </w:r>
    </w:p>
    <w:p w14:paraId="35C767A1">
      <w:pPr>
        <w:spacing w:line="360" w:lineRule="auto"/>
        <w:ind w:firstLine="630" w:firstLineChars="300"/>
        <w:rPr>
          <w:rFonts w:hint="eastAsia" w:ascii="宋体" w:hAnsi="宋体" w:cs="宋体"/>
          <w:szCs w:val="21"/>
        </w:rPr>
      </w:pPr>
      <w:r>
        <w:rPr>
          <w:rFonts w:hint="eastAsia" w:ascii="宋体" w:hAnsi="宋体" w:cs="宋体"/>
          <w:szCs w:val="21"/>
        </w:rPr>
        <w:t>15.7.1  发包人认为有必要时， 由监理人通知承包人以计日工方式实施变更的零星工作。其价款按列入合同清单中的计日工计价项目及其合同单价进行计算。除合同条款专用部分另有约定外，合同单价中存在修正综合单价的，本项中的合同单价是指修正综合单价。</w:t>
      </w:r>
    </w:p>
    <w:p w14:paraId="0F2FC37E">
      <w:pPr>
        <w:spacing w:line="360" w:lineRule="auto"/>
        <w:ind w:firstLine="630" w:firstLineChars="300"/>
        <w:rPr>
          <w:rFonts w:hint="eastAsia" w:ascii="宋体" w:hAnsi="宋体" w:cs="宋体"/>
          <w:szCs w:val="21"/>
        </w:rPr>
      </w:pPr>
      <w:r>
        <w:rPr>
          <w:rFonts w:hint="eastAsia" w:ascii="宋体" w:hAnsi="宋体" w:cs="宋体"/>
          <w:szCs w:val="21"/>
        </w:rPr>
        <w:t>15.7.2  采用计日工计价的任何一项变更工作，应从暂列金额中支付，承包人应在该项变更的实施过程中，每天提交以下报表和有关凭证报送监理人审批：</w:t>
      </w:r>
    </w:p>
    <w:p w14:paraId="6E5760C1">
      <w:pPr>
        <w:spacing w:line="360" w:lineRule="auto"/>
        <w:ind w:firstLine="630" w:firstLineChars="300"/>
        <w:rPr>
          <w:rFonts w:hint="eastAsia" w:ascii="宋体" w:hAnsi="宋体" w:cs="宋体"/>
          <w:szCs w:val="21"/>
        </w:rPr>
      </w:pPr>
      <w:r>
        <w:rPr>
          <w:rFonts w:hint="eastAsia" w:ascii="宋体" w:hAnsi="宋体" w:cs="宋体"/>
          <w:szCs w:val="21"/>
        </w:rPr>
        <w:t>（1）工作名称、 内容和数量；</w:t>
      </w:r>
    </w:p>
    <w:p w14:paraId="7E974E2D">
      <w:pPr>
        <w:spacing w:line="360" w:lineRule="auto"/>
        <w:ind w:firstLine="630" w:firstLineChars="300"/>
        <w:rPr>
          <w:rFonts w:hint="eastAsia" w:ascii="宋体" w:hAnsi="宋体" w:cs="宋体"/>
          <w:szCs w:val="21"/>
        </w:rPr>
      </w:pPr>
      <w:r>
        <w:rPr>
          <w:rFonts w:hint="eastAsia" w:ascii="宋体" w:hAnsi="宋体" w:cs="宋体"/>
          <w:szCs w:val="21"/>
        </w:rPr>
        <w:t>（2）投入该工作所有人员的姓名、工种、级别和耗用工时；</w:t>
      </w:r>
    </w:p>
    <w:p w14:paraId="79150BB7">
      <w:pPr>
        <w:spacing w:line="360" w:lineRule="auto"/>
        <w:ind w:firstLine="630" w:firstLineChars="300"/>
        <w:rPr>
          <w:rFonts w:hint="eastAsia" w:ascii="宋体" w:hAnsi="宋体" w:cs="宋体"/>
          <w:szCs w:val="21"/>
        </w:rPr>
      </w:pPr>
      <w:r>
        <w:rPr>
          <w:rFonts w:hint="eastAsia" w:ascii="宋体" w:hAnsi="宋体" w:cs="宋体"/>
          <w:szCs w:val="21"/>
        </w:rPr>
        <w:t>（3）投入该工作的材料名称、类别、规格、品牌和数量；</w:t>
      </w:r>
    </w:p>
    <w:p w14:paraId="4602C1E2">
      <w:pPr>
        <w:spacing w:line="360" w:lineRule="auto"/>
        <w:ind w:firstLine="630" w:firstLineChars="300"/>
        <w:rPr>
          <w:rFonts w:hint="eastAsia" w:ascii="宋体" w:hAnsi="宋体" w:cs="宋体"/>
          <w:szCs w:val="21"/>
        </w:rPr>
      </w:pPr>
      <w:r>
        <w:rPr>
          <w:rFonts w:hint="eastAsia" w:ascii="宋体" w:hAnsi="宋体" w:cs="宋体"/>
          <w:szCs w:val="21"/>
        </w:rPr>
        <w:t>（4）投入该工作的施工机具型号、数量和耗用台班；</w:t>
      </w:r>
    </w:p>
    <w:p w14:paraId="0569F8C2">
      <w:pPr>
        <w:spacing w:line="360" w:lineRule="auto"/>
        <w:ind w:firstLine="630" w:firstLineChars="300"/>
        <w:rPr>
          <w:rFonts w:hint="eastAsia" w:ascii="宋体" w:hAnsi="宋体" w:cs="宋体"/>
          <w:szCs w:val="21"/>
        </w:rPr>
      </w:pPr>
      <w:r>
        <w:rPr>
          <w:rFonts w:hint="eastAsia" w:ascii="宋体" w:hAnsi="宋体" w:cs="宋体"/>
          <w:szCs w:val="21"/>
        </w:rPr>
        <w:t>（5）监理人要求提交的其他资料和凭证。</w:t>
      </w:r>
    </w:p>
    <w:p w14:paraId="38946AFA">
      <w:pPr>
        <w:spacing w:line="360" w:lineRule="auto"/>
        <w:ind w:firstLine="630" w:firstLineChars="300"/>
        <w:rPr>
          <w:rFonts w:hint="eastAsia" w:ascii="宋体" w:hAnsi="宋体" w:cs="宋体"/>
          <w:szCs w:val="21"/>
        </w:rPr>
      </w:pPr>
      <w:r>
        <w:rPr>
          <w:rFonts w:hint="eastAsia" w:ascii="宋体" w:hAnsi="宋体" w:cs="宋体"/>
          <w:szCs w:val="21"/>
        </w:rPr>
        <w:t>15.7.3  计日工由承包人汇总后，按第 17.3.2 项的约定列入进度付款申请单，由监理人复核并经发包人同意后列入进度付款。</w:t>
      </w:r>
    </w:p>
    <w:p w14:paraId="5C569D1D">
      <w:pPr>
        <w:spacing w:line="360" w:lineRule="auto"/>
        <w:rPr>
          <w:rFonts w:hint="eastAsia" w:ascii="宋体" w:hAnsi="宋体" w:cs="宋体"/>
          <w:sz w:val="24"/>
        </w:rPr>
      </w:pPr>
      <w:r>
        <w:rPr>
          <w:rFonts w:hint="eastAsia" w:ascii="宋体" w:hAnsi="宋体" w:cs="宋体"/>
          <w:sz w:val="24"/>
        </w:rPr>
        <w:t>15.8  暂估价</w:t>
      </w:r>
    </w:p>
    <w:p w14:paraId="0E8A8941">
      <w:pPr>
        <w:spacing w:line="360" w:lineRule="auto"/>
        <w:ind w:firstLine="630" w:firstLineChars="300"/>
        <w:rPr>
          <w:rFonts w:hint="eastAsia" w:ascii="宋体" w:hAnsi="宋体" w:cs="宋体"/>
          <w:szCs w:val="21"/>
        </w:rPr>
      </w:pPr>
      <w:r>
        <w:rPr>
          <w:rFonts w:hint="eastAsia" w:ascii="宋体" w:hAnsi="宋体" w:cs="宋体"/>
          <w:szCs w:val="21"/>
        </w:rPr>
        <w:t>15.8.1  发包人在工程量清单中给定暂估价的材料及专业工程属于依法必须招标的范围并达到规定的规模标准的， 由发包人和承包人采用招标方式选择专项供应商或专业分包人。发包人和承包人的权利义务关系约定如下：</w:t>
      </w:r>
    </w:p>
    <w:p w14:paraId="1A33E569">
      <w:pPr>
        <w:spacing w:line="360" w:lineRule="auto"/>
        <w:ind w:firstLine="630" w:firstLineChars="300"/>
        <w:rPr>
          <w:rFonts w:hint="eastAsia" w:ascii="宋体" w:hAnsi="宋体" w:cs="宋体"/>
          <w:szCs w:val="21"/>
        </w:rPr>
      </w:pPr>
      <w:r>
        <w:rPr>
          <w:rFonts w:hint="eastAsia" w:ascii="宋体" w:hAnsi="宋体" w:cs="宋体"/>
          <w:szCs w:val="21"/>
        </w:rPr>
        <w:t>（1）由承包人作为招标人，依法组织招标工作并接受有管辖权的建设工程招标投标行政 监督部门的监督。</w:t>
      </w:r>
    </w:p>
    <w:p w14:paraId="59DC308F">
      <w:pPr>
        <w:spacing w:line="360" w:lineRule="auto"/>
        <w:ind w:firstLine="630" w:firstLineChars="300"/>
        <w:rPr>
          <w:rFonts w:hint="eastAsia" w:ascii="宋体" w:hAnsi="宋体" w:cs="宋体"/>
          <w:szCs w:val="21"/>
        </w:rPr>
      </w:pPr>
      <w:r>
        <w:rPr>
          <w:rFonts w:hint="eastAsia" w:ascii="宋体" w:hAnsi="宋体" w:cs="宋体"/>
          <w:szCs w:val="21"/>
        </w:rPr>
        <w:t>（2）与组织招标工作有关的费用应当被认为已经包括在承包人的签约合同价（投标总报价）中。</w:t>
      </w:r>
    </w:p>
    <w:p w14:paraId="70AF4618">
      <w:pPr>
        <w:spacing w:line="360" w:lineRule="auto"/>
        <w:ind w:firstLine="630" w:firstLineChars="300"/>
        <w:rPr>
          <w:rFonts w:hint="eastAsia" w:ascii="宋体" w:hAnsi="宋体" w:cs="宋体"/>
          <w:szCs w:val="21"/>
        </w:rPr>
      </w:pPr>
      <w:r>
        <w:rPr>
          <w:rFonts w:hint="eastAsia" w:ascii="宋体" w:hAnsi="宋体" w:cs="宋体"/>
          <w:szCs w:val="21"/>
        </w:rPr>
        <w:t>（3）中标金额与工程量清单中所列的暂估价的金额差以及相应的增值税等其他费用列入合同价格。</w:t>
      </w:r>
    </w:p>
    <w:p w14:paraId="30018F16">
      <w:pPr>
        <w:spacing w:line="360" w:lineRule="auto"/>
        <w:ind w:firstLine="630" w:firstLineChars="300"/>
        <w:rPr>
          <w:rFonts w:hint="eastAsia" w:ascii="宋体" w:hAnsi="宋体" w:cs="宋体"/>
          <w:szCs w:val="21"/>
        </w:rPr>
      </w:pPr>
      <w:r>
        <w:rPr>
          <w:rFonts w:hint="eastAsia" w:ascii="宋体" w:hAnsi="宋体" w:cs="宋体"/>
          <w:szCs w:val="21"/>
        </w:rPr>
        <w:t>（4）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最高投标限价和（或）标底以及最高投标限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14:paraId="3980B79F">
      <w:pPr>
        <w:spacing w:line="360" w:lineRule="auto"/>
        <w:ind w:firstLine="630" w:firstLineChars="300"/>
        <w:rPr>
          <w:rFonts w:hint="eastAsia" w:ascii="宋体" w:hAnsi="宋体" w:cs="宋体"/>
          <w:szCs w:val="21"/>
        </w:rPr>
      </w:pPr>
      <w:r>
        <w:rPr>
          <w:rFonts w:hint="eastAsia" w:ascii="宋体" w:hAnsi="宋体" w:cs="宋体"/>
          <w:szCs w:val="21"/>
        </w:rPr>
        <w:t>（5）承包人应当在发出招标公告（或者资格预审公告或者投标邀请书）、资格预审文件和招标文件前按照合同条款专用部分约定期限，分别将相关文件通过监理人报请发包人审 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 发包人和监理人备查。</w:t>
      </w:r>
    </w:p>
    <w:p w14:paraId="05CDD5B2">
      <w:pPr>
        <w:spacing w:line="360" w:lineRule="auto"/>
        <w:ind w:firstLine="630" w:firstLineChars="300"/>
        <w:rPr>
          <w:rFonts w:hint="eastAsia" w:ascii="宋体" w:hAnsi="宋体" w:cs="宋体"/>
          <w:szCs w:val="21"/>
        </w:rPr>
      </w:pPr>
      <w:r>
        <w:rPr>
          <w:rFonts w:hint="eastAsia" w:ascii="宋体" w:hAnsi="宋体" w:cs="宋体"/>
          <w:szCs w:val="21"/>
        </w:rPr>
        <w:t>（6）除发包人或者承包人自愿放弃委派评标代表的权利外，招标人评标代表应当分别由发包人和承包人等额委派。</w:t>
      </w:r>
    </w:p>
    <w:p w14:paraId="12CF73E2">
      <w:pPr>
        <w:spacing w:line="360" w:lineRule="auto"/>
        <w:ind w:firstLine="630" w:firstLineChars="300"/>
        <w:rPr>
          <w:rFonts w:hint="eastAsia" w:ascii="宋体" w:hAnsi="宋体" w:cs="宋体"/>
          <w:szCs w:val="21"/>
        </w:rPr>
      </w:pPr>
      <w:r>
        <w:rPr>
          <w:rFonts w:hint="eastAsia" w:ascii="宋体" w:hAnsi="宋体" w:cs="宋体"/>
          <w:szCs w:val="21"/>
        </w:rPr>
        <w:t>（7）设有标底的，承包人应当在开标前提前48 小时将标底报发包人审核认可，发包人应当在收到承包人报送的标底后 24 小时内给予批准或者提出修改意见。承包人和发包人应当共同制定标底保密措施，不得提前泄露标底。标底的最终审核和决定权属于发包人。</w:t>
      </w:r>
    </w:p>
    <w:p w14:paraId="4619B5FC">
      <w:pPr>
        <w:spacing w:line="360" w:lineRule="auto"/>
        <w:ind w:firstLine="630" w:firstLineChars="300"/>
        <w:rPr>
          <w:rFonts w:hint="eastAsia" w:ascii="宋体" w:hAnsi="宋体" w:cs="宋体"/>
          <w:szCs w:val="21"/>
        </w:rPr>
      </w:pPr>
      <w:r>
        <w:rPr>
          <w:rFonts w:hint="eastAsia" w:ascii="宋体" w:hAnsi="宋体" w:cs="宋体"/>
          <w:szCs w:val="21"/>
        </w:rPr>
        <w:t>（8）设有最高投标限价的，承包人应当在招标文件发出前提前 7 天将最高投标限价报发包人审核认可，发包人应当在收到承包人报送的最高投标限价后 72 小时内给予认可或者提出修改意见。最高投标限价的最终审核和决定权属于发包人，未经发包人认可，承包人不得 发出招标文件。</w:t>
      </w:r>
    </w:p>
    <w:p w14:paraId="4AD41CFA">
      <w:pPr>
        <w:spacing w:line="360" w:lineRule="auto"/>
        <w:ind w:firstLine="630" w:firstLineChars="300"/>
        <w:rPr>
          <w:rFonts w:hint="eastAsia" w:ascii="宋体" w:hAnsi="宋体" w:cs="宋体"/>
          <w:szCs w:val="21"/>
        </w:rPr>
      </w:pPr>
      <w:r>
        <w:rPr>
          <w:rFonts w:hint="eastAsia" w:ascii="宋体" w:hAnsi="宋体" w:cs="宋体"/>
          <w:szCs w:val="21"/>
        </w:rPr>
        <w:t>（9）承包人在收到相关招标项目评标委员会提交的评标报告后，应当在 24 小时内通过监理人转报发包人核查，发包人应当在监理人收到承包人报送的评标报告后48 小时内核查完毕，评标报告经过发包人核查认可后，承包人才可以开始后续程序，依法确定中标人并发 出中标通知书。</w:t>
      </w:r>
    </w:p>
    <w:p w14:paraId="4CA1FEBF">
      <w:pPr>
        <w:spacing w:line="360" w:lineRule="auto"/>
        <w:ind w:firstLine="630" w:firstLineChars="300"/>
        <w:rPr>
          <w:rFonts w:hint="eastAsia" w:ascii="宋体" w:hAnsi="宋体" w:cs="宋体"/>
          <w:szCs w:val="21"/>
        </w:rPr>
      </w:pPr>
      <w:r>
        <w:rPr>
          <w:rFonts w:hint="eastAsia" w:ascii="宋体" w:hAnsi="宋体" w:cs="宋体"/>
          <w:szCs w:val="21"/>
        </w:rPr>
        <w:t>（10）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14:paraId="055F36FF">
      <w:pPr>
        <w:spacing w:line="360" w:lineRule="auto"/>
        <w:ind w:firstLine="630" w:firstLineChars="300"/>
        <w:rPr>
          <w:rFonts w:hint="eastAsia" w:ascii="宋体" w:hAnsi="宋体" w:cs="宋体"/>
          <w:szCs w:val="21"/>
        </w:rPr>
      </w:pPr>
      <w:r>
        <w:rPr>
          <w:rFonts w:hint="eastAsia" w:ascii="宋体" w:hAnsi="宋体" w:cs="宋体"/>
          <w:szCs w:val="21"/>
        </w:rPr>
        <w:t>（11）发包人对承包人报送文件进行审批或提出的修改意见应当合理，并符合现行有关法律法规的规定。</w:t>
      </w:r>
    </w:p>
    <w:p w14:paraId="2605262D">
      <w:pPr>
        <w:spacing w:line="360" w:lineRule="auto"/>
        <w:ind w:firstLine="630" w:firstLineChars="300"/>
        <w:rPr>
          <w:rFonts w:hint="eastAsia" w:ascii="宋体" w:hAnsi="宋体" w:cs="宋体"/>
          <w:szCs w:val="21"/>
        </w:rPr>
      </w:pPr>
      <w:r>
        <w:rPr>
          <w:rFonts w:hint="eastAsia" w:ascii="宋体" w:hAnsi="宋体" w:cs="宋体"/>
          <w:szCs w:val="21"/>
        </w:rPr>
        <w:t>（12）承包人违背本项上述约定的程序或者未履行本项上述约定的报批手续的，发包人有权拒绝对相关专业工程或者涉及相关专项供应的材料的工程进行验收和拨付相应工程款项，所造成的费用增加和（或）工期延误由承包人承担。发包人未按本项上述约定履行审批手续的，所造成的费用增加和（或）工期延误由发包人承担。</w:t>
      </w:r>
    </w:p>
    <w:p w14:paraId="31E2CA35">
      <w:pPr>
        <w:spacing w:line="360" w:lineRule="auto"/>
        <w:ind w:firstLine="630" w:firstLineChars="300"/>
        <w:rPr>
          <w:rFonts w:hint="eastAsia" w:ascii="宋体" w:hAnsi="宋体" w:cs="宋体"/>
          <w:szCs w:val="21"/>
        </w:rPr>
      </w:pPr>
      <w:r>
        <w:rPr>
          <w:rFonts w:hint="eastAsia" w:ascii="宋体" w:hAnsi="宋体" w:cs="宋体"/>
          <w:szCs w:val="21"/>
        </w:rPr>
        <w:t>15.8.2  发包人在工程量清单中给定暂估价的材料不属于依法必须招标的范围或未达到规定的规模标准的，应由承包人按第 5.1 款的约定提供。经监理人确认的材料价格与工程量清单中所列的暂估价的金额差以及相应的增值税等其他费用列入合同价格。</w:t>
      </w:r>
    </w:p>
    <w:p w14:paraId="30E46859">
      <w:pPr>
        <w:spacing w:line="360" w:lineRule="auto"/>
        <w:ind w:firstLine="630" w:firstLineChars="300"/>
        <w:rPr>
          <w:rFonts w:hint="eastAsia" w:ascii="宋体" w:hAnsi="宋体" w:cs="宋体"/>
          <w:szCs w:val="21"/>
        </w:rPr>
      </w:pPr>
      <w:r>
        <w:rPr>
          <w:rFonts w:hint="eastAsia" w:ascii="宋体" w:hAnsi="宋体" w:cs="宋体"/>
          <w:szCs w:val="21"/>
        </w:rPr>
        <w:t>15.8.3  发包人在工程量清单中给定暂估价的专业工程不属于依法必须招标的范围或未达到规定的规模标准的，由监理人按照第 15.4 款进行估价，并计算对应的增值税，但合同条款专用部分另有约定的除外。经估价的专业工程与工程量清单中所列的暂估价的金额差列入合同价格。</w:t>
      </w:r>
    </w:p>
    <w:p w14:paraId="73DA9934">
      <w:pPr>
        <w:spacing w:line="360" w:lineRule="auto"/>
        <w:rPr>
          <w:rFonts w:hint="eastAsia" w:ascii="宋体" w:hAnsi="宋体" w:cs="宋体"/>
          <w:b/>
          <w:bCs/>
          <w:sz w:val="24"/>
        </w:rPr>
      </w:pPr>
      <w:r>
        <w:rPr>
          <w:rFonts w:hint="eastAsia" w:ascii="宋体" w:hAnsi="宋体" w:cs="宋体"/>
          <w:b/>
          <w:bCs/>
          <w:sz w:val="24"/>
        </w:rPr>
        <w:t>16.价格调整</w:t>
      </w:r>
    </w:p>
    <w:p w14:paraId="120CE322">
      <w:pPr>
        <w:spacing w:line="360" w:lineRule="auto"/>
        <w:rPr>
          <w:rFonts w:hint="eastAsia" w:ascii="宋体" w:hAnsi="宋体" w:cs="宋体"/>
          <w:sz w:val="24"/>
        </w:rPr>
      </w:pPr>
      <w:r>
        <w:rPr>
          <w:rFonts w:hint="eastAsia" w:ascii="宋体" w:hAnsi="宋体" w:cs="宋体"/>
          <w:sz w:val="24"/>
        </w:rPr>
        <w:t>16.1  物价波动引起的价格调整</w:t>
      </w:r>
    </w:p>
    <w:p w14:paraId="0F0D936F">
      <w:pPr>
        <w:spacing w:line="360" w:lineRule="auto"/>
        <w:ind w:firstLine="630" w:firstLineChars="300"/>
        <w:rPr>
          <w:rFonts w:hint="eastAsia" w:ascii="宋体" w:hAnsi="宋体" w:cs="宋体"/>
          <w:szCs w:val="21"/>
        </w:rPr>
      </w:pPr>
      <w:r>
        <w:rPr>
          <w:rFonts w:hint="eastAsia" w:ascii="宋体" w:hAnsi="宋体" w:cs="宋体"/>
          <w:szCs w:val="21"/>
        </w:rPr>
        <w:t>除合同条款专用部分另有约定外，因物价波动引起的价格调整按照本款约定处理。</w:t>
      </w:r>
    </w:p>
    <w:p w14:paraId="103C1DC7">
      <w:pPr>
        <w:spacing w:line="360" w:lineRule="auto"/>
        <w:ind w:firstLine="630" w:firstLineChars="300"/>
        <w:rPr>
          <w:rFonts w:hint="eastAsia" w:ascii="宋体" w:hAnsi="宋体" w:cs="宋体"/>
          <w:szCs w:val="21"/>
        </w:rPr>
      </w:pPr>
      <w:r>
        <w:rPr>
          <w:rFonts w:hint="eastAsia" w:ascii="宋体" w:hAnsi="宋体" w:cs="宋体"/>
          <w:szCs w:val="21"/>
        </w:rPr>
        <w:t>16.1.1 采用价格指数调整价格差额</w:t>
      </w:r>
    </w:p>
    <w:p w14:paraId="4CA93466">
      <w:pPr>
        <w:spacing w:line="360" w:lineRule="auto"/>
        <w:ind w:firstLine="630" w:firstLineChars="300"/>
        <w:rPr>
          <w:rFonts w:hint="eastAsia" w:ascii="宋体" w:hAnsi="宋体" w:cs="宋体"/>
          <w:szCs w:val="21"/>
        </w:rPr>
      </w:pPr>
      <w:r>
        <w:rPr>
          <w:rFonts w:hint="eastAsia" w:ascii="宋体" w:hAnsi="宋体" w:cs="宋体"/>
          <w:szCs w:val="21"/>
        </w:rPr>
        <w:t>16.1.1.1 价格调整公式</w:t>
      </w:r>
    </w:p>
    <w:p w14:paraId="5E94C8ED">
      <w:pPr>
        <w:spacing w:line="360" w:lineRule="auto"/>
        <w:ind w:firstLine="630" w:firstLineChars="300"/>
        <w:rPr>
          <w:rFonts w:hint="eastAsia" w:ascii="宋体" w:hAnsi="宋体" w:cs="宋体"/>
          <w:szCs w:val="21"/>
        </w:rPr>
      </w:pPr>
      <w:r>
        <w:rPr>
          <w:rFonts w:hint="eastAsia" w:ascii="宋体" w:hAnsi="宋体" w:cs="宋体"/>
          <w:szCs w:val="21"/>
        </w:rPr>
        <w:t>因人工、材料和机械台班等价格波动影响合同价格时，根据投标函附录中的价格指数 和权重表约定的数据，按以下公式计算差额并调整合同价格。</w:t>
      </w:r>
    </w:p>
    <w:p w14:paraId="6C716788">
      <w:pPr>
        <w:spacing w:line="360" w:lineRule="auto"/>
        <w:ind w:firstLine="630" w:firstLineChars="300"/>
        <w:rPr>
          <w:rFonts w:hint="eastAsia" w:ascii="宋体" w:hAnsi="宋体" w:cs="宋体"/>
          <w:szCs w:val="21"/>
        </w:rPr>
      </w:pPr>
      <w:r>
        <w:rPr>
          <w:rFonts w:hint="eastAsia" w:ascii="宋体" w:hAnsi="宋体" w:cs="宋体"/>
          <w:szCs w:val="21"/>
        </w:rPr>
        <w:t>ΔP = P0 |L「A +|((B1 ×  + B2 ×  + B3 ×  ++ Bn × ), -1 式中： △P --  需调整的价格差额；</w:t>
      </w:r>
    </w:p>
    <w:p w14:paraId="7DC1CE43">
      <w:pPr>
        <w:spacing w:line="360" w:lineRule="auto"/>
        <w:ind w:firstLine="630" w:firstLineChars="300"/>
        <w:rPr>
          <w:rFonts w:hint="eastAsia" w:ascii="宋体" w:hAnsi="宋体" w:cs="宋体"/>
          <w:szCs w:val="21"/>
        </w:rPr>
      </w:pPr>
      <w:r>
        <w:rPr>
          <w:rFonts w:hint="eastAsia" w:ascii="宋体" w:hAnsi="宋体" w:cs="宋体"/>
          <w:szCs w:val="21"/>
        </w:rPr>
        <w:t>P0 --  第 17.3.3 项、第 17.5.3 项和第 17.6.2 项约定的付款证书中承包人应得 到的已完成工程量的金额（不含税）。此项金额应不包括价格调整、不计质量保证金的扣留和支付、预付款的支付和扣回。第 15 条约定的变更及其他金额已按现行价格计价的，也不 计在内；</w:t>
      </w:r>
    </w:p>
    <w:p w14:paraId="6A7CC8A2">
      <w:pPr>
        <w:spacing w:line="360" w:lineRule="auto"/>
        <w:ind w:firstLine="630" w:firstLineChars="300"/>
        <w:rPr>
          <w:rFonts w:hint="eastAsia" w:ascii="宋体" w:hAnsi="宋体" w:cs="宋体"/>
          <w:szCs w:val="21"/>
        </w:rPr>
      </w:pPr>
      <w:r>
        <w:rPr>
          <w:rFonts w:hint="eastAsia" w:ascii="宋体" w:hAnsi="宋体" w:cs="宋体"/>
          <w:szCs w:val="21"/>
        </w:rPr>
        <w:t>A --  定值权重(即不调部分的权重)；</w:t>
      </w:r>
    </w:p>
    <w:p w14:paraId="2F85F642">
      <w:pPr>
        <w:spacing w:line="360" w:lineRule="auto"/>
        <w:ind w:firstLine="630" w:firstLineChars="300"/>
        <w:rPr>
          <w:rFonts w:hint="eastAsia" w:ascii="宋体" w:hAnsi="宋体" w:cs="宋体"/>
          <w:szCs w:val="21"/>
        </w:rPr>
      </w:pPr>
      <w:r>
        <w:rPr>
          <w:rFonts w:hint="eastAsia" w:ascii="宋体" w:hAnsi="宋体" w:cs="宋体"/>
          <w:szCs w:val="21"/>
        </w:rPr>
        <w:t>B1;  B2  ;B3  ·····Bn --  各可调因子的变值权重(即可调部分的权重)为各可调因子在投标函投标总报价中所占的比例；</w:t>
      </w:r>
    </w:p>
    <w:p w14:paraId="670FF452">
      <w:pPr>
        <w:spacing w:line="360" w:lineRule="auto"/>
        <w:ind w:firstLine="630" w:firstLineChars="300"/>
        <w:rPr>
          <w:rFonts w:hint="eastAsia" w:ascii="宋体" w:hAnsi="宋体" w:cs="宋体"/>
          <w:szCs w:val="21"/>
        </w:rPr>
      </w:pPr>
      <w:r>
        <w:rPr>
          <w:rFonts w:hint="eastAsia" w:ascii="宋体" w:hAnsi="宋体" w:cs="宋体"/>
          <w:szCs w:val="21"/>
        </w:rPr>
        <w:t>Ft 1  ;Ft2  ;Ft3  ·····Ftn --  各可调因子的现行价格指数，指第 17.3.3 项、第 17.5.3 项 和第 17.6.2 项约定的付款证书相关周期最后一天的前 42 天的各可调因子的价格指数；</w:t>
      </w:r>
    </w:p>
    <w:p w14:paraId="5E56E155">
      <w:pPr>
        <w:spacing w:line="360" w:lineRule="auto"/>
        <w:ind w:firstLine="630" w:firstLineChars="300"/>
        <w:rPr>
          <w:rFonts w:hint="eastAsia" w:ascii="宋体" w:hAnsi="宋体" w:cs="宋体"/>
          <w:szCs w:val="21"/>
        </w:rPr>
      </w:pPr>
      <w:r>
        <w:rPr>
          <w:rFonts w:hint="eastAsia" w:ascii="宋体" w:hAnsi="宋体" w:cs="宋体"/>
          <w:szCs w:val="21"/>
        </w:rPr>
        <w:t>Fo1; Fo2;  Fo3  ·····Fon --  各可调因子的基本价格指数，指基准日期的各可调因子的价格指数。</w:t>
      </w:r>
    </w:p>
    <w:p w14:paraId="013CC0D7">
      <w:pPr>
        <w:spacing w:line="360" w:lineRule="auto"/>
        <w:ind w:firstLine="630" w:firstLineChars="300"/>
        <w:rPr>
          <w:rFonts w:hint="eastAsia" w:ascii="宋体" w:hAnsi="宋体" w:cs="宋体"/>
          <w:szCs w:val="21"/>
        </w:rPr>
      </w:pPr>
      <w:r>
        <w:rPr>
          <w:rFonts w:hint="eastAsia" w:ascii="宋体" w:hAnsi="宋体" w:cs="宋体"/>
          <w:szCs w:val="21"/>
        </w:rPr>
        <w:t>以上价格调整公式中的各可调因子、定值和变值权重，以及基本价格指数及其来源在 投标函附录价格指数和权重表中约定。价格指数应首先采用有关部门提供的价格指数，缺乏 上述价格指数时，可采用有关部门提供的价格代替。</w:t>
      </w:r>
    </w:p>
    <w:p w14:paraId="78DBBC70">
      <w:pPr>
        <w:spacing w:line="360" w:lineRule="auto"/>
        <w:ind w:firstLine="630" w:firstLineChars="300"/>
        <w:rPr>
          <w:rFonts w:hint="eastAsia" w:ascii="宋体" w:hAnsi="宋体" w:cs="宋体"/>
          <w:szCs w:val="21"/>
        </w:rPr>
      </w:pPr>
      <w:r>
        <w:rPr>
          <w:rFonts w:hint="eastAsia" w:ascii="宋体" w:hAnsi="宋体" w:cs="宋体"/>
          <w:szCs w:val="21"/>
        </w:rPr>
        <w:t>16.1.1.2 暂时确定调整差额</w:t>
      </w:r>
    </w:p>
    <w:p w14:paraId="00BC3B46">
      <w:pPr>
        <w:spacing w:line="360" w:lineRule="auto"/>
        <w:ind w:firstLine="630" w:firstLineChars="300"/>
        <w:rPr>
          <w:rFonts w:hint="eastAsia" w:ascii="宋体" w:hAnsi="宋体" w:cs="宋体"/>
          <w:szCs w:val="21"/>
        </w:rPr>
      </w:pPr>
      <w:r>
        <w:rPr>
          <w:rFonts w:hint="eastAsia" w:ascii="宋体" w:hAnsi="宋体" w:cs="宋体"/>
          <w:szCs w:val="21"/>
        </w:rPr>
        <w:t>在计算调整差额时得不到现行价格指数的，可暂用上一次价格指数计算，并在以后的 付款中再按实际价格指数进行调整。</w:t>
      </w:r>
    </w:p>
    <w:p w14:paraId="32F3D00C">
      <w:pPr>
        <w:spacing w:line="360" w:lineRule="auto"/>
        <w:ind w:firstLine="630" w:firstLineChars="300"/>
        <w:rPr>
          <w:rFonts w:hint="eastAsia" w:ascii="宋体" w:hAnsi="宋体" w:cs="宋体"/>
          <w:szCs w:val="21"/>
        </w:rPr>
      </w:pPr>
      <w:r>
        <w:rPr>
          <w:rFonts w:hint="eastAsia" w:ascii="宋体" w:hAnsi="宋体" w:cs="宋体"/>
          <w:szCs w:val="21"/>
        </w:rPr>
        <w:t>16.1.1.3 权重的调整</w:t>
      </w:r>
    </w:p>
    <w:p w14:paraId="3D3A5790">
      <w:pPr>
        <w:spacing w:line="360" w:lineRule="auto"/>
        <w:ind w:firstLine="630" w:firstLineChars="300"/>
        <w:rPr>
          <w:rFonts w:hint="eastAsia" w:ascii="宋体" w:hAnsi="宋体" w:cs="宋体"/>
          <w:szCs w:val="21"/>
        </w:rPr>
      </w:pPr>
      <w:r>
        <w:rPr>
          <w:rFonts w:hint="eastAsia" w:ascii="宋体" w:hAnsi="宋体" w:cs="宋体"/>
          <w:szCs w:val="21"/>
        </w:rPr>
        <w:t>按第 15.1 款约定的变更导致原定合同中的权重不合理时， 由监理人与承包人和发包人协商后进行调整。</w:t>
      </w:r>
    </w:p>
    <w:p w14:paraId="624DF615">
      <w:pPr>
        <w:spacing w:line="360" w:lineRule="auto"/>
        <w:ind w:firstLine="630" w:firstLineChars="300"/>
        <w:rPr>
          <w:rFonts w:hint="eastAsia" w:ascii="宋体" w:hAnsi="宋体" w:cs="宋体"/>
          <w:szCs w:val="21"/>
        </w:rPr>
      </w:pPr>
      <w:r>
        <w:rPr>
          <w:rFonts w:hint="eastAsia" w:ascii="宋体" w:hAnsi="宋体" w:cs="宋体"/>
          <w:szCs w:val="21"/>
        </w:rPr>
        <w:t>16.1.1.4 承包人工期延误后的价格调整</w:t>
      </w:r>
    </w:p>
    <w:p w14:paraId="58084EEE">
      <w:pPr>
        <w:spacing w:line="360" w:lineRule="auto"/>
        <w:ind w:firstLine="630" w:firstLineChars="300"/>
        <w:rPr>
          <w:rFonts w:hint="eastAsia" w:ascii="宋体" w:hAnsi="宋体" w:cs="宋体"/>
          <w:szCs w:val="21"/>
        </w:rPr>
      </w:pPr>
      <w:r>
        <w:rPr>
          <w:rFonts w:hint="eastAsia" w:ascii="宋体" w:hAnsi="宋体" w:cs="宋体"/>
          <w:szCs w:val="21"/>
        </w:rPr>
        <w:t>由于承包人原因未在约定的工期内竣工的，则对原约定竣工日期后继续施工的工程， 在使用第 16.1.1.1  目价格调整公式时，应采用原约定竣工日期与实际竣工日期的两个价格指数中较低的一个作为现行价格指数。</w:t>
      </w:r>
    </w:p>
    <w:p w14:paraId="41FB753D">
      <w:pPr>
        <w:spacing w:line="360" w:lineRule="auto"/>
        <w:ind w:firstLine="630" w:firstLineChars="300"/>
        <w:rPr>
          <w:rFonts w:hint="eastAsia" w:ascii="宋体" w:hAnsi="宋体" w:cs="宋体"/>
          <w:szCs w:val="21"/>
        </w:rPr>
      </w:pPr>
      <w:r>
        <w:rPr>
          <w:rFonts w:hint="eastAsia" w:ascii="宋体" w:hAnsi="宋体" w:cs="宋体"/>
          <w:szCs w:val="21"/>
        </w:rPr>
        <w:t>16.1.2  采用造价信息调整价格差额</w:t>
      </w:r>
    </w:p>
    <w:p w14:paraId="550F46CC">
      <w:pPr>
        <w:spacing w:line="360" w:lineRule="auto"/>
        <w:ind w:firstLine="630" w:firstLineChars="300"/>
        <w:rPr>
          <w:rFonts w:hint="eastAsia" w:ascii="宋体" w:hAnsi="宋体" w:cs="宋体"/>
          <w:szCs w:val="21"/>
        </w:rPr>
      </w:pPr>
      <w:r>
        <w:rPr>
          <w:rFonts w:hint="eastAsia" w:ascii="宋体" w:hAnsi="宋体" w:cs="宋体"/>
          <w:szCs w:val="21"/>
        </w:rPr>
        <w:t>施工期内，因人工、材料和机械台班价格波动影响合同价格时，需要进行价格调整的， 其价格和数量应由监理人审核，监理人确认需调整的内容、范围、价格和数量作为调整工程 合同价格差额的依据。</w:t>
      </w:r>
    </w:p>
    <w:p w14:paraId="0EAB44C4">
      <w:pPr>
        <w:spacing w:line="360" w:lineRule="auto"/>
        <w:ind w:firstLine="630" w:firstLineChars="300"/>
        <w:rPr>
          <w:rFonts w:hint="eastAsia" w:ascii="宋体" w:hAnsi="宋体" w:cs="宋体"/>
          <w:szCs w:val="21"/>
        </w:rPr>
      </w:pPr>
      <w:r>
        <w:rPr>
          <w:rFonts w:hint="eastAsia" w:ascii="宋体" w:hAnsi="宋体" w:cs="宋体"/>
          <w:szCs w:val="21"/>
        </w:rPr>
        <w:t>16.1.2.1  引起价格调整的物价波动风险范围及幅度</w:t>
      </w:r>
    </w:p>
    <w:p w14:paraId="2618F183">
      <w:pPr>
        <w:spacing w:line="360" w:lineRule="auto"/>
        <w:ind w:firstLine="630" w:firstLineChars="300"/>
        <w:rPr>
          <w:rFonts w:hint="eastAsia" w:ascii="宋体" w:hAnsi="宋体" w:cs="宋体"/>
          <w:szCs w:val="21"/>
        </w:rPr>
      </w:pPr>
      <w:r>
        <w:rPr>
          <w:rFonts w:hint="eastAsia" w:ascii="宋体" w:hAnsi="宋体" w:cs="宋体"/>
          <w:szCs w:val="21"/>
        </w:rPr>
        <w:t>施工期内，因人工、材料和机械台班发生物价波动变化幅度在合同约定的风险幅度范 围以内的，由承包人承担或受益，不调整合同价格；其价格波动变化幅度在合同约定的风险 幅度范围以外的，由发包人承担或受益。物价波动引起价格调整的风险范围以及调整的风险 幅度见合同条款专用部分。</w:t>
      </w:r>
    </w:p>
    <w:p w14:paraId="22938763">
      <w:pPr>
        <w:spacing w:line="360" w:lineRule="auto"/>
        <w:ind w:firstLine="630" w:firstLineChars="300"/>
        <w:rPr>
          <w:rFonts w:hint="eastAsia" w:ascii="宋体" w:hAnsi="宋体" w:cs="宋体"/>
          <w:szCs w:val="21"/>
        </w:rPr>
      </w:pPr>
      <w:r>
        <w:rPr>
          <w:rFonts w:hint="eastAsia" w:ascii="宋体" w:hAnsi="宋体" w:cs="宋体"/>
          <w:szCs w:val="21"/>
        </w:rPr>
        <w:t>16.1.2.2  物价波动变化幅度的计算方法</w:t>
      </w:r>
    </w:p>
    <w:p w14:paraId="7EF33C52">
      <w:pPr>
        <w:spacing w:line="360" w:lineRule="auto"/>
        <w:ind w:firstLine="630" w:firstLineChars="300"/>
        <w:rPr>
          <w:rFonts w:hint="eastAsia" w:ascii="宋体" w:hAnsi="宋体" w:cs="宋体"/>
          <w:szCs w:val="21"/>
        </w:rPr>
      </w:pPr>
      <w:r>
        <w:rPr>
          <w:rFonts w:hint="eastAsia" w:ascii="宋体" w:hAnsi="宋体" w:cs="宋体"/>
          <w:szCs w:val="21"/>
        </w:rPr>
        <w:t>（1）投标报价基准期确定的人工、材料和机械台班的市场价格即为基准价。投标报价基准期见合同条款专用部分。</w:t>
      </w:r>
    </w:p>
    <w:p w14:paraId="7038C189">
      <w:pPr>
        <w:spacing w:line="360" w:lineRule="auto"/>
        <w:ind w:firstLine="630" w:firstLineChars="300"/>
        <w:rPr>
          <w:rFonts w:hint="eastAsia" w:ascii="宋体" w:hAnsi="宋体" w:cs="宋体"/>
          <w:szCs w:val="21"/>
        </w:rPr>
      </w:pPr>
      <w:r>
        <w:rPr>
          <w:rFonts w:hint="eastAsia" w:ascii="宋体" w:hAnsi="宋体" w:cs="宋体"/>
          <w:szCs w:val="21"/>
        </w:rPr>
        <w:t>（2）《北京工程造价信息》中工程造价信息价有的，以北京市建设工程造价管理机构发布的《北京工程造价信息》中的工程造价信息价（以下简称造价信息价格）为依据确定基准价，造价信息价格中有上、下限的，以下限为准；《北京工程造价信息》工程造价信息价中没有的，确定基准价的方法见合同条款专用部分。</w:t>
      </w:r>
    </w:p>
    <w:p w14:paraId="42251747">
      <w:pPr>
        <w:spacing w:line="360" w:lineRule="auto"/>
        <w:ind w:firstLine="630" w:firstLineChars="300"/>
        <w:rPr>
          <w:rFonts w:hint="eastAsia" w:ascii="宋体" w:hAnsi="宋体" w:cs="宋体"/>
          <w:szCs w:val="21"/>
        </w:rPr>
      </w:pPr>
      <w:r>
        <w:rPr>
          <w:rFonts w:hint="eastAsia" w:ascii="宋体" w:hAnsi="宋体" w:cs="宋体"/>
          <w:szCs w:val="21"/>
        </w:rPr>
        <w:t>（3）合同履行期间价格的确定方法见合同条款专用部分。</w:t>
      </w:r>
    </w:p>
    <w:p w14:paraId="6F87680E">
      <w:pPr>
        <w:spacing w:line="360" w:lineRule="auto"/>
        <w:ind w:firstLine="630" w:firstLineChars="300"/>
        <w:rPr>
          <w:rFonts w:hint="eastAsia" w:ascii="宋体" w:hAnsi="宋体" w:cs="宋体"/>
          <w:szCs w:val="21"/>
        </w:rPr>
      </w:pPr>
      <w:r>
        <w:rPr>
          <w:rFonts w:hint="eastAsia" w:ascii="宋体" w:hAnsi="宋体" w:cs="宋体"/>
          <w:szCs w:val="21"/>
        </w:rPr>
        <w:t>（4）物价波动变化幅度的计算方法见合同条款专用部分。</w:t>
      </w:r>
    </w:p>
    <w:p w14:paraId="48889608">
      <w:pPr>
        <w:spacing w:line="360" w:lineRule="auto"/>
        <w:ind w:firstLine="630" w:firstLineChars="300"/>
        <w:rPr>
          <w:rFonts w:hint="eastAsia" w:ascii="宋体" w:hAnsi="宋体" w:cs="宋体"/>
          <w:szCs w:val="21"/>
        </w:rPr>
      </w:pPr>
      <w:r>
        <w:rPr>
          <w:rFonts w:hint="eastAsia" w:ascii="宋体" w:hAnsi="宋体" w:cs="宋体"/>
          <w:szCs w:val="21"/>
        </w:rPr>
        <w:t>16.1.2.3  物价波动引起价格调整的方法</w:t>
      </w:r>
    </w:p>
    <w:p w14:paraId="7AC5971B">
      <w:pPr>
        <w:spacing w:line="360" w:lineRule="auto"/>
        <w:ind w:firstLine="630" w:firstLineChars="300"/>
        <w:rPr>
          <w:rFonts w:hint="eastAsia" w:ascii="宋体" w:hAnsi="宋体" w:cs="宋体"/>
          <w:szCs w:val="21"/>
        </w:rPr>
      </w:pPr>
      <w:r>
        <w:rPr>
          <w:rFonts w:hint="eastAsia" w:ascii="宋体" w:hAnsi="宋体" w:cs="宋体"/>
          <w:szCs w:val="21"/>
        </w:rPr>
        <w:t>（1）第 16.1.2.1 目中约定的人工、材料和机械台班的物价波动变化幅度超过风险幅度时，价格调整方法见合同条款专用部分。</w:t>
      </w:r>
    </w:p>
    <w:p w14:paraId="0AD2B9D2">
      <w:pPr>
        <w:spacing w:line="360" w:lineRule="auto"/>
        <w:ind w:firstLine="630" w:firstLineChars="300"/>
        <w:rPr>
          <w:rFonts w:hint="eastAsia" w:ascii="宋体" w:hAnsi="宋体" w:cs="宋体"/>
          <w:szCs w:val="21"/>
        </w:rPr>
      </w:pPr>
      <w:r>
        <w:rPr>
          <w:rFonts w:hint="eastAsia" w:ascii="宋体" w:hAnsi="宋体" w:cs="宋体"/>
          <w:szCs w:val="21"/>
        </w:rPr>
        <w:t>（2）第 16.1.2.1 目中约定的人工的物价波动变化幅度超过风险幅度时，应当计算全部价格差额，其价格差额由发包人承担或受益，其价格差额只计取增值税。</w:t>
      </w:r>
    </w:p>
    <w:p w14:paraId="39363ACB">
      <w:pPr>
        <w:spacing w:line="360" w:lineRule="auto"/>
        <w:ind w:firstLine="630" w:firstLineChars="300"/>
        <w:rPr>
          <w:rFonts w:hint="eastAsia" w:ascii="宋体" w:hAnsi="宋体" w:cs="宋体"/>
          <w:szCs w:val="21"/>
        </w:rPr>
      </w:pPr>
      <w:r>
        <w:rPr>
          <w:rFonts w:hint="eastAsia" w:ascii="宋体" w:hAnsi="宋体" w:cs="宋体"/>
          <w:szCs w:val="21"/>
        </w:rPr>
        <w:t>（3）第 16.1.2.1 目中约定的材料和机械台班的物价波动变化幅度超过风险幅度时，应当计算超过部分的价格差额，其价格差额由发包人承担或受益，其价格差额只计取增值税。</w:t>
      </w:r>
    </w:p>
    <w:p w14:paraId="13435628">
      <w:pPr>
        <w:spacing w:line="360" w:lineRule="auto"/>
        <w:ind w:firstLine="630" w:firstLineChars="300"/>
        <w:rPr>
          <w:rFonts w:hint="eastAsia" w:ascii="宋体" w:hAnsi="宋体" w:cs="宋体"/>
          <w:szCs w:val="21"/>
        </w:rPr>
      </w:pPr>
      <w:r>
        <w:rPr>
          <w:rFonts w:hint="eastAsia" w:ascii="宋体" w:hAnsi="宋体" w:cs="宋体"/>
          <w:szCs w:val="21"/>
        </w:rPr>
        <w:t>16.1.2.4  物价波动引起价格调整的其他约定见合同条款专用部分。</w:t>
      </w:r>
    </w:p>
    <w:p w14:paraId="538F3A2A">
      <w:pPr>
        <w:spacing w:line="360" w:lineRule="auto"/>
        <w:ind w:firstLine="630" w:firstLineChars="300"/>
        <w:rPr>
          <w:rFonts w:hint="eastAsia" w:ascii="宋体" w:hAnsi="宋体" w:cs="宋体"/>
          <w:szCs w:val="21"/>
        </w:rPr>
      </w:pPr>
      <w:r>
        <w:rPr>
          <w:rFonts w:hint="eastAsia" w:ascii="宋体" w:hAnsi="宋体" w:cs="宋体"/>
          <w:szCs w:val="21"/>
        </w:rPr>
        <w:t>16.1.3  物价波动引起价格调整的其他方法见合同条款专用部分。</w:t>
      </w:r>
    </w:p>
    <w:p w14:paraId="50A583B8">
      <w:pPr>
        <w:spacing w:line="360" w:lineRule="auto"/>
        <w:ind w:firstLine="630" w:firstLineChars="300"/>
        <w:rPr>
          <w:rFonts w:hint="eastAsia" w:ascii="宋体" w:hAnsi="宋体" w:cs="宋体"/>
          <w:szCs w:val="21"/>
        </w:rPr>
      </w:pPr>
      <w:r>
        <w:rPr>
          <w:rFonts w:hint="eastAsia" w:ascii="宋体" w:hAnsi="宋体" w:cs="宋体"/>
          <w:szCs w:val="21"/>
        </w:rPr>
        <w:t>16.1.4  不属于本条上述条款约定的引起价格调整的物价波动风险范围内的人工、材料和机械台班等，如市场价格出现异常变动,且是合同双方在订立合同时无法预见的重大变化，继续履行合同对于受不利影响的合同一方明显不公平的，合同双方可按风险合理分担原则，协商合同风险幅度或费用分担比例，承担相关部分的增(减)价差或据实调整合同价格。</w:t>
      </w:r>
    </w:p>
    <w:p w14:paraId="1476A0E6">
      <w:pPr>
        <w:spacing w:line="360" w:lineRule="auto"/>
        <w:rPr>
          <w:rFonts w:hint="eastAsia" w:ascii="宋体" w:hAnsi="宋体" w:cs="宋体"/>
          <w:sz w:val="24"/>
        </w:rPr>
      </w:pPr>
      <w:r>
        <w:rPr>
          <w:rFonts w:hint="eastAsia" w:ascii="宋体" w:hAnsi="宋体" w:cs="宋体"/>
          <w:sz w:val="24"/>
        </w:rPr>
        <w:t>16.2  法律变化引起的价格调整</w:t>
      </w:r>
    </w:p>
    <w:p w14:paraId="0DCEA43E">
      <w:pPr>
        <w:spacing w:line="360" w:lineRule="auto"/>
        <w:ind w:firstLine="630" w:firstLineChars="300"/>
        <w:rPr>
          <w:rFonts w:hint="eastAsia" w:ascii="宋体" w:hAnsi="宋体" w:cs="宋体"/>
          <w:szCs w:val="21"/>
        </w:rPr>
      </w:pPr>
      <w:r>
        <w:rPr>
          <w:rFonts w:hint="eastAsia" w:ascii="宋体" w:hAnsi="宋体" w:cs="宋体"/>
          <w:szCs w:val="21"/>
        </w:rPr>
        <w:t>在基准日后，因法律变化导致承包人在合同履行中所需要的工程费用发生除第 16.1 款约定以外的增减时，监理人应根据法律、国家或省、自治区、直辖市有关部门的规定，按第 3.5 款商定或确定需调整的合同价款。</w:t>
      </w:r>
    </w:p>
    <w:p w14:paraId="744FE291">
      <w:pPr>
        <w:spacing w:line="360" w:lineRule="auto"/>
        <w:rPr>
          <w:rFonts w:hint="eastAsia" w:ascii="宋体" w:hAnsi="宋体" w:cs="宋体"/>
          <w:b/>
          <w:bCs/>
          <w:sz w:val="24"/>
        </w:rPr>
      </w:pPr>
      <w:r>
        <w:rPr>
          <w:rFonts w:hint="eastAsia" w:ascii="宋体" w:hAnsi="宋体" w:cs="宋体"/>
          <w:b/>
          <w:bCs/>
          <w:sz w:val="24"/>
        </w:rPr>
        <w:t>17.计量与支付</w:t>
      </w:r>
    </w:p>
    <w:p w14:paraId="1C5E891E">
      <w:pPr>
        <w:spacing w:line="360" w:lineRule="auto"/>
        <w:rPr>
          <w:rFonts w:hint="eastAsia" w:ascii="宋体" w:hAnsi="宋体" w:cs="宋体"/>
          <w:sz w:val="24"/>
        </w:rPr>
      </w:pPr>
      <w:r>
        <w:rPr>
          <w:rFonts w:hint="eastAsia" w:ascii="宋体" w:hAnsi="宋体" w:cs="宋体"/>
          <w:sz w:val="24"/>
        </w:rPr>
        <w:t>17.1  计量</w:t>
      </w:r>
    </w:p>
    <w:p w14:paraId="172EFF64">
      <w:pPr>
        <w:spacing w:line="360" w:lineRule="auto"/>
        <w:ind w:firstLine="630" w:firstLineChars="300"/>
        <w:rPr>
          <w:rFonts w:hint="eastAsia" w:ascii="宋体" w:hAnsi="宋体" w:cs="宋体"/>
          <w:szCs w:val="21"/>
        </w:rPr>
      </w:pPr>
      <w:r>
        <w:rPr>
          <w:rFonts w:hint="eastAsia" w:ascii="宋体" w:hAnsi="宋体" w:cs="宋体"/>
          <w:szCs w:val="21"/>
        </w:rPr>
        <w:t>17.1.1  计量单位</w:t>
      </w:r>
    </w:p>
    <w:p w14:paraId="4918D93D">
      <w:pPr>
        <w:spacing w:line="360" w:lineRule="auto"/>
        <w:ind w:firstLine="630" w:firstLineChars="300"/>
        <w:rPr>
          <w:rFonts w:hint="eastAsia" w:ascii="宋体" w:hAnsi="宋体" w:cs="宋体"/>
          <w:szCs w:val="21"/>
        </w:rPr>
      </w:pPr>
      <w:r>
        <w:rPr>
          <w:rFonts w:hint="eastAsia" w:ascii="宋体" w:hAnsi="宋体" w:cs="宋体"/>
          <w:szCs w:val="21"/>
        </w:rPr>
        <w:t>计量采用国家法定的计量单位。</w:t>
      </w:r>
    </w:p>
    <w:p w14:paraId="7266AC95">
      <w:pPr>
        <w:spacing w:line="360" w:lineRule="auto"/>
        <w:ind w:firstLine="630" w:firstLineChars="300"/>
        <w:rPr>
          <w:rFonts w:hint="eastAsia" w:ascii="宋体" w:hAnsi="宋体" w:cs="宋体"/>
          <w:szCs w:val="21"/>
        </w:rPr>
      </w:pPr>
      <w:r>
        <w:rPr>
          <w:rFonts w:hint="eastAsia" w:ascii="宋体" w:hAnsi="宋体" w:cs="宋体"/>
          <w:szCs w:val="21"/>
        </w:rPr>
        <w:t>17.1.2  计量方法</w:t>
      </w:r>
    </w:p>
    <w:p w14:paraId="12EB07D4">
      <w:pPr>
        <w:spacing w:line="360" w:lineRule="auto"/>
        <w:ind w:firstLine="630" w:firstLineChars="300"/>
        <w:rPr>
          <w:rFonts w:hint="eastAsia" w:ascii="宋体" w:hAnsi="宋体" w:cs="宋体"/>
          <w:szCs w:val="21"/>
        </w:rPr>
      </w:pPr>
      <w:r>
        <w:rPr>
          <w:rFonts w:hint="eastAsia" w:ascii="宋体" w:hAnsi="宋体" w:cs="宋体"/>
          <w:szCs w:val="21"/>
        </w:rPr>
        <w:t>工程量计算规则执行工程量清单中约定的计量计价标准。除合同另有约定外，承包人实际完成的工程量按约定的工程量计算规则和有合同约束力的图纸进行计量。</w:t>
      </w:r>
    </w:p>
    <w:p w14:paraId="7E23D13B">
      <w:pPr>
        <w:spacing w:line="360" w:lineRule="auto"/>
        <w:ind w:firstLine="630" w:firstLineChars="300"/>
        <w:rPr>
          <w:rFonts w:hint="eastAsia" w:ascii="宋体" w:hAnsi="宋体" w:cs="宋体"/>
          <w:szCs w:val="21"/>
        </w:rPr>
      </w:pPr>
      <w:r>
        <w:rPr>
          <w:rFonts w:hint="eastAsia" w:ascii="宋体" w:hAnsi="宋体" w:cs="宋体"/>
          <w:szCs w:val="21"/>
        </w:rPr>
        <w:t>17.1.3  计量周期</w:t>
      </w:r>
    </w:p>
    <w:p w14:paraId="4281E1CA">
      <w:pPr>
        <w:spacing w:line="360" w:lineRule="auto"/>
        <w:ind w:firstLine="630" w:firstLineChars="300"/>
        <w:rPr>
          <w:rFonts w:hint="eastAsia" w:ascii="宋体" w:hAnsi="宋体" w:cs="宋体"/>
          <w:szCs w:val="21"/>
        </w:rPr>
      </w:pPr>
      <w:r>
        <w:rPr>
          <w:rFonts w:hint="eastAsia" w:ascii="宋体" w:hAnsi="宋体" w:cs="宋体"/>
          <w:szCs w:val="21"/>
        </w:rPr>
        <w:t>除合同条款专用部分另有约定外，计量周期按照本项约定执行。</w:t>
      </w:r>
    </w:p>
    <w:p w14:paraId="39208F61">
      <w:pPr>
        <w:spacing w:line="360" w:lineRule="auto"/>
        <w:ind w:firstLine="630" w:firstLineChars="300"/>
        <w:rPr>
          <w:rFonts w:hint="eastAsia" w:ascii="宋体" w:hAnsi="宋体" w:cs="宋体"/>
          <w:szCs w:val="21"/>
        </w:rPr>
      </w:pPr>
      <w:r>
        <w:rPr>
          <w:rFonts w:hint="eastAsia" w:ascii="宋体" w:hAnsi="宋体" w:cs="宋体"/>
          <w:szCs w:val="21"/>
        </w:rPr>
        <w:t>（1）本合同的计量周期为月，当月计量截止日期（不含当日）和下月计量起始日期（含当日）见合同条款专用部分。</w:t>
      </w:r>
    </w:p>
    <w:p w14:paraId="72D88AF5">
      <w:pPr>
        <w:spacing w:line="360" w:lineRule="auto"/>
        <w:ind w:firstLine="630" w:firstLineChars="300"/>
        <w:rPr>
          <w:rFonts w:hint="eastAsia" w:ascii="宋体" w:hAnsi="宋体" w:cs="宋体"/>
          <w:szCs w:val="21"/>
        </w:rPr>
      </w:pPr>
      <w:r>
        <w:rPr>
          <w:rFonts w:hint="eastAsia" w:ascii="宋体" w:hAnsi="宋体" w:cs="宋体"/>
          <w:szCs w:val="21"/>
        </w:rPr>
        <w:t>（2）单价项目已完成工程量是否按月计量见合同条款专用部分。</w:t>
      </w:r>
    </w:p>
    <w:p w14:paraId="3B7DC04B">
      <w:pPr>
        <w:spacing w:line="360" w:lineRule="auto"/>
        <w:ind w:firstLine="630" w:firstLineChars="300"/>
        <w:rPr>
          <w:rFonts w:hint="eastAsia" w:ascii="宋体" w:hAnsi="宋体" w:cs="宋体"/>
          <w:szCs w:val="21"/>
        </w:rPr>
      </w:pPr>
      <w:r>
        <w:rPr>
          <w:rFonts w:hint="eastAsia" w:ascii="宋体" w:hAnsi="宋体" w:cs="宋体"/>
          <w:szCs w:val="21"/>
        </w:rPr>
        <w:t>（3）总价项目计量方法见合同条款专用部分。</w:t>
      </w:r>
    </w:p>
    <w:p w14:paraId="5D716F20">
      <w:pPr>
        <w:spacing w:line="360" w:lineRule="auto"/>
        <w:ind w:firstLine="630" w:firstLineChars="300"/>
        <w:rPr>
          <w:rFonts w:hint="eastAsia" w:ascii="宋体" w:hAnsi="宋体" w:cs="宋体"/>
          <w:szCs w:val="21"/>
        </w:rPr>
      </w:pPr>
      <w:r>
        <w:rPr>
          <w:rFonts w:hint="eastAsia" w:ascii="宋体" w:hAnsi="宋体" w:cs="宋体"/>
          <w:szCs w:val="21"/>
        </w:rPr>
        <w:t>17.1.4  单价项目的计量</w:t>
      </w:r>
    </w:p>
    <w:p w14:paraId="03AA8B2B">
      <w:pPr>
        <w:spacing w:line="360" w:lineRule="auto"/>
        <w:ind w:firstLine="630" w:firstLineChars="300"/>
        <w:rPr>
          <w:rFonts w:hint="eastAsia" w:ascii="宋体" w:hAnsi="宋体" w:cs="宋体"/>
          <w:szCs w:val="21"/>
        </w:rPr>
      </w:pPr>
      <w:r>
        <w:rPr>
          <w:rFonts w:hint="eastAsia" w:ascii="宋体" w:hAnsi="宋体" w:cs="宋体"/>
          <w:szCs w:val="21"/>
        </w:rPr>
        <w:t>（1）合同清单中的单价项目工程量为估算工程量。结算工程量是承包人实际完成的， 并按合同约定的计量方法进行计量的工程量。</w:t>
      </w:r>
    </w:p>
    <w:p w14:paraId="13B33E4D">
      <w:pPr>
        <w:spacing w:line="360" w:lineRule="auto"/>
        <w:ind w:firstLine="630" w:firstLineChars="300"/>
        <w:rPr>
          <w:rFonts w:hint="eastAsia" w:ascii="宋体" w:hAnsi="宋体" w:cs="宋体"/>
          <w:szCs w:val="21"/>
        </w:rPr>
      </w:pPr>
      <w:r>
        <w:rPr>
          <w:rFonts w:hint="eastAsia" w:ascii="宋体" w:hAnsi="宋体" w:cs="宋体"/>
          <w:szCs w:val="21"/>
        </w:rPr>
        <w:t>（2）承包人对已完成的工程进行计量，向监理人提交进度付款申请单、已完成工程量报表和有关计量资料。</w:t>
      </w:r>
    </w:p>
    <w:p w14:paraId="3E497739">
      <w:pPr>
        <w:spacing w:line="360" w:lineRule="auto"/>
        <w:ind w:firstLine="630" w:firstLineChars="300"/>
        <w:rPr>
          <w:rFonts w:hint="eastAsia" w:ascii="宋体" w:hAnsi="宋体" w:cs="宋体"/>
          <w:szCs w:val="21"/>
        </w:rPr>
      </w:pPr>
      <w:r>
        <w:rPr>
          <w:rFonts w:hint="eastAsia" w:ascii="宋体" w:hAnsi="宋体" w:cs="宋体"/>
          <w:szCs w:val="21"/>
        </w:rPr>
        <w:t>（3）监理人对承包人提交的工程量报表进行复核，以确定实际完成的工程量。对数量有异议的，可要求承包人按第 8.2 款约定进行共同复核和抽样复测。承包人应协助监理人进行复核并按监理人要求提供补充计量资料。承包人未按监理人要求参加复核，监理人复核或 修正的工程量视为承包人实际完成的工程量。</w:t>
      </w:r>
    </w:p>
    <w:p w14:paraId="1809FCDC">
      <w:pPr>
        <w:spacing w:line="360" w:lineRule="auto"/>
        <w:ind w:firstLine="630" w:firstLineChars="300"/>
        <w:rPr>
          <w:rFonts w:hint="eastAsia" w:ascii="宋体" w:hAnsi="宋体" w:cs="宋体"/>
          <w:szCs w:val="21"/>
        </w:rPr>
      </w:pPr>
      <w:r>
        <w:rPr>
          <w:rFonts w:hint="eastAsia" w:ascii="宋体" w:hAnsi="宋体" w:cs="宋体"/>
          <w:szCs w:val="21"/>
        </w:rPr>
        <w:t>（4）监理人认为有必要时，可通知承包人共同进行联合测量、计量，承包人应遵照执行。</w:t>
      </w:r>
    </w:p>
    <w:p w14:paraId="5415FEAC">
      <w:pPr>
        <w:spacing w:line="360" w:lineRule="auto"/>
        <w:ind w:firstLine="630" w:firstLineChars="300"/>
        <w:rPr>
          <w:rFonts w:hint="eastAsia" w:ascii="宋体" w:hAnsi="宋体" w:cs="宋体"/>
          <w:szCs w:val="21"/>
        </w:rPr>
      </w:pPr>
      <w:r>
        <w:rPr>
          <w:rFonts w:hint="eastAsia" w:ascii="宋体" w:hAnsi="宋体" w:cs="宋体"/>
          <w:szCs w:val="21"/>
        </w:rPr>
        <w:t>（5）承包人完成工程量清单中每个项目的工程量后，监理人应要求承包人派员共同对每个项目的历次计量报表进行汇总，以核实最终结算工程量。监理人可要求承包人提供补充计量资料，以确定最后一次进度付款的准确工程量。承包人未按监理人要求派员参加的，监理人最终核实的工程量视为承包人完成该项目的准确工程量。</w:t>
      </w:r>
    </w:p>
    <w:p w14:paraId="3C2FB271">
      <w:pPr>
        <w:spacing w:line="360" w:lineRule="auto"/>
        <w:ind w:firstLine="630" w:firstLineChars="300"/>
        <w:rPr>
          <w:rFonts w:hint="eastAsia" w:ascii="宋体" w:hAnsi="宋体" w:cs="宋体"/>
          <w:szCs w:val="21"/>
        </w:rPr>
      </w:pPr>
      <w:r>
        <w:rPr>
          <w:rFonts w:hint="eastAsia" w:ascii="宋体" w:hAnsi="宋体" w:cs="宋体"/>
          <w:szCs w:val="21"/>
        </w:rPr>
        <w:t>（6）监理人应在收到承包人提交的工程量报表后的 7 天内进行复核，监理人未在约定时间内复核的，承包人提交的工程量报表中的工程量视为承包人实际完成的工程量，据此计算工程价款。</w:t>
      </w:r>
    </w:p>
    <w:p w14:paraId="70472099">
      <w:pPr>
        <w:spacing w:line="360" w:lineRule="auto"/>
        <w:ind w:firstLine="630" w:firstLineChars="300"/>
        <w:rPr>
          <w:rFonts w:hint="eastAsia" w:ascii="宋体" w:hAnsi="宋体" w:cs="宋体"/>
          <w:szCs w:val="21"/>
        </w:rPr>
      </w:pPr>
      <w:r>
        <w:rPr>
          <w:rFonts w:hint="eastAsia" w:ascii="宋体" w:hAnsi="宋体" w:cs="宋体"/>
          <w:szCs w:val="21"/>
        </w:rPr>
        <w:t>17.1.5  总价项目的计量（适用于采用支付分解报告）</w:t>
      </w:r>
    </w:p>
    <w:p w14:paraId="793C0590">
      <w:pPr>
        <w:spacing w:line="360" w:lineRule="auto"/>
        <w:ind w:firstLine="630" w:firstLineChars="300"/>
        <w:rPr>
          <w:rFonts w:hint="eastAsia" w:ascii="宋体" w:hAnsi="宋体" w:cs="宋体"/>
          <w:szCs w:val="21"/>
        </w:rPr>
      </w:pPr>
      <w:r>
        <w:rPr>
          <w:rFonts w:hint="eastAsia" w:ascii="宋体" w:hAnsi="宋体" w:cs="宋体"/>
          <w:szCs w:val="21"/>
        </w:rPr>
        <w:t>总价项目按照有合同约束力的支付分解表支付。承包人应根据合同条款第 10 条约定的合同进度计划和总价项目的总价构成、费用性质、计划发生时间和相应工作量等因素对各个总价项目的总价按月进行分解，形成支付分解报告。承包人应当在收到经过监理人批复的合同进度计划后 7 天内，将支付分解报告以及形成支付分解报告的分项计量和总价分解等支持性资料报监理人审批，监理人应当在收到承包人报送的支付分解报告后 7 天内给予批复或提出修改意见，经监理人批准的支付分解报告为有合同约束力的支付分解表。支付分解表应根据合同条款第 10.2 款约定的修订合同进度计划进行修正，修正的程序和期限应当依照本项上述约定，经修正的支付分解表为有合同约束力的支付分解表。</w:t>
      </w:r>
    </w:p>
    <w:p w14:paraId="3937181C">
      <w:pPr>
        <w:spacing w:line="360" w:lineRule="auto"/>
        <w:ind w:firstLine="630" w:firstLineChars="300"/>
        <w:rPr>
          <w:rFonts w:hint="eastAsia" w:ascii="宋体" w:hAnsi="宋体" w:cs="宋体"/>
          <w:szCs w:val="21"/>
        </w:rPr>
      </w:pPr>
      <w:r>
        <w:rPr>
          <w:rFonts w:hint="eastAsia" w:ascii="宋体" w:hAnsi="宋体" w:cs="宋体"/>
          <w:szCs w:val="21"/>
        </w:rPr>
        <w:t>（1）总价项目的价格调整方法见合同条款专用部分。</w:t>
      </w:r>
    </w:p>
    <w:p w14:paraId="631724C9">
      <w:pPr>
        <w:spacing w:line="360" w:lineRule="auto"/>
        <w:ind w:firstLine="630" w:firstLineChars="300"/>
        <w:rPr>
          <w:rFonts w:hint="eastAsia" w:ascii="宋体" w:hAnsi="宋体" w:cs="宋体"/>
          <w:szCs w:val="21"/>
        </w:rPr>
      </w:pPr>
      <w:r>
        <w:rPr>
          <w:rFonts w:hint="eastAsia" w:ascii="宋体" w:hAnsi="宋体" w:cs="宋体"/>
          <w:szCs w:val="21"/>
        </w:rPr>
        <w:t>（2）列入每月进度付款申请单中各总价项目的价值为有合同约束力的支付分解表中对应月份的总价项目总价值。</w:t>
      </w:r>
    </w:p>
    <w:p w14:paraId="5130A23A">
      <w:pPr>
        <w:spacing w:line="360" w:lineRule="auto"/>
        <w:ind w:firstLine="630" w:firstLineChars="300"/>
        <w:rPr>
          <w:rFonts w:hint="eastAsia" w:ascii="宋体" w:hAnsi="宋体" w:cs="宋体"/>
          <w:szCs w:val="21"/>
        </w:rPr>
      </w:pPr>
      <w:r>
        <w:rPr>
          <w:rFonts w:hint="eastAsia" w:ascii="宋体" w:hAnsi="宋体" w:cs="宋体"/>
          <w:szCs w:val="21"/>
        </w:rPr>
        <w:t>（3）监理人根据有合同约束力的支付分解表复核列入每月进度付款申请单中的总价项目的总价值。</w:t>
      </w:r>
    </w:p>
    <w:p w14:paraId="798A2D93">
      <w:pPr>
        <w:spacing w:line="360" w:lineRule="auto"/>
        <w:ind w:firstLine="630" w:firstLineChars="300"/>
        <w:rPr>
          <w:rFonts w:hint="eastAsia" w:ascii="宋体" w:hAnsi="宋体" w:cs="宋体"/>
          <w:szCs w:val="21"/>
        </w:rPr>
      </w:pPr>
      <w:r>
        <w:rPr>
          <w:rFonts w:hint="eastAsia" w:ascii="宋体" w:hAnsi="宋体" w:cs="宋体"/>
          <w:szCs w:val="21"/>
        </w:rPr>
        <w:t>（4）除按照第 15 条约定的变更外，在竣工结算时总价项目的工程量不应当重新计量， 签约合同价所基于的工程量即是用于竣工结算的最终工程量。</w:t>
      </w:r>
    </w:p>
    <w:p w14:paraId="28867F5A">
      <w:pPr>
        <w:spacing w:line="360" w:lineRule="auto"/>
        <w:ind w:firstLine="630" w:firstLineChars="300"/>
        <w:rPr>
          <w:rFonts w:hint="eastAsia" w:ascii="宋体" w:hAnsi="宋体" w:cs="宋体"/>
          <w:szCs w:val="21"/>
        </w:rPr>
      </w:pPr>
      <w:r>
        <w:rPr>
          <w:rFonts w:hint="eastAsia" w:ascii="宋体" w:hAnsi="宋体" w:cs="宋体"/>
          <w:szCs w:val="21"/>
        </w:rPr>
        <w:t>17.1.5  总价项目的计量（适用于采用按实际完成工程量计量）</w:t>
      </w:r>
    </w:p>
    <w:p w14:paraId="33B40311">
      <w:pPr>
        <w:spacing w:line="360" w:lineRule="auto"/>
        <w:ind w:firstLine="630" w:firstLineChars="300"/>
        <w:rPr>
          <w:rFonts w:hint="eastAsia" w:ascii="宋体" w:hAnsi="宋体" w:cs="宋体"/>
          <w:szCs w:val="21"/>
        </w:rPr>
      </w:pPr>
      <w:r>
        <w:rPr>
          <w:rFonts w:hint="eastAsia" w:ascii="宋体" w:hAnsi="宋体" w:cs="宋体"/>
          <w:szCs w:val="21"/>
        </w:rPr>
        <w:t>（1）总价项目的计量和支付应以总价为基础，对承包人实际完成的工程量进行计量， 是进行工程目标管理和控制进度款支付的依据。总价项目的价格调整方法见合同条款专用部 分。</w:t>
      </w:r>
    </w:p>
    <w:p w14:paraId="6AB03A90">
      <w:pPr>
        <w:spacing w:line="360" w:lineRule="auto"/>
        <w:ind w:firstLine="630" w:firstLineChars="300"/>
        <w:rPr>
          <w:rFonts w:hint="eastAsia" w:ascii="宋体" w:hAnsi="宋体" w:cs="宋体"/>
          <w:szCs w:val="21"/>
        </w:rPr>
      </w:pPr>
      <w:r>
        <w:rPr>
          <w:rFonts w:hint="eastAsia" w:ascii="宋体" w:hAnsi="宋体" w:cs="宋体"/>
          <w:szCs w:val="21"/>
        </w:rPr>
        <w:t>（2）承包人在合同条款专用部分第 17.1.3（1） 目约定的每月计量截止日期后，对已完成的分部分项工程项目的项目，按照合同条款第 17.1.2 项约定的计量方法进行计量，对已完成的措施项目的相关项目，按其总价构成、费用性质和实际发生比例进行计量，向监理人提交进度付款申请单、已完成工程量报表和有关计量资料。</w:t>
      </w:r>
    </w:p>
    <w:p w14:paraId="2C414C32">
      <w:pPr>
        <w:spacing w:line="360" w:lineRule="auto"/>
        <w:ind w:firstLine="630" w:firstLineChars="300"/>
        <w:rPr>
          <w:rFonts w:hint="eastAsia" w:ascii="宋体" w:hAnsi="宋体" w:cs="宋体"/>
          <w:szCs w:val="21"/>
        </w:rPr>
      </w:pPr>
      <w:r>
        <w:rPr>
          <w:rFonts w:hint="eastAsia" w:ascii="宋体" w:hAnsi="宋体" w:cs="宋体"/>
          <w:szCs w:val="21"/>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61A22A1E">
      <w:pPr>
        <w:spacing w:line="360" w:lineRule="auto"/>
        <w:ind w:firstLine="630" w:firstLineChars="300"/>
        <w:rPr>
          <w:rFonts w:hint="eastAsia" w:ascii="宋体" w:hAnsi="宋体" w:cs="宋体"/>
          <w:szCs w:val="21"/>
        </w:rPr>
      </w:pPr>
      <w:r>
        <w:rPr>
          <w:rFonts w:hint="eastAsia" w:ascii="宋体" w:hAnsi="宋体" w:cs="宋体"/>
          <w:szCs w:val="21"/>
        </w:rPr>
        <w:t>（4）监理人应在收到承包人提交的工程量报表后的 7 天内进行复核，监理人未在约定时间内复核的，承包人提交的工程量报表中的工程量视为承包人实际完成的工程量，据此计算工程价款。</w:t>
      </w:r>
    </w:p>
    <w:p w14:paraId="56ADCD7C">
      <w:pPr>
        <w:spacing w:line="360" w:lineRule="auto"/>
        <w:ind w:firstLine="630" w:firstLineChars="300"/>
        <w:rPr>
          <w:rFonts w:hint="eastAsia" w:ascii="宋体" w:hAnsi="宋体" w:cs="宋体"/>
          <w:szCs w:val="21"/>
        </w:rPr>
      </w:pPr>
      <w:r>
        <w:rPr>
          <w:rFonts w:hint="eastAsia" w:ascii="宋体" w:hAnsi="宋体" w:cs="宋体"/>
          <w:szCs w:val="21"/>
        </w:rPr>
        <w:t>（5）除按照第 15 条约定的变更外，在竣工结算时总价项目的工程量不应当重新计量，签约合同价所基于的工程量即是用于竣工结算的最终工程量。</w:t>
      </w:r>
    </w:p>
    <w:p w14:paraId="08FA4713">
      <w:pPr>
        <w:spacing w:line="360" w:lineRule="auto"/>
        <w:rPr>
          <w:rFonts w:hint="eastAsia" w:ascii="宋体" w:hAnsi="宋体" w:cs="宋体"/>
          <w:sz w:val="24"/>
        </w:rPr>
      </w:pPr>
      <w:r>
        <w:rPr>
          <w:rFonts w:hint="eastAsia" w:ascii="宋体" w:hAnsi="宋体" w:cs="宋体"/>
          <w:sz w:val="24"/>
        </w:rPr>
        <w:t>17.2  预付款</w:t>
      </w:r>
    </w:p>
    <w:p w14:paraId="7128511B">
      <w:pPr>
        <w:spacing w:line="360" w:lineRule="auto"/>
        <w:ind w:firstLine="630" w:firstLineChars="300"/>
        <w:rPr>
          <w:rFonts w:hint="eastAsia" w:ascii="宋体" w:hAnsi="宋体" w:cs="宋体"/>
          <w:szCs w:val="21"/>
        </w:rPr>
      </w:pPr>
      <w:r>
        <w:rPr>
          <w:rFonts w:hint="eastAsia" w:ascii="宋体" w:hAnsi="宋体" w:cs="宋体"/>
          <w:szCs w:val="21"/>
        </w:rPr>
        <w:t>17.2.1  预付款</w:t>
      </w:r>
    </w:p>
    <w:p w14:paraId="656D254E">
      <w:pPr>
        <w:spacing w:line="360" w:lineRule="auto"/>
        <w:ind w:firstLine="630" w:firstLineChars="300"/>
        <w:rPr>
          <w:rFonts w:hint="eastAsia" w:ascii="宋体" w:hAnsi="宋体" w:cs="宋体"/>
          <w:szCs w:val="21"/>
        </w:rPr>
      </w:pPr>
      <w:r>
        <w:rPr>
          <w:rFonts w:hint="eastAsia" w:ascii="宋体" w:hAnsi="宋体" w:cs="宋体"/>
          <w:szCs w:val="21"/>
        </w:rPr>
        <w:t>预付款用于承包人为合同工程施工购置材料、施工设备、修建临时设施以及组织施工队伍进场等。预付款必须专用于合同工程。预付款的额度和预付办法以及支付时间见合同条款专用部分。</w:t>
      </w:r>
    </w:p>
    <w:p w14:paraId="0C4C881F">
      <w:pPr>
        <w:spacing w:line="360" w:lineRule="auto"/>
        <w:ind w:firstLine="630" w:firstLineChars="300"/>
        <w:rPr>
          <w:rFonts w:hint="eastAsia" w:ascii="宋体" w:hAnsi="宋体" w:cs="宋体"/>
          <w:szCs w:val="21"/>
        </w:rPr>
      </w:pPr>
      <w:r>
        <w:rPr>
          <w:rFonts w:hint="eastAsia" w:ascii="宋体" w:hAnsi="宋体" w:cs="宋体"/>
          <w:szCs w:val="21"/>
        </w:rPr>
        <w:t>安全生产标准化措施费预付款额度及方式见合同条款专用部分。</w:t>
      </w:r>
    </w:p>
    <w:p w14:paraId="0EDE486E">
      <w:pPr>
        <w:spacing w:line="360" w:lineRule="auto"/>
        <w:ind w:firstLine="630" w:firstLineChars="300"/>
        <w:rPr>
          <w:rFonts w:hint="eastAsia" w:ascii="宋体" w:hAnsi="宋体" w:cs="宋体"/>
          <w:szCs w:val="21"/>
        </w:rPr>
      </w:pPr>
      <w:r>
        <w:rPr>
          <w:rFonts w:hint="eastAsia" w:ascii="宋体" w:hAnsi="宋体" w:cs="宋体"/>
          <w:szCs w:val="21"/>
        </w:rPr>
        <w:t>预付款额度及安全生产标准化措施费预付款额度均应满足相应规定。</w:t>
      </w:r>
    </w:p>
    <w:p w14:paraId="5D3E4145">
      <w:pPr>
        <w:spacing w:line="360" w:lineRule="auto"/>
        <w:ind w:firstLine="630" w:firstLineChars="300"/>
        <w:rPr>
          <w:rFonts w:hint="eastAsia" w:ascii="宋体" w:hAnsi="宋体" w:cs="宋体"/>
          <w:szCs w:val="21"/>
        </w:rPr>
      </w:pPr>
      <w:r>
        <w:rPr>
          <w:rFonts w:hint="eastAsia" w:ascii="宋体" w:hAnsi="宋体" w:cs="宋体"/>
          <w:szCs w:val="21"/>
        </w:rPr>
        <w:t>发包人逾期支付合同约定的预付款，除承担第 22.2 款约定的违约责任外，还应向承包人支付按第 17.3.3(2)目约定的标准和方法计算的逾期付款违约金。</w:t>
      </w:r>
    </w:p>
    <w:p w14:paraId="7940065B">
      <w:pPr>
        <w:spacing w:line="360" w:lineRule="auto"/>
        <w:ind w:firstLine="630" w:firstLineChars="300"/>
        <w:rPr>
          <w:rFonts w:hint="eastAsia" w:ascii="宋体" w:hAnsi="宋体" w:cs="宋体"/>
          <w:szCs w:val="21"/>
        </w:rPr>
      </w:pPr>
      <w:r>
        <w:rPr>
          <w:rFonts w:hint="eastAsia" w:ascii="宋体" w:hAnsi="宋体" w:cs="宋体"/>
          <w:szCs w:val="21"/>
        </w:rPr>
        <w:t>17.2.2  预付款的扣回与还清</w:t>
      </w:r>
    </w:p>
    <w:p w14:paraId="39626A5D">
      <w:pPr>
        <w:spacing w:line="360" w:lineRule="auto"/>
        <w:ind w:firstLine="630" w:firstLineChars="300"/>
        <w:rPr>
          <w:rFonts w:hint="eastAsia" w:ascii="宋体" w:hAnsi="宋体" w:cs="宋体"/>
          <w:szCs w:val="21"/>
        </w:rPr>
      </w:pPr>
      <w:r>
        <w:rPr>
          <w:rFonts w:hint="eastAsia" w:ascii="宋体" w:hAnsi="宋体" w:cs="宋体"/>
          <w:szCs w:val="21"/>
        </w:rPr>
        <w:t>预付款在进度付款中按照合同约定扣回。在颁发工程接收证书前，由于不可抗力或其他原因解除合同时，预付款尚未扣清的，尚未扣清的预付款余额应作为承包人的到期应付款。 预付款扣回办法见合同条款专用部分。</w:t>
      </w:r>
    </w:p>
    <w:p w14:paraId="595212EE">
      <w:pPr>
        <w:spacing w:line="360" w:lineRule="auto"/>
        <w:rPr>
          <w:rFonts w:hint="eastAsia" w:ascii="宋体" w:hAnsi="宋体" w:cs="宋体"/>
          <w:sz w:val="24"/>
        </w:rPr>
      </w:pPr>
      <w:r>
        <w:rPr>
          <w:rFonts w:hint="eastAsia" w:ascii="宋体" w:hAnsi="宋体" w:cs="宋体"/>
          <w:sz w:val="24"/>
        </w:rPr>
        <w:t>17.3  工程进度付款</w:t>
      </w:r>
    </w:p>
    <w:p w14:paraId="1E5B70C3">
      <w:pPr>
        <w:spacing w:line="360" w:lineRule="auto"/>
        <w:ind w:firstLine="630" w:firstLineChars="300"/>
        <w:rPr>
          <w:rFonts w:hint="eastAsia" w:ascii="宋体" w:hAnsi="宋体" w:cs="宋体"/>
          <w:szCs w:val="21"/>
        </w:rPr>
      </w:pPr>
      <w:r>
        <w:rPr>
          <w:rFonts w:hint="eastAsia" w:ascii="宋体" w:hAnsi="宋体" w:cs="宋体"/>
          <w:szCs w:val="21"/>
        </w:rPr>
        <w:t>17.3.1  付款周期</w:t>
      </w:r>
    </w:p>
    <w:p w14:paraId="1212D632">
      <w:pPr>
        <w:spacing w:line="360" w:lineRule="auto"/>
        <w:ind w:firstLine="630" w:firstLineChars="300"/>
        <w:rPr>
          <w:rFonts w:hint="eastAsia" w:ascii="宋体" w:hAnsi="宋体" w:cs="宋体"/>
          <w:szCs w:val="21"/>
        </w:rPr>
      </w:pPr>
      <w:r>
        <w:rPr>
          <w:rFonts w:hint="eastAsia" w:ascii="宋体" w:hAnsi="宋体" w:cs="宋体"/>
          <w:szCs w:val="21"/>
        </w:rPr>
        <w:t>付款周期同计量周期。</w:t>
      </w:r>
    </w:p>
    <w:p w14:paraId="6EACEC1C">
      <w:pPr>
        <w:spacing w:line="360" w:lineRule="auto"/>
        <w:ind w:firstLine="630" w:firstLineChars="300"/>
        <w:rPr>
          <w:rFonts w:hint="eastAsia" w:ascii="宋体" w:hAnsi="宋体" w:cs="宋体"/>
          <w:szCs w:val="21"/>
        </w:rPr>
      </w:pPr>
      <w:r>
        <w:rPr>
          <w:rFonts w:hint="eastAsia" w:ascii="宋体" w:hAnsi="宋体" w:cs="宋体"/>
          <w:szCs w:val="21"/>
        </w:rPr>
        <w:t>17.3.2  进度付款申请单</w:t>
      </w:r>
    </w:p>
    <w:p w14:paraId="11C97B8E">
      <w:pPr>
        <w:spacing w:line="360" w:lineRule="auto"/>
        <w:ind w:firstLine="630" w:firstLineChars="300"/>
        <w:rPr>
          <w:rFonts w:hint="eastAsia" w:ascii="宋体" w:hAnsi="宋体" w:cs="宋体"/>
          <w:szCs w:val="21"/>
        </w:rPr>
      </w:pPr>
      <w:r>
        <w:rPr>
          <w:rFonts w:hint="eastAsia" w:ascii="宋体" w:hAnsi="宋体" w:cs="宋体"/>
          <w:szCs w:val="21"/>
        </w:rPr>
        <w:t>承包人应在每个付款周期末，按监理人批准的格式和合同约定的份数，向监理人提交进度付款申请单，并附相应的支持性证明文件。承包人提交进度付款申请单份数见合同条款专用部分。</w:t>
      </w:r>
    </w:p>
    <w:p w14:paraId="0B7A32E7">
      <w:pPr>
        <w:spacing w:line="360" w:lineRule="auto"/>
        <w:ind w:firstLine="630" w:firstLineChars="300"/>
        <w:rPr>
          <w:rFonts w:hint="eastAsia" w:ascii="宋体" w:hAnsi="宋体" w:cs="宋体"/>
          <w:szCs w:val="21"/>
        </w:rPr>
      </w:pPr>
      <w:r>
        <w:rPr>
          <w:rFonts w:hint="eastAsia" w:ascii="宋体" w:hAnsi="宋体" w:cs="宋体"/>
          <w:szCs w:val="21"/>
        </w:rPr>
        <w:t>除合同条款专用部分另有约定外，承包人报送监理人的进度付款申请单应包括下列内 容：</w:t>
      </w:r>
    </w:p>
    <w:p w14:paraId="665DADAA">
      <w:pPr>
        <w:spacing w:line="360" w:lineRule="auto"/>
        <w:ind w:firstLine="630" w:firstLineChars="300"/>
        <w:rPr>
          <w:rFonts w:hint="eastAsia" w:ascii="宋体" w:hAnsi="宋体" w:cs="宋体"/>
          <w:szCs w:val="21"/>
        </w:rPr>
      </w:pPr>
      <w:r>
        <w:rPr>
          <w:rFonts w:hint="eastAsia" w:ascii="宋体" w:hAnsi="宋体" w:cs="宋体"/>
          <w:szCs w:val="21"/>
        </w:rPr>
        <w:t>（1）截至本次付款周期末已实施工程的合同清单价款及其中人工费占工程款比例；</w:t>
      </w:r>
    </w:p>
    <w:p w14:paraId="4028FAA8">
      <w:pPr>
        <w:spacing w:line="360" w:lineRule="auto"/>
        <w:ind w:firstLine="630" w:firstLineChars="300"/>
        <w:rPr>
          <w:rFonts w:hint="eastAsia" w:ascii="宋体" w:hAnsi="宋体" w:cs="宋体"/>
          <w:szCs w:val="21"/>
        </w:rPr>
      </w:pPr>
      <w:r>
        <w:rPr>
          <w:rFonts w:hint="eastAsia" w:ascii="宋体" w:hAnsi="宋体" w:cs="宋体"/>
          <w:szCs w:val="21"/>
        </w:rPr>
        <w:t>（2）截至本次付款周期末已实施工程的工程量清单缺陷调整价款及其中人工费占工程款 比例；</w:t>
      </w:r>
    </w:p>
    <w:p w14:paraId="6F32B2F0">
      <w:pPr>
        <w:spacing w:line="360" w:lineRule="auto"/>
        <w:ind w:firstLine="630" w:firstLineChars="300"/>
        <w:rPr>
          <w:rFonts w:hint="eastAsia" w:ascii="宋体" w:hAnsi="宋体" w:cs="宋体"/>
          <w:szCs w:val="21"/>
        </w:rPr>
      </w:pPr>
      <w:r>
        <w:rPr>
          <w:rFonts w:hint="eastAsia" w:ascii="宋体" w:hAnsi="宋体" w:cs="宋体"/>
          <w:szCs w:val="21"/>
        </w:rPr>
        <w:t>（3）根据第 15 条应增加和扣减的变更金额；</w:t>
      </w:r>
    </w:p>
    <w:p w14:paraId="029AA160">
      <w:pPr>
        <w:spacing w:line="360" w:lineRule="auto"/>
        <w:ind w:firstLine="630" w:firstLineChars="300"/>
        <w:rPr>
          <w:rFonts w:hint="eastAsia" w:ascii="宋体" w:hAnsi="宋体" w:cs="宋体"/>
          <w:szCs w:val="21"/>
        </w:rPr>
      </w:pPr>
      <w:r>
        <w:rPr>
          <w:rFonts w:hint="eastAsia" w:ascii="宋体" w:hAnsi="宋体" w:cs="宋体"/>
          <w:szCs w:val="21"/>
        </w:rPr>
        <w:t>（4）根据第 23 条应增加和扣减的索赔金额；</w:t>
      </w:r>
    </w:p>
    <w:p w14:paraId="2EC23A6D">
      <w:pPr>
        <w:spacing w:line="360" w:lineRule="auto"/>
        <w:ind w:firstLine="630" w:firstLineChars="300"/>
        <w:rPr>
          <w:rFonts w:hint="eastAsia" w:ascii="宋体" w:hAnsi="宋体" w:cs="宋体"/>
          <w:szCs w:val="21"/>
        </w:rPr>
      </w:pPr>
      <w:r>
        <w:rPr>
          <w:rFonts w:hint="eastAsia" w:ascii="宋体" w:hAnsi="宋体" w:cs="宋体"/>
          <w:szCs w:val="21"/>
        </w:rPr>
        <w:t>（5）根据第 17.2 款约定应支付的预付款和扣减的返还预付款；</w:t>
      </w:r>
    </w:p>
    <w:p w14:paraId="4293CFDD">
      <w:pPr>
        <w:spacing w:line="360" w:lineRule="auto"/>
        <w:ind w:firstLine="630" w:firstLineChars="300"/>
        <w:rPr>
          <w:rFonts w:hint="eastAsia" w:ascii="宋体" w:hAnsi="宋体" w:cs="宋体"/>
          <w:szCs w:val="21"/>
        </w:rPr>
      </w:pPr>
      <w:r>
        <w:rPr>
          <w:rFonts w:hint="eastAsia" w:ascii="宋体" w:hAnsi="宋体" w:cs="宋体"/>
          <w:szCs w:val="21"/>
        </w:rPr>
        <w:t>（6）根据第 17.4.1 项约定应扣减的质量保证金；</w:t>
      </w:r>
    </w:p>
    <w:p w14:paraId="1ED3F9E6">
      <w:pPr>
        <w:spacing w:line="360" w:lineRule="auto"/>
        <w:ind w:firstLine="630" w:firstLineChars="300"/>
        <w:rPr>
          <w:rFonts w:hint="eastAsia" w:ascii="宋体" w:hAnsi="宋体" w:cs="宋体"/>
          <w:szCs w:val="21"/>
        </w:rPr>
      </w:pPr>
      <w:r>
        <w:rPr>
          <w:rFonts w:hint="eastAsia" w:ascii="宋体" w:hAnsi="宋体" w:cs="宋体"/>
          <w:szCs w:val="21"/>
        </w:rPr>
        <w:t>（7）根据合同应增加和（或）扣减的其他内容金额见合同条款专用部分；</w:t>
      </w:r>
    </w:p>
    <w:p w14:paraId="1C0492F0">
      <w:pPr>
        <w:spacing w:line="360" w:lineRule="auto"/>
        <w:ind w:firstLine="630" w:firstLineChars="300"/>
        <w:rPr>
          <w:rFonts w:hint="eastAsia" w:ascii="宋体" w:hAnsi="宋体" w:cs="宋体"/>
          <w:szCs w:val="21"/>
        </w:rPr>
      </w:pPr>
      <w:r>
        <w:rPr>
          <w:rFonts w:hint="eastAsia" w:ascii="宋体" w:hAnsi="宋体" w:cs="宋体"/>
          <w:szCs w:val="21"/>
        </w:rPr>
        <w:t>（8）本期应付进度款见合同条款专用部分。</w:t>
      </w:r>
    </w:p>
    <w:p w14:paraId="2E8F96DE">
      <w:pPr>
        <w:spacing w:line="360" w:lineRule="auto"/>
        <w:ind w:firstLine="630" w:firstLineChars="300"/>
        <w:rPr>
          <w:rFonts w:hint="eastAsia" w:ascii="宋体" w:hAnsi="宋体" w:cs="宋体"/>
          <w:szCs w:val="21"/>
        </w:rPr>
      </w:pPr>
      <w:r>
        <w:rPr>
          <w:rFonts w:hint="eastAsia" w:ascii="宋体" w:hAnsi="宋体" w:cs="宋体"/>
          <w:szCs w:val="21"/>
        </w:rPr>
        <w:t>政府机关、事业单位、国有企业建设工程进度款支付应不低于已完成工程价款的80%。</w:t>
      </w:r>
    </w:p>
    <w:p w14:paraId="7F15C078">
      <w:pPr>
        <w:spacing w:line="360" w:lineRule="auto"/>
        <w:ind w:firstLine="630" w:firstLineChars="300"/>
        <w:rPr>
          <w:rFonts w:hint="eastAsia" w:ascii="宋体" w:hAnsi="宋体" w:cs="宋体"/>
          <w:szCs w:val="21"/>
        </w:rPr>
      </w:pPr>
      <w:r>
        <w:rPr>
          <w:rFonts w:hint="eastAsia" w:ascii="宋体" w:hAnsi="宋体" w:cs="宋体"/>
          <w:szCs w:val="21"/>
        </w:rPr>
        <w:t>17.3.3  进度付款证书和支付时间</w:t>
      </w:r>
    </w:p>
    <w:p w14:paraId="0A70B696">
      <w:pPr>
        <w:spacing w:line="360" w:lineRule="auto"/>
        <w:ind w:firstLine="630" w:firstLineChars="300"/>
        <w:rPr>
          <w:rFonts w:hint="eastAsia" w:ascii="宋体" w:hAnsi="宋体" w:cs="宋体"/>
          <w:szCs w:val="21"/>
        </w:rPr>
      </w:pPr>
      <w:r>
        <w:rPr>
          <w:rFonts w:hint="eastAsia" w:ascii="宋体" w:hAnsi="宋体" w:cs="宋体"/>
          <w:szCs w:val="21"/>
        </w:rPr>
        <w:t>（1）监理人在收到承包人进度付款申请单以及相应的支持性证明文件后的 14 天内完成核查，提出发包人到期应支付给承包人的金额以及相应的支持性材料，经发包人审查同意后， 由监理人向承包人出具经发包人签认的进度付款证书。监理人有权扣发承包人未能按照合同 要求履行任何工作或义务的相应金额。</w:t>
      </w:r>
    </w:p>
    <w:p w14:paraId="35AEC7BA">
      <w:pPr>
        <w:spacing w:line="360" w:lineRule="auto"/>
        <w:ind w:firstLine="630" w:firstLineChars="300"/>
        <w:rPr>
          <w:rFonts w:hint="eastAsia" w:ascii="宋体" w:hAnsi="宋体" w:cs="宋体"/>
          <w:szCs w:val="21"/>
        </w:rPr>
      </w:pPr>
      <w:r>
        <w:rPr>
          <w:rFonts w:hint="eastAsia" w:ascii="宋体" w:hAnsi="宋体" w:cs="宋体"/>
          <w:szCs w:val="21"/>
        </w:rPr>
        <w:t>（2）发包人应在监理人收到进度付款申请单后的 28 天内，将进度应付款支付给承包人。 发包人未按第 17.2.1 项、第 17.3.3（2） 目、第 17.5.3（2） 目和第 17.6.2（2） 目约定的 期限支付承包人依合同约定应当得到的款项，应当从应付之日起按照合同约定的计算标准和 计算方法向承包人支付逾期付款违约金。承包人应当按第 23.1（1） 目的约定，在最终付款 期限到期后 28 天内，向监理人递交工程索赔意向通知书,说明有权得到按本款约定的标准和 方法计算的逾期付款违约金。承包人要求发包人支付逾期付款违约金不影响承包人要求发包 人承担第 22.2 款约定的其他违约责任的权利。逾期付款违约金计算标准和计算方法见合同 条款专用部分。</w:t>
      </w:r>
    </w:p>
    <w:p w14:paraId="2E39DDA5">
      <w:pPr>
        <w:spacing w:line="360" w:lineRule="auto"/>
        <w:ind w:firstLine="630" w:firstLineChars="300"/>
        <w:rPr>
          <w:rFonts w:hint="eastAsia" w:ascii="宋体" w:hAnsi="宋体" w:cs="宋体"/>
          <w:szCs w:val="21"/>
        </w:rPr>
      </w:pPr>
      <w:r>
        <w:rPr>
          <w:rFonts w:hint="eastAsia" w:ascii="宋体" w:hAnsi="宋体" w:cs="宋体"/>
          <w:szCs w:val="21"/>
        </w:rPr>
        <w:t>（3）监理人出具进度付款证书，不应视为监理人已同意、批准或接受了承包人完成的该部分工作。</w:t>
      </w:r>
    </w:p>
    <w:p w14:paraId="60C19466">
      <w:pPr>
        <w:spacing w:line="360" w:lineRule="auto"/>
        <w:ind w:firstLine="630" w:firstLineChars="300"/>
        <w:rPr>
          <w:rFonts w:hint="eastAsia" w:ascii="宋体" w:hAnsi="宋体" w:cs="宋体"/>
          <w:szCs w:val="21"/>
        </w:rPr>
      </w:pPr>
      <w:r>
        <w:rPr>
          <w:rFonts w:hint="eastAsia" w:ascii="宋体" w:hAnsi="宋体" w:cs="宋体"/>
          <w:szCs w:val="21"/>
        </w:rPr>
        <w:t>（4）进度付款涉及政府投资资金的，按照国库集中支付等国家相关规定和合同约定办理。进度付款涉及政府性资金的支付方法见合同条款专用部分。</w:t>
      </w:r>
    </w:p>
    <w:p w14:paraId="69D8D893">
      <w:pPr>
        <w:spacing w:line="360" w:lineRule="auto"/>
        <w:ind w:firstLine="630" w:firstLineChars="300"/>
        <w:rPr>
          <w:rFonts w:hint="eastAsia" w:ascii="宋体" w:hAnsi="宋体" w:cs="宋体"/>
          <w:szCs w:val="21"/>
        </w:rPr>
      </w:pPr>
      <w:r>
        <w:rPr>
          <w:rFonts w:hint="eastAsia" w:ascii="宋体" w:hAnsi="宋体" w:cs="宋体"/>
          <w:szCs w:val="21"/>
        </w:rPr>
        <w:t>17.3.4  工程进度付款的修正</w:t>
      </w:r>
    </w:p>
    <w:p w14:paraId="301DC05D">
      <w:pPr>
        <w:spacing w:line="360" w:lineRule="auto"/>
        <w:ind w:firstLine="630" w:firstLineChars="300"/>
        <w:rPr>
          <w:rFonts w:hint="eastAsia" w:ascii="宋体" w:hAnsi="宋体" w:cs="宋体"/>
          <w:szCs w:val="21"/>
        </w:rPr>
      </w:pPr>
      <w:r>
        <w:rPr>
          <w:rFonts w:hint="eastAsia" w:ascii="宋体" w:hAnsi="宋体" w:cs="宋体"/>
          <w:szCs w:val="21"/>
        </w:rPr>
        <w:t>在对以往历次已签发的进度付款证书进行汇总和复核中发现错、漏或重复的，监理人有权予以修正，承包人也有权提出修正申请。经双方复核同意的修正，应在本次进度付款中支付或扣除。</w:t>
      </w:r>
    </w:p>
    <w:p w14:paraId="08EAFFCF">
      <w:pPr>
        <w:spacing w:line="360" w:lineRule="auto"/>
        <w:ind w:firstLine="630" w:firstLineChars="300"/>
        <w:rPr>
          <w:rFonts w:hint="eastAsia" w:ascii="宋体" w:hAnsi="宋体" w:cs="宋体"/>
          <w:szCs w:val="21"/>
        </w:rPr>
      </w:pPr>
      <w:r>
        <w:rPr>
          <w:rFonts w:hint="eastAsia" w:ascii="宋体" w:hAnsi="宋体" w:cs="宋体"/>
          <w:szCs w:val="21"/>
        </w:rPr>
        <w:t>17.3.5  临时付款证书</w:t>
      </w:r>
    </w:p>
    <w:p w14:paraId="351A4CAC">
      <w:pPr>
        <w:spacing w:line="360" w:lineRule="auto"/>
        <w:ind w:firstLine="630" w:firstLineChars="300"/>
        <w:rPr>
          <w:rFonts w:hint="eastAsia" w:ascii="宋体" w:hAnsi="宋体" w:cs="宋体"/>
          <w:szCs w:val="21"/>
        </w:rPr>
      </w:pPr>
      <w:r>
        <w:rPr>
          <w:rFonts w:hint="eastAsia" w:ascii="宋体" w:hAnsi="宋体" w:cs="宋体"/>
          <w:szCs w:val="21"/>
        </w:rPr>
        <w:t>在合同约定的期限内，承包人和监理人无法对当期已完工程量和按合同约定应当支付的其他款项达成一致的，监理人应当在收到承包人报送的进度付款申请单等文件后 14 天内， 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 28 天内，将临时付款证书中确定的 应付金额支付给承包人。发包人和监理人均不得以任何理由延期支付工程进度付款。</w:t>
      </w:r>
    </w:p>
    <w:p w14:paraId="03AD3C6A">
      <w:pPr>
        <w:spacing w:line="360" w:lineRule="auto"/>
        <w:ind w:firstLine="630" w:firstLineChars="300"/>
        <w:rPr>
          <w:rFonts w:hint="eastAsia" w:ascii="宋体" w:hAnsi="宋体" w:cs="宋体"/>
          <w:szCs w:val="21"/>
        </w:rPr>
      </w:pPr>
      <w:r>
        <w:rPr>
          <w:rFonts w:hint="eastAsia" w:ascii="宋体" w:hAnsi="宋体" w:cs="宋体"/>
          <w:szCs w:val="21"/>
        </w:rPr>
        <w:t>对临时付款证书中承包人有异议部分的金额，承包人应当按照监理人要求，提交进一步的支持性文件，经监理人进一步审核并认可的应付金额，应当按第 17.3.4 项的约定纳入到下一期进度付款证书中。经过进一步努力，承包人仍有异议的，按合同条款第 24 条的约定办理。</w:t>
      </w:r>
    </w:p>
    <w:p w14:paraId="636889AC">
      <w:pPr>
        <w:spacing w:line="360" w:lineRule="auto"/>
        <w:ind w:firstLine="630" w:firstLineChars="300"/>
        <w:rPr>
          <w:rFonts w:hint="eastAsia" w:ascii="宋体" w:hAnsi="宋体" w:cs="宋体"/>
          <w:szCs w:val="21"/>
        </w:rPr>
      </w:pPr>
      <w:r>
        <w:rPr>
          <w:rFonts w:hint="eastAsia" w:ascii="宋体" w:hAnsi="宋体" w:cs="宋体"/>
          <w:szCs w:val="21"/>
        </w:rPr>
        <w:t>有异议款项中经监理人进一步审核后认可的，或者经过合同条款第 24 条约定的争议解决方式确定的应付金额，其应付之日为引发异议的进度付款证书的应付之日，承包人有权得到按第 17.3.3（2） 目约定计算的逾期付款违约金。</w:t>
      </w:r>
    </w:p>
    <w:p w14:paraId="4C045429">
      <w:pPr>
        <w:spacing w:line="360" w:lineRule="auto"/>
        <w:rPr>
          <w:rFonts w:hint="eastAsia" w:ascii="宋体" w:hAnsi="宋体" w:cs="宋体"/>
          <w:sz w:val="24"/>
        </w:rPr>
      </w:pPr>
      <w:r>
        <w:rPr>
          <w:rFonts w:hint="eastAsia" w:ascii="宋体" w:hAnsi="宋体" w:cs="宋体"/>
          <w:sz w:val="24"/>
        </w:rPr>
        <w:t>17.4  质量保证金</w:t>
      </w:r>
    </w:p>
    <w:p w14:paraId="23D10442">
      <w:pPr>
        <w:spacing w:line="360" w:lineRule="auto"/>
        <w:ind w:firstLine="630" w:firstLineChars="300"/>
        <w:rPr>
          <w:rFonts w:hint="eastAsia" w:ascii="宋体" w:hAnsi="宋体" w:cs="宋体"/>
          <w:szCs w:val="21"/>
        </w:rPr>
      </w:pPr>
      <w:r>
        <w:rPr>
          <w:rFonts w:hint="eastAsia" w:ascii="宋体" w:hAnsi="宋体" w:cs="宋体"/>
          <w:szCs w:val="21"/>
        </w:rPr>
        <w:t>17.4.1  质量保证金处理</w:t>
      </w:r>
    </w:p>
    <w:p w14:paraId="291564F8">
      <w:pPr>
        <w:spacing w:line="360" w:lineRule="auto"/>
        <w:ind w:firstLine="630" w:firstLineChars="300"/>
        <w:rPr>
          <w:rFonts w:hint="eastAsia" w:ascii="宋体" w:hAnsi="宋体" w:cs="宋体"/>
          <w:szCs w:val="21"/>
        </w:rPr>
      </w:pPr>
      <w:r>
        <w:rPr>
          <w:rFonts w:hint="eastAsia" w:ascii="宋体" w:hAnsi="宋体" w:cs="宋体"/>
          <w:szCs w:val="21"/>
        </w:rPr>
        <w:t>（1）合同条款专用部分第4.2.1 项约定不提交履约担保，采用扣留质量保证金的，质量保证金由监理人从第一个付款周期开始按进度付款证书确认的已实施工程的合同清单价款、已实施工程的工程量清单缺陷调整价款、根据合同条款第 15 条增加和扣减的变更金额、根据合同条款第 23 条增加和扣减的索赔金额以及根据合同应增加和扣减的其他金额（不包括预付款的支付、返还、此前已经按合同约定支付给承包人的进度款以及已经扣留的质量保 证金）的总额的约定比例扣留，直至质量保证金累计扣留金额达到竣工结算合同总价的约定比例为止；</w:t>
      </w:r>
    </w:p>
    <w:p w14:paraId="479ED0B3">
      <w:pPr>
        <w:spacing w:line="360" w:lineRule="auto"/>
        <w:ind w:firstLine="630" w:firstLineChars="300"/>
        <w:rPr>
          <w:rFonts w:hint="eastAsia" w:ascii="宋体" w:hAnsi="宋体" w:cs="宋体"/>
          <w:szCs w:val="21"/>
        </w:rPr>
      </w:pPr>
      <w:r>
        <w:rPr>
          <w:rFonts w:hint="eastAsia" w:ascii="宋体" w:hAnsi="宋体" w:cs="宋体"/>
          <w:szCs w:val="21"/>
        </w:rPr>
        <w:t>采用质量保证金保函担保形式的，工程竣工前，不得扣留质量保证金。</w:t>
      </w:r>
    </w:p>
    <w:p w14:paraId="2836C346">
      <w:pPr>
        <w:spacing w:line="360" w:lineRule="auto"/>
        <w:ind w:firstLine="630" w:firstLineChars="300"/>
        <w:rPr>
          <w:rFonts w:hint="eastAsia" w:ascii="宋体" w:hAnsi="宋体" w:cs="宋体"/>
          <w:szCs w:val="21"/>
        </w:rPr>
      </w:pPr>
      <w:r>
        <w:rPr>
          <w:rFonts w:hint="eastAsia" w:ascii="宋体" w:hAnsi="宋体" w:cs="宋体"/>
          <w:szCs w:val="21"/>
        </w:rPr>
        <w:t>（2）合同条款专用部分第4.2.1 项约定提交履约担保，采用扣留质量保证金的，在第17.5 款竣工结算中，应当按照竣工结算合同总价约定的比例扣留质量保证金；采用质量保证金保函担保形式的，工程竣工前，不得扣留质量保证金。</w:t>
      </w:r>
    </w:p>
    <w:p w14:paraId="7D011AE5">
      <w:pPr>
        <w:spacing w:line="360" w:lineRule="auto"/>
        <w:ind w:firstLine="630" w:firstLineChars="300"/>
        <w:rPr>
          <w:rFonts w:hint="eastAsia" w:ascii="宋体" w:hAnsi="宋体" w:cs="宋体"/>
          <w:szCs w:val="21"/>
        </w:rPr>
      </w:pPr>
      <w:r>
        <w:rPr>
          <w:rFonts w:hint="eastAsia" w:ascii="宋体" w:hAnsi="宋体" w:cs="宋体"/>
          <w:szCs w:val="21"/>
        </w:rPr>
        <w:t>（3）质量保证金的形式与约定比例见合同条款专用部分。</w:t>
      </w:r>
    </w:p>
    <w:p w14:paraId="150E3B67">
      <w:pPr>
        <w:spacing w:line="360" w:lineRule="auto"/>
        <w:ind w:firstLine="630" w:firstLineChars="300"/>
        <w:rPr>
          <w:rFonts w:hint="eastAsia" w:ascii="宋体" w:hAnsi="宋体" w:cs="宋体"/>
          <w:szCs w:val="21"/>
        </w:rPr>
      </w:pPr>
      <w:r>
        <w:rPr>
          <w:rFonts w:hint="eastAsia" w:ascii="宋体" w:hAnsi="宋体" w:cs="宋体"/>
          <w:szCs w:val="21"/>
        </w:rPr>
        <w:t>17.4.2  在第 1.1.4.5 目约定的缺陷责任期满时，承包人向发包人申请到期应返还承包人剩余的质量保证金金额或退还保函担保，发包人应在 14 天内会同承包人按照合同约定的内容核实承包人是否完成缺陷责任。如无异议，发包人应当在核实后将剩余保证金返还承包人或将其保函退还承包人。</w:t>
      </w:r>
    </w:p>
    <w:p w14:paraId="29027DC0">
      <w:pPr>
        <w:spacing w:line="360" w:lineRule="auto"/>
        <w:ind w:firstLine="630" w:firstLineChars="300"/>
        <w:rPr>
          <w:rFonts w:hint="eastAsia" w:ascii="宋体" w:hAnsi="宋体" w:cs="宋体"/>
          <w:szCs w:val="21"/>
        </w:rPr>
      </w:pPr>
      <w:r>
        <w:rPr>
          <w:rFonts w:hint="eastAsia" w:ascii="宋体" w:hAnsi="宋体" w:cs="宋体"/>
          <w:szCs w:val="21"/>
        </w:rPr>
        <w:t>17.4.3  在第 1.1.4.5 目约定的缺陷责任期满时，承包人没有完成缺陷责任的，发包人有权扣留与未履行责任剩余工作所需金额相应的质量保证金余额或依据其保函担保约定追究责任，并有权根据第 19.3 款约定要求延长缺陷责任期，直至完成剩余工作为止。</w:t>
      </w:r>
    </w:p>
    <w:p w14:paraId="3A7167FC">
      <w:pPr>
        <w:spacing w:line="360" w:lineRule="auto"/>
        <w:rPr>
          <w:rFonts w:hint="eastAsia" w:ascii="宋体" w:hAnsi="宋体" w:cs="宋体"/>
          <w:sz w:val="24"/>
        </w:rPr>
      </w:pPr>
      <w:r>
        <w:rPr>
          <w:rFonts w:hint="eastAsia" w:ascii="宋体" w:hAnsi="宋体" w:cs="宋体"/>
          <w:sz w:val="24"/>
        </w:rPr>
        <w:t>17.5  竣工结算</w:t>
      </w:r>
    </w:p>
    <w:p w14:paraId="65AD6EEA">
      <w:pPr>
        <w:spacing w:line="360" w:lineRule="auto"/>
        <w:ind w:firstLine="630" w:firstLineChars="300"/>
        <w:rPr>
          <w:rFonts w:hint="eastAsia" w:ascii="宋体" w:hAnsi="宋体" w:cs="宋体"/>
          <w:szCs w:val="21"/>
        </w:rPr>
      </w:pPr>
      <w:r>
        <w:rPr>
          <w:rFonts w:hint="eastAsia" w:ascii="宋体" w:hAnsi="宋体" w:cs="宋体"/>
          <w:szCs w:val="21"/>
        </w:rPr>
        <w:t>17.5.1  过程结算</w:t>
      </w:r>
    </w:p>
    <w:p w14:paraId="424E461E">
      <w:pPr>
        <w:spacing w:line="360" w:lineRule="auto"/>
        <w:ind w:firstLine="630" w:firstLineChars="300"/>
        <w:rPr>
          <w:rFonts w:hint="eastAsia" w:ascii="宋体" w:hAnsi="宋体" w:cs="宋体"/>
          <w:szCs w:val="21"/>
        </w:rPr>
      </w:pPr>
      <w:r>
        <w:rPr>
          <w:rFonts w:hint="eastAsia" w:ascii="宋体" w:hAnsi="宋体" w:cs="宋体"/>
          <w:szCs w:val="21"/>
        </w:rPr>
        <w:t>本工程是否进行过程结算及相关要求见合同条款专用部分。</w:t>
      </w:r>
    </w:p>
    <w:p w14:paraId="4E673B3B">
      <w:pPr>
        <w:spacing w:line="360" w:lineRule="auto"/>
        <w:ind w:firstLine="630" w:firstLineChars="300"/>
        <w:rPr>
          <w:rFonts w:hint="eastAsia" w:ascii="宋体" w:hAnsi="宋体" w:cs="宋体"/>
          <w:szCs w:val="21"/>
        </w:rPr>
      </w:pPr>
      <w:r>
        <w:rPr>
          <w:rFonts w:hint="eastAsia" w:ascii="宋体" w:hAnsi="宋体" w:cs="宋体"/>
          <w:szCs w:val="21"/>
        </w:rPr>
        <w:t>17.5.2  竣工付款申请单</w:t>
      </w:r>
    </w:p>
    <w:p w14:paraId="0D5AFB49">
      <w:pPr>
        <w:spacing w:line="360" w:lineRule="auto"/>
        <w:ind w:firstLine="630" w:firstLineChars="300"/>
        <w:rPr>
          <w:rFonts w:hint="eastAsia" w:ascii="宋体" w:hAnsi="宋体" w:cs="宋体"/>
          <w:szCs w:val="21"/>
        </w:rPr>
      </w:pPr>
      <w:r>
        <w:rPr>
          <w:rFonts w:hint="eastAsia" w:ascii="宋体" w:hAnsi="宋体" w:cs="宋体"/>
          <w:szCs w:val="21"/>
        </w:rPr>
        <w:t>（1）工程接收证书颁发后，承包人应按合同约定的份数和期限向监理人提交竣工付款 申请单，并提供相关证明材料。承包人提交竣工付款申请单份数和期限见合同条款专用部分。</w:t>
      </w:r>
    </w:p>
    <w:p w14:paraId="713582B5">
      <w:pPr>
        <w:spacing w:line="360" w:lineRule="auto"/>
        <w:ind w:firstLine="630" w:firstLineChars="300"/>
        <w:rPr>
          <w:rFonts w:hint="eastAsia" w:ascii="宋体" w:hAnsi="宋体" w:cs="宋体"/>
          <w:szCs w:val="21"/>
        </w:rPr>
      </w:pPr>
      <w:r>
        <w:rPr>
          <w:rFonts w:hint="eastAsia" w:ascii="宋体" w:hAnsi="宋体" w:cs="宋体"/>
          <w:szCs w:val="21"/>
        </w:rPr>
        <w:t>（2）竣工付款申请单应包括下列内容：竣工结算合同总价、发包人已支付承包人的工 程价款、应扣留的质量保证金、应支付的竣工付款金额和应支付或扣减的其他内容金额。竣 工付款申请单的其他内容见合同条款专用部分。</w:t>
      </w:r>
    </w:p>
    <w:p w14:paraId="3B1C310C">
      <w:pPr>
        <w:spacing w:line="360" w:lineRule="auto"/>
        <w:ind w:firstLine="630" w:firstLineChars="300"/>
        <w:rPr>
          <w:rFonts w:hint="eastAsia" w:ascii="宋体" w:hAnsi="宋体" w:cs="宋体"/>
          <w:szCs w:val="21"/>
        </w:rPr>
      </w:pPr>
      <w:r>
        <w:rPr>
          <w:rFonts w:hint="eastAsia" w:ascii="宋体" w:hAnsi="宋体" w:cs="宋体"/>
          <w:szCs w:val="21"/>
        </w:rPr>
        <w:t>（3）监理人对竣工付款申请单有异议的，有权要求承包人进行修正和提供补充资料。 经监理人和承包人协商后， 由承包人向监理人提交修正后的竣工付款申请单。</w:t>
      </w:r>
    </w:p>
    <w:p w14:paraId="6EF6F348">
      <w:pPr>
        <w:spacing w:line="360" w:lineRule="auto"/>
        <w:ind w:firstLine="630" w:firstLineChars="300"/>
        <w:rPr>
          <w:rFonts w:hint="eastAsia" w:ascii="宋体" w:hAnsi="宋体" w:cs="宋体"/>
          <w:szCs w:val="21"/>
        </w:rPr>
      </w:pPr>
      <w:r>
        <w:rPr>
          <w:rFonts w:hint="eastAsia" w:ascii="宋体" w:hAnsi="宋体" w:cs="宋体"/>
          <w:szCs w:val="21"/>
        </w:rPr>
        <w:t>（4）承包人未按本项约定的期限和内容提交竣工付款申请单或者未按第 17.5.2（3） 目约定提交修正后的竣工付款申请单，经监理人催促后 14 天内仍未提交或者没有明确答复 的，监理人和发包人有权根据已有资料进行审查，审查确定的竣工结算合同总价和竣工付款 金额视同是经承包人认可的工程竣工结算合同总价和竣工付款金额。</w:t>
      </w:r>
    </w:p>
    <w:p w14:paraId="41675037">
      <w:pPr>
        <w:spacing w:line="360" w:lineRule="auto"/>
        <w:ind w:firstLine="630" w:firstLineChars="300"/>
        <w:rPr>
          <w:rFonts w:hint="eastAsia" w:ascii="宋体" w:hAnsi="宋体" w:cs="宋体"/>
          <w:szCs w:val="21"/>
        </w:rPr>
      </w:pPr>
      <w:r>
        <w:rPr>
          <w:rFonts w:hint="eastAsia" w:ascii="宋体" w:hAnsi="宋体" w:cs="宋体"/>
          <w:szCs w:val="21"/>
        </w:rPr>
        <w:t>17.5.3  竣工付款证书及支付时间</w:t>
      </w:r>
    </w:p>
    <w:p w14:paraId="2BC5805A">
      <w:pPr>
        <w:spacing w:line="360" w:lineRule="auto"/>
        <w:ind w:firstLine="630" w:firstLineChars="300"/>
        <w:rPr>
          <w:rFonts w:hint="eastAsia" w:ascii="宋体" w:hAnsi="宋体" w:cs="宋体"/>
          <w:szCs w:val="21"/>
        </w:rPr>
      </w:pPr>
      <w:r>
        <w:rPr>
          <w:rFonts w:hint="eastAsia" w:ascii="宋体" w:hAnsi="宋体" w:cs="宋体"/>
          <w:szCs w:val="21"/>
        </w:rPr>
        <w:t>（1）监理人在收到承包人提交的竣工付款申请单后的 14 天内完成审核，并提出发包人到期应支付给承包人的价款等审核意见，报送发包人审核。发包人应在收到后 14 天内审核完毕，由监理人向承包人出具经发包人签字确认的竣工付款证书。监理人未在约定时间内提出具体意见的，视为承包人提交的竣工付款申请单已经监理人核查同意；发包人未在约定时 间内提出具体意见的，监理人提出发包人到期应支付给承包人的价款视为已经发包人同意。</w:t>
      </w:r>
    </w:p>
    <w:p w14:paraId="6731F120">
      <w:pPr>
        <w:spacing w:line="360" w:lineRule="auto"/>
        <w:ind w:firstLine="630" w:firstLineChars="300"/>
        <w:rPr>
          <w:rFonts w:hint="eastAsia" w:ascii="宋体" w:hAnsi="宋体" w:cs="宋体"/>
          <w:szCs w:val="21"/>
        </w:rPr>
      </w:pPr>
      <w:r>
        <w:rPr>
          <w:rFonts w:hint="eastAsia" w:ascii="宋体" w:hAnsi="宋体" w:cs="宋体"/>
          <w:szCs w:val="21"/>
        </w:rPr>
        <w:t>（2）发包人应在监理人出具竣工付款证书后的 14 天内，将应支付款支付给承包人。发包人不按期支付的，按第 17.3.3（2） 目的约定，将逾期付款违约金支付给承包人。</w:t>
      </w:r>
    </w:p>
    <w:p w14:paraId="1D223B39">
      <w:pPr>
        <w:spacing w:line="360" w:lineRule="auto"/>
        <w:ind w:firstLine="630" w:firstLineChars="300"/>
        <w:rPr>
          <w:rFonts w:hint="eastAsia" w:ascii="宋体" w:hAnsi="宋体" w:cs="宋体"/>
          <w:szCs w:val="21"/>
        </w:rPr>
      </w:pPr>
      <w:r>
        <w:rPr>
          <w:rFonts w:hint="eastAsia" w:ascii="宋体" w:hAnsi="宋体" w:cs="宋体"/>
          <w:szCs w:val="21"/>
        </w:rPr>
        <w:t>（3）如竣工付款证书中显示进度款支付超出实际已完成工程价款的情况，承包人应在监理人出具竣工付款证书后 30 日内向发包人返还多收到的工程进度款。</w:t>
      </w:r>
    </w:p>
    <w:p w14:paraId="66AD771C">
      <w:pPr>
        <w:spacing w:line="360" w:lineRule="auto"/>
        <w:ind w:firstLine="630" w:firstLineChars="300"/>
        <w:rPr>
          <w:rFonts w:hint="eastAsia" w:ascii="宋体" w:hAnsi="宋体" w:cs="宋体"/>
          <w:szCs w:val="21"/>
        </w:rPr>
      </w:pPr>
      <w:r>
        <w:rPr>
          <w:rFonts w:hint="eastAsia" w:ascii="宋体" w:hAnsi="宋体" w:cs="宋体"/>
          <w:szCs w:val="21"/>
        </w:rPr>
        <w:t>（4）承包人对发包人签认的竣工付款证书有异议的，发包人可出具竣工付款申请单中与承包人达成一致意见部分的临时付款证书。存在争议的部分，按第 24 条“争议的解决 ” 的约定办理。</w:t>
      </w:r>
    </w:p>
    <w:p w14:paraId="53055171">
      <w:pPr>
        <w:spacing w:line="360" w:lineRule="auto"/>
        <w:ind w:firstLine="630" w:firstLineChars="300"/>
        <w:rPr>
          <w:rFonts w:hint="eastAsia" w:ascii="宋体" w:hAnsi="宋体" w:cs="宋体"/>
          <w:szCs w:val="21"/>
        </w:rPr>
      </w:pPr>
      <w:r>
        <w:rPr>
          <w:rFonts w:hint="eastAsia" w:ascii="宋体" w:hAnsi="宋体" w:cs="宋体"/>
          <w:szCs w:val="21"/>
        </w:rPr>
        <w:t>（5）竣工付款涉及政府投资资金的，按第 17.3.3（4） 目的约定办理。</w:t>
      </w:r>
    </w:p>
    <w:p w14:paraId="4DF07385">
      <w:pPr>
        <w:spacing w:line="360" w:lineRule="auto"/>
        <w:ind w:firstLine="630" w:firstLineChars="300"/>
        <w:rPr>
          <w:rFonts w:hint="eastAsia" w:ascii="宋体" w:hAnsi="宋体" w:cs="宋体"/>
          <w:szCs w:val="21"/>
        </w:rPr>
      </w:pPr>
      <w:r>
        <w:rPr>
          <w:rFonts w:hint="eastAsia" w:ascii="宋体" w:hAnsi="宋体" w:cs="宋体"/>
          <w:szCs w:val="21"/>
        </w:rPr>
        <w:t>17.5.4  除第 17.5.5 项约定的情况外，发包人和承包人应当在监理人颁发（出具）工程接收证书后 56 天内办清竣工结算和竣工付款。</w:t>
      </w:r>
    </w:p>
    <w:p w14:paraId="40C2D99D">
      <w:pPr>
        <w:spacing w:line="360" w:lineRule="auto"/>
        <w:ind w:firstLine="630" w:firstLineChars="300"/>
        <w:rPr>
          <w:rFonts w:hint="eastAsia" w:ascii="宋体" w:hAnsi="宋体" w:cs="宋体"/>
          <w:sz w:val="24"/>
        </w:rPr>
      </w:pPr>
      <w:r>
        <w:rPr>
          <w:rFonts w:hint="eastAsia" w:ascii="宋体" w:hAnsi="宋体" w:cs="宋体"/>
          <w:szCs w:val="21"/>
        </w:rPr>
        <w:t>17.5.5  政府投资或者以政府投资为主的建设项目纳入审计项目计划的，发包人和承包人均负有配合、接受审计机关审计的义务，竣工结算应当依据审计结论，办清竣工结算和竣工付款的时间按照相关规定执行。</w:t>
      </w:r>
    </w:p>
    <w:p w14:paraId="1786970C">
      <w:pPr>
        <w:spacing w:line="360" w:lineRule="auto"/>
        <w:rPr>
          <w:rFonts w:hint="eastAsia" w:ascii="宋体" w:hAnsi="宋体" w:cs="宋体"/>
          <w:sz w:val="24"/>
        </w:rPr>
      </w:pPr>
      <w:r>
        <w:rPr>
          <w:rFonts w:hint="eastAsia" w:ascii="宋体" w:hAnsi="宋体" w:cs="宋体"/>
          <w:sz w:val="24"/>
        </w:rPr>
        <w:t>17.6  最终结清</w:t>
      </w:r>
    </w:p>
    <w:p w14:paraId="15BCAAC1">
      <w:pPr>
        <w:spacing w:line="360" w:lineRule="auto"/>
        <w:ind w:firstLine="630" w:firstLineChars="300"/>
        <w:rPr>
          <w:rFonts w:hint="eastAsia" w:ascii="宋体" w:hAnsi="宋体" w:cs="宋体"/>
          <w:szCs w:val="21"/>
        </w:rPr>
      </w:pPr>
      <w:r>
        <w:rPr>
          <w:rFonts w:hint="eastAsia" w:ascii="宋体" w:hAnsi="宋体" w:cs="宋体"/>
          <w:szCs w:val="21"/>
        </w:rPr>
        <w:t>17.6.1  最终结清申请单</w:t>
      </w:r>
    </w:p>
    <w:p w14:paraId="54E5A7B8">
      <w:pPr>
        <w:spacing w:line="360" w:lineRule="auto"/>
        <w:ind w:firstLine="630" w:firstLineChars="300"/>
        <w:rPr>
          <w:rFonts w:hint="eastAsia" w:ascii="宋体" w:hAnsi="宋体" w:cs="宋体"/>
          <w:szCs w:val="21"/>
        </w:rPr>
      </w:pPr>
      <w:r>
        <w:rPr>
          <w:rFonts w:hint="eastAsia" w:ascii="宋体" w:hAnsi="宋体" w:cs="宋体"/>
          <w:szCs w:val="21"/>
        </w:rPr>
        <w:t>（1）缺陷责任期终止证书签发后，承包人可按合同约定的份数和期限向监理人提交最终结清申请单，并提供相关证明材料。承包人提交最终结清申请单的份数和期限见合同条款专用部分。</w:t>
      </w:r>
    </w:p>
    <w:p w14:paraId="2E8EAB63">
      <w:pPr>
        <w:spacing w:line="360" w:lineRule="auto"/>
        <w:ind w:firstLine="630" w:firstLineChars="300"/>
        <w:rPr>
          <w:rFonts w:hint="eastAsia" w:ascii="宋体" w:hAnsi="宋体" w:cs="宋体"/>
          <w:szCs w:val="21"/>
        </w:rPr>
      </w:pPr>
      <w:r>
        <w:rPr>
          <w:rFonts w:hint="eastAsia" w:ascii="宋体" w:hAnsi="宋体" w:cs="宋体"/>
          <w:szCs w:val="21"/>
        </w:rPr>
        <w:t>发包人向承包人支付质量保证金利息的，承包人应按照约定的利息计算方法计算利息， 并列入最终结清申请单中。是否支付质量保证金利息及利息计算方法见合同条款专用部分。</w:t>
      </w:r>
    </w:p>
    <w:p w14:paraId="2DB929EB">
      <w:pPr>
        <w:spacing w:line="360" w:lineRule="auto"/>
        <w:ind w:firstLine="630" w:firstLineChars="300"/>
        <w:rPr>
          <w:rFonts w:hint="eastAsia" w:ascii="宋体" w:hAnsi="宋体" w:cs="宋体"/>
          <w:szCs w:val="21"/>
        </w:rPr>
      </w:pPr>
      <w:r>
        <w:rPr>
          <w:rFonts w:hint="eastAsia" w:ascii="宋体" w:hAnsi="宋体" w:cs="宋体"/>
          <w:szCs w:val="21"/>
        </w:rPr>
        <w:t>（2）发包人对最终结清申请单内容有异议的，有权要求承包人进行修正和提供补充资料， 由承包人向监理人提交修正后的最终结清申请单。</w:t>
      </w:r>
    </w:p>
    <w:p w14:paraId="09C43FB0">
      <w:pPr>
        <w:spacing w:line="360" w:lineRule="auto"/>
        <w:ind w:firstLine="630" w:firstLineChars="300"/>
        <w:rPr>
          <w:rFonts w:hint="eastAsia" w:ascii="宋体" w:hAnsi="宋体" w:cs="宋体"/>
          <w:szCs w:val="21"/>
        </w:rPr>
      </w:pPr>
      <w:r>
        <w:rPr>
          <w:rFonts w:hint="eastAsia" w:ascii="宋体" w:hAnsi="宋体" w:cs="宋体"/>
          <w:szCs w:val="21"/>
        </w:rPr>
        <w:t>17.6.2  最终结清证书和支付时间</w:t>
      </w:r>
    </w:p>
    <w:p w14:paraId="59459804">
      <w:pPr>
        <w:spacing w:line="360" w:lineRule="auto"/>
        <w:ind w:firstLine="630" w:firstLineChars="300"/>
        <w:rPr>
          <w:rFonts w:hint="eastAsia" w:ascii="宋体" w:hAnsi="宋体" w:cs="宋体"/>
          <w:szCs w:val="21"/>
        </w:rPr>
      </w:pPr>
      <w:r>
        <w:rPr>
          <w:rFonts w:hint="eastAsia" w:ascii="宋体" w:hAnsi="宋体" w:cs="宋体"/>
          <w:szCs w:val="21"/>
        </w:rPr>
        <w:t>（1）监理人收到承包人提交的最终结清申请单后的 14 天内，提出发包人应支付给承包人的价款等审核意见，并报送发包人审核。发包人应在收到后 14 天内审核完毕， 由监理人 向承包人出具经发包人签认的最终结清证书。监理人未在约定时间内提出具体意见的，视为 承包人提交的最终结清申请已经监理人核查同意；发包人未在约定时间内提出具体意见的， 监理人提出应支付给承包人的价款视为已经发包人同意。</w:t>
      </w:r>
    </w:p>
    <w:p w14:paraId="52C2E0B7">
      <w:pPr>
        <w:spacing w:line="360" w:lineRule="auto"/>
        <w:ind w:firstLine="630" w:firstLineChars="300"/>
        <w:rPr>
          <w:rFonts w:hint="eastAsia" w:ascii="宋体" w:hAnsi="宋体" w:cs="宋体"/>
          <w:szCs w:val="21"/>
        </w:rPr>
      </w:pPr>
      <w:r>
        <w:rPr>
          <w:rFonts w:hint="eastAsia" w:ascii="宋体" w:hAnsi="宋体" w:cs="宋体"/>
          <w:szCs w:val="21"/>
        </w:rPr>
        <w:t>（2）发包人应在监理人出具最终结清证书后的 14 天内，将应支付款支付给承包人。发 包人不按期支付的，按第 17.3.3（2） 目的约定，将逾期付款违约金支付给承包人。</w:t>
      </w:r>
    </w:p>
    <w:p w14:paraId="78AFB82E">
      <w:pPr>
        <w:spacing w:line="360" w:lineRule="auto"/>
        <w:ind w:firstLine="630" w:firstLineChars="300"/>
        <w:rPr>
          <w:rFonts w:hint="eastAsia" w:ascii="宋体" w:hAnsi="宋体" w:cs="宋体"/>
          <w:szCs w:val="21"/>
        </w:rPr>
      </w:pPr>
      <w:r>
        <w:rPr>
          <w:rFonts w:hint="eastAsia" w:ascii="宋体" w:hAnsi="宋体" w:cs="宋体"/>
          <w:szCs w:val="21"/>
        </w:rPr>
        <w:t>（3）承包人对发包人签认的最终结清证书有异议的，按第 24 条“争议的解决 ”的约定办理。</w:t>
      </w:r>
    </w:p>
    <w:p w14:paraId="6DF7ADF7">
      <w:pPr>
        <w:spacing w:line="360" w:lineRule="auto"/>
        <w:ind w:firstLine="630" w:firstLineChars="300"/>
        <w:rPr>
          <w:rFonts w:hint="eastAsia" w:ascii="宋体" w:hAnsi="宋体" w:cs="宋体"/>
          <w:szCs w:val="21"/>
        </w:rPr>
      </w:pPr>
      <w:r>
        <w:rPr>
          <w:rFonts w:hint="eastAsia" w:ascii="宋体" w:hAnsi="宋体" w:cs="宋体"/>
          <w:szCs w:val="21"/>
        </w:rPr>
        <w:t>（4）最终结清付款涉及政府投资资金的，按第 17.3.3（4） 目的约定办理。</w:t>
      </w:r>
    </w:p>
    <w:p w14:paraId="6E23A536">
      <w:pPr>
        <w:spacing w:line="360" w:lineRule="auto"/>
        <w:rPr>
          <w:rFonts w:hint="eastAsia" w:ascii="宋体" w:hAnsi="宋体" w:cs="宋体"/>
          <w:b/>
          <w:bCs/>
          <w:sz w:val="24"/>
        </w:rPr>
      </w:pPr>
      <w:r>
        <w:rPr>
          <w:rFonts w:hint="eastAsia" w:ascii="宋体" w:hAnsi="宋体" w:cs="宋体"/>
          <w:b/>
          <w:bCs/>
          <w:sz w:val="24"/>
        </w:rPr>
        <w:t>18.竣工验收</w:t>
      </w:r>
    </w:p>
    <w:p w14:paraId="160522DC">
      <w:pPr>
        <w:spacing w:line="360" w:lineRule="auto"/>
        <w:rPr>
          <w:rFonts w:hint="eastAsia" w:ascii="宋体" w:hAnsi="宋体" w:cs="宋体"/>
          <w:sz w:val="24"/>
        </w:rPr>
      </w:pPr>
      <w:r>
        <w:rPr>
          <w:rFonts w:hint="eastAsia" w:ascii="宋体" w:hAnsi="宋体" w:cs="宋体"/>
          <w:sz w:val="24"/>
        </w:rPr>
        <w:t>18.1  竣工验收的含义</w:t>
      </w:r>
    </w:p>
    <w:p w14:paraId="30D177AE">
      <w:pPr>
        <w:spacing w:line="360" w:lineRule="auto"/>
        <w:ind w:firstLine="630" w:firstLineChars="300"/>
        <w:rPr>
          <w:rFonts w:hint="eastAsia" w:ascii="宋体" w:hAnsi="宋体" w:cs="宋体"/>
          <w:szCs w:val="21"/>
        </w:rPr>
      </w:pPr>
      <w:r>
        <w:rPr>
          <w:rFonts w:hint="eastAsia" w:ascii="宋体" w:hAnsi="宋体" w:cs="宋体"/>
          <w:szCs w:val="21"/>
        </w:rPr>
        <w:t>18.1.1  竣工验收指承包人完成了全部合同工作后，发包人按合同要求进行的验收。</w:t>
      </w:r>
    </w:p>
    <w:p w14:paraId="3D23408F">
      <w:pPr>
        <w:spacing w:line="360" w:lineRule="auto"/>
        <w:ind w:firstLine="630" w:firstLineChars="300"/>
        <w:rPr>
          <w:rFonts w:hint="eastAsia" w:ascii="宋体" w:hAnsi="宋体" w:cs="宋体"/>
          <w:szCs w:val="21"/>
        </w:rPr>
      </w:pPr>
      <w:r>
        <w:rPr>
          <w:rFonts w:hint="eastAsia" w:ascii="宋体" w:hAnsi="宋体" w:cs="宋体"/>
          <w:szCs w:val="21"/>
        </w:rPr>
        <w:t>18.1.2  国家验收是政府有关部门根据法律、规范、规程和政策要求，针对发包人全面组织实施的整个工程正式交付投运前的验收。</w:t>
      </w:r>
    </w:p>
    <w:p w14:paraId="03B22392">
      <w:pPr>
        <w:spacing w:line="360" w:lineRule="auto"/>
        <w:ind w:firstLine="630" w:firstLineChars="300"/>
        <w:rPr>
          <w:rFonts w:hint="eastAsia" w:ascii="宋体" w:hAnsi="宋体" w:cs="宋体"/>
          <w:szCs w:val="21"/>
        </w:rPr>
      </w:pPr>
      <w:r>
        <w:rPr>
          <w:rFonts w:hint="eastAsia" w:ascii="宋体" w:hAnsi="宋体" w:cs="宋体"/>
          <w:szCs w:val="21"/>
        </w:rPr>
        <w:t>18.1.3  需要进行国家验收的，竣工验收是国家验收的一部分。竣工验收所采用的各项验收和评定标准应符合国家验收标准。发包人和承包人为竣工验收提供的各项竣工验收资料应符合国家验收的要求。</w:t>
      </w:r>
    </w:p>
    <w:p w14:paraId="593FDFA5">
      <w:pPr>
        <w:spacing w:line="360" w:lineRule="auto"/>
        <w:rPr>
          <w:rFonts w:hint="eastAsia" w:ascii="宋体" w:hAnsi="宋体" w:cs="宋体"/>
          <w:sz w:val="24"/>
        </w:rPr>
      </w:pPr>
      <w:r>
        <w:rPr>
          <w:rFonts w:hint="eastAsia" w:ascii="宋体" w:hAnsi="宋体" w:cs="宋体"/>
          <w:sz w:val="24"/>
        </w:rPr>
        <w:t>18.2  竣工验收申请报告</w:t>
      </w:r>
    </w:p>
    <w:p w14:paraId="13D320A0">
      <w:pPr>
        <w:spacing w:line="360" w:lineRule="auto"/>
        <w:ind w:firstLine="630" w:firstLineChars="300"/>
        <w:rPr>
          <w:rFonts w:hint="eastAsia" w:ascii="宋体" w:hAnsi="宋体" w:cs="宋体"/>
          <w:szCs w:val="21"/>
        </w:rPr>
      </w:pPr>
      <w:r>
        <w:rPr>
          <w:rFonts w:hint="eastAsia" w:ascii="宋体" w:hAnsi="宋体" w:cs="宋体"/>
          <w:szCs w:val="21"/>
        </w:rPr>
        <w:t>当工程具备以下条件时，承包人即可向监理人报送竣工验收申请报告：</w:t>
      </w:r>
    </w:p>
    <w:p w14:paraId="16BDC01F">
      <w:pPr>
        <w:spacing w:line="360" w:lineRule="auto"/>
        <w:ind w:firstLine="630" w:firstLineChars="300"/>
        <w:rPr>
          <w:rFonts w:hint="eastAsia" w:ascii="宋体" w:hAnsi="宋体" w:cs="宋体"/>
          <w:szCs w:val="21"/>
        </w:rPr>
      </w:pPr>
      <w:r>
        <w:rPr>
          <w:rFonts w:hint="eastAsia" w:ascii="宋体" w:hAnsi="宋体" w:cs="宋体"/>
          <w:szCs w:val="21"/>
        </w:rPr>
        <w:t>（1）除监理人同意列入缺陷责任期内完成的尾工（甩项）工程和缺陷修补工作外，合同范围内的全部单位工程以及有关工作，包括合同要求的试验、试运行以及检验和验收均已完成，并符合合同要求。</w:t>
      </w:r>
    </w:p>
    <w:p w14:paraId="16AC5F5C">
      <w:pPr>
        <w:spacing w:line="360" w:lineRule="auto"/>
        <w:ind w:firstLine="630" w:firstLineChars="300"/>
        <w:rPr>
          <w:rFonts w:hint="eastAsia" w:ascii="宋体" w:hAnsi="宋体" w:cs="宋体"/>
          <w:szCs w:val="21"/>
        </w:rPr>
      </w:pPr>
      <w:r>
        <w:rPr>
          <w:rFonts w:hint="eastAsia" w:ascii="宋体" w:hAnsi="宋体" w:cs="宋体"/>
          <w:szCs w:val="21"/>
        </w:rPr>
        <w:t>（2）承包人负责整理和提交的竣工验收资料应当符合工程所在地建设行政主管部门和 （或）城市建设档案管理机构有关施工资料的要求，同时已按合同条款专用部分约定备齐了符合要求的竣工资料。竣工验收资料的内容和份数以及费用支付方式见合同条款专用部分。</w:t>
      </w:r>
    </w:p>
    <w:p w14:paraId="73560471">
      <w:pPr>
        <w:spacing w:line="360" w:lineRule="auto"/>
        <w:ind w:firstLine="630" w:firstLineChars="300"/>
        <w:rPr>
          <w:rFonts w:hint="eastAsia" w:ascii="宋体" w:hAnsi="宋体" w:cs="宋体"/>
          <w:szCs w:val="21"/>
        </w:rPr>
      </w:pPr>
      <w:r>
        <w:rPr>
          <w:rFonts w:hint="eastAsia" w:ascii="宋体" w:hAnsi="宋体" w:cs="宋体"/>
          <w:szCs w:val="21"/>
        </w:rPr>
        <w:t>（3） 已按监理人的要求编制了在缺陷责任期内需完成的尾工（甩项）工程，和缺陷修补工作清单等相应施工计划。</w:t>
      </w:r>
    </w:p>
    <w:p w14:paraId="1EEF2D05">
      <w:pPr>
        <w:spacing w:line="360" w:lineRule="auto"/>
        <w:ind w:firstLine="630" w:firstLineChars="300"/>
        <w:rPr>
          <w:rFonts w:hint="eastAsia" w:ascii="宋体" w:hAnsi="宋体" w:cs="宋体"/>
          <w:szCs w:val="21"/>
        </w:rPr>
      </w:pPr>
      <w:r>
        <w:rPr>
          <w:rFonts w:hint="eastAsia" w:ascii="宋体" w:hAnsi="宋体" w:cs="宋体"/>
          <w:szCs w:val="21"/>
        </w:rPr>
        <w:t>（4）监理人要求在竣工验收前应完成的其他工作。</w:t>
      </w:r>
    </w:p>
    <w:p w14:paraId="45E51C79">
      <w:pPr>
        <w:spacing w:line="360" w:lineRule="auto"/>
        <w:ind w:firstLine="630" w:firstLineChars="300"/>
        <w:rPr>
          <w:rFonts w:hint="eastAsia" w:ascii="宋体" w:hAnsi="宋体" w:cs="宋体"/>
          <w:szCs w:val="21"/>
        </w:rPr>
      </w:pPr>
      <w:r>
        <w:rPr>
          <w:rFonts w:hint="eastAsia" w:ascii="宋体" w:hAnsi="宋体" w:cs="宋体"/>
          <w:szCs w:val="21"/>
        </w:rPr>
        <w:t>（5）监理人要求提交的竣工验收资料清单。</w:t>
      </w:r>
    </w:p>
    <w:p w14:paraId="2F2F9FBA">
      <w:pPr>
        <w:spacing w:line="360" w:lineRule="auto"/>
        <w:rPr>
          <w:rFonts w:hint="eastAsia" w:ascii="宋体" w:hAnsi="宋体" w:cs="宋体"/>
          <w:sz w:val="24"/>
        </w:rPr>
      </w:pPr>
      <w:r>
        <w:rPr>
          <w:rFonts w:hint="eastAsia" w:ascii="宋体" w:hAnsi="宋体" w:cs="宋体"/>
          <w:sz w:val="24"/>
        </w:rPr>
        <w:t>18.3  验收</w:t>
      </w:r>
    </w:p>
    <w:p w14:paraId="482FB0DC">
      <w:pPr>
        <w:spacing w:line="360" w:lineRule="auto"/>
        <w:ind w:firstLine="630" w:firstLineChars="300"/>
        <w:rPr>
          <w:rFonts w:hint="eastAsia" w:ascii="宋体" w:hAnsi="宋体" w:cs="宋体"/>
          <w:szCs w:val="21"/>
        </w:rPr>
      </w:pPr>
      <w:r>
        <w:rPr>
          <w:rFonts w:hint="eastAsia" w:ascii="宋体" w:hAnsi="宋体" w:cs="宋体"/>
          <w:szCs w:val="21"/>
        </w:rPr>
        <w:t>监理人收到承包人按第 18.2 款约定提交的竣工验收申请报告后，应审查申请报告的各项内容，并按以下不同情况进行处理。</w:t>
      </w:r>
    </w:p>
    <w:p w14:paraId="7EEB3094">
      <w:pPr>
        <w:spacing w:line="360" w:lineRule="auto"/>
        <w:ind w:firstLine="630" w:firstLineChars="300"/>
        <w:rPr>
          <w:rFonts w:hint="eastAsia" w:ascii="宋体" w:hAnsi="宋体" w:cs="宋体"/>
          <w:szCs w:val="21"/>
        </w:rPr>
      </w:pPr>
      <w:r>
        <w:rPr>
          <w:rFonts w:hint="eastAsia" w:ascii="宋体" w:hAnsi="宋体" w:cs="宋体"/>
          <w:szCs w:val="21"/>
        </w:rPr>
        <w:t>18.3.1  监理人审查后认为尚不具备竣工验收条件的，应在收到竣工验收申请报告后的28 天内通知承包人，并指出在颁发接收证书前承包人需进行的工作内容。承包人完成监理人通知的全部工作内容后，应再次提交竣工验收申请报告，直至监理人同意为止。</w:t>
      </w:r>
    </w:p>
    <w:p w14:paraId="75AECEB0">
      <w:pPr>
        <w:spacing w:line="360" w:lineRule="auto"/>
        <w:ind w:firstLine="630" w:firstLineChars="300"/>
        <w:rPr>
          <w:rFonts w:hint="eastAsia" w:ascii="宋体" w:hAnsi="宋体" w:cs="宋体"/>
          <w:szCs w:val="21"/>
        </w:rPr>
      </w:pPr>
      <w:r>
        <w:rPr>
          <w:rFonts w:hint="eastAsia" w:ascii="宋体" w:hAnsi="宋体" w:cs="宋体"/>
          <w:szCs w:val="21"/>
        </w:rPr>
        <w:t>18.3.2  监理人审查后认为已具备竣工验收条件的，应在收到竣工验收申请报告后的</w:t>
      </w:r>
    </w:p>
    <w:p w14:paraId="63D6A793">
      <w:pPr>
        <w:spacing w:line="360" w:lineRule="auto"/>
        <w:rPr>
          <w:rFonts w:hint="eastAsia" w:ascii="宋体" w:hAnsi="宋体" w:cs="宋体"/>
          <w:szCs w:val="21"/>
        </w:rPr>
      </w:pPr>
      <w:r>
        <w:rPr>
          <w:rFonts w:hint="eastAsia" w:ascii="宋体" w:hAnsi="宋体" w:cs="宋体"/>
          <w:szCs w:val="21"/>
        </w:rPr>
        <w:t>28 天内提请发包人进行工程验收。</w:t>
      </w:r>
    </w:p>
    <w:p w14:paraId="41093E03">
      <w:pPr>
        <w:spacing w:line="360" w:lineRule="auto"/>
        <w:ind w:firstLine="630" w:firstLineChars="300"/>
        <w:rPr>
          <w:rFonts w:hint="eastAsia" w:ascii="宋体" w:hAnsi="宋体" w:cs="宋体"/>
          <w:szCs w:val="21"/>
        </w:rPr>
      </w:pPr>
      <w:r>
        <w:rPr>
          <w:rFonts w:hint="eastAsia" w:ascii="宋体" w:hAnsi="宋体" w:cs="宋体"/>
          <w:szCs w:val="21"/>
        </w:rPr>
        <w:t>18.3.3  发包人经过验收后同意接受工程的，应在监理人收到竣工验收申请报告后的</w:t>
      </w:r>
    </w:p>
    <w:p w14:paraId="626421E2">
      <w:pPr>
        <w:spacing w:line="360" w:lineRule="auto"/>
        <w:rPr>
          <w:rFonts w:hint="eastAsia" w:ascii="宋体" w:hAnsi="宋体" w:cs="宋体"/>
          <w:szCs w:val="21"/>
        </w:rPr>
      </w:pPr>
      <w:r>
        <w:rPr>
          <w:rFonts w:hint="eastAsia" w:ascii="宋体" w:hAnsi="宋体" w:cs="宋体"/>
          <w:szCs w:val="21"/>
        </w:rPr>
        <w:t>56 天内， 由监理人向承包人出具经发包人签认的工程接收证书。发包人验收后同意接收工 程，但提出整修和完善要求的，限期修好，并缓发工程接收证书。整修和完善工作完成后， 监理人复查达到要求的，经发包人同意后，再向承包人出具工程接收证书。</w:t>
      </w:r>
    </w:p>
    <w:p w14:paraId="0E96D6D5">
      <w:pPr>
        <w:spacing w:line="360" w:lineRule="auto"/>
        <w:ind w:firstLine="630" w:firstLineChars="300"/>
        <w:rPr>
          <w:rFonts w:hint="eastAsia" w:ascii="宋体" w:hAnsi="宋体" w:cs="宋体"/>
          <w:szCs w:val="21"/>
        </w:rPr>
      </w:pPr>
      <w:r>
        <w:rPr>
          <w:rFonts w:hint="eastAsia" w:ascii="宋体" w:hAnsi="宋体" w:cs="宋体"/>
          <w:szCs w:val="21"/>
        </w:rPr>
        <w:t>18.3.4  发包人验收后不同意接收工程的，监理人应按照发包人的验收意见发出指示， 要求承包人对不合格工程认真返工重作或进行补救处理，并承担由此产生的费用。承包人在完成不合格工程的返工重作或补救工作后，应重新提交竣工验收申请报告，按第 18.3.1 项、 第 18.3.2 项和第 18.3.3 项的约定进行。</w:t>
      </w:r>
    </w:p>
    <w:p w14:paraId="6E25A8F3">
      <w:pPr>
        <w:spacing w:line="360" w:lineRule="auto"/>
        <w:ind w:firstLine="630" w:firstLineChars="300"/>
        <w:rPr>
          <w:rFonts w:hint="eastAsia" w:ascii="宋体" w:hAnsi="宋体" w:cs="宋体"/>
          <w:szCs w:val="21"/>
        </w:rPr>
      </w:pPr>
      <w:r>
        <w:rPr>
          <w:rFonts w:hint="eastAsia" w:ascii="宋体" w:hAnsi="宋体" w:cs="宋体"/>
          <w:szCs w:val="21"/>
        </w:rPr>
        <w:t>18.3.5  经验收合格的工程, 实际竣工日期为承包人按照第 18.2 款提交竣工验收申请报告或按照本款重新提交竣工验收申请报告的日期（以两者中时间在后者为准）。</w:t>
      </w:r>
    </w:p>
    <w:p w14:paraId="12D8E2A7">
      <w:pPr>
        <w:spacing w:line="360" w:lineRule="auto"/>
        <w:ind w:firstLine="630" w:firstLineChars="300"/>
        <w:rPr>
          <w:rFonts w:hint="eastAsia" w:ascii="宋体" w:hAnsi="宋体" w:cs="宋体"/>
          <w:szCs w:val="21"/>
        </w:rPr>
      </w:pPr>
      <w:r>
        <w:rPr>
          <w:rFonts w:hint="eastAsia" w:ascii="宋体" w:hAnsi="宋体" w:cs="宋体"/>
          <w:szCs w:val="21"/>
        </w:rPr>
        <w:t>18.3.6  发包人在收到承包人竣工验收申请报告 56 天后未进行验收的，视为验收合格，实际竣工日期以提交竣工验收申请报告的日期为准，但发包人由于不可抗力不能进行验收的除外。</w:t>
      </w:r>
    </w:p>
    <w:p w14:paraId="33A8C3FE">
      <w:pPr>
        <w:spacing w:line="360" w:lineRule="auto"/>
        <w:rPr>
          <w:rFonts w:hint="eastAsia" w:ascii="宋体" w:hAnsi="宋体" w:cs="宋体"/>
          <w:sz w:val="24"/>
        </w:rPr>
      </w:pPr>
      <w:r>
        <w:rPr>
          <w:rFonts w:hint="eastAsia" w:ascii="宋体" w:hAnsi="宋体" w:cs="宋体"/>
          <w:sz w:val="24"/>
        </w:rPr>
        <w:t>18.4  单位工程验收</w:t>
      </w:r>
    </w:p>
    <w:p w14:paraId="0D442425">
      <w:pPr>
        <w:spacing w:line="360" w:lineRule="auto"/>
        <w:ind w:firstLine="630" w:firstLineChars="300"/>
        <w:rPr>
          <w:rFonts w:hint="eastAsia" w:ascii="宋体" w:hAnsi="宋体" w:cs="宋体"/>
          <w:szCs w:val="21"/>
        </w:rPr>
      </w:pPr>
      <w:r>
        <w:rPr>
          <w:rFonts w:hint="eastAsia" w:ascii="宋体" w:hAnsi="宋体" w:cs="宋体"/>
          <w:szCs w:val="21"/>
        </w:rPr>
        <w:t>18.4.1  发包人根据合同进度计划安排，在全部工程竣工前需要使用已经竣工的单位工程时，或承包人提出经发包人同意时，可进行单位工程验收。验收的程序可参照第 18.2 款与第 18.3 款的约定进行。验收合格后， 由监理人向承包人出具经发包人签认的单位工程验收证书。已签发单位工程接收证书的单位工程由发包人负责照管。单位工程的验收成果和结论作为全部工程竣工验收申请报告的附件。</w:t>
      </w:r>
    </w:p>
    <w:p w14:paraId="291A2F46">
      <w:pPr>
        <w:spacing w:line="360" w:lineRule="auto"/>
        <w:ind w:firstLine="630" w:firstLineChars="300"/>
        <w:rPr>
          <w:rFonts w:hint="eastAsia" w:ascii="宋体" w:hAnsi="宋体" w:cs="宋体"/>
          <w:szCs w:val="21"/>
        </w:rPr>
      </w:pPr>
      <w:r>
        <w:rPr>
          <w:rFonts w:hint="eastAsia" w:ascii="宋体" w:hAnsi="宋体" w:cs="宋体"/>
          <w:szCs w:val="21"/>
        </w:rPr>
        <w:t>18.4.2  发包人在全部工程竣工前，使用已接收的单位工程导致承包人费用增加的，发包人应承担由此增加的费用和（或）工期延误，并支付承包人合理利润。</w:t>
      </w:r>
    </w:p>
    <w:p w14:paraId="22D9531D">
      <w:pPr>
        <w:spacing w:line="360" w:lineRule="auto"/>
        <w:rPr>
          <w:rFonts w:hint="eastAsia" w:ascii="宋体" w:hAnsi="宋体" w:cs="宋体"/>
          <w:sz w:val="24"/>
        </w:rPr>
      </w:pPr>
      <w:r>
        <w:rPr>
          <w:rFonts w:hint="eastAsia" w:ascii="宋体" w:hAnsi="宋体" w:cs="宋体"/>
          <w:sz w:val="24"/>
        </w:rPr>
        <w:t>18.5  施工期运行</w:t>
      </w:r>
    </w:p>
    <w:p w14:paraId="52AFE817">
      <w:pPr>
        <w:spacing w:line="360" w:lineRule="auto"/>
        <w:ind w:firstLine="630" w:firstLineChars="300"/>
        <w:rPr>
          <w:rFonts w:hint="eastAsia" w:ascii="宋体" w:hAnsi="宋体" w:cs="宋体"/>
          <w:szCs w:val="21"/>
        </w:rPr>
      </w:pPr>
      <w:r>
        <w:rPr>
          <w:rFonts w:hint="eastAsia" w:ascii="宋体" w:hAnsi="宋体" w:cs="宋体"/>
          <w:szCs w:val="21"/>
        </w:rPr>
        <w:t>18.5.1  施工期运行是指合同工程尚未全部竣工，其中某项或某几项单位工程或工程设备安装已竣工，根据合同条款专用部分约定，需要投入施工期运行的，经发包人按第 18.4</w:t>
      </w:r>
    </w:p>
    <w:p w14:paraId="27BCAB52">
      <w:pPr>
        <w:spacing w:line="360" w:lineRule="auto"/>
        <w:rPr>
          <w:rFonts w:hint="eastAsia" w:ascii="宋体" w:hAnsi="宋体" w:cs="宋体"/>
          <w:szCs w:val="21"/>
        </w:rPr>
      </w:pPr>
      <w:r>
        <w:rPr>
          <w:rFonts w:hint="eastAsia" w:ascii="宋体" w:hAnsi="宋体" w:cs="宋体"/>
          <w:szCs w:val="21"/>
        </w:rPr>
        <w:t>款的约定验收合格，证明能确保安全后，才能在施工期投入运行。</w:t>
      </w:r>
    </w:p>
    <w:p w14:paraId="677B3C6F">
      <w:pPr>
        <w:spacing w:line="360" w:lineRule="auto"/>
        <w:ind w:firstLine="630" w:firstLineChars="300"/>
        <w:rPr>
          <w:rFonts w:hint="eastAsia" w:ascii="宋体" w:hAnsi="宋体" w:cs="宋体"/>
          <w:szCs w:val="21"/>
        </w:rPr>
      </w:pPr>
      <w:r>
        <w:rPr>
          <w:rFonts w:hint="eastAsia" w:ascii="宋体" w:hAnsi="宋体" w:cs="宋体"/>
          <w:szCs w:val="21"/>
        </w:rPr>
        <w:t>18.5.2  在施工期运行中发现工程或工程设备损坏或存在缺陷的， 由承包人按第 19.2 款约定进行修复。</w:t>
      </w:r>
    </w:p>
    <w:p w14:paraId="31C3E604">
      <w:pPr>
        <w:spacing w:line="360" w:lineRule="auto"/>
        <w:rPr>
          <w:rFonts w:hint="eastAsia" w:ascii="宋体" w:hAnsi="宋体" w:cs="宋体"/>
          <w:sz w:val="24"/>
        </w:rPr>
      </w:pPr>
      <w:r>
        <w:rPr>
          <w:rFonts w:hint="eastAsia" w:ascii="宋体" w:hAnsi="宋体" w:cs="宋体"/>
          <w:sz w:val="24"/>
        </w:rPr>
        <w:t>18.6  试运行</w:t>
      </w:r>
    </w:p>
    <w:p w14:paraId="4B2D4BFA">
      <w:pPr>
        <w:spacing w:line="360" w:lineRule="auto"/>
        <w:ind w:firstLine="630" w:firstLineChars="300"/>
        <w:rPr>
          <w:rFonts w:hint="eastAsia" w:ascii="宋体" w:hAnsi="宋体" w:cs="宋体"/>
          <w:szCs w:val="21"/>
        </w:rPr>
      </w:pPr>
      <w:r>
        <w:rPr>
          <w:rFonts w:hint="eastAsia" w:ascii="宋体" w:hAnsi="宋体" w:cs="宋体"/>
          <w:szCs w:val="21"/>
        </w:rPr>
        <w:t>18.6.1  工程及工程设备试运行的组织与费用承担</w:t>
      </w:r>
    </w:p>
    <w:p w14:paraId="275F5D2D">
      <w:pPr>
        <w:spacing w:line="360" w:lineRule="auto"/>
        <w:ind w:firstLine="630" w:firstLineChars="300"/>
        <w:rPr>
          <w:rFonts w:hint="eastAsia" w:ascii="宋体" w:hAnsi="宋体" w:cs="宋体"/>
          <w:szCs w:val="21"/>
        </w:rPr>
      </w:pPr>
      <w:r>
        <w:rPr>
          <w:rFonts w:hint="eastAsia" w:ascii="宋体" w:hAnsi="宋体" w:cs="宋体"/>
          <w:szCs w:val="21"/>
        </w:rPr>
        <w:t>（1）工程设备安装具备单机无负荷试运行条件，由承包人组织试运行，费用由承包人承担。</w:t>
      </w:r>
    </w:p>
    <w:p w14:paraId="1167B016">
      <w:pPr>
        <w:spacing w:line="360" w:lineRule="auto"/>
        <w:ind w:firstLine="630" w:firstLineChars="300"/>
        <w:rPr>
          <w:rFonts w:hint="eastAsia" w:ascii="宋体" w:hAnsi="宋体" w:cs="宋体"/>
          <w:szCs w:val="21"/>
        </w:rPr>
      </w:pPr>
      <w:r>
        <w:rPr>
          <w:rFonts w:hint="eastAsia" w:ascii="宋体" w:hAnsi="宋体" w:cs="宋体"/>
          <w:szCs w:val="21"/>
        </w:rPr>
        <w:t>（2）工程设备安装具备无负荷联动试运行条件，由发包人组织试运行，费用由发包人承担。</w:t>
      </w:r>
    </w:p>
    <w:p w14:paraId="09F3DA8B">
      <w:pPr>
        <w:spacing w:line="360" w:lineRule="auto"/>
        <w:ind w:firstLine="630" w:firstLineChars="300"/>
        <w:rPr>
          <w:rFonts w:hint="eastAsia" w:ascii="宋体" w:hAnsi="宋体" w:cs="宋体"/>
          <w:szCs w:val="21"/>
        </w:rPr>
      </w:pPr>
      <w:r>
        <w:rPr>
          <w:rFonts w:hint="eastAsia" w:ascii="宋体" w:hAnsi="宋体" w:cs="宋体"/>
          <w:szCs w:val="21"/>
        </w:rPr>
        <w:t>（3）投料试运行应在工程竣工验收后由发包人负责，如发包人要求在工程竣工验收前进行或需要承包人配合时，应征得承包人同意，另行签订补充协议。</w:t>
      </w:r>
    </w:p>
    <w:p w14:paraId="40879A78">
      <w:pPr>
        <w:spacing w:line="360" w:lineRule="auto"/>
        <w:ind w:firstLine="630" w:firstLineChars="300"/>
        <w:rPr>
          <w:rFonts w:hint="eastAsia" w:ascii="宋体" w:hAnsi="宋体" w:cs="宋体"/>
          <w:szCs w:val="21"/>
        </w:rPr>
      </w:pPr>
      <w:r>
        <w:rPr>
          <w:rFonts w:hint="eastAsia" w:ascii="宋体" w:hAnsi="宋体" w:cs="宋体"/>
          <w:szCs w:val="21"/>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775C5B02">
      <w:pPr>
        <w:spacing w:line="360" w:lineRule="auto"/>
        <w:rPr>
          <w:rFonts w:hint="eastAsia" w:ascii="宋体" w:hAnsi="宋体" w:cs="宋体"/>
          <w:sz w:val="24"/>
        </w:rPr>
      </w:pPr>
      <w:r>
        <w:rPr>
          <w:rFonts w:hint="eastAsia" w:ascii="宋体" w:hAnsi="宋体" w:cs="宋体"/>
          <w:sz w:val="24"/>
        </w:rPr>
        <w:t>18.7  竣工清场</w:t>
      </w:r>
    </w:p>
    <w:p w14:paraId="36804D5D">
      <w:pPr>
        <w:spacing w:line="360" w:lineRule="auto"/>
        <w:ind w:firstLine="630" w:firstLineChars="300"/>
        <w:rPr>
          <w:rFonts w:hint="eastAsia" w:ascii="宋体" w:hAnsi="宋体" w:cs="宋体"/>
          <w:szCs w:val="21"/>
        </w:rPr>
      </w:pPr>
      <w:r>
        <w:rPr>
          <w:rFonts w:hint="eastAsia" w:ascii="宋体" w:hAnsi="宋体" w:cs="宋体"/>
          <w:szCs w:val="21"/>
        </w:rPr>
        <w:t>18.7.1  监理人颁发（出具）工程接收证书后，承包人负责按照以下要求对施工场地进行清理，直至监理人检验合格为止。竣工清场费用由承包人承担。</w:t>
      </w:r>
    </w:p>
    <w:p w14:paraId="778EF27C">
      <w:pPr>
        <w:spacing w:line="360" w:lineRule="auto"/>
        <w:ind w:firstLine="630" w:firstLineChars="300"/>
        <w:rPr>
          <w:rFonts w:hint="eastAsia" w:ascii="宋体" w:hAnsi="宋体" w:cs="宋体"/>
          <w:szCs w:val="21"/>
        </w:rPr>
      </w:pPr>
      <w:r>
        <w:rPr>
          <w:rFonts w:hint="eastAsia" w:ascii="宋体" w:hAnsi="宋体" w:cs="宋体"/>
          <w:szCs w:val="21"/>
        </w:rPr>
        <w:t>（1）施工场地内残留的垃圾已全部清除出场；</w:t>
      </w:r>
    </w:p>
    <w:p w14:paraId="6E5D4A91">
      <w:pPr>
        <w:spacing w:line="360" w:lineRule="auto"/>
        <w:ind w:firstLine="630" w:firstLineChars="300"/>
        <w:rPr>
          <w:rFonts w:hint="eastAsia" w:ascii="宋体" w:hAnsi="宋体" w:cs="宋体"/>
          <w:szCs w:val="21"/>
        </w:rPr>
      </w:pPr>
      <w:r>
        <w:rPr>
          <w:rFonts w:hint="eastAsia" w:ascii="宋体" w:hAnsi="宋体" w:cs="宋体"/>
          <w:szCs w:val="21"/>
        </w:rPr>
        <w:t>（2）临时工程已拆除，场地已按合同要求进行清理、平整或复原；</w:t>
      </w:r>
    </w:p>
    <w:p w14:paraId="11A59D3C">
      <w:pPr>
        <w:spacing w:line="360" w:lineRule="auto"/>
        <w:ind w:firstLine="630" w:firstLineChars="300"/>
        <w:rPr>
          <w:rFonts w:hint="eastAsia" w:ascii="宋体" w:hAnsi="宋体" w:cs="宋体"/>
          <w:szCs w:val="21"/>
        </w:rPr>
      </w:pPr>
      <w:r>
        <w:rPr>
          <w:rFonts w:hint="eastAsia" w:ascii="宋体" w:hAnsi="宋体" w:cs="宋体"/>
          <w:szCs w:val="21"/>
        </w:rPr>
        <w:t>（3）按合同约定应撤离的承包人设备和剩余的材料，包括废弃的施工设备和材料，已按计划撤离施工场地；</w:t>
      </w:r>
    </w:p>
    <w:p w14:paraId="042BAD2D">
      <w:pPr>
        <w:spacing w:line="360" w:lineRule="auto"/>
        <w:ind w:firstLine="630" w:firstLineChars="300"/>
        <w:rPr>
          <w:rFonts w:hint="eastAsia" w:ascii="宋体" w:hAnsi="宋体" w:cs="宋体"/>
          <w:szCs w:val="21"/>
        </w:rPr>
      </w:pPr>
      <w:r>
        <w:rPr>
          <w:rFonts w:hint="eastAsia" w:ascii="宋体" w:hAnsi="宋体" w:cs="宋体"/>
          <w:szCs w:val="21"/>
        </w:rPr>
        <w:t>（4）工程建筑物周边及其附近道路、河道的施工堆积物，已按监理人指示全部清理；</w:t>
      </w:r>
    </w:p>
    <w:p w14:paraId="7FCD2125">
      <w:pPr>
        <w:spacing w:line="360" w:lineRule="auto"/>
        <w:ind w:firstLine="630" w:firstLineChars="300"/>
        <w:rPr>
          <w:rFonts w:hint="eastAsia" w:ascii="宋体" w:hAnsi="宋体" w:cs="宋体"/>
          <w:szCs w:val="21"/>
        </w:rPr>
      </w:pPr>
      <w:r>
        <w:rPr>
          <w:rFonts w:hint="eastAsia" w:ascii="宋体" w:hAnsi="宋体" w:cs="宋体"/>
          <w:szCs w:val="21"/>
        </w:rPr>
        <w:t>（5）监理人指示的其他场地清理工作已全部完成。</w:t>
      </w:r>
    </w:p>
    <w:p w14:paraId="1494C517">
      <w:pPr>
        <w:spacing w:line="360" w:lineRule="auto"/>
        <w:ind w:firstLine="630" w:firstLineChars="300"/>
        <w:rPr>
          <w:rFonts w:hint="eastAsia" w:ascii="宋体" w:hAnsi="宋体" w:cs="宋体"/>
          <w:szCs w:val="21"/>
        </w:rPr>
      </w:pPr>
      <w:r>
        <w:rPr>
          <w:rFonts w:hint="eastAsia" w:ascii="宋体" w:hAnsi="宋体" w:cs="宋体"/>
          <w:szCs w:val="21"/>
        </w:rPr>
        <w:t>18.7.2  承包人未按监理人的要求恢复临时占地，或者场地清理未达到合同约定的，发包人有权委托其他人恢复或清理，所发生的金额从拟支付给承包人的款项中扣除。</w:t>
      </w:r>
    </w:p>
    <w:p w14:paraId="35EDF689">
      <w:pPr>
        <w:spacing w:line="360" w:lineRule="auto"/>
        <w:rPr>
          <w:rFonts w:hint="eastAsia" w:ascii="宋体" w:hAnsi="宋体" w:cs="宋体"/>
          <w:sz w:val="24"/>
        </w:rPr>
      </w:pPr>
      <w:r>
        <w:rPr>
          <w:rFonts w:hint="eastAsia" w:ascii="宋体" w:hAnsi="宋体" w:cs="宋体"/>
          <w:sz w:val="24"/>
        </w:rPr>
        <w:t>18.8  施工队伍的撤离</w:t>
      </w:r>
    </w:p>
    <w:p w14:paraId="336A4812">
      <w:pPr>
        <w:spacing w:line="360" w:lineRule="auto"/>
        <w:ind w:firstLine="630" w:firstLineChars="300"/>
        <w:rPr>
          <w:rFonts w:hint="eastAsia" w:ascii="宋体" w:hAnsi="宋体" w:cs="宋体"/>
          <w:szCs w:val="21"/>
        </w:rPr>
      </w:pPr>
      <w:r>
        <w:rPr>
          <w:rFonts w:hint="eastAsia" w:ascii="宋体" w:hAnsi="宋体" w:cs="宋体"/>
          <w:szCs w:val="21"/>
        </w:rPr>
        <w:t>18.8.1  工程接收证书颁发后的 56 天内，除了经监理人同意需在缺陷责任期内继续工作和使用的人员、施工设备和临时工程外，其余的人员、施工设备和临时工程均应撤离施工场地或拆除。</w:t>
      </w:r>
    </w:p>
    <w:p w14:paraId="3CDC1BF8">
      <w:pPr>
        <w:spacing w:line="360" w:lineRule="auto"/>
        <w:ind w:firstLine="630" w:firstLineChars="300"/>
        <w:rPr>
          <w:rFonts w:hint="eastAsia" w:ascii="宋体" w:hAnsi="宋体" w:cs="宋体"/>
          <w:szCs w:val="21"/>
        </w:rPr>
      </w:pPr>
      <w:r>
        <w:rPr>
          <w:rFonts w:hint="eastAsia" w:ascii="宋体" w:hAnsi="宋体" w:cs="宋体"/>
          <w:szCs w:val="21"/>
        </w:rPr>
        <w:t>18.8.2  承包人撤离施工场地（现场）时，监理人和承包人应当办理永久工程和施工场地移交手续，移交手续以书面方式出具，并分别经过发包人、监理人和承包人的签认。但是，监理人和发包人未按第 17.5.2 项约定的期限办清竣工结算和竣工付款的，本工程不得交付使用，发包人和监理人也无权要求承包人按合同约定的期限撤离施工场地（现场）和办理工程移交手续。</w:t>
      </w:r>
    </w:p>
    <w:p w14:paraId="1413B055">
      <w:pPr>
        <w:spacing w:line="360" w:lineRule="auto"/>
        <w:ind w:firstLine="630" w:firstLineChars="300"/>
        <w:rPr>
          <w:rFonts w:hint="eastAsia" w:ascii="宋体" w:hAnsi="宋体" w:cs="宋体"/>
          <w:szCs w:val="21"/>
        </w:rPr>
      </w:pPr>
      <w:r>
        <w:rPr>
          <w:rFonts w:hint="eastAsia" w:ascii="宋体" w:hAnsi="宋体" w:cs="宋体"/>
          <w:szCs w:val="21"/>
        </w:rPr>
        <w:t>18.8.3  缺陷责任期满时，承包人的人员和施工设备应在合同约定期限内全部撤离施工场地。撤离施工场地的期限要求见合同条款专用部分。</w:t>
      </w:r>
    </w:p>
    <w:p w14:paraId="7376A356">
      <w:pPr>
        <w:spacing w:line="360" w:lineRule="auto"/>
        <w:rPr>
          <w:rFonts w:hint="eastAsia" w:ascii="宋体" w:hAnsi="宋体" w:cs="宋体"/>
          <w:sz w:val="24"/>
        </w:rPr>
      </w:pPr>
      <w:r>
        <w:rPr>
          <w:rFonts w:hint="eastAsia" w:ascii="宋体" w:hAnsi="宋体" w:cs="宋体"/>
          <w:sz w:val="24"/>
        </w:rPr>
        <w:t>18.9  中间验收</w:t>
      </w:r>
    </w:p>
    <w:p w14:paraId="27322591">
      <w:pPr>
        <w:spacing w:line="360" w:lineRule="auto"/>
        <w:ind w:firstLine="630" w:firstLineChars="300"/>
        <w:rPr>
          <w:rFonts w:hint="eastAsia" w:ascii="宋体" w:hAnsi="宋体" w:cs="宋体"/>
          <w:szCs w:val="21"/>
        </w:rPr>
      </w:pPr>
      <w:r>
        <w:rPr>
          <w:rFonts w:hint="eastAsia" w:ascii="宋体" w:hAnsi="宋体" w:cs="宋体"/>
          <w:szCs w:val="21"/>
        </w:rPr>
        <w:t>18.9.1  本工程需要按照合同约定进行中间验收。进行中间验收的部位见合同条款专用部分。</w:t>
      </w:r>
    </w:p>
    <w:p w14:paraId="6FCFBBC1">
      <w:pPr>
        <w:spacing w:line="360" w:lineRule="auto"/>
        <w:ind w:firstLine="630" w:firstLineChars="300"/>
        <w:rPr>
          <w:rFonts w:hint="eastAsia" w:ascii="宋体" w:hAnsi="宋体" w:cs="宋体"/>
          <w:szCs w:val="21"/>
        </w:rPr>
      </w:pPr>
      <w:r>
        <w:rPr>
          <w:rFonts w:hint="eastAsia" w:ascii="宋体" w:hAnsi="宋体" w:cs="宋体"/>
          <w:szCs w:val="21"/>
        </w:rPr>
        <w:t>18.9.2  当工程进度达到第 18.9.1 项约定的中间验收部位时，承包人应当进行自检， 并在中间验收前48 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见合同条款专用部分。</w:t>
      </w:r>
    </w:p>
    <w:p w14:paraId="05431273">
      <w:pPr>
        <w:spacing w:line="360" w:lineRule="auto"/>
        <w:ind w:firstLine="630" w:firstLineChars="300"/>
        <w:rPr>
          <w:rFonts w:hint="eastAsia" w:ascii="宋体" w:hAnsi="宋体" w:cs="宋体"/>
          <w:szCs w:val="21"/>
        </w:rPr>
      </w:pPr>
      <w:r>
        <w:rPr>
          <w:rFonts w:hint="eastAsia" w:ascii="宋体" w:hAnsi="宋体" w:cs="宋体"/>
          <w:szCs w:val="21"/>
        </w:rPr>
        <w:t>18.9.3  监理人不能按时进行验收的，应在验收前至少 24 小时以书面形式向承包人提出延期要求，但延期不能超过48 小时。监理人未能按本款约定的时限提出延期要求，又未按期进行验收的，承包人可自行组织验收，监理人必须认同验收记录。</w:t>
      </w:r>
    </w:p>
    <w:p w14:paraId="34FAAE38">
      <w:pPr>
        <w:spacing w:line="360" w:lineRule="auto"/>
        <w:ind w:firstLine="630" w:firstLineChars="300"/>
        <w:rPr>
          <w:rFonts w:hint="eastAsia" w:ascii="宋体" w:hAnsi="宋体" w:cs="宋体"/>
          <w:szCs w:val="21"/>
        </w:rPr>
      </w:pPr>
      <w:r>
        <w:rPr>
          <w:rFonts w:hint="eastAsia" w:ascii="宋体" w:hAnsi="宋体" w:cs="宋体"/>
          <w:szCs w:val="21"/>
        </w:rPr>
        <w:t>经监理人验收后工程质量符合约定的验收标准，但验收 24 小时后监理人仍不在验收记录上签字的，视为监理人已经认可验收记录，承包人可继续施工。</w:t>
      </w:r>
    </w:p>
    <w:p w14:paraId="6C2455A8">
      <w:pPr>
        <w:spacing w:line="360" w:lineRule="auto"/>
        <w:rPr>
          <w:rFonts w:hint="eastAsia" w:ascii="宋体" w:hAnsi="宋体" w:cs="宋体"/>
          <w:sz w:val="24"/>
        </w:rPr>
      </w:pPr>
      <w:r>
        <w:rPr>
          <w:rFonts w:hint="eastAsia" w:ascii="宋体" w:hAnsi="宋体" w:cs="宋体"/>
          <w:sz w:val="24"/>
        </w:rPr>
        <w:t>19.缺陷责任与保修责任</w:t>
      </w:r>
    </w:p>
    <w:p w14:paraId="62A8DC4A">
      <w:pPr>
        <w:spacing w:line="360" w:lineRule="auto"/>
        <w:rPr>
          <w:rFonts w:hint="eastAsia" w:ascii="宋体" w:hAnsi="宋体" w:cs="宋体"/>
          <w:sz w:val="24"/>
        </w:rPr>
      </w:pPr>
      <w:r>
        <w:rPr>
          <w:rFonts w:hint="eastAsia" w:ascii="宋体" w:hAnsi="宋体" w:cs="宋体"/>
          <w:sz w:val="24"/>
        </w:rPr>
        <w:t>19.1  缺陷责任期的起算时间</w:t>
      </w:r>
    </w:p>
    <w:p w14:paraId="6D2F01C5">
      <w:pPr>
        <w:spacing w:line="360" w:lineRule="auto"/>
        <w:ind w:firstLine="630" w:firstLineChars="300"/>
        <w:rPr>
          <w:rFonts w:hint="eastAsia" w:ascii="宋体" w:hAnsi="宋体" w:cs="宋体"/>
          <w:szCs w:val="21"/>
        </w:rPr>
      </w:pPr>
      <w:r>
        <w:rPr>
          <w:rFonts w:hint="eastAsia" w:ascii="宋体" w:hAnsi="宋体" w:cs="宋体"/>
          <w:szCs w:val="21"/>
        </w:rPr>
        <w:t>缺陷责任期自实际竣工日期起计算。在全部工程竣工验收前，已经发包人提前验收的单位工程，其缺陷责任期的起算日期相应提前。</w:t>
      </w:r>
    </w:p>
    <w:p w14:paraId="6D7F6BF0">
      <w:pPr>
        <w:spacing w:line="360" w:lineRule="auto"/>
        <w:rPr>
          <w:rFonts w:hint="eastAsia" w:ascii="宋体" w:hAnsi="宋体" w:cs="宋体"/>
          <w:sz w:val="24"/>
        </w:rPr>
      </w:pPr>
      <w:r>
        <w:rPr>
          <w:rFonts w:hint="eastAsia" w:ascii="宋体" w:hAnsi="宋体" w:cs="宋体"/>
          <w:sz w:val="24"/>
        </w:rPr>
        <w:t>19.2  缺陷责任</w:t>
      </w:r>
    </w:p>
    <w:p w14:paraId="62975B98">
      <w:pPr>
        <w:spacing w:line="360" w:lineRule="auto"/>
        <w:ind w:firstLine="630" w:firstLineChars="300"/>
        <w:rPr>
          <w:rFonts w:hint="eastAsia" w:ascii="宋体" w:hAnsi="宋体" w:cs="宋体"/>
          <w:szCs w:val="21"/>
        </w:rPr>
      </w:pPr>
      <w:r>
        <w:rPr>
          <w:rFonts w:hint="eastAsia" w:ascii="宋体" w:hAnsi="宋体" w:cs="宋体"/>
          <w:szCs w:val="21"/>
        </w:rPr>
        <w:t>19.2.1  承包人应在缺陷责任期内对已交付使用的工程承担缺陷责任。</w:t>
      </w:r>
    </w:p>
    <w:p w14:paraId="09F4A598">
      <w:pPr>
        <w:spacing w:line="360" w:lineRule="auto"/>
        <w:ind w:firstLine="630" w:firstLineChars="300"/>
        <w:rPr>
          <w:rFonts w:hint="eastAsia" w:ascii="宋体" w:hAnsi="宋体" w:cs="宋体"/>
          <w:szCs w:val="21"/>
        </w:rPr>
      </w:pPr>
      <w:r>
        <w:rPr>
          <w:rFonts w:hint="eastAsia" w:ascii="宋体" w:hAnsi="宋体" w:cs="宋体"/>
          <w:szCs w:val="21"/>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16702553">
      <w:pPr>
        <w:spacing w:line="360" w:lineRule="auto"/>
        <w:ind w:firstLine="630" w:firstLineChars="300"/>
        <w:rPr>
          <w:rFonts w:hint="eastAsia" w:ascii="宋体" w:hAnsi="宋体" w:cs="宋体"/>
          <w:szCs w:val="21"/>
        </w:rPr>
      </w:pPr>
      <w:r>
        <w:rPr>
          <w:rFonts w:hint="eastAsia" w:ascii="宋体" w:hAnsi="宋体" w:cs="宋体"/>
          <w:szCs w:val="21"/>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1DB29F48">
      <w:pPr>
        <w:spacing w:line="360" w:lineRule="auto"/>
        <w:ind w:firstLine="630" w:firstLineChars="300"/>
        <w:rPr>
          <w:rFonts w:hint="eastAsia" w:ascii="宋体" w:hAnsi="宋体" w:cs="宋体"/>
          <w:sz w:val="24"/>
        </w:rPr>
      </w:pPr>
      <w:r>
        <w:rPr>
          <w:rFonts w:hint="eastAsia" w:ascii="宋体" w:hAnsi="宋体" w:cs="宋体"/>
          <w:szCs w:val="21"/>
        </w:rPr>
        <w:t>19.2.4  承包人不能在合理时间内修复缺陷的，发包人可自行修复或委托其他人修复，所需费用和利润的承担，按第 19.2.3 项约定办理。</w:t>
      </w:r>
    </w:p>
    <w:p w14:paraId="6414D7FA">
      <w:pPr>
        <w:spacing w:line="360" w:lineRule="auto"/>
        <w:rPr>
          <w:rFonts w:hint="eastAsia" w:ascii="宋体" w:hAnsi="宋体" w:cs="宋体"/>
          <w:sz w:val="24"/>
        </w:rPr>
      </w:pPr>
      <w:r>
        <w:rPr>
          <w:rFonts w:hint="eastAsia" w:ascii="宋体" w:hAnsi="宋体" w:cs="宋体"/>
          <w:sz w:val="24"/>
        </w:rPr>
        <w:t>19.3  缺陷责任期的延长</w:t>
      </w:r>
    </w:p>
    <w:p w14:paraId="469CBA67">
      <w:pPr>
        <w:spacing w:line="360" w:lineRule="auto"/>
        <w:ind w:firstLine="630" w:firstLineChars="300"/>
        <w:rPr>
          <w:rFonts w:hint="eastAsia" w:ascii="宋体" w:hAnsi="宋体" w:cs="宋体"/>
          <w:szCs w:val="21"/>
        </w:rPr>
      </w:pPr>
      <w:r>
        <w:rPr>
          <w:rFonts w:hint="eastAsia" w:ascii="宋体" w:hAnsi="宋体" w:cs="宋体"/>
          <w:szCs w:val="21"/>
        </w:rPr>
        <w:t>由于承包人原因造成某项缺陷或损坏，使某项工程或工程设备不能按原定目标使用，需要再次检查、检验和修复的，发包人有权要求承包人相应延长缺陷责任期，但缺陷责任期最长不超过 2 年。</w:t>
      </w:r>
    </w:p>
    <w:p w14:paraId="03938765">
      <w:pPr>
        <w:spacing w:line="360" w:lineRule="auto"/>
        <w:rPr>
          <w:rFonts w:hint="eastAsia" w:ascii="宋体" w:hAnsi="宋体" w:cs="宋体"/>
          <w:sz w:val="24"/>
        </w:rPr>
      </w:pPr>
      <w:r>
        <w:rPr>
          <w:rFonts w:hint="eastAsia" w:ascii="宋体" w:hAnsi="宋体" w:cs="宋体"/>
          <w:sz w:val="24"/>
        </w:rPr>
        <w:t>19.4  进一步试验和试运行</w:t>
      </w:r>
    </w:p>
    <w:p w14:paraId="0BC83523">
      <w:pPr>
        <w:spacing w:line="360" w:lineRule="auto"/>
        <w:ind w:firstLine="630" w:firstLineChars="300"/>
        <w:rPr>
          <w:rFonts w:hint="eastAsia" w:ascii="宋体" w:hAnsi="宋体" w:cs="宋体"/>
          <w:szCs w:val="21"/>
        </w:rPr>
      </w:pPr>
      <w:r>
        <w:rPr>
          <w:rFonts w:hint="eastAsia" w:ascii="宋体" w:hAnsi="宋体" w:cs="宋体"/>
          <w:szCs w:val="21"/>
        </w:rPr>
        <w:t>任何一项缺陷或损坏修复后，经检查证明其影响了工程或工程设备的使用性能，承包人应重新进行合同约定的试验和试运行，试验和试运行的全部费用应由责任方承担。</w:t>
      </w:r>
    </w:p>
    <w:p w14:paraId="135FCB95">
      <w:pPr>
        <w:spacing w:line="360" w:lineRule="auto"/>
        <w:rPr>
          <w:rFonts w:hint="eastAsia" w:ascii="宋体" w:hAnsi="宋体" w:cs="宋体"/>
          <w:sz w:val="24"/>
        </w:rPr>
      </w:pPr>
      <w:r>
        <w:rPr>
          <w:rFonts w:hint="eastAsia" w:ascii="宋体" w:hAnsi="宋体" w:cs="宋体"/>
          <w:sz w:val="24"/>
        </w:rPr>
        <w:t>19.5  承包人的进入权</w:t>
      </w:r>
    </w:p>
    <w:p w14:paraId="784C3BC7">
      <w:pPr>
        <w:spacing w:line="360" w:lineRule="auto"/>
        <w:ind w:firstLine="630" w:firstLineChars="300"/>
        <w:rPr>
          <w:rFonts w:hint="eastAsia" w:ascii="宋体" w:hAnsi="宋体" w:cs="宋体"/>
          <w:szCs w:val="21"/>
        </w:rPr>
      </w:pPr>
      <w:r>
        <w:rPr>
          <w:rFonts w:hint="eastAsia" w:ascii="宋体" w:hAnsi="宋体" w:cs="宋体"/>
          <w:szCs w:val="21"/>
        </w:rPr>
        <w:t>缺陷责任期内承包人为缺陷修复工作需要，有权进入工程现场，但应遵守发包人的保安和保密规定。</w:t>
      </w:r>
    </w:p>
    <w:p w14:paraId="3986B951">
      <w:pPr>
        <w:spacing w:line="360" w:lineRule="auto"/>
        <w:rPr>
          <w:rFonts w:hint="eastAsia" w:ascii="宋体" w:hAnsi="宋体" w:cs="宋体"/>
          <w:sz w:val="24"/>
        </w:rPr>
      </w:pPr>
      <w:r>
        <w:rPr>
          <w:rFonts w:hint="eastAsia" w:ascii="宋体" w:hAnsi="宋体" w:cs="宋体"/>
          <w:sz w:val="24"/>
        </w:rPr>
        <w:t>19.6  缺陷责任期终止证书</w:t>
      </w:r>
    </w:p>
    <w:p w14:paraId="1798C54C">
      <w:pPr>
        <w:spacing w:line="360" w:lineRule="auto"/>
        <w:ind w:firstLine="630" w:firstLineChars="300"/>
        <w:rPr>
          <w:rFonts w:hint="eastAsia" w:ascii="宋体" w:hAnsi="宋体" w:cs="宋体"/>
          <w:szCs w:val="21"/>
        </w:rPr>
      </w:pPr>
      <w:r>
        <w:rPr>
          <w:rFonts w:hint="eastAsia" w:ascii="宋体" w:hAnsi="宋体" w:cs="宋体"/>
          <w:szCs w:val="21"/>
        </w:rPr>
        <w:t>在第 1.1.4.5 目约定的缺陷责任期，包括根据第 19.3 款延长的期限终止后 14 天内，由监理人向承包人出具经发包人签认的缺陷责任期终止证书，并退还剩余的质量保证金或退还保函。</w:t>
      </w:r>
    </w:p>
    <w:p w14:paraId="4FA98BED">
      <w:pPr>
        <w:spacing w:line="360" w:lineRule="auto"/>
        <w:rPr>
          <w:rFonts w:hint="eastAsia" w:ascii="宋体" w:hAnsi="宋体" w:cs="宋体"/>
          <w:sz w:val="24"/>
        </w:rPr>
      </w:pPr>
      <w:r>
        <w:rPr>
          <w:rFonts w:hint="eastAsia" w:ascii="宋体" w:hAnsi="宋体" w:cs="宋体"/>
          <w:sz w:val="24"/>
        </w:rPr>
        <w:t>19.7  保修责任</w:t>
      </w:r>
    </w:p>
    <w:p w14:paraId="05637171">
      <w:pPr>
        <w:spacing w:line="360" w:lineRule="auto"/>
        <w:ind w:firstLine="630" w:firstLineChars="300"/>
        <w:rPr>
          <w:rFonts w:hint="eastAsia" w:ascii="宋体" w:hAnsi="宋体" w:cs="宋体"/>
          <w:szCs w:val="21"/>
        </w:rPr>
      </w:pPr>
      <w:r>
        <w:rPr>
          <w:rFonts w:hint="eastAsia" w:ascii="宋体" w:hAnsi="宋体" w:cs="宋体"/>
          <w:szCs w:val="21"/>
        </w:rPr>
        <w:t>19.7.1  合同当事人根据有关法律法规规定明确工程质量保修范围、期限和责任。保修期自实际竣工日期起计算。在全部工程竣工验收前，已经发包人提前验收的单位工程，其保修期的起算日期相应提前。工程质量保修范围、期限和责任见合同条款专用部分。</w:t>
      </w:r>
    </w:p>
    <w:p w14:paraId="72CF80C8">
      <w:pPr>
        <w:spacing w:line="360" w:lineRule="auto"/>
        <w:ind w:firstLine="630" w:firstLineChars="300"/>
        <w:rPr>
          <w:rFonts w:hint="eastAsia" w:ascii="宋体" w:hAnsi="宋体" w:cs="宋体"/>
          <w:szCs w:val="21"/>
        </w:rPr>
      </w:pPr>
      <w:r>
        <w:rPr>
          <w:rFonts w:hint="eastAsia" w:ascii="宋体" w:hAnsi="宋体" w:cs="宋体"/>
          <w:szCs w:val="21"/>
        </w:rPr>
        <w:t>19.7.2  质量保修书是竣工验收申请报告的组成内容。承包人应当按照有关法律法规规定和合同所附的格式出具质量保修书，质量保修书的主要内容应当与本款上述约定内容一 致。承包人在递交合同条款第 18.2 款约定的竣工验收报告的同时，将质量保修书一并报送 监理人。</w:t>
      </w:r>
    </w:p>
    <w:p w14:paraId="523389A9">
      <w:pPr>
        <w:spacing w:line="360" w:lineRule="auto"/>
        <w:rPr>
          <w:rFonts w:hint="eastAsia" w:ascii="宋体" w:hAnsi="宋体" w:cs="宋体"/>
          <w:b/>
          <w:bCs/>
          <w:sz w:val="24"/>
        </w:rPr>
      </w:pPr>
      <w:r>
        <w:rPr>
          <w:rFonts w:hint="eastAsia" w:ascii="宋体" w:hAnsi="宋体" w:cs="宋体"/>
          <w:b/>
          <w:bCs/>
          <w:sz w:val="24"/>
        </w:rPr>
        <w:t>20.保险</w:t>
      </w:r>
    </w:p>
    <w:p w14:paraId="79422AC6">
      <w:pPr>
        <w:spacing w:line="360" w:lineRule="auto"/>
        <w:rPr>
          <w:rFonts w:hint="eastAsia" w:ascii="宋体" w:hAnsi="宋体" w:cs="宋体"/>
          <w:sz w:val="24"/>
        </w:rPr>
      </w:pPr>
      <w:r>
        <w:rPr>
          <w:rFonts w:hint="eastAsia" w:ascii="宋体" w:hAnsi="宋体" w:cs="宋体"/>
          <w:sz w:val="24"/>
        </w:rPr>
        <w:t>20.1  工程保险</w:t>
      </w:r>
    </w:p>
    <w:p w14:paraId="215E904C">
      <w:pPr>
        <w:spacing w:line="360" w:lineRule="auto"/>
        <w:ind w:firstLine="630" w:firstLineChars="300"/>
        <w:rPr>
          <w:rFonts w:hint="eastAsia" w:ascii="宋体" w:hAnsi="宋体" w:cs="宋体"/>
          <w:szCs w:val="21"/>
        </w:rPr>
      </w:pPr>
      <w:r>
        <w:rPr>
          <w:rFonts w:hint="eastAsia" w:ascii="宋体" w:hAnsi="宋体" w:cs="宋体"/>
          <w:szCs w:val="21"/>
        </w:rPr>
        <w:t>承包人应以发包人和承包人的共同名义向双方同意的保险人投保建筑工程一切险、安装工程一切险。其具体的投保内容、保险金额、保险费率、保险期限等有关内容见合同条款专用部分。</w:t>
      </w:r>
    </w:p>
    <w:p w14:paraId="0CDC17DF">
      <w:pPr>
        <w:spacing w:line="360" w:lineRule="auto"/>
        <w:rPr>
          <w:rFonts w:hint="eastAsia" w:ascii="宋体" w:hAnsi="宋体" w:cs="宋体"/>
          <w:sz w:val="24"/>
        </w:rPr>
      </w:pPr>
      <w:r>
        <w:rPr>
          <w:rFonts w:hint="eastAsia" w:ascii="宋体" w:hAnsi="宋体" w:cs="宋体"/>
          <w:sz w:val="24"/>
        </w:rPr>
        <w:t>20.2  人员工伤事故的保险</w:t>
      </w:r>
    </w:p>
    <w:p w14:paraId="5414F9CE">
      <w:pPr>
        <w:spacing w:line="360" w:lineRule="auto"/>
        <w:ind w:firstLine="630" w:firstLineChars="300"/>
        <w:rPr>
          <w:rFonts w:hint="eastAsia" w:ascii="宋体" w:hAnsi="宋体" w:cs="宋体"/>
          <w:szCs w:val="21"/>
        </w:rPr>
      </w:pPr>
      <w:r>
        <w:rPr>
          <w:rFonts w:hint="eastAsia" w:ascii="宋体" w:hAnsi="宋体" w:cs="宋体"/>
          <w:szCs w:val="21"/>
        </w:rPr>
        <w:t>20.2.1  承包人员工伤事故的保险</w:t>
      </w:r>
    </w:p>
    <w:p w14:paraId="04DB764B">
      <w:pPr>
        <w:spacing w:line="360" w:lineRule="auto"/>
        <w:ind w:firstLine="630" w:firstLineChars="300"/>
        <w:rPr>
          <w:rFonts w:hint="eastAsia" w:ascii="宋体" w:hAnsi="宋体" w:cs="宋体"/>
          <w:szCs w:val="21"/>
        </w:rPr>
      </w:pPr>
      <w:r>
        <w:rPr>
          <w:rFonts w:hint="eastAsia" w:ascii="宋体" w:hAnsi="宋体" w:cs="宋体"/>
          <w:szCs w:val="21"/>
        </w:rPr>
        <w:t>（1）承包人应依照有关法律法规规定参加工伤保险，为其履行合同所雇佣的全部人员（包括专业分包人、劳务分包人使用的人员），在合同工程开工前应当一次性缴纳工伤保险费。承包人在工程分包计费时，不得再向分包人另行计提、划拨工伤保险费。</w:t>
      </w:r>
    </w:p>
    <w:p w14:paraId="0BFDA25C">
      <w:pPr>
        <w:spacing w:line="360" w:lineRule="auto"/>
        <w:ind w:firstLine="630" w:firstLineChars="300"/>
        <w:rPr>
          <w:rFonts w:hint="eastAsia" w:ascii="宋体" w:hAnsi="宋体" w:cs="宋体"/>
          <w:szCs w:val="21"/>
        </w:rPr>
      </w:pPr>
      <w:r>
        <w:rPr>
          <w:rFonts w:hint="eastAsia" w:ascii="宋体" w:hAnsi="宋体" w:cs="宋体"/>
          <w:szCs w:val="21"/>
        </w:rPr>
        <w:t>（2）承包人工伤事故保险期限自合同工程开工之日起至合同终止之日止。</w:t>
      </w:r>
    </w:p>
    <w:p w14:paraId="427E29E9">
      <w:pPr>
        <w:spacing w:line="360" w:lineRule="auto"/>
        <w:ind w:firstLine="630" w:firstLineChars="300"/>
        <w:rPr>
          <w:rFonts w:hint="eastAsia" w:ascii="宋体" w:hAnsi="宋体" w:cs="宋体"/>
          <w:szCs w:val="21"/>
        </w:rPr>
      </w:pPr>
      <w:r>
        <w:rPr>
          <w:rFonts w:hint="eastAsia" w:ascii="宋体" w:hAnsi="宋体" w:cs="宋体"/>
          <w:szCs w:val="21"/>
        </w:rPr>
        <w:t>20.2.2  发包人员工伤事故的保险</w:t>
      </w:r>
    </w:p>
    <w:p w14:paraId="0435E32F">
      <w:pPr>
        <w:spacing w:line="360" w:lineRule="auto"/>
        <w:ind w:firstLine="630" w:firstLineChars="300"/>
        <w:rPr>
          <w:rFonts w:hint="eastAsia" w:ascii="宋体" w:hAnsi="宋体" w:cs="宋体"/>
          <w:szCs w:val="21"/>
        </w:rPr>
      </w:pPr>
      <w:r>
        <w:rPr>
          <w:rFonts w:hint="eastAsia" w:ascii="宋体" w:hAnsi="宋体" w:cs="宋体"/>
          <w:szCs w:val="21"/>
        </w:rPr>
        <w:t>发包人应依照有关法律法规规定参加工伤保险，为其现场机构雇佣的全部人员，缴纳工伤保险费，并要求其监理人也进行此项保险。</w:t>
      </w:r>
    </w:p>
    <w:p w14:paraId="0AA40D73">
      <w:pPr>
        <w:spacing w:line="360" w:lineRule="auto"/>
        <w:rPr>
          <w:rFonts w:hint="eastAsia" w:ascii="宋体" w:hAnsi="宋体" w:cs="宋体"/>
          <w:sz w:val="24"/>
        </w:rPr>
      </w:pPr>
      <w:r>
        <w:rPr>
          <w:rFonts w:hint="eastAsia" w:ascii="宋体" w:hAnsi="宋体" w:cs="宋体"/>
          <w:sz w:val="24"/>
        </w:rPr>
        <w:t>20.3  人身意外伤害险</w:t>
      </w:r>
    </w:p>
    <w:p w14:paraId="277B434D">
      <w:pPr>
        <w:spacing w:line="360" w:lineRule="auto"/>
        <w:ind w:firstLine="630" w:firstLineChars="300"/>
        <w:rPr>
          <w:rFonts w:hint="eastAsia" w:ascii="宋体" w:hAnsi="宋体" w:cs="宋体"/>
          <w:szCs w:val="21"/>
        </w:rPr>
      </w:pPr>
      <w:r>
        <w:rPr>
          <w:rFonts w:hint="eastAsia" w:ascii="宋体" w:hAnsi="宋体" w:cs="宋体"/>
          <w:szCs w:val="21"/>
        </w:rPr>
        <w:t>20.3.1  发包人应在整个施工期间为其现场机构雇用的全部人员，投保人身意外伤害 险，缴纳保险费，并要求其监理人也进行此项保险。</w:t>
      </w:r>
    </w:p>
    <w:p w14:paraId="2527BDF5">
      <w:pPr>
        <w:spacing w:line="360" w:lineRule="auto"/>
        <w:ind w:firstLine="630" w:firstLineChars="300"/>
        <w:rPr>
          <w:rFonts w:hint="eastAsia" w:ascii="宋体" w:hAnsi="宋体" w:cs="宋体"/>
          <w:szCs w:val="21"/>
        </w:rPr>
      </w:pPr>
      <w:r>
        <w:rPr>
          <w:rFonts w:hint="eastAsia" w:ascii="宋体" w:hAnsi="宋体" w:cs="宋体"/>
          <w:szCs w:val="21"/>
        </w:rPr>
        <w:t>20.3.2  承包人应在整个施工期间为其现场机构雇用的全部人员，投保人身意外伤害 险，缴纳保险费，并要求其分包人也进行此项保险。</w:t>
      </w:r>
    </w:p>
    <w:p w14:paraId="36638A9F">
      <w:pPr>
        <w:spacing w:line="360" w:lineRule="auto"/>
        <w:rPr>
          <w:rFonts w:hint="eastAsia" w:ascii="宋体" w:hAnsi="宋体" w:cs="宋体"/>
          <w:sz w:val="24"/>
        </w:rPr>
      </w:pPr>
      <w:r>
        <w:rPr>
          <w:rFonts w:hint="eastAsia" w:ascii="宋体" w:hAnsi="宋体" w:cs="宋体"/>
          <w:sz w:val="24"/>
        </w:rPr>
        <w:t>20.4  第三者责任险</w:t>
      </w:r>
    </w:p>
    <w:p w14:paraId="53D944DA">
      <w:pPr>
        <w:spacing w:line="360" w:lineRule="auto"/>
        <w:ind w:firstLine="630" w:firstLineChars="300"/>
        <w:rPr>
          <w:rFonts w:hint="eastAsia" w:ascii="宋体" w:hAnsi="宋体" w:cs="宋体"/>
          <w:szCs w:val="21"/>
        </w:rPr>
      </w:pPr>
      <w:r>
        <w:rPr>
          <w:rFonts w:hint="eastAsia" w:ascii="宋体" w:hAnsi="宋体" w:cs="宋体"/>
          <w:szCs w:val="21"/>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7EB1CB3B">
      <w:pPr>
        <w:spacing w:line="360" w:lineRule="auto"/>
        <w:ind w:firstLine="630" w:firstLineChars="300"/>
        <w:rPr>
          <w:rFonts w:hint="eastAsia" w:ascii="宋体" w:hAnsi="宋体" w:cs="宋体"/>
          <w:szCs w:val="21"/>
        </w:rPr>
      </w:pPr>
      <w:r>
        <w:rPr>
          <w:rFonts w:hint="eastAsia" w:ascii="宋体" w:hAnsi="宋体" w:cs="宋体"/>
          <w:szCs w:val="21"/>
        </w:rPr>
        <w:t>20.4.2  在缺陷责任期终止证书颁发前，承包人应以承包人和发包人的共同名义，投保第 20.4.1 项约定的第三者责任险，其保险费率、保险金额、保险费承担人等有关内容见合同条款专用部分。</w:t>
      </w:r>
    </w:p>
    <w:p w14:paraId="6136B2D8">
      <w:pPr>
        <w:spacing w:line="360" w:lineRule="auto"/>
        <w:rPr>
          <w:rFonts w:hint="eastAsia" w:ascii="宋体" w:hAnsi="宋体" w:cs="宋体"/>
          <w:sz w:val="24"/>
        </w:rPr>
      </w:pPr>
      <w:r>
        <w:rPr>
          <w:rFonts w:hint="eastAsia" w:ascii="宋体" w:hAnsi="宋体" w:cs="宋体"/>
          <w:sz w:val="24"/>
        </w:rPr>
        <w:t>20.5  其他保险</w:t>
      </w:r>
    </w:p>
    <w:p w14:paraId="3CC87415">
      <w:pPr>
        <w:spacing w:line="360" w:lineRule="auto"/>
        <w:ind w:firstLine="630" w:firstLineChars="300"/>
        <w:rPr>
          <w:rFonts w:hint="eastAsia" w:ascii="宋体" w:hAnsi="宋体" w:cs="宋体"/>
          <w:szCs w:val="21"/>
        </w:rPr>
      </w:pPr>
      <w:r>
        <w:rPr>
          <w:rFonts w:hint="eastAsia" w:ascii="宋体" w:hAnsi="宋体" w:cs="宋体"/>
          <w:szCs w:val="21"/>
        </w:rPr>
        <w:t>承包人应为其施工设备和进场的材料等办理保险。办理保险的险种见合同条款专用部 分。</w:t>
      </w:r>
    </w:p>
    <w:p w14:paraId="15E27B36">
      <w:pPr>
        <w:spacing w:line="360" w:lineRule="auto"/>
        <w:rPr>
          <w:rFonts w:hint="eastAsia" w:ascii="宋体" w:hAnsi="宋体" w:cs="宋体"/>
          <w:sz w:val="24"/>
        </w:rPr>
      </w:pPr>
      <w:r>
        <w:rPr>
          <w:rFonts w:hint="eastAsia" w:ascii="宋体" w:hAnsi="宋体" w:cs="宋体"/>
          <w:sz w:val="24"/>
        </w:rPr>
        <w:t>20.6  对各项保险的一般要求</w:t>
      </w:r>
    </w:p>
    <w:p w14:paraId="3BDFC6F3">
      <w:pPr>
        <w:spacing w:line="360" w:lineRule="auto"/>
        <w:ind w:firstLine="630" w:firstLineChars="300"/>
        <w:rPr>
          <w:rFonts w:hint="eastAsia" w:ascii="宋体" w:hAnsi="宋体" w:cs="宋体"/>
          <w:szCs w:val="21"/>
        </w:rPr>
      </w:pPr>
      <w:r>
        <w:rPr>
          <w:rFonts w:hint="eastAsia" w:ascii="宋体" w:hAnsi="宋体" w:cs="宋体"/>
          <w:szCs w:val="21"/>
        </w:rPr>
        <w:t>20.6.1  保险凭证</w:t>
      </w:r>
    </w:p>
    <w:p w14:paraId="1D578E90">
      <w:pPr>
        <w:spacing w:line="360" w:lineRule="auto"/>
        <w:ind w:firstLine="630" w:firstLineChars="300"/>
        <w:rPr>
          <w:rFonts w:hint="eastAsia" w:ascii="宋体" w:hAnsi="宋体" w:cs="宋体"/>
          <w:szCs w:val="21"/>
        </w:rPr>
      </w:pPr>
      <w:r>
        <w:rPr>
          <w:rFonts w:hint="eastAsia" w:ascii="宋体" w:hAnsi="宋体" w:cs="宋体"/>
          <w:szCs w:val="21"/>
        </w:rPr>
        <w:t>承包人应在合同约定的期限内向发包人提交各项保险生效的证据和保险单副本，保险单必须与合同约定的条件保持一致。各项保险生效的证据和保险单副本的期限见合同条款专用部分。</w:t>
      </w:r>
    </w:p>
    <w:p w14:paraId="531A466B">
      <w:pPr>
        <w:spacing w:line="360" w:lineRule="auto"/>
        <w:ind w:firstLine="630" w:firstLineChars="300"/>
        <w:rPr>
          <w:rFonts w:hint="eastAsia" w:ascii="宋体" w:hAnsi="宋体" w:cs="宋体"/>
          <w:szCs w:val="21"/>
        </w:rPr>
      </w:pPr>
      <w:r>
        <w:rPr>
          <w:rFonts w:hint="eastAsia" w:ascii="宋体" w:hAnsi="宋体" w:cs="宋体"/>
          <w:szCs w:val="21"/>
        </w:rPr>
        <w:t>20.6.2  保险合同条款的变动</w:t>
      </w:r>
    </w:p>
    <w:p w14:paraId="1332CD91">
      <w:pPr>
        <w:spacing w:line="360" w:lineRule="auto"/>
        <w:ind w:firstLine="630" w:firstLineChars="300"/>
        <w:rPr>
          <w:rFonts w:hint="eastAsia" w:ascii="宋体" w:hAnsi="宋体" w:cs="宋体"/>
          <w:szCs w:val="21"/>
        </w:rPr>
      </w:pPr>
      <w:r>
        <w:rPr>
          <w:rFonts w:hint="eastAsia" w:ascii="宋体" w:hAnsi="宋体" w:cs="宋体"/>
          <w:szCs w:val="21"/>
        </w:rPr>
        <w:t>承包人需要变动保险合同条款时，应事先征得发包人同意，并通知监理人。保险人作出变动的，承包人应在收到保险人通知后立即通知发包人和监理人。</w:t>
      </w:r>
    </w:p>
    <w:p w14:paraId="6C868969">
      <w:pPr>
        <w:spacing w:line="360" w:lineRule="auto"/>
        <w:ind w:firstLine="630" w:firstLineChars="300"/>
        <w:rPr>
          <w:rFonts w:hint="eastAsia" w:ascii="宋体" w:hAnsi="宋体" w:cs="宋体"/>
          <w:szCs w:val="21"/>
        </w:rPr>
      </w:pPr>
      <w:r>
        <w:rPr>
          <w:rFonts w:hint="eastAsia" w:ascii="宋体" w:hAnsi="宋体" w:cs="宋体"/>
          <w:szCs w:val="21"/>
        </w:rPr>
        <w:t>20.6.3  持续保险</w:t>
      </w:r>
    </w:p>
    <w:p w14:paraId="0B29EC19">
      <w:pPr>
        <w:spacing w:line="360" w:lineRule="auto"/>
        <w:ind w:firstLine="630" w:firstLineChars="300"/>
        <w:rPr>
          <w:rFonts w:hint="eastAsia" w:ascii="宋体" w:hAnsi="宋体" w:cs="宋体"/>
          <w:szCs w:val="21"/>
        </w:rPr>
      </w:pPr>
      <w:r>
        <w:rPr>
          <w:rFonts w:hint="eastAsia" w:ascii="宋体" w:hAnsi="宋体" w:cs="宋体"/>
          <w:szCs w:val="21"/>
        </w:rPr>
        <w:t>承包人应与保险人保持联系，使保险人能够随时了解工程实施中的变动，并确保按保险合同条款要求持续保险。</w:t>
      </w:r>
    </w:p>
    <w:p w14:paraId="080EC8ED">
      <w:pPr>
        <w:spacing w:line="360" w:lineRule="auto"/>
        <w:ind w:firstLine="630" w:firstLineChars="300"/>
        <w:rPr>
          <w:rFonts w:hint="eastAsia" w:ascii="宋体" w:hAnsi="宋体" w:cs="宋体"/>
          <w:szCs w:val="21"/>
        </w:rPr>
      </w:pPr>
      <w:r>
        <w:rPr>
          <w:rFonts w:hint="eastAsia" w:ascii="宋体" w:hAnsi="宋体" w:cs="宋体"/>
          <w:szCs w:val="21"/>
        </w:rPr>
        <w:t>20.6.4  保险金不足的补偿</w:t>
      </w:r>
    </w:p>
    <w:p w14:paraId="1DD40BDA">
      <w:pPr>
        <w:spacing w:line="360" w:lineRule="auto"/>
        <w:ind w:firstLine="630" w:firstLineChars="300"/>
        <w:rPr>
          <w:rFonts w:hint="eastAsia" w:ascii="宋体" w:hAnsi="宋体" w:cs="宋体"/>
          <w:szCs w:val="21"/>
        </w:rPr>
      </w:pPr>
      <w:r>
        <w:rPr>
          <w:rFonts w:hint="eastAsia" w:ascii="宋体" w:hAnsi="宋体" w:cs="宋体"/>
          <w:szCs w:val="21"/>
        </w:rPr>
        <w:t>保险金不足以补偿损失的，应由承包人和（或）发包人按合同约定负责补偿。保险金不足的补偿原则见合同条款专用部分。</w:t>
      </w:r>
    </w:p>
    <w:p w14:paraId="73BA397F">
      <w:pPr>
        <w:spacing w:line="360" w:lineRule="auto"/>
        <w:ind w:firstLine="630" w:firstLineChars="300"/>
        <w:rPr>
          <w:rFonts w:hint="eastAsia" w:ascii="宋体" w:hAnsi="宋体" w:cs="宋体"/>
          <w:szCs w:val="21"/>
        </w:rPr>
      </w:pPr>
      <w:r>
        <w:rPr>
          <w:rFonts w:hint="eastAsia" w:ascii="宋体" w:hAnsi="宋体" w:cs="宋体"/>
          <w:szCs w:val="21"/>
        </w:rPr>
        <w:t>20.6.5  未按约定投保的补救</w:t>
      </w:r>
    </w:p>
    <w:p w14:paraId="3FB00B94">
      <w:pPr>
        <w:spacing w:line="360" w:lineRule="auto"/>
        <w:ind w:firstLine="630" w:firstLineChars="300"/>
        <w:rPr>
          <w:rFonts w:hint="eastAsia" w:ascii="宋体" w:hAnsi="宋体" w:cs="宋体"/>
          <w:szCs w:val="21"/>
        </w:rPr>
      </w:pPr>
      <w:r>
        <w:rPr>
          <w:rFonts w:hint="eastAsia" w:ascii="宋体" w:hAnsi="宋体" w:cs="宋体"/>
          <w:szCs w:val="21"/>
        </w:rPr>
        <w:t>（1） 由于负有投保义务的一方当事人未按合同约定办理保险，或未能使保险持续有效的，另一方当事人可代为办理，所需费用由对方当事人承担。</w:t>
      </w:r>
    </w:p>
    <w:p w14:paraId="4FECDF27">
      <w:pPr>
        <w:spacing w:line="360" w:lineRule="auto"/>
        <w:ind w:firstLine="630" w:firstLineChars="300"/>
        <w:rPr>
          <w:rFonts w:hint="eastAsia" w:ascii="宋体" w:hAnsi="宋体" w:cs="宋体"/>
          <w:szCs w:val="21"/>
        </w:rPr>
      </w:pPr>
      <w:r>
        <w:rPr>
          <w:rFonts w:hint="eastAsia" w:ascii="宋体" w:hAnsi="宋体" w:cs="宋体"/>
          <w:szCs w:val="21"/>
        </w:rPr>
        <w:t>（2） 由于负有投保义务的一方当事人未按合同约定办理某项保险，导致受益人未能得到保险人的赔偿，原应从该项保险得到的保险金应由负有投保义务的一方当事人支付。</w:t>
      </w:r>
    </w:p>
    <w:p w14:paraId="0CEE6EDF">
      <w:pPr>
        <w:spacing w:line="360" w:lineRule="auto"/>
        <w:ind w:firstLine="630" w:firstLineChars="300"/>
        <w:rPr>
          <w:rFonts w:hint="eastAsia" w:ascii="宋体" w:hAnsi="宋体" w:cs="宋体"/>
          <w:szCs w:val="21"/>
        </w:rPr>
      </w:pPr>
      <w:r>
        <w:rPr>
          <w:rFonts w:hint="eastAsia" w:ascii="宋体" w:hAnsi="宋体" w:cs="宋体"/>
          <w:szCs w:val="21"/>
        </w:rPr>
        <w:t>20.6.6  报告义务</w:t>
      </w:r>
    </w:p>
    <w:p w14:paraId="1518E12F">
      <w:pPr>
        <w:spacing w:line="360" w:lineRule="auto"/>
        <w:ind w:firstLine="630" w:firstLineChars="300"/>
        <w:rPr>
          <w:rFonts w:hint="eastAsia" w:ascii="宋体" w:hAnsi="宋体" w:cs="宋体"/>
          <w:szCs w:val="21"/>
        </w:rPr>
      </w:pPr>
      <w:r>
        <w:rPr>
          <w:rFonts w:hint="eastAsia" w:ascii="宋体" w:hAnsi="宋体" w:cs="宋体"/>
          <w:szCs w:val="21"/>
        </w:rPr>
        <w:t>当保险事故发生时，投保人应按照保险单规定的条件和期限及时向保险人报告。</w:t>
      </w:r>
    </w:p>
    <w:p w14:paraId="13225C3B">
      <w:pPr>
        <w:spacing w:line="360" w:lineRule="auto"/>
        <w:rPr>
          <w:rFonts w:hint="eastAsia" w:ascii="宋体" w:hAnsi="宋体" w:cs="宋体"/>
          <w:b/>
          <w:bCs/>
          <w:sz w:val="24"/>
        </w:rPr>
      </w:pPr>
      <w:r>
        <w:rPr>
          <w:rFonts w:hint="eastAsia" w:ascii="宋体" w:hAnsi="宋体" w:cs="宋体"/>
          <w:b/>
          <w:bCs/>
          <w:sz w:val="24"/>
        </w:rPr>
        <w:t>21.不可抗力</w:t>
      </w:r>
    </w:p>
    <w:p w14:paraId="2539424B">
      <w:pPr>
        <w:spacing w:line="360" w:lineRule="auto"/>
        <w:rPr>
          <w:rFonts w:hint="eastAsia" w:ascii="宋体" w:hAnsi="宋体" w:cs="宋体"/>
          <w:sz w:val="24"/>
        </w:rPr>
      </w:pPr>
      <w:r>
        <w:rPr>
          <w:rFonts w:hint="eastAsia" w:ascii="宋体" w:hAnsi="宋体" w:cs="宋体"/>
          <w:sz w:val="24"/>
        </w:rPr>
        <w:t>21.1  不可抗力的确认</w:t>
      </w:r>
    </w:p>
    <w:p w14:paraId="0158FE34">
      <w:pPr>
        <w:spacing w:line="360" w:lineRule="auto"/>
        <w:ind w:firstLine="630" w:firstLineChars="300"/>
        <w:rPr>
          <w:rFonts w:hint="eastAsia" w:ascii="宋体" w:hAnsi="宋体" w:cs="宋体"/>
          <w:szCs w:val="21"/>
        </w:rPr>
      </w:pPr>
      <w:r>
        <w:rPr>
          <w:rFonts w:hint="eastAsia" w:ascii="宋体" w:hAnsi="宋体" w:cs="宋体"/>
          <w:szCs w:val="21"/>
        </w:rPr>
        <w:t>21.1.1  不可抗力是指承包人和发包人在订立合同时不可预见，在工程施工过程中不可避免发生并不能克服的自然灾害和社会性突发事件，如地震、海啸、瘟疫、水灾、骚乱、暴动、战争和合同约定的其他情形。其他情形见合同条款专用部分。</w:t>
      </w:r>
    </w:p>
    <w:p w14:paraId="6ACC7F1E">
      <w:pPr>
        <w:spacing w:line="360" w:lineRule="auto"/>
        <w:ind w:firstLine="630" w:firstLineChars="300"/>
        <w:rPr>
          <w:rFonts w:hint="eastAsia" w:ascii="宋体" w:hAnsi="宋体" w:cs="宋体"/>
          <w:szCs w:val="21"/>
        </w:rPr>
      </w:pPr>
      <w:r>
        <w:rPr>
          <w:rFonts w:hint="eastAsia" w:ascii="宋体" w:hAnsi="宋体" w:cs="宋体"/>
          <w:szCs w:val="21"/>
        </w:rPr>
        <w:t>21.1.2  不可抗力发生后，发包人和承包人应及时认真统计所造成的损失，收集不可抗力造成损失的证据。合同双方对是否属于不可抗力或其损失的意见不一致的，由监理人按第 3.5 款商定或确定。发生争议时，按第 24 条的约定办理。</w:t>
      </w:r>
    </w:p>
    <w:p w14:paraId="7306298B">
      <w:pPr>
        <w:spacing w:line="360" w:lineRule="auto"/>
        <w:rPr>
          <w:rFonts w:hint="eastAsia" w:ascii="宋体" w:hAnsi="宋体" w:cs="宋体"/>
          <w:sz w:val="24"/>
        </w:rPr>
      </w:pPr>
      <w:r>
        <w:rPr>
          <w:rFonts w:hint="eastAsia" w:ascii="宋体" w:hAnsi="宋体" w:cs="宋体"/>
          <w:sz w:val="24"/>
        </w:rPr>
        <w:t>21.2  不可抗力的通知</w:t>
      </w:r>
    </w:p>
    <w:p w14:paraId="36643B33">
      <w:pPr>
        <w:spacing w:line="360" w:lineRule="auto"/>
        <w:ind w:firstLine="630" w:firstLineChars="300"/>
        <w:rPr>
          <w:rFonts w:hint="eastAsia" w:ascii="宋体" w:hAnsi="宋体" w:cs="宋体"/>
          <w:szCs w:val="21"/>
        </w:rPr>
      </w:pPr>
      <w:r>
        <w:rPr>
          <w:rFonts w:hint="eastAsia" w:ascii="宋体" w:hAnsi="宋体" w:cs="宋体"/>
          <w:szCs w:val="21"/>
        </w:rPr>
        <w:t>21.2.1  合同一方当事人遇到不可抗力事件，使其履行合同义务受到阻碍时，应立即通知合同另一方当事人和监理人，书面说明不可抗力和受阻碍的详细情况，并提供必要的证明。</w:t>
      </w:r>
    </w:p>
    <w:p w14:paraId="27015AB5">
      <w:pPr>
        <w:spacing w:line="360" w:lineRule="auto"/>
        <w:ind w:firstLine="630" w:firstLineChars="300"/>
        <w:rPr>
          <w:rFonts w:hint="eastAsia" w:ascii="宋体" w:hAnsi="宋体" w:cs="宋体"/>
          <w:szCs w:val="21"/>
        </w:rPr>
      </w:pPr>
      <w:r>
        <w:rPr>
          <w:rFonts w:hint="eastAsia" w:ascii="宋体" w:hAnsi="宋体" w:cs="宋体"/>
          <w:szCs w:val="21"/>
        </w:rPr>
        <w:t>21.2.2  如不可抗力持续发生，合同一方当事人应及时向合同另一方当事人和监理人提交中间报告，说明不可抗力和履行合同受阻的情况，并于不可抗力事件结束后 28 天内提交最终报告及有关资料。</w:t>
      </w:r>
    </w:p>
    <w:p w14:paraId="43F2B245">
      <w:pPr>
        <w:spacing w:line="360" w:lineRule="auto"/>
        <w:rPr>
          <w:rFonts w:hint="eastAsia" w:ascii="宋体" w:hAnsi="宋体" w:cs="宋体"/>
          <w:sz w:val="24"/>
        </w:rPr>
      </w:pPr>
      <w:r>
        <w:rPr>
          <w:rFonts w:hint="eastAsia" w:ascii="宋体" w:hAnsi="宋体" w:cs="宋体"/>
          <w:sz w:val="24"/>
        </w:rPr>
        <w:t>21.3  不可抗力后果及其处理</w:t>
      </w:r>
    </w:p>
    <w:p w14:paraId="217F54BC">
      <w:pPr>
        <w:spacing w:line="360" w:lineRule="auto"/>
        <w:ind w:firstLine="630" w:firstLineChars="300"/>
        <w:rPr>
          <w:rFonts w:hint="eastAsia" w:ascii="宋体" w:hAnsi="宋体" w:cs="宋体"/>
          <w:szCs w:val="21"/>
        </w:rPr>
      </w:pPr>
      <w:r>
        <w:rPr>
          <w:rFonts w:hint="eastAsia" w:ascii="宋体" w:hAnsi="宋体" w:cs="宋体"/>
          <w:szCs w:val="21"/>
        </w:rPr>
        <w:t>21.3.1  不可抗力造成损害的责任</w:t>
      </w:r>
    </w:p>
    <w:p w14:paraId="67A7766A">
      <w:pPr>
        <w:spacing w:line="360" w:lineRule="auto"/>
        <w:ind w:firstLine="630" w:firstLineChars="300"/>
        <w:rPr>
          <w:rFonts w:hint="eastAsia" w:ascii="宋体" w:hAnsi="宋体" w:cs="宋体"/>
          <w:szCs w:val="21"/>
        </w:rPr>
      </w:pPr>
      <w:r>
        <w:rPr>
          <w:rFonts w:hint="eastAsia" w:ascii="宋体" w:hAnsi="宋体" w:cs="宋体"/>
          <w:szCs w:val="21"/>
        </w:rPr>
        <w:t>不可抗力导致的人员伤亡、财产损失、费用增加和（或）工期延误等后果，由合同双方按以下原则承担：</w:t>
      </w:r>
    </w:p>
    <w:p w14:paraId="05CDE8DE">
      <w:pPr>
        <w:spacing w:line="360" w:lineRule="auto"/>
        <w:ind w:firstLine="630" w:firstLineChars="300"/>
        <w:rPr>
          <w:rFonts w:hint="eastAsia" w:ascii="宋体" w:hAnsi="宋体" w:cs="宋体"/>
          <w:szCs w:val="21"/>
        </w:rPr>
      </w:pPr>
      <w:r>
        <w:rPr>
          <w:rFonts w:hint="eastAsia" w:ascii="宋体" w:hAnsi="宋体" w:cs="宋体"/>
          <w:szCs w:val="21"/>
        </w:rPr>
        <w:t>（1）永久工程、已运至施工现场的材料的损坏及修复费用，以及因不可抗力事件引起施工场地内及工程损坏造成的第三方人员伤亡和财产损失由发包人承担；</w:t>
      </w:r>
    </w:p>
    <w:p w14:paraId="272D3CF8">
      <w:pPr>
        <w:spacing w:line="360" w:lineRule="auto"/>
        <w:ind w:firstLine="630" w:firstLineChars="300"/>
        <w:rPr>
          <w:rFonts w:hint="eastAsia" w:ascii="宋体" w:hAnsi="宋体" w:cs="宋体"/>
          <w:szCs w:val="21"/>
        </w:rPr>
      </w:pPr>
      <w:r>
        <w:rPr>
          <w:rFonts w:hint="eastAsia" w:ascii="宋体" w:hAnsi="宋体" w:cs="宋体"/>
          <w:szCs w:val="21"/>
        </w:rPr>
        <w:t>（2）承包人施工机具的损坏及停工损失和措施项目的损坏、清理、修复费用，以及因承包人原因发生的第三方人员伤亡和财产损失由承包人承担；</w:t>
      </w:r>
    </w:p>
    <w:p w14:paraId="0E14FE68">
      <w:pPr>
        <w:spacing w:line="360" w:lineRule="auto"/>
        <w:ind w:firstLine="630" w:firstLineChars="300"/>
        <w:rPr>
          <w:rFonts w:hint="eastAsia" w:ascii="宋体" w:hAnsi="宋体" w:cs="宋体"/>
          <w:szCs w:val="21"/>
        </w:rPr>
      </w:pPr>
      <w:r>
        <w:rPr>
          <w:rFonts w:hint="eastAsia" w:ascii="宋体" w:hAnsi="宋体" w:cs="宋体"/>
          <w:szCs w:val="21"/>
        </w:rPr>
        <w:t>（3）发包人和承包人各自承担其人员伤亡和其他财产损失；</w:t>
      </w:r>
    </w:p>
    <w:p w14:paraId="522F04D0">
      <w:pPr>
        <w:spacing w:line="360" w:lineRule="auto"/>
        <w:ind w:firstLine="630" w:firstLineChars="300"/>
        <w:rPr>
          <w:rFonts w:hint="eastAsia" w:ascii="宋体" w:hAnsi="宋体" w:cs="宋体"/>
          <w:szCs w:val="21"/>
        </w:rPr>
      </w:pPr>
      <w:r>
        <w:rPr>
          <w:rFonts w:hint="eastAsia" w:ascii="宋体" w:hAnsi="宋体" w:cs="宋体"/>
          <w:szCs w:val="21"/>
        </w:rPr>
        <w:t>（4）因不可抗力引起暂停施工的，停工期间应监理人要求照管、清理、修复工程的费用和监理人要求留驻施工现场必要的管理与保卫人员工资，以及按监理人要求留驻现场待工人员的工资由发包人承担；</w:t>
      </w:r>
    </w:p>
    <w:p w14:paraId="69DCDEAE">
      <w:pPr>
        <w:spacing w:line="360" w:lineRule="auto"/>
        <w:ind w:firstLine="630" w:firstLineChars="300"/>
        <w:rPr>
          <w:rFonts w:hint="eastAsia" w:ascii="宋体" w:hAnsi="宋体" w:cs="宋体"/>
          <w:szCs w:val="21"/>
        </w:rPr>
      </w:pPr>
      <w:r>
        <w:rPr>
          <w:rFonts w:hint="eastAsia" w:ascii="宋体" w:hAnsi="宋体" w:cs="宋体"/>
          <w:szCs w:val="21"/>
        </w:rPr>
        <w:t>（5）因不可抗力影响承包人履行合同约定的义务，引起工期延误的，应顺延工期，承包人不需支付逾期竣工违约金。发包人要求赶工的，承包人应采取赶工措施，赶工费用由发包人承担。</w:t>
      </w:r>
    </w:p>
    <w:p w14:paraId="3D2507AE">
      <w:pPr>
        <w:spacing w:line="360" w:lineRule="auto"/>
        <w:ind w:firstLine="630" w:firstLineChars="300"/>
        <w:rPr>
          <w:rFonts w:hint="eastAsia" w:ascii="宋体" w:hAnsi="宋体" w:cs="宋体"/>
          <w:szCs w:val="21"/>
        </w:rPr>
      </w:pPr>
      <w:r>
        <w:rPr>
          <w:rFonts w:hint="eastAsia" w:ascii="宋体" w:hAnsi="宋体" w:cs="宋体"/>
          <w:szCs w:val="21"/>
        </w:rPr>
        <w:t>21.3.2  延迟履行期间发生的不可抗力</w:t>
      </w:r>
    </w:p>
    <w:p w14:paraId="52D4C8A7">
      <w:pPr>
        <w:spacing w:line="360" w:lineRule="auto"/>
        <w:ind w:firstLine="630" w:firstLineChars="300"/>
        <w:rPr>
          <w:rFonts w:hint="eastAsia" w:ascii="宋体" w:hAnsi="宋体" w:cs="宋体"/>
          <w:szCs w:val="21"/>
        </w:rPr>
      </w:pPr>
      <w:r>
        <w:rPr>
          <w:rFonts w:hint="eastAsia" w:ascii="宋体" w:hAnsi="宋体" w:cs="宋体"/>
          <w:szCs w:val="21"/>
        </w:rPr>
        <w:t>合同一方当事人延迟履行，在延迟履行期间发生不可抗力的，不免除其责任。</w:t>
      </w:r>
    </w:p>
    <w:p w14:paraId="294FFB57">
      <w:pPr>
        <w:spacing w:line="360" w:lineRule="auto"/>
        <w:ind w:firstLine="630" w:firstLineChars="300"/>
        <w:rPr>
          <w:rFonts w:hint="eastAsia" w:ascii="宋体" w:hAnsi="宋体" w:cs="宋体"/>
          <w:szCs w:val="21"/>
        </w:rPr>
      </w:pPr>
      <w:r>
        <w:rPr>
          <w:rFonts w:hint="eastAsia" w:ascii="宋体" w:hAnsi="宋体" w:cs="宋体"/>
          <w:szCs w:val="21"/>
        </w:rPr>
        <w:t>21.3.3  避免和减少不可抗力损失</w:t>
      </w:r>
    </w:p>
    <w:p w14:paraId="0E52E028">
      <w:pPr>
        <w:spacing w:line="360" w:lineRule="auto"/>
        <w:ind w:firstLine="630" w:firstLineChars="300"/>
        <w:rPr>
          <w:rFonts w:hint="eastAsia" w:ascii="宋体" w:hAnsi="宋体" w:cs="宋体"/>
          <w:szCs w:val="21"/>
        </w:rPr>
      </w:pPr>
      <w:r>
        <w:rPr>
          <w:rFonts w:hint="eastAsia" w:ascii="宋体" w:hAnsi="宋体" w:cs="宋体"/>
          <w:szCs w:val="21"/>
        </w:rPr>
        <w:t>不可抗力发生后，发包人和承包人均应采取措施尽量避免和减少损失的扩大，任何一方没有采取有效措施导致损失扩大的，应对扩大的损失承担责任。</w:t>
      </w:r>
    </w:p>
    <w:p w14:paraId="09F909CA">
      <w:pPr>
        <w:spacing w:line="360" w:lineRule="auto"/>
        <w:ind w:firstLine="630" w:firstLineChars="300"/>
        <w:rPr>
          <w:rFonts w:hint="eastAsia" w:ascii="宋体" w:hAnsi="宋体" w:cs="宋体"/>
          <w:szCs w:val="21"/>
        </w:rPr>
      </w:pPr>
      <w:r>
        <w:rPr>
          <w:rFonts w:hint="eastAsia" w:ascii="宋体" w:hAnsi="宋体" w:cs="宋体"/>
          <w:szCs w:val="21"/>
        </w:rPr>
        <w:t>21.3.4  因不可抗力解除合同</w:t>
      </w:r>
    </w:p>
    <w:p w14:paraId="58C4E35C">
      <w:pPr>
        <w:spacing w:line="360" w:lineRule="auto"/>
        <w:ind w:firstLine="630" w:firstLineChars="300"/>
        <w:rPr>
          <w:rFonts w:hint="eastAsia" w:ascii="宋体" w:hAnsi="宋体" w:cs="宋体"/>
          <w:szCs w:val="21"/>
        </w:rPr>
      </w:pPr>
      <w:r>
        <w:rPr>
          <w:rFonts w:hint="eastAsia" w:ascii="宋体" w:hAnsi="宋体" w:cs="宋体"/>
          <w:szCs w:val="21"/>
        </w:rPr>
        <w:t>合同一方当事人因不可抗力不能履行合同的，应当及时通知对方解除合同。合同解除后，承包人应按照第 22.2.5 项约定撤离施工场地。已经订货的材料、设备由订货方负责退货或解除订货合同，不能退还的货款和因退货、解除订货合同发生的费用，由发包人承担，因未及时退货造成的损失由责任方承担。合同解除后的付款，参照第 22.2.4 项约定，由监理人按第 3.5 款商定或确定。</w:t>
      </w:r>
    </w:p>
    <w:p w14:paraId="26DCCC22">
      <w:pPr>
        <w:spacing w:line="360" w:lineRule="auto"/>
        <w:rPr>
          <w:rFonts w:hint="eastAsia" w:ascii="宋体" w:hAnsi="宋体" w:cs="宋体"/>
          <w:b/>
          <w:bCs/>
          <w:sz w:val="24"/>
        </w:rPr>
      </w:pPr>
      <w:r>
        <w:rPr>
          <w:rFonts w:hint="eastAsia" w:ascii="宋体" w:hAnsi="宋体" w:cs="宋体"/>
          <w:b/>
          <w:bCs/>
          <w:sz w:val="24"/>
        </w:rPr>
        <w:t>22.违约</w:t>
      </w:r>
    </w:p>
    <w:p w14:paraId="1AE2BA09">
      <w:pPr>
        <w:spacing w:line="360" w:lineRule="auto"/>
        <w:ind w:firstLine="630" w:firstLineChars="300"/>
        <w:rPr>
          <w:rFonts w:hint="eastAsia" w:ascii="宋体" w:hAnsi="宋体" w:cs="宋体"/>
          <w:szCs w:val="21"/>
        </w:rPr>
      </w:pPr>
      <w:r>
        <w:rPr>
          <w:rFonts w:hint="eastAsia" w:ascii="宋体" w:hAnsi="宋体" w:cs="宋体"/>
          <w:szCs w:val="21"/>
        </w:rPr>
        <w:t>22.1  承包人违约</w:t>
      </w:r>
    </w:p>
    <w:p w14:paraId="1FF9D6F0">
      <w:pPr>
        <w:spacing w:line="360" w:lineRule="auto"/>
        <w:ind w:firstLine="630" w:firstLineChars="300"/>
        <w:rPr>
          <w:rFonts w:hint="eastAsia" w:ascii="宋体" w:hAnsi="宋体" w:cs="宋体"/>
          <w:szCs w:val="21"/>
        </w:rPr>
      </w:pPr>
      <w:r>
        <w:rPr>
          <w:rFonts w:hint="eastAsia" w:ascii="宋体" w:hAnsi="宋体" w:cs="宋体"/>
          <w:szCs w:val="21"/>
        </w:rPr>
        <w:t>22.1.1  承包人违约的情形</w:t>
      </w:r>
    </w:p>
    <w:p w14:paraId="1E205463">
      <w:pPr>
        <w:spacing w:line="360" w:lineRule="auto"/>
        <w:ind w:firstLine="630" w:firstLineChars="300"/>
        <w:rPr>
          <w:rFonts w:hint="eastAsia" w:ascii="宋体" w:hAnsi="宋体" w:cs="宋体"/>
          <w:szCs w:val="21"/>
        </w:rPr>
      </w:pPr>
      <w:r>
        <w:rPr>
          <w:rFonts w:hint="eastAsia" w:ascii="宋体" w:hAnsi="宋体" w:cs="宋体"/>
          <w:szCs w:val="21"/>
        </w:rPr>
        <w:t>在履行合同过程中发生的下列情况属承包人违约：</w:t>
      </w:r>
    </w:p>
    <w:p w14:paraId="58A190D1">
      <w:pPr>
        <w:spacing w:line="360" w:lineRule="auto"/>
        <w:ind w:firstLine="630" w:firstLineChars="300"/>
        <w:rPr>
          <w:rFonts w:hint="eastAsia" w:ascii="宋体" w:hAnsi="宋体" w:cs="宋体"/>
          <w:szCs w:val="21"/>
        </w:rPr>
      </w:pPr>
      <w:r>
        <w:rPr>
          <w:rFonts w:hint="eastAsia" w:ascii="宋体" w:hAnsi="宋体" w:cs="宋体"/>
          <w:szCs w:val="21"/>
        </w:rPr>
        <w:t>（1）承包人违反第 1.8 款或第4.3 款的约定，私自将合同的全部或部分权利转让给其他人，或私自将合同的全部或部分义务转移给其他人；</w:t>
      </w:r>
    </w:p>
    <w:p w14:paraId="28BA02AC">
      <w:pPr>
        <w:spacing w:line="360" w:lineRule="auto"/>
        <w:ind w:firstLine="630" w:firstLineChars="300"/>
        <w:rPr>
          <w:rFonts w:hint="eastAsia" w:ascii="宋体" w:hAnsi="宋体" w:cs="宋体"/>
          <w:szCs w:val="21"/>
        </w:rPr>
      </w:pPr>
      <w:r>
        <w:rPr>
          <w:rFonts w:hint="eastAsia" w:ascii="宋体" w:hAnsi="宋体" w:cs="宋体"/>
          <w:szCs w:val="21"/>
        </w:rPr>
        <w:t>（2）承包人违反第 5.3 款或第 6.4 款的约定，未经监理人批准，私自将已按合同约定进入施工场地的施工设备、临时设施或材料撤离施工场地；</w:t>
      </w:r>
    </w:p>
    <w:p w14:paraId="1A97FD82">
      <w:pPr>
        <w:spacing w:line="360" w:lineRule="auto"/>
        <w:ind w:firstLine="630" w:firstLineChars="300"/>
        <w:rPr>
          <w:rFonts w:hint="eastAsia" w:ascii="宋体" w:hAnsi="宋体" w:cs="宋体"/>
          <w:szCs w:val="21"/>
        </w:rPr>
      </w:pPr>
      <w:r>
        <w:rPr>
          <w:rFonts w:hint="eastAsia" w:ascii="宋体" w:hAnsi="宋体" w:cs="宋体"/>
          <w:szCs w:val="21"/>
        </w:rPr>
        <w:t>（3）承包人违反第 5.4 款的约定使用了不合格材料，工程质量达不到标准要求，又拒绝清除不合格工程；</w:t>
      </w:r>
    </w:p>
    <w:p w14:paraId="3D0012BD">
      <w:pPr>
        <w:spacing w:line="360" w:lineRule="auto"/>
        <w:ind w:firstLine="630" w:firstLineChars="300"/>
        <w:rPr>
          <w:rFonts w:hint="eastAsia" w:ascii="宋体" w:hAnsi="宋体" w:cs="宋体"/>
          <w:szCs w:val="21"/>
        </w:rPr>
      </w:pPr>
      <w:r>
        <w:rPr>
          <w:rFonts w:hint="eastAsia" w:ascii="宋体" w:hAnsi="宋体" w:cs="宋体"/>
          <w:szCs w:val="21"/>
        </w:rPr>
        <w:t>（4）承包人未能按合同进度计划及时完成合同约定的工作，已造成或预期造成工期延误；</w:t>
      </w:r>
    </w:p>
    <w:p w14:paraId="57CF263F">
      <w:pPr>
        <w:spacing w:line="360" w:lineRule="auto"/>
        <w:ind w:firstLine="630" w:firstLineChars="300"/>
        <w:rPr>
          <w:rFonts w:hint="eastAsia" w:ascii="宋体" w:hAnsi="宋体" w:cs="宋体"/>
          <w:szCs w:val="21"/>
        </w:rPr>
      </w:pPr>
      <w:r>
        <w:rPr>
          <w:rFonts w:hint="eastAsia" w:ascii="宋体" w:hAnsi="宋体" w:cs="宋体"/>
          <w:szCs w:val="21"/>
        </w:rPr>
        <w:t>（5）承包人在缺陷责任期内，未能对工程接收证书所列的缺陷清单的内容或缺陷责任 期内发生的缺陷进行修复，而又拒绝按监理人指示再进行修补；</w:t>
      </w:r>
    </w:p>
    <w:p w14:paraId="60B65739">
      <w:pPr>
        <w:spacing w:line="360" w:lineRule="auto"/>
        <w:ind w:firstLine="630" w:firstLineChars="300"/>
        <w:rPr>
          <w:rFonts w:hint="eastAsia" w:ascii="宋体" w:hAnsi="宋体" w:cs="宋体"/>
          <w:szCs w:val="21"/>
        </w:rPr>
      </w:pPr>
      <w:r>
        <w:rPr>
          <w:rFonts w:hint="eastAsia" w:ascii="宋体" w:hAnsi="宋体" w:cs="宋体"/>
          <w:szCs w:val="21"/>
        </w:rPr>
        <w:t>（6）承包人无法继续履行或明确表示不履行或实质上已停止履行合同；</w:t>
      </w:r>
    </w:p>
    <w:p w14:paraId="19039849">
      <w:pPr>
        <w:spacing w:line="360" w:lineRule="auto"/>
        <w:ind w:firstLine="630" w:firstLineChars="300"/>
        <w:rPr>
          <w:rFonts w:hint="eastAsia" w:ascii="宋体" w:hAnsi="宋体" w:cs="宋体"/>
          <w:szCs w:val="21"/>
        </w:rPr>
      </w:pPr>
      <w:r>
        <w:rPr>
          <w:rFonts w:hint="eastAsia" w:ascii="宋体" w:hAnsi="宋体" w:cs="宋体"/>
          <w:szCs w:val="21"/>
        </w:rPr>
        <w:t>（7）承包人不按合同约定履行义务的其他情况。</w:t>
      </w:r>
    </w:p>
    <w:p w14:paraId="7A4A8D46">
      <w:pPr>
        <w:spacing w:line="360" w:lineRule="auto"/>
        <w:ind w:firstLine="630" w:firstLineChars="300"/>
        <w:rPr>
          <w:rFonts w:hint="eastAsia" w:ascii="宋体" w:hAnsi="宋体" w:cs="宋体"/>
          <w:szCs w:val="21"/>
        </w:rPr>
      </w:pPr>
      <w:r>
        <w:rPr>
          <w:rFonts w:hint="eastAsia" w:ascii="宋体" w:hAnsi="宋体" w:cs="宋体"/>
          <w:szCs w:val="21"/>
        </w:rPr>
        <w:t>22.1.2  对承包人违约的处理</w:t>
      </w:r>
    </w:p>
    <w:p w14:paraId="45E15EAA">
      <w:pPr>
        <w:spacing w:line="360" w:lineRule="auto"/>
        <w:ind w:firstLine="630" w:firstLineChars="300"/>
        <w:rPr>
          <w:rFonts w:hint="eastAsia" w:ascii="宋体" w:hAnsi="宋体" w:cs="宋体"/>
          <w:szCs w:val="21"/>
        </w:rPr>
      </w:pPr>
      <w:r>
        <w:rPr>
          <w:rFonts w:hint="eastAsia" w:ascii="宋体" w:hAnsi="宋体" w:cs="宋体"/>
          <w:szCs w:val="21"/>
        </w:rPr>
        <w:t>（1）承包人发生第 22.1.1（6） 目约定的违约情况时，发包人可通知承包人立即解除合同，并按有关法律处理。</w:t>
      </w:r>
    </w:p>
    <w:p w14:paraId="063CF0DF">
      <w:pPr>
        <w:spacing w:line="360" w:lineRule="auto"/>
        <w:ind w:firstLine="630" w:firstLineChars="300"/>
        <w:rPr>
          <w:rFonts w:hint="eastAsia" w:ascii="宋体" w:hAnsi="宋体" w:cs="宋体"/>
          <w:szCs w:val="21"/>
        </w:rPr>
      </w:pPr>
      <w:r>
        <w:rPr>
          <w:rFonts w:hint="eastAsia" w:ascii="宋体" w:hAnsi="宋体" w:cs="宋体"/>
          <w:szCs w:val="21"/>
        </w:rPr>
        <w:t>（2）承包人发生除第 22.1.1（6） 目约定以外的其他违约情况时，监理人可向承包人 发出整改通知，要求其在指定的期限内改正。承包人应承担其违约所引起的费用增加和（或）工期延误。</w:t>
      </w:r>
    </w:p>
    <w:p w14:paraId="6FE4C291">
      <w:pPr>
        <w:spacing w:line="360" w:lineRule="auto"/>
        <w:ind w:firstLine="630" w:firstLineChars="300"/>
        <w:rPr>
          <w:rFonts w:hint="eastAsia" w:ascii="宋体" w:hAnsi="宋体" w:cs="宋体"/>
          <w:szCs w:val="21"/>
        </w:rPr>
      </w:pPr>
      <w:r>
        <w:rPr>
          <w:rFonts w:hint="eastAsia" w:ascii="宋体" w:hAnsi="宋体" w:cs="宋体"/>
          <w:szCs w:val="21"/>
        </w:rPr>
        <w:t>（3）经检查证明承包人已采取了有效措施纠正违约行为，具备复工条件的，可由监理人签发复工通知复工。</w:t>
      </w:r>
    </w:p>
    <w:p w14:paraId="118A219E">
      <w:pPr>
        <w:spacing w:line="360" w:lineRule="auto"/>
        <w:ind w:firstLine="630" w:firstLineChars="300"/>
        <w:rPr>
          <w:rFonts w:hint="eastAsia" w:ascii="宋体" w:hAnsi="宋体" w:cs="宋体"/>
          <w:szCs w:val="21"/>
        </w:rPr>
      </w:pPr>
      <w:r>
        <w:rPr>
          <w:rFonts w:hint="eastAsia" w:ascii="宋体" w:hAnsi="宋体" w:cs="宋体"/>
          <w:szCs w:val="21"/>
        </w:rPr>
        <w:t>22.1.3  承包人违约解除合同</w:t>
      </w:r>
    </w:p>
    <w:p w14:paraId="48AB03CC">
      <w:pPr>
        <w:spacing w:line="360" w:lineRule="auto"/>
        <w:ind w:firstLine="630" w:firstLineChars="300"/>
        <w:rPr>
          <w:rFonts w:hint="eastAsia" w:ascii="宋体" w:hAnsi="宋体" w:cs="宋体"/>
          <w:szCs w:val="21"/>
        </w:rPr>
      </w:pPr>
      <w:r>
        <w:rPr>
          <w:rFonts w:hint="eastAsia" w:ascii="宋体" w:hAnsi="宋体" w:cs="宋体"/>
          <w:szCs w:val="21"/>
        </w:rPr>
        <w:t>监理人发出整改通知 28 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 但发包人的这一行动不免除承包人应承担的违约责任，也不影响发包人根据合同约定享有的 索赔权利。</w:t>
      </w:r>
    </w:p>
    <w:p w14:paraId="542F63AD">
      <w:pPr>
        <w:spacing w:line="360" w:lineRule="auto"/>
        <w:ind w:firstLine="630" w:firstLineChars="300"/>
        <w:rPr>
          <w:rFonts w:hint="eastAsia" w:ascii="宋体" w:hAnsi="宋体" w:cs="宋体"/>
          <w:szCs w:val="21"/>
        </w:rPr>
      </w:pPr>
      <w:r>
        <w:rPr>
          <w:rFonts w:hint="eastAsia" w:ascii="宋体" w:hAnsi="宋体" w:cs="宋体"/>
          <w:szCs w:val="21"/>
        </w:rPr>
        <w:t>22.1.4  合同解除后的估价、付款和结清</w:t>
      </w:r>
    </w:p>
    <w:p w14:paraId="254355E0">
      <w:pPr>
        <w:spacing w:line="360" w:lineRule="auto"/>
        <w:ind w:firstLine="630" w:firstLineChars="300"/>
        <w:rPr>
          <w:rFonts w:hint="eastAsia" w:ascii="宋体" w:hAnsi="宋体" w:cs="宋体"/>
          <w:szCs w:val="21"/>
        </w:rPr>
      </w:pPr>
      <w:r>
        <w:rPr>
          <w:rFonts w:hint="eastAsia" w:ascii="宋体" w:hAnsi="宋体" w:cs="宋体"/>
          <w:szCs w:val="21"/>
        </w:rPr>
        <w:t>（1）合同解除后，监理人按第 3.5 款商定或确定承包人实际完成工作的价值，以及承包人已提供的材料、施工设备和临时工程等的价值。</w:t>
      </w:r>
    </w:p>
    <w:p w14:paraId="7B9F972B">
      <w:pPr>
        <w:spacing w:line="360" w:lineRule="auto"/>
        <w:ind w:firstLine="630" w:firstLineChars="300"/>
        <w:rPr>
          <w:rFonts w:hint="eastAsia" w:ascii="宋体" w:hAnsi="宋体" w:cs="宋体"/>
          <w:szCs w:val="21"/>
        </w:rPr>
      </w:pPr>
      <w:r>
        <w:rPr>
          <w:rFonts w:hint="eastAsia" w:ascii="宋体" w:hAnsi="宋体" w:cs="宋体"/>
          <w:szCs w:val="21"/>
        </w:rPr>
        <w:t>（2）合同解除后，发包人可暂停对承包人的一切付款，查清各项付款和已扣款金额， 包括承包人应支付的违约金。</w:t>
      </w:r>
    </w:p>
    <w:p w14:paraId="085673E9">
      <w:pPr>
        <w:spacing w:line="360" w:lineRule="auto"/>
        <w:ind w:firstLine="630" w:firstLineChars="300"/>
        <w:rPr>
          <w:rFonts w:hint="eastAsia" w:ascii="宋体" w:hAnsi="宋体" w:cs="宋体"/>
          <w:szCs w:val="21"/>
        </w:rPr>
      </w:pPr>
      <w:r>
        <w:rPr>
          <w:rFonts w:hint="eastAsia" w:ascii="宋体" w:hAnsi="宋体" w:cs="宋体"/>
          <w:szCs w:val="21"/>
        </w:rPr>
        <w:t>（3）合同解除后，发包人应按第 23.4 款的约定向承包人索赔由于解除合同给发包人造 成的损失。</w:t>
      </w:r>
    </w:p>
    <w:p w14:paraId="33726BED">
      <w:pPr>
        <w:spacing w:line="360" w:lineRule="auto"/>
        <w:ind w:firstLine="630" w:firstLineChars="300"/>
        <w:rPr>
          <w:rFonts w:hint="eastAsia" w:ascii="宋体" w:hAnsi="宋体" w:cs="宋体"/>
          <w:szCs w:val="21"/>
        </w:rPr>
      </w:pPr>
      <w:r>
        <w:rPr>
          <w:rFonts w:hint="eastAsia" w:ascii="宋体" w:hAnsi="宋体" w:cs="宋体"/>
          <w:szCs w:val="21"/>
        </w:rPr>
        <w:t>（4）合同双方确认上述往来款项后，出具最终结清付款证书，结清全部合同款项。</w:t>
      </w:r>
    </w:p>
    <w:p w14:paraId="6B3C41A8">
      <w:pPr>
        <w:spacing w:line="360" w:lineRule="auto"/>
        <w:ind w:firstLine="630" w:firstLineChars="300"/>
        <w:rPr>
          <w:rFonts w:hint="eastAsia" w:ascii="宋体" w:hAnsi="宋体" w:cs="宋体"/>
          <w:szCs w:val="21"/>
        </w:rPr>
      </w:pPr>
      <w:r>
        <w:rPr>
          <w:rFonts w:hint="eastAsia" w:ascii="宋体" w:hAnsi="宋体" w:cs="宋体"/>
          <w:szCs w:val="21"/>
        </w:rPr>
        <w:t>（5）发包人和承包人未能就解除合同后的结清达成一致而形成争议的，按第 24 条的约 定办理。</w:t>
      </w:r>
    </w:p>
    <w:p w14:paraId="75DD95B0">
      <w:pPr>
        <w:spacing w:line="360" w:lineRule="auto"/>
        <w:ind w:firstLine="630" w:firstLineChars="300"/>
        <w:rPr>
          <w:rFonts w:hint="eastAsia" w:ascii="宋体" w:hAnsi="宋体" w:cs="宋体"/>
          <w:szCs w:val="21"/>
        </w:rPr>
      </w:pPr>
      <w:r>
        <w:rPr>
          <w:rFonts w:hint="eastAsia" w:ascii="宋体" w:hAnsi="宋体" w:cs="宋体"/>
          <w:szCs w:val="21"/>
        </w:rPr>
        <w:t>22.1.5  协议利益的转让</w:t>
      </w:r>
    </w:p>
    <w:p w14:paraId="687B8A32">
      <w:pPr>
        <w:spacing w:line="360" w:lineRule="auto"/>
        <w:ind w:firstLine="630" w:firstLineChars="300"/>
        <w:rPr>
          <w:rFonts w:hint="eastAsia" w:ascii="宋体" w:hAnsi="宋体" w:cs="宋体"/>
          <w:szCs w:val="21"/>
        </w:rPr>
      </w:pPr>
      <w:r>
        <w:rPr>
          <w:rFonts w:hint="eastAsia" w:ascii="宋体" w:hAnsi="宋体" w:cs="宋体"/>
          <w:szCs w:val="21"/>
        </w:rPr>
        <w:t>因承包人违约解除合同的，发包人有权要求承包人将其为实施合同而签订的材料的订货协议或任何服务协议利益转让给发包人，并在解除合同后的 14 天内，依法办理转让手续。</w:t>
      </w:r>
    </w:p>
    <w:p w14:paraId="1A3102AD">
      <w:pPr>
        <w:spacing w:line="360" w:lineRule="auto"/>
        <w:ind w:firstLine="630" w:firstLineChars="300"/>
        <w:rPr>
          <w:rFonts w:hint="eastAsia" w:ascii="宋体" w:hAnsi="宋体" w:cs="宋体"/>
          <w:szCs w:val="21"/>
        </w:rPr>
      </w:pPr>
      <w:r>
        <w:rPr>
          <w:rFonts w:hint="eastAsia" w:ascii="宋体" w:hAnsi="宋体" w:cs="宋体"/>
          <w:szCs w:val="21"/>
        </w:rPr>
        <w:t>22.1.6  紧急情况下无能力或不愿进行抢救</w:t>
      </w:r>
    </w:p>
    <w:p w14:paraId="42AAA9DC">
      <w:pPr>
        <w:spacing w:line="360" w:lineRule="auto"/>
        <w:ind w:firstLine="630" w:firstLineChars="300"/>
        <w:rPr>
          <w:rFonts w:hint="eastAsia" w:ascii="宋体" w:hAnsi="宋体" w:cs="宋体"/>
          <w:szCs w:val="21"/>
        </w:rPr>
      </w:pPr>
      <w:r>
        <w:rPr>
          <w:rFonts w:hint="eastAsia" w:ascii="宋体" w:hAnsi="宋体" w:cs="宋体"/>
          <w:szCs w:val="21"/>
        </w:rPr>
        <w:t>在工程实施期间或缺陷责任期内发生危及工程安全的事件，监理人通知承包人进行抢 救，承包人声明无能力或不愿立即执行的，发包人有权雇佣其他人员进行抢救。此类抢救按</w:t>
      </w:r>
    </w:p>
    <w:p w14:paraId="56A5692D">
      <w:pPr>
        <w:spacing w:line="360" w:lineRule="auto"/>
        <w:rPr>
          <w:rFonts w:hint="eastAsia" w:ascii="宋体" w:hAnsi="宋体" w:cs="宋体"/>
          <w:szCs w:val="21"/>
        </w:rPr>
      </w:pPr>
      <w:r>
        <w:rPr>
          <w:rFonts w:hint="eastAsia" w:ascii="宋体" w:hAnsi="宋体" w:cs="宋体"/>
          <w:szCs w:val="21"/>
        </w:rPr>
        <w:t>合同约定属于承包人义务的，由此发生的金额和（或）工期延误由承包人承担。</w:t>
      </w:r>
    </w:p>
    <w:p w14:paraId="2D721218">
      <w:pPr>
        <w:spacing w:line="360" w:lineRule="auto"/>
        <w:rPr>
          <w:rFonts w:hint="eastAsia" w:ascii="宋体" w:hAnsi="宋体" w:cs="宋体"/>
          <w:sz w:val="24"/>
        </w:rPr>
      </w:pPr>
      <w:r>
        <w:rPr>
          <w:rFonts w:hint="eastAsia" w:ascii="宋体" w:hAnsi="宋体" w:cs="宋体"/>
          <w:sz w:val="24"/>
        </w:rPr>
        <w:t>22.2  发包人违约</w:t>
      </w:r>
    </w:p>
    <w:p w14:paraId="7C254AC2">
      <w:pPr>
        <w:spacing w:line="360" w:lineRule="auto"/>
        <w:ind w:firstLine="630" w:firstLineChars="300"/>
        <w:rPr>
          <w:rFonts w:hint="eastAsia" w:ascii="宋体" w:hAnsi="宋体" w:cs="宋体"/>
          <w:szCs w:val="21"/>
        </w:rPr>
      </w:pPr>
      <w:r>
        <w:rPr>
          <w:rFonts w:hint="eastAsia" w:ascii="宋体" w:hAnsi="宋体" w:cs="宋体"/>
          <w:szCs w:val="21"/>
        </w:rPr>
        <w:t>22.2.1  发包人违约的情形</w:t>
      </w:r>
    </w:p>
    <w:p w14:paraId="67C3CCC9">
      <w:pPr>
        <w:spacing w:line="360" w:lineRule="auto"/>
        <w:ind w:firstLine="630" w:firstLineChars="300"/>
        <w:rPr>
          <w:rFonts w:hint="eastAsia" w:ascii="宋体" w:hAnsi="宋体" w:cs="宋体"/>
          <w:szCs w:val="21"/>
        </w:rPr>
      </w:pPr>
      <w:r>
        <w:rPr>
          <w:rFonts w:hint="eastAsia" w:ascii="宋体" w:hAnsi="宋体" w:cs="宋体"/>
          <w:szCs w:val="21"/>
        </w:rPr>
        <w:t>在履行合同过程中发生的下列情形，属发包人违约：</w:t>
      </w:r>
    </w:p>
    <w:p w14:paraId="4B1B20B3">
      <w:pPr>
        <w:spacing w:line="360" w:lineRule="auto"/>
        <w:ind w:firstLine="630" w:firstLineChars="300"/>
        <w:rPr>
          <w:rFonts w:hint="eastAsia" w:ascii="宋体" w:hAnsi="宋体" w:cs="宋体"/>
          <w:szCs w:val="21"/>
        </w:rPr>
      </w:pPr>
      <w:r>
        <w:rPr>
          <w:rFonts w:hint="eastAsia" w:ascii="宋体" w:hAnsi="宋体" w:cs="宋体"/>
          <w:szCs w:val="21"/>
        </w:rPr>
        <w:t>（1）发包人未能按合同约定支付预付款或合同价款，或拖延、拒绝批准付款申请和支 付凭证，导致付款延误的；</w:t>
      </w:r>
    </w:p>
    <w:p w14:paraId="4E04C4F0">
      <w:pPr>
        <w:spacing w:line="360" w:lineRule="auto"/>
        <w:ind w:firstLine="630" w:firstLineChars="300"/>
        <w:rPr>
          <w:rFonts w:hint="eastAsia" w:ascii="宋体" w:hAnsi="宋体" w:cs="宋体"/>
          <w:szCs w:val="21"/>
        </w:rPr>
      </w:pPr>
      <w:r>
        <w:rPr>
          <w:rFonts w:hint="eastAsia" w:ascii="宋体" w:hAnsi="宋体" w:cs="宋体"/>
          <w:szCs w:val="21"/>
        </w:rPr>
        <w:t>（2）发包人原因造成停工的；</w:t>
      </w:r>
    </w:p>
    <w:p w14:paraId="45C41C81">
      <w:pPr>
        <w:spacing w:line="360" w:lineRule="auto"/>
        <w:ind w:firstLine="630" w:firstLineChars="300"/>
        <w:rPr>
          <w:rFonts w:hint="eastAsia" w:ascii="宋体" w:hAnsi="宋体" w:cs="宋体"/>
          <w:szCs w:val="21"/>
        </w:rPr>
      </w:pPr>
      <w:r>
        <w:rPr>
          <w:rFonts w:hint="eastAsia" w:ascii="宋体" w:hAnsi="宋体" w:cs="宋体"/>
          <w:szCs w:val="21"/>
        </w:rPr>
        <w:t>（3）监理人无正当理由没有在约定期限内发出复工指示，导致承包人无法复工的；</w:t>
      </w:r>
    </w:p>
    <w:p w14:paraId="32B169B4">
      <w:pPr>
        <w:spacing w:line="360" w:lineRule="auto"/>
        <w:ind w:firstLine="630" w:firstLineChars="300"/>
        <w:rPr>
          <w:rFonts w:hint="eastAsia" w:ascii="宋体" w:hAnsi="宋体" w:cs="宋体"/>
          <w:szCs w:val="21"/>
        </w:rPr>
      </w:pPr>
      <w:r>
        <w:rPr>
          <w:rFonts w:hint="eastAsia" w:ascii="宋体" w:hAnsi="宋体" w:cs="宋体"/>
          <w:szCs w:val="21"/>
        </w:rPr>
        <w:t>（4）发包人无法继续履行或明确表示不履行或实质上已停止履行合同的；</w:t>
      </w:r>
    </w:p>
    <w:p w14:paraId="391863A8">
      <w:pPr>
        <w:spacing w:line="360" w:lineRule="auto"/>
        <w:ind w:firstLine="630" w:firstLineChars="300"/>
        <w:rPr>
          <w:rFonts w:hint="eastAsia" w:ascii="宋体" w:hAnsi="宋体" w:cs="宋体"/>
          <w:szCs w:val="21"/>
        </w:rPr>
      </w:pPr>
      <w:r>
        <w:rPr>
          <w:rFonts w:hint="eastAsia" w:ascii="宋体" w:hAnsi="宋体" w:cs="宋体"/>
          <w:szCs w:val="21"/>
        </w:rPr>
        <w:t>（5）发包人不履行合同约定其他义务的。</w:t>
      </w:r>
    </w:p>
    <w:p w14:paraId="2616AE75">
      <w:pPr>
        <w:spacing w:line="360" w:lineRule="auto"/>
        <w:ind w:firstLine="630" w:firstLineChars="300"/>
        <w:rPr>
          <w:rFonts w:hint="eastAsia" w:ascii="宋体" w:hAnsi="宋体" w:cs="宋体"/>
          <w:szCs w:val="21"/>
        </w:rPr>
      </w:pPr>
      <w:r>
        <w:rPr>
          <w:rFonts w:hint="eastAsia" w:ascii="宋体" w:hAnsi="宋体" w:cs="宋体"/>
          <w:szCs w:val="21"/>
        </w:rPr>
        <w:t>22.2.2  承包人有权暂停施工</w:t>
      </w:r>
    </w:p>
    <w:p w14:paraId="66BE310C">
      <w:pPr>
        <w:spacing w:line="360" w:lineRule="auto"/>
        <w:ind w:firstLine="630" w:firstLineChars="300"/>
        <w:rPr>
          <w:rFonts w:hint="eastAsia" w:ascii="宋体" w:hAnsi="宋体" w:cs="宋体"/>
          <w:szCs w:val="21"/>
        </w:rPr>
      </w:pPr>
      <w:r>
        <w:rPr>
          <w:rFonts w:hint="eastAsia" w:ascii="宋体" w:hAnsi="宋体" w:cs="宋体"/>
          <w:szCs w:val="21"/>
        </w:rPr>
        <w:t>发包人发生除第 22.2.1（4） 目以外的违约情况时，承包人可向发包人发出通知，要求 发包人采取有效措施纠正违约行为。发包人收到承包人通知后的 28 天内仍不履行合同义务， 承包人有权暂停施工，并通知监理人，发包人应承担由此增加的费用和（或）工期延误，并支付承包人合理利润。</w:t>
      </w:r>
    </w:p>
    <w:p w14:paraId="23C1778A">
      <w:pPr>
        <w:spacing w:line="360" w:lineRule="auto"/>
        <w:ind w:firstLine="630" w:firstLineChars="300"/>
        <w:rPr>
          <w:rFonts w:hint="eastAsia" w:ascii="宋体" w:hAnsi="宋体" w:cs="宋体"/>
          <w:szCs w:val="21"/>
        </w:rPr>
      </w:pPr>
      <w:r>
        <w:rPr>
          <w:rFonts w:hint="eastAsia" w:ascii="宋体" w:hAnsi="宋体" w:cs="宋体"/>
          <w:szCs w:val="21"/>
        </w:rPr>
        <w:t>22.2.3  发包人违约解除合同</w:t>
      </w:r>
    </w:p>
    <w:p w14:paraId="7F4B0C7C">
      <w:pPr>
        <w:spacing w:line="360" w:lineRule="auto"/>
        <w:ind w:firstLine="630" w:firstLineChars="300"/>
        <w:rPr>
          <w:rFonts w:hint="eastAsia" w:ascii="宋体" w:hAnsi="宋体" w:cs="宋体"/>
          <w:szCs w:val="21"/>
        </w:rPr>
      </w:pPr>
      <w:r>
        <w:rPr>
          <w:rFonts w:hint="eastAsia" w:ascii="宋体" w:hAnsi="宋体" w:cs="宋体"/>
          <w:szCs w:val="21"/>
        </w:rPr>
        <w:t>（1）发生第 22.2.1（4） 目的违约情况时，承包人可书面通知发包人解除合同。</w:t>
      </w:r>
    </w:p>
    <w:p w14:paraId="7AD9296F">
      <w:pPr>
        <w:spacing w:line="360" w:lineRule="auto"/>
        <w:ind w:firstLine="630" w:firstLineChars="300"/>
        <w:rPr>
          <w:rFonts w:hint="eastAsia" w:ascii="宋体" w:hAnsi="宋体" w:cs="宋体"/>
          <w:szCs w:val="21"/>
        </w:rPr>
      </w:pPr>
      <w:r>
        <w:rPr>
          <w:rFonts w:hint="eastAsia" w:ascii="宋体" w:hAnsi="宋体" w:cs="宋体"/>
          <w:szCs w:val="21"/>
        </w:rPr>
        <w:t>（2）承包人按第 22.2.2 项暂停施工 28 天后，发包人仍不纠正违约行为的，承包人可向发包人发出解除合同通知。但承包人的这一行动不免除发包人承担的违约责任，也不影响 承包人根据合同约定享有的索赔权利。</w:t>
      </w:r>
    </w:p>
    <w:p w14:paraId="3BC2F81D">
      <w:pPr>
        <w:spacing w:line="360" w:lineRule="auto"/>
        <w:ind w:firstLine="630" w:firstLineChars="300"/>
        <w:rPr>
          <w:rFonts w:hint="eastAsia" w:ascii="宋体" w:hAnsi="宋体" w:cs="宋体"/>
          <w:szCs w:val="21"/>
        </w:rPr>
      </w:pPr>
      <w:r>
        <w:rPr>
          <w:rFonts w:hint="eastAsia" w:ascii="宋体" w:hAnsi="宋体" w:cs="宋体"/>
          <w:szCs w:val="21"/>
        </w:rPr>
        <w:t>22.2.4  解除合同后的付款</w:t>
      </w:r>
    </w:p>
    <w:p w14:paraId="419D0EEE">
      <w:pPr>
        <w:spacing w:line="360" w:lineRule="auto"/>
        <w:ind w:firstLine="630" w:firstLineChars="300"/>
        <w:rPr>
          <w:rFonts w:hint="eastAsia" w:ascii="宋体" w:hAnsi="宋体" w:cs="宋体"/>
          <w:szCs w:val="21"/>
        </w:rPr>
      </w:pPr>
      <w:r>
        <w:rPr>
          <w:rFonts w:hint="eastAsia" w:ascii="宋体" w:hAnsi="宋体" w:cs="宋体"/>
          <w:szCs w:val="21"/>
        </w:rPr>
        <w:t>因发包人违约解除合同的，发包人应在解除合同后 28 天内向承包人支付下列金额，承包人应在此期限内及时向发包人提交要求支付下列金额的有关资料和凭证：</w:t>
      </w:r>
    </w:p>
    <w:p w14:paraId="06595073">
      <w:pPr>
        <w:spacing w:line="360" w:lineRule="auto"/>
        <w:ind w:firstLine="630" w:firstLineChars="300"/>
        <w:rPr>
          <w:rFonts w:hint="eastAsia" w:ascii="宋体" w:hAnsi="宋体" w:cs="宋体"/>
          <w:szCs w:val="21"/>
        </w:rPr>
      </w:pPr>
      <w:r>
        <w:rPr>
          <w:rFonts w:hint="eastAsia" w:ascii="宋体" w:hAnsi="宋体" w:cs="宋体"/>
          <w:szCs w:val="21"/>
        </w:rPr>
        <w:t>（1）合同解除前承包人已完成工程的价款；</w:t>
      </w:r>
    </w:p>
    <w:p w14:paraId="74AE3FCA">
      <w:pPr>
        <w:spacing w:line="360" w:lineRule="auto"/>
        <w:ind w:firstLine="630" w:firstLineChars="300"/>
        <w:rPr>
          <w:rFonts w:hint="eastAsia" w:ascii="宋体" w:hAnsi="宋体" w:cs="宋体"/>
          <w:szCs w:val="21"/>
        </w:rPr>
      </w:pPr>
      <w:r>
        <w:rPr>
          <w:rFonts w:hint="eastAsia" w:ascii="宋体" w:hAnsi="宋体" w:cs="宋体"/>
          <w:szCs w:val="21"/>
        </w:rPr>
        <w:t>（2）承包人为合同工程按施工进度计划合理订购且已交付的，或承包人有责任接受交付的材料和其他物品的价款。发包人付款后，该材料和其他物品归发包人所有；</w:t>
      </w:r>
    </w:p>
    <w:p w14:paraId="5CF47AED">
      <w:pPr>
        <w:spacing w:line="360" w:lineRule="auto"/>
        <w:ind w:firstLine="630" w:firstLineChars="300"/>
        <w:rPr>
          <w:rFonts w:hint="eastAsia" w:ascii="宋体" w:hAnsi="宋体" w:cs="宋体"/>
          <w:szCs w:val="21"/>
        </w:rPr>
      </w:pPr>
      <w:r>
        <w:rPr>
          <w:rFonts w:hint="eastAsia" w:ascii="宋体" w:hAnsi="宋体" w:cs="宋体"/>
          <w:szCs w:val="21"/>
        </w:rPr>
        <w:t>（3）发包人要求承包人退货或解除订货合同而产生的费用，或因不能退货或解除合同而产生的损失；</w:t>
      </w:r>
    </w:p>
    <w:p w14:paraId="4E5F4C00">
      <w:pPr>
        <w:spacing w:line="360" w:lineRule="auto"/>
        <w:ind w:firstLine="630" w:firstLineChars="300"/>
        <w:rPr>
          <w:rFonts w:hint="eastAsia" w:ascii="宋体" w:hAnsi="宋体" w:cs="宋体"/>
          <w:szCs w:val="21"/>
        </w:rPr>
      </w:pPr>
      <w:r>
        <w:rPr>
          <w:rFonts w:hint="eastAsia" w:ascii="宋体" w:hAnsi="宋体" w:cs="宋体"/>
          <w:szCs w:val="21"/>
        </w:rPr>
        <w:t>（4）承包人撤离施工场地以及遣散承包人施工人员的费用；</w:t>
      </w:r>
    </w:p>
    <w:p w14:paraId="46DB1169">
      <w:pPr>
        <w:spacing w:line="360" w:lineRule="auto"/>
        <w:ind w:firstLine="630" w:firstLineChars="300"/>
        <w:rPr>
          <w:rFonts w:hint="eastAsia" w:ascii="宋体" w:hAnsi="宋体" w:cs="宋体"/>
          <w:szCs w:val="21"/>
        </w:rPr>
      </w:pPr>
      <w:r>
        <w:rPr>
          <w:rFonts w:hint="eastAsia" w:ascii="宋体" w:hAnsi="宋体" w:cs="宋体"/>
          <w:szCs w:val="21"/>
        </w:rPr>
        <w:t>（5）在合同解除前应支付给承包人的其他价款；</w:t>
      </w:r>
    </w:p>
    <w:p w14:paraId="79A8EFD7">
      <w:pPr>
        <w:spacing w:line="360" w:lineRule="auto"/>
        <w:ind w:firstLine="630" w:firstLineChars="300"/>
        <w:rPr>
          <w:rFonts w:hint="eastAsia" w:ascii="宋体" w:hAnsi="宋体" w:cs="宋体"/>
          <w:szCs w:val="21"/>
        </w:rPr>
      </w:pPr>
      <w:r>
        <w:rPr>
          <w:rFonts w:hint="eastAsia" w:ascii="宋体" w:hAnsi="宋体" w:cs="宋体"/>
          <w:szCs w:val="21"/>
        </w:rPr>
        <w:t>（6）发包人应扣减承包人的价款；</w:t>
      </w:r>
    </w:p>
    <w:p w14:paraId="2A02E546">
      <w:pPr>
        <w:spacing w:line="360" w:lineRule="auto"/>
        <w:ind w:firstLine="630" w:firstLineChars="300"/>
        <w:rPr>
          <w:rFonts w:hint="eastAsia" w:ascii="宋体" w:hAnsi="宋体" w:cs="宋体"/>
          <w:szCs w:val="21"/>
        </w:rPr>
      </w:pPr>
      <w:r>
        <w:rPr>
          <w:rFonts w:hint="eastAsia" w:ascii="宋体" w:hAnsi="宋体" w:cs="宋体"/>
          <w:szCs w:val="21"/>
        </w:rPr>
        <w:t>（7）发包人和承包人协商确定的其他价款。</w:t>
      </w:r>
    </w:p>
    <w:p w14:paraId="11332FB5">
      <w:pPr>
        <w:spacing w:line="360" w:lineRule="auto"/>
        <w:ind w:firstLine="630" w:firstLineChars="300"/>
        <w:rPr>
          <w:rFonts w:hint="eastAsia" w:ascii="宋体" w:hAnsi="宋体" w:cs="宋体"/>
          <w:szCs w:val="21"/>
        </w:rPr>
      </w:pPr>
      <w:r>
        <w:rPr>
          <w:rFonts w:hint="eastAsia" w:ascii="宋体" w:hAnsi="宋体" w:cs="宋体"/>
          <w:szCs w:val="21"/>
        </w:rPr>
        <w:t>发包人应按本项约定支付上述金额并退还质量保证金或退还质量保证金保函和履约担保，但有权要求承包人支付应偿还给发包人的各项金额。</w:t>
      </w:r>
    </w:p>
    <w:p w14:paraId="4F2576E6">
      <w:pPr>
        <w:spacing w:line="360" w:lineRule="auto"/>
        <w:ind w:firstLine="630" w:firstLineChars="300"/>
        <w:rPr>
          <w:rFonts w:hint="eastAsia" w:ascii="宋体" w:hAnsi="宋体" w:cs="宋体"/>
          <w:szCs w:val="21"/>
        </w:rPr>
      </w:pPr>
      <w:r>
        <w:rPr>
          <w:rFonts w:hint="eastAsia" w:ascii="宋体" w:hAnsi="宋体" w:cs="宋体"/>
          <w:szCs w:val="21"/>
        </w:rPr>
        <w:t>22.2.5  解除合同后的承包人撤离</w:t>
      </w:r>
    </w:p>
    <w:p w14:paraId="1F4687B0">
      <w:pPr>
        <w:spacing w:line="360" w:lineRule="auto"/>
        <w:ind w:firstLine="630" w:firstLineChars="300"/>
        <w:rPr>
          <w:rFonts w:hint="eastAsia" w:ascii="宋体" w:hAnsi="宋体" w:cs="宋体"/>
          <w:szCs w:val="21"/>
        </w:rPr>
      </w:pPr>
      <w:r>
        <w:rPr>
          <w:rFonts w:hint="eastAsia" w:ascii="宋体" w:hAnsi="宋体" w:cs="宋体"/>
          <w:szCs w:val="21"/>
        </w:rPr>
        <w:t>因发包人违约而解除合同后，承包人应妥善做好已竣工工程和已购材料、设备的保护和移交工作，按发包人要求将承包人设备和人员撤出施工场地。承包人撤出施工场地应遵守第 18.7.1 项的约定，发包人应为承包人撤出提供必要条件。</w:t>
      </w:r>
    </w:p>
    <w:p w14:paraId="5B617497">
      <w:pPr>
        <w:spacing w:line="360" w:lineRule="auto"/>
        <w:rPr>
          <w:rFonts w:hint="eastAsia" w:ascii="宋体" w:hAnsi="宋体" w:cs="宋体"/>
          <w:sz w:val="24"/>
        </w:rPr>
      </w:pPr>
      <w:r>
        <w:rPr>
          <w:rFonts w:hint="eastAsia" w:ascii="宋体" w:hAnsi="宋体" w:cs="宋体"/>
          <w:sz w:val="24"/>
        </w:rPr>
        <w:t>22.3  第三人造成的违约</w:t>
      </w:r>
    </w:p>
    <w:p w14:paraId="2244E1CB">
      <w:pPr>
        <w:spacing w:line="360" w:lineRule="auto"/>
        <w:ind w:firstLine="630" w:firstLineChars="300"/>
        <w:rPr>
          <w:rFonts w:hint="eastAsia" w:ascii="宋体" w:hAnsi="宋体" w:cs="宋体"/>
          <w:szCs w:val="21"/>
        </w:rPr>
      </w:pPr>
      <w:r>
        <w:rPr>
          <w:rFonts w:hint="eastAsia" w:ascii="宋体" w:hAnsi="宋体" w:cs="宋体"/>
          <w:szCs w:val="21"/>
        </w:rPr>
        <w:t>在履行合同过程中，一方当事人因第三人的原因造成违约的，应当向对方当事人承担违约责任。一方当事人和第三人之间的纠纷，依照法律规定或者按照约定解决。</w:t>
      </w:r>
    </w:p>
    <w:p w14:paraId="64BC677D">
      <w:pPr>
        <w:spacing w:line="360" w:lineRule="auto"/>
        <w:rPr>
          <w:rFonts w:hint="eastAsia" w:ascii="宋体" w:hAnsi="宋体" w:cs="宋体"/>
          <w:b/>
          <w:bCs/>
          <w:sz w:val="24"/>
        </w:rPr>
      </w:pPr>
      <w:r>
        <w:rPr>
          <w:rFonts w:hint="eastAsia" w:ascii="宋体" w:hAnsi="宋体" w:cs="宋体"/>
          <w:b/>
          <w:bCs/>
          <w:sz w:val="24"/>
        </w:rPr>
        <w:t>23.工程索赔</w:t>
      </w:r>
    </w:p>
    <w:p w14:paraId="5CA063AD">
      <w:pPr>
        <w:spacing w:line="360" w:lineRule="auto"/>
        <w:rPr>
          <w:rFonts w:hint="eastAsia" w:ascii="宋体" w:hAnsi="宋体" w:cs="宋体"/>
          <w:sz w:val="24"/>
        </w:rPr>
      </w:pPr>
      <w:r>
        <w:rPr>
          <w:rFonts w:hint="eastAsia" w:ascii="宋体" w:hAnsi="宋体" w:cs="宋体"/>
          <w:sz w:val="24"/>
        </w:rPr>
        <w:t>23.1  承包人工程索赔的提出</w:t>
      </w:r>
    </w:p>
    <w:p w14:paraId="777C2C81">
      <w:pPr>
        <w:spacing w:line="360" w:lineRule="auto"/>
        <w:ind w:firstLine="630" w:firstLineChars="300"/>
        <w:rPr>
          <w:rFonts w:hint="eastAsia" w:ascii="宋体" w:hAnsi="宋体" w:cs="宋体"/>
          <w:szCs w:val="21"/>
        </w:rPr>
      </w:pPr>
      <w:r>
        <w:rPr>
          <w:rFonts w:hint="eastAsia" w:ascii="宋体" w:hAnsi="宋体" w:cs="宋体"/>
          <w:szCs w:val="21"/>
        </w:rPr>
        <w:t>根据合同约定，承包人认为有权得到追加付款和（或）延长工期的，应按以下程序向发包人提出工程索赔：</w:t>
      </w:r>
    </w:p>
    <w:p w14:paraId="4B36E755">
      <w:pPr>
        <w:spacing w:line="360" w:lineRule="auto"/>
        <w:ind w:firstLine="630" w:firstLineChars="300"/>
        <w:rPr>
          <w:rFonts w:hint="eastAsia" w:ascii="宋体" w:hAnsi="宋体" w:cs="宋体"/>
          <w:szCs w:val="21"/>
        </w:rPr>
      </w:pPr>
      <w:r>
        <w:rPr>
          <w:rFonts w:hint="eastAsia" w:ascii="宋体" w:hAnsi="宋体" w:cs="宋体"/>
          <w:szCs w:val="21"/>
        </w:rPr>
        <w:t>（1）承包人应在知道或应当知道工程索赔事件发生后 28 天内，向监理人递交工程索赔意向通知书，并说明发生工程索赔事件的事由。承包人未在前述 28 天内发出工程索赔意向通知书的，丧失要求追加付款和（或）延长工期的权利；</w:t>
      </w:r>
    </w:p>
    <w:p w14:paraId="358042E8">
      <w:pPr>
        <w:spacing w:line="360" w:lineRule="auto"/>
        <w:ind w:firstLine="630" w:firstLineChars="300"/>
        <w:rPr>
          <w:rFonts w:hint="eastAsia" w:ascii="宋体" w:hAnsi="宋体" w:cs="宋体"/>
          <w:szCs w:val="21"/>
        </w:rPr>
      </w:pPr>
      <w:r>
        <w:rPr>
          <w:rFonts w:hint="eastAsia" w:ascii="宋体" w:hAnsi="宋体" w:cs="宋体"/>
          <w:szCs w:val="21"/>
        </w:rPr>
        <w:t>（2）承包人应在发出工程索赔意向通知书后 28 天内，向监理人正式递交工程索赔通知书。工程索赔通知书应详细说明索赔理由以及要求追加的付款金额和（或）延长的工期，并 附必要的记录和证明材料；</w:t>
      </w:r>
    </w:p>
    <w:p w14:paraId="23E11C39">
      <w:pPr>
        <w:spacing w:line="360" w:lineRule="auto"/>
        <w:ind w:firstLine="630" w:firstLineChars="300"/>
        <w:rPr>
          <w:rFonts w:hint="eastAsia" w:ascii="宋体" w:hAnsi="宋体" w:cs="宋体"/>
          <w:szCs w:val="21"/>
        </w:rPr>
      </w:pPr>
      <w:r>
        <w:rPr>
          <w:rFonts w:hint="eastAsia" w:ascii="宋体" w:hAnsi="宋体" w:cs="宋体"/>
          <w:szCs w:val="21"/>
        </w:rPr>
        <w:t>（3）工程索赔事件具有连续影响的，承包人应按合理时间间隔继续递交延续工程索赔通知，说明连续影响的实际情况和记录，列出累计的追加付款金额和（或）工期延长天数；</w:t>
      </w:r>
    </w:p>
    <w:p w14:paraId="12B70FB5">
      <w:pPr>
        <w:spacing w:line="360" w:lineRule="auto"/>
        <w:ind w:firstLine="630" w:firstLineChars="300"/>
        <w:rPr>
          <w:rFonts w:hint="eastAsia" w:ascii="宋体" w:hAnsi="宋体" w:cs="宋体"/>
          <w:szCs w:val="21"/>
        </w:rPr>
      </w:pPr>
      <w:r>
        <w:rPr>
          <w:rFonts w:hint="eastAsia" w:ascii="宋体" w:hAnsi="宋体" w:cs="宋体"/>
          <w:szCs w:val="21"/>
        </w:rPr>
        <w:t>（4）在工程索赔事件影响结束后的 28 天内，承包人应向监理人递交最终工程索赔通知书，说明最终要求索赔的追加付款金额和延长的工期，并附必要的记录和证明材料。</w:t>
      </w:r>
    </w:p>
    <w:p w14:paraId="4FADB173">
      <w:pPr>
        <w:spacing w:line="360" w:lineRule="auto"/>
        <w:rPr>
          <w:rFonts w:hint="eastAsia" w:ascii="宋体" w:hAnsi="宋体" w:cs="宋体"/>
          <w:sz w:val="24"/>
        </w:rPr>
      </w:pPr>
      <w:r>
        <w:rPr>
          <w:rFonts w:hint="eastAsia" w:ascii="宋体" w:hAnsi="宋体" w:cs="宋体"/>
          <w:sz w:val="24"/>
        </w:rPr>
        <w:t>23.2  承包人工程索赔处理程序</w:t>
      </w:r>
    </w:p>
    <w:p w14:paraId="12778905">
      <w:pPr>
        <w:spacing w:line="360" w:lineRule="auto"/>
        <w:ind w:firstLine="630" w:firstLineChars="300"/>
        <w:rPr>
          <w:rFonts w:hint="eastAsia" w:ascii="宋体" w:hAnsi="宋体" w:cs="宋体"/>
          <w:szCs w:val="21"/>
        </w:rPr>
      </w:pPr>
      <w:r>
        <w:rPr>
          <w:rFonts w:hint="eastAsia" w:ascii="宋体" w:hAnsi="宋体" w:cs="宋体"/>
          <w:szCs w:val="21"/>
        </w:rPr>
        <w:t>（1）监理人收到承包人提交的工程索赔通知书后，应及时审查工程索赔通知书的内容、 查验承包人的记录和证明材料，必要时监理人可要求承包人提交全部原始记录副本。</w:t>
      </w:r>
    </w:p>
    <w:p w14:paraId="2088448B">
      <w:pPr>
        <w:spacing w:line="360" w:lineRule="auto"/>
        <w:ind w:firstLine="630" w:firstLineChars="300"/>
        <w:rPr>
          <w:rFonts w:hint="eastAsia" w:ascii="宋体" w:hAnsi="宋体" w:cs="宋体"/>
          <w:szCs w:val="21"/>
        </w:rPr>
      </w:pPr>
      <w:r>
        <w:rPr>
          <w:rFonts w:hint="eastAsia" w:ascii="宋体" w:hAnsi="宋体" w:cs="宋体"/>
          <w:szCs w:val="21"/>
        </w:rPr>
        <w:t>（2）监理人应按第 3.5 款商定或确定追加的付款和（或）延长的工期，并在收到上述工程索赔通知书或有关工程索赔的进一步证明材料后的42 天内，将索赔处理结果答复承包人。</w:t>
      </w:r>
    </w:p>
    <w:p w14:paraId="2B99BB6F">
      <w:pPr>
        <w:spacing w:line="360" w:lineRule="auto"/>
        <w:ind w:firstLine="630" w:firstLineChars="300"/>
        <w:rPr>
          <w:rFonts w:hint="eastAsia" w:ascii="宋体" w:hAnsi="宋体" w:cs="宋体"/>
          <w:szCs w:val="21"/>
        </w:rPr>
      </w:pPr>
      <w:r>
        <w:rPr>
          <w:rFonts w:hint="eastAsia" w:ascii="宋体" w:hAnsi="宋体" w:cs="宋体"/>
          <w:szCs w:val="21"/>
        </w:rPr>
        <w:t>（3）承包人接受索赔处理结果的，发包人应在作出索赔处理结果答复后 28 天内完成赔付。承包人不接受索赔处理结果的，按第 24 条的约定办理。</w:t>
      </w:r>
    </w:p>
    <w:p w14:paraId="3019D23F">
      <w:pPr>
        <w:spacing w:line="360" w:lineRule="auto"/>
        <w:rPr>
          <w:rFonts w:hint="eastAsia" w:ascii="宋体" w:hAnsi="宋体" w:cs="宋体"/>
          <w:sz w:val="24"/>
        </w:rPr>
      </w:pPr>
      <w:r>
        <w:rPr>
          <w:rFonts w:hint="eastAsia" w:ascii="宋体" w:hAnsi="宋体" w:cs="宋体"/>
          <w:sz w:val="24"/>
        </w:rPr>
        <w:t>23.3  承包人提出工程索赔的期限</w:t>
      </w:r>
    </w:p>
    <w:p w14:paraId="440A737E">
      <w:pPr>
        <w:spacing w:line="360" w:lineRule="auto"/>
        <w:ind w:firstLine="630" w:firstLineChars="300"/>
        <w:rPr>
          <w:rFonts w:hint="eastAsia" w:ascii="宋体" w:hAnsi="宋体" w:cs="宋体"/>
          <w:szCs w:val="21"/>
        </w:rPr>
      </w:pPr>
      <w:r>
        <w:rPr>
          <w:rFonts w:hint="eastAsia" w:ascii="宋体" w:hAnsi="宋体" w:cs="宋体"/>
          <w:szCs w:val="21"/>
        </w:rPr>
        <w:t>23.3.1  承包人按第 17.5 款的约定接受了竣工付款证书后，应被认为已无权再提出在合同工程接收证书颁发前所发生的任何工程索赔。</w:t>
      </w:r>
    </w:p>
    <w:p w14:paraId="2F641FA8">
      <w:pPr>
        <w:spacing w:line="360" w:lineRule="auto"/>
        <w:ind w:firstLine="630" w:firstLineChars="300"/>
        <w:rPr>
          <w:rFonts w:hint="eastAsia" w:ascii="宋体" w:hAnsi="宋体" w:cs="宋体"/>
          <w:szCs w:val="21"/>
        </w:rPr>
      </w:pPr>
      <w:r>
        <w:rPr>
          <w:rFonts w:hint="eastAsia" w:ascii="宋体" w:hAnsi="宋体" w:cs="宋体"/>
          <w:szCs w:val="21"/>
        </w:rPr>
        <w:t>23.3.2  承包人按第 17.6 款的约定提交的最终结清申请单中，只限于提出工程接收证书颁发后发生的工程索赔。提出工程索赔的期限自接受最终结清证书时终止。</w:t>
      </w:r>
    </w:p>
    <w:p w14:paraId="1E624EB5">
      <w:pPr>
        <w:spacing w:line="360" w:lineRule="auto"/>
        <w:rPr>
          <w:rFonts w:hint="eastAsia" w:ascii="宋体" w:hAnsi="宋体" w:cs="宋体"/>
          <w:sz w:val="24"/>
        </w:rPr>
      </w:pPr>
      <w:r>
        <w:rPr>
          <w:rFonts w:hint="eastAsia" w:ascii="宋体" w:hAnsi="宋体" w:cs="宋体"/>
          <w:sz w:val="24"/>
        </w:rPr>
        <w:t>23.4  发包人的工程索赔</w:t>
      </w:r>
    </w:p>
    <w:p w14:paraId="0581F178">
      <w:pPr>
        <w:spacing w:line="360" w:lineRule="auto"/>
        <w:ind w:firstLine="630" w:firstLineChars="300"/>
        <w:rPr>
          <w:rFonts w:hint="eastAsia" w:ascii="宋体" w:hAnsi="宋体" w:cs="宋体"/>
          <w:szCs w:val="21"/>
        </w:rPr>
      </w:pPr>
      <w:r>
        <w:rPr>
          <w:rFonts w:hint="eastAsia" w:ascii="宋体" w:hAnsi="宋体" w:cs="宋体"/>
          <w:szCs w:val="21"/>
        </w:rPr>
        <w:t>23.4.1  发生工程索赔事件后，监理人应及时书面通知承包人，详细说明发包人有权得到的索赔金额和（或）延长缺陷责任期的细节和依据。发包人提出索赔的期限和要求与第 23.3 款的约定相同，延长缺陷责任期的通知应在缺陷责任期届满前发出。</w:t>
      </w:r>
    </w:p>
    <w:p w14:paraId="00B69E0B">
      <w:pPr>
        <w:spacing w:line="360" w:lineRule="auto"/>
        <w:ind w:firstLine="630" w:firstLineChars="300"/>
        <w:rPr>
          <w:rFonts w:hint="eastAsia" w:ascii="宋体" w:hAnsi="宋体" w:cs="宋体"/>
          <w:szCs w:val="21"/>
        </w:rPr>
      </w:pPr>
      <w:r>
        <w:rPr>
          <w:rFonts w:hint="eastAsia" w:ascii="宋体" w:hAnsi="宋体" w:cs="宋体"/>
          <w:szCs w:val="21"/>
        </w:rPr>
        <w:t>23.4.2  监理人按第 3.5 款商定或确定发包人从承包人处得到赔付的金额和（或）缺陷责任期的延长期。承包人应付给发包人的金额可从拟支付给承包人的合同价款中扣除，或由承包人以其他方式支付给发包人。</w:t>
      </w:r>
    </w:p>
    <w:p w14:paraId="234D8A83">
      <w:pPr>
        <w:spacing w:line="360" w:lineRule="auto"/>
        <w:rPr>
          <w:rFonts w:hint="eastAsia" w:ascii="宋体" w:hAnsi="宋体" w:cs="宋体"/>
          <w:b/>
          <w:bCs/>
          <w:sz w:val="24"/>
        </w:rPr>
      </w:pPr>
      <w:r>
        <w:rPr>
          <w:rFonts w:hint="eastAsia" w:ascii="宋体" w:hAnsi="宋体" w:cs="宋体"/>
          <w:b/>
          <w:bCs/>
          <w:sz w:val="24"/>
        </w:rPr>
        <w:t>24.争议的解决</w:t>
      </w:r>
    </w:p>
    <w:p w14:paraId="7AE710B7">
      <w:pPr>
        <w:spacing w:line="360" w:lineRule="auto"/>
        <w:rPr>
          <w:rFonts w:hint="eastAsia" w:ascii="宋体" w:hAnsi="宋体" w:cs="宋体"/>
          <w:sz w:val="24"/>
        </w:rPr>
      </w:pPr>
      <w:r>
        <w:rPr>
          <w:rFonts w:hint="eastAsia" w:ascii="宋体" w:hAnsi="宋体" w:cs="宋体"/>
          <w:sz w:val="24"/>
        </w:rPr>
        <w:t>24.1  争议的解决方式</w:t>
      </w:r>
    </w:p>
    <w:p w14:paraId="5FF1E03B">
      <w:pPr>
        <w:spacing w:line="360" w:lineRule="auto"/>
        <w:ind w:firstLine="630" w:firstLineChars="300"/>
        <w:rPr>
          <w:rFonts w:hint="eastAsia" w:ascii="宋体" w:hAnsi="宋体" w:cs="宋体"/>
          <w:szCs w:val="21"/>
        </w:rPr>
      </w:pPr>
      <w:r>
        <w:rPr>
          <w:rFonts w:hint="eastAsia" w:ascii="宋体" w:hAnsi="宋体" w:cs="宋体"/>
          <w:szCs w:val="21"/>
        </w:rPr>
        <w:t>发包人和承包人在履行合同中发生争议的，应通过友好协商解决，经协商不能达成一致意见的，可以提请调解人（机构）调解或争议评审委员会（或机构）评审。如不愿提请调解、争议评审，或通过调解、争议评审仍不能解决双方争议的，合同当事人可在合同条款专用部分中约定下列一种方式解决。</w:t>
      </w:r>
    </w:p>
    <w:p w14:paraId="25A29172">
      <w:pPr>
        <w:spacing w:line="360" w:lineRule="auto"/>
        <w:ind w:firstLine="630" w:firstLineChars="300"/>
        <w:rPr>
          <w:rFonts w:hint="eastAsia" w:ascii="宋体" w:hAnsi="宋体" w:cs="宋体"/>
          <w:szCs w:val="21"/>
        </w:rPr>
      </w:pPr>
      <w:r>
        <w:rPr>
          <w:rFonts w:hint="eastAsia" w:ascii="宋体" w:hAnsi="宋体" w:cs="宋体"/>
          <w:szCs w:val="21"/>
        </w:rPr>
        <w:t>（1）向约定的仲裁委员会申请仲裁；</w:t>
      </w:r>
    </w:p>
    <w:p w14:paraId="0600C483">
      <w:pPr>
        <w:spacing w:line="360" w:lineRule="auto"/>
        <w:ind w:firstLine="630" w:firstLineChars="300"/>
        <w:rPr>
          <w:rFonts w:hint="eastAsia" w:ascii="宋体" w:hAnsi="宋体" w:cs="宋体"/>
          <w:szCs w:val="21"/>
        </w:rPr>
      </w:pPr>
      <w:r>
        <w:rPr>
          <w:rFonts w:hint="eastAsia" w:ascii="宋体" w:hAnsi="宋体" w:cs="宋体"/>
          <w:szCs w:val="21"/>
        </w:rPr>
        <w:t>（2）向有管辖权的人民法院提起诉讼。</w:t>
      </w:r>
    </w:p>
    <w:p w14:paraId="2FBA233D">
      <w:pPr>
        <w:spacing w:line="360" w:lineRule="auto"/>
        <w:ind w:firstLine="630" w:firstLineChars="300"/>
        <w:rPr>
          <w:rFonts w:hint="eastAsia" w:ascii="宋体" w:hAnsi="宋体" w:cs="宋体"/>
          <w:szCs w:val="21"/>
        </w:rPr>
      </w:pPr>
      <w:r>
        <w:rPr>
          <w:rFonts w:hint="eastAsia" w:ascii="宋体" w:hAnsi="宋体" w:cs="宋体"/>
          <w:szCs w:val="21"/>
        </w:rPr>
        <w:t>除因发包人或承包人违约引起合同已无法继续履行，或双方协商确定停止施工或合同已经解除外，发包人和承包人在争议发生后应继续履行合同工程，直至争议解决。</w:t>
      </w:r>
    </w:p>
    <w:p w14:paraId="62ABCCF6">
      <w:pPr>
        <w:spacing w:line="360" w:lineRule="auto"/>
        <w:rPr>
          <w:rFonts w:hint="eastAsia" w:ascii="宋体" w:hAnsi="宋体" w:cs="宋体"/>
          <w:sz w:val="24"/>
        </w:rPr>
      </w:pPr>
      <w:r>
        <w:rPr>
          <w:rFonts w:hint="eastAsia" w:ascii="宋体" w:hAnsi="宋体" w:cs="宋体"/>
          <w:sz w:val="24"/>
        </w:rPr>
        <w:t>24.2  和解</w:t>
      </w:r>
    </w:p>
    <w:p w14:paraId="19886089">
      <w:pPr>
        <w:spacing w:line="360" w:lineRule="auto"/>
        <w:ind w:firstLine="630" w:firstLineChars="300"/>
        <w:rPr>
          <w:rFonts w:hint="eastAsia" w:ascii="宋体" w:hAnsi="宋体" w:cs="宋体"/>
          <w:szCs w:val="21"/>
        </w:rPr>
      </w:pPr>
      <w:r>
        <w:rPr>
          <w:rFonts w:hint="eastAsia" w:ascii="宋体" w:hAnsi="宋体" w:cs="宋体"/>
          <w:szCs w:val="21"/>
        </w:rPr>
        <w:t>发包人和承包人在履行合同中发生争议的，应通过友好协商解决，并在协商一致后签订相关的补充（和解）协议，所签订的补充（和解）协议作为合同补充文件，对合同双方均具有约束力，合同双方都应遵守执行。</w:t>
      </w:r>
    </w:p>
    <w:p w14:paraId="738E0CA3">
      <w:pPr>
        <w:spacing w:line="360" w:lineRule="auto"/>
        <w:rPr>
          <w:rFonts w:hint="eastAsia" w:ascii="宋体" w:hAnsi="宋体" w:cs="宋体"/>
          <w:sz w:val="24"/>
        </w:rPr>
      </w:pPr>
      <w:r>
        <w:rPr>
          <w:rFonts w:hint="eastAsia" w:ascii="宋体" w:hAnsi="宋体" w:cs="宋体"/>
          <w:sz w:val="24"/>
        </w:rPr>
        <w:t>24.3  争议评审</w:t>
      </w:r>
    </w:p>
    <w:p w14:paraId="214048A1">
      <w:pPr>
        <w:spacing w:line="360" w:lineRule="auto"/>
        <w:ind w:firstLine="630" w:firstLineChars="300"/>
        <w:rPr>
          <w:rFonts w:hint="eastAsia" w:ascii="宋体" w:hAnsi="宋体" w:cs="宋体"/>
          <w:szCs w:val="21"/>
        </w:rPr>
      </w:pPr>
      <w:r>
        <w:rPr>
          <w:rFonts w:hint="eastAsia" w:ascii="宋体" w:hAnsi="宋体" w:cs="宋体"/>
          <w:szCs w:val="21"/>
        </w:rPr>
        <w:t>24.3.1  采用争议评审方式解决争议的，发包人和承包人应在合同履行过程中共同确定 争议评审委员会（或机构）的选择形式、人员构成和数量。</w:t>
      </w:r>
    </w:p>
    <w:p w14:paraId="4B2EE218">
      <w:pPr>
        <w:spacing w:line="360" w:lineRule="auto"/>
        <w:ind w:firstLine="630" w:firstLineChars="300"/>
        <w:rPr>
          <w:rFonts w:hint="eastAsia" w:ascii="宋体" w:hAnsi="宋体" w:cs="宋体"/>
          <w:szCs w:val="21"/>
        </w:rPr>
      </w:pPr>
      <w:r>
        <w:rPr>
          <w:rFonts w:hint="eastAsia" w:ascii="宋体" w:hAnsi="宋体" w:cs="宋体"/>
          <w:szCs w:val="21"/>
        </w:rPr>
        <w:t>24.3.2  合同双方或任一方提出争议的，应在争议评审委员会（或机构）确定后，由合同双方共同将与争议事项相关的工程资料以书面形式提供给争议评审委员会（或机构），或提出相关争议的一方将争议事项相关的工程资料以书面形式提供给争议评审委员会（或机构），同时提供一份给合同的另一方。</w:t>
      </w:r>
    </w:p>
    <w:p w14:paraId="315C9D96">
      <w:pPr>
        <w:spacing w:line="360" w:lineRule="auto"/>
        <w:ind w:firstLine="630" w:firstLineChars="300"/>
        <w:rPr>
          <w:rFonts w:hint="eastAsia" w:ascii="宋体" w:hAnsi="宋体" w:cs="宋体"/>
          <w:szCs w:val="21"/>
        </w:rPr>
      </w:pPr>
      <w:r>
        <w:rPr>
          <w:rFonts w:hint="eastAsia" w:ascii="宋体" w:hAnsi="宋体" w:cs="宋体"/>
          <w:szCs w:val="21"/>
        </w:rPr>
        <w:t>24.3.3  争议评审委员会（或机构）应在收到争议事项文件资料后，全面了解争议事项的发生实情，并在收到争议事项文件资料后的约定时间内将争议处理意见以书面形式同时提供给合同双方，包括相关的详细说明和依据。</w:t>
      </w:r>
    </w:p>
    <w:p w14:paraId="43D8F36C">
      <w:pPr>
        <w:spacing w:line="360" w:lineRule="auto"/>
        <w:ind w:firstLine="630" w:firstLineChars="300"/>
        <w:rPr>
          <w:rFonts w:hint="eastAsia" w:ascii="宋体" w:hAnsi="宋体" w:cs="宋体"/>
          <w:szCs w:val="21"/>
        </w:rPr>
      </w:pPr>
      <w:r>
        <w:rPr>
          <w:rFonts w:hint="eastAsia" w:ascii="宋体" w:hAnsi="宋体" w:cs="宋体"/>
          <w:szCs w:val="21"/>
        </w:rPr>
        <w:t>24.3.4  如合同双方中的任一方对争议评审委员会（或机构）的意见提出异议的，提出异议的一方应在收到争议评审委员会（或机构）的意见后的规定时间内，将不认可理由的函件以书面形式提供给争议评审委员会（或机构），并同时抄送一份给合同的另一方，包括相关说明、依据及补充提供的支持性资料。争议评审委员会（或机构）复查后，将维持原意见或修改意见的理由及决定以书面形式同时提供给合同双方。</w:t>
      </w:r>
    </w:p>
    <w:p w14:paraId="79DC898E">
      <w:pPr>
        <w:spacing w:line="360" w:lineRule="auto"/>
        <w:ind w:firstLine="630" w:firstLineChars="300"/>
        <w:rPr>
          <w:rFonts w:hint="eastAsia" w:ascii="宋体" w:hAnsi="宋体" w:cs="宋体"/>
          <w:szCs w:val="21"/>
        </w:rPr>
      </w:pPr>
      <w:r>
        <w:rPr>
          <w:rFonts w:hint="eastAsia" w:ascii="宋体" w:hAnsi="宋体" w:cs="宋体"/>
          <w:szCs w:val="21"/>
        </w:rPr>
        <w:t>24.3.5  如合同双方对争议评审委员会（或机构）提出的争议解决意见或修改意见没有 异议的，合同双方应以书面形式签署确认，作为相关争议的和解协议，对合同双方应均具有 约束力，合同双方都应遵守执行。</w:t>
      </w:r>
    </w:p>
    <w:p w14:paraId="706610DC">
      <w:pPr>
        <w:spacing w:line="360" w:lineRule="auto"/>
        <w:ind w:firstLine="630" w:firstLineChars="300"/>
        <w:rPr>
          <w:rFonts w:hint="eastAsia" w:ascii="宋体" w:hAnsi="宋体" w:cs="宋体"/>
          <w:szCs w:val="21"/>
        </w:rPr>
      </w:pPr>
      <w:r>
        <w:rPr>
          <w:rFonts w:hint="eastAsia" w:ascii="宋体" w:hAnsi="宋体" w:cs="宋体"/>
          <w:szCs w:val="21"/>
        </w:rPr>
        <w:t>24.3.6  如合同双方中的任一方对争议评审委员会（或机构）的处理意见有异议，处理 意见对合同双方不具有约束力。</w:t>
      </w:r>
    </w:p>
    <w:p w14:paraId="7AB785C6">
      <w:pPr>
        <w:spacing w:line="360" w:lineRule="auto"/>
        <w:rPr>
          <w:rFonts w:hint="eastAsia" w:ascii="宋体" w:hAnsi="宋体" w:cs="宋体"/>
          <w:sz w:val="24"/>
        </w:rPr>
      </w:pPr>
      <w:r>
        <w:rPr>
          <w:rFonts w:hint="eastAsia" w:ascii="宋体" w:hAnsi="宋体" w:cs="宋体"/>
          <w:sz w:val="24"/>
        </w:rPr>
        <w:t>24.4  调解</w:t>
      </w:r>
    </w:p>
    <w:p w14:paraId="596A9F88">
      <w:pPr>
        <w:spacing w:line="360" w:lineRule="auto"/>
        <w:ind w:firstLine="630" w:firstLineChars="300"/>
        <w:rPr>
          <w:rFonts w:hint="eastAsia" w:ascii="宋体" w:hAnsi="宋体" w:cs="宋体"/>
          <w:szCs w:val="21"/>
        </w:rPr>
      </w:pPr>
      <w:r>
        <w:rPr>
          <w:rFonts w:hint="eastAsia" w:ascii="宋体" w:hAnsi="宋体" w:cs="宋体"/>
          <w:szCs w:val="21"/>
        </w:rPr>
        <w:t>24.4.1  采用调解方式解决合同履行过程中发生争议事项的，应在合同履行过程中双方 共同选择、确定具有调解能力的调解人（或机构），负责双方在合同履行过程中发生争议事 项的调解。</w:t>
      </w:r>
    </w:p>
    <w:p w14:paraId="69F8E93E">
      <w:pPr>
        <w:spacing w:line="360" w:lineRule="auto"/>
        <w:ind w:firstLine="630" w:firstLineChars="300"/>
        <w:rPr>
          <w:rFonts w:hint="eastAsia" w:ascii="宋体" w:hAnsi="宋体" w:cs="宋体"/>
          <w:szCs w:val="21"/>
        </w:rPr>
      </w:pPr>
      <w:r>
        <w:rPr>
          <w:rFonts w:hint="eastAsia" w:ascii="宋体" w:hAnsi="宋体" w:cs="宋体"/>
          <w:szCs w:val="21"/>
        </w:rPr>
        <w:t>24.4.2  合同双方发生争议解决事项时，提出争议合理解决的任一方应将相关争议事项 的所有文件、工程指令等以书面形式提交调解人（或机构），并书面抄送一份给合同的另一 方，委托调解人（或机构）进行调解。</w:t>
      </w:r>
    </w:p>
    <w:p w14:paraId="67823732">
      <w:pPr>
        <w:spacing w:line="360" w:lineRule="auto"/>
        <w:ind w:firstLine="630" w:firstLineChars="300"/>
        <w:rPr>
          <w:rFonts w:hint="eastAsia" w:ascii="宋体" w:hAnsi="宋体" w:cs="宋体"/>
          <w:szCs w:val="21"/>
        </w:rPr>
      </w:pPr>
      <w:r>
        <w:rPr>
          <w:rFonts w:hint="eastAsia" w:ascii="宋体" w:hAnsi="宋体" w:cs="宋体"/>
          <w:szCs w:val="21"/>
        </w:rPr>
        <w:t>24.4.3  合同双方应按照调解人（或机构）提出的要求，提供其所需要的资料、进入现 场的权利及相应工作设施条件。</w:t>
      </w:r>
    </w:p>
    <w:p w14:paraId="19CF9B4E">
      <w:pPr>
        <w:spacing w:line="360" w:lineRule="auto"/>
        <w:ind w:firstLine="630" w:firstLineChars="300"/>
        <w:rPr>
          <w:rFonts w:hint="eastAsia" w:ascii="宋体" w:hAnsi="宋体" w:cs="宋体"/>
          <w:szCs w:val="21"/>
        </w:rPr>
      </w:pPr>
      <w:r>
        <w:rPr>
          <w:rFonts w:hint="eastAsia" w:ascii="宋体" w:hAnsi="宋体" w:cs="宋体"/>
          <w:szCs w:val="21"/>
        </w:rPr>
        <w:t>24.4.4  调解人（或机构）收到争议事项文件资料后，应全面了解争议事项的发生实情， 听取合同双方的意见及协调双方的主张，并在收到争议事项文件资料后的约定时间内将自身 的争议处理意见以书面形式提供给合同双方，包括相关的详细说明和依据。</w:t>
      </w:r>
    </w:p>
    <w:p w14:paraId="406BC3AF">
      <w:pPr>
        <w:spacing w:line="360" w:lineRule="auto"/>
        <w:ind w:firstLine="630" w:firstLineChars="300"/>
        <w:rPr>
          <w:rFonts w:hint="eastAsia" w:ascii="宋体" w:hAnsi="宋体" w:cs="宋体"/>
          <w:szCs w:val="21"/>
        </w:rPr>
      </w:pPr>
      <w:r>
        <w:rPr>
          <w:rFonts w:hint="eastAsia" w:ascii="宋体" w:hAnsi="宋体" w:cs="宋体"/>
          <w:szCs w:val="21"/>
        </w:rPr>
        <w:t>24.4.5  如合同双方中的任一方不认可调解人（或机构）的决定，提出异议的一方应在 收到调解人（或机构）的决定后,在规定的时间内将不认可理由的函件以书面形式提交给调 解人（或机构），并同时抄送一份给合同的另一方，包括相关的详细说明、依据及补充提供 的支持性资料。调解人（或机构）复查、协调后，将维持决定或修改决定的调整意见书同时 提供给合同双方。</w:t>
      </w:r>
    </w:p>
    <w:p w14:paraId="64D4BD34">
      <w:pPr>
        <w:spacing w:line="360" w:lineRule="auto"/>
        <w:ind w:firstLine="630" w:firstLineChars="300"/>
        <w:rPr>
          <w:rFonts w:hint="eastAsia" w:ascii="宋体" w:hAnsi="宋体" w:cs="宋体"/>
          <w:szCs w:val="21"/>
        </w:rPr>
      </w:pPr>
      <w:r>
        <w:rPr>
          <w:rFonts w:hint="eastAsia" w:ascii="宋体" w:hAnsi="宋体" w:cs="宋体"/>
          <w:szCs w:val="21"/>
        </w:rPr>
        <w:t>24.4.6  合同双方接受调解人（或机构）提出的调解书的，双方应签署确认并作为合同 的补充文件，对合同双方应均具有约束力，双方都应遵守执行。</w:t>
      </w:r>
    </w:p>
    <w:p w14:paraId="0AFFC755">
      <w:pPr>
        <w:spacing w:line="360" w:lineRule="auto"/>
        <w:ind w:firstLine="630" w:firstLineChars="300"/>
        <w:rPr>
          <w:rFonts w:hint="eastAsia" w:ascii="宋体" w:hAnsi="宋体" w:cs="宋体"/>
          <w:szCs w:val="21"/>
        </w:rPr>
      </w:pPr>
      <w:r>
        <w:rPr>
          <w:rFonts w:hint="eastAsia" w:ascii="宋体" w:hAnsi="宋体" w:cs="宋体"/>
          <w:szCs w:val="21"/>
        </w:rPr>
        <w:t>24.4.7  当合同双方中的任一方对调解人（或机构）的调解书有异议时，应在收到调解书后约定的时间内提出异议的事项和理由。当调解人（或机构）已就争议事项向合同双方提交了调解书，而任一方在收到调解书后的约定时间内未发出表示异议的通知时，视为已认可调解书。</w:t>
      </w:r>
    </w:p>
    <w:p w14:paraId="601DE2BA">
      <w:pPr>
        <w:spacing w:line="360" w:lineRule="auto"/>
        <w:ind w:firstLine="630" w:firstLineChars="300"/>
        <w:rPr>
          <w:rFonts w:hint="eastAsia" w:ascii="宋体" w:hAnsi="宋体" w:cs="宋体"/>
          <w:szCs w:val="21"/>
        </w:rPr>
      </w:pPr>
      <w:r>
        <w:rPr>
          <w:rFonts w:hint="eastAsia" w:ascii="宋体" w:hAnsi="宋体" w:cs="宋体"/>
          <w:szCs w:val="21"/>
        </w:rPr>
        <w:t>24.4.8  合同双方未共同签字确认的调解书，除调解协议另有约定或罚解书在仲裁裁 决、诉讼判决中予以确认外，对合同双方均不应具有约束力。</w:t>
      </w:r>
    </w:p>
    <w:p w14:paraId="22A826CF">
      <w:pPr>
        <w:spacing w:line="360" w:lineRule="auto"/>
        <w:rPr>
          <w:rFonts w:hint="eastAsia" w:ascii="宋体" w:hAnsi="宋体" w:cs="宋体"/>
          <w:sz w:val="24"/>
        </w:rPr>
      </w:pPr>
      <w:r>
        <w:rPr>
          <w:rFonts w:hint="eastAsia" w:ascii="宋体" w:hAnsi="宋体" w:cs="宋体"/>
          <w:sz w:val="24"/>
        </w:rPr>
        <w:t>24.5  仲裁与诉讼</w:t>
      </w:r>
    </w:p>
    <w:p w14:paraId="7D759F0E">
      <w:pPr>
        <w:spacing w:line="360" w:lineRule="auto"/>
        <w:ind w:firstLine="630" w:firstLineChars="300"/>
        <w:rPr>
          <w:rFonts w:hint="eastAsia" w:ascii="宋体" w:hAnsi="宋体" w:cs="宋体"/>
          <w:szCs w:val="21"/>
        </w:rPr>
      </w:pPr>
      <w:r>
        <w:rPr>
          <w:rFonts w:hint="eastAsia" w:ascii="宋体" w:hAnsi="宋体" w:cs="宋体"/>
          <w:szCs w:val="21"/>
        </w:rPr>
        <w:t>24.5.1  如果合同双方按 24.1 款约定采用仲裁或诉讼方式解决争议事项的，在仲裁委员会裁决或人民法院判决前，合同双方可按仲裁委员会或人民法院的调解程序和方法进行调解。</w:t>
      </w:r>
    </w:p>
    <w:p w14:paraId="0EEDC60A">
      <w:pPr>
        <w:spacing w:line="360" w:lineRule="auto"/>
        <w:ind w:firstLine="630" w:firstLineChars="300"/>
        <w:rPr>
          <w:rFonts w:hint="eastAsia" w:ascii="宋体" w:hAnsi="宋体" w:cs="宋体"/>
          <w:szCs w:val="21"/>
        </w:rPr>
      </w:pPr>
      <w:r>
        <w:rPr>
          <w:rFonts w:hint="eastAsia" w:ascii="宋体" w:hAnsi="宋体" w:cs="宋体"/>
          <w:szCs w:val="21"/>
        </w:rPr>
        <w:t>24.5.2  合同双方各自的义务不因在工程实施期间进行仲裁或诉讼而改变。当仲裁或诉讼时，按仲裁委员会或人民法院要求停止施工的，承包人应对合同工程采取保护措施，由此增加的费用应由败诉方承担，或按责任分担。</w:t>
      </w:r>
    </w:p>
    <w:p w14:paraId="51F30C24">
      <w:pPr>
        <w:spacing w:line="360" w:lineRule="auto"/>
        <w:ind w:firstLine="630" w:firstLineChars="300"/>
        <w:rPr>
          <w:rFonts w:hint="eastAsia" w:ascii="宋体" w:hAnsi="宋体" w:cs="宋体"/>
          <w:szCs w:val="21"/>
        </w:rPr>
      </w:pPr>
      <w:r>
        <w:rPr>
          <w:rFonts w:hint="eastAsia" w:ascii="宋体" w:hAnsi="宋体" w:cs="宋体"/>
          <w:szCs w:val="21"/>
        </w:rPr>
        <w:t>24.5.3  合同双方中的任一方未能遵守双方确认的争议评审意见或调解书的，另一方可按合同约定的争议解决方式将争议事项提交仲裁或诉讼。</w:t>
      </w:r>
    </w:p>
    <w:p w14:paraId="0ADF5602">
      <w:pPr>
        <w:spacing w:line="360" w:lineRule="auto"/>
        <w:ind w:firstLine="630" w:firstLineChars="300"/>
        <w:rPr>
          <w:rFonts w:hint="eastAsia" w:ascii="宋体" w:hAnsi="宋体" w:cs="宋体"/>
          <w:szCs w:val="21"/>
        </w:rPr>
      </w:pPr>
      <w:r>
        <w:rPr>
          <w:rFonts w:hint="eastAsia" w:ascii="宋体" w:hAnsi="宋体" w:cs="宋体"/>
          <w:szCs w:val="21"/>
        </w:rPr>
        <w:t>24.5.4  仲裁或诉讼的最终决定，对合同双方均有约束力，应共同遵守。</w:t>
      </w:r>
    </w:p>
    <w:p w14:paraId="3529BBBE"/>
    <w:p w14:paraId="64052753">
      <w:pPr>
        <w:rPr>
          <w:u w:color="000000" w:themeColor="text1"/>
        </w:rPr>
      </w:pPr>
    </w:p>
    <w:p w14:paraId="51DE5360">
      <w:pPr>
        <w:rPr>
          <w:u w:color="000000" w:themeColor="text1"/>
        </w:rPr>
      </w:pPr>
      <w:r>
        <w:rPr>
          <w:rFonts w:hint="eastAsia"/>
          <w:u w:color="000000" w:themeColor="text1"/>
        </w:rPr>
        <w:br w:type="page"/>
      </w:r>
    </w:p>
    <w:p w14:paraId="421E729D">
      <w:pPr>
        <w:pStyle w:val="2"/>
        <w:snapToGrid w:val="0"/>
        <w:rPr>
          <w:rFonts w:hint="eastAsia"/>
          <w:u w:color="000000" w:themeColor="text1"/>
        </w:rPr>
      </w:pPr>
      <w:bookmarkStart w:id="680" w:name="_Toc6741"/>
      <w:r>
        <w:rPr>
          <w:rFonts w:hint="eastAsia"/>
          <w:u w:color="000000" w:themeColor="text1"/>
        </w:rPr>
        <w:t>第三部分 合同条款专用部分</w:t>
      </w:r>
      <w:bookmarkEnd w:id="680"/>
    </w:p>
    <w:p w14:paraId="063177A9">
      <w:pPr>
        <w:pStyle w:val="6"/>
        <w:spacing w:before="0" w:after="0" w:line="360" w:lineRule="auto"/>
        <w:rPr>
          <w:sz w:val="24"/>
          <w:szCs w:val="24"/>
          <w:u w:color="000000" w:themeColor="text1"/>
        </w:rPr>
      </w:pPr>
      <w:r>
        <w:rPr>
          <w:rFonts w:hint="eastAsia"/>
          <w:sz w:val="24"/>
          <w:szCs w:val="24"/>
          <w:u w:color="000000" w:themeColor="text1"/>
        </w:rPr>
        <w:t>1.一般约定</w:t>
      </w:r>
    </w:p>
    <w:p w14:paraId="334220B0">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词语定义</w:t>
      </w:r>
    </w:p>
    <w:p w14:paraId="40202997">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合同当事人和人员</w:t>
      </w:r>
    </w:p>
    <w:p w14:paraId="4BDD97F5">
      <w:pPr>
        <w:tabs>
          <w:tab w:val="left" w:pos="138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1.1.2.2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发包人：</w:t>
      </w:r>
      <w:r>
        <w:rPr>
          <w:rFonts w:hint="eastAsia" w:cs="宋体" w:asciiTheme="minorEastAsia" w:hAnsiTheme="minorEastAsia" w:eastAsiaTheme="minorEastAsia"/>
          <w:sz w:val="24"/>
          <w:u w:val="single" w:color="000000" w:themeColor="text1"/>
        </w:rPr>
        <w:t>北京市丰台区职业教育中心学校</w:t>
      </w:r>
    </w:p>
    <w:p w14:paraId="0776A731">
      <w:pPr>
        <w:tabs>
          <w:tab w:val="left" w:pos="138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1.1.2.3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w:t>
      </w:r>
      <w:r>
        <w:rPr>
          <w:rFonts w:hint="eastAsia" w:cs="宋体" w:asciiTheme="minorEastAsia" w:hAnsiTheme="minorEastAsia" w:eastAsiaTheme="minorEastAsia"/>
          <w:sz w:val="24"/>
          <w:u w:val="single" w:color="000000" w:themeColor="text1"/>
        </w:rPr>
        <w:t xml:space="preserve">            </w:t>
      </w:r>
    </w:p>
    <w:p w14:paraId="3FB368F7">
      <w:pPr>
        <w:tabs>
          <w:tab w:val="left" w:pos="2229"/>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1.1.2.6  监理人：</w:t>
      </w:r>
      <w:r>
        <w:rPr>
          <w:rFonts w:hint="eastAsia" w:cs="宋体" w:asciiTheme="minorEastAsia" w:hAnsiTheme="minorEastAsia" w:eastAsiaTheme="minorEastAsia"/>
          <w:sz w:val="24"/>
          <w:u w:val="single" w:color="000000" w:themeColor="text1"/>
        </w:rPr>
        <w:t>待定</w:t>
      </w:r>
    </w:p>
    <w:p w14:paraId="1530F243">
      <w:pPr>
        <w:tabs>
          <w:tab w:val="left" w:pos="138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1.1.2.8</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发包人代表：</w:t>
      </w:r>
    </w:p>
    <w:p w14:paraId="3DB34587">
      <w:pPr>
        <w:adjustRightInd w:val="0"/>
        <w:snapToGrid w:val="0"/>
        <w:spacing w:line="360" w:lineRule="auto"/>
        <w:ind w:firstLine="960" w:firstLineChars="4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 xml:space="preserve">姓  </w:t>
      </w:r>
      <w:r>
        <w:rPr>
          <w:rFonts w:hint="eastAsia" w:cs="宋体" w:asciiTheme="minorEastAsia" w:hAnsiTheme="minorEastAsia" w:eastAsiaTheme="minorEastAsia"/>
          <w:spacing w:val="100"/>
          <w:sz w:val="24"/>
          <w:u w:color="000000" w:themeColor="text1"/>
        </w:rPr>
        <w:t xml:space="preserve"> </w:t>
      </w:r>
      <w:r>
        <w:rPr>
          <w:rFonts w:hint="eastAsia" w:cs="宋体" w:asciiTheme="minorEastAsia" w:hAnsiTheme="minorEastAsia" w:eastAsiaTheme="minorEastAsia"/>
          <w:sz w:val="24"/>
          <w:u w:color="000000" w:themeColor="text1"/>
        </w:rPr>
        <w:t>名：</w:t>
      </w:r>
      <w:r>
        <w:rPr>
          <w:rFonts w:hint="eastAsia" w:cs="宋体" w:asciiTheme="minorEastAsia" w:hAnsiTheme="minorEastAsia" w:eastAsiaTheme="minorEastAsia"/>
          <w:sz w:val="24"/>
          <w:u w:val="single" w:color="000000" w:themeColor="text1"/>
        </w:rPr>
        <w:t>待定</w:t>
      </w:r>
    </w:p>
    <w:p w14:paraId="4FB562B0">
      <w:pPr>
        <w:adjustRightInd w:val="0"/>
        <w:snapToGrid w:val="0"/>
        <w:spacing w:line="360" w:lineRule="auto"/>
        <w:ind w:firstLine="960" w:firstLineChars="400"/>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职</w:t>
      </w:r>
      <w:r>
        <w:rPr>
          <w:rFonts w:hint="eastAsia" w:cs="宋体" w:asciiTheme="minorEastAsia" w:hAnsiTheme="minorEastAsia" w:eastAsiaTheme="minorEastAsia"/>
          <w:spacing w:val="100"/>
          <w:sz w:val="24"/>
          <w:u w:color="000000" w:themeColor="text1"/>
        </w:rPr>
        <w:t xml:space="preserve"> </w:t>
      </w:r>
      <w:r>
        <w:rPr>
          <w:rFonts w:hint="eastAsia" w:cs="宋体" w:asciiTheme="minorEastAsia" w:hAnsiTheme="minorEastAsia" w:eastAsiaTheme="minorEastAsia"/>
          <w:sz w:val="24"/>
          <w:u w:color="000000" w:themeColor="text1"/>
        </w:rPr>
        <w:t>称：</w:t>
      </w:r>
      <w:r>
        <w:rPr>
          <w:rFonts w:hint="eastAsia" w:cs="宋体" w:asciiTheme="minorEastAsia" w:hAnsiTheme="minorEastAsia" w:eastAsiaTheme="minorEastAsia"/>
          <w:sz w:val="24"/>
          <w:u w:val="single" w:color="000000" w:themeColor="text1"/>
        </w:rPr>
        <w:t>待定</w:t>
      </w:r>
    </w:p>
    <w:p w14:paraId="778D3C16">
      <w:pPr>
        <w:adjustRightInd w:val="0"/>
        <w:snapToGrid w:val="0"/>
        <w:spacing w:line="360" w:lineRule="auto"/>
        <w:ind w:firstLine="960" w:firstLineChars="400"/>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color="000000" w:themeColor="text1"/>
        </w:rPr>
        <w:t>联系电话：</w:t>
      </w:r>
      <w:r>
        <w:rPr>
          <w:rFonts w:hint="eastAsia" w:cs="宋体" w:asciiTheme="minorEastAsia" w:hAnsiTheme="minorEastAsia" w:eastAsiaTheme="minorEastAsia"/>
          <w:sz w:val="24"/>
          <w:u w:val="single"/>
        </w:rPr>
        <w:t xml:space="preserve">待定 </w:t>
      </w:r>
    </w:p>
    <w:p w14:paraId="7C7F4FD9">
      <w:pPr>
        <w:adjustRightInd w:val="0"/>
        <w:snapToGrid w:val="0"/>
        <w:spacing w:line="360" w:lineRule="auto"/>
        <w:ind w:firstLine="960" w:firstLineChars="4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电子信箱：</w:t>
      </w:r>
      <w:r>
        <w:rPr>
          <w:rFonts w:hint="eastAsia" w:cs="宋体" w:asciiTheme="minorEastAsia" w:hAnsiTheme="minorEastAsia" w:eastAsiaTheme="minorEastAsia"/>
          <w:sz w:val="24"/>
          <w:u w:val="single"/>
        </w:rPr>
        <w:t>待定</w:t>
      </w:r>
      <w:r>
        <w:rPr>
          <w:rFonts w:hint="eastAsia" w:cs="宋体" w:asciiTheme="minorEastAsia" w:hAnsiTheme="minorEastAsia" w:eastAsiaTheme="minorEastAsia"/>
          <w:sz w:val="24"/>
          <w:u w:color="000000" w:themeColor="text1"/>
        </w:rPr>
        <w:t xml:space="preserve"> </w:t>
      </w:r>
    </w:p>
    <w:p w14:paraId="73E06B71">
      <w:pPr>
        <w:adjustRightInd w:val="0"/>
        <w:snapToGrid w:val="0"/>
        <w:spacing w:line="360" w:lineRule="auto"/>
        <w:ind w:firstLine="960" w:firstLineChars="4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通信地址：</w:t>
      </w:r>
      <w:r>
        <w:rPr>
          <w:rFonts w:hint="eastAsia" w:cs="宋体" w:asciiTheme="minorEastAsia" w:hAnsiTheme="minorEastAsia" w:eastAsiaTheme="minorEastAsia"/>
          <w:sz w:val="24"/>
          <w:u w:val="single"/>
        </w:rPr>
        <w:t>待定</w:t>
      </w:r>
    </w:p>
    <w:p w14:paraId="6F39C028">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工程和设备</w:t>
      </w:r>
    </w:p>
    <w:p w14:paraId="39E05AA8">
      <w:pPr>
        <w:tabs>
          <w:tab w:val="left" w:pos="138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1.1.3.2   永久工程：</w:t>
      </w:r>
      <w:r>
        <w:rPr>
          <w:rFonts w:hint="eastAsia"/>
          <w:sz w:val="24"/>
          <w:u w:val="single" w:color="000000" w:themeColor="text1"/>
        </w:rPr>
        <w:t>额度外—2026年丰台区职业教育中心学校芳群园校区四楼改造其他建筑工程采购项目</w:t>
      </w:r>
    </w:p>
    <w:p w14:paraId="403C1C9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color="000000" w:themeColor="text1"/>
        </w:rPr>
        <w:t>1.1.3.3   临时工程：</w:t>
      </w:r>
      <w:r>
        <w:rPr>
          <w:rFonts w:hint="eastAsia" w:asciiTheme="minorEastAsia" w:hAnsiTheme="minorEastAsia" w:eastAsiaTheme="minorEastAsia"/>
          <w:u w:val="single" w:color="000000" w:themeColor="text1"/>
        </w:rPr>
        <w:t>承包人为完成永久工程修建的临时性工程，并在本工程竣工后或发包人要求时，承包人需予以全部拆除的工程，包括临时性道路、临时性房屋、施工照明工程等。</w:t>
      </w:r>
    </w:p>
    <w:p w14:paraId="77414208">
      <w:pPr>
        <w:tabs>
          <w:tab w:val="left" w:pos="149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1.1.3.10   永久占地：</w:t>
      </w:r>
      <w:r>
        <w:rPr>
          <w:rFonts w:hint="eastAsia" w:cs="宋体" w:asciiTheme="minorEastAsia" w:hAnsiTheme="minorEastAsia" w:eastAsiaTheme="minorEastAsia"/>
          <w:sz w:val="24"/>
          <w:u w:val="single" w:color="000000" w:themeColor="text1"/>
        </w:rPr>
        <w:t>/</w:t>
      </w:r>
    </w:p>
    <w:p w14:paraId="331D6332">
      <w:pPr>
        <w:tabs>
          <w:tab w:val="left" w:pos="149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1.1.3.11   临时占地：</w:t>
      </w:r>
      <w:r>
        <w:rPr>
          <w:rFonts w:hint="eastAsia" w:cs="宋体" w:asciiTheme="minorEastAsia" w:hAnsiTheme="minorEastAsia" w:eastAsiaTheme="minorEastAsia"/>
          <w:sz w:val="24"/>
          <w:u w:val="single" w:color="000000" w:themeColor="text1"/>
        </w:rPr>
        <w:t>承包人为完成永久工程所修建的临时性工程所占地。</w:t>
      </w:r>
    </w:p>
    <w:p w14:paraId="49F6E561">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1.1.4</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日期</w:t>
      </w:r>
    </w:p>
    <w:p w14:paraId="7A299498">
      <w:pPr>
        <w:tabs>
          <w:tab w:val="left" w:pos="138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1.1.4.5</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缺陷责任期期限：</w:t>
      </w:r>
      <w:r>
        <w:rPr>
          <w:rFonts w:hint="eastAsia" w:cs="宋体" w:asciiTheme="minorEastAsia" w:hAnsiTheme="minorEastAsia" w:eastAsiaTheme="minorEastAsia"/>
          <w:sz w:val="24"/>
          <w:u w:val="single" w:color="000000" w:themeColor="text1"/>
        </w:rPr>
        <w:t>24个</w:t>
      </w:r>
      <w:r>
        <w:rPr>
          <w:rFonts w:hint="eastAsia" w:cs="宋体" w:asciiTheme="minorEastAsia" w:hAnsiTheme="minorEastAsia" w:eastAsiaTheme="minorEastAsia"/>
          <w:sz w:val="24"/>
          <w:u w:color="000000" w:themeColor="text1"/>
        </w:rPr>
        <w:t>月。</w:t>
      </w:r>
    </w:p>
    <w:p w14:paraId="72D3ACE9">
      <w:pPr>
        <w:tabs>
          <w:tab w:val="left" w:pos="138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1.1.4.6</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基准日期：2026年5月 。</w:t>
      </w:r>
    </w:p>
    <w:p w14:paraId="052D5DFD">
      <w:pPr>
        <w:tabs>
          <w:tab w:val="left" w:pos="1178"/>
        </w:tabs>
        <w:adjustRightInd w:val="0"/>
        <w:snapToGrid w:val="0"/>
        <w:spacing w:line="360" w:lineRule="auto"/>
        <w:jc w:val="left"/>
        <w:rPr>
          <w:rFonts w:hint="eastAsia"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1.1.8</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其他需要补充的内容</w:t>
      </w:r>
    </w:p>
    <w:p w14:paraId="1052BB38">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1.1.8．5</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其他需要补充的内容：</w:t>
      </w:r>
      <w:r>
        <w:rPr>
          <w:rFonts w:hint="eastAsia" w:asciiTheme="minorEastAsia" w:hAnsiTheme="minorEastAsia" w:eastAsiaTheme="minorEastAsia"/>
          <w:sz w:val="24"/>
          <w:u w:color="000000" w:themeColor="text1"/>
        </w:rPr>
        <w:t>/</w:t>
      </w:r>
    </w:p>
    <w:p w14:paraId="00A65CEF">
      <w:pPr>
        <w:pStyle w:val="17"/>
        <w:tabs>
          <w:tab w:val="left" w:pos="413"/>
          <w:tab w:val="clear" w:pos="567"/>
        </w:tabs>
        <w:adjustRightInd w:val="0"/>
        <w:snapToGrid w:val="0"/>
        <w:spacing w:before="0" w:line="360" w:lineRule="auto"/>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合同文件的优先顺序</w:t>
      </w:r>
    </w:p>
    <w:p w14:paraId="3E110D32">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合同文件的优先解释顺序如下：</w:t>
      </w:r>
    </w:p>
    <w:p w14:paraId="7BEB7D6C">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（1）合同协议书；</w:t>
      </w:r>
    </w:p>
    <w:p w14:paraId="2E47A022">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（2）中标通知书；</w:t>
      </w:r>
    </w:p>
    <w:p w14:paraId="40820FC9">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（3）投标函及投标函附录；</w:t>
      </w:r>
    </w:p>
    <w:p w14:paraId="4EC2F5E9">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59264"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914639009" name="Group 413"/>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104012817" name="Freeform 414"/>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413" o:spid="_x0000_s1026" o:spt="203" style="position:absolute;left:0pt;margin-left:42.75pt;margin-top:70.5pt;height:701.25pt;width:0.1pt;mso-position-horizontal-relative:page;mso-position-vertical-relative:page;z-index:251659264;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DXNUrqGAMAAJ8HAAAOAAAAAAAAAAEAIAAAACgBAABkcnMvZTJv&#10;RG9jLnhtbFBLBQYAAAAABgAGAFkBAACyBgAAAAA=&#10;">
                <o:lock v:ext="edit" aspectratio="f"/>
                <v:shape id="Freeform 414" o:spid="_x0000_s1026" o:spt="100" style="position:absolute;left:855;top:1410;height:14025;width:2;" fillcolor="#000000" filled="t" stroked="f" coordsize="1,14025" o:gfxdata="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HjXS&#10;wAAAAOMAAAAPAAAAAAAAAAEAIAAAACIAAABkcnMvZG93bnJldi54bWxQSwECFAAUAAAACACHTuJA&#10;My8FnjsAAAA5AAAAEAAAAAAAAAABACAAAAAPAQAAZHJzL3NoYXBleG1sLnhtbFBLBQYAAAAABgAG&#10;AFsBAAC5AwAAAAA=&#10;" path="m0,0l0,14025,0,0xe">
                  <v:path o:connectlocs="0,1410;0,15435;0,1410" o:connectangles="0,0,0"/>
                  <v:fill on="t" focussize="0,0"/>
                  <v:stroke on="f"/>
                  <v:imagedata o:title=""/>
                  <o:lock v:ext="edit" aspectratio="f"/>
                </v:shape>
              </v:group>
            </w:pict>
          </mc:Fallback>
        </mc:AlternateContent>
      </w:r>
      <w:r>
        <w:rPr>
          <w:rFonts w:hint="eastAsia" w:cs="宋体" w:asciiTheme="minorEastAsia" w:hAnsiTheme="minorEastAsia" w:eastAsiaTheme="minorEastAsia"/>
          <w:sz w:val="24"/>
          <w:u w:color="000000" w:themeColor="text1"/>
        </w:rPr>
        <w:t>（4）合同条款专用部分；</w:t>
      </w:r>
    </w:p>
    <w:p w14:paraId="39BBC89A">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（5）合同条款通用部分；</w:t>
      </w:r>
    </w:p>
    <w:p w14:paraId="64DF0F8A">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（6）</w:t>
      </w:r>
      <w:r>
        <w:rPr>
          <w:rFonts w:hint="eastAsia" w:cs="宋体" w:asciiTheme="minorEastAsia" w:hAnsiTheme="minorEastAsia" w:eastAsiaTheme="minorEastAsia"/>
          <w:sz w:val="24"/>
          <w:u w:val="single" w:color="000000" w:themeColor="text1"/>
        </w:rPr>
        <w:t>合同清单；</w:t>
      </w:r>
    </w:p>
    <w:p w14:paraId="53B49A43">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（7）</w:t>
      </w:r>
      <w:r>
        <w:rPr>
          <w:rFonts w:hint="eastAsia" w:cs="宋体" w:asciiTheme="minorEastAsia" w:hAnsiTheme="minorEastAsia" w:eastAsiaTheme="minorEastAsia"/>
          <w:sz w:val="24"/>
          <w:u w:val="single" w:color="000000" w:themeColor="text1"/>
        </w:rPr>
        <w:t>图纸；</w:t>
      </w:r>
    </w:p>
    <w:p w14:paraId="429D5662">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（8）</w:t>
      </w:r>
      <w:r>
        <w:rPr>
          <w:rFonts w:hint="eastAsia" w:cs="宋体" w:asciiTheme="minorEastAsia" w:hAnsiTheme="minorEastAsia" w:eastAsiaTheme="minorEastAsia"/>
          <w:sz w:val="24"/>
          <w:u w:val="single" w:color="000000" w:themeColor="text1"/>
        </w:rPr>
        <w:t>技术标准和要求；</w:t>
      </w:r>
    </w:p>
    <w:p w14:paraId="5F4FA8D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（9）</w:t>
      </w:r>
      <w:r>
        <w:rPr>
          <w:rFonts w:hint="eastAsia" w:asciiTheme="minorEastAsia" w:hAnsiTheme="minorEastAsia" w:eastAsiaTheme="minorEastAsia"/>
          <w:u w:val="single"/>
        </w:rPr>
        <w:t>其他合同文件：发承包双方签署的工程有关的变更、洽谈、协议、纪要、信函、备忘录、承诺函（书）等。</w:t>
      </w:r>
    </w:p>
    <w:p w14:paraId="293AFD0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（说明：（6）、（7）、（8）填空内容分别限于技术标准和要求、图纸、合同清单三者之一。）</w:t>
      </w:r>
    </w:p>
    <w:p w14:paraId="50DDCC78">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1.5</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合同协议书</w:t>
      </w:r>
    </w:p>
    <w:p w14:paraId="675F902C">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合同生效的条件：</w:t>
      </w:r>
      <w:r>
        <w:rPr>
          <w:rFonts w:hint="eastAsia" w:cs="宋体" w:asciiTheme="minorEastAsia" w:hAnsiTheme="minorEastAsia" w:eastAsiaTheme="minorEastAsia"/>
          <w:sz w:val="24"/>
          <w:u w:val="single" w:color="000000" w:themeColor="text1"/>
        </w:rPr>
        <w:t>双方法定代表人或授权代表签字并加盖双方公章或合同专用章后生效。</w:t>
      </w:r>
    </w:p>
    <w:p w14:paraId="36E25ED9">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1.6</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图纸和承包人文件</w:t>
      </w:r>
    </w:p>
    <w:p w14:paraId="5BF41D71">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1.6.1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图纸的提供</w:t>
      </w:r>
    </w:p>
    <w:p w14:paraId="75403815">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（5）发包人提供图纸的期限：</w:t>
      </w:r>
      <w:r>
        <w:rPr>
          <w:rFonts w:hint="eastAsia" w:cs="宋体" w:asciiTheme="minorEastAsia" w:hAnsiTheme="minorEastAsia" w:eastAsiaTheme="minorEastAsia"/>
          <w:sz w:val="24"/>
          <w:u w:val="single" w:color="000000" w:themeColor="text1"/>
        </w:rPr>
        <w:t>签订合同后7个工作日内</w:t>
      </w:r>
      <w:r>
        <w:rPr>
          <w:rFonts w:hint="eastAsia" w:cs="宋体" w:asciiTheme="minorEastAsia" w:hAnsiTheme="minorEastAsia" w:eastAsiaTheme="minorEastAsia"/>
          <w:w w:val="99"/>
          <w:sz w:val="24"/>
          <w:u w:color="000000" w:themeColor="text1"/>
        </w:rPr>
        <w:t xml:space="preserve"> </w:t>
      </w:r>
    </w:p>
    <w:p w14:paraId="32DDEC1C">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发包人提供图纸的数量：</w:t>
      </w:r>
      <w:commentRangeStart w:id="0"/>
      <w:r>
        <w:rPr>
          <w:rFonts w:hint="eastAsia" w:cs="宋体" w:asciiTheme="minorEastAsia" w:hAnsiTheme="minorEastAsia" w:eastAsiaTheme="minorEastAsia"/>
          <w:sz w:val="24"/>
          <w:u w:val="single" w:color="000000" w:themeColor="text1"/>
        </w:rPr>
        <w:t>4套（含2套用于竣工图的施工图）</w:t>
      </w:r>
      <w:r>
        <w:rPr>
          <w:rFonts w:hint="eastAsia" w:cs="宋体" w:asciiTheme="minorEastAsia" w:hAnsiTheme="minorEastAsia" w:eastAsiaTheme="minorEastAsia"/>
          <w:w w:val="99"/>
          <w:sz w:val="24"/>
          <w:u w:color="000000" w:themeColor="text1"/>
        </w:rPr>
        <w:t xml:space="preserve"> </w:t>
      </w:r>
      <w:commentRangeEnd w:id="0"/>
      <w:r>
        <w:rPr>
          <w:rStyle w:val="53"/>
          <w:rFonts w:hint="eastAsia" w:cs="宋体" w:asciiTheme="minorEastAsia" w:hAnsiTheme="minorEastAsia" w:eastAsiaTheme="minorEastAsia"/>
          <w:w w:val="99"/>
          <w:sz w:val="24"/>
          <w:szCs w:val="24"/>
          <w:u w:color="000000" w:themeColor="text1"/>
        </w:rPr>
        <w:commentReference w:id="0"/>
      </w:r>
    </w:p>
    <w:p w14:paraId="208BC481">
      <w:pPr>
        <w:adjustRightInd w:val="0"/>
        <w:snapToGrid w:val="0"/>
        <w:spacing w:line="360" w:lineRule="auto"/>
        <w:ind w:firstLine="506" w:firstLineChars="211"/>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rPr>
        <w:t>其他约定：</w:t>
      </w:r>
      <w:r>
        <w:rPr>
          <w:rFonts w:hint="eastAsia" w:cs="宋体" w:asciiTheme="minorEastAsia" w:hAnsiTheme="minorEastAsia" w:eastAsiaTheme="minorEastAsia"/>
          <w:sz w:val="24"/>
          <w:u w:val="single" w:color="000000" w:themeColor="text1"/>
        </w:rPr>
        <w:t>承包人需要增加图纸套数的，其费用由承包人承担。</w:t>
      </w:r>
    </w:p>
    <w:p w14:paraId="5E96C1FC">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1.6.2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承包人提供的文件</w:t>
      </w:r>
    </w:p>
    <w:p w14:paraId="12BD1F5F">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（1）由承包人提供的文件范围：</w:t>
      </w:r>
      <w:r>
        <w:rPr>
          <w:rFonts w:hint="eastAsia" w:cs="宋体" w:asciiTheme="minorEastAsia" w:hAnsiTheme="minorEastAsia" w:eastAsiaTheme="minorEastAsia"/>
          <w:sz w:val="24"/>
          <w:u w:val="single" w:color="000000" w:themeColor="text1"/>
        </w:rPr>
        <w:t>施工组织设计方案、施工进度计划等发包人、监理人认为必要的资料。</w:t>
      </w:r>
      <w:r>
        <w:rPr>
          <w:rFonts w:hint="eastAsia" w:cs="宋体" w:asciiTheme="minorEastAsia" w:hAnsiTheme="minorEastAsia" w:eastAsiaTheme="minorEastAsia"/>
          <w:w w:val="99"/>
          <w:sz w:val="24"/>
          <w:u w:color="000000" w:themeColor="text1"/>
        </w:rPr>
        <w:t xml:space="preserve"> </w:t>
      </w:r>
    </w:p>
    <w:p w14:paraId="3136BF6A">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承包人提供文件的期限：</w:t>
      </w:r>
      <w:r>
        <w:rPr>
          <w:rFonts w:hint="eastAsia" w:cs="宋体" w:asciiTheme="minorEastAsia" w:hAnsiTheme="minorEastAsia" w:eastAsiaTheme="minorEastAsia"/>
          <w:sz w:val="24"/>
          <w:u w:val="single" w:color="000000" w:themeColor="text1"/>
        </w:rPr>
        <w:t>中标通知书发出后7日内提供满足工程进度需要的工期计划，经发包人、监理人审批确认后方可实施。施工组织设计方案在合同签订后3个工作日内提交监理人；周季度计划在第一周监理例</w:t>
      </w:r>
      <w:r>
        <w:rPr>
          <w:rFonts w:hint="eastAsia" w:asciiTheme="minorEastAsia" w:hAnsiTheme="minorEastAsia" w:eastAsiaTheme="minorEastAsia"/>
          <w:sz w:val="24"/>
          <w:u w:val="single" w:color="000000" w:themeColor="text1"/>
        </w:rPr>
        <w:t>会上提交；月、季进度计划在每月、季开始4日前提交给监理人。</w:t>
      </w:r>
    </w:p>
    <w:p w14:paraId="354CDEC4">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承包人提供文件的数量：</w:t>
      </w:r>
      <w:r>
        <w:rPr>
          <w:rFonts w:hint="eastAsia" w:cs="宋体" w:asciiTheme="minorEastAsia" w:hAnsiTheme="minorEastAsia" w:eastAsiaTheme="minorEastAsia"/>
          <w:sz w:val="24"/>
          <w:u w:val="single" w:color="000000" w:themeColor="text1"/>
        </w:rPr>
        <w:t>根据发包人要求的数量提供</w:t>
      </w:r>
      <w:r>
        <w:rPr>
          <w:rFonts w:hint="eastAsia" w:cs="宋体" w:asciiTheme="minorEastAsia" w:hAnsiTheme="minorEastAsia" w:eastAsiaTheme="minorEastAsia"/>
          <w:w w:val="99"/>
          <w:sz w:val="24"/>
          <w:u w:color="000000" w:themeColor="text1"/>
        </w:rPr>
        <w:t xml:space="preserve"> </w:t>
      </w:r>
    </w:p>
    <w:p w14:paraId="34C1623E">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监理人批复承包人提供文件的期限：</w:t>
      </w:r>
      <w:r>
        <w:rPr>
          <w:rFonts w:hint="eastAsia" w:cs="宋体" w:asciiTheme="minorEastAsia" w:hAnsiTheme="minorEastAsia" w:eastAsiaTheme="minorEastAsia"/>
          <w:sz w:val="24"/>
          <w:u w:val="single" w:color="000000" w:themeColor="text1"/>
        </w:rPr>
        <w:t>收到承包人提供的文件后7个工作日内</w:t>
      </w:r>
      <w:r>
        <w:rPr>
          <w:rFonts w:hint="eastAsia" w:cs="宋体" w:asciiTheme="minorEastAsia" w:hAnsiTheme="minorEastAsia" w:eastAsiaTheme="minorEastAsia"/>
          <w:w w:val="99"/>
          <w:sz w:val="24"/>
          <w:u w:color="000000" w:themeColor="text1"/>
        </w:rPr>
        <w:t>。</w:t>
      </w:r>
    </w:p>
    <w:p w14:paraId="167D5982">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其他约定：</w:t>
      </w:r>
      <w:r>
        <w:rPr>
          <w:rFonts w:hint="eastAsia" w:asciiTheme="minorEastAsia" w:hAnsiTheme="minorEastAsia" w:eastAsiaTheme="minorEastAsia"/>
          <w:sz w:val="24"/>
          <w:u w:val="single" w:color="000000" w:themeColor="text1"/>
        </w:rPr>
        <w:t>/</w:t>
      </w:r>
    </w:p>
    <w:p w14:paraId="77C60F65">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1.7</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联络</w:t>
      </w:r>
    </w:p>
    <w:p w14:paraId="4CCEA28F">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60288"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618848666" name="Group 411"/>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2040330172" name="Freeform 412"/>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411" o:spid="_x0000_s1026" o:spt="203" style="position:absolute;left:0pt;margin-left:42.75pt;margin-top:70.5pt;height:701.25pt;width:0.1pt;mso-position-horizontal-relative:page;mso-position-vertical-relative:page;z-index:251660288;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BHqzp9kAAAAKAQAADwAAAAAAAAABACAAAAAiAAAAZHJzL2Rvd25y&#10;ZXYueG1sUEsBAhQAFAAAAAgAh07iQJVk9rgaAwAAoAcAAA4AAAAAAAAAAQAgAAAAKAEAAGRycy9l&#10;Mm9Eb2MueG1sUEsFBgAAAAAGAAYAWQEAALQGAAAAAA==&#10;">
                <o:lock v:ext="edit" aspectratio="f"/>
                <v:shape id="Freeform 412" o:spid="_x0000_s1026" o:spt="100" style="position:absolute;left:855;top:1410;height:14025;width:2;" fillcolor="#000000" filled="t" stroked="f" coordsize="1,14025" o:gfxdata="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UgxMQAAADjAAAADwAAAAAAAAABACAAAAAiAAAAZHJzL2Rvd25yZXYueG1sUEsBAhQAFAAAAAgA&#10;h07iQDMvBZ47AAAAOQAAABAAAAAAAAAAAQAgAAAAEwEAAGRycy9zaGFwZXhtbC54bWxQSwUGAAAA&#10;AAYABgBbAQAAvQMAAAAA&#10;" path="m0,0l0,14025,0,0xe">
                  <v:path o:connectlocs="0,1410;0,15435;0,1410" o:connectangles="0,0,0"/>
                  <v:fill on="t" focussize="0,0"/>
                  <v:stroke on="f"/>
                  <v:imagedata o:title=""/>
                  <o:lock v:ext="edit" aspectratio="f"/>
                </v:shape>
              </v:group>
            </w:pict>
          </mc:Fallback>
        </mc:AlternateContent>
      </w:r>
      <w:r>
        <w:rPr>
          <w:rFonts w:hint="eastAsia" w:cs="宋体" w:asciiTheme="minorEastAsia" w:hAnsiTheme="minorEastAsia" w:eastAsiaTheme="minorEastAsia"/>
          <w:sz w:val="24"/>
          <w:u w:color="000000" w:themeColor="text1"/>
        </w:rPr>
        <w:t>1.7.2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联络来往函件的送达和接收</w:t>
      </w:r>
    </w:p>
    <w:p w14:paraId="48E4F4F9">
      <w:pPr>
        <w:adjustRightInd w:val="0"/>
        <w:snapToGrid w:val="0"/>
        <w:spacing w:line="360" w:lineRule="auto"/>
        <w:ind w:firstLine="397"/>
        <w:jc w:val="left"/>
        <w:rPr>
          <w:rFonts w:hint="eastAsia" w:cs="宋体" w:asciiTheme="minorEastAsia" w:hAnsiTheme="minorEastAsia" w:eastAsiaTheme="minorEastAsia"/>
          <w:spacing w:val="83"/>
          <w:w w:val="95"/>
          <w:sz w:val="24"/>
          <w:u w:val="single" w:color="000000" w:themeColor="text1"/>
        </w:rPr>
      </w:pPr>
      <w:r>
        <w:rPr>
          <w:rFonts w:hint="eastAsia" w:cs="宋体" w:asciiTheme="minorEastAsia" w:hAnsiTheme="minorEastAsia" w:eastAsiaTheme="minorEastAsia"/>
          <w:w w:val="95"/>
          <w:sz w:val="24"/>
          <w:u w:color="000000" w:themeColor="text1"/>
        </w:rPr>
        <w:t>（</w:t>
      </w:r>
      <w:r>
        <w:rPr>
          <w:rFonts w:hint="eastAsia" w:cs="宋体" w:asciiTheme="minorEastAsia" w:hAnsiTheme="minorEastAsia" w:eastAsiaTheme="minorEastAsia"/>
          <w:sz w:val="24"/>
          <w:u w:color="000000" w:themeColor="text1"/>
        </w:rPr>
        <w:t>2）发包人指定的接收地点：</w:t>
      </w:r>
      <w:r>
        <w:rPr>
          <w:rFonts w:hint="eastAsia" w:cs="宋体" w:asciiTheme="minorEastAsia" w:hAnsiTheme="minorEastAsia" w:eastAsiaTheme="minorEastAsia"/>
          <w:sz w:val="24"/>
          <w:u w:val="single" w:color="000000" w:themeColor="text1"/>
        </w:rPr>
        <w:t xml:space="preserve">发包人项目部 </w:t>
      </w:r>
    </w:p>
    <w:p w14:paraId="0135DA0B">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发包人指定的接收人为：</w:t>
      </w:r>
      <w:r>
        <w:rPr>
          <w:rFonts w:hint="eastAsia" w:cs="宋体" w:asciiTheme="minorEastAsia" w:hAnsiTheme="minorEastAsia" w:eastAsiaTheme="minorEastAsia"/>
          <w:sz w:val="24"/>
          <w:u w:val="single" w:color="000000" w:themeColor="text1"/>
        </w:rPr>
        <w:t>待定</w:t>
      </w:r>
    </w:p>
    <w:p w14:paraId="5C238C6B">
      <w:pPr>
        <w:adjustRightInd w:val="0"/>
        <w:snapToGrid w:val="0"/>
        <w:spacing w:line="360" w:lineRule="auto"/>
        <w:jc w:val="left"/>
        <w:rPr>
          <w:rFonts w:hint="eastAsia" w:cs="宋体" w:asciiTheme="minorEastAsia" w:hAnsiTheme="minorEastAsia" w:eastAsiaTheme="minorEastAsia"/>
          <w:spacing w:val="72"/>
          <w:w w:val="95"/>
          <w:sz w:val="24"/>
          <w:u w:val="single" w:color="000000" w:themeColor="text1"/>
        </w:rPr>
      </w:pPr>
      <w:r>
        <w:rPr>
          <w:rFonts w:hint="eastAsia" w:cs="宋体" w:asciiTheme="minorEastAsia" w:hAnsiTheme="minorEastAsia" w:eastAsiaTheme="minorEastAsia"/>
          <w:sz w:val="24"/>
          <w:u w:color="000000" w:themeColor="text1"/>
        </w:rPr>
        <w:t>（3）监理人指定的接收地点：</w:t>
      </w:r>
      <w:r>
        <w:rPr>
          <w:rFonts w:hint="eastAsia" w:cs="宋体" w:asciiTheme="minorEastAsia" w:hAnsiTheme="minorEastAsia" w:eastAsiaTheme="minorEastAsia"/>
          <w:sz w:val="24"/>
          <w:u w:val="single" w:color="000000" w:themeColor="text1"/>
        </w:rPr>
        <w:t xml:space="preserve">监理项目部 </w:t>
      </w:r>
    </w:p>
    <w:p w14:paraId="0C748D00">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监理人指定的接收人为：</w:t>
      </w:r>
      <w:r>
        <w:rPr>
          <w:rFonts w:hint="eastAsia" w:cs="宋体" w:asciiTheme="minorEastAsia" w:hAnsiTheme="minorEastAsia" w:eastAsiaTheme="minorEastAsia"/>
          <w:sz w:val="24"/>
          <w:u w:val="single" w:color="000000" w:themeColor="text1"/>
        </w:rPr>
        <w:t>待定</w:t>
      </w:r>
    </w:p>
    <w:p w14:paraId="17515BBF">
      <w:pPr>
        <w:numPr>
          <w:ilvl w:val="0"/>
          <w:numId w:val="12"/>
        </w:num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承包人指定的接收地点：</w:t>
      </w:r>
      <w:r>
        <w:rPr>
          <w:rFonts w:hint="eastAsia" w:cs="宋体" w:asciiTheme="minorEastAsia" w:hAnsiTheme="minorEastAsia" w:eastAsiaTheme="minorEastAsia"/>
          <w:sz w:val="24"/>
          <w:u w:val="single" w:color="000000" w:themeColor="text1"/>
        </w:rPr>
        <w:t>承包人项目部</w:t>
      </w:r>
    </w:p>
    <w:p w14:paraId="48DBC17C">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1.13  工程量清单缺陷引起的价格调整（适用于采用单价合同形式）</w:t>
      </w:r>
    </w:p>
    <w:p w14:paraId="319A89B7">
      <w:pPr>
        <w:shd w:val="clear" w:color="auto" w:fill="FFFFFF"/>
        <w:snapToGrid w:val="0"/>
        <w:spacing w:line="360" w:lineRule="auto"/>
        <w:jc w:val="left"/>
        <w:rPr>
          <w:rFonts w:eastAsia="微软雅黑" w:cs="Arial"/>
          <w:color w:val="000000"/>
          <w:sz w:val="24"/>
        </w:rPr>
      </w:pPr>
      <w:r>
        <w:rPr>
          <w:rFonts w:hint="eastAsia" w:ascii="宋体" w:hAnsi="宋体" w:cs="Arial"/>
          <w:color w:val="000000"/>
          <w:sz w:val="24"/>
        </w:rPr>
        <w:t>因工程量清单缺陷引起的价格调整办法</w:t>
      </w:r>
    </w:p>
    <w:p w14:paraId="10A1F8E4">
      <w:pPr>
        <w:shd w:val="clear" w:color="auto" w:fill="FFFFFF"/>
        <w:snapToGrid w:val="0"/>
        <w:spacing w:line="360" w:lineRule="auto"/>
        <w:jc w:val="left"/>
        <w:rPr>
          <w:rFonts w:eastAsia="微软雅黑" w:cs="Arial"/>
          <w:color w:val="000000"/>
          <w:sz w:val="24"/>
        </w:rPr>
      </w:pPr>
      <w:r>
        <w:rPr>
          <w:rFonts w:hint="eastAsia" w:ascii="宋体" w:hAnsi="宋体" w:cs="Arial"/>
          <w:color w:val="000000"/>
          <w:sz w:val="24"/>
        </w:rPr>
        <w:t>（1）以项计价的分部分项工程量清单项目不应重新计量及调整。</w:t>
      </w:r>
    </w:p>
    <w:p w14:paraId="30D5FA47">
      <w:pPr>
        <w:shd w:val="clear" w:color="auto" w:fill="FFFFFF"/>
        <w:snapToGrid w:val="0"/>
        <w:spacing w:line="360" w:lineRule="auto"/>
        <w:rPr>
          <w:rFonts w:eastAsia="微软雅黑" w:cs="Arial"/>
          <w:color w:val="000000"/>
          <w:sz w:val="24"/>
        </w:rPr>
      </w:pPr>
      <w:r>
        <w:rPr>
          <w:rFonts w:hint="eastAsia" w:ascii="宋体" w:hAnsi="宋体" w:cs="Arial"/>
          <w:color w:val="000000"/>
          <w:sz w:val="24"/>
        </w:rPr>
        <w:t xml:space="preserve">（2） </w:t>
      </w:r>
      <w:r>
        <w:rPr>
          <w:rFonts w:hint="eastAsia" w:ascii="宋体" w:hAnsi="宋体" w:cs="Arial"/>
          <w:color w:val="000000"/>
          <w:sz w:val="24"/>
          <w:u w:val="single"/>
        </w:rPr>
        <w:t>采用单价合同时分部分项工程量清单缺陷由发包人负责</w:t>
      </w:r>
    </w:p>
    <w:p w14:paraId="1BEF3928">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1.13  暂定数量单价计价项目的价格调整（适用于采用总价合同形式）</w:t>
      </w:r>
    </w:p>
    <w:p w14:paraId="3A134C3A">
      <w:pPr>
        <w:shd w:val="clear" w:color="auto" w:fill="FFFFFF"/>
        <w:snapToGrid w:val="0"/>
        <w:spacing w:line="360" w:lineRule="auto"/>
        <w:jc w:val="left"/>
        <w:rPr>
          <w:rFonts w:hint="eastAsia" w:ascii="宋体" w:hAnsi="宋体" w:cs="Arial"/>
          <w:color w:val="000000"/>
          <w:sz w:val="24"/>
          <w:u w:val="single"/>
        </w:rPr>
      </w:pPr>
      <w:r>
        <w:rPr>
          <w:rFonts w:hint="eastAsia" w:ascii="宋体" w:hAnsi="宋体" w:cs="Arial"/>
          <w:color w:val="000000"/>
          <w:sz w:val="24"/>
        </w:rPr>
        <w:t>分部分项工程项目清单工程量为暂定数量单价计价项目的价格调整办法：</w:t>
      </w:r>
      <w:r>
        <w:rPr>
          <w:rFonts w:hint="eastAsia" w:ascii="宋体" w:hAnsi="宋体" w:cs="Arial"/>
          <w:color w:val="000000"/>
          <w:sz w:val="24"/>
          <w:u w:val="single"/>
        </w:rPr>
        <w:t>/</w:t>
      </w:r>
    </w:p>
    <w:p w14:paraId="3D997A1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2.发包人义务</w:t>
      </w:r>
    </w:p>
    <w:p w14:paraId="77437486">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2.3</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提供施工场地</w:t>
      </w:r>
    </w:p>
    <w:p w14:paraId="34E40087">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发包人移交施工场地的期限：发包人应当将具备施工条件的施工场地，在监理人发出开工通知中载明的开工日期</w:t>
      </w:r>
      <w:r>
        <w:rPr>
          <w:rFonts w:hint="eastAsia" w:cs="宋体" w:asciiTheme="minorEastAsia" w:hAnsiTheme="minorEastAsia" w:eastAsiaTheme="minorEastAsia"/>
          <w:sz w:val="24"/>
          <w:u w:val="single"/>
        </w:rPr>
        <w:t>5</w:t>
      </w:r>
      <w:r>
        <w:rPr>
          <w:rFonts w:hint="eastAsia" w:cs="宋体" w:asciiTheme="minorEastAsia" w:hAnsiTheme="minorEastAsia" w:eastAsiaTheme="minorEastAsia"/>
          <w:sz w:val="24"/>
          <w:u w:color="000000" w:themeColor="text1"/>
        </w:rPr>
        <w:t>天前移交给承包人。</w:t>
      </w:r>
    </w:p>
    <w:p w14:paraId="5CB55859">
      <w:pPr>
        <w:pStyle w:val="17"/>
        <w:tabs>
          <w:tab w:val="left" w:pos="83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2.8</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向承包人提交支付担保</w:t>
      </w:r>
    </w:p>
    <w:p w14:paraId="1AB53AF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（1）发包人向承包人提交支付担保的金额：</w:t>
      </w:r>
      <w:r>
        <w:rPr>
          <w:rFonts w:hint="eastAsia" w:cs="宋体" w:asciiTheme="minorEastAsia" w:hAnsiTheme="minorEastAsia" w:eastAsiaTheme="minorEastAsia"/>
          <w:sz w:val="24"/>
          <w:u w:val="single" w:color="000000" w:themeColor="text1"/>
        </w:rPr>
        <w:t>/</w:t>
      </w:r>
    </w:p>
    <w:p w14:paraId="06F5F73D">
      <w:pPr>
        <w:pStyle w:val="17"/>
        <w:tabs>
          <w:tab w:val="left" w:pos="83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2.13</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其他义务</w:t>
      </w:r>
    </w:p>
    <w:p w14:paraId="44BBB88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发包人应当履行的其他义务：</w:t>
      </w:r>
    </w:p>
    <w:p w14:paraId="1A669C7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1、发包人应对工程建设的决策、控制、实施等环节实行全面管理，总体控制工程进度、质量和投资等情况，进行中间检查验收和组织竣工验收等。</w:t>
      </w:r>
    </w:p>
    <w:p w14:paraId="7B23971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2、发包人应督促、检查承包人的工作，确认是否满足合同约定、图纸要求或规范标准等；如有异议，可通知承包人及时改正；造成损失的，承包人应如实赔偿。</w:t>
      </w:r>
    </w:p>
    <w:p w14:paraId="4C7CEA6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3、承包人的工作进度因自身原因不能满足需要时，发包人应要求其改正或加快进度，由此产生的额外费用由承包人自行承担。如承包人仍不满足要求，发包人可将合同承包范围内的部分工作委托其他单位完成，直至终止合同。</w:t>
      </w:r>
    </w:p>
    <w:p w14:paraId="0FCD0AB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4、关于扬尘治理义务 </w:t>
      </w:r>
    </w:p>
    <w:p w14:paraId="142B8DC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a.发包人负责治理扬尘的整体组织工作，负责制定治理扬尘的质量和总目标，并对工程扬尘治理的决策、实施等环节实行全面管理，总体控制治理情况，进行中间检查验收等。</w:t>
      </w:r>
    </w:p>
    <w:p w14:paraId="5C50DE2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b.发包人对承包人治理情况进行评价，按照评价结果并依据合同约定及时支付相应的扬尘治理费用;承包人不能满足合同约定的，发包人有权责令其整改并保留索赔权利。</w:t>
      </w:r>
    </w:p>
    <w:p w14:paraId="51B39B0F">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c.发包人委托工程监理人对承包人落实文明施工和环境保护措施情况进行现场监理。</w:t>
      </w:r>
    </w:p>
    <w:p w14:paraId="7FF91B7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d.根据《北京市环境保护税核定计算暂行办法》附件4《建设工程施工工地扬尘管理等级标准》的规定，若承包人达到二类标准等级，环保税由发包人负责。因未达到二类标准，被行政机关处罚的，由承包人自行承担相应后果并承担相关全部费用。</w:t>
      </w:r>
    </w:p>
    <w:p w14:paraId="6E5787D9">
      <w:pPr>
        <w:pStyle w:val="17"/>
        <w:tabs>
          <w:tab w:val="left" w:pos="1254"/>
          <w:tab w:val="clear" w:pos="567"/>
        </w:tabs>
        <w:adjustRightInd w:val="0"/>
        <w:snapToGrid w:val="0"/>
        <w:spacing w:before="0" w:line="360" w:lineRule="auto"/>
        <w:rPr>
          <w:rFonts w:hint="eastAsia" w:asciiTheme="minorEastAsia" w:hAnsiTheme="minorEastAsia" w:eastAsiaTheme="minorEastAsia"/>
          <w:u w:val="single" w:color="000000" w:themeColor="text1"/>
        </w:rPr>
      </w:pPr>
      <w:r>
        <w:rPr>
          <w:rFonts w:hint="eastAsia" w:asciiTheme="minorEastAsia" w:hAnsiTheme="minorEastAsia" w:eastAsiaTheme="minorEastAsia"/>
          <w:u w:color="000000" w:themeColor="text1"/>
        </w:rPr>
        <w:t>3.监理人</w:t>
      </w:r>
    </w:p>
    <w:p w14:paraId="1F9D141E">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3.1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监理人的职责和权力</w:t>
      </w:r>
    </w:p>
    <w:p w14:paraId="5F0031F7">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3.1.1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发包人需批准明确行使的权力：</w:t>
      </w:r>
    </w:p>
    <w:p w14:paraId="642F7DB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color="000000" w:themeColor="text1"/>
        </w:rPr>
      </w:pPr>
      <w:r>
        <w:rPr>
          <w:rFonts w:hint="eastAsia" w:asciiTheme="minorEastAsia" w:hAnsiTheme="minorEastAsia" w:eastAsiaTheme="minorEastAsia"/>
          <w:u w:val="single" w:color="000000" w:themeColor="text1"/>
        </w:rPr>
        <w:t>现场相关设计变更、签证、洽商、材料及设备价的审核、工程量确认等所有可能影响工程造价的事项，均需发包人书面批准。监理人无权对任何工程合同（包括：本合同、供应 合同及分包合同）作出任何内容或性质的修改、变更或解除。所有由监理人发出的通知、批</w:t>
      </w:r>
      <w:r>
        <w:rPr>
          <w:rFonts w:hint="eastAsia" w:asciiTheme="minorEastAsia" w:hAnsiTheme="minorEastAsia" w:eastAsiaTheme="minorEastAsia"/>
          <w:w w:val="99"/>
          <w:u w:val="single" w:color="000000" w:themeColor="text1"/>
        </w:rPr>
        <w:t xml:space="preserve"> </w:t>
      </w:r>
      <w:r>
        <w:rPr>
          <w:rFonts w:hint="eastAsia" w:asciiTheme="minorEastAsia" w:hAnsiTheme="minorEastAsia" w:eastAsiaTheme="minorEastAsia"/>
          <w:u w:val="single" w:color="000000" w:themeColor="text1"/>
        </w:rPr>
        <w:t>准、证书、指示、要求、请求、同意、意见、确定和决定，只要与本工程的人员、合同、价</w:t>
      </w:r>
      <w:r>
        <w:rPr>
          <w:rFonts w:hint="eastAsia" w:asciiTheme="minorEastAsia" w:hAnsiTheme="minorEastAsia" w:eastAsiaTheme="minorEastAsia"/>
          <w:w w:val="99"/>
          <w:u w:val="single" w:color="000000" w:themeColor="text1"/>
        </w:rPr>
        <w:t xml:space="preserve"> </w:t>
      </w:r>
      <w:r>
        <w:rPr>
          <w:rFonts w:hint="eastAsia" w:asciiTheme="minorEastAsia" w:hAnsiTheme="minorEastAsia" w:eastAsiaTheme="minorEastAsia"/>
          <w:u w:val="single" w:color="000000" w:themeColor="text1"/>
        </w:rPr>
        <w:t>格、支付、计量、计价、工期、工期延长、质量、建筑使用功能、分包人和供应商的选择、材料和工程设备审批等有关的，需事先经发包人的审核及批准，并由发包人或其合法授权人签字，方可成为发包人和承包人之间有约束力的文件。监理人履行需经发包人批准方可行使的权力时，应当向承包人出示其行使该项权力已经取得发包人批准的文件或其他合法有效的</w:t>
      </w:r>
      <w:r>
        <w:rPr>
          <w:rFonts w:hint="eastAsia" w:asciiTheme="minorEastAsia" w:hAnsiTheme="minorEastAsia" w:eastAsiaTheme="minorEastAsia"/>
          <w:w w:val="99"/>
          <w:u w:val="single" w:color="000000" w:themeColor="text1"/>
        </w:rPr>
        <w:t xml:space="preserve"> </w:t>
      </w:r>
      <w:r>
        <w:rPr>
          <w:rFonts w:hint="eastAsia" w:asciiTheme="minorEastAsia" w:hAnsiTheme="minorEastAsia" w:eastAsiaTheme="minorEastAsia"/>
          <w:u w:val="single" w:color="000000" w:themeColor="text1"/>
        </w:rPr>
        <w:t>证明。承包人在尚未接收到相关批准文件或证明的情况下，擅自行动的，由承包人自行承担相应法律后果。</w:t>
      </w:r>
    </w:p>
    <w:p w14:paraId="62ED0F92">
      <w:pPr>
        <w:pStyle w:val="6"/>
        <w:spacing w:before="0" w:after="0" w:line="360" w:lineRule="auto"/>
        <w:rPr>
          <w:sz w:val="24"/>
          <w:szCs w:val="24"/>
          <w:u w:color="000000" w:themeColor="text1"/>
        </w:rPr>
      </w:pPr>
      <w:r>
        <w:rPr>
          <w:rFonts w:hint="eastAsia"/>
          <w:sz w:val="24"/>
          <w:szCs w:val="24"/>
          <w:u w:color="000000" w:themeColor="text1"/>
        </w:rPr>
        <w:t>4.承包人</w:t>
      </w:r>
    </w:p>
    <w:p w14:paraId="07443A14">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4.1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承包人的一般义务</w:t>
      </w:r>
    </w:p>
    <w:p w14:paraId="2E7CC77F">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4.1.8</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为他人提供方便</w:t>
      </w:r>
    </w:p>
    <w:p w14:paraId="23C2EEC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（1）承包人应当对在施工场地或者附近实施与合同工程有关的其他工作的独立承包人履行管理、协调、配合、照管和服务义务的具体工作内容和要求：</w:t>
      </w:r>
    </w:p>
    <w:p w14:paraId="4303669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w w:val="99"/>
          <w:u w:val="single"/>
        </w:rPr>
      </w:pPr>
      <w:r>
        <w:rPr>
          <w:rFonts w:hint="eastAsia" w:asciiTheme="minorEastAsia" w:hAnsiTheme="minorEastAsia" w:eastAsiaTheme="minorEastAsia"/>
          <w:u w:val="single"/>
        </w:rPr>
        <w:t>承包人需要为本工程材料和工程设备的供应商提供相应的管理、协调、配合、服务工作。具体的工作内容和要求包括但不限于：</w:t>
      </w:r>
      <w:r>
        <w:rPr>
          <w:rFonts w:hint="eastAsia" w:asciiTheme="minorEastAsia" w:hAnsiTheme="minorEastAsia" w:eastAsiaTheme="minorEastAsia"/>
          <w:w w:val="99"/>
          <w:u w:val="single"/>
        </w:rPr>
        <w:t xml:space="preserve"> </w:t>
      </w:r>
    </w:p>
    <w:p w14:paraId="5CDB6BA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1）临时水、电接口及其他临时设施的支持配合，包括提供施工用水、用电，在各楼层指定区域提供水电接驳点，保证供电不间断、冬季供水不结冰。由水、电接驳点引至使用区域的费用由上述人员负责，水电费也由上述人员承担；在工程进行期间提供足够的临时照明及电力和试验所需负荷，并提供分包工程至机电设备等调试所需的电力；在有需要时提供临时发电机组；为确保施工用电安全和各线路的负荷平衡，承包人应收集上述人员的用电负荷要求，核算其施工、调试所需负荷，并统筹安排，切实保证用电安全；</w:t>
      </w:r>
    </w:p>
    <w:p w14:paraId="34BF47F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mc:AlternateContent>
          <mc:Choice Requires="wpg">
            <w:drawing>
              <wp:anchor distT="0" distB="0" distL="114300" distR="114300" simplePos="0" relativeHeight="251685888"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803202783" name="Group 1197"/>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833957198" name="Freeform 1198"/>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1197" o:spid="_x0000_s1026" o:spt="203" style="position:absolute;left:0pt;margin-left:42.75pt;margin-top:70.5pt;height:701.25pt;width:0.1pt;mso-position-horizontal-relative:page;mso-position-vertical-relative:page;z-index:251685888;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BHqzp9kAAAAKAQAADwAAAAAAAAABACAAAAAiAAAAZHJzL2Rv&#10;d25yZXYueG1sUEsBAhQAFAAAAAgAh07iQLvhHpcdAwAAoQcAAA4AAAAAAAAAAQAgAAAAKAEAAGRy&#10;cy9lMm9Eb2MueG1sUEsFBgAAAAAGAAYAWQEAALcGAAAAAA==&#10;">
                <o:lock v:ext="edit" aspectratio="f"/>
                <v:shape id="Freeform 1198" o:spid="_x0000_s1026" o:spt="100" style="position:absolute;left:855;top:1410;height:14025;width:2;" fillcolor="#000000" filled="t" stroked="f" coordsize="1,14025" o:gfxdata="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Lm6MGjFAAAA4wAAAA8AAAAAAAAAAQAgAAAAIgAAAGRycy9kb3ducmV2LnhtbFBLAQIUABQAAAAI&#10;AIdO4kAzLwWeOwAAADkAAAAQAAAAAAAAAAEAIAAAABQBAABkcnMvc2hhcGV4bWwueG1sUEsFBgAA&#10;AAAGAAYAWwEAAL4DA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rPr>
        <w:t>2）将承包人负责修建、维修、保养和管理施工所需的临时性道路或通道，提供给上述人员使用；</w:t>
      </w:r>
    </w:p>
    <w:p w14:paraId="03BCAA1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3）为上述人员及时提供足够的和无障碍的工作面；</w:t>
      </w:r>
    </w:p>
    <w:p w14:paraId="009369E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 xml:space="preserve">4）为保证承包人和上述人员工作不发生冲突，承包人应对他们的工作场所或材料存放等负责协调； </w:t>
      </w:r>
    </w:p>
    <w:p w14:paraId="16AA322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 xml:space="preserve">5）在施工现场内提供足够的并符合发包人要求标准的卫生设施（如厕所等）供上述人员工程使用，并负责定时清理和保养直至不再需要时拆除； </w:t>
      </w:r>
    </w:p>
    <w:p w14:paraId="56F148A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6）允许上述人员使用承包人提供的临时工程或承包人在现场的垂直运输机械和设备，垂直运输机械和设备拆除时需报发包人和监理人审批，批准后方可拆除。</w:t>
      </w:r>
    </w:p>
    <w:p w14:paraId="1BD12C2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7）提供在本合同中约定的任何其他服务和配合。</w:t>
      </w:r>
    </w:p>
    <w:p w14:paraId="65664C6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上述工作所涉及的费用已包含在签约合同价中。</w:t>
      </w:r>
    </w:p>
    <w:p w14:paraId="01034C75">
      <w:pPr>
        <w:tabs>
          <w:tab w:val="left" w:pos="128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4.1.10</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承包人的设计工作</w:t>
      </w:r>
    </w:p>
    <w:p w14:paraId="3D1EFF7A">
      <w:pPr>
        <w:tabs>
          <w:tab w:val="left" w:pos="128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承包人承担的施工图设计或与工程配套的设计工作内容</w:t>
      </w:r>
      <w:r>
        <w:rPr>
          <w:rFonts w:hint="eastAsia" w:cs="宋体" w:asciiTheme="minorEastAsia" w:hAnsiTheme="minorEastAsia" w:eastAsiaTheme="minorEastAsia"/>
          <w:w w:val="95"/>
          <w:sz w:val="24"/>
          <w:u w:color="000000" w:themeColor="text1"/>
        </w:rPr>
        <w:t>：</w:t>
      </w:r>
      <w:r>
        <w:rPr>
          <w:rFonts w:hint="eastAsia" w:cs="宋体" w:asciiTheme="minorEastAsia" w:hAnsiTheme="minorEastAsia" w:eastAsiaTheme="minorEastAsia"/>
          <w:sz w:val="24"/>
          <w:u w:val="single" w:color="000000" w:themeColor="text1"/>
        </w:rPr>
        <w:t>/</w:t>
      </w:r>
    </w:p>
    <w:p w14:paraId="1950DB25">
      <w:pPr>
        <w:tabs>
          <w:tab w:val="left" w:pos="128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4.1.13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其他义务</w:t>
      </w:r>
    </w:p>
    <w:p w14:paraId="151E5B5E">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安全生产标准化措施费由承包人统一管理，承包人对工程安全生产标准化负总责。承包人不按分包合同约定支付安全生产标准化措施费，造成分包人不能及时落实安全防护措施导致发生事故的，由承包人负主要责任。</w:t>
      </w:r>
    </w:p>
    <w:p w14:paraId="09EF44F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（2）对于超过一定规模的危大工程（如有），承包人应当组织召开专家论证会对专项施工方案进行论证，并根据专家论证意见对专项方案进行调整，发包人原因造成的专项方案调整，其费用变化由发包人承担。</w:t>
      </w:r>
    </w:p>
    <w:p w14:paraId="678A0691">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（3）承包人应使用符合北京市《建筑类涂料与胶粘剂挥发性有机化合物含量限值标准》（DB11／1983-2022）相关要求的产品。</w:t>
      </w:r>
    </w:p>
    <w:p w14:paraId="71580718">
      <w:pPr>
        <w:adjustRightInd w:val="0"/>
        <w:snapToGrid w:val="0"/>
        <w:spacing w:line="360" w:lineRule="auto"/>
        <w:jc w:val="left"/>
        <w:rPr>
          <w:rFonts w:hint="eastAsia" w:cs="宋体" w:asciiTheme="minorEastAsia" w:hAnsiTheme="minorEastAsia" w:eastAsiaTheme="minorEastAsia"/>
          <w:sz w:val="24"/>
          <w:u w:color="000000" w:themeColor="text1"/>
        </w:rPr>
      </w:pPr>
      <w:commentRangeStart w:id="1"/>
      <w:r>
        <w:rPr>
          <w:rFonts w:hint="eastAsia" w:cs="宋体" w:asciiTheme="minorEastAsia" w:hAnsiTheme="minorEastAsia" w:eastAsiaTheme="minorEastAsia"/>
          <w:sz w:val="24"/>
          <w:u w:color="000000" w:themeColor="text1"/>
        </w:rPr>
        <w:t>（4）承包人应履行的其他义务：</w:t>
      </w:r>
      <w:commentRangeEnd w:id="1"/>
      <w:r>
        <w:rPr>
          <w:rStyle w:val="53"/>
          <w:rFonts w:hint="eastAsia" w:cs="宋体" w:asciiTheme="minorEastAsia" w:hAnsiTheme="minorEastAsia" w:eastAsiaTheme="minorEastAsia"/>
          <w:sz w:val="24"/>
          <w:szCs w:val="24"/>
          <w:u w:color="000000" w:themeColor="text1"/>
        </w:rPr>
        <w:commentReference w:id="1"/>
      </w:r>
    </w:p>
    <w:p w14:paraId="3F5ADEF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w w:val="99"/>
          <w:u w:val="single" w:color="000000" w:themeColor="text1"/>
        </w:rPr>
      </w:pPr>
      <w:r>
        <w:rPr>
          <w:rFonts w:hint="eastAsia" w:asciiTheme="minorEastAsia" w:hAnsiTheme="minorEastAsia" w:eastAsiaTheme="minorEastAsia"/>
          <w:u w:val="single" w:color="000000" w:themeColor="text1"/>
        </w:rPr>
        <w:t>1）月度报告</w:t>
      </w:r>
      <w:r>
        <w:rPr>
          <w:rFonts w:hint="eastAsia" w:asciiTheme="minorEastAsia" w:hAnsiTheme="minorEastAsia" w:eastAsiaTheme="minorEastAsia"/>
          <w:w w:val="99"/>
          <w:u w:val="single" w:color="000000" w:themeColor="text1"/>
        </w:rPr>
        <w:t xml:space="preserve"> </w:t>
      </w:r>
    </w:p>
    <w:p w14:paraId="4AA65BC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承包人应编制月度报告，月度请款单的附件或证明文件提交给监理人代表和发包人。第一份月度报告应在开工日期所在月历的最后一天之后的7天内提交，所包含的期间应从开工日期起至开工日期所在月历的最后一天止；第二份月度报告应在当月25日（不含）提交，所包含的期间应从当月的第一天起至25日（不含），此后的每份月度报告应当在当月25日提交，所包含的期间应从上月25日（含）至下月25日（不含），直至工程竣工并移交为止。每一份度报告应包括但不限于：</w:t>
      </w:r>
    </w:p>
    <w:p w14:paraId="4CBB075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(a)采购、制造、货物运达现场、施工、安装调试及试运行的每一阶段进展情况的照片与详 细说明；</w:t>
      </w:r>
    </w:p>
    <w:p w14:paraId="33A6EAA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(b)反映工程进展情况的任何必要的图表； </w:t>
      </w:r>
    </w:p>
    <w:p w14:paraId="0FC1038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(c)承包人在现场的人员及施工机械的记录； </w:t>
      </w:r>
    </w:p>
    <w:p w14:paraId="589FEF0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(d)必要的质量证明文件、材料的检验结果及证书；</w:t>
      </w:r>
    </w:p>
    <w:p w14:paraId="1EC0504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86912"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271566472" name="Group 1199"/>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703327887" name="Freeform 1200"/>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1199" o:spid="_x0000_s1026" o:spt="203" style="position:absolute;left:0pt;margin-left:42.75pt;margin-top:70.5pt;height:701.25pt;width:0.1pt;mso-position-horizontal-relative:page;mso-position-vertical-relative:page;z-index:251686912;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BMtP8dGAMAAKIHAAAOAAAAAAAAAAEAIAAAACgBAABkcnMvZTJv&#10;RG9jLnhtbFBLBQYAAAAABgAGAFkBAACyBgAAAAA=&#10;">
                <o:lock v:ext="edit" aspectratio="f"/>
                <v:shape id="Freeform 1200" o:spid="_x0000_s1026" o:spt="100" style="position:absolute;left:855;top:1410;height:14025;width:2;" fillcolor="#000000" filled="t" stroked="f" coordsize="1,14025" o:gfxdata="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0nh5&#10;wAAAAOMAAAAPAAAAAAAAAAEAIAAAACIAAABkcnMvZG93bnJldi54bWxQSwECFAAUAAAACACHTuJA&#10;My8FnjsAAAA5AAAAEAAAAAAAAAABACAAAAAPAQAAZHJzL3NoYXBleG1sLnhtbFBLBQYAAAAABgAG&#10;AFsBAAC5Aw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(e)安全统计，包括涉及环境和公共关系方面的任何事件或活动的详情；</w:t>
      </w:r>
    </w:p>
    <w:p w14:paraId="2DE530C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（f）实际进度与计划进度的对比，包括可能影响工程按照进度计划进行的任何因素之详情，以及为消除这些因素正在采取（或准备采取）的措施。</w:t>
      </w:r>
    </w:p>
    <w:p w14:paraId="3652DEE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2)成品保护 </w:t>
      </w:r>
    </w:p>
    <w:p w14:paraId="44075F7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承包人应提供必要的人员、材料和设备用于整个工程的成品保护，包括并不限于对已完成的专业分包人和独立承包人（若有）的工程或工作的保护，防止任何已移交的工作遭受任何损坏或破坏，费用已含在签约合同价中； </w:t>
      </w:r>
    </w:p>
    <w:p w14:paraId="22E97DB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b.任何未移交的专业分包人或独立承包人（若有）的工程或工作的成品保护由相关工程或工作的专业分包或独立承包人负责，除非工作面已移交给承包人；</w:t>
      </w:r>
    </w:p>
    <w:p w14:paraId="4E69A4C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c.清洗工程的所有墙面、地面、楼面等表面；所有门窗、玻璃、瓷砖、石材和所有金属面均应清洗干净，清除所有污迹，保证表面清洁； </w:t>
      </w:r>
    </w:p>
    <w:p w14:paraId="50485B8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d.修缮所有损坏、清除所有污迹、替换所有需更换的材料； </w:t>
      </w:r>
    </w:p>
    <w:p w14:paraId="6E58318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e.为所有钥匙贴上标签并固定到钥匙排上移交给发包人； </w:t>
      </w:r>
    </w:p>
    <w:p w14:paraId="6120407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f.清洗和擦洗所有机电设备的表面，清除所有污迹，保证设备表面的清洁； </w:t>
      </w:r>
    </w:p>
    <w:p w14:paraId="3B2881C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g.所有卫生洁具要清洗干净，龙头、背水箱要启闭正常。</w:t>
      </w:r>
    </w:p>
    <w:p w14:paraId="51162AB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3)竣工清理 </w:t>
      </w:r>
    </w:p>
    <w:p w14:paraId="362E690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在颁发任何移交证书之前，承包人应从该移交证书所涉及的现场清除并运出承包人的全部设备、多余材料、垃圾和各种临时工程，并保持现场和工程清洁整齐，达到监理人代表的合格标准。在工程竣工后，承包人应全面履行其合同责任和义务，包括但不仅限于： </w:t>
      </w:r>
    </w:p>
    <w:p w14:paraId="0C9381F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a.从现场清除所有剩余材料、杂物、垃圾等； </w:t>
      </w:r>
    </w:p>
    <w:p w14:paraId="3BD06D1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b.从现场拆除所有的临时建筑物、构筑物和临时设施并恢复地面原状（若有工程需要应及时拆除）。</w:t>
      </w:r>
    </w:p>
    <w:p w14:paraId="23516E4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4)垃圾清运 </w:t>
      </w:r>
    </w:p>
    <w:p w14:paraId="0D8CF02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承包人应在现场设立固定的垃圾临时存放点并在区域设立足够尺寸的垃圾箱，同时做好垃圾分类工作，配合相关行政部门实施的垃圾分类检查工作，并按照检查的结果改正、完善垃圾分类工作；所有垃圾必须在当天清除出现场，运送到指定的垃圾消纳场，费用由承包人承担；</w:t>
      </w:r>
    </w:p>
    <w:p w14:paraId="0E364E9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如果承包人不能按上述要求处理现场垃圾，且在收到监理人代表或有关政府机构的书面通知后，仍未立即采取具体行动，发包人可雇佣其他人清除现场垃圾，相关费用及罚款由承包人支付或由发包人从承包人按合同约定应得或将得的任何款项中扣除； </w:t>
      </w:r>
    </w:p>
    <w:p w14:paraId="7612ECD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c.承包人应要求专业分包人或独立承包人（若有）将其生产垃圾堆放到承包人设立的垃圾存放点，并由承包人负责清运和消纳,发生的垃圾清运及消纳费由承包人向专业分包人或独立承包人收取；</w:t>
      </w:r>
    </w:p>
    <w:p w14:paraId="2739AA2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d.承包人应对离场垃圾和所有车辆进行防遗洒和防污染处理。</w:t>
      </w:r>
    </w:p>
    <w:p w14:paraId="582E18B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1312"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272266929" name="Group 403"/>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2028154475" name="Freeform 404"/>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403" o:spid="_x0000_s1026" o:spt="203" style="position:absolute;left:0pt;margin-left:42.75pt;margin-top:70.5pt;height:701.25pt;width:0.1pt;mso-position-horizontal-relative:page;mso-position-vertical-relative:page;z-index:251661312;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BeV8ggGAMAAJ8HAAAOAAAAAAAAAAEAIAAAACgBAABkcnMvZTJv&#10;RG9jLnhtbFBLBQYAAAAABgAGAFkBAACyBgAAAAA=&#10;">
                <o:lock v:ext="edit" aspectratio="f"/>
                <v:shape id="Freeform 404" o:spid="_x0000_s1026" o:spt="100" style="position:absolute;left:855;top:1410;height:14025;width:2;" fillcolor="#000000" filled="t" stroked="f" coordsize="1,14025" o:gfxdata="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ApbR7PFAAAA4wAAAA8AAAAAAAAAAQAgAAAAIgAAAGRycy9kb3ducmV2LnhtbFBLAQIUABQAAAAI&#10;AIdO4kAzLwWeOwAAADkAAAAQAAAAAAAAAAEAIAAAABQBAABkcnMvc2hhcGV4bWwueG1sUEsFBgAA&#10;AAAGAAYAWwEAAL4DA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5)保持现场清洁</w:t>
      </w:r>
    </w:p>
    <w:p w14:paraId="73C42A0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在工程施工期间，承包人应保护现场不出现不必要的障碍物，存放并处置好承包人的任何设备和多余的材料，并从现场清除运走任何废料、垃圾或不再需要的临时工程。承包人应为防止进出场的车辆的遗洒和轮胎夹带物等污染周边和公共道路等行为制定并落实必要的措施，这类措施应至少包括在现场出入口设立冲刷池、对现场道路做硬化处理等；承包人还应对施工临时污水排放系统建立符合排放标准的临时沉淀池和化粪池等，由此所产生的费用已含在签约合同价中。</w:t>
      </w:r>
    </w:p>
    <w:p w14:paraId="0C030BE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6)现场卫生 </w:t>
      </w:r>
    </w:p>
    <w:p w14:paraId="6B3E59A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承包人在现场执行北京市最新的关于施工现场生活区设置和管理规范的相关规定。承包人应为现场工人提供符合政府卫生规定的生活条件并获得必要的许可，保证工人的健康和防止任何传染病，包括但不限于工人的食堂、厕所、工具房、宿舍等；承包人应雇佣专业的卫生防疫部门定期对现场、工人生活基地和工程进行防疫和卫生的专业检查和处理，包括消灭白蚁、鼠害、蚊蝇和其它害虫，以防对施工人员、现场和永久工程造成任何危害。 </w:t>
      </w:r>
    </w:p>
    <w:p w14:paraId="6C42F1F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承包人组织人员进驻工程现场时，应切实采取预防传染性疾病的有效措施，配套必要的医药用品、消毒、测温、通用设施、设备等，加强防控工作。承包人还应建立人员流动登记制度，信息报告制度，要与卫生防疫部门取得联系，做好各项防范措施的落实工作。因承包人采取措施不力所造成的一切后果，均由承包人自行负责。 </w:t>
      </w:r>
    </w:p>
    <w:p w14:paraId="02082B5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7)承包人遵守发包人和监理人的指令 </w:t>
      </w:r>
    </w:p>
    <w:p w14:paraId="37C871C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发包人或监理人按照合同文件约定所发出的所有指令，承包人应当予以执行。发包人或监理人应当以书面形式发出指令。即便此等指令以口头形式发出，承包人也应同样遵照执行，但发包人或监理人应在该口头指令发出后的7日内，以书面形式予以确认。 </w:t>
      </w:r>
    </w:p>
    <w:p w14:paraId="5AE3CA4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同时规定，承包人可在发包人或监理人发出此类口头指令后以书面形式记录此类口头指令并报发包人或监理人确认，如果7日内未被发包人或监理人以书面形式拒绝，则此类由承包人准备的书面记录应视为发包人或监理人的书面指令。承包人须维持一个有效率的组织以便发包人或监理人发出的一切指令均能及时传送到现场执行，并应将相关指令记录在专门的施工日记内，并须允许发包人、监理人在任何合理时间查阅上述日记。 </w:t>
      </w:r>
    </w:p>
    <w:p w14:paraId="1DC070B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c.如果承包人实施或完成的工程与合同文件的约定、发包人指令或监理人指令不符的，监理人有权要求承包人停止全部工程或任何部分工程，并立即通知发包人（由此产生的责任由承包人承担）。 </w:t>
      </w:r>
    </w:p>
    <w:p w14:paraId="52F68BD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d.承包人应当遵循发包人或监理人的指令派代表出席由发包人或监理人主持的现场工程协调会或工作会议，并应当提供有关资料以协助解决问题。 </w:t>
      </w:r>
    </w:p>
    <w:p w14:paraId="1665086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8)承包人的报审 </w:t>
      </w:r>
    </w:p>
    <w:p w14:paraId="1445117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合同文件约定需发包人或监理人审批、认可的材料及工程设备、样本、样品、文件或工作，承包人应当按照合同文件约定提交监理人或发包人审批和认可，合同文件未约定的，提交给发包人审批和认可。发包人或监理人应当及时向承包人出具相关审批意见，审批意见应 当以书面形式发出。发包人或监理人的任何批准、不批准或修改建议皆不会减轻或免除承包 人按照合同文件而承担的责任。 </w:t>
      </w:r>
    </w:p>
    <w:p w14:paraId="2AE5E82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承包人须预留给发包人充分合理的时间以便发包人正确的完成审批、认可。若因承包人迟交材料及工程设备、样本、样品、文件或工作并致使发包人没有充分合理的时间完成审批和认可，承包人需承担一切时间延误责任及经济责任。 </w:t>
      </w:r>
    </w:p>
    <w:p w14:paraId="4D3F8F8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c.承包人在申报进度款前，现场工程资料需经发包人综合管理部档案人员检查合格后方可申报。</w:t>
      </w:r>
    </w:p>
    <w:p w14:paraId="73D9BE9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9)承包人的审核责任 </w:t>
      </w:r>
    </w:p>
    <w:p w14:paraId="380A396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应当审阅所有合同文件。工程招投标阶段，承包人如发现合同文件有歧义或需要补齐、补正有关内容的，应当及时告知发包人。合同正式签订后，发包人应视为承包人同意合同文件所含的资料已足够令承包人按合同文件约定实施及完成本工程。即：承包人在正式提交投标文件以前，已经认真研究发包人提供的合同文件，对任何可能存在的疑问都已经得到发包人的澄清和解答，并对由合同文件所定义的承包人合同工作内容达到透彻和充分的理解，并已将这种理解全部反映到投标人的投标文件中。 </w:t>
      </w:r>
    </w:p>
    <w:p w14:paraId="66DDAF5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合同文件内的所有图纸、细节大样、规范说明等，承包人均须提交给发包人、监理人审批，并在认可后方能施工。发包人、监理人可拒绝、认可或更改此等资料。发包人、监理人的审批并不会减轻或免除承包人应负的责任。 </w:t>
      </w:r>
    </w:p>
    <w:p w14:paraId="388256D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承包人有责任审核与本工程有关的所有图纸并做出相应协调和配合。图纸会审前，承包人应组织专业人员认真熟悉并复核图纸内容，配合确保图纸的准确性，图纸会审后出现的图纸错漏碰缺问题，承包人应及时向监理人、设计人、发包人汇报并进行图纸纠偏。在前述情况下，如承包人继续按照错误图纸施工造成的任何损失均由承包人自行承担。 </w:t>
      </w:r>
    </w:p>
    <w:p w14:paraId="0929BC8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d.除非另有特别说明，否则承包人应在开始施工前或在收到发包人书面要求后的14天内提交足够数量的制配图纸、深化图纸等，供发包人审批。 </w:t>
      </w:r>
    </w:p>
    <w:p w14:paraId="6CFDBA5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e.承包人编制的前述图纸必须符合国家有关最新的技术规范（例如防火规范之规定），符合</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2336"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85484443" name="Group 399"/>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922865911" name="Freeform 400"/>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99" o:spid="_x0000_s1026" o:spt="203" style="position:absolute;left:0pt;margin-left:42.75pt;margin-top:70.5pt;height:701.25pt;width:0.1pt;mso-position-horizontal-relative:page;mso-position-vertical-relative:page;z-index:251662336;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BHqzp9kAAAAKAQAADwAAAAAAAAABACAAAAAiAAAAZHJzL2Rvd25y&#10;ZXYueG1sUEsBAhQAFAAAAAgAh07iQF5OoYQaAwAAngcAAA4AAAAAAAAAAQAgAAAAKAEAAGRycy9l&#10;Mm9Eb2MueG1sUEsFBgAAAAAGAAYAWQEAALQGAAAAAA==&#10;">
                <o:lock v:ext="edit" aspectratio="f"/>
                <v:shape id="Freeform 400" o:spid="_x0000_s1026" o:spt="100" style="position:absolute;left:855;top:1410;height:14025;width:2;" fillcolor="#000000" filled="t" stroked="f" coordsize="1,14025" o:gfxdata="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I78&#10;x8EAAADjAAAADwAAAAAAAAABACAAAAAiAAAAZHJzL2Rvd25yZXYueG1sUEsBAhQAFAAAAAgAh07i&#10;QDMvBZ47AAAAOQAAABAAAAAAAAAAAQAgAAAAEAEAAGRycy9zaGFwZXhtbC54bWxQSwUGAAAAAAYA&#10;BgBbAQAAugM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当地行业的最新标准要求及习惯并能达到发包人及当地政府主管部门的审核要求，如各规范及标准中对同一事项规范要求不一致的，以专业标准较高的为准。承包人更须负责送交有关部门，完成深化图纸等的审核和盖章确认，包括承担一切所需的费用。 </w:t>
      </w:r>
    </w:p>
    <w:p w14:paraId="3724301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f.发包人、监理人要求承包人修改提交的深化图纸等，承包人须在收到退回图纸后的7日内将修改好的图纸再次呈交给发包人、监理人审批。</w:t>
      </w:r>
    </w:p>
    <w:p w14:paraId="29F4461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10)施工扰民和民扰 </w:t>
      </w:r>
    </w:p>
    <w:p w14:paraId="6D043C7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a.承包人须严格遵循合同文件及北京市有关文明施工的一切规定进行施工，以减少对邻近房屋及住户的环保影响。 </w:t>
      </w:r>
    </w:p>
    <w:p w14:paraId="661AEE4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b.若承包人未按上述规定进行施工所造成的扰民和民扰事项，则由承包人承担有关责任和费用，并保证发包人免负因此而造成的任何责任和费用。 </w:t>
      </w:r>
    </w:p>
    <w:p w14:paraId="4DA50DD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c.承包人需要妥善处理与周边居民的关系，并组织、管理、安排、协调、发放扰民及民扰费等民扰发生期间的各种具体事项，由此产生的费用已包含在签约合同价中。 </w:t>
      </w:r>
    </w:p>
    <w:p w14:paraId="1EB8193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11）对各类重要会议、其他事件（如中考、高考、两会）、雾霾停工等各类政策性停工的责任：承包人应在各类重要会议、其他事件（如中考、高考、两会）、雾霾停工等发生时响应政府要求，由此产生的费用已包含在签约合同价中（政府另有明文规定的除外）。 </w:t>
      </w:r>
    </w:p>
    <w:p w14:paraId="743E1B5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12)承包人对发包人的保障</w:t>
      </w:r>
    </w:p>
    <w:p w14:paraId="4CA02AD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承包人应保障发包人、发包人雇佣代理人以及雇员免遭因承包人实施工程（包括承包人提供的专业服务）导致的一切损害、损失和开支及相应的索赔。这些保障义务包括因人员伤亡、物资财产（工程除外）的损伤或毁坏所导致的索赔、损害、损失及开支。此类义务还包括由于承包人或其直接或间接雇用的任何人不履行照管职责而导致的此类索赔、损害、损失和开支。 </w:t>
      </w:r>
    </w:p>
    <w:p w14:paraId="149E760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13)在整个工程施工期间，承包人应用明显的标志标定所有现场内和毗邻现场的所有的现存 排水口、污水管、电缆沟、市政服务设施的总管、电信电缆和光缆、高架电缆和古树等，并作好相应的保护和维护；承包人须自费对因受其控制的任何原因引起的对上述设施的损害或对已损坏的进行修缮，并支付与此相关的任何费用和罚款；承包人因临时或永久工程施工需临时中断任何市政设施的总管或其它设施时，应首先从政府有关管理机构取得相关许可。</w:t>
      </w:r>
    </w:p>
    <w:p w14:paraId="0179069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14)承包人须负责确保所有现场周边毗邻的道路、步行道和现场出入口等的干净和整洁，同 时保证它们及周边公共交通、公众生活不因承包人和其他受承包人控制和施工操作、材料装卸、车辆、材料、物品、设备和工人而带来任何妨碍；承包人须保证发包人免于与上述事件</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3360"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451668005" name="Group 397"/>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314495286" name="Freeform 398"/>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97" o:spid="_x0000_s1026" o:spt="203" style="position:absolute;left:0pt;margin-left:42.75pt;margin-top:70.5pt;height:701.25pt;width:0.1pt;mso-position-horizontal-relative:page;mso-position-vertical-relative:page;z-index:251663360;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CKM2PZGAMAAJ8HAAAOAAAAAAAAAAEAIAAAACgBAABkcnMvZTJv&#10;RG9jLnhtbFBLBQYAAAAABgAGAFkBAACyBgAAAAA=&#10;">
                <o:lock v:ext="edit" aspectratio="f"/>
                <v:shape id="Freeform 398" o:spid="_x0000_s1026" o:spt="100" style="position:absolute;left:855;top:1410;height:14025;width:2;" fillcolor="#000000" filled="t" stroked="f" coordsize="1,14025" o:gfxdata="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8ME&#10;msEAAADjAAAADwAAAAAAAAABACAAAAAiAAAAZHJzL2Rvd25yZXYueG1sUEsBAhQAFAAAAAgAh07i&#10;QDMvBZ47AAAAOQAAABAAAAAAAAAAAQAgAAAAEAEAAGRycy9zaGFwZXhtbC54bWxQSwUGAAAAAAYA&#10;BgBbAQAAugM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有关的任何索赔、诉讼、损害和损失。 </w:t>
      </w:r>
    </w:p>
    <w:p w14:paraId="29452BE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15)承包人不得非法侵占和妨害毗邻的财产、土地、街道、市政设施和它们下面的土壤和空间、它们的所有者、使用者或其他任何人，也不得在工程或工程任何部分的实施中采用可能给这类财产、土地、街道、设施和人员带来损害或伤害的施工方法；承包人须保证发包人免于因工程实施对周边毗邻财产或人身等的损害而可能导致的索赔、罚款和其它法律责任。 </w:t>
      </w:r>
    </w:p>
    <w:p w14:paraId="6773427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16)承包人应保证所完成的工程完全符合合同文件所规定的标准。</w:t>
      </w:r>
    </w:p>
    <w:p w14:paraId="5F8343C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17)承包人应按照合同文件的工程保修要求和约定全面履行工程保修义务和职责。</w:t>
      </w:r>
    </w:p>
    <w:p w14:paraId="1E82EC6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18)关于扬尘治理义务 </w:t>
      </w:r>
    </w:p>
    <w:p w14:paraId="58BBE79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承包人应通过有效的技术手段和管理措施将施工产生的扬尘控制在相关指标范围内。确保达到北京市地方税务局公告2018年第3号文件中附件4《建设工程施工工地扬尘管理等级标准》中二类标准等级。确保工地沙土覆盖、工地路面硬化、出工地车辆冲洗车轮、拆除房屋的工地洒水压尘、垃圾分类密闭存放，并保证渣土运输车辆符合相关规定要求。且承包人进场前，须与发包人签订安全生产协议书、环保协议书等。 </w:t>
      </w:r>
    </w:p>
    <w:p w14:paraId="2F657E3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b.若承包人未达到二类标准等级，造成发包人的环保税增加，由此增加的环保税、行政机关处罚等相关费用全部由承包人承担。 </w:t>
      </w:r>
    </w:p>
    <w:p w14:paraId="2A7F5A0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c.承包人应在施工期间加强环保意识、保持工地清洁、控制扬尘、杜绝漏洒材料，使得施工现场及周围无扬尘污染。 </w:t>
      </w:r>
    </w:p>
    <w:p w14:paraId="1B4E2AFC">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d.对现场周边整体环境（如道路、绿化等）进行保护，如有破坏需进行修复，费用由承包人支付。</w:t>
      </w:r>
    </w:p>
    <w:p w14:paraId="0173BBE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19）项目团队 </w:t>
      </w:r>
    </w:p>
    <w:p w14:paraId="5870F08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承包人应设置合理可行的现场组织机构并配备具有足够经验、认真负责和精干称职的项目经理及其他现场管理人员。除非事先获得发包人的书面批准，承包人不得更换或撤回项目经理及其他现场主要管理人员，并保证项目经理与投标时提交的施工上岗证书相符。如因此给发包人造成损失的，承包人还应当赔偿发包人全部损失。如果因特殊原因确需变更项目经理，则必须经发包人事先书面同意，如未征得同意擅自更换项目经理，承包人应支付相应的违约金。承包人项目经理、项目技术负责人、水电安装负责人必须参加工程例会，因故不能参加的应提前24小时向发包人提出申请并在获得发包人批准后方可缺席，如擅自缺席的，承包人应向发包人支付相应的违约金。</w:t>
      </w:r>
    </w:p>
    <w:p w14:paraId="7F3A8BD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b.承包人工作人员被发包人要求调离时，承包人须无条件执行。岗位空缺时间内，承包人须安排适合人员暂时代理该空缺岗位，且不得对工程造成任何影响。并且，承包人应在3日内选派合适的替代人员，在得到发包人和监理单位批准后上岗。</w:t>
      </w:r>
    </w:p>
    <w:p w14:paraId="1CE10C6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c.承包人应当为完成合同而设置合理可行的现场组织机构。除非事先获取发包人的书面批准，承包人项目经理需在一周至少5日驻场办公，任何情况下，不得出现项目经理不在工地现场。</w:t>
      </w:r>
    </w:p>
    <w:p w14:paraId="297B34F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bookmarkStart w:id="681" w:name="_Hlk126188105"/>
      <w:r>
        <w:rPr>
          <w:rFonts w:hint="eastAsia" w:asciiTheme="minorEastAsia" w:hAnsiTheme="minorEastAsia" w:eastAsiaTheme="minorEastAsia"/>
          <w:u w:val="single" w:color="000000" w:themeColor="text1"/>
        </w:rPr>
        <w:t>d.承包人项目经理不得兼职做其他项目的项目经理，否则一经发现，承包人应向发包人支付相应的违约金，同时承包人应立即解除项目经理的其他兼职工作。</w:t>
      </w:r>
      <w:bookmarkEnd w:id="681"/>
    </w:p>
    <w:p w14:paraId="6B8920F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e.承包人不得擅自更换或撤回项目经理、项目执行经理、其他主要管理人员等。必要时发包人有权直接要求承包人撤换监理人/发包人认为有下列行为的任何人员，包括承包人代表： </w:t>
      </w:r>
    </w:p>
    <w:p w14:paraId="4A1D44B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a）在履行其职责时不能胜任或玩忽职守；</w:t>
      </w:r>
    </w:p>
    <w:p w14:paraId="2631BCF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b）不遵守合同的约定； </w:t>
      </w:r>
    </w:p>
    <w:p w14:paraId="7C99F4A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c）经常出现有损健康与安全，或有损环境保护的行为。</w:t>
      </w:r>
    </w:p>
    <w:p w14:paraId="71F0421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如果出现上述任一情况，承包人应在监理人或发包人提出此类要求后3天内选派合适的替代人员，在得到发包人和监理单位批准后上岗。</w:t>
      </w:r>
    </w:p>
    <w:p w14:paraId="5EF166E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20）承包人应就发包人招标阶段所提供的施工场地基础情况、各类隐蔽管线、设施资料进行详细核对，落实并据此制定相应的施工方案，所有费用已经包含在签约合同价中。 </w:t>
      </w:r>
    </w:p>
    <w:p w14:paraId="0BEC0E1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21）绿色施工管理要求：承包人按照DB11/513-2015《绿色施工管理规程》和发包人书面提出的绿色施工要求执行。</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4384"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975833181" name="Group 395"/>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983452687" name="Freeform 396"/>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95" o:spid="_x0000_s1026" o:spt="203" style="position:absolute;left:0pt;margin-left:42.75pt;margin-top:70.5pt;height:701.25pt;width:0.1pt;mso-position-horizontal-relative:page;mso-position-vertical-relative:page;z-index:251664384;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BHqzp9kAAAAKAQAADwAAAAAAAAABACAAAAAiAAAAZHJzL2Rvd25yZXYu&#10;eG1sUEsBAhQAFAAAAAgAh07iQOTOCBcXAwAAnwcAAA4AAAAAAAAAAQAgAAAAKAEAAGRycy9lMm9E&#10;b2MueG1sUEsFBgAAAAAGAAYAWQEAALEGAAAAAA==&#10;">
                <o:lock v:ext="edit" aspectratio="f"/>
                <v:shape id="Freeform 396" o:spid="_x0000_s1026" o:spt="100" style="position:absolute;left:855;top:1410;height:14025;width:2;" fillcolor="#000000" filled="t" stroked="f" coordsize="1,14025" o:gfxdata="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apxnFsQAAADiAAAADwAAAAAAAAABACAAAAAiAAAAZHJzL2Rvd25yZXYueG1sUEsBAhQAFAAAAAgA&#10;h07iQDMvBZ47AAAAOQAAABAAAAAAAAAAAQAgAAAAEwEAAGRycy9zaGFwZXhtbC54bWxQSwUGAAAA&#10;AAYABgBbAQAAvQMAAAAA&#10;" path="m0,0l0,14025,0,0xe">
                  <v:path o:connectlocs="0,1410;0,15435;0,1410" o:connectangles="0,0,0"/>
                  <v:fill on="t" focussize="0,0"/>
                  <v:stroke on="f"/>
                  <v:imagedata o:title=""/>
                  <o:lock v:ext="edit" aspectratio="f"/>
                </v:shape>
              </v:group>
            </w:pict>
          </mc:Fallback>
        </mc:AlternateContent>
      </w:r>
    </w:p>
    <w:p w14:paraId="6230DAC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22）承包人应全面配合发包人进行阶段性和/或全过程跟踪审计。</w:t>
      </w:r>
    </w:p>
    <w:p w14:paraId="1681AC9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23）承包人组织人员进驻工程现场时，应切实采取预防传染性疾病的有效措施，配合必要的医药用品、消毒、测温、通用等设施、设备，加强防控工作。承包人还应建立人员流动登记制度，信息报告制度，要与卫生防疫部门取得联系，做好各项防范措施的落实工作。因承包人采取措施不力所造成的一切后果，均由承包人自行负责。</w:t>
      </w:r>
    </w:p>
    <w:p w14:paraId="11D79E0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24)承包人负责组织竣工验收前所有系统的联合调试，相关费用包含在签约合同价中，承包人需按照发包人要求指定调试的总牵头人，服从总牵头人的调试牵头工作。 </w:t>
      </w:r>
    </w:p>
    <w:p w14:paraId="1036F73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25）承包人应充分了解项目位置、地质地貌、气候与水文条件、交通状况、电力、上、下水等市政基础设施及任何其他足以影响其施工安全性、施工方案的可实现性，以及对环保或相邻环境及对相关方相邻权的影响。任何因承包人忽视、误解及未尽力了解项目相关情况，而使发包人及第三方在项目实施过程中蒙受损失，将由承包人独立承担全部赔偿责任。 </w:t>
      </w:r>
    </w:p>
    <w:p w14:paraId="2C0FEC3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26）承包人应依据施工现场的实际情况编制临时设施工程施工组织方案，完善现场施工搭建并做好相应管理工作，由此产生的费用已包含在签约合同价中。承包人负责施工现场和异地临设用地的所有施工临时设施、临时道路、备用发电机、水、电管线的修建安装、拆除，完善现场施工搭建并做好相应管理工作，保证施工的正常进行，直至工程完成移交前产生的相关费用已含在合同价款中。如发包人对上述场地变更使用用途，水电位置产生变更，承包人应按发包人的时间要求及时腾退、恢复场地原状，并承担由此发生的全部费用。</w:t>
      </w:r>
    </w:p>
    <w:p w14:paraId="565BCA2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27)承包人应将本项目独立承包人的进度工期纳入总承包工期进度管理中，并按照施工总控进度计划向独立承包人及时提供进场条件和运输条件，统筹安排独立承包人的生产、生活临时设施，并承担相关费用，因承包人的原因未能按发包人的要求或计划为独立承包人提供上述约定的条件及工作面，由此造成的阶段工程的延误和费用增加由承包人承担，具体工作为： </w:t>
      </w:r>
    </w:p>
    <w:p w14:paraId="60F4C9CC">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a.承包人应将独立承包人的进度工期纳入总承包工期进度管理中，负责对包括上述人员工作在内的工程总体施工进度计划的安排和日常协调； </w:t>
      </w:r>
    </w:p>
    <w:p w14:paraId="4798052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b.将承包人负责修建、维修及保养的任何道路或通道，提供给发包人发包的独立承包人使用； </w:t>
      </w:r>
    </w:p>
    <w:p w14:paraId="23D6E86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c.为保证各独立承包人的工作不发生冲突，承包人应对他们的工作场所或材料存放等负责协调，并提供冬雨季及恶劣天气所需的特别设施，以及其他临时设施的支持配合，并承担成品</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5408"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464441301" name="Group 393"/>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553601770" name="Freeform 394"/>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93" o:spid="_x0000_s1026" o:spt="203" style="position:absolute;left:0pt;margin-left:42.75pt;margin-top:70.5pt;height:701.25pt;width:0.1pt;mso-position-horizontal-relative:page;mso-position-vertical-relative:page;z-index:251665408;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DUOAtQGAMAAJ8HAAAOAAAAAAAAAAEAIAAAACgBAABkcnMvZTJv&#10;RG9jLnhtbFBLBQYAAAAABgAGAFkBAACyBgAAAAA=&#10;">
                <o:lock v:ext="edit" aspectratio="f"/>
                <v:shape id="Freeform 394" o:spid="_x0000_s1026" o:spt="100" style="position:absolute;left:855;top:1410;height:14025;width:2;" fillcolor="#000000" filled="t" stroked="f" coordsize="1,14025" o:gfxdata="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68tNnFAAAA4wAAAA8AAAAAAAAAAQAgAAAAIgAAAGRycy9kb3ducmV2LnhtbFBLAQIUABQAAAAI&#10;AIdO4kAzLwWeOwAAADkAAAAQAAAAAAAAAAEAIAAAABQBAABkcnMvc2hhcGV4bWwueG1sUEsFBgAA&#10;AAAGAAYAWwEAAL4DA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保护的连带责任； </w:t>
      </w:r>
    </w:p>
    <w:p w14:paraId="3099CDE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d.提供足够的和无障碍的工作面；</w:t>
      </w:r>
    </w:p>
    <w:p w14:paraId="0FA2A6D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e.允许独立承包人免费使用承包人提供的临时工程或承包人在现场的现有的垂直运输机械、设备、爬梯和脚手架（如果有），并保证这些设施符合安全要求。如果根据工程实施进展情况，承包人需拆除现场已搭设的垂直运输机械、设备、爬梯和脚手架等相关临时设施时，必须在征得发包人和监理人的确认后方可拆除，否则该等设施应预留以备专业承包之所需； </w:t>
      </w:r>
    </w:p>
    <w:p w14:paraId="73D9A52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f.为独立承包人提供工作所需的基准定位轴线、定位标高、主要轴线和其他定位点，并对所提供数据的准确性负责； </w:t>
      </w:r>
    </w:p>
    <w:p w14:paraId="7F1F4E7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g.为独立承包人提供施工现场临时用水的水源、电源。工程水电管线应为分包商提供至各指定位置的分配电箱和水源接口，但从该分配电箱和水源接口接出的，用于施工而使用的临时水电管线由独立承包人自行接入； </w:t>
      </w:r>
    </w:p>
    <w:p w14:paraId="738A51D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h.为独立承包人提供正常的临时照明，在公共区域，如马路、井道等处设置照明装置； </w:t>
      </w:r>
    </w:p>
    <w:p w14:paraId="38041B3C">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i.负责现场的安全保卫，对工地红线范围内作全面的看管以防盗窃及破坏，包括对工地内独立承包人的物料和工程进行看管。在独立承包人完成相应工作并将工作面移交给承包人后，承包人应采取有效的成品保护措施；</w:t>
      </w:r>
    </w:p>
    <w:p w14:paraId="70DC4A8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j.清理现场垃圾，承包人可指示独立承包人将垃圾运至现场指定位置，由承包人统一清运出场；</w:t>
      </w:r>
    </w:p>
    <w:p w14:paraId="125554B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k.在工程整体完成时，进行全面的清理，包括清洁所有独立承包人已完成的工程； </w:t>
      </w:r>
    </w:p>
    <w:p w14:paraId="6CEDE50F">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l.于工地内提供足够及合理并符合发包人要求标准的卫生设施供各独立承包人共同使用，并负责定时清理和保养直至不再需要时拆除； </w:t>
      </w:r>
    </w:p>
    <w:p w14:paraId="13A0D80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m.确保独立承包工程所含永久设备的通道之洞口尺寸适当，以确保该等设备运送不会因洞口尺寸及相隔高度不足够而产生延误及阻碍； </w:t>
      </w:r>
    </w:p>
    <w:p w14:paraId="00EBBEF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n.负责在竣工时统一收集和汇总整理独立承包人的竣工资料； </w:t>
      </w:r>
    </w:p>
    <w:p w14:paraId="622BED0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o.承包人须对独立承包人的施工安全管理负全责，承包人须设立现场安全防护、保卫及消防负责人，并对独立承包人的安全、消防工作统一管理。由于安全、消防和保卫事故给发包人带来的所有损失与责任均由承包人承担，但承包人有权追究独立承包人的相关责任； </w:t>
      </w:r>
    </w:p>
    <w:p w14:paraId="1A70AF4F">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p.负责其他承包人技术资料的签认、上报，负责组织专业分包人施工项目的质量检查和施工验收，协助其他承包人整理竣工资料，负责统一组织竣工资料备案； </w:t>
      </w:r>
    </w:p>
    <w:p w14:paraId="57DA938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q.承包人的合同价款中已包含总承包服务费，承包人不得再以任何手段、借口、理由或形式向任何独立承包人再行收取、索取、或截留与独立承包工程有关的、承包人履行本合同约定的总包管理、协调、配合、服务责任、义务、损失等其他任何费用；</w:t>
      </w:r>
    </w:p>
    <w:p w14:paraId="740BB29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r.</w:t>
      </w:r>
      <w:bookmarkStart w:id="682" w:name="_Hlk126188633"/>
      <w:r>
        <w:rPr>
          <w:rFonts w:hint="eastAsia" w:asciiTheme="minorEastAsia" w:hAnsiTheme="minorEastAsia" w:eastAsiaTheme="minorEastAsia"/>
          <w:u w:val="single" w:color="000000" w:themeColor="text1"/>
        </w:rPr>
        <w:t>承包人应每月提交劳务队伍的支付证明，未按发包人要求提供的，发包人有权暂停支付进度款且无需承担任何违约责任，同时，承包人应向发包人支付人民币10万元/次的违约金，因拖欠费用而与劳务队伍发生的债务纠纷，由承包人自行解决，由此造成的工程延误和费用增加，均由承包人承担，如因此造成发包人损失的（包括但不限于任何第三方对发包人的处罚、索赔和权利要求），承包人负责赔偿；同时发包人有权运用科学城公司信用评价体系对承包人进行评价，评价结果带来的影响由承包人自行承担。</w:t>
      </w:r>
      <w:bookmarkEnd w:id="682"/>
    </w:p>
    <w:p w14:paraId="2FBDA0E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28）承包人必须在中标通知书下达后7个日历日内提供《施工组织设计》。承包人因自身原因按照进度计划滞后一个月以上的，发包人有权要求承包人退场，承包人在接到退场通知后</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6432"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272355829" name="Group 391"/>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992491237" name="Freeform 392"/>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91" o:spid="_x0000_s1026" o:spt="203" style="position:absolute;left:0pt;margin-left:42.75pt;margin-top:70.5pt;height:701.25pt;width:0.1pt;mso-position-horizontal-relative:page;mso-position-vertical-relative:page;z-index:251666432;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B2+A8YGAMAAKAHAAAOAAAAAAAAAAEAIAAAACgBAABkcnMvZTJv&#10;RG9jLnhtbFBLBQYAAAAABgAGAFkBAACyBgAAAAA=&#10;">
                <o:lock v:ext="edit" aspectratio="f"/>
                <v:shape id="Freeform 392" o:spid="_x0000_s1026" o:spt="100" style="position:absolute;left:855;top:1410;height:14025;width:2;" fillcolor="#000000" filled="t" stroked="f" coordsize="1,14025" o:gfxdata="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lTc&#10;PMEAAADjAAAADwAAAAAAAAABACAAAAAiAAAAZHJzL2Rvd25yZXYueG1sUEsBAhQAFAAAAAgAh07i&#10;QDMvBZ47AAAAOQAAABAAAAAAAAAAAQAgAAAAEAEAAGRycy9zaGFwZXhtbC54bWxQSwUGAAAAAAYA&#10;BgBbAQAAugM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的10个日历日内退场完毕，且由承包人自行承担由此产生的一切费用； </w:t>
      </w:r>
    </w:p>
    <w:p w14:paraId="5DCAF5B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29)承包人必须无条件地完成或配合完成本工程竣工资料的整理报批工作。若工程竣工资料未能达到要求，发包人、监理人提出整改意见，承包人未能在发包人、监理人规定的时间内按要求完成整改的，视为承包人违约，并承担违约责任。 </w:t>
      </w:r>
    </w:p>
    <w:p w14:paraId="15264BB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30）开工仪式所需的临时设施和各项开工仪式的准备工作，所需费用已含在承包人的签约合同价中。 </w:t>
      </w:r>
    </w:p>
    <w:p w14:paraId="475D1B8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31)施工过程中承包人需要协调的相关事项：扰民、民扰、扬尘、城管、消防、环保等相关事宜。 </w:t>
      </w:r>
    </w:p>
    <w:p w14:paraId="45EB5AB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32）承包人应在施工期间使用扬尘噪声污染在线监测设备、实施施工现场电子屏、建立公益围挡等。以上设备需满足相关规定要求并能接入全市远程施工视频监控系统统一管理。 </w:t>
      </w:r>
    </w:p>
    <w:p w14:paraId="16E4135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33)人员管理义务： </w:t>
      </w:r>
    </w:p>
    <w:p w14:paraId="18CB3E3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承包人应采用劳务招标或其他合法方式聘用所有劳务人员，并支付报酬，安排住宿、膳食和交通。除此以外，承包人还应履行以下义务并承担相应的费用：遵守劳动法及有关法律、法规或规章中关于人工工资标准及支付、劳动时间、劳动条件等的规定。承包人应按有关管理机构的规定为本合同下的劳务人员办理任何必要的证件、许可和注册等；承包人应为本合同下的劳务人员提供适当和充分的劳动保护，包括但不限于安全保护、防寒防雨、常用药品、急救设备、传染病预防、身体检查等；承包人在合同履行过程中应严格按 照国家和北京市关于安全文明管理的相关法律、行政法规、规章以及规范性文件的规定执行，建立健全规范的安全管理制度，通过设置专职的安全管理员、加强安全培训、进行安全巡查等多种方式进行安全管理，切实防止安全事故的发生。如因承包人的原因发生人身伤亡或财产损害事故的，承包人除应承担由此给发包人造成的全部经济损失外，还应向发包人支付签约合同价10%的违约金。 </w:t>
      </w:r>
    </w:p>
    <w:p w14:paraId="24EC0F5F">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承包人应为本合同下的劳务人员提供和维护任何必要的膳宿条件和生活环境，包括但不限于：住房、围栏、供水（饮用及其他目的的用水）、供电、卫生设备、食堂及炊具、防火及灭火设备、供热、家具及其他正常膳宿条件和生活环境所需的必需品。承包人还应向其劳务人员供应足够的、价格合理的、合适的食品并应考虑宗教或民族习惯。 </w:t>
      </w:r>
    </w:p>
    <w:p w14:paraId="1DEEED6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c)本合同下特殊工种的操作人员应受过专门的培训并已取得有关管理机构规定的岗位证书。这些特殊工种包括但不限于：电工、焊工、锅炉工、塔吊司机、信号工、架子工、爆破作业人员、施工机械操作人员等。 </w:t>
      </w:r>
    </w:p>
    <w:p w14:paraId="61B6451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34）承包人禁止使用高排放非道路移动机械，必须使用符合要求的非道路移动机械，如未要求执行出现违规行为，发包人有权进行处罚，情节特别严重的，发包人将终止合同。 </w:t>
      </w:r>
    </w:p>
    <w:p w14:paraId="58EB211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35）需承包人办理的有关施工场地交通、环卫和施工噪声管理等手续</w:t>
      </w:r>
    </w:p>
    <w:p w14:paraId="2D39E41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7456"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558948881" name="Group 389"/>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319244171" name="Freeform 390"/>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89" o:spid="_x0000_s1026" o:spt="203" style="position:absolute;left:0pt;margin-left:42.75pt;margin-top:70.5pt;height:701.25pt;width:0.1pt;mso-position-horizontal-relative:page;mso-position-vertical-relative:page;z-index:251667456;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AEerOn2QAAAAoBAAAPAAAAAAAAAAEAIAAAACIAAABkcnMvZG93bnJldi54&#10;bWxQSwECFAAUAAAACACHTuJAX6l6bxYDAACeBwAADgAAAAAAAAABACAAAAAoAQAAZHJzL2Uyb0Rv&#10;Yy54bWxQSwUGAAAAAAYABgBZAQAAsAYAAAAA&#10;">
                <o:lock v:ext="edit" aspectratio="f"/>
                <v:shape id="Freeform 390" o:spid="_x0000_s1026" o:spt="100" style="position:absolute;left:855;top:1410;height:14025;width:2;" fillcolor="#000000" filled="t" stroked="f" coordsize="1,14025" o:gfxdata="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4&#10;TJILwwAAAOIAAAAPAAAAAAAAAAEAIAAAACIAAABkcnMvZG93bnJldi54bWxQSwECFAAUAAAACACH&#10;TuJAMy8FnjsAAAA5AAAAEAAAAAAAAAABACAAAAASAQAAZHJzL3NoYXBleG1sLnhtbFBLBQYAAAAA&#10;BgAGAFsBAAC8Aw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a)需要办理交通特别通行证时，由承包人办理有关手续； </w:t>
      </w:r>
    </w:p>
    <w:p w14:paraId="40F1AF3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b)施工现场需要排放有害污水时，由承包人办理有关手续； </w:t>
      </w:r>
    </w:p>
    <w:p w14:paraId="44E3BD0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c)施工噪音的控制要按照当地主管部门的规定，由承包人提出具体措施，并经监理人和发包人认可； </w:t>
      </w:r>
    </w:p>
    <w:p w14:paraId="4ACB513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d)承包人需严格遵守地方政府和有关部门对施工场地交通、施工噪声、施工现场环境卫生和场外污染等管理规定，并办理有关手续，由于承包人责任造成的罚款由承包人负责支付。 </w:t>
      </w:r>
    </w:p>
    <w:p w14:paraId="040244A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e)协调与市容、环保、交通、城管及街道等有关各方关系。 </w:t>
      </w:r>
    </w:p>
    <w:p w14:paraId="4CA4A66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36）需承包人承担的有关施工机械设备、分项工程划分、运输等方面的义务： </w:t>
      </w:r>
    </w:p>
    <w:p w14:paraId="76E59C4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机械设备：承包人在本工程所使用的机械设备，其性能指标（应满足国家及北京市相关法律、法规及相关规定要求，如各规范及标准中对同一事项规范要求不一致的，应使用专业标准较高的）、数量及进退场时间都应满足合同规定和施工进度的各项要求，否则一切后果由承包人自行承担。不能保证工程施工质量和存在不安全因素的机械设备，不允许在本工程现场使用。</w:t>
      </w:r>
    </w:p>
    <w:p w14:paraId="1700A20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b)运输：承包人对所有为实施本工程的运输（不仅指现场）负有责任。 </w:t>
      </w:r>
    </w:p>
    <w:p w14:paraId="2A2ADB2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c)工地检查标准：应符合北京市建设行政主管部门及国家和北京市传染性疾病有关的政策法规的规定。</w:t>
      </w:r>
    </w:p>
    <w:p w14:paraId="7ADC2C4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d)工地食堂就餐标准应满足相关主管部门的规定。 </w:t>
      </w:r>
    </w:p>
    <w:p w14:paraId="6E606DD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e)当承包人、发包人双方对洽商的工作量及价款有异议而未能及时解决，承包人不应以此为由而拖延施工进度，如由此给发包人造成损失，承包人应承担全部责任和全部损失，并依约承担违约责任。</w:t>
      </w:r>
    </w:p>
    <w:p w14:paraId="528A340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37)付款义务 </w:t>
      </w:r>
    </w:p>
    <w:p w14:paraId="3CEC531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安全防护、文明施工措施费，承包人应按合同条款、国家及北京市相关规定进行使用，不得挪为它用；应单独列账，账目清晰，用途明确，并备发票复印件，随时准备接受发包人及相关单位、部门的检查。安全防护、文明施工措施费用的申请及支付，应按合同条款及发包人的要求执行（包括但不限于向监理人填报相关申请支付资料）。 </w:t>
      </w:r>
    </w:p>
    <w:p w14:paraId="3CA08CE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b)承包人必须按国家规定按月足额支付劳务分包服务费，并提供支付劳务分包劳务费的发票复印件及劳务分包公司每月支付劳务工人的工资发放表（需劳务工人本人签字）。因承包人原因不按合同规定向劳务企业支付劳务费而引起群体性事件的,每发生一起，承包人应向发包人支付相应的违约金，同时，有关全部责任由承包人承担，如因此造成发包人损失的（包括但不限于任何第三方对发包人的处罚、索赔和权利要求），承包人负责赔偿。且承包人不得以发包人未支付合同价款为由，拒绝支付或拖延支付劳务工人工资。如发生承包人的雇员或农民工向发包人索要劳动报酬的情况，承包人应按发包人要求及时处理；如承包人未能按发包人要求及时处理，发包人有权从应支付给承包人的款项中扣除承包人拖欠的工资并直接支付给</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8480"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777203138" name="Group 387"/>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563538968" name="Freeform 388"/>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87" o:spid="_x0000_s1026" o:spt="203" style="position:absolute;left:0pt;margin-left:42.75pt;margin-top:70.5pt;height:701.25pt;width:0.1pt;mso-position-horizontal-relative:page;mso-position-vertical-relative:page;z-index:251668480;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BHqzp9kAAAAKAQAADwAAAAAAAAABACAAAAAiAAAAZHJzL2Rvd25yZXYu&#10;eG1sUEsBAhQAFAAAAAgAh07iQJzhZ2MXAwAAngcAAA4AAAAAAAAAAQAgAAAAKAEAAGRycy9lMm9E&#10;b2MueG1sUEsFBgAAAAAGAAYAWQEAALEGAAAAAA==&#10;">
                <o:lock v:ext="edit" aspectratio="f"/>
                <v:shape id="Freeform 388" o:spid="_x0000_s1026" o:spt="100" style="position:absolute;left:855;top:1410;height:14025;width:2;" fillcolor="#000000" filled="t" stroked="f" coordsize="1,14025" o:gfxdata="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T/I8&#10;wAAAAOIAAAAPAAAAAAAAAAEAIAAAACIAAABkcnMvZG93bnJldi54bWxQSwECFAAUAAAACACHTuJA&#10;My8FnjsAAAA5AAAAEAAAAAAAAAABACAAAAAPAQAAZHJzL3NoYXBleG1sLnhtbFBLBQYAAAAABgAG&#10;AFsBAAC5Aw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被拖欠工资的农民工。 </w:t>
      </w:r>
    </w:p>
    <w:p w14:paraId="7FB2DB0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承包人应在发包人每次付款之前按发包人要求出具等额正规的税务发票，发包人审核通过后支付相应合同价款。否则发包人有权暂不予支付任何款项且无需承担任何违约责任。但在工程结算时，若承包人以预留工程质保金形式进行结算，结算前承包人应出具结算金额的税务发票，发包人审核通过后支付结算款。在缺陷责任期满后，若在缺陷责任期内工程无缺陷，或者承包人对建设工程出现的缺陷已及时进行维修对工程质量不产生影响，或者缺陷责任期内不存在需扣除质保金的其他任何情况的，发包人按照税务发票金额无息支付质保金；若工程出现缺陷，承包人未及时维修，或维修后仍有质量问题，发包人可委托其他单位或人员进行修理，并按照实际维修费用的1.5倍扣减工程质量保证金，如质保金有剩余，发包人向承包人无息支付剩余部分，如有不足发包人有权继续向承包人追索并有权要求承包人补足质保金。承包人未提供相应金额发票的，发包人有权拒绝付款且不承担违约责任，承包人不得以此为理由拒绝履行合同义务。由于承包人原因造成发包人未按时支付款项的，由承包人承担责任,发包人不承担延期支付等相关责任。因政府资金拨付审批时间拖延，致使发包人不能及时支付款项时，发包人可以延迟相应款项的支付，该延期支付不视为发包人违约。 </w:t>
      </w:r>
    </w:p>
    <w:p w14:paraId="5148FE2C">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d)若承包人的开户银行帐号信息发生改变，承包人应在发包人付款前书面告知发包人。若因承包人提供以上银行账户信息错误或不合规，发包人有权顺延付款期限且不承担违约责任。</w:t>
      </w:r>
    </w:p>
    <w:p w14:paraId="49E3279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38)承包人应当执行发包人有关项目的质量和安全管理模式。</w:t>
      </w:r>
    </w:p>
    <w:p w14:paraId="1EE0304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39)提供交通便利：在施工期间，当原有道路系统（不论车行、人行）已无法使用、而新的道路系统未成形之前，承包人应采取临时措施维持原有道路系统（包括车行和人行）的交通，包括但不限于支搭便桥、修建临时导行道路等，并设置必要的防护和照明设施，需要时还应派人看守，以维护社会交通的便利，保障社会交通的安全。承包人不按上述要求采取措 施而导致任何人员伤亡和财产损失，其一切后果由承包人承担。对执行上述措施不力的承包人，监理工程师有权发出指令，限期修改。由此产生的费用由承包人自行承担且已包含在合同价中。 </w:t>
      </w:r>
    </w:p>
    <w:p w14:paraId="2AB5216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40)分项工程划分：承包人在签订合同协议书后28天内，应按合同规定适用的质量检验评定标准和监理工程师的要求，向监理工程师提交本合同段的分项工程划分，供监理工程师审批，否则后果自负。经监理工程师批准的分项工程清单，是分项工程完工验收、计量支付及签发分项完工证书的依据。</w:t>
      </w:r>
    </w:p>
    <w:p w14:paraId="1BBDD8D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41）其他要求： </w:t>
      </w:r>
    </w:p>
    <w:p w14:paraId="3C0876C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a）隐蔽工程完工后24小时内，承包人应通知发包人和监理人及时进行验收，经发包人和监 理人验收合格后方可进行下一道施工工序，否则，发包人有权要求承包人打开覆盖部分进行验收，由此增加的费用均由承包人承担，且每发生一次，承包人应向发包人支付人民币2万元的违约金，如违约金不足以弥补发包人所受损失的，承包人还应赔偿损失，包括但不限于律师费、诉讼费、仲裁费、公证费、鉴定费、审计费、食宿费、交通费等。 </w:t>
      </w:r>
    </w:p>
    <w:p w14:paraId="7825B54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承包人应严格按照国家和北京市关于工程建设质量管理的相关法律、法规、规章、规范性文件、规范、标准等要求执行，严格加强质量完成，做好工程的全过程质量管控，如在程施工过程中出现质量问题，承包人应及时根据发包人的要求进行修复或重作，由此增加的费用均由承包人承担，相应的工期不予顺延。 </w:t>
      </w:r>
    </w:p>
    <w:p w14:paraId="7E8953D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承包人在工程施工过程中采购的所有材料设备均应为质量合格的全新产品，不存在以假充真、以次充好，或以不合格的产品冒充合格的产品，否则，承包人应向发包人支付人民币2万元/次的违约金，如由此给发包人造成的经济损失大于违约金金额，承包人还应赔偿由此给发包人造成的经济损失，包括但不限于律师费、诉讼费、仲裁费、公证费、鉴定费、审计费、食宿费、交通费、调查费、公证费、保全费等。 </w:t>
      </w:r>
    </w:p>
    <w:p w14:paraId="1B27E27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d）如因承包人的原因导致工程无法按时完工并通过竣工验收手续，且承包人根据发包人的要求进行修复或重做后仍无法通过验收的，则发包人有权单方解除合同，发包人有权不予支付后续任何费用，且承包人除需按照合同约定就迟延完工支付违约金外还需承担后期整改的全部费用，如由此给发包人造成的经济损失大于违约金金额，承包人还应赔偿由此给发包人造成的经济损失包括，包括但不限于律师费、诉讼费、仲裁费、鉴定费、审计费、食宿费、交通费、调查费、公证费、保全费等。 </w:t>
      </w:r>
    </w:p>
    <w:p w14:paraId="077789B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e）未经发包人事先书面许可，承包人不得将本合同项下的工程进行转包或分包，否则视为承包人严重违约，发包人有权单方解除本合同，并要求承包人支付违约金。 </w:t>
      </w:r>
    </w:p>
    <w:p w14:paraId="2A065EC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f）除本合同另有约定外，如承包人在合同履行过程中存在违约情形，则每发生一次，发包人有权扣除当期进度价款的千分之一，如因此给发包人造成损失的，承包人除应按照合同约定向发包人支付违约金外，还应赔偿由此给发包人造成的全部经济损失，包括但不限于律师费、诉讼费、仲裁费、鉴定费、审计费、执行费、保全费、交通费、食宿费等。 </w:t>
      </w:r>
    </w:p>
    <w:p w14:paraId="2CCA702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42）工程变更洽商程序按发包人制定流程办理，承包人应及时实施由发包人确认并由发包人或监理人下发的各类工程指令。如承包人拒绝实施该指令或变更洽商，发包人有权暂停支付相应金额款项，直至承包人完成指令或变更洽商；如承包人拒绝实施变更的行为影响了工程总体进度或造成一定不良影响，承包人须按照专用合同条款的约定支付工期延误违约金，并赔偿给发包人造成的其他全部损失。现场发生变更或洽商时，如遇紧急情况（如抢险、现场突发事件等在2天内无法发起相关审批流程）需立即实施，承包人有责任电话通知监理单位、驻场造价咨询、发包人工程部及设计部进行旁站见证，承包人在此类洽商或变更发生后7天内发起变更洽商单，14天内补全变更洽商单，如不能按期补全资料，发包人有权按照技术洽商或变更处理，不作为经济洽商或变更，不考虑因此而增加的费用。 </w:t>
      </w:r>
    </w:p>
    <w:p w14:paraId="45F42B5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43）由于室内引入可能会释放有害物质的污染源或室内环境通风不佳而导致的室内空气污染源，涉及室内施工的均不允许打胶处理，必须采取有效的质量保证措施，提供切实可行的节</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69504"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598758700" name="Group 383"/>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440864602" name="Freeform 384"/>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83" o:spid="_x0000_s1026" o:spt="203" style="position:absolute;left:0pt;margin-left:42.75pt;margin-top:70.5pt;height:701.25pt;width:0.1pt;mso-position-horizontal-relative:page;mso-position-vertical-relative:page;z-index:251669504;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Df0j/BGAMAAKAHAAAOAAAAAAAAAAEAIAAAACgBAABkcnMvZTJv&#10;RG9jLnhtbFBLBQYAAAAABgAGAFkBAACyBgAAAAA=&#10;">
                <o:lock v:ext="edit" aspectratio="f"/>
                <v:shape id="Freeform 384" o:spid="_x0000_s1026" o:spt="100" style="position:absolute;left:855;top:1410;height:14025;width:2;" fillcolor="#000000" filled="t" stroked="f" coordsize="1,14025" o:gfxdata="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jMKs&#10;wAAAAOMAAAAPAAAAAAAAAAEAIAAAACIAAABkcnMvZG93bnJldi54bWxQSwECFAAUAAAACACHTuJA&#10;My8FnjsAAAA5AAAAEAAAAAAAAAABACAAAAAPAQAAZHJzL3NoYXBleG1sLnhtbFBLBQYAAAAABgAG&#10;AFsBAAC5Aw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点做法，提高材料交界处的施工精度。 </w:t>
      </w:r>
    </w:p>
    <w:p w14:paraId="72319DE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44)承包人因违反合同约定需承担的违约责任（包括但不限于损失赔偿费用、违约金等），发包人均有权自应付给承包人的合同金额中直接扣除。</w:t>
      </w:r>
    </w:p>
    <w:p w14:paraId="76E3E59C">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45)对于承包人明显不合理报价或明显属于不平衡报价的项目（包含措施费的报价），由发包人依据以下原则调整至合理价格：合理市场价或参照国家现行定额计价规则及相关规范，以及招标文件规定的签约合同价限定条件的下限，重新组价，最终由发包人承包人双方协商确定。依据承包人所报的施工方案，重新审定措施费。承包人无充分理由，不得拒绝发包人调整合理价格，竣工结算时将依据合理价格及计量工程量进行结算。 </w:t>
      </w:r>
    </w:p>
    <w:p w14:paraId="69F0809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46)项目建设过程中，政府建设主管部门及发包人相关部门将对本项目进行不定期的检查、 参观、现场指导（前述行为均不属于工程交付/使用），承包人应按照发包人的要求在承包人的施工区域设置指示标志、组织活动、完成施工现场道路、场地清理、接待等相关配合工作，做好安全防护及文明施工措施，承包人现场使用的重要劳动防护用品(安全帽、安全网、安全带、电箱、漏电保护品、扣件临电电缆等)应符合国家及当地政府的相关规定，且须严格按发包人要求执行，否则发包人有权停止不符合要求的产品在工地使用。劳务公司使用的电箱必须由承包人统一提供，杜绝不合格电箱进入施工现场。由此产生的相关费用由承包人承但，在施工过程中以及结算时，不会因为上述原因进行价款的调整。 </w:t>
      </w:r>
    </w:p>
    <w:p w14:paraId="04A5CDB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47）</w:t>
      </w:r>
      <w:bookmarkStart w:id="683" w:name="_Hlk126191331"/>
      <w:r>
        <w:rPr>
          <w:rFonts w:hint="eastAsia" w:asciiTheme="minorEastAsia" w:hAnsiTheme="minorEastAsia" w:eastAsiaTheme="minorEastAsia"/>
          <w:u w:val="single" w:color="000000" w:themeColor="text1"/>
        </w:rPr>
        <w:t>承包人需设立监管账户，承包人应专款存储，专款专用。发包人有权对支付给承包人的工程款到位、管理、使用以及其他有关情况进行检查，承包人有义务予以配合并如实提供相关资料和情况。检查中发现的问题，承包人应立即进行纠正。项目施工期间发包人支付的工程款只限于本工程使用，发包人有权对工程款的使用情况进行监督及控制，如发现承包人挪用工程款，发包人将有权暂停支付后续工程款，待承包人收回挪用工程款后，再行支付，并有权对承包人给予相应的经济处罚。</w:t>
      </w:r>
      <w:bookmarkEnd w:id="683"/>
    </w:p>
    <w:p w14:paraId="108D852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48）承包人在工程施工中拖延工期，监理人认为工程进度过慢，无法确保工程按规定的时间完成时，监理人向承包人发出要求加快进度的通知后，承包人应立即采取必要的措施，加快工程进度，确保工程按期完成；如未按照监理人发出的通知加快工期进度的，发包人有权对承包人进行处罚。</w:t>
      </w:r>
    </w:p>
    <w:p w14:paraId="7887246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49）</w:t>
      </w:r>
      <w:bookmarkStart w:id="684" w:name="_Hlk126191877"/>
      <w:r>
        <w:rPr>
          <w:rFonts w:hint="eastAsia" w:asciiTheme="minorEastAsia" w:hAnsiTheme="minorEastAsia" w:eastAsiaTheme="minorEastAsia"/>
          <w:u w:val="single" w:color="000000" w:themeColor="text1"/>
        </w:rPr>
        <w:t>由于承包人原因出现质量、安全事故或未足额支付农民工工资发生的农民工群体上访事件等其它问题，对发包人的形象及声誉产生负面影响的，发包人有权要求承包人支付相应的违约金。</w:t>
      </w:r>
      <w:bookmarkEnd w:id="684"/>
    </w:p>
    <w:p w14:paraId="59F6D0D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50）全部进场材料除满足发包人指定要求外，必须达到合格标准、单证齐全，要求复验的必须复验合格。未经监理单位、发包人书面认可导致材料采购后需要变更材料产生的费用，由承包人自行承担，结算时不予调整。所有材料设备施工前，必须经监理单位、发包人认可，并符合北京市建设主管部门及相关政府专业管理部门要求方可施工。承包人未按约定的品牌或同等档次采购材料，承包人承担由此造成的一切后果，并按照所应采购材料金额的百分之二十承担违约金。但经发包人或监理人的认可皆不会减轻或免除承包人按照合同文件而承担的责任。</w:t>
      </w:r>
    </w:p>
    <w:p w14:paraId="4C0E598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51）若发包人未及时向承包人支付进度款时，承包人不得因此拖延工期，因此发生的费用含在签约合同价中，该延期支付不能视为发包人违约。</w:t>
      </w:r>
    </w:p>
    <w:p w14:paraId="5A3C110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52）消防改造工程完成后，乙方需将改造范围内的设备设施接入原有消防中控系统，并负责编码、调试等工作直至系统运转正常。</w:t>
      </w:r>
    </w:p>
    <w:p w14:paraId="7582E2E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53)上述所有承包人为承担责任或义务所发生的费用，均包括在签约合同价中。</w:t>
      </w:r>
    </w:p>
    <w:p w14:paraId="7CCBE5DC">
      <w:pPr>
        <w:pStyle w:val="17"/>
        <w:tabs>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4.2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履约担保</w:t>
      </w:r>
    </w:p>
    <w:p w14:paraId="3B771FCB">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4.2.1 承包人履约担保的格式和金额</w:t>
      </w:r>
      <w:r>
        <w:rPr>
          <w:rFonts w:hint="eastAsia" w:cs="宋体" w:asciiTheme="minorEastAsia" w:hAnsiTheme="minorEastAsia" w:eastAsiaTheme="minorEastAsia"/>
          <w:w w:val="99"/>
          <w:sz w:val="24"/>
          <w:u w:color="000000" w:themeColor="text1"/>
        </w:rPr>
        <w:t xml:space="preserve"> </w:t>
      </w:r>
    </w:p>
    <w:p w14:paraId="0F8FD127">
      <w:pPr>
        <w:adjustRightInd w:val="0"/>
        <w:snapToGrid w:val="0"/>
        <w:spacing w:line="360" w:lineRule="auto"/>
        <w:ind w:firstLine="416"/>
        <w:jc w:val="left"/>
        <w:rPr>
          <w:rFonts w:hint="eastAsia" w:cs="宋体" w:asciiTheme="minorEastAsia" w:hAnsiTheme="minorEastAsia" w:eastAsiaTheme="minorEastAsia"/>
          <w:w w:val="95"/>
          <w:sz w:val="24"/>
          <w:u w:color="000000" w:themeColor="text1"/>
        </w:rPr>
      </w:pPr>
      <w:r>
        <w:rPr>
          <w:rFonts w:hint="eastAsia" w:cs="宋体" w:asciiTheme="minorEastAsia" w:hAnsiTheme="minorEastAsia" w:eastAsiaTheme="minorEastAsia"/>
          <w:w w:val="95"/>
          <w:sz w:val="24"/>
          <w:u w:color="000000" w:themeColor="text1"/>
        </w:rPr>
        <w:t>发包人</w:t>
      </w:r>
      <w:r>
        <w:rPr>
          <w:rFonts w:hint="eastAsia" w:cs="宋体" w:asciiTheme="minorEastAsia" w:hAnsiTheme="minorEastAsia" w:eastAsiaTheme="minorEastAsia"/>
          <w:w w:val="95"/>
          <w:sz w:val="24"/>
          <w:u w:val="single" w:color="000000" w:themeColor="text1"/>
        </w:rPr>
        <w:t>不要求</w:t>
      </w:r>
      <w:r>
        <w:rPr>
          <w:rFonts w:hint="eastAsia" w:cs="宋体" w:asciiTheme="minorEastAsia" w:hAnsiTheme="minorEastAsia" w:eastAsiaTheme="minorEastAsia"/>
          <w:w w:val="95"/>
          <w:sz w:val="24"/>
          <w:u w:color="000000" w:themeColor="text1"/>
        </w:rPr>
        <w:t>（要求/不要求）承包人提供承包人履约担保。</w:t>
      </w:r>
    </w:p>
    <w:p w14:paraId="7601E04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承包人履约担保的金额为</w:t>
      </w:r>
      <w:r>
        <w:rPr>
          <w:rFonts w:hint="eastAsia" w:cs="宋体" w:asciiTheme="minorEastAsia" w:hAnsiTheme="minorEastAsia" w:eastAsiaTheme="minorEastAsia"/>
          <w:sz w:val="24"/>
          <w:u w:val="single" w:color="000000" w:themeColor="text1"/>
        </w:rPr>
        <w:t>/</w:t>
      </w:r>
    </w:p>
    <w:p w14:paraId="2A3ADCF8">
      <w:pPr>
        <w:pStyle w:val="17"/>
        <w:tabs>
          <w:tab w:val="left" w:pos="1043"/>
          <w:tab w:val="clear" w:pos="567"/>
        </w:tabs>
        <w:adjustRightInd w:val="0"/>
        <w:snapToGrid w:val="0"/>
        <w:spacing w:before="0" w:line="360" w:lineRule="auto"/>
        <w:ind w:firstLine="42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4.11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不利物质条件</w:t>
      </w:r>
    </w:p>
    <w:p w14:paraId="57C051F1">
      <w:pPr>
        <w:tabs>
          <w:tab w:val="left" w:pos="128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4.11.1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不利物质条件的范围：</w:t>
      </w:r>
      <w:r>
        <w:rPr>
          <w:rFonts w:hint="eastAsia" w:asciiTheme="minorEastAsia" w:hAnsiTheme="minorEastAsia" w:eastAsiaTheme="minorEastAsia"/>
          <w:sz w:val="24"/>
          <w:u w:val="single"/>
        </w:rPr>
        <w:t>/</w:t>
      </w:r>
    </w:p>
    <w:p w14:paraId="58228BDB">
      <w:pPr>
        <w:pStyle w:val="6"/>
        <w:spacing w:before="0" w:after="0" w:line="360" w:lineRule="auto"/>
        <w:rPr>
          <w:sz w:val="24"/>
          <w:szCs w:val="24"/>
          <w:u w:color="000000" w:themeColor="text1"/>
        </w:rPr>
      </w:pPr>
      <w:r>
        <w:rPr>
          <w:rFonts w:hint="eastAsia"/>
          <w:sz w:val="24"/>
          <w:szCs w:val="24"/>
          <w:u w:color="000000" w:themeColor="text1"/>
        </w:rPr>
        <w:t>5.材料</w:t>
      </w:r>
    </w:p>
    <w:p w14:paraId="7A272B99">
      <w:pPr>
        <w:pStyle w:val="17"/>
        <w:tabs>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5.1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承包人提供的材料</w:t>
      </w:r>
    </w:p>
    <w:p w14:paraId="12E5445A">
      <w:pPr>
        <w:tabs>
          <w:tab w:val="left" w:pos="1043"/>
        </w:tabs>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5.1.2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承包人将由其提供的材料的供货人和品种、规格、数量及供货时间等报送监理人审批的期限：</w:t>
      </w:r>
      <w:r>
        <w:rPr>
          <w:rFonts w:hint="eastAsia" w:cs="宋体" w:asciiTheme="minorEastAsia" w:hAnsiTheme="minorEastAsia" w:eastAsiaTheme="minorEastAsia"/>
          <w:sz w:val="24"/>
          <w:u w:val="single" w:color="000000" w:themeColor="text1"/>
        </w:rPr>
        <w:t>合同签订后7日内。</w:t>
      </w:r>
    </w:p>
    <w:p w14:paraId="58B6BEE0">
      <w:pPr>
        <w:pStyle w:val="253"/>
        <w:spacing w:before="0" w:line="360" w:lineRule="auto"/>
        <w:ind w:firstLine="240" w:firstLineChars="100"/>
        <w:rPr>
          <w:rFonts w:hint="eastAsia" w:cs="宋体" w:asciiTheme="minorEastAsia" w:hAnsiTheme="minorEastAsia" w:eastAsiaTheme="minorEastAsia"/>
          <w:snapToGrid/>
          <w:kern w:val="2"/>
          <w:u w:color="000000" w:themeColor="text1"/>
        </w:rPr>
      </w:pPr>
      <w:r>
        <w:rPr>
          <w:rFonts w:hint="eastAsia" w:cs="宋体" w:asciiTheme="minorEastAsia" w:hAnsiTheme="minorEastAsia" w:eastAsiaTheme="minorEastAsia"/>
          <w:snapToGrid/>
          <w:kern w:val="2"/>
          <w:u w:color="000000" w:themeColor="text1"/>
        </w:rPr>
        <w:t>5.2  发包人提供的材料</w:t>
      </w:r>
    </w:p>
    <w:p w14:paraId="2ED71558">
      <w:pPr>
        <w:spacing w:line="360" w:lineRule="auto"/>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5.2.7</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因承包人原因引起发包人提供的材料的实际领用数量超过</w:t>
      </w:r>
      <w:r>
        <w:rPr>
          <w:rFonts w:hint="eastAsia" w:cs="宋体" w:asciiTheme="minorEastAsia" w:hAnsiTheme="minorEastAsia" w:eastAsiaTheme="minorEastAsia"/>
          <w:sz w:val="24"/>
          <w:u w:val="single"/>
        </w:rPr>
        <w:t>按图纸计算的实际数量</w:t>
      </w:r>
      <w:r>
        <w:rPr>
          <w:rFonts w:hint="eastAsia" w:cs="宋体" w:asciiTheme="minorEastAsia" w:hAnsiTheme="minorEastAsia" w:eastAsiaTheme="minorEastAsia"/>
          <w:sz w:val="24"/>
          <w:u w:color="000000" w:themeColor="text1"/>
        </w:rPr>
        <w:t>（适用于采用单价合同形式）及材料有效损耗时，超出部分的材料费用由承包人承担。</w:t>
      </w:r>
    </w:p>
    <w:p w14:paraId="5E58CEA8">
      <w:pPr>
        <w:pStyle w:val="253"/>
        <w:spacing w:before="0" w:line="360" w:lineRule="auto"/>
        <w:rPr>
          <w:rFonts w:hint="eastAsia" w:cs="宋体" w:asciiTheme="minorEastAsia" w:hAnsiTheme="minorEastAsia" w:eastAsiaTheme="minorEastAsia"/>
          <w:snapToGrid/>
          <w:kern w:val="2"/>
          <w:u w:color="000000" w:themeColor="text1"/>
        </w:rPr>
      </w:pPr>
      <w:r>
        <w:rPr>
          <w:rFonts w:hint="eastAsia" w:cs="宋体" w:asciiTheme="minorEastAsia" w:hAnsiTheme="minorEastAsia" w:eastAsiaTheme="minorEastAsia"/>
          <w:snapToGrid/>
          <w:kern w:val="2"/>
          <w:u w:color="000000" w:themeColor="text1"/>
        </w:rPr>
        <w:t>材料有效损耗=按上述约定计算的数量×“ 附件四：发包人提供的材料一览表 ”中</w:t>
      </w:r>
    </w:p>
    <w:p w14:paraId="7809293C">
      <w:pPr>
        <w:pStyle w:val="253"/>
        <w:spacing w:before="0" w:line="360" w:lineRule="auto"/>
        <w:rPr>
          <w:rFonts w:hint="eastAsia" w:cs="宋体" w:asciiTheme="minorEastAsia" w:hAnsiTheme="minorEastAsia" w:eastAsiaTheme="minorEastAsia"/>
          <w:snapToGrid/>
          <w:kern w:val="2"/>
          <w:u w:color="000000" w:themeColor="text1"/>
        </w:rPr>
      </w:pPr>
      <w:r>
        <w:rPr>
          <w:rFonts w:hint="eastAsia" w:cs="宋体" w:asciiTheme="minorEastAsia" w:hAnsiTheme="minorEastAsia" w:eastAsiaTheme="minorEastAsia"/>
          <w:snapToGrid/>
          <w:kern w:val="2"/>
          <w:u w:color="000000" w:themeColor="text1"/>
        </w:rPr>
        <w:t>对应的有效损耗率。</w:t>
      </w:r>
    </w:p>
    <w:p w14:paraId="576E0EA4">
      <w:pPr>
        <w:pStyle w:val="6"/>
        <w:spacing w:before="0" w:after="0" w:line="360" w:lineRule="auto"/>
        <w:rPr>
          <w:sz w:val="24"/>
          <w:szCs w:val="24"/>
          <w:u w:color="000000" w:themeColor="text1"/>
        </w:rPr>
      </w:pPr>
      <w:r>
        <w:rPr>
          <w:rFonts w:hint="eastAsia"/>
          <w:sz w:val="24"/>
          <w:szCs w:val="24"/>
          <w:u w:color="000000" w:themeColor="text1"/>
        </w:rPr>
        <w:t>6.施工设备和临时设施</w:t>
      </w:r>
    </w:p>
    <w:p w14:paraId="21036991">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6.1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承包人提供的施工设备和临时设施</w:t>
      </w:r>
    </w:p>
    <w:p w14:paraId="1C247142">
      <w:pPr>
        <w:tabs>
          <w:tab w:val="left" w:pos="1178"/>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6.1.2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承包人承担自行修建临时设施费用的范围：</w:t>
      </w:r>
      <w:r>
        <w:rPr>
          <w:rFonts w:hint="eastAsia" w:cs="宋体" w:asciiTheme="minorEastAsia" w:hAnsiTheme="minorEastAsia" w:eastAsiaTheme="minorEastAsia"/>
          <w:sz w:val="24"/>
          <w:u w:val="single" w:color="000000" w:themeColor="text1"/>
        </w:rPr>
        <w:t>由承包人承担，发包人已将相关费用纳入合同价格中。</w:t>
      </w:r>
      <w:r>
        <w:rPr>
          <w:rFonts w:hint="eastAsia" w:cs="宋体" w:asciiTheme="minorEastAsia" w:hAnsiTheme="minorEastAsia" w:eastAsiaTheme="minorEastAsia"/>
          <w:w w:val="99"/>
          <w:sz w:val="24"/>
          <w:u w:color="000000" w:themeColor="text1"/>
        </w:rPr>
        <w:t xml:space="preserve"> </w:t>
      </w:r>
    </w:p>
    <w:p w14:paraId="0869DDA4">
      <w:pPr>
        <w:tabs>
          <w:tab w:val="left" w:pos="1809"/>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发包人办理申请手续并承担相关费用的临时占地：</w:t>
      </w:r>
      <w:r>
        <w:rPr>
          <w:rFonts w:hint="eastAsia" w:asciiTheme="minorEastAsia" w:hAnsiTheme="minorEastAsia" w:eastAsiaTheme="minorEastAsia"/>
          <w:sz w:val="24"/>
          <w:u w:color="000000" w:themeColor="text1"/>
        </w:rPr>
        <w:t>/</w:t>
      </w:r>
    </w:p>
    <w:p w14:paraId="747C8123">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6.2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发包人提供的施工设备和临时设施</w:t>
      </w:r>
    </w:p>
    <w:p w14:paraId="4CF8593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发包人提供的施工设备和临时设施：</w:t>
      </w:r>
      <w:r>
        <w:rPr>
          <w:rFonts w:hint="eastAsia" w:cs="宋体" w:asciiTheme="minorEastAsia" w:hAnsiTheme="minorEastAsia" w:eastAsiaTheme="minorEastAsia"/>
          <w:sz w:val="24"/>
          <w:u w:val="single" w:color="000000" w:themeColor="text1"/>
        </w:rPr>
        <w:t>/</w:t>
      </w:r>
      <w:r>
        <w:rPr>
          <w:rFonts w:hint="eastAsia" w:cs="宋体" w:asciiTheme="minorEastAsia" w:hAnsiTheme="minorEastAsia" w:eastAsiaTheme="minorEastAsia"/>
          <w:sz w:val="24"/>
          <w:u w:color="000000" w:themeColor="text1"/>
        </w:rPr>
        <w:t xml:space="preserve"> </w:t>
      </w:r>
    </w:p>
    <w:p w14:paraId="21163C29">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发包人提供的施工设备和临时设施的运行、维护、拆除、清运费用的承担人：</w:t>
      </w:r>
      <w:r>
        <w:rPr>
          <w:rFonts w:hint="eastAsia" w:cs="宋体" w:asciiTheme="minorEastAsia" w:hAnsiTheme="minorEastAsia" w:eastAsiaTheme="minorEastAsia"/>
          <w:sz w:val="24"/>
          <w:u w:val="single" w:color="000000" w:themeColor="text1"/>
        </w:rPr>
        <w:t>承包人</w:t>
      </w:r>
    </w:p>
    <w:p w14:paraId="0AE593BF">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7.交通运输</w:t>
      </w:r>
    </w:p>
    <w:p w14:paraId="456FCB2E">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7.1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道路通行权和场外设施</w:t>
      </w:r>
    </w:p>
    <w:p w14:paraId="735BA8B2">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负责取得道路通行权、场外设施修建权的办理人:</w:t>
      </w:r>
      <w:r>
        <w:rPr>
          <w:rFonts w:hint="eastAsia" w:cs="宋体" w:asciiTheme="minorEastAsia" w:hAnsiTheme="minorEastAsia" w:eastAsiaTheme="minorEastAsia"/>
          <w:sz w:val="24"/>
          <w:u w:val="single" w:color="000000" w:themeColor="text1"/>
        </w:rPr>
        <w:t>承包人</w:t>
      </w:r>
      <w:r>
        <w:rPr>
          <w:rFonts w:hint="eastAsia" w:cs="宋体" w:asciiTheme="minorEastAsia" w:hAnsiTheme="minorEastAsia" w:eastAsiaTheme="minorEastAsia"/>
          <w:sz w:val="24"/>
          <w:u w:color="000000" w:themeColor="text1"/>
        </w:rPr>
        <w:t>，其相关费用由发包人承担。</w:t>
      </w:r>
    </w:p>
    <w:p w14:paraId="22D23C4D">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7.2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场内施工道路</w:t>
      </w:r>
    </w:p>
    <w:p w14:paraId="01A5A402">
      <w:pPr>
        <w:tabs>
          <w:tab w:val="left" w:pos="2214"/>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70528"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759708864" name="Group 379"/>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422292465" name="Freeform 380"/>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79" o:spid="_x0000_s1026" o:spt="203" style="position:absolute;left:0pt;margin-left:42.75pt;margin-top:70.5pt;height:701.25pt;width:0.1pt;mso-position-horizontal-relative:page;mso-position-vertical-relative:page;z-index:251670528;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BHqzp9kAAAAKAQAADwAAAAAAAAABACAAAAAiAAAAZHJzL2Rvd25y&#10;ZXYueG1sUEsBAhQAFAAAAAgAh07iQPIyDVYaAwAAnwcAAA4AAAAAAAAAAQAgAAAAKAEAAGRycy9l&#10;Mm9Eb2MueG1sUEsFBgAAAAAGAAYAWQEAALQGAAAAAA==&#10;">
                <o:lock v:ext="edit" aspectratio="f"/>
                <v:shape id="Freeform 380" o:spid="_x0000_s1026" o:spt="100" style="position:absolute;left:855;top:1410;height:14025;width:2;" fillcolor="#000000" filled="t" stroked="f" coordsize="1,14025" o:gfxdata="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AXUxcQAAADiAAAADwAAAAAAAAABACAAAAAiAAAAZHJzL2Rvd25yZXYueG1sUEsBAhQAFAAAAAgA&#10;h07iQDMvBZ47AAAAOQAAABAAAAAAAAAAAQAgAAAAEwEAAGRycy9zaGFwZXhtbC54bWxQSwUGAAAA&#10;AAYABgBbAQAAvQMAAAAA&#10;" path="m0,0l0,14025,0,0xe">
                  <v:path o:connectlocs="0,1410;0,15435;0,1410" o:connectangles="0,0,0"/>
                  <v:fill on="t" focussize="0,0"/>
                  <v:stroke on="f"/>
                  <v:imagedata o:title=""/>
                  <o:lock v:ext="edit" aspectratio="f"/>
                </v:shape>
              </v:group>
            </w:pict>
          </mc:Fallback>
        </mc:AlternateContent>
      </w:r>
      <w:r>
        <w:rPr>
          <w:rFonts w:hint="eastAsia" w:cs="宋体" w:asciiTheme="minorEastAsia" w:hAnsiTheme="minorEastAsia" w:eastAsiaTheme="minorEastAsia"/>
          <w:sz w:val="24"/>
          <w:u w:color="000000" w:themeColor="text1"/>
        </w:rPr>
        <w:t>7.2.1 施工所需的场内临时道路和交通设施的修建、维护、养护和管理人</w:t>
      </w:r>
      <w:r>
        <w:rPr>
          <w:rFonts w:hint="eastAsia" w:ascii="宋体" w:hAnsi="宋体" w:cs="宋体"/>
          <w:sz w:val="24"/>
          <w:u w:color="000000" w:themeColor="text1"/>
        </w:rPr>
        <w:t>：</w:t>
      </w:r>
      <w:r>
        <w:rPr>
          <w:rFonts w:hint="eastAsia" w:ascii="宋体" w:hAnsi="宋体" w:cs="宋体"/>
          <w:w w:val="95"/>
          <w:sz w:val="24"/>
          <w:u w:val="single" w:color="000000" w:themeColor="text1"/>
        </w:rPr>
        <w:t>承包人</w:t>
      </w:r>
      <w:r>
        <w:rPr>
          <w:rFonts w:hint="eastAsia" w:cs="宋体" w:asciiTheme="minorEastAsia" w:hAnsiTheme="minorEastAsia" w:eastAsiaTheme="minorEastAsia"/>
          <w:w w:val="95"/>
          <w:sz w:val="24"/>
          <w:u w:color="000000" w:themeColor="text1"/>
        </w:rPr>
        <w:t>，相关费用</w:t>
      </w:r>
      <w:r>
        <w:rPr>
          <w:rFonts w:hint="eastAsia" w:cs="宋体" w:asciiTheme="minorEastAsia" w:hAnsiTheme="minorEastAsia" w:eastAsiaTheme="minorEastAsia"/>
          <w:w w:val="99"/>
          <w:sz w:val="24"/>
          <w:u w:color="000000" w:themeColor="text1"/>
        </w:rPr>
        <w:t xml:space="preserve"> </w:t>
      </w:r>
      <w:r>
        <w:rPr>
          <w:rFonts w:hint="eastAsia" w:cs="宋体" w:asciiTheme="minorEastAsia" w:hAnsiTheme="minorEastAsia" w:eastAsiaTheme="minorEastAsia"/>
          <w:sz w:val="24"/>
          <w:u w:color="000000" w:themeColor="text1"/>
        </w:rPr>
        <w:t>由</w:t>
      </w:r>
      <w:r>
        <w:rPr>
          <w:rFonts w:hint="eastAsia" w:cs="宋体" w:asciiTheme="minorEastAsia" w:hAnsiTheme="minorEastAsia" w:eastAsiaTheme="minorEastAsia"/>
          <w:sz w:val="24"/>
          <w:u w:val="single" w:color="000000" w:themeColor="text1"/>
        </w:rPr>
        <w:t>承包人</w:t>
      </w:r>
      <w:r>
        <w:rPr>
          <w:rFonts w:hint="eastAsia" w:cs="宋体" w:asciiTheme="minorEastAsia" w:hAnsiTheme="minorEastAsia" w:eastAsiaTheme="minorEastAsia"/>
          <w:sz w:val="24"/>
          <w:u w:color="000000" w:themeColor="text1"/>
        </w:rPr>
        <w:t>承担。</w:t>
      </w:r>
    </w:p>
    <w:p w14:paraId="1C7DA781">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7.4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超大件和超重件的运输</w:t>
      </w:r>
    </w:p>
    <w:p w14:paraId="3B0BC810">
      <w:pPr>
        <w:adjustRightInd w:val="0"/>
        <w:snapToGrid w:val="0"/>
        <w:spacing w:line="360" w:lineRule="auto"/>
        <w:jc w:val="left"/>
        <w:rPr>
          <w:rFonts w:hint="eastAsia"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运输超大件或超重件所需的道路和桥梁临时加固改造等费用的承担人：</w:t>
      </w:r>
      <w:r>
        <w:rPr>
          <w:rFonts w:hint="eastAsia" w:asciiTheme="minorEastAsia" w:hAnsiTheme="minorEastAsia" w:eastAsiaTheme="minorEastAsia"/>
          <w:sz w:val="24"/>
          <w:u w:val="single" w:color="000000" w:themeColor="text1"/>
        </w:rPr>
        <w:t>承包人</w:t>
      </w:r>
    </w:p>
    <w:p w14:paraId="4520FD5E">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asciiTheme="minorEastAsia" w:hAnsiTheme="minorEastAsia" w:eastAsiaTheme="minorEastAsia"/>
          <w:sz w:val="24"/>
          <w:u w:color="000000" w:themeColor="text1"/>
        </w:rPr>
        <w:t>8.测量放线</w:t>
      </w:r>
    </w:p>
    <w:p w14:paraId="28919165">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8.1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施工控制网</w:t>
      </w:r>
    </w:p>
    <w:p w14:paraId="68E0D708">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8.1.1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发包人通过监理人提供测量基准点、基准线和水准点及其书面资料的期限：</w:t>
      </w:r>
    </w:p>
    <w:p w14:paraId="29CDB5F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开工通知书中确定的开工时间前7日内。</w:t>
      </w:r>
    </w:p>
    <w:p w14:paraId="414E3B7A">
      <w:pPr>
        <w:tabs>
          <w:tab w:val="left" w:pos="1178"/>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8.1.2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承包人测设施工控制网的其他要求：</w:t>
      </w:r>
    </w:p>
    <w:p w14:paraId="4E4AD45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须满足政府管理部门各项规定、国家工程测量技术规范要求及工程施工需要。承包人在对发包人提供的水准点与坐标控制点进行交验后，应做好水准点与坐标控制点的保护工作，承包人对水准点与坐标控制点保护不善，需发包人重新测量时，所发生的费用从承包人工程款中直接扣除。承包人应保证工程各部分的位置、标高、尺寸和基准线的正确性。监理人对放线和标高的检查，绝不意味着解除承包人对放线定位的任何责任。</w:t>
      </w:r>
    </w:p>
    <w:p w14:paraId="62C8C03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承包人将施工控制网资料报送监理人审批的期限：</w:t>
      </w:r>
      <w:r>
        <w:rPr>
          <w:rFonts w:hint="eastAsia" w:asciiTheme="minorEastAsia" w:hAnsiTheme="minorEastAsia" w:eastAsiaTheme="minorEastAsia"/>
          <w:sz w:val="24"/>
          <w:u w:val="single" w:color="000000" w:themeColor="text1"/>
        </w:rPr>
        <w:t>发出的开工通知后7天内</w:t>
      </w:r>
    </w:p>
    <w:p w14:paraId="3E8F7DD8">
      <w:pPr>
        <w:pStyle w:val="6"/>
        <w:spacing w:before="0" w:after="0" w:line="360" w:lineRule="auto"/>
        <w:rPr>
          <w:sz w:val="24"/>
          <w:szCs w:val="24"/>
          <w:u w:color="000000" w:themeColor="text1"/>
        </w:rPr>
      </w:pPr>
      <w:r>
        <w:rPr>
          <w:rFonts w:hint="eastAsia"/>
          <w:sz w:val="24"/>
          <w:szCs w:val="24"/>
          <w:u w:color="000000" w:themeColor="text1"/>
        </w:rPr>
        <w:t>9.施工安全、治安保卫和环境保护</w:t>
      </w:r>
    </w:p>
    <w:p w14:paraId="4C7D58A3">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9.2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承包人的施工安全责任</w:t>
      </w:r>
    </w:p>
    <w:p w14:paraId="72914D99">
      <w:pPr>
        <w:tabs>
          <w:tab w:val="left" w:pos="1178"/>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9.2.1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承包人向监理人报送施工安全措施计划的期限：</w:t>
      </w:r>
      <w:r>
        <w:rPr>
          <w:rFonts w:hint="eastAsia" w:cs="宋体" w:asciiTheme="minorEastAsia" w:hAnsiTheme="minorEastAsia" w:eastAsiaTheme="minorEastAsia"/>
          <w:w w:val="99"/>
          <w:sz w:val="24"/>
          <w:u w:color="000000" w:themeColor="text1"/>
        </w:rPr>
        <w:t xml:space="preserve"> </w:t>
      </w:r>
    </w:p>
    <w:p w14:paraId="5D7AD0B0">
      <w:pPr>
        <w:tabs>
          <w:tab w:val="left" w:pos="1809"/>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val="single" w:color="000000" w:themeColor="text1"/>
        </w:rPr>
        <w:t>在收到监理人发出的开工通知后7天内</w:t>
      </w:r>
      <w:r>
        <w:rPr>
          <w:rFonts w:hint="eastAsia" w:cs="宋体" w:asciiTheme="minorEastAsia" w:hAnsiTheme="minorEastAsia" w:eastAsiaTheme="minorEastAsia"/>
          <w:w w:val="99"/>
          <w:sz w:val="24"/>
          <w:u w:color="000000" w:themeColor="text1"/>
        </w:rPr>
        <w:t xml:space="preserve"> </w:t>
      </w:r>
    </w:p>
    <w:p w14:paraId="29E5A7FD">
      <w:pPr>
        <w:tabs>
          <w:tab w:val="left" w:pos="1809"/>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监理人收到承包人报送的施工安全措施计划后应当在</w:t>
      </w:r>
      <w:r>
        <w:rPr>
          <w:rFonts w:hint="eastAsia" w:cs="宋体" w:asciiTheme="minorEastAsia" w:hAnsiTheme="minorEastAsia" w:eastAsiaTheme="minorEastAsia"/>
          <w:sz w:val="24"/>
          <w:u w:val="single"/>
        </w:rPr>
        <w:t>7</w:t>
      </w:r>
      <w:r>
        <w:rPr>
          <w:rFonts w:hint="eastAsia" w:cs="宋体" w:asciiTheme="minorEastAsia" w:hAnsiTheme="minorEastAsia" w:eastAsiaTheme="minorEastAsia"/>
          <w:sz w:val="24"/>
          <w:u w:color="000000" w:themeColor="text1"/>
        </w:rPr>
        <w:t>天内给予批复。</w:t>
      </w:r>
    </w:p>
    <w:p w14:paraId="1CE17F8F">
      <w:pPr>
        <w:pStyle w:val="17"/>
        <w:tabs>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9.3 治安保卫</w:t>
      </w:r>
    </w:p>
    <w:p w14:paraId="69DAF6FD">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9.3.3</w:t>
      </w:r>
      <w:r>
        <w:rPr>
          <w:rFonts w:hint="eastAsia" w:cs="宋体" w:asciiTheme="minorEastAsia" w:hAnsiTheme="minorEastAsia" w:eastAsiaTheme="minorEastAsia"/>
          <w:spacing w:val="-24"/>
          <w:sz w:val="24"/>
          <w:u w:color="000000" w:themeColor="text1"/>
        </w:rPr>
        <w:t xml:space="preserve"> </w:t>
      </w:r>
      <w:r>
        <w:rPr>
          <w:rFonts w:hint="eastAsia" w:cs="宋体" w:asciiTheme="minorEastAsia" w:hAnsiTheme="minorEastAsia" w:eastAsiaTheme="minorEastAsia"/>
          <w:sz w:val="24"/>
          <w:u w:color="000000" w:themeColor="text1"/>
        </w:rPr>
        <w:t>制定施工场地治安管理计划和突发治安事件紧急预案的责任人：</w:t>
      </w:r>
      <w:r>
        <w:rPr>
          <w:rFonts w:hint="eastAsia" w:asciiTheme="minorEastAsia" w:hAnsiTheme="minorEastAsia" w:eastAsiaTheme="minorEastAsia"/>
          <w:sz w:val="24"/>
          <w:u w:val="single" w:color="000000" w:themeColor="text1"/>
        </w:rPr>
        <w:t>承包人</w:t>
      </w: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71552"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779501861" name="Group 377"/>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820384234" name="Freeform 378"/>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77" o:spid="_x0000_s1026" o:spt="203" style="position:absolute;left:0pt;margin-left:42.75pt;margin-top:70.5pt;height:701.25pt;width:0.1pt;mso-position-horizontal-relative:page;mso-position-vertical-relative:page;z-index:251671552;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ACRhikGAMAAKAHAAAOAAAAAAAAAAEAIAAAACgBAABkcnMvZTJv&#10;RG9jLnhtbFBLBQYAAAAABgAGAFkBAACyBgAAAAA=&#10;">
                <o:lock v:ext="edit" aspectratio="f"/>
                <v:shape id="Freeform 378" o:spid="_x0000_s1026" o:spt="100" style="position:absolute;left:855;top:1410;height:14025;width:2;" fillcolor="#000000" filled="t" stroked="f" coordsize="1,14025" o:gfxdata="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h57&#10;PMEAAADjAAAADwAAAAAAAAABACAAAAAiAAAAZHJzL2Rvd25yZXYueG1sUEsBAhQAFAAAAAgAh07i&#10;QDMvBZ47AAAAOQAAABAAAAAAAAAAAQAgAAAAEAEAAGRycy9zaGFwZXhtbC54bWxQSwUGAAAAAAYA&#10;BgBbAQAAugMAAAAA&#10;" path="m0,0l0,14025,0,0xe">
                  <v:path o:connectlocs="0,1410;0,15435;0,1410" o:connectangles="0,0,0"/>
                  <v:fill on="t" focussize="0,0"/>
                  <v:stroke on="f"/>
                  <v:imagedata o:title=""/>
                  <o:lock v:ext="edit" aspectratio="f"/>
                </v:shape>
              </v:group>
            </w:pict>
          </mc:Fallback>
        </mc:AlternateContent>
      </w:r>
    </w:p>
    <w:p w14:paraId="21AE727A">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9.4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环境保护</w:t>
      </w:r>
    </w:p>
    <w:p w14:paraId="5BEFBF2A">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9.4.3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 xml:space="preserve"> 施工环保措施计划报送监理人审批的时间：</w:t>
      </w:r>
      <w:r>
        <w:rPr>
          <w:rFonts w:hint="eastAsia" w:cs="宋体" w:asciiTheme="minorEastAsia" w:hAnsiTheme="minorEastAsia" w:eastAsiaTheme="minorEastAsia"/>
          <w:sz w:val="24"/>
          <w:u w:val="single" w:color="000000" w:themeColor="text1"/>
        </w:rPr>
        <w:t>合同签订后7天内</w:t>
      </w:r>
      <w:r>
        <w:rPr>
          <w:rFonts w:hint="eastAsia" w:cs="宋体" w:asciiTheme="minorEastAsia" w:hAnsiTheme="minorEastAsia" w:eastAsiaTheme="minorEastAsia"/>
          <w:w w:val="99"/>
          <w:sz w:val="24"/>
          <w:u w:color="000000" w:themeColor="text1"/>
        </w:rPr>
        <w:t xml:space="preserve"> </w:t>
      </w:r>
    </w:p>
    <w:p w14:paraId="71B5357C">
      <w:pPr>
        <w:tabs>
          <w:tab w:val="left" w:pos="1809"/>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监理人收到承包人报送的施工环保措施计划后应当在</w:t>
      </w:r>
      <w:r>
        <w:rPr>
          <w:rFonts w:hint="eastAsia" w:cs="宋体" w:asciiTheme="minorEastAsia" w:hAnsiTheme="minorEastAsia" w:eastAsiaTheme="minorEastAsia"/>
          <w:sz w:val="24"/>
          <w:u w:val="single"/>
        </w:rPr>
        <w:t>7</w:t>
      </w:r>
      <w:r>
        <w:rPr>
          <w:rFonts w:hint="eastAsia" w:cs="宋体" w:asciiTheme="minorEastAsia" w:hAnsiTheme="minorEastAsia" w:eastAsiaTheme="minorEastAsia"/>
          <w:sz w:val="24"/>
          <w:u w:color="000000" w:themeColor="text1"/>
        </w:rPr>
        <w:t>天内给予批复。</w:t>
      </w:r>
    </w:p>
    <w:p w14:paraId="6319C258">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9.6</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施工现场安全生产标准化管理目标</w:t>
      </w:r>
    </w:p>
    <w:p w14:paraId="20A3730C">
      <w:pPr>
        <w:tabs>
          <w:tab w:val="left" w:pos="104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9.6.1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未达到合同协议书中约定的安全生产标准化管理目标等级的违约金或损失赔偿金的金额或者计算方法：</w:t>
      </w:r>
    </w:p>
    <w:p w14:paraId="1505D8CC">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A=（1-K1/K2）*F</w:t>
      </w:r>
    </w:p>
    <w:p w14:paraId="65BE9B9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其中：A-计算的违约赔偿金</w:t>
      </w:r>
    </w:p>
    <w:p w14:paraId="6BCCC83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K1-标准化考评认定等级对应（京建发【2022】190号）文件规定的标准费率。</w:t>
      </w:r>
    </w:p>
    <w:p w14:paraId="5DFBA18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 xml:space="preserve">K2-合同约定的管理目标等级对应（京建发【2022】190号）文件规定的标准费率。 </w:t>
      </w:r>
    </w:p>
    <w:p w14:paraId="73D38FC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F-合同中载明的安全生产标准化措施费总额。</w:t>
      </w:r>
    </w:p>
    <w:p w14:paraId="51046177">
      <w:pPr>
        <w:tabs>
          <w:tab w:val="left" w:pos="1163"/>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9.6.2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发包人</w:t>
      </w:r>
      <w:r>
        <w:rPr>
          <w:rFonts w:hint="eastAsia" w:cs="宋体" w:asciiTheme="minorEastAsia" w:hAnsiTheme="minorEastAsia" w:eastAsiaTheme="minorEastAsia"/>
          <w:sz w:val="24"/>
          <w:u w:val="single"/>
        </w:rPr>
        <w:t>不给予</w:t>
      </w:r>
      <w:r>
        <w:rPr>
          <w:rFonts w:hint="eastAsia" w:cs="宋体" w:asciiTheme="minorEastAsia" w:hAnsiTheme="minorEastAsia" w:eastAsiaTheme="minorEastAsia"/>
          <w:sz w:val="24"/>
          <w:u w:color="000000" w:themeColor="text1"/>
        </w:rPr>
        <w:t>承包人创优奖励。发包人给予承包人创优奖励的，创优奖励金额或者计算方法：</w:t>
      </w:r>
      <w:r>
        <w:rPr>
          <w:rFonts w:hint="eastAsia" w:asciiTheme="minorEastAsia" w:hAnsiTheme="minorEastAsia" w:eastAsiaTheme="minorEastAsia"/>
          <w:sz w:val="24"/>
          <w:u w:val="single" w:color="000000" w:themeColor="text1"/>
        </w:rPr>
        <w:t>/</w:t>
      </w:r>
    </w:p>
    <w:p w14:paraId="4BB252A5">
      <w:pPr>
        <w:pStyle w:val="17"/>
        <w:tabs>
          <w:tab w:val="left" w:pos="62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9.7</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特殊安全生产标准化</w:t>
      </w:r>
    </w:p>
    <w:p w14:paraId="4038FB3B">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9.7.1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未达到合同约定的特殊安全生产标准化要求的违约金或损失赔偿金的金额或者计算方法：</w:t>
      </w:r>
      <w:r>
        <w:rPr>
          <w:rFonts w:hint="eastAsia" w:asciiTheme="minorEastAsia" w:hAnsiTheme="minorEastAsia" w:eastAsiaTheme="minorEastAsia"/>
          <w:sz w:val="24"/>
          <w:u w:val="single" w:color="000000" w:themeColor="text1"/>
        </w:rPr>
        <w:t>另行协商。</w:t>
      </w:r>
    </w:p>
    <w:p w14:paraId="07F8555A">
      <w:pPr>
        <w:tabs>
          <w:tab w:val="left" w:pos="1163"/>
        </w:tabs>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9.7.2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发包人</w:t>
      </w:r>
      <w:r>
        <w:rPr>
          <w:rFonts w:hint="eastAsia" w:cs="宋体" w:asciiTheme="minorEastAsia" w:hAnsiTheme="minorEastAsia" w:eastAsiaTheme="minorEastAsia"/>
          <w:sz w:val="24"/>
          <w:u w:val="single"/>
        </w:rPr>
        <w:t>不给予</w:t>
      </w:r>
      <w:r>
        <w:rPr>
          <w:rFonts w:hint="eastAsia" w:cs="宋体" w:asciiTheme="minorEastAsia" w:hAnsiTheme="minorEastAsia" w:eastAsiaTheme="minorEastAsia"/>
          <w:sz w:val="24"/>
          <w:u w:color="000000" w:themeColor="text1"/>
        </w:rPr>
        <w:t>承包人创优奖励。发包人给予承包人创优奖励的，创优奖励金额或者计算方法：</w:t>
      </w:r>
      <w:r>
        <w:rPr>
          <w:rFonts w:hint="eastAsia" w:cs="宋体" w:asciiTheme="minorEastAsia" w:hAnsiTheme="minorEastAsia" w:eastAsiaTheme="minorEastAsia"/>
          <w:sz w:val="24"/>
          <w:u w:val="single" w:color="000000" w:themeColor="text1"/>
        </w:rPr>
        <w:t>/</w:t>
      </w:r>
    </w:p>
    <w:p w14:paraId="06401E2A">
      <w:pPr>
        <w:pStyle w:val="6"/>
        <w:spacing w:before="0" w:after="0" w:line="360" w:lineRule="auto"/>
        <w:rPr>
          <w:sz w:val="24"/>
          <w:szCs w:val="24"/>
          <w:u w:color="000000" w:themeColor="text1"/>
        </w:rPr>
      </w:pPr>
      <w:r>
        <w:rPr>
          <w:rFonts w:hint="eastAsia"/>
          <w:sz w:val="24"/>
          <w:szCs w:val="24"/>
          <w:u w:color="000000" w:themeColor="text1"/>
        </w:rPr>
        <w:t>10.进度计划</w:t>
      </w:r>
    </w:p>
    <w:p w14:paraId="4DE55A9A">
      <w:pPr>
        <w:pStyle w:val="17"/>
        <w:tabs>
          <w:tab w:val="left" w:pos="833"/>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10.1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合同进度计划</w:t>
      </w:r>
    </w:p>
    <w:p w14:paraId="4D52D360">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10.1.1承包人编制施工进度计划和施工方案说明的内容：</w:t>
      </w:r>
    </w:p>
    <w:p w14:paraId="6966BC4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（a）合同工程的整体工期计划及保障措施；</w:t>
      </w:r>
    </w:p>
    <w:p w14:paraId="56C3A60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（b）各单位工程（专业工程）工期进度安排及控制措施；</w:t>
      </w:r>
    </w:p>
    <w:p w14:paraId="1FE3B25F">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（c）劳动力配置计划及保障措施；</w:t>
      </w:r>
    </w:p>
    <w:p w14:paraId="5CF6B34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72576"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830705805" name="Group 375"/>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65613898" name="Freeform 376"/>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75" o:spid="_x0000_s1026" o:spt="203" style="position:absolute;left:0pt;margin-left:42.75pt;margin-top:70.5pt;height:701.25pt;width:0.1pt;mso-position-horizontal-relative:page;mso-position-vertical-relative:page;z-index:251672576;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AEerOn2QAAAAoBAAAPAAAAAAAAAAEAIAAAACIAAABkcnMvZG93bnJldi54&#10;bWxQSwECFAAUAAAACACHTuJAjqzGHhYDAACeBwAADgAAAAAAAAABACAAAAAoAQAAZHJzL2Uyb0Rv&#10;Yy54bWxQSwUGAAAAAAYABgBZAQAAsAYAAAAA&#10;">
                <o:lock v:ext="edit" aspectratio="f"/>
                <v:shape id="Freeform 376" o:spid="_x0000_s1026" o:spt="100" style="position:absolute;left:855;top:1410;height:14025;width:2;" fillcolor="#000000" filled="t" stroked="f" coordsize="1,14025" o:gfxdata="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00sy/&#10;AAAA4gAAAA8AAAAAAAAAAQAgAAAAIgAAAGRycy9kb3ducmV2LnhtbFBLAQIUABQAAAAIAIdO4kAz&#10;LwWeOwAAADkAAAAQAAAAAAAAAAEAIAAAAA4BAABkcnMvc2hhcGV4bWwueG1sUEsFBgAAAAAGAAYA&#10;WwEAALgDA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（d）材料设备供应计划及保障措施；</w:t>
      </w:r>
    </w:p>
    <w:p w14:paraId="6A442BC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（e）机械设备和试验、检测仪器配备计划及保障措施；</w:t>
      </w:r>
    </w:p>
    <w:p w14:paraId="7E4A73E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（f）考虑工程拆迁、主体工程、工程其他专业拆改移配合及影响计划；</w:t>
      </w:r>
    </w:p>
    <w:p w14:paraId="6B4D5A3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（g）冬季、雨季施工技术措施及保障计划；</w:t>
      </w:r>
    </w:p>
    <w:p w14:paraId="18F9B6C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（h）各分部分项工程施工方案和技术措施；</w:t>
      </w:r>
    </w:p>
    <w:p w14:paraId="20CB307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（i）交通导改措施；</w:t>
      </w:r>
    </w:p>
    <w:p w14:paraId="60948A9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（j）合同工程重点、难点的施工方案，施工进度计划中还应载明要求发包人组织设计 人进行阶段性工程设计交底的时间。</w:t>
      </w:r>
    </w:p>
    <w:p w14:paraId="08EB5F1C">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val="single" w:color="000000" w:themeColor="text1"/>
        </w:rPr>
        <w:t xml:space="preserve">（k）监理人应在收到承包人报送的相关进度计划和施工方案说明后14天内批复或提出 修改意见，监理人未在前述期限内批复或提出修改意见的，则该进度计划未经监理人批准，不作为控制合同工程进度的依据。 </w:t>
      </w:r>
    </w:p>
    <w:p w14:paraId="5BC2C537">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10.1.2承包人编制分阶段或分项施工进度计划和施工方案说明的内容及时限要求：</w:t>
      </w:r>
    </w:p>
    <w:p w14:paraId="29FE2AAF">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承包人需在合同进度计划的基础上编制更为详细的分阶段和分项目的进度计划，特别是在合同进度计划关键线路上的单位工程或分部工程；对达到一定规模的危险性较大的分部分项工程编制专项施工方案，并附安全验算结果。时限为监理发出开工通知前7天。</w:t>
      </w:r>
    </w:p>
    <w:p w14:paraId="5ACD644A">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10.1.3群体工程中有关编制进度计划和施工方案说明的要求：</w:t>
      </w:r>
      <w:r>
        <w:rPr>
          <w:rFonts w:hint="eastAsia" w:cs="宋体" w:asciiTheme="minorEastAsia" w:hAnsiTheme="minorEastAsia" w:eastAsiaTheme="minorEastAsia"/>
          <w:sz w:val="24"/>
          <w:u w:val="single" w:color="000000" w:themeColor="text1"/>
        </w:rPr>
        <w:t>/</w:t>
      </w:r>
    </w:p>
    <w:p w14:paraId="665E5B54">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10.2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合同进度计划的修订</w:t>
      </w:r>
    </w:p>
    <w:p w14:paraId="1D5403D7">
      <w:pPr>
        <w:adjustRightInd w:val="0"/>
        <w:snapToGrid w:val="0"/>
        <w:spacing w:line="360" w:lineRule="auto"/>
        <w:ind w:firstLine="397"/>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w w:val="95"/>
          <w:sz w:val="24"/>
          <w:u w:color="000000" w:themeColor="text1"/>
        </w:rPr>
        <w:t>10.2.1</w:t>
      </w:r>
      <w:r>
        <w:rPr>
          <w:rFonts w:hint="eastAsia" w:cs="宋体" w:asciiTheme="minorEastAsia" w:hAnsiTheme="minorEastAsia" w:eastAsiaTheme="minorEastAsia"/>
          <w:sz w:val="24"/>
          <w:u w:color="000000" w:themeColor="text1"/>
        </w:rPr>
        <w:t>承包人报送修订合同进度计划申请报告和相关资料的期限：</w:t>
      </w:r>
      <w:r>
        <w:rPr>
          <w:rFonts w:hint="eastAsia" w:cs="宋体" w:asciiTheme="minorEastAsia" w:hAnsiTheme="minorEastAsia" w:eastAsiaTheme="minorEastAsia"/>
          <w:sz w:val="24"/>
          <w:u w:val="single" w:color="000000" w:themeColor="text1"/>
        </w:rPr>
        <w:t>合同签订后7天内。</w:t>
      </w:r>
      <w:r>
        <w:rPr>
          <w:rFonts w:hint="eastAsia" w:cs="宋体" w:asciiTheme="minorEastAsia" w:hAnsiTheme="minorEastAsia" w:eastAsiaTheme="minorEastAsia"/>
          <w:w w:val="99"/>
          <w:sz w:val="24"/>
          <w:u w:color="000000" w:themeColor="text1"/>
        </w:rPr>
        <w:t xml:space="preserve"> </w:t>
      </w:r>
    </w:p>
    <w:p w14:paraId="1792CEF9">
      <w:pPr>
        <w:adjustRightInd w:val="0"/>
        <w:snapToGrid w:val="0"/>
        <w:spacing w:line="360" w:lineRule="auto"/>
        <w:ind w:firstLine="240" w:firstLineChars="1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监理人批复修订合同进度计划申请报告的期限：</w:t>
      </w:r>
    </w:p>
    <w:p w14:paraId="24EC5BBF">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val="single" w:color="000000" w:themeColor="text1"/>
        </w:rPr>
        <w:t xml:space="preserve">收到承包人报送的修订合同进度计划申请报告和相关资料7天内。 </w:t>
      </w:r>
    </w:p>
    <w:p w14:paraId="462DCCFF">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10.2.2监理人批复修订合同进度计划的期限：</w:t>
      </w:r>
    </w:p>
    <w:p w14:paraId="23B45307">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val="single" w:color="000000" w:themeColor="text1"/>
        </w:rPr>
        <w:t>收到承包人报送的修订合同进度计划和相关资料7天内。</w:t>
      </w:r>
    </w:p>
    <w:p w14:paraId="09F6746C">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10.3</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合同进度计划的其他要求</w:t>
      </w:r>
    </w:p>
    <w:p w14:paraId="340CF3D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10.3.2施工进度计划管理的人员配置要求：</w:t>
      </w:r>
      <w:r>
        <w:rPr>
          <w:rFonts w:hint="eastAsia" w:asciiTheme="minorEastAsia" w:hAnsiTheme="minorEastAsia" w:eastAsiaTheme="minorEastAsia"/>
          <w:sz w:val="24"/>
          <w:u w:val="single" w:color="000000" w:themeColor="text1"/>
        </w:rPr>
        <w:t>满足要求。</w:t>
      </w:r>
    </w:p>
    <w:p w14:paraId="6704C511">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10.3.3施工进度计划的计算机应用软件要求：</w:t>
      </w:r>
      <w:r>
        <w:rPr>
          <w:rFonts w:hint="eastAsia" w:asciiTheme="minorEastAsia" w:hAnsiTheme="minorEastAsia" w:eastAsiaTheme="minorEastAsia"/>
          <w:sz w:val="24"/>
          <w:u w:val="single" w:color="000000" w:themeColor="text1"/>
        </w:rPr>
        <w:t>满足要求。</w:t>
      </w: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73600"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142218571" name="Group 373"/>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112122397" name="Freeform 374"/>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73" o:spid="_x0000_s1026" o:spt="203" style="position:absolute;left:0pt;margin-left:42.75pt;margin-top:70.5pt;height:701.25pt;width:0.1pt;mso-position-horizontal-relative:page;mso-position-vertical-relative:page;z-index:251673600;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AEerOn2QAAAAoBAAAPAAAAAAAAAAEAIAAAACIAAABkcnMvZG93bnJldi54&#10;bWxQSwECFAAUAAAACACHTuJAFccVGxYDAACgBwAADgAAAAAAAAABACAAAAAoAQAAZHJzL2Uyb0Rv&#10;Yy54bWxQSwUGAAAAAAYABgBZAQAAsAYAAAAA&#10;">
                <o:lock v:ext="edit" aspectratio="f"/>
                <v:shape id="Freeform 374" o:spid="_x0000_s1026" o:spt="100" style="position:absolute;left:855;top:1410;height:14025;width:2;" fillcolor="#000000" filled="t" stroked="f" coordsize="1,14025" o:gfxdata="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tf6w&#10;wAAAAOMAAAAPAAAAAAAAAAEAIAAAACIAAABkcnMvZG93bnJldi54bWxQSwECFAAUAAAACACHTuJA&#10;My8FnjsAAAA5AAAAEAAAAAAAAAABACAAAAAPAQAAZHJzL3NoYXBleG1sLnhtbFBLBQYAAAAABgAG&#10;AFsBAAC5AwAAAAA=&#10;" path="m0,0l0,14025,0,0xe">
                  <v:path o:connectlocs="0,1410;0,15435;0,1410" o:connectangles="0,0,0"/>
                  <v:fill on="t" focussize="0,0"/>
                  <v:stroke on="f"/>
                  <v:imagedata o:title=""/>
                  <o:lock v:ext="edit" aspectratio="f"/>
                </v:shape>
              </v:group>
            </w:pict>
          </mc:Fallback>
        </mc:AlternateContent>
      </w:r>
    </w:p>
    <w:p w14:paraId="0F819FE6">
      <w:pPr>
        <w:pStyle w:val="6"/>
        <w:spacing w:before="0" w:after="0" w:line="360" w:lineRule="auto"/>
        <w:rPr>
          <w:sz w:val="24"/>
          <w:szCs w:val="24"/>
          <w:u w:color="000000" w:themeColor="text1"/>
        </w:rPr>
      </w:pPr>
      <w:r>
        <w:rPr>
          <w:rFonts w:hint="eastAsia"/>
          <w:sz w:val="24"/>
          <w:szCs w:val="24"/>
          <w:u w:color="000000" w:themeColor="text1"/>
        </w:rPr>
        <w:t>11.开工和竣工</w:t>
      </w:r>
    </w:p>
    <w:p w14:paraId="0035F6F7">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11.3</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发包人的工期延误</w:t>
      </w:r>
    </w:p>
    <w:p w14:paraId="164E09DB">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（8）发包人造成工期延误的其他原因：</w:t>
      </w:r>
    </w:p>
    <w:p w14:paraId="006A61C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政府行为、临时管控等承包人无法遇见和控制的因素造成不能正常施工的；国家政策调整、法律变化、疫情、天气原因等不可抗力原因致使无法施工的；现场不具备施工条件的。</w:t>
      </w:r>
    </w:p>
    <w:p w14:paraId="18638BFA">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异常恶劣的气候条件</w:t>
      </w:r>
    </w:p>
    <w:p w14:paraId="7EF31577">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异常恶劣的气候条件的范围和标准：</w:t>
      </w:r>
      <w:r>
        <w:rPr>
          <w:rFonts w:hint="eastAsia" w:asciiTheme="minorEastAsia" w:hAnsiTheme="minorEastAsia" w:eastAsiaTheme="minorEastAsia"/>
          <w:sz w:val="24"/>
          <w:u w:val="single" w:color="000000" w:themeColor="text1"/>
        </w:rPr>
        <w:t>由市级以上人民政府颁布的条件为准。</w:t>
      </w:r>
    </w:p>
    <w:p w14:paraId="465C841D">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11.5</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承包人的工期延误</w:t>
      </w:r>
    </w:p>
    <w:p w14:paraId="2302F028">
      <w:pPr>
        <w:adjustRightInd w:val="0"/>
        <w:snapToGrid w:val="0"/>
        <w:spacing w:line="360" w:lineRule="auto"/>
        <w:ind w:firstLine="440"/>
        <w:jc w:val="left"/>
        <w:rPr>
          <w:rFonts w:hint="eastAsia" w:cs="宋体" w:asciiTheme="minorEastAsia" w:hAnsiTheme="minorEastAsia" w:eastAsiaTheme="minorEastAsia"/>
          <w:sz w:val="24"/>
          <w:u w:color="000000" w:themeColor="text1"/>
        </w:rPr>
      </w:pPr>
      <w:bookmarkStart w:id="685" w:name="OLE_LINK1"/>
      <w:r>
        <w:rPr>
          <w:rFonts w:hint="eastAsia" w:cs="宋体" w:asciiTheme="minorEastAsia" w:hAnsiTheme="minorEastAsia" w:eastAsiaTheme="minorEastAsia"/>
          <w:spacing w:val="5"/>
          <w:sz w:val="24"/>
          <w:u w:color="000000" w:themeColor="text1"/>
        </w:rPr>
        <w:t>11.5.2</w:t>
      </w:r>
      <w:bookmarkEnd w:id="685"/>
      <w:r>
        <w:rPr>
          <w:rFonts w:hint="eastAsia" w:cs="宋体" w:asciiTheme="minorEastAsia" w:hAnsiTheme="minorEastAsia" w:eastAsiaTheme="minorEastAsia"/>
          <w:spacing w:val="21"/>
          <w:sz w:val="24"/>
          <w:u w:color="000000" w:themeColor="text1"/>
        </w:rPr>
        <w:t xml:space="preserve"> </w:t>
      </w:r>
      <w:r>
        <w:rPr>
          <w:rFonts w:hint="eastAsia" w:cs="宋体" w:asciiTheme="minorEastAsia" w:hAnsiTheme="minorEastAsia" w:eastAsiaTheme="minorEastAsia"/>
          <w:sz w:val="24"/>
          <w:u w:color="000000" w:themeColor="text1"/>
        </w:rPr>
        <w:t>逾期竣工违约金的计算标准和计算方法：</w:t>
      </w:r>
    </w:p>
    <w:p w14:paraId="403096D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签约合同价的0.2‰/天，每延误一天，承包人应当向发包人赔偿签约合同价的0.2‰/天整，不足一天按一天计。</w:t>
      </w:r>
    </w:p>
    <w:p w14:paraId="0DBF2CC7">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逾期竣工违约金最高限额：</w:t>
      </w:r>
    </w:p>
    <w:p w14:paraId="3C000B3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如逾期竣工给发包人造成经济损失的，承包人除应按照前述约定向发包人支付违约金外，还应赔偿由此给发包人造成的全部经济损失，包括但不限于律师费、诉讼费、仲裁费、鉴定费、审计费、食宿费、交通费、调查费、公证</w:t>
      </w:r>
      <w:r>
        <w:rPr>
          <w:rFonts w:hint="eastAsia" w:asciiTheme="minorEastAsia" w:hAnsiTheme="minorEastAsia" w:eastAsiaTheme="minorEastAsia"/>
          <w:w w:val="99"/>
          <w:u w:val="single" w:color="000000" w:themeColor="text1"/>
        </w:rPr>
        <w:t xml:space="preserve"> </w:t>
      </w:r>
      <w:r>
        <w:rPr>
          <w:rFonts w:hint="eastAsia" w:asciiTheme="minorEastAsia" w:hAnsiTheme="minorEastAsia" w:eastAsiaTheme="minorEastAsia"/>
          <w:u w:val="single" w:color="000000" w:themeColor="text1"/>
        </w:rPr>
        <w:t>费、保全费等。</w:t>
      </w:r>
    </w:p>
    <w:p w14:paraId="325A1234">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11.6</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合同双方原因导致的工期延误</w:t>
      </w:r>
    </w:p>
    <w:p w14:paraId="21C88E93">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发承包双方导致工期延误的原因：</w:t>
      </w:r>
      <w:r>
        <w:rPr>
          <w:rFonts w:hint="eastAsia" w:asciiTheme="minorEastAsia" w:hAnsiTheme="minorEastAsia" w:eastAsiaTheme="minorEastAsia"/>
          <w:sz w:val="24"/>
          <w:u w:val="single" w:color="000000" w:themeColor="text1"/>
        </w:rPr>
        <w:t>待定</w:t>
      </w:r>
    </w:p>
    <w:p w14:paraId="12CE1AEA">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11.7</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非合同双方原因导致的工期延误</w:t>
      </w:r>
    </w:p>
    <w:p w14:paraId="14AD96F3">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非合同双方导致工期延误的原因：</w:t>
      </w:r>
      <w:r>
        <w:rPr>
          <w:rFonts w:hint="eastAsia" w:asciiTheme="minorEastAsia" w:hAnsiTheme="minorEastAsia" w:eastAsiaTheme="minorEastAsia"/>
          <w:sz w:val="24"/>
          <w:u w:val="single" w:color="000000" w:themeColor="text1"/>
        </w:rPr>
        <w:t>待定</w:t>
      </w:r>
    </w:p>
    <w:p w14:paraId="6072A8AA">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11.8</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工期提前</w:t>
      </w:r>
      <w:r>
        <w:rPr>
          <w:rFonts w:hint="eastAsia" w:asciiTheme="minorEastAsia" w:hAnsiTheme="minorEastAsia" w:eastAsiaTheme="minorEastAsia"/>
          <w:u w:color="000000" w:themeColor="text1"/>
        </w:rPr>
        <mc:AlternateContent>
          <mc:Choice Requires="wpg">
            <w:drawing>
              <wp:anchor distT="0" distB="0" distL="114300" distR="114300" simplePos="0" relativeHeight="251674624"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727585004" name="Group 371"/>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949188286" name="Freeform 372"/>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71" o:spid="_x0000_s1026" o:spt="203" style="position:absolute;left:0pt;margin-left:42.75pt;margin-top:70.5pt;height:701.25pt;width:0.1pt;mso-position-horizontal-relative:page;mso-position-vertical-relative:page;z-index:251674624;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AEerOn2QAAAAoBAAAPAAAAAAAAAAEAIAAAACIAAABkcnMvZG93bnJl&#10;di54bWxQSwECFAAUAAAACACHTuJAqivnQRkDAACeBwAADgAAAAAAAAABACAAAAAoAQAAZHJzL2Uy&#10;b0RvYy54bWxQSwUGAAAAAAYABgBZAQAAswYAAAAA&#10;">
                <o:lock v:ext="edit" aspectratio="f"/>
                <v:shape id="Freeform 372" o:spid="_x0000_s1026" o:spt="100" style="position:absolute;left:855;top:1410;height:14025;width:2;" fillcolor="#000000" filled="t" stroked="f" coordsize="1,14025" o:gfxdata="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NVnJ/MQAAADiAAAADwAAAAAAAAABACAAAAAiAAAAZHJzL2Rvd25yZXYueG1sUEsBAhQAFAAAAAgA&#10;h07iQDMvBZ47AAAAOQAAABAAAAAAAAAAAQAgAAAAEwEAAGRycy9zaGFwZXhtbC54bWxQSwUGAAAA&#10;AAYABgBbAQAAvQMAAAAA&#10;" path="m0,0l0,14025,0,0xe">
                  <v:path o:connectlocs="0,1410;0,15435;0,1410" o:connectangles="0,0,0"/>
                  <v:fill on="t" focussize="0,0"/>
                  <v:stroke on="f"/>
                  <v:imagedata o:title=""/>
                  <o:lock v:ext="edit" aspectratio="f"/>
                </v:shape>
              </v:group>
            </w:pict>
          </mc:Fallback>
        </mc:AlternateContent>
      </w:r>
    </w:p>
    <w:p w14:paraId="15662B0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提前竣工的奖励办法：</w:t>
      </w:r>
    </w:p>
    <w:p w14:paraId="2DC1BF0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color="000000" w:themeColor="text1"/>
        </w:rPr>
      </w:pPr>
      <w:r>
        <w:rPr>
          <w:rFonts w:hint="eastAsia" w:asciiTheme="minorEastAsia" w:hAnsiTheme="minorEastAsia" w:eastAsiaTheme="minorEastAsia"/>
          <w:u w:val="single" w:color="000000" w:themeColor="text1"/>
        </w:rPr>
        <w:t>/。</w:t>
      </w:r>
    </w:p>
    <w:p w14:paraId="1668206D">
      <w:pPr>
        <w:pStyle w:val="6"/>
        <w:spacing w:before="0" w:after="0" w:line="360" w:lineRule="auto"/>
        <w:rPr>
          <w:sz w:val="24"/>
          <w:szCs w:val="24"/>
          <w:u w:color="000000" w:themeColor="text1"/>
        </w:rPr>
      </w:pPr>
      <w:r>
        <w:rPr>
          <w:rFonts w:hint="eastAsia"/>
          <w:sz w:val="24"/>
          <w:szCs w:val="24"/>
          <w:u w:color="000000" w:themeColor="text1"/>
        </w:rPr>
        <w:t>12.暂停施工</w:t>
      </w:r>
    </w:p>
    <w:p w14:paraId="0F2F8C56">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12.1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承包人暂停施工的责任</w:t>
      </w:r>
    </w:p>
    <w:p w14:paraId="2645E8EB">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（4）承包人承担暂停施工责任的其他情形：</w:t>
      </w:r>
    </w:p>
    <w:p w14:paraId="004FD23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1、因承包人违反规范或任何工程质量不合格而进行返工、重建、修建的工期；</w:t>
      </w:r>
    </w:p>
    <w:p w14:paraId="1C06D1D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2、未按设计要求进行施工或因施工组织方案不可行导致发包人未能按时审批而影响工期的；</w:t>
      </w:r>
    </w:p>
    <w:p w14:paraId="4ABF9F8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3、工程验收不合格，发现存在质量问题或技术问题需要整改的；</w:t>
      </w:r>
    </w:p>
    <w:p w14:paraId="084B6B9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4、承包人自身原因待工待料的；</w:t>
      </w:r>
    </w:p>
    <w:p w14:paraId="3FC982D7">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color="000000" w:themeColor="text1"/>
        </w:rPr>
      </w:pPr>
      <w:r>
        <w:rPr>
          <w:rFonts w:hint="eastAsia" w:asciiTheme="minorEastAsia" w:hAnsiTheme="minorEastAsia" w:eastAsiaTheme="minorEastAsia"/>
          <w:u w:val="single" w:color="000000" w:themeColor="text1"/>
        </w:rPr>
        <w:t>5、工程质量未达到等级标准要求，发包人要求承包人返工的。发包人认为确有必要暂停施工时，应当以书面形式要求承包人全部或局部工程暂停施工，并在提出要求后48小时内提出书面处理意见。承包人需按发包人要求停止施工，并妥善保护已完成工程直至发包人进一步的指令。因承包人原因造成停工的，由承包人承担因停工发生的费用，工期不予顺延；如果因承包人原因造成停工而影响工程进度时，若发包人要求承包人退场，承包人应无条件退场。</w:t>
      </w:r>
    </w:p>
    <w:p w14:paraId="66472F64">
      <w:pPr>
        <w:pStyle w:val="6"/>
        <w:spacing w:before="0" w:after="0" w:line="360" w:lineRule="auto"/>
        <w:rPr>
          <w:sz w:val="24"/>
          <w:szCs w:val="24"/>
          <w:u w:color="000000" w:themeColor="text1"/>
        </w:rPr>
      </w:pPr>
      <w:r>
        <w:rPr>
          <w:rFonts w:hint="eastAsia"/>
          <w:sz w:val="24"/>
          <w:szCs w:val="24"/>
          <w:u w:color="000000" w:themeColor="text1"/>
        </w:rPr>
        <w:t>13.工程质量</w:t>
      </w:r>
    </w:p>
    <w:p w14:paraId="1887B189">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13.2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承包人的质量管理</w:t>
      </w:r>
    </w:p>
    <w:p w14:paraId="5613D4B9">
      <w:pPr>
        <w:tabs>
          <w:tab w:val="left" w:pos="1290"/>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13.2.1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承包人向监理人提交工程质量保证措施文件的期限</w:t>
      </w:r>
      <w:r>
        <w:rPr>
          <w:rFonts w:hint="eastAsia" w:cs="宋体" w:asciiTheme="minorEastAsia" w:hAnsiTheme="minorEastAsia" w:eastAsiaTheme="minorEastAsia"/>
          <w:w w:val="95"/>
          <w:sz w:val="24"/>
          <w:u w:color="000000" w:themeColor="text1"/>
        </w:rPr>
        <w:t>：</w:t>
      </w:r>
      <w:r>
        <w:rPr>
          <w:rFonts w:hint="eastAsia" w:cs="宋体" w:asciiTheme="minorEastAsia" w:hAnsiTheme="minorEastAsia" w:eastAsiaTheme="minorEastAsia"/>
          <w:sz w:val="24"/>
          <w:u w:val="single" w:color="000000" w:themeColor="text1"/>
        </w:rPr>
        <w:t>合同签订后7日内。</w:t>
      </w:r>
      <w:r>
        <w:rPr>
          <w:rFonts w:hint="eastAsia" w:cs="宋体" w:asciiTheme="minorEastAsia" w:hAnsiTheme="minorEastAsia" w:eastAsiaTheme="minorEastAsia"/>
          <w:w w:val="99"/>
          <w:sz w:val="24"/>
          <w:u w:color="000000" w:themeColor="text1"/>
        </w:rPr>
        <w:t xml:space="preserve"> </w:t>
      </w:r>
    </w:p>
    <w:p w14:paraId="5C6856B1">
      <w:pPr>
        <w:tabs>
          <w:tab w:val="left" w:pos="1914"/>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监理人审批工程质量保证措施文件的期限：</w:t>
      </w:r>
      <w:r>
        <w:rPr>
          <w:rFonts w:hint="eastAsia" w:cs="宋体" w:asciiTheme="minorEastAsia" w:hAnsiTheme="minorEastAsia" w:eastAsiaTheme="minorEastAsia"/>
          <w:sz w:val="24"/>
          <w:u w:val="single" w:color="000000" w:themeColor="text1"/>
        </w:rPr>
        <w:t>自收到工程质量保证措施文件7天。</w:t>
      </w:r>
    </w:p>
    <w:p w14:paraId="5BD2070F">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13.3</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承包人的质量检查</w:t>
      </w:r>
    </w:p>
    <w:p w14:paraId="50972EC0">
      <w:pPr>
        <w:adjustRightInd w:val="0"/>
        <w:snapToGrid w:val="0"/>
        <w:spacing w:line="360" w:lineRule="auto"/>
        <w:jc w:val="left"/>
        <w:rPr>
          <w:rFonts w:hint="eastAsia" w:asciiTheme="minorEastAsia" w:hAnsiTheme="minorEastAsia" w:eastAsiaTheme="minorEastAsia"/>
          <w:sz w:val="24"/>
          <w:u w:val="single" w:color="000000" w:themeColor="text1"/>
        </w:rPr>
      </w:pPr>
      <w:r>
        <w:rPr>
          <w:rFonts w:hint="eastAsia" w:asciiTheme="minorEastAsia" w:hAnsiTheme="minorEastAsia" w:eastAsiaTheme="minorEastAsia"/>
          <w:sz w:val="24"/>
        </w:rPr>
        <w:t>承包人向监理人报送工程质量报表的期限：</w:t>
      </w:r>
      <w:r>
        <w:rPr>
          <w:rFonts w:hint="eastAsia" w:asciiTheme="minorEastAsia" w:hAnsiTheme="minorEastAsia" w:eastAsiaTheme="minorEastAsia"/>
          <w:sz w:val="24"/>
          <w:u w:val="single" w:color="000000" w:themeColor="text1"/>
        </w:rPr>
        <w:t>每月20日前。</w:t>
      </w:r>
    </w:p>
    <w:p w14:paraId="09BDAAD0">
      <w:pPr>
        <w:adjustRightInd w:val="0"/>
        <w:snapToGrid w:val="0"/>
        <w:spacing w:line="360" w:lineRule="auto"/>
        <w:jc w:val="left"/>
        <w:rPr>
          <w:rFonts w:hint="eastAsia" w:cs="宋体" w:asciiTheme="minorEastAsia" w:hAnsiTheme="minorEastAsia" w:eastAsiaTheme="minorEastAsia"/>
          <w:w w:val="95"/>
          <w:sz w:val="24"/>
          <w:u w:color="000000" w:themeColor="text1"/>
        </w:rPr>
      </w:pPr>
      <w:r>
        <w:rPr>
          <w:rFonts w:hint="eastAsia" w:asciiTheme="minorEastAsia" w:hAnsiTheme="minorEastAsia" w:eastAsiaTheme="minorEastAsia"/>
          <w:sz w:val="24"/>
        </w:rPr>
        <w:t>承包人向监理人报送工程质量报表的要求：</w:t>
      </w:r>
      <w:r>
        <w:rPr>
          <w:rFonts w:hint="eastAsia" w:asciiTheme="minorEastAsia" w:hAnsiTheme="minorEastAsia" w:eastAsiaTheme="minorEastAsia"/>
          <w:sz w:val="24"/>
          <w:u w:val="single" w:color="000000" w:themeColor="text1"/>
        </w:rPr>
        <mc:AlternateContent>
          <mc:Choice Requires="wpg">
            <w:drawing>
              <wp:anchor distT="0" distB="0" distL="114300" distR="114300" simplePos="0" relativeHeight="251675648"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800902539" name="Group 369"/>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816277039" name="Freeform 370"/>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69" o:spid="_x0000_s1026" o:spt="203" style="position:absolute;left:0pt;margin-left:42.75pt;margin-top:70.5pt;height:701.25pt;width:0.1pt;mso-position-horizontal-relative:page;mso-position-vertical-relative:page;z-index:251675648;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CmAil2GAMAAJ8HAAAOAAAAAAAAAAEAIAAAACgBAABkcnMvZTJv&#10;RG9jLnhtbFBLBQYAAAAABgAGAFkBAACyBgAAAAA=&#10;">
                <o:lock v:ext="edit" aspectratio="f"/>
                <v:shape id="Freeform 370" o:spid="_x0000_s1026" o:spt="100" style="position:absolute;left:855;top:1410;height:14025;width:2;" fillcolor="#000000" filled="t" stroked="f" coordsize="1,14025" o:gfxdata="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Seh&#10;9sEAAADjAAAADwAAAAAAAAABACAAAAAiAAAAZHJzL2Rvd25yZXYueG1sUEsBAhQAFAAAAAgAh07i&#10;QDMvBZ47AAAAOQAAABAAAAAAAAAAAQAgAAAAEAEAAGRycy9zaGFwZXhtbC54bWxQSwUGAAAAAAYA&#10;BgBbAQAAugM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sz w:val="24"/>
          <w:u w:val="single" w:color="000000" w:themeColor="text1"/>
        </w:rPr>
        <w:t>真实、有效、不得变造或篡改报表文件。报表中至少包含：各方责任主体质量行为情况、第三方监测质量行为情况；重要部位、关键程序工程质量存在的主要问题及整改情况；材料进场验收及原材料试验情况</w:t>
      </w:r>
      <w:r>
        <w:rPr>
          <w:rFonts w:hint="eastAsia" w:cs="宋体" w:asciiTheme="minorEastAsia" w:hAnsiTheme="minorEastAsia" w:eastAsiaTheme="minorEastAsia"/>
          <w:sz w:val="24"/>
          <w:u w:val="single" w:color="000000" w:themeColor="text1"/>
        </w:rPr>
        <w:t>。</w:t>
      </w:r>
    </w:p>
    <w:p w14:paraId="343E305E">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监理人审查工程质量报表的期限：</w:t>
      </w:r>
      <w:r>
        <w:rPr>
          <w:rFonts w:hint="eastAsia" w:asciiTheme="minorEastAsia" w:hAnsiTheme="minorEastAsia" w:eastAsiaTheme="minorEastAsia"/>
          <w:sz w:val="24"/>
          <w:u w:val="single" w:color="000000" w:themeColor="text1"/>
        </w:rPr>
        <w:t>收到承包人报送工程质量报表后3天内。</w:t>
      </w:r>
    </w:p>
    <w:p w14:paraId="330E83D2">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13.4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监理人的质量检查</w:t>
      </w:r>
    </w:p>
    <w:p w14:paraId="22A336A3">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asciiTheme="minorEastAsia" w:hAnsiTheme="minorEastAsia" w:eastAsiaTheme="minorEastAsia"/>
          <w:sz w:val="24"/>
        </w:rPr>
        <w:t>承包人应当为监理人的检查和检验提供方便，监理人可以进行察看和查阅施工原始记录的其他地方包括：</w:t>
      </w:r>
      <w:r>
        <w:rPr>
          <w:rFonts w:hint="eastAsia" w:asciiTheme="minorEastAsia" w:hAnsiTheme="minorEastAsia" w:eastAsiaTheme="minorEastAsia"/>
          <w:sz w:val="24"/>
          <w:u w:val="single" w:color="000000" w:themeColor="text1"/>
        </w:rPr>
        <w:t>承包人项目部、监理人现场办公室以及发包人指定的其他地点。每道工序完成后，承包人按规范要求进行自检并邀请监理工程师验收，监理工程师对报验工序进行检查验收，本道工序未经验收合格，下道工序不得进行；分项工程完工后，监理工程师进行验收，以确认该分项工程已达到交工条件。</w:t>
      </w:r>
    </w:p>
    <w:p w14:paraId="251D0A9E">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13.5</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工程隐蔽部位覆盖前的检查</w:t>
      </w:r>
    </w:p>
    <w:p w14:paraId="2E411801">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13.5.1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监理人对工程隐蔽部位进行检查的期限：</w:t>
      </w:r>
      <w:r>
        <w:rPr>
          <w:rFonts w:hint="eastAsia" w:asciiTheme="minorEastAsia" w:hAnsiTheme="minorEastAsia" w:eastAsiaTheme="minorEastAsia"/>
          <w:sz w:val="24"/>
          <w:u w:val="single" w:color="000000" w:themeColor="text1"/>
        </w:rPr>
        <w:t>收到承包人的检查通知后24小时内。</w:t>
      </w:r>
    </w:p>
    <w:p w14:paraId="56C46A66">
      <w:pPr>
        <w:pStyle w:val="6"/>
        <w:spacing w:before="0" w:after="0" w:line="360" w:lineRule="auto"/>
        <w:rPr>
          <w:sz w:val="24"/>
          <w:szCs w:val="24"/>
          <w:u w:color="000000" w:themeColor="text1"/>
        </w:rPr>
      </w:pPr>
      <w:r>
        <w:rPr>
          <w:rFonts w:hint="eastAsia"/>
          <w:sz w:val="24"/>
          <w:szCs w:val="24"/>
          <w:u w:color="000000" w:themeColor="text1"/>
        </w:rPr>
        <w:t>15.变更</w:t>
      </w:r>
    </w:p>
    <w:p w14:paraId="4229CF41">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15.1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变更的范围和内容</w:t>
      </w:r>
    </w:p>
    <w:p w14:paraId="2C60245C">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15.1.1在履行合同中发生以下情形之一，应按照本条规定进行变更。</w:t>
      </w:r>
    </w:p>
    <w:p w14:paraId="6AFF9DF0">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（6）变更的其他情形：</w:t>
      </w:r>
    </w:p>
    <w:p w14:paraId="241F922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①.所有工程变更均应事先经发包人书面同意，并按监理工程师的书面指令或通知执行。承包人未经事先书面批准，不得擅自进行任何形式的变更。工程变更是否涉及费用变化由发包人在批准变更项目时确认。涉及工程数量变化的须由发包人代表和总监理工程师书面审批通过方为有效。涉及价格变化直接由发包人进行书面审批方为有效。所有工程变更最终均以总监理工程师签发的“工程变更令"为准。</w:t>
      </w:r>
    </w:p>
    <w:p w14:paraId="2C5F757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②.变更工程单价:当变更涉及费用变化时，变更项目或增补清单的单价按下列原则予以确认并顺序选用:</w:t>
      </w:r>
    </w:p>
    <w:p w14:paraId="3B59056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 xml:space="preserve">a.直接使用工程量清单中相同类别项目的单价作为变更单价; </w:t>
      </w:r>
    </w:p>
    <w:p w14:paraId="4F6DEA6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b.以工程量清单类似项目的单价及单价分析表为基础，通过组合、内插、外延及套用等方</w:t>
      </w:r>
      <w:r>
        <w:rPr>
          <w:rFonts w:hint="eastAsia" w:asciiTheme="minorEastAsia" w:hAnsiTheme="minorEastAsia" w:eastAsiaTheme="minorEastAsia"/>
          <w:u w:val="single"/>
        </w:rPr>
        <mc:AlternateContent>
          <mc:Choice Requires="wpg">
            <w:drawing>
              <wp:anchor distT="0" distB="0" distL="114300" distR="114300" simplePos="0" relativeHeight="251676672"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719448188" name="Group 367"/>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237003807" name="Freeform 368"/>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67" o:spid="_x0000_s1026" o:spt="203" style="position:absolute;left:0pt;margin-left:42.75pt;margin-top:70.5pt;height:701.25pt;width:0.1pt;mso-position-horizontal-relative:page;mso-position-vertical-relative:page;z-index:251676672;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BHqzp9kAAAAKAQAADwAAAAAAAAABACAAAAAiAAAAZHJzL2Rvd25yZXYu&#10;eG1sUEsBAhQAFAAAAAgAh07iQPi/+tEXAwAAngcAAA4AAAAAAAAAAQAgAAAAKAEAAGRycy9lMm9E&#10;b2MueG1sUEsFBgAAAAAGAAYAWQEAALEGAAAAAA==&#10;">
                <o:lock v:ext="edit" aspectratio="f"/>
                <v:shape id="Freeform 368" o:spid="_x0000_s1026" o:spt="100" style="position:absolute;left:855;top:1410;height:14025;width:2;" fillcolor="#000000" filled="t" stroked="f" coordsize="1,14025" o:gfxdata="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k&#10;7HikwwAAAOIAAAAPAAAAAAAAAAEAIAAAACIAAABkcnMvZG93bnJldi54bWxQSwECFAAUAAAACACH&#10;TuJAMy8FnjsAAAA5AAAAEAAAAAAAAAABACAAAAASAQAAZHJzL3NoYXBleG1sLnhtbFBLBQYAAAAA&#10;BgAGAFsBAAC8Aw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rPr>
        <w:t xml:space="preserve">法，估算变更单价; </w:t>
      </w:r>
    </w:p>
    <w:p w14:paraId="0BF413C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c.涉及多个合同变更项目，由发包人统一发布变更单价;</w:t>
      </w:r>
    </w:p>
    <w:p w14:paraId="6E70504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d.以发包人指定的国家现行概、预算编制办法为基础，由发包人书面确认评估变更单价。</w:t>
      </w:r>
    </w:p>
    <w:p w14:paraId="679A7E8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③.变更支付:变更项目单价与数量的确定，应视为仅是对工程量清单的修改和补充，承包人依然要按照合同文件规定的计量支付办法，提供各种必要的资料，证明变更后的工程已符合合同的规定并按正常支付渠道办理变更支付。</w:t>
      </w:r>
    </w:p>
    <w:p w14:paraId="4D58F09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④.变更时效:为及时办理变更评估和变更价款支付，监理工程师应在每月办理支付前提交发包人一份“月工程变更一览表”，详细列出该月已经监理工程师书面确认的变更项目一览表;该月(并含前期变更)已达到计量支付条件的变更项目总数，在上述这些项目中，哪些项目的变更、调整或暂定单价已经监理工程师确认报发包人核准，哪些项目需要发包人直接审定变更单价或确认其它事项。发包人应及时将审核意见反馈监理工程师，以保证当月计量支付的顺利进行。</w:t>
      </w:r>
    </w:p>
    <w:p w14:paraId="33FD2A8F">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15.3</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变更程序</w:t>
      </w:r>
    </w:p>
    <w:p w14:paraId="38383D68">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15.3.2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变更估价</w:t>
      </w:r>
    </w:p>
    <w:p w14:paraId="0A81EB6B">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（1）承包人提交变更报价书的期限：</w:t>
      </w:r>
      <w:r>
        <w:rPr>
          <w:rFonts w:hint="eastAsia" w:asciiTheme="minorEastAsia" w:hAnsiTheme="minorEastAsia" w:eastAsiaTheme="minorEastAsia"/>
          <w:sz w:val="24"/>
          <w:u w:val="single" w:color="000000" w:themeColor="text1"/>
        </w:rPr>
        <w:t>承包人收到变更指示或变更意向书后的14天内。</w:t>
      </w:r>
    </w:p>
    <w:p w14:paraId="20D53EF7">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（3）监理人商定或确定变更价格的期限：</w:t>
      </w:r>
      <w:r>
        <w:rPr>
          <w:rFonts w:hint="eastAsia" w:asciiTheme="minorEastAsia" w:hAnsiTheme="minorEastAsia" w:eastAsiaTheme="minorEastAsia"/>
          <w:sz w:val="24"/>
          <w:u w:val="single" w:color="000000" w:themeColor="text1"/>
        </w:rPr>
        <w:t>监理人收到承包人变更报价书后的14天内。</w:t>
      </w:r>
    </w:p>
    <w:p w14:paraId="61947D75">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15.4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变更的估价原则</w:t>
      </w:r>
    </w:p>
    <w:p w14:paraId="74BE8276">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因变更引起的价格调整方法：</w:t>
      </w:r>
      <w:r>
        <w:rPr>
          <w:rFonts w:hint="eastAsia" w:cs="宋体" w:asciiTheme="minorEastAsia" w:hAnsiTheme="minorEastAsia" w:eastAsiaTheme="minorEastAsia"/>
          <w:sz w:val="24"/>
          <w:u w:val="single"/>
        </w:rPr>
        <w:t>（1）合同清单或预算书有相同项目的，按照相同项目单价认定；（2）合同清单或预算书中无相同项目，但有类似项目的，参照类似项目的单价认定；</w:t>
      </w:r>
    </w:p>
    <w:p w14:paraId="50E98715">
      <w:pPr>
        <w:pStyle w:val="253"/>
        <w:spacing w:before="0" w:line="360" w:lineRule="auto"/>
        <w:ind w:firstLine="420"/>
        <w:rPr>
          <w:rFonts w:hint="eastAsia" w:cs="宋体" w:asciiTheme="minorEastAsia" w:hAnsiTheme="minorEastAsia" w:eastAsiaTheme="minorEastAsia"/>
          <w:snapToGrid/>
          <w:kern w:val="2"/>
          <w:u w:val="single"/>
        </w:rPr>
      </w:pPr>
      <w:r>
        <w:rPr>
          <w:rFonts w:hint="eastAsia" w:cs="宋体" w:asciiTheme="minorEastAsia" w:hAnsiTheme="minorEastAsia" w:eastAsiaTheme="minorEastAsia"/>
          <w:snapToGrid/>
          <w:kern w:val="2"/>
          <w:u w:color="000000" w:themeColor="text1"/>
        </w:rPr>
        <w:t>15.4.4 因变更引起措施项目发生变化的，措施项目费调整方法：</w:t>
      </w:r>
      <w:r>
        <w:rPr>
          <w:rFonts w:hint="eastAsia" w:cs="宋体" w:asciiTheme="minorEastAsia" w:hAnsiTheme="minorEastAsia" w:eastAsiaTheme="minorEastAsia"/>
          <w:snapToGrid/>
          <w:kern w:val="2"/>
          <w:u w:val="single"/>
        </w:rPr>
        <w:t>（1）安全生产标准化措施费按照实际发生变化的措施项目调整，不得浮动（不可竞争费用）。（2）采用单价计算的措施项目费，按照实际发生变化的措施项目及前述合同量清单项目的规定确定单价。 </w:t>
      </w:r>
    </w:p>
    <w:p w14:paraId="7474F5BF">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15.4.5</w:t>
      </w:r>
      <w:r>
        <w:rPr>
          <w:rFonts w:hint="eastAsia" w:cs="宋体" w:asciiTheme="minorEastAsia" w:hAnsiTheme="minorEastAsia" w:eastAsiaTheme="minorEastAsia"/>
          <w:spacing w:val="44"/>
          <w:sz w:val="24"/>
          <w:u w:color="000000" w:themeColor="text1"/>
        </w:rPr>
        <w:t xml:space="preserve"> </w:t>
      </w:r>
      <w:r>
        <w:rPr>
          <w:rFonts w:hint="eastAsia" w:cs="宋体" w:asciiTheme="minorEastAsia" w:hAnsiTheme="minorEastAsia" w:eastAsiaTheme="minorEastAsia"/>
          <w:sz w:val="24"/>
          <w:u w:color="000000" w:themeColor="text1"/>
        </w:rPr>
        <w:t>合同协议书约定采用单价合同形式时，因非承包人原因引起合同清单中列明的工程量发生增减，且单个项目工程量变化幅度在</w:t>
      </w:r>
      <w:r>
        <w:rPr>
          <w:rFonts w:hint="eastAsia" w:cs="宋体" w:asciiTheme="minorEastAsia" w:hAnsiTheme="minorEastAsia" w:eastAsiaTheme="minorEastAsia"/>
          <w:sz w:val="24"/>
          <w:u w:val="single"/>
        </w:rPr>
        <w:t>±15</w:t>
      </w:r>
      <w:r>
        <w:rPr>
          <w:rFonts w:hint="eastAsia" w:cs="宋体" w:asciiTheme="minorEastAsia" w:hAnsiTheme="minorEastAsia" w:eastAsiaTheme="minorEastAsia"/>
          <w:sz w:val="24"/>
          <w:u w:color="000000" w:themeColor="text1"/>
        </w:rPr>
        <w:t>%以内（含）时，应执行合同清单中列明的该项目的单价；单个项目工程量变化幅度在</w:t>
      </w:r>
      <w:r>
        <w:rPr>
          <w:rFonts w:hint="eastAsia" w:cs="宋体" w:asciiTheme="minorEastAsia" w:hAnsiTheme="minorEastAsia" w:eastAsiaTheme="minorEastAsia"/>
          <w:sz w:val="24"/>
          <w:u w:val="single"/>
        </w:rPr>
        <w:t>±15</w:t>
      </w:r>
      <w:r>
        <w:rPr>
          <w:rFonts w:hint="eastAsia" w:cs="宋体" w:asciiTheme="minorEastAsia" w:hAnsiTheme="minorEastAsia" w:eastAsiaTheme="minorEastAsia"/>
          <w:sz w:val="24"/>
          <w:u w:color="000000" w:themeColor="text1"/>
        </w:rPr>
        <w:t>%以外（不含），且导致分部分项工程费总额变化幅度超过</w:t>
      </w:r>
      <w:r>
        <w:rPr>
          <w:rFonts w:hint="eastAsia" w:cs="宋体" w:asciiTheme="minorEastAsia" w:hAnsiTheme="minorEastAsia" w:eastAsiaTheme="minorEastAsia"/>
          <w:sz w:val="24"/>
          <w:u w:val="single"/>
        </w:rPr>
        <w:t>±1</w:t>
      </w:r>
      <w:r>
        <w:rPr>
          <w:rFonts w:hint="eastAsia" w:cs="宋体" w:asciiTheme="minorEastAsia" w:hAnsiTheme="minorEastAsia" w:eastAsiaTheme="minorEastAsia"/>
          <w:sz w:val="24"/>
          <w:u w:color="000000" w:themeColor="text1"/>
        </w:rPr>
        <w:t>%时，由承包人提出并由监理人按第3.5款商定或确定新的单价，该项目按修正后的新的单价计价。</w:t>
      </w:r>
    </w:p>
    <w:p w14:paraId="78436CD2">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15.4.7</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因变更引起价格调整的其他处理方式：</w:t>
      </w:r>
    </w:p>
    <w:p w14:paraId="054A0B03">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1）因非承包人原因引起合同清单中列明的工程量发生增减，且单项项目工程量变化幅度在±15 %以内（含）时，应执行合同清单中列明的该项目的单价；单个项目工程量增加超过15%，且导致分部分项工程费总额变化幅度超过±1%（不含）时，其增加部分的工程量综合单价予以调低，调低幅度为10%；单个项目工程量减少超过15%，且导致分部分项工程费总额变化幅度超过±1%（不含）时，其减少后剩余部分的工程量综合单价予以调高，调高幅度为10%；</w:t>
      </w:r>
    </w:p>
    <w:p w14:paraId="0CFA3C49">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2）因分部分项工程量清单漏项或非承包人原因的工程变更，造成增加新的工程量清单项</w:t>
      </w:r>
      <w:r>
        <w:rPr>
          <w:rFonts w:hint="eastAsia" w:asciiTheme="minorEastAsia" w:hAnsiTheme="minorEastAsia" w:eastAsiaTheme="minorEastAsia"/>
          <w:u w:val="single" w:color="000000" w:themeColor="text1"/>
        </w:rPr>
        <mc:AlternateContent>
          <mc:Choice Requires="wpg">
            <w:drawing>
              <wp:anchor distT="0" distB="0" distL="114300" distR="114300" simplePos="0" relativeHeight="251677696"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473776177" name="Group 365"/>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914315042" name="Freeform 366"/>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65" o:spid="_x0000_s1026" o:spt="203" style="position:absolute;left:0pt;margin-left:42.75pt;margin-top:70.5pt;height:701.25pt;width:0.1pt;mso-position-horizontal-relative:page;mso-position-vertical-relative:page;z-index:251677696;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Aw8qPRGAMAAJ8HAAAOAAAAAAAAAAEAIAAAACgBAABkcnMvZTJv&#10;RG9jLnhtbFBLBQYAAAAABgAGAFkBAACyBgAAAAA=&#10;">
                <o:lock v:ext="edit" aspectratio="f"/>
                <v:shape id="Freeform 366" o:spid="_x0000_s1026" o:spt="100" style="position:absolute;left:855;top:1410;height:14025;width:2;" fillcolor="#000000" filled="t" stroked="f" coordsize="1,14025" o:gfxdata="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MZC&#10;5sEAAADjAAAADwAAAAAAAAABACAAAAAiAAAAZHJzL2Rvd25yZXYueG1sUEsBAhQAFAAAAAgAh07i&#10;QDMvBZ47AAAAOQAAABAAAAAAAAAAAQAgAAAAEAEAAGRycy9zaGFwZXhtbC54bWxQSwUGAAAAAAYA&#10;BgBbAQAAugM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val="single" w:color="000000" w:themeColor="text1"/>
        </w:rPr>
        <w:t xml:space="preserve">目，其对应的综合单价按下列方法确定： </w:t>
      </w:r>
    </w:p>
    <w:p w14:paraId="72F046A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a.合同中已有适用的综合单价，按合同中已有的最低综合单价确定； </w:t>
      </w:r>
    </w:p>
    <w:p w14:paraId="763499B1">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b.合同中有类似的综合单价，参照类似的综合单价确定； </w:t>
      </w:r>
    </w:p>
    <w:p w14:paraId="061FE5E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c.合同中没有适用或类似的综合单价，按照通用条款及北京市建设工程造价管理处“关于执行《建设工程工程量清单计价规范》</w:t>
      </w:r>
      <w:r>
        <w:rPr>
          <w:rFonts w:asciiTheme="minorEastAsia" w:hAnsiTheme="minorEastAsia" w:eastAsiaTheme="minorEastAsia"/>
          <w:u w:val="single" w:color="000000" w:themeColor="text1"/>
        </w:rPr>
        <w:t>(GB/T 50500-2024)</w:t>
      </w:r>
      <w:r>
        <w:rPr>
          <w:rFonts w:hint="eastAsia" w:asciiTheme="minorEastAsia" w:hAnsiTheme="minorEastAsia" w:eastAsiaTheme="minorEastAsia"/>
          <w:u w:val="single" w:color="000000" w:themeColor="text1"/>
        </w:rPr>
        <w:t xml:space="preserve">文件中的有关规定执行。即：a)消耗量：合同清单中已有相应的人工、材料、机械消耗量的，按照已有的执行；如果没有，依据现行定额相关项目及有关规定的消耗量确定； </w:t>
      </w:r>
    </w:p>
    <w:p w14:paraId="4FC3819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b)人工、材料价格：合同清单中已有相应的人工、材料和机械价格，按照已有的约定执行；如果没有，发、承包双方参照施工期《北京工程造价信息》中的价格确定，《北京工程造价信息》中没有的价格，发、承包双方按市场价格确定； </w:t>
      </w:r>
    </w:p>
    <w:p w14:paraId="79FA940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 xml:space="preserve">c)综合单价中各项取费标准：以合同清单中确定的为准。 </w:t>
      </w:r>
    </w:p>
    <w:p w14:paraId="240B122D">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3）合同文件约定的其他措施项目费风险范围：</w:t>
      </w:r>
    </w:p>
    <w:p w14:paraId="6AA704E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a.以项为计量单位计价的措施项目费用（除安全文明施工费用）固定包死，包含但不限于夜间施工费、非夜间施工照明费、超高施工费、脚手架施工费、垂直运输费、原有设备保护 费、二次搬运费、冬雨季施工费、地上障碍物（临建等）及其附属基础的拆除和消纳、地上、地下设施及建筑物的临时保护设施等已完工程及设备保护、场地狭小施工困难增加费、扰民民扰费、BIM模型费用、绿建地标二星费用等。</w:t>
      </w:r>
    </w:p>
    <w:p w14:paraId="1830544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b.由于承包人报价时失误或未能准确理解合同（招标）文件所发生的措施费用自行承担。</w:t>
      </w:r>
    </w:p>
    <w:p w14:paraId="5063955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4)根据《北京市建设工程质量条例》第四十一条规定：发包人应当委托具有相应资质的检测单位，按照规定对见证取样的建筑材料、建筑构配件和设备、预拌混凝土、混凝土预制构件和工程实体质量、使用功能进行检测。承包人进行取样、封样、送样，监理人进行见证。因此，此项费用发包人单独计取，承包人报价时无需考虑。</w:t>
      </w:r>
    </w:p>
    <w:p w14:paraId="24A818E9">
      <w:pPr>
        <w:pStyle w:val="17"/>
        <w:tabs>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15.5  承包人的合理化建议</w:t>
      </w:r>
    </w:p>
    <w:p w14:paraId="3D63965F">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15.5.2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对承包人提出合理化建议的奖励方法：</w:t>
      </w:r>
      <w:r>
        <w:rPr>
          <w:rFonts w:hint="eastAsia" w:asciiTheme="minorEastAsia" w:hAnsiTheme="minorEastAsia" w:eastAsiaTheme="minorEastAsia"/>
          <w:sz w:val="24"/>
          <w:u w:val="single" w:color="000000" w:themeColor="text1"/>
        </w:rPr>
        <w:t>/</w:t>
      </w:r>
    </w:p>
    <w:p w14:paraId="45BB841B">
      <w:pPr>
        <w:pStyle w:val="17"/>
        <w:tabs>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15.7  计日工</w:t>
      </w:r>
    </w:p>
    <w:p w14:paraId="08F745BD">
      <w:pPr>
        <w:pStyle w:val="17"/>
        <w:tabs>
          <w:tab w:val="left" w:pos="840"/>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color="000000" w:themeColor="text1"/>
        </w:rPr>
        <w:t>15.7.1  计日工合同单价指：</w:t>
      </w:r>
      <w:r>
        <w:rPr>
          <w:rFonts w:hint="eastAsia" w:asciiTheme="minorEastAsia" w:hAnsiTheme="minorEastAsia" w:eastAsiaTheme="minorEastAsia"/>
          <w:u w:val="single"/>
        </w:rPr>
        <w:t>/</w:t>
      </w:r>
    </w:p>
    <w:p w14:paraId="774C0584">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15.8</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暂估价</w:t>
      </w:r>
    </w:p>
    <w:p w14:paraId="77AB2094">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15.8.1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按合同约定应当由发包人和承包人采用招标方式选择专项供应商或专业分包人的：</w:t>
      </w:r>
    </w:p>
    <w:p w14:paraId="3F93348F">
      <w:pPr>
        <w:adjustRightInd w:val="0"/>
        <w:snapToGrid w:val="0"/>
        <w:spacing w:line="360" w:lineRule="auto"/>
        <w:jc w:val="left"/>
        <w:rPr>
          <w:rFonts w:hint="eastAsia" w:cs="宋体" w:asciiTheme="minorEastAsia" w:hAnsiTheme="minorEastAsia" w:eastAsiaTheme="minorEastAsia"/>
          <w:spacing w:val="70"/>
          <w:w w:val="95"/>
          <w:sz w:val="24"/>
          <w:u w:val="single" w:color="000000" w:themeColor="text1"/>
        </w:rPr>
      </w:pPr>
      <w:r>
        <w:rPr>
          <w:rFonts w:hint="eastAsia" w:cs="宋体" w:asciiTheme="minorEastAsia" w:hAnsiTheme="minorEastAsia" w:eastAsiaTheme="minorEastAsia"/>
          <w:sz w:val="24"/>
          <w:u w:color="000000" w:themeColor="text1"/>
        </w:rPr>
        <w:t>（4）承包人报送招标计划期限：</w:t>
      </w:r>
      <w:r>
        <w:rPr>
          <w:rFonts w:hint="eastAsia" w:cs="宋体" w:asciiTheme="minorEastAsia" w:hAnsiTheme="minorEastAsia" w:eastAsiaTheme="minorEastAsia"/>
          <w:sz w:val="24"/>
          <w:u w:val="single"/>
        </w:rPr>
        <w:t>双方协商</w:t>
      </w:r>
      <w:r>
        <w:rPr>
          <w:rFonts w:hint="eastAsia" w:cs="宋体" w:asciiTheme="minorEastAsia" w:hAnsiTheme="minorEastAsia" w:eastAsiaTheme="minorEastAsia"/>
          <w:sz w:val="24"/>
          <w:u w:color="000000" w:themeColor="text1"/>
        </w:rPr>
        <w:t xml:space="preserve"> </w:t>
      </w:r>
    </w:p>
    <w:p w14:paraId="33783BFC">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发包人审批招标工作计划时限：</w:t>
      </w:r>
      <w:r>
        <w:rPr>
          <w:rFonts w:hint="eastAsia" w:cs="宋体" w:asciiTheme="minorEastAsia" w:hAnsiTheme="minorEastAsia" w:eastAsiaTheme="minorEastAsia"/>
          <w:sz w:val="24"/>
          <w:u w:val="single" w:color="000000" w:themeColor="text1"/>
        </w:rPr>
        <w:t>双方协商</w:t>
      </w:r>
    </w:p>
    <w:p w14:paraId="4F7983EC">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rPr>
        <w:t>（5）承包人报送相关文件时限：</w:t>
      </w:r>
      <w:r>
        <w:rPr>
          <w:rFonts w:hint="eastAsia" w:cs="宋体" w:asciiTheme="minorEastAsia" w:hAnsiTheme="minorEastAsia" w:eastAsiaTheme="minorEastAsia"/>
          <w:sz w:val="24"/>
          <w:u w:val="single" w:color="000000" w:themeColor="text1"/>
        </w:rPr>
        <w:t xml:space="preserve">双方协商 </w:t>
      </w:r>
    </w:p>
    <w:p w14:paraId="12FF76D1">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发包人审批相关文件时限：</w:t>
      </w:r>
      <w:r>
        <w:rPr>
          <w:rFonts w:hint="eastAsia" w:cs="宋体" w:asciiTheme="minorEastAsia" w:hAnsiTheme="minorEastAsia" w:eastAsiaTheme="minorEastAsia"/>
          <w:sz w:val="24"/>
          <w:u w:val="single" w:color="000000" w:themeColor="text1"/>
        </w:rPr>
        <w:t>双方协商</w:t>
      </w: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78720"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651093399" name="Group 363"/>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759699609" name="Freeform 364"/>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63" o:spid="_x0000_s1026" o:spt="203" style="position:absolute;left:0pt;margin-left:42.75pt;margin-top:70.5pt;height:701.25pt;width:0.1pt;mso-position-horizontal-relative:page;mso-position-vertical-relative:page;z-index:251678720;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AEerOn2QAAAAoBAAAPAAAAAAAAAAEAIAAAACIAAABkcnMvZG93bnJl&#10;di54bWxQSwECFAAUAAAACACHTuJAtJyhPxkDAACgBwAADgAAAAAAAAABACAAAAAoAQAAZHJzL2Uy&#10;b0RvYy54bWxQSwUGAAAAAAYABgBZAQAAswYAAAAA&#10;">
                <o:lock v:ext="edit" aspectratio="f"/>
                <v:shape id="Freeform 364" o:spid="_x0000_s1026" o:spt="100" style="position:absolute;left:855;top:1410;height:14025;width:2;" fillcolor="#000000" filled="t" stroked="f" coordsize="1,14025" o:gfxdata="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ENhu&#10;wAAAAOMAAAAPAAAAAAAAAAEAIAAAACIAAABkcnMvZG93bnJldi54bWxQSwECFAAUAAAACACHTuJA&#10;My8FnjsAAAA5AAAAEAAAAAAAAAABACAAAAAPAQAAZHJzL3NoYXBleG1sLnhtbFBLBQYAAAAABgAG&#10;AFsBAAC5AwAAAAA=&#10;" path="m0,0l0,14025,0,0xe">
                  <v:path o:connectlocs="0,1410;0,15435;0,1410" o:connectangles="0,0,0"/>
                  <v:fill on="t" focussize="0,0"/>
                  <v:stroke on="f"/>
                  <v:imagedata o:title=""/>
                  <o:lock v:ext="edit" aspectratio="f"/>
                </v:shape>
              </v:group>
            </w:pict>
          </mc:Fallback>
        </mc:AlternateContent>
      </w:r>
    </w:p>
    <w:p w14:paraId="280BF7FA">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（10）承包人申报合同文件时限：</w:t>
      </w:r>
      <w:r>
        <w:rPr>
          <w:rFonts w:hint="eastAsia" w:cs="宋体" w:asciiTheme="minorEastAsia" w:hAnsiTheme="minorEastAsia" w:eastAsiaTheme="minorEastAsia"/>
          <w:sz w:val="24"/>
          <w:u w:val="single" w:color="000000" w:themeColor="text1"/>
        </w:rPr>
        <w:t>双方协商</w:t>
      </w:r>
      <w:r>
        <w:rPr>
          <w:rFonts w:hint="eastAsia" w:cs="宋体" w:asciiTheme="minorEastAsia" w:hAnsiTheme="minorEastAsia" w:eastAsiaTheme="minorEastAsia"/>
          <w:w w:val="99"/>
          <w:sz w:val="24"/>
          <w:u w:color="000000" w:themeColor="text1"/>
        </w:rPr>
        <w:t xml:space="preserve"> </w:t>
      </w:r>
    </w:p>
    <w:p w14:paraId="253D519B">
      <w:pPr>
        <w:adjustRightInd w:val="0"/>
        <w:snapToGrid w:val="0"/>
        <w:spacing w:line="360" w:lineRule="auto"/>
        <w:ind w:firstLine="720" w:firstLineChars="300"/>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发包人审批合同文件时限：</w:t>
      </w:r>
      <w:r>
        <w:rPr>
          <w:rFonts w:hint="eastAsia" w:cs="宋体" w:asciiTheme="minorEastAsia" w:hAnsiTheme="minorEastAsia" w:eastAsiaTheme="minorEastAsia"/>
          <w:sz w:val="24"/>
          <w:u w:val="single" w:color="000000" w:themeColor="text1"/>
        </w:rPr>
        <w:t>双方协商</w:t>
      </w:r>
      <w:r>
        <w:rPr>
          <w:rFonts w:hint="eastAsia" w:cs="宋体" w:asciiTheme="minorEastAsia" w:hAnsiTheme="minorEastAsia" w:eastAsiaTheme="minorEastAsia"/>
          <w:w w:val="99"/>
          <w:sz w:val="24"/>
          <w:u w:color="000000" w:themeColor="text1"/>
        </w:rPr>
        <w:t xml:space="preserve"> </w:t>
      </w:r>
    </w:p>
    <w:p w14:paraId="2F277FFB">
      <w:pPr>
        <w:adjustRightInd w:val="0"/>
        <w:snapToGrid w:val="0"/>
        <w:spacing w:line="360" w:lineRule="auto"/>
        <w:ind w:firstLine="720" w:firstLineChars="3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承包人报送正式签订合同副本时限：</w:t>
      </w:r>
      <w:r>
        <w:rPr>
          <w:rFonts w:hint="eastAsia" w:cs="宋体" w:asciiTheme="minorEastAsia" w:hAnsiTheme="minorEastAsia" w:eastAsiaTheme="minorEastAsia"/>
          <w:sz w:val="24"/>
          <w:u w:val="single"/>
        </w:rPr>
        <w:t>双方协商</w:t>
      </w:r>
    </w:p>
    <w:p w14:paraId="5ECFF825">
      <w:pPr>
        <w:tabs>
          <w:tab w:val="left" w:pos="2094"/>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15.8.3 发包人在工程量清单中给定暂估价的专业工程不属于依法必须招标的范围或者未达到依法必须招标的规模标准的，其最终价格的估价人为：</w:t>
      </w:r>
      <w:r>
        <w:rPr>
          <w:rFonts w:hint="eastAsia" w:cs="宋体" w:asciiTheme="minorEastAsia" w:hAnsiTheme="minorEastAsia" w:eastAsiaTheme="minorEastAsia"/>
          <w:sz w:val="24"/>
          <w:u w:val="single" w:color="000000" w:themeColor="text1"/>
        </w:rPr>
        <w:t>/</w:t>
      </w:r>
      <w:r>
        <w:rPr>
          <w:rFonts w:hint="eastAsia" w:cs="宋体" w:asciiTheme="minorEastAsia" w:hAnsiTheme="minorEastAsia" w:eastAsiaTheme="minorEastAsia"/>
          <w:sz w:val="24"/>
          <w:u w:color="000000" w:themeColor="text1"/>
        </w:rPr>
        <w:t>或者按照下列约定：</w:t>
      </w:r>
      <w:r>
        <w:rPr>
          <w:rFonts w:hint="eastAsia" w:cs="宋体" w:asciiTheme="minorEastAsia" w:hAnsiTheme="minorEastAsia" w:eastAsiaTheme="minorEastAsia"/>
          <w:sz w:val="24"/>
          <w:u w:val="single" w:color="000000" w:themeColor="text1"/>
        </w:rPr>
        <w:t>/</w:t>
      </w:r>
    </w:p>
    <w:p w14:paraId="666357E7">
      <w:pPr>
        <w:pStyle w:val="6"/>
        <w:spacing w:before="0" w:after="0" w:line="360" w:lineRule="auto"/>
        <w:rPr>
          <w:sz w:val="24"/>
          <w:szCs w:val="24"/>
          <w:u w:color="000000" w:themeColor="text1"/>
        </w:rPr>
      </w:pPr>
      <w:r>
        <w:rPr>
          <w:rFonts w:hint="eastAsia"/>
          <w:sz w:val="24"/>
          <w:szCs w:val="24"/>
          <w:u w:color="000000" w:themeColor="text1"/>
        </w:rPr>
        <w:t>16.价格调整</w:t>
      </w:r>
    </w:p>
    <w:p w14:paraId="1CEB8FF4">
      <w:pPr>
        <w:pStyle w:val="17"/>
        <w:tabs>
          <w:tab w:val="left" w:pos="1254"/>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16.1</w:t>
      </w:r>
      <w:r>
        <w:rPr>
          <w:rFonts w:hint="eastAsia" w:asciiTheme="minorEastAsia" w:hAnsiTheme="minorEastAsia" w:eastAsiaTheme="minorEastAsia"/>
          <w:spacing w:val="109"/>
          <w:u w:color="000000" w:themeColor="text1"/>
        </w:rPr>
        <w:t xml:space="preserve"> </w:t>
      </w:r>
      <w:r>
        <w:rPr>
          <w:rFonts w:hint="eastAsia" w:asciiTheme="minorEastAsia" w:hAnsiTheme="minorEastAsia" w:eastAsiaTheme="minorEastAsia"/>
          <w:u w:color="000000" w:themeColor="text1"/>
        </w:rPr>
        <w:t>物价波动引起的价格调整</w:t>
      </w:r>
    </w:p>
    <w:p w14:paraId="1D1079E3">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物价波动引起价格调整方法：</w:t>
      </w:r>
      <w:r>
        <w:rPr>
          <w:rFonts w:hint="eastAsia" w:cs="宋体" w:asciiTheme="minorEastAsia" w:hAnsiTheme="minorEastAsia" w:eastAsiaTheme="minorEastAsia"/>
          <w:sz w:val="24"/>
          <w:u w:val="single" w:color="000000" w:themeColor="text1"/>
        </w:rPr>
        <w:t>采用北京市建设工程造价管理处价格信息中心出版的《北京工程造价信息》调整价格差额。</w:t>
      </w:r>
    </w:p>
    <w:p w14:paraId="44506ED4">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16.1.2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采用造价信息调整价格差额</w:t>
      </w:r>
    </w:p>
    <w:p w14:paraId="3702E241">
      <w:pPr>
        <w:tabs>
          <w:tab w:val="left" w:pos="150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16.1.2.1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引起价格调整的物价波动风险范围及幅度</w:t>
      </w:r>
    </w:p>
    <w:p w14:paraId="022253AC">
      <w:pPr>
        <w:tabs>
          <w:tab w:val="left" w:pos="1500"/>
        </w:tabs>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rPr>
        <w:t>引起价格调整的物价波动风险范围：</w:t>
      </w:r>
      <w:r>
        <w:rPr>
          <w:rFonts w:hint="eastAsia" w:cs="宋体" w:asciiTheme="minorEastAsia" w:hAnsiTheme="minorEastAsia" w:eastAsiaTheme="minorEastAsia"/>
          <w:sz w:val="24"/>
          <w:u w:val="single" w:color="000000" w:themeColor="text1"/>
        </w:rPr>
        <w:t>按照风险共担、合理分担原则，人工风险幅度不得超过±5%，材料、工程设备、施工机械台班等风险幅度一般不超过±5%。下列材料列入风险范围：</w:t>
      </w:r>
      <w:r>
        <w:rPr>
          <w:rFonts w:cs="宋体" w:asciiTheme="minorEastAsia" w:hAnsiTheme="minorEastAsia" w:eastAsiaTheme="minorEastAsia"/>
          <w:sz w:val="24"/>
          <w:u w:val="single" w:color="000000" w:themeColor="text1"/>
        </w:rPr>
        <w:t>卫生洁具、天棚龙骨，吊顶、石材</w:t>
      </w:r>
      <w:r>
        <w:rPr>
          <w:rFonts w:hint="eastAsia" w:cs="宋体" w:asciiTheme="minorEastAsia" w:hAnsiTheme="minorEastAsia" w:eastAsiaTheme="minorEastAsia"/>
          <w:sz w:val="24"/>
          <w:u w:val="single" w:color="000000" w:themeColor="text1"/>
        </w:rPr>
        <w:t>等材料。</w:t>
      </w:r>
    </w:p>
    <w:p w14:paraId="2A113DFD">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引起价格调整的物价波动风险幅度：</w:t>
      </w:r>
      <w:r>
        <w:rPr>
          <w:rFonts w:hint="eastAsia" w:cs="宋体" w:asciiTheme="minorEastAsia" w:hAnsiTheme="minorEastAsia" w:eastAsiaTheme="minorEastAsia"/>
          <w:sz w:val="24"/>
          <w:u w:val="single" w:color="000000" w:themeColor="text1"/>
        </w:rPr>
        <w:t>±5%</w:t>
      </w:r>
    </w:p>
    <w:p w14:paraId="58F5461E">
      <w:pPr>
        <w:tabs>
          <w:tab w:val="left" w:pos="1605"/>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16.1.2.2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物价波动引起价格调整的风险幅度的计算方法</w:t>
      </w:r>
    </w:p>
    <w:p w14:paraId="5AE89380">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（1）投标报价基准期：</w:t>
      </w:r>
      <w:r>
        <w:rPr>
          <w:rFonts w:hint="eastAsia" w:cs="宋体" w:asciiTheme="minorEastAsia" w:hAnsiTheme="minorEastAsia" w:eastAsiaTheme="minorEastAsia"/>
          <w:sz w:val="24"/>
          <w:u w:val="single" w:color="000000" w:themeColor="text1"/>
        </w:rPr>
        <w:t>2026</w:t>
      </w:r>
      <w:r>
        <w:rPr>
          <w:rFonts w:hint="eastAsia" w:cs="宋体" w:asciiTheme="minorEastAsia" w:hAnsiTheme="minorEastAsia" w:eastAsiaTheme="minorEastAsia"/>
          <w:sz w:val="24"/>
          <w:u w:color="000000" w:themeColor="text1"/>
        </w:rPr>
        <w:t>年</w:t>
      </w:r>
      <w:r>
        <w:rPr>
          <w:rFonts w:hint="eastAsia" w:cs="宋体" w:asciiTheme="minorEastAsia" w:hAnsiTheme="minorEastAsia" w:eastAsiaTheme="minorEastAsia"/>
          <w:sz w:val="24"/>
          <w:u w:val="single" w:color="000000" w:themeColor="text1"/>
        </w:rPr>
        <w:t xml:space="preserve">  5 </w:t>
      </w:r>
      <w:r>
        <w:rPr>
          <w:rFonts w:hint="eastAsia" w:cs="宋体" w:asciiTheme="minorEastAsia" w:hAnsiTheme="minorEastAsia" w:eastAsiaTheme="minorEastAsia"/>
          <w:sz w:val="24"/>
          <w:u w:color="000000" w:themeColor="text1"/>
        </w:rPr>
        <w:t>月。</w:t>
      </w:r>
    </w:p>
    <w:p w14:paraId="40F5EA7E">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（2）《北京工程造价信息》中工程造价信息价没有的，基准价的确定方法：</w:t>
      </w:r>
    </w:p>
    <w:p w14:paraId="3E54863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按发包人、承包人及发包人委托的第三方咨询公司共同确认市场价格为准。</w:t>
      </w:r>
    </w:p>
    <w:p w14:paraId="7D5210AD">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（3）合同履行期间价格的确定方法：</w:t>
      </w:r>
    </w:p>
    <w:p w14:paraId="4C1FB6B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按发包人、承包人及发包人委托的第三方咨询公司共同确认市场价格为准。</w:t>
      </w:r>
    </w:p>
    <w:p w14:paraId="7519324B">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（4）风险幅度的计算方法：</w:t>
      </w:r>
      <w:r>
        <w:rPr>
          <w:rFonts w:hint="eastAsia" w:asciiTheme="minorEastAsia" w:hAnsiTheme="minorEastAsia" w:eastAsiaTheme="minorEastAsia"/>
          <w:sz w:val="24"/>
          <w:u w:val="single" w:color="000000" w:themeColor="text1"/>
        </w:rPr>
        <w:t>/</w:t>
      </w:r>
    </w:p>
    <w:p w14:paraId="2307A456">
      <w:pPr>
        <w:tabs>
          <w:tab w:val="left" w:pos="150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16.1.2.3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物价波动引起价格调整的方法</w:t>
      </w:r>
    </w:p>
    <w:p w14:paraId="65B5D21A">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color="000000" w:themeColor="text1"/>
        </w:rPr>
        <w:t>（1）价格调整方法：</w:t>
      </w:r>
      <w:r>
        <w:rPr>
          <w:rFonts w:hint="eastAsia" w:asciiTheme="minorEastAsia" w:hAnsiTheme="minorEastAsia" w:eastAsiaTheme="minorEastAsia"/>
          <w:u w:val="single"/>
        </w:rPr>
        <w:t xml:space="preserve">1）在发、承包双方履行合同过程中，当国家的法律、法规、规章及政策发生变化，国家或省级、行业建设主管部门或其授权的工程造价管理机构据此发布工程造价调整文件，工程价款应当进行调整。 </w:t>
      </w:r>
    </w:p>
    <w:p w14:paraId="0B4A289C">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 xml:space="preserve">2）当施工中施工图纸（含设计变更）与工程量清单项目特征描述不一致时，发、承包双方按实际施工的项目特征重新确定综合单价。 </w:t>
      </w:r>
    </w:p>
    <w:p w14:paraId="37049122">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3）因地质条件引起施工工艺的改变，按照新工艺进行调整。</w:t>
      </w:r>
    </w:p>
    <w:p w14:paraId="6956EE66">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w w:val="95"/>
          <w:u w:color="000000" w:themeColor="text1"/>
        </w:rPr>
      </w:pPr>
      <w:r>
        <w:rPr>
          <w:rFonts w:hint="eastAsia" w:asciiTheme="minorEastAsia" w:hAnsiTheme="minorEastAsia" w:eastAsiaTheme="minorEastAsia"/>
          <w:u w:color="000000" w:themeColor="text1"/>
        </w:rPr>
        <w:t>16.1.2.</w:t>
      </w:r>
      <w:r>
        <w:rPr>
          <w:rFonts w:hint="eastAsia" w:asciiTheme="minorEastAsia" w:hAnsiTheme="minorEastAsia" w:eastAsiaTheme="minorEastAsia"/>
          <w:spacing w:val="-45"/>
          <w:u w:color="000000" w:themeColor="text1"/>
        </w:rPr>
        <w:t xml:space="preserve"> </w:t>
      </w:r>
      <w:r>
        <w:rPr>
          <w:rFonts w:hint="eastAsia" w:asciiTheme="minorEastAsia" w:hAnsiTheme="minorEastAsia" w:eastAsiaTheme="minorEastAsia"/>
          <w:u w:color="000000" w:themeColor="text1"/>
        </w:rPr>
        <w:t xml:space="preserve">4 </w:t>
      </w:r>
      <w:r>
        <w:rPr>
          <w:rFonts w:hint="eastAsia" w:asciiTheme="minorEastAsia" w:hAnsiTheme="minorEastAsia" w:eastAsiaTheme="minorEastAsia"/>
          <w:w w:val="95"/>
          <w:u w:color="000000" w:themeColor="text1"/>
        </w:rPr>
        <w:t>其他约定：</w:t>
      </w:r>
      <w:r>
        <w:rPr>
          <w:rFonts w:hint="eastAsia" w:asciiTheme="minorEastAsia" w:hAnsiTheme="minorEastAsia" w:eastAsiaTheme="minorEastAsia"/>
          <w:w w:val="95"/>
          <w:u w:val="single"/>
        </w:rPr>
        <w:t>/</w:t>
      </w:r>
    </w:p>
    <w:p w14:paraId="5F8F8D15">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16.1.3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其他价格调整方法：</w:t>
      </w:r>
      <w:r>
        <w:rPr>
          <w:rFonts w:hint="eastAsia" w:asciiTheme="minorEastAsia" w:hAnsiTheme="minorEastAsia" w:eastAsiaTheme="minorEastAsia"/>
          <w:sz w:val="24"/>
          <w:u w:val="single" w:color="000000" w:themeColor="text1"/>
        </w:rPr>
        <w:t>/</w:t>
      </w:r>
    </w:p>
    <w:p w14:paraId="1084F96F">
      <w:pPr>
        <w:pStyle w:val="6"/>
        <w:spacing w:before="0" w:after="0" w:line="360" w:lineRule="auto"/>
        <w:rPr>
          <w:sz w:val="24"/>
          <w:szCs w:val="24"/>
          <w:u w:color="000000" w:themeColor="text1"/>
        </w:rPr>
      </w:pPr>
      <w:r>
        <w:rPr>
          <w:rFonts w:hint="eastAsia"/>
          <w:sz w:val="24"/>
          <w:szCs w:val="24"/>
          <w:u w:color="000000" w:themeColor="text1"/>
        </w:rPr>
        <w:t>17.计量与支付</w:t>
      </w:r>
    </w:p>
    <w:p w14:paraId="28A86A59">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17.1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计量</w:t>
      </w:r>
    </w:p>
    <w:p w14:paraId="16380BED">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17.1.3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计量周期</w:t>
      </w:r>
    </w:p>
    <w:p w14:paraId="23CD4103">
      <w:pPr>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color="000000" w:themeColor="text1"/>
        </w:rPr>
        <w:t>本工程的计量周期：</w:t>
      </w:r>
      <w:r>
        <w:rPr>
          <w:rFonts w:hint="eastAsia" w:cs="宋体" w:asciiTheme="minorEastAsia" w:hAnsiTheme="minorEastAsia" w:eastAsiaTheme="minorEastAsia"/>
          <w:sz w:val="24"/>
          <w:u w:val="single"/>
        </w:rPr>
        <w:t>按月计量</w:t>
      </w:r>
    </w:p>
    <w:p w14:paraId="7D51841D">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（1）每月</w:t>
      </w:r>
      <w:r>
        <w:rPr>
          <w:rFonts w:hint="eastAsia" w:cs="宋体" w:asciiTheme="minorEastAsia" w:hAnsiTheme="minorEastAsia" w:eastAsiaTheme="minorEastAsia"/>
          <w:sz w:val="24"/>
          <w:u w:val="single" w:color="000000" w:themeColor="text1"/>
        </w:rPr>
        <w:t>25</w:t>
      </w:r>
      <w:r>
        <w:rPr>
          <w:rFonts w:hint="eastAsia" w:cs="宋体" w:asciiTheme="minorEastAsia" w:hAnsiTheme="minorEastAsia" w:eastAsiaTheme="minorEastAsia"/>
          <w:sz w:val="24"/>
          <w:u w:color="000000" w:themeColor="text1"/>
        </w:rPr>
        <w:t>日为当月计量截止日期（不含当日）和下月计量起始日期（含当日）。</w:t>
      </w:r>
    </w:p>
    <w:p w14:paraId="3E6B9579">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（2）本合同</w:t>
      </w:r>
      <w:r>
        <w:rPr>
          <w:rFonts w:hint="eastAsia" w:cs="宋体" w:asciiTheme="minorEastAsia" w:hAnsiTheme="minorEastAsia" w:eastAsiaTheme="minorEastAsia"/>
          <w:sz w:val="24"/>
          <w:u w:val="single"/>
        </w:rPr>
        <w:t>执行</w:t>
      </w:r>
      <w:r>
        <w:rPr>
          <w:rFonts w:hint="eastAsia" w:cs="宋体" w:asciiTheme="minorEastAsia" w:hAnsiTheme="minorEastAsia" w:eastAsiaTheme="minorEastAsia"/>
          <w:sz w:val="24"/>
          <w:u w:color="000000" w:themeColor="text1"/>
        </w:rPr>
        <w:t>（执行（采用单价合同形式时）/不执行（采用总价合同形式时））单价项目已完成工程量按月计量。</w:t>
      </w:r>
    </w:p>
    <w:p w14:paraId="2147A4BC">
      <w:pPr>
        <w:tabs>
          <w:tab w:val="left" w:pos="1914"/>
        </w:tabs>
        <w:adjustRightInd w:val="0"/>
        <w:snapToGrid w:val="0"/>
        <w:spacing w:line="360" w:lineRule="auto"/>
        <w:jc w:val="left"/>
        <w:rPr>
          <w:rFonts w:hint="eastAsia" w:cs="宋体" w:asciiTheme="minorEastAsia" w:hAnsiTheme="minorEastAsia" w:eastAsiaTheme="minorEastAsia"/>
          <w:spacing w:val="21"/>
          <w:w w:val="95"/>
          <w:sz w:val="24"/>
          <w:u w:color="000000" w:themeColor="text1"/>
        </w:rPr>
      </w:pPr>
      <w:r>
        <w:rPr>
          <w:rFonts w:hint="eastAsia" w:cs="宋体" w:asciiTheme="minorEastAsia" w:hAnsiTheme="minorEastAsia" w:eastAsiaTheme="minorEastAsia"/>
          <w:sz w:val="24"/>
          <w:u w:color="000000" w:themeColor="text1"/>
        </w:rPr>
        <w:t>（3）总价项目计量方式采用</w:t>
      </w:r>
      <w:r>
        <w:rPr>
          <w:rFonts w:hint="eastAsia" w:cs="宋体" w:asciiTheme="minorEastAsia" w:hAnsiTheme="minorEastAsia" w:eastAsiaTheme="minorEastAsia"/>
          <w:sz w:val="24"/>
          <w:u w:val="single"/>
        </w:rPr>
        <w:t>按实际完成工程量计量</w:t>
      </w:r>
      <w:r>
        <w:rPr>
          <w:rFonts w:hint="eastAsia" w:cs="宋体" w:asciiTheme="minorEastAsia" w:hAnsiTheme="minorEastAsia" w:eastAsiaTheme="minorEastAsia"/>
          <w:sz w:val="24"/>
          <w:u w:color="000000" w:themeColor="text1"/>
        </w:rPr>
        <w:t xml:space="preserve">。 </w:t>
      </w:r>
      <w:r>
        <w:rPr>
          <w:rFonts w:hint="eastAsia" w:cs="宋体" w:asciiTheme="minorEastAsia" w:hAnsiTheme="minorEastAsia" w:eastAsiaTheme="minorEastAsia"/>
          <w:w w:val="95"/>
          <w:sz w:val="24"/>
          <w:u w:color="000000" w:themeColor="text1"/>
        </w:rPr>
        <w:t xml:space="preserve"> </w:t>
      </w:r>
      <w:r>
        <w:rPr>
          <w:rFonts w:hint="eastAsia" w:cs="宋体" w:asciiTheme="minorEastAsia" w:hAnsiTheme="minorEastAsia" w:eastAsiaTheme="minorEastAsia"/>
          <w:spacing w:val="21"/>
          <w:w w:val="95"/>
          <w:sz w:val="24"/>
          <w:u w:color="000000" w:themeColor="text1"/>
        </w:rPr>
        <w:t xml:space="preserve"> </w:t>
      </w:r>
    </w:p>
    <w:p w14:paraId="6D2DF72D">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17.1.5</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 xml:space="preserve"> 总价项目的计量（适用于采用按实际完成工程量计量）</w:t>
      </w:r>
    </w:p>
    <w:p w14:paraId="506BEA02">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（1）采用按实际完成工程量计量方式的,总价项目的价格调整方法：</w:t>
      </w:r>
    </w:p>
    <w:p w14:paraId="28880BC4">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w:t>
      </w:r>
    </w:p>
    <w:p w14:paraId="43B4D062">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17.2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预付款</w:t>
      </w:r>
    </w:p>
    <w:p w14:paraId="7707FE9B">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17.2.1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预付款</w:t>
      </w:r>
    </w:p>
    <w:p w14:paraId="00326CF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（1）预付款额度</w:t>
      </w:r>
    </w:p>
    <w:p w14:paraId="6F2BABD5">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color="000000" w:themeColor="text1"/>
        </w:rPr>
        <mc:AlternateContent>
          <mc:Choice Requires="wpg">
            <w:drawing>
              <wp:anchor distT="0" distB="0" distL="114300" distR="114300" simplePos="0" relativeHeight="251679744"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945092541" name="Group 359"/>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458452237" name="Freeform 360"/>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59" o:spid="_x0000_s1026" o:spt="203" style="position:absolute;left:0pt;margin-left:42.75pt;margin-top:70.5pt;height:701.25pt;width:0.1pt;mso-position-horizontal-relative:page;mso-position-vertical-relative:page;z-index:251679744;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BHqzp9kAAAAKAQAADwAAAAAAAAABACAAAAAiAAAAZHJzL2Rvd25yZXYu&#10;eG1sUEsBAhQAFAAAAAgAh07iQME32ZUXAwAAnwcAAA4AAAAAAAAAAQAgAAAAKAEAAGRycy9lMm9E&#10;b2MueG1sUEsFBgAAAAAGAAYAWQEAALEGAAAAAA==&#10;">
                <o:lock v:ext="edit" aspectratio="f"/>
                <v:shape id="Freeform 360" o:spid="_x0000_s1026" o:spt="100" style="position:absolute;left:855;top:1410;height:14025;width:2;" fillcolor="#000000" filled="t" stroked="f" coordsize="1,14025" o:gfxdata="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j6e&#10;zsEAAADjAAAADwAAAAAAAAABACAAAAAiAAAAZHJzL2Rvd25yZXYueG1sUEsBAhQAFAAAAAgAh07i&#10;QDMvBZ47AAAAOQAAABAAAAAAAAAAAQAgAAAAEAEAAGRycy9zaGFwZXhtbC54bWxQSwUGAAAAAAYA&#10;BgBbAQAAugM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u w:color="000000" w:themeColor="text1"/>
        </w:rPr>
        <w:t>预付款额度：</w:t>
      </w:r>
      <w:r>
        <w:rPr>
          <w:rFonts w:hint="eastAsia" w:asciiTheme="minorEastAsia" w:hAnsiTheme="minorEastAsia" w:eastAsiaTheme="minorEastAsia"/>
          <w:u w:val="single"/>
        </w:rPr>
        <w:t>签约合同价【不含安全生产标准化措施费（含税）、暂列金额（含税）、专业工程暂估价（含税）】的60%。</w:t>
      </w:r>
    </w:p>
    <w:p w14:paraId="06A9DA1E">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rPr>
      </w:pPr>
      <w:r>
        <w:rPr>
          <w:rFonts w:hint="eastAsia" w:asciiTheme="minorEastAsia" w:hAnsiTheme="minorEastAsia" w:eastAsiaTheme="minorEastAsia"/>
          <w:u w:val="single"/>
        </w:rPr>
        <w:t>其中：农民工工伤保险费:农民工工伤保险费总额的100%。</w:t>
      </w:r>
    </w:p>
    <w:p w14:paraId="1E7D6EA8">
      <w:pPr>
        <w:pStyle w:val="17"/>
        <w:tabs>
          <w:tab w:val="left" w:pos="1254"/>
          <w:tab w:val="clear" w:pos="567"/>
        </w:tabs>
        <w:adjustRightInd w:val="0"/>
        <w:snapToGrid w:val="0"/>
        <w:spacing w:before="0" w:line="360" w:lineRule="auto"/>
        <w:ind w:firstLine="1200" w:firstLineChars="500"/>
        <w:rPr>
          <w:rFonts w:hint="eastAsia" w:asciiTheme="minorEastAsia" w:hAnsiTheme="minorEastAsia" w:eastAsiaTheme="minorEastAsia"/>
          <w:u w:val="single"/>
        </w:rPr>
      </w:pPr>
      <w:r>
        <w:rPr>
          <w:rFonts w:hint="eastAsia" w:asciiTheme="minorEastAsia" w:hAnsiTheme="minorEastAsia" w:eastAsiaTheme="minorEastAsia"/>
          <w:u w:val="single"/>
        </w:rPr>
        <w:t>(2)关于扬尘治理专项资金的进一步约定：a,发包人与承包人签订施工合同，办理完成安全监督手续后，发包人应支付扬尘治理专项资金额度的100%；</w:t>
      </w:r>
    </w:p>
    <w:p w14:paraId="7C18E4A7">
      <w:pPr>
        <w:adjustRightInd w:val="0"/>
        <w:snapToGrid w:val="0"/>
        <w:spacing w:line="360" w:lineRule="auto"/>
        <w:jc w:val="left"/>
        <w:rPr>
          <w:rFonts w:hint="eastAsia" w:cs="宋体" w:asciiTheme="minorEastAsia" w:hAnsiTheme="minorEastAsia" w:eastAsiaTheme="minorEastAsia"/>
          <w:sz w:val="24"/>
        </w:rPr>
      </w:pPr>
      <w:r>
        <w:rPr>
          <w:rFonts w:hint="eastAsia" w:cs="宋体" w:asciiTheme="minorEastAsia" w:hAnsiTheme="minorEastAsia" w:eastAsiaTheme="minorEastAsia"/>
          <w:sz w:val="24"/>
        </w:rPr>
        <w:t>（2）预付办法</w:t>
      </w:r>
    </w:p>
    <w:p w14:paraId="66AEB001">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rPr>
        <w:t>预付款预付办法：</w:t>
      </w:r>
      <w:r>
        <w:rPr>
          <w:rFonts w:hint="eastAsia" w:cs="宋体" w:asciiTheme="minorEastAsia" w:hAnsiTheme="minorEastAsia" w:eastAsiaTheme="minorEastAsia"/>
          <w:sz w:val="24"/>
          <w:u w:val="single"/>
        </w:rPr>
        <w:t>承包人提交预付款支付申请和符合发包人要求的正式发票，发包人一次性向承包人支付预付款。</w:t>
      </w:r>
    </w:p>
    <w:p w14:paraId="1262730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rPr>
        <w:t>预付款的支付时间：</w:t>
      </w:r>
      <w:r>
        <w:rPr>
          <w:rFonts w:hint="eastAsia" w:asciiTheme="minorEastAsia" w:hAnsiTheme="minorEastAsia" w:eastAsiaTheme="minorEastAsia"/>
          <w:u w:val="single" w:color="000000" w:themeColor="text1"/>
        </w:rPr>
        <w:t>本合同签订后30天内，且资金到位，并收到承包人提交的预付款支付申请和符合发包人要求的正式发票后。如因承包人延迟提供发票或发票不合格造成发包人延迟支付工程款，发包人不承担违约责任。</w:t>
      </w:r>
    </w:p>
    <w:p w14:paraId="422BB403">
      <w:pPr>
        <w:numPr>
          <w:ilvl w:val="255"/>
          <w:numId w:val="0"/>
        </w:numPr>
        <w:adjustRightInd w:val="0"/>
        <w:snapToGrid w:val="0"/>
        <w:spacing w:line="360" w:lineRule="auto"/>
        <w:ind w:firstLine="480" w:firstLineChars="200"/>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（3）安全生产标准化措施费用预付额度及方式：</w:t>
      </w:r>
      <w:r>
        <w:rPr>
          <w:rFonts w:hint="eastAsia" w:cs="宋体" w:asciiTheme="minorEastAsia" w:hAnsiTheme="minorEastAsia" w:eastAsiaTheme="minorEastAsia"/>
          <w:w w:val="99"/>
          <w:sz w:val="24"/>
          <w:u w:color="000000" w:themeColor="text1"/>
        </w:rPr>
        <w:t xml:space="preserve"> </w:t>
      </w:r>
    </w:p>
    <w:p w14:paraId="72948D7B">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安全生产标准化措施费用的预付不受上述预付办法和支付时间约定的制约。安全生产标准化措施费用按以下时间节点和金额进行预付：</w:t>
      </w:r>
    </w:p>
    <w:p w14:paraId="73539C1C">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发包人应当在不迟于第11.1.1项约定的开工日期前的7天内，将签约合同价中载明的安全生产标准化措施费用总额的50%一次性预付给承包人。</w:t>
      </w:r>
    </w:p>
    <w:p w14:paraId="25CC1AE7">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发包人应当在±0.00以下主体结构施工完成或签约合同价中分部分项工程项目的完成价款比例达到30%（两者中以条件先满足的为准）7天内，预付至签约合同价中载明的安全生产标准化措施费用总额的70%。</w:t>
      </w:r>
    </w:p>
    <w:p w14:paraId="445764C5">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发包人应当在安全生产标准化考评、评定达到（含整改后达到）或超过合同约定的安全生产标准化管理目标之日起7天内，预付至签约合同价中载明的安全生产标准化措施费用总额的90%。</w:t>
      </w:r>
    </w:p>
    <w:p w14:paraId="0A3AEEEB">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发包人应当在工程竣工后，安全生产标准化考评、认定达到或超过合同约定安全生产标准化管理目标并颁发考评证书之日起的7天内，预付至签约合同价中载明的安全生产标准化措施费用总额的100%。</w:t>
      </w:r>
    </w:p>
    <w:p w14:paraId="340459BD">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安全生产标准化措施费用的预付不抵扣。</w:t>
      </w:r>
    </w:p>
    <w:p w14:paraId="21FD6EA0">
      <w:pPr>
        <w:tabs>
          <w:tab w:val="left" w:pos="1290"/>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17.2.2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预付款的扣回与还清</w:t>
      </w:r>
    </w:p>
    <w:p w14:paraId="73514795">
      <w:pPr>
        <w:tabs>
          <w:tab w:val="left" w:pos="1290"/>
        </w:tabs>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color="000000" w:themeColor="text1"/>
        </w:rPr>
        <w:t>预付款的扣回办法</w:t>
      </w:r>
      <w:r>
        <w:rPr>
          <w:rFonts w:hint="eastAsia" w:cs="宋体" w:asciiTheme="minorEastAsia" w:hAnsiTheme="minorEastAsia" w:eastAsiaTheme="minorEastAsia"/>
          <w:w w:val="95"/>
          <w:sz w:val="24"/>
          <w:u w:color="000000" w:themeColor="text1"/>
        </w:rPr>
        <w:t>：</w:t>
      </w:r>
      <w:r>
        <w:rPr>
          <w:rFonts w:hint="eastAsia" w:cs="宋体" w:asciiTheme="minorEastAsia" w:hAnsiTheme="minorEastAsia" w:eastAsiaTheme="minorEastAsia"/>
          <w:sz w:val="24"/>
          <w:u w:val="single"/>
        </w:rPr>
        <w:t>从项目开工第一个计量周期开始抵扣预付款，分三个计量周期等额扣回，若前三个计量周期应付进度款不足以抵扣全部预付款的，则全额抵扣后续计量周期进度款，直至全部扣清为止。</w:t>
      </w:r>
    </w:p>
    <w:p w14:paraId="5424F00D">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17.3</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工程进度付款</w:t>
      </w:r>
    </w:p>
    <w:p w14:paraId="15F76DB5">
      <w:pPr>
        <w:tabs>
          <w:tab w:val="left" w:pos="1290"/>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17.3.2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进度付款申请单</w:t>
      </w:r>
      <w:r>
        <w:rPr>
          <w:rFonts w:hint="eastAsia" w:cs="宋体" w:asciiTheme="minorEastAsia" w:hAnsiTheme="minorEastAsia" w:eastAsiaTheme="minorEastAsia"/>
          <w:w w:val="99"/>
          <w:sz w:val="24"/>
          <w:u w:color="000000" w:themeColor="text1"/>
        </w:rPr>
        <w:t xml:space="preserve"> </w:t>
      </w:r>
    </w:p>
    <w:p w14:paraId="0AC18391">
      <w:pPr>
        <w:tabs>
          <w:tab w:val="left" w:pos="1290"/>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进度付款申请单的份数：</w:t>
      </w:r>
      <w:r>
        <w:rPr>
          <w:rFonts w:hint="eastAsia" w:cs="宋体" w:asciiTheme="minorEastAsia" w:hAnsiTheme="minorEastAsia" w:eastAsiaTheme="minorEastAsia"/>
          <w:sz w:val="24"/>
          <w:u w:val="single" w:color="000000" w:themeColor="text1"/>
        </w:rPr>
        <w:t>一式四份</w:t>
      </w:r>
      <w:r>
        <w:rPr>
          <w:rFonts w:hint="eastAsia" w:cs="宋体" w:asciiTheme="minorEastAsia" w:hAnsiTheme="minorEastAsia" w:eastAsiaTheme="minorEastAsia"/>
          <w:w w:val="99"/>
          <w:sz w:val="24"/>
          <w:u w:color="000000" w:themeColor="text1"/>
        </w:rPr>
        <w:t xml:space="preserve"> </w:t>
      </w:r>
    </w:p>
    <w:p w14:paraId="56B4DDB7">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承包人报送监理人的进度付款申请单应包括下列内容：</w:t>
      </w:r>
    </w:p>
    <w:p w14:paraId="117D7552">
      <w:pPr>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val="single"/>
        </w:rPr>
        <w:t xml:space="preserve">1）付款次数或编号； </w:t>
      </w:r>
    </w:p>
    <w:p w14:paraId="150A86E2">
      <w:pPr>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val="single"/>
        </w:rPr>
        <w:t>2）截止本次付款周期末已实施工程的价款；</w:t>
      </w:r>
    </w:p>
    <w:p w14:paraId="4FE55980">
      <w:pPr>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val="single"/>
        </w:rPr>
        <w:t>3）变更金额；</w:t>
      </w:r>
    </w:p>
    <w:p w14:paraId="2CA775B1">
      <w:pPr>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val="single"/>
        </w:rPr>
        <w:t>4）索赔金额；</w:t>
      </w:r>
    </w:p>
    <w:p w14:paraId="3241EBBF">
      <w:pPr>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val="single"/>
        </w:rPr>
        <w:t>5）本次应支付的预付款和（或）应扣减的返还预付款；</w:t>
      </w:r>
    </w:p>
    <w:p w14:paraId="425DDEDF">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（7）根据合同应增加和（或）扣减的其他内容金额：</w:t>
      </w:r>
      <w:r>
        <w:rPr>
          <w:rFonts w:hint="eastAsia" w:asciiTheme="minorEastAsia" w:hAnsiTheme="minorEastAsia" w:eastAsiaTheme="minorEastAsia"/>
          <w:sz w:val="24"/>
          <w:u w:val="single" w:color="000000" w:themeColor="text1"/>
        </w:rPr>
        <w:t>根据合同其他条款约定应增加和（或）扣减的内容。</w:t>
      </w:r>
    </w:p>
    <w:p w14:paraId="23B4255D">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（8）本次应付进度款：</w:t>
      </w:r>
      <w:r>
        <w:rPr>
          <w:rFonts w:hint="eastAsia" w:asciiTheme="minorEastAsia" w:hAnsiTheme="minorEastAsia" w:eastAsiaTheme="minorEastAsia"/>
          <w:sz w:val="24"/>
          <w:u w:val="single" w:color="000000" w:themeColor="text1"/>
        </w:rPr>
        <w:t>/</w:t>
      </w:r>
    </w:p>
    <w:p w14:paraId="458A58B4">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80768"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428073652" name="Group 357"/>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753218874" name="Freeform 358"/>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57" o:spid="_x0000_s1026" o:spt="203" style="position:absolute;left:0pt;margin-left:42.75pt;margin-top:70.5pt;height:701.25pt;width:0.1pt;mso-position-horizontal-relative:page;mso-position-vertical-relative:page;z-index:251680768;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AR6s6fZAAAACgEAAA8AAAAAAAAAAQAgAAAAIgAAAGRycy9kb3ducmV2&#10;LnhtbFBLAQIUABQAAAAIAIdO4kBCmDzxGAMAAKAHAAAOAAAAAAAAAAEAIAAAACgBAABkcnMvZTJv&#10;RG9jLnhtbFBLBQYAAAAABgAGAFkBAACyBgAAAAA=&#10;">
                <o:lock v:ext="edit" aspectratio="f"/>
                <v:shape id="Freeform 358" o:spid="_x0000_s1026" o:spt="100" style="position:absolute;left:855;top:1410;height:14025;width:2;" fillcolor="#000000" filled="t" stroked="f" coordsize="1,14025" o:gfxdata="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rk&#10;+u3CAAAA4wAAAA8AAAAAAAAAAQAgAAAAIgAAAGRycy9kb3ducmV2LnhtbFBLAQIUABQAAAAIAIdO&#10;4kAzLwWeOwAAADkAAAAQAAAAAAAAAAEAIAAAABEBAABkcnMvc2hhcGV4bWwueG1sUEsFBgAAAAAG&#10;AAYAWwEAALsDAAAAAA==&#10;" path="m0,0l0,14025,0,0xe">
                  <v:path o:connectlocs="0,1410;0,15435;0,1410" o:connectangles="0,0,0"/>
                  <v:fill on="t" focussize="0,0"/>
                  <v:stroke on="f"/>
                  <v:imagedata o:title=""/>
                  <o:lock v:ext="edit" aspectratio="f"/>
                </v:shape>
              </v:group>
            </w:pict>
          </mc:Fallback>
        </mc:AlternateContent>
      </w:r>
      <w:r>
        <w:rPr>
          <w:rFonts w:hint="eastAsia" w:cs="宋体" w:asciiTheme="minorEastAsia" w:hAnsiTheme="minorEastAsia" w:eastAsiaTheme="minorEastAsia"/>
          <w:sz w:val="24"/>
          <w:u w:color="000000" w:themeColor="text1"/>
        </w:rPr>
        <w:t>17.3.3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进度付款证书和支付时间</w:t>
      </w:r>
    </w:p>
    <w:p w14:paraId="1BA6CE09">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（2）逾期付款违约金的计算标准：</w:t>
      </w:r>
      <w:r>
        <w:rPr>
          <w:rFonts w:hint="eastAsia" w:cs="宋体" w:asciiTheme="minorEastAsia" w:hAnsiTheme="minorEastAsia" w:eastAsiaTheme="minorEastAsia"/>
          <w:sz w:val="24"/>
          <w:u w:val="single"/>
        </w:rPr>
        <w:t>按照本合同订立时一年期贷款市场报价利率计算。</w:t>
      </w:r>
      <w:r>
        <w:rPr>
          <w:rFonts w:hint="eastAsia" w:cs="宋体" w:asciiTheme="minorEastAsia" w:hAnsiTheme="minorEastAsia" w:eastAsiaTheme="minorEastAsia"/>
          <w:sz w:val="24"/>
          <w:u w:color="000000" w:themeColor="text1"/>
        </w:rPr>
        <w:t xml:space="preserve"> </w:t>
      </w:r>
    </w:p>
    <w:p w14:paraId="28E3118C">
      <w:pPr>
        <w:adjustRightInd w:val="0"/>
        <w:snapToGrid w:val="0"/>
        <w:spacing w:line="360" w:lineRule="auto"/>
        <w:ind w:firstLine="240" w:firstLineChars="1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逾期付款违约金的计算方法：</w:t>
      </w:r>
    </w:p>
    <w:p w14:paraId="4B411A4B">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val="single" w:color="000000" w:themeColor="text1"/>
        </w:rPr>
      </w:pPr>
      <w:r>
        <w:rPr>
          <w:rFonts w:hint="eastAsia" w:asciiTheme="minorEastAsia" w:hAnsiTheme="minorEastAsia" w:eastAsiaTheme="minorEastAsia"/>
          <w:u w:val="single" w:color="000000" w:themeColor="text1"/>
        </w:rPr>
        <w:t>按照本合同订立时一年期贷款市场报价利率计算，最高不超过签约合同价的【3】%。</w:t>
      </w:r>
    </w:p>
    <w:p w14:paraId="36C7DC75">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（4）进度付款涉及政府性资金的支付方法：</w:t>
      </w:r>
      <w:r>
        <w:rPr>
          <w:rFonts w:hint="eastAsia" w:cs="宋体" w:asciiTheme="minorEastAsia" w:hAnsiTheme="minorEastAsia" w:eastAsiaTheme="minorEastAsia"/>
          <w:sz w:val="24"/>
          <w:u w:val="single" w:color="000000" w:themeColor="text1"/>
        </w:rPr>
        <w:t>竣工验收合格、结算审核完成且资金落实到位后支付至结算价款的97%,结算期间未支付的工程款不支付滞纳金，剩余结算金 额的3%作为质量保证金。本项目最终结算金额不超过概算批复金额。注：(1)人工费用拨付周期和拨付日期：同当月进度款一起拨付：(2)人工费用占工程款的比例：按投标所 含人工费占投标总价比例支付：(3)承包人须在施工合同签订时按照《保障农民工工资支付条例》要求设立农民工工资专用账户并提供给发包人。在月进度款申报时人工费应单独列项，月进度款人工费部分承包人应及时足额拨付至农民工工资账户中。</w:t>
      </w:r>
    </w:p>
    <w:p w14:paraId="08264EF6">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17.4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质量保证金</w:t>
      </w:r>
    </w:p>
    <w:p w14:paraId="36BEAD7B">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17.4.1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质量保证金处理</w:t>
      </w:r>
    </w:p>
    <w:p w14:paraId="4414BFF7">
      <w:pPr>
        <w:adjustRightInd w:val="0"/>
        <w:snapToGrid w:val="0"/>
        <w:spacing w:line="360" w:lineRule="auto"/>
        <w:ind w:firstLine="397"/>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w w:val="95"/>
          <w:sz w:val="24"/>
          <w:u w:color="000000" w:themeColor="text1"/>
        </w:rPr>
        <w:t>（3）</w:t>
      </w:r>
      <w:r>
        <w:rPr>
          <w:rFonts w:hint="eastAsia" w:cs="宋体" w:asciiTheme="minorEastAsia" w:hAnsiTheme="minorEastAsia" w:eastAsiaTheme="minorEastAsia"/>
          <w:sz w:val="24"/>
        </w:rPr>
        <w:t>质量保证金形式：</w:t>
      </w:r>
      <w:r>
        <w:rPr>
          <w:rFonts w:hint="eastAsia" w:cs="宋体" w:asciiTheme="minorEastAsia" w:hAnsiTheme="minorEastAsia" w:eastAsiaTheme="minorEastAsia"/>
          <w:sz w:val="24"/>
          <w:u w:val="single"/>
        </w:rPr>
        <w:t>采用扣留质量保证金</w:t>
      </w:r>
      <w:r>
        <w:rPr>
          <w:rFonts w:hint="eastAsia" w:cs="宋体" w:asciiTheme="minorEastAsia" w:hAnsiTheme="minorEastAsia" w:eastAsiaTheme="minorEastAsia"/>
          <w:sz w:val="24"/>
          <w:u w:color="000000" w:themeColor="text1"/>
        </w:rPr>
        <w:t>（采用银行保函担保或其他保函担保形式╱采用扣留质量保证金）。</w:t>
      </w:r>
    </w:p>
    <w:p w14:paraId="59D6A36F">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质量保证金约定比例：</w:t>
      </w:r>
      <w:r>
        <w:rPr>
          <w:rFonts w:hint="eastAsia" w:cs="宋体" w:asciiTheme="minorEastAsia" w:hAnsiTheme="minorEastAsia" w:eastAsiaTheme="minorEastAsia"/>
          <w:sz w:val="24"/>
          <w:u w:val="single" w:color="000000" w:themeColor="text1"/>
        </w:rPr>
        <w:t>3</w:t>
      </w:r>
      <w:r>
        <w:rPr>
          <w:rFonts w:hint="eastAsia" w:cs="宋体" w:asciiTheme="minorEastAsia" w:hAnsiTheme="minorEastAsia" w:eastAsiaTheme="minorEastAsia"/>
          <w:sz w:val="24"/>
          <w:u w:color="000000" w:themeColor="text1"/>
        </w:rPr>
        <w:t>%</w:t>
      </w: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81792"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863762998" name="Group 355"/>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921426650" name="Freeform 356"/>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55" o:spid="_x0000_s1026" o:spt="203" style="position:absolute;left:0pt;margin-left:42.75pt;margin-top:70.5pt;height:701.25pt;width:0.1pt;mso-position-horizontal-relative:page;mso-position-vertical-relative:page;z-index:251681792;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BHqzp9kAAAAKAQAADwAAAAAAAAABACAAAAAiAAAAZHJzL2Rvd25yZXYu&#10;eG1sUEsBAhQAFAAAAAgAh07iQIzW/KMXAwAAoAcAAA4AAAAAAAAAAQAgAAAAKAEAAGRycy9lMm9E&#10;b2MueG1sUEsFBgAAAAAGAAYAWQEAALEGAAAAAA==&#10;">
                <o:lock v:ext="edit" aspectratio="f"/>
                <v:shape id="Freeform 356" o:spid="_x0000_s1026" o:spt="100" style="position:absolute;left:855;top:1410;height:14025;width:2;" fillcolor="#000000" filled="t" stroked="f" coordsize="1,14025" o:gfxdata="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6PpnDFAAAA4wAAAA8AAAAAAAAAAQAgAAAAIgAAAGRycy9kb3ducmV2LnhtbFBLAQIUABQAAAAI&#10;AIdO4kAzLwWeOwAAADkAAAAQAAAAAAAAAAEAIAAAABQBAABkcnMvc2hhcGV4bWwueG1sUEsFBgAA&#10;AAAGAAYAWwEAAL4DAAAAAA==&#10;" path="m0,0l0,14025,0,0xe">
                  <v:path o:connectlocs="0,1410;0,15435;0,1410" o:connectangles="0,0,0"/>
                  <v:fill on="t" focussize="0,0"/>
                  <v:stroke on="f"/>
                  <v:imagedata o:title=""/>
                  <o:lock v:ext="edit" aspectratio="f"/>
                </v:shape>
              </v:group>
            </w:pict>
          </mc:Fallback>
        </mc:AlternateContent>
      </w:r>
    </w:p>
    <w:p w14:paraId="41F700BB">
      <w:pPr>
        <w:pStyle w:val="17"/>
        <w:tabs>
          <w:tab w:val="left" w:pos="1254"/>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17.5</w:t>
      </w:r>
      <w:r>
        <w:rPr>
          <w:rFonts w:hint="eastAsia" w:asciiTheme="minorEastAsia" w:hAnsiTheme="minorEastAsia" w:eastAsiaTheme="minorEastAsia"/>
          <w:spacing w:val="116"/>
          <w:u w:color="000000" w:themeColor="text1"/>
        </w:rPr>
        <w:t xml:space="preserve"> </w:t>
      </w:r>
      <w:r>
        <w:rPr>
          <w:rFonts w:hint="eastAsia" w:asciiTheme="minorEastAsia" w:hAnsiTheme="minorEastAsia" w:eastAsiaTheme="minorEastAsia"/>
          <w:u w:color="000000" w:themeColor="text1"/>
        </w:rPr>
        <w:t>竣工结算</w:t>
      </w:r>
    </w:p>
    <w:p w14:paraId="6046BD8A">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17.5.1</w:t>
      </w:r>
      <w:r>
        <w:rPr>
          <w:rFonts w:hint="eastAsia" w:cs="宋体" w:asciiTheme="minorEastAsia" w:hAnsiTheme="minorEastAsia" w:eastAsiaTheme="minorEastAsia"/>
          <w:spacing w:val="-1"/>
          <w:sz w:val="24"/>
          <w:u w:color="000000" w:themeColor="text1"/>
        </w:rPr>
        <w:t xml:space="preserve"> </w:t>
      </w:r>
      <w:r>
        <w:rPr>
          <w:rFonts w:hint="eastAsia" w:cs="宋体" w:asciiTheme="minorEastAsia" w:hAnsiTheme="minorEastAsia" w:eastAsiaTheme="minorEastAsia"/>
          <w:sz w:val="24"/>
          <w:u w:color="000000" w:themeColor="text1"/>
        </w:rPr>
        <w:t>过程结算本工程</w:t>
      </w:r>
      <w:r>
        <w:rPr>
          <w:rFonts w:hint="eastAsia" w:cs="宋体" w:asciiTheme="minorEastAsia" w:hAnsiTheme="minorEastAsia" w:eastAsiaTheme="minorEastAsia"/>
          <w:sz w:val="24"/>
          <w:u w:val="single"/>
        </w:rPr>
        <w:t>不进行</w:t>
      </w:r>
      <w:r>
        <w:rPr>
          <w:rFonts w:hint="eastAsia" w:cs="宋体" w:asciiTheme="minorEastAsia" w:hAnsiTheme="minorEastAsia" w:eastAsiaTheme="minorEastAsia"/>
          <w:sz w:val="24"/>
          <w:u w:color="000000" w:themeColor="text1"/>
        </w:rPr>
        <w:t>（进行/不进行）过程结算。过程结算的相关要求：</w:t>
      </w:r>
      <w:r>
        <w:rPr>
          <w:rFonts w:hint="eastAsia" w:cs="宋体" w:asciiTheme="minorEastAsia" w:hAnsiTheme="minorEastAsia" w:eastAsiaTheme="minorEastAsia"/>
          <w:sz w:val="24"/>
          <w:u w:val="single" w:color="000000" w:themeColor="text1"/>
        </w:rPr>
        <w:t>/</w:t>
      </w:r>
    </w:p>
    <w:p w14:paraId="475E2514">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17.5.2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竣工付款申请单</w:t>
      </w:r>
    </w:p>
    <w:p w14:paraId="25405787">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（1）承包人提交竣工付款申请单的份数：</w:t>
      </w:r>
      <w:r>
        <w:rPr>
          <w:rFonts w:hint="eastAsia" w:cs="宋体" w:asciiTheme="minorEastAsia" w:hAnsiTheme="minorEastAsia" w:eastAsiaTheme="minorEastAsia"/>
          <w:sz w:val="24"/>
          <w:u w:val="single" w:color="000000" w:themeColor="text1"/>
        </w:rPr>
        <w:t>提交6份竣工付款申请单。</w:t>
      </w:r>
      <w:r>
        <w:rPr>
          <w:rFonts w:hint="eastAsia" w:cs="宋体" w:asciiTheme="minorEastAsia" w:hAnsiTheme="minorEastAsia" w:eastAsiaTheme="minorEastAsia"/>
          <w:w w:val="99"/>
          <w:sz w:val="24"/>
          <w:u w:color="000000" w:themeColor="text1"/>
        </w:rPr>
        <w:t xml:space="preserve"> </w:t>
      </w:r>
    </w:p>
    <w:p w14:paraId="4F4AB0C4">
      <w:pPr>
        <w:adjustRightInd w:val="0"/>
        <w:snapToGrid w:val="0"/>
        <w:spacing w:line="360" w:lineRule="auto"/>
        <w:ind w:firstLine="960" w:firstLineChars="4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承包人提交竣工付款申请单的期限：</w:t>
      </w:r>
      <w:r>
        <w:rPr>
          <w:rFonts w:hint="eastAsia" w:cs="宋体" w:asciiTheme="minorEastAsia" w:hAnsiTheme="minorEastAsia" w:eastAsiaTheme="minorEastAsia"/>
          <w:sz w:val="24"/>
          <w:u w:val="single"/>
        </w:rPr>
        <w:t>在工程接收证书颁发后14天内。</w:t>
      </w:r>
    </w:p>
    <w:p w14:paraId="4D49488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（2）竣工付款申请单的其他内容：</w:t>
      </w:r>
      <w:r>
        <w:rPr>
          <w:rFonts w:hint="eastAsia" w:cs="宋体" w:asciiTheme="minorEastAsia" w:hAnsiTheme="minorEastAsia" w:eastAsiaTheme="minorEastAsia"/>
          <w:sz w:val="24"/>
          <w:u w:val="single" w:color="000000" w:themeColor="text1"/>
        </w:rPr>
        <w:t>按发包人要求。</w:t>
      </w:r>
    </w:p>
    <w:p w14:paraId="601C30F9">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17.6</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最终结清</w:t>
      </w:r>
    </w:p>
    <w:p w14:paraId="17ECB451">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17.6.1最终结清申请单</w:t>
      </w:r>
    </w:p>
    <w:p w14:paraId="232B5ED7">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（1）承包人提交最终结清申请单的份数：</w:t>
      </w:r>
      <w:r>
        <w:rPr>
          <w:rFonts w:hint="eastAsia" w:cs="宋体" w:asciiTheme="minorEastAsia" w:hAnsiTheme="minorEastAsia" w:eastAsiaTheme="minorEastAsia"/>
          <w:sz w:val="24"/>
          <w:u w:val="single" w:color="000000" w:themeColor="text1"/>
        </w:rPr>
        <w:t>提交6份最终结清申请单。</w:t>
      </w:r>
      <w:r>
        <w:rPr>
          <w:rFonts w:hint="eastAsia" w:cs="宋体" w:asciiTheme="minorEastAsia" w:hAnsiTheme="minorEastAsia" w:eastAsiaTheme="minorEastAsia"/>
          <w:w w:val="99"/>
          <w:sz w:val="24"/>
          <w:u w:color="000000" w:themeColor="text1"/>
        </w:rPr>
        <w:t xml:space="preserve"> </w:t>
      </w:r>
    </w:p>
    <w:p w14:paraId="390C30E1">
      <w:pPr>
        <w:adjustRightInd w:val="0"/>
        <w:snapToGrid w:val="0"/>
        <w:spacing w:line="360" w:lineRule="auto"/>
        <w:ind w:firstLine="506" w:firstLineChars="211"/>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承包人提交最终结清申请单的期限：</w:t>
      </w:r>
      <w:r>
        <w:rPr>
          <w:rFonts w:hint="eastAsia" w:cs="宋体" w:asciiTheme="minorEastAsia" w:hAnsiTheme="minorEastAsia" w:eastAsiaTheme="minorEastAsia"/>
          <w:sz w:val="24"/>
          <w:u w:val="single"/>
        </w:rPr>
        <w:t>在缺陷责任期终止证书颁发后28天内。</w:t>
      </w:r>
      <w:r>
        <w:rPr>
          <w:rFonts w:hint="eastAsia" w:cs="宋体" w:asciiTheme="minorEastAsia" w:hAnsiTheme="minorEastAsia" w:eastAsiaTheme="minorEastAsia"/>
          <w:sz w:val="24"/>
          <w:u w:color="000000" w:themeColor="text1"/>
        </w:rPr>
        <w:t xml:space="preserve"> </w:t>
      </w:r>
    </w:p>
    <w:p w14:paraId="6EBD93C5">
      <w:pPr>
        <w:adjustRightInd w:val="0"/>
        <w:snapToGrid w:val="0"/>
        <w:spacing w:line="360" w:lineRule="auto"/>
        <w:ind w:firstLine="960" w:firstLineChars="4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发包人向承包人</w:t>
      </w:r>
      <w:r>
        <w:rPr>
          <w:rFonts w:hint="eastAsia" w:cs="宋体" w:asciiTheme="minorEastAsia" w:hAnsiTheme="minorEastAsia" w:eastAsiaTheme="minorEastAsia"/>
          <w:sz w:val="24"/>
          <w:u w:val="single" w:color="000000" w:themeColor="text1"/>
        </w:rPr>
        <w:t>不支付</w:t>
      </w:r>
      <w:r>
        <w:rPr>
          <w:rFonts w:hint="eastAsia" w:cs="宋体" w:asciiTheme="minorEastAsia" w:hAnsiTheme="minorEastAsia" w:eastAsiaTheme="minorEastAsia"/>
          <w:sz w:val="24"/>
          <w:u w:color="000000" w:themeColor="text1"/>
        </w:rPr>
        <w:t>（支付 /</w:t>
      </w:r>
      <w:r>
        <w:rPr>
          <w:rFonts w:hint="eastAsia" w:cs="宋体" w:asciiTheme="minorEastAsia" w:hAnsiTheme="minorEastAsia" w:eastAsiaTheme="minorEastAsia"/>
          <w:spacing w:val="-3"/>
          <w:sz w:val="24"/>
          <w:u w:color="000000" w:themeColor="text1"/>
        </w:rPr>
        <w:t xml:space="preserve"> </w:t>
      </w:r>
      <w:r>
        <w:rPr>
          <w:rFonts w:hint="eastAsia" w:cs="宋体" w:asciiTheme="minorEastAsia" w:hAnsiTheme="minorEastAsia" w:eastAsiaTheme="minorEastAsia"/>
          <w:sz w:val="24"/>
          <w:u w:color="000000" w:themeColor="text1"/>
        </w:rPr>
        <w:t>不支付）质量保证金利息。发包人向承包人支付质量保证金利息的，利息计算方法：</w:t>
      </w:r>
      <w:r>
        <w:rPr>
          <w:rFonts w:hint="eastAsia" w:asciiTheme="minorEastAsia" w:hAnsiTheme="minorEastAsia" w:eastAsiaTheme="minorEastAsia"/>
          <w:sz w:val="24"/>
          <w:u w:val="single" w:color="000000" w:themeColor="text1"/>
        </w:rPr>
        <w:t>/</w:t>
      </w:r>
    </w:p>
    <w:p w14:paraId="09B30140">
      <w:pPr>
        <w:pStyle w:val="6"/>
        <w:spacing w:before="0" w:after="0" w:line="360" w:lineRule="auto"/>
        <w:rPr>
          <w:sz w:val="24"/>
          <w:szCs w:val="24"/>
          <w:u w:color="000000" w:themeColor="text1"/>
        </w:rPr>
      </w:pPr>
      <w:r>
        <w:rPr>
          <w:rFonts w:hint="eastAsia"/>
          <w:sz w:val="24"/>
          <w:szCs w:val="24"/>
          <w:u w:color="000000" w:themeColor="text1"/>
        </w:rPr>
        <w:t>18.竣工验收</w:t>
      </w:r>
    </w:p>
    <w:p w14:paraId="4CE1D718">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18.2</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竣工验收申请报告</w:t>
      </w:r>
    </w:p>
    <w:p w14:paraId="7F95DEFA">
      <w:pPr>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（2）承包人负责整理和提交的竣工验收资料具体内容：</w:t>
      </w:r>
      <w:r>
        <w:rPr>
          <w:rFonts w:hint="eastAsia" w:cs="宋体" w:asciiTheme="minorEastAsia" w:hAnsiTheme="minorEastAsia" w:eastAsiaTheme="minorEastAsia"/>
          <w:sz w:val="24"/>
          <w:u w:val="single" w:color="000000" w:themeColor="text1"/>
        </w:rPr>
        <w:t>满足发包人项目归档要求规定的内容。</w:t>
      </w:r>
      <w:r>
        <w:rPr>
          <w:rFonts w:hint="eastAsia" w:cs="宋体" w:asciiTheme="minorEastAsia" w:hAnsiTheme="minorEastAsia" w:eastAsiaTheme="minorEastAsia"/>
          <w:w w:val="99"/>
          <w:sz w:val="24"/>
          <w:u w:color="000000" w:themeColor="text1"/>
        </w:rPr>
        <w:t xml:space="preserve"> </w:t>
      </w:r>
    </w:p>
    <w:p w14:paraId="3FDBAF3D">
      <w:pPr>
        <w:adjustRightInd w:val="0"/>
        <w:snapToGrid w:val="0"/>
        <w:spacing w:line="360" w:lineRule="auto"/>
        <w:jc w:val="left"/>
        <w:rPr>
          <w:rFonts w:hint="eastAsia" w:cs="宋体" w:asciiTheme="minorEastAsia" w:hAnsiTheme="minorEastAsia" w:eastAsiaTheme="minorEastAsia"/>
          <w:sz w:val="24"/>
          <w:u w:val="single" w:color="000000" w:themeColor="text1"/>
        </w:rPr>
      </w:pPr>
      <w:r>
        <w:rPr>
          <w:rFonts w:hint="eastAsia" w:cs="宋体" w:asciiTheme="minorEastAsia" w:hAnsiTheme="minorEastAsia" w:eastAsiaTheme="minorEastAsia"/>
          <w:sz w:val="24"/>
        </w:rPr>
        <w:t>竣工验收资料的份数：</w:t>
      </w:r>
      <w:r>
        <w:rPr>
          <w:rFonts w:hint="eastAsia" w:cs="宋体" w:asciiTheme="minorEastAsia" w:hAnsiTheme="minorEastAsia" w:eastAsiaTheme="minorEastAsia"/>
          <w:sz w:val="24"/>
          <w:u w:val="single" w:color="000000" w:themeColor="text1"/>
        </w:rPr>
        <w:t>除满足政府和发包人上级部门要求提供外，另向发包人提交竣工图纸及电子版4份，其他资料2份。</w:t>
      </w:r>
    </w:p>
    <w:p w14:paraId="382DEF69">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竣工验收资料的费用支付方式：</w:t>
      </w:r>
      <w:r>
        <w:rPr>
          <w:rFonts w:hint="eastAsia" w:cs="宋体" w:asciiTheme="minorEastAsia" w:hAnsiTheme="minorEastAsia" w:eastAsiaTheme="minorEastAsia"/>
          <w:sz w:val="24"/>
          <w:u w:val="single" w:color="000000" w:themeColor="text1"/>
        </w:rPr>
        <w:t>已包含在签约合同价中。</w:t>
      </w:r>
    </w:p>
    <w:p w14:paraId="00453E5C">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18.5</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施工期运行</w:t>
      </w:r>
    </w:p>
    <w:p w14:paraId="1F552BB0">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18.5.1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需要施工期运行的单位工程或设备安装工程：</w:t>
      </w:r>
      <w:r>
        <w:rPr>
          <w:rFonts w:hint="eastAsia" w:asciiTheme="minorEastAsia" w:hAnsiTheme="minorEastAsia" w:eastAsiaTheme="minorEastAsia"/>
          <w:sz w:val="24"/>
          <w:u w:color="000000" w:themeColor="text1"/>
        </w:rPr>
        <mc:AlternateContent>
          <mc:Choice Requires="wpg">
            <w:drawing>
              <wp:anchor distT="0" distB="0" distL="114300" distR="114300" simplePos="0" relativeHeight="251682816"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2021389836" name="Group 353"/>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955578940" name="Freeform 354"/>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53" o:spid="_x0000_s1026" o:spt="203" style="position:absolute;left:0pt;margin-left:42.75pt;margin-top:70.5pt;height:701.25pt;width:0.1pt;mso-position-horizontal-relative:page;mso-position-vertical-relative:page;z-index:251682816;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AEerOn2QAAAAoBAAAPAAAAAAAAAAEAIAAAACIAAABkcnMvZG93bnJl&#10;di54bWxQSwECFAAUAAAACACHTuJAo8TD9RkDAACfBwAADgAAAAAAAAABACAAAAAoAQAAZHJzL2Uy&#10;b0RvYy54bWxQSwUGAAAAAAYABgBZAQAAswYAAAAA&#10;">
                <o:lock v:ext="edit" aspectratio="f"/>
                <v:shape id="Freeform 354" o:spid="_x0000_s1026" o:spt="100" style="position:absolute;left:855;top:1410;height:14025;width:2;" fillcolor="#000000" filled="t" stroked="f" coordsize="1,14025" o:gfxdata="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k&#10;x4/wwwAAAOIAAAAPAAAAAAAAAAEAIAAAACIAAABkcnMvZG93bnJldi54bWxQSwECFAAUAAAACACH&#10;TuJAMy8FnjsAAAA5AAAAEAAAAAAAAAABACAAAAASAQAAZHJzL3NoYXBleG1sLnhtbFBLBQYAAAAA&#10;BgAGAFsBAAC8AwAAAAA=&#10;" path="m0,0l0,14025,0,0xe">
                  <v:path o:connectlocs="0,1410;0,15435;0,1410" o:connectangles="0,0,0"/>
                  <v:fill on="t" focussize="0,0"/>
                  <v:stroke on="f"/>
                  <v:imagedata o:title=""/>
                  <o:lock v:ext="edit" aspectratio="f"/>
                </v:shape>
              </v:group>
            </w:pict>
          </mc:Fallback>
        </mc:AlternateContent>
      </w:r>
      <w:r>
        <w:rPr>
          <w:rFonts w:hint="eastAsia" w:asciiTheme="minorEastAsia" w:hAnsiTheme="minorEastAsia" w:eastAsiaTheme="minorEastAsia"/>
          <w:sz w:val="24"/>
          <w:u w:val="single" w:color="000000" w:themeColor="text1"/>
        </w:rPr>
        <w:t>/</w:t>
      </w:r>
    </w:p>
    <w:p w14:paraId="4A0E70A4">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18.8</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施工队伍的撤离</w:t>
      </w:r>
    </w:p>
    <w:p w14:paraId="1140E315">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18.8.3</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缺陷责任期满时，承包人在施工场地保留的人员和施工设备最终撤离的期限：</w:t>
      </w:r>
      <w:r>
        <w:rPr>
          <w:rFonts w:hint="eastAsia" w:asciiTheme="minorEastAsia" w:hAnsiTheme="minorEastAsia" w:eastAsiaTheme="minorEastAsia"/>
          <w:sz w:val="24"/>
          <w:u w:val="single" w:color="000000" w:themeColor="text1"/>
        </w:rPr>
        <w:t>工程移交发包人后7个工作日内。承包人无论任何原因完工后都应全部撤离施工现场。</w:t>
      </w:r>
    </w:p>
    <w:p w14:paraId="0A66F19C">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18.9</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中间验收</w:t>
      </w:r>
    </w:p>
    <w:p w14:paraId="4147D51C">
      <w:pPr>
        <w:tabs>
          <w:tab w:val="left" w:pos="1290"/>
        </w:tabs>
        <w:adjustRightInd w:val="0"/>
        <w:snapToGrid w:val="0"/>
        <w:spacing w:line="360" w:lineRule="auto"/>
        <w:jc w:val="left"/>
        <w:rPr>
          <w:rFonts w:hint="eastAsia" w:cs="宋体" w:asciiTheme="minorEastAsia" w:hAnsiTheme="minorEastAsia" w:eastAsiaTheme="minorEastAsia"/>
          <w:sz w:val="24"/>
          <w:u w:val="single"/>
        </w:rPr>
      </w:pPr>
      <w:r>
        <w:rPr>
          <w:rFonts w:hint="eastAsia" w:cs="宋体" w:asciiTheme="minorEastAsia" w:hAnsiTheme="minorEastAsia" w:eastAsiaTheme="minorEastAsia"/>
          <w:sz w:val="24"/>
          <w:u w:color="000000" w:themeColor="text1"/>
        </w:rPr>
        <w:t>18.9.1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本工程需要进行中间验收的部位：</w:t>
      </w:r>
      <w:r>
        <w:rPr>
          <w:rFonts w:hint="eastAsia" w:asciiTheme="minorEastAsia" w:hAnsiTheme="minorEastAsia" w:eastAsiaTheme="minorEastAsia"/>
          <w:sz w:val="24"/>
          <w:u w:val="single"/>
        </w:rPr>
        <w:t>经总监理工程师确定需进行中间验收部位。</w:t>
      </w:r>
    </w:p>
    <w:p w14:paraId="11881042">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18.9.2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验收不合格的，承包人应在</w:t>
      </w:r>
      <w:r>
        <w:rPr>
          <w:rFonts w:hint="eastAsia" w:cs="宋体" w:asciiTheme="minorEastAsia" w:hAnsiTheme="minorEastAsia" w:eastAsiaTheme="minorEastAsia"/>
          <w:sz w:val="24"/>
          <w:u w:val="single" w:color="000000" w:themeColor="text1"/>
        </w:rPr>
        <w:t>7</w:t>
      </w:r>
      <w:r>
        <w:rPr>
          <w:rFonts w:hint="eastAsia" w:cs="宋体" w:asciiTheme="minorEastAsia" w:hAnsiTheme="minorEastAsia" w:eastAsiaTheme="minorEastAsia"/>
          <w:sz w:val="24"/>
          <w:u w:color="000000" w:themeColor="text1"/>
        </w:rPr>
        <w:t>日期限内进行修改后重新验收。</w:t>
      </w:r>
    </w:p>
    <w:p w14:paraId="66F38456">
      <w:pPr>
        <w:pStyle w:val="6"/>
        <w:spacing w:before="0" w:after="0" w:line="360" w:lineRule="auto"/>
        <w:rPr>
          <w:sz w:val="24"/>
          <w:szCs w:val="24"/>
          <w:u w:color="000000" w:themeColor="text1"/>
        </w:rPr>
      </w:pPr>
      <w:r>
        <w:rPr>
          <w:rFonts w:hint="eastAsia"/>
          <w:sz w:val="24"/>
          <w:szCs w:val="24"/>
          <w:u w:color="000000" w:themeColor="text1"/>
        </w:rPr>
        <w:t>19.缺陷责任与保修责任</w:t>
      </w:r>
    </w:p>
    <w:p w14:paraId="5D05AB48">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19.7</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保修责任</w:t>
      </w:r>
    </w:p>
    <w:p w14:paraId="3BC395F5">
      <w:pPr>
        <w:tabs>
          <w:tab w:val="left" w:pos="1290"/>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19.7.1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工程质量保修范围：</w:t>
      </w:r>
      <w:r>
        <w:rPr>
          <w:rFonts w:hint="eastAsia" w:cs="宋体" w:asciiTheme="minorEastAsia" w:hAnsiTheme="minorEastAsia" w:eastAsiaTheme="minorEastAsia"/>
          <w:sz w:val="24"/>
          <w:u w:val="single" w:color="000000" w:themeColor="text1"/>
        </w:rPr>
        <w:t>具体详见合同附格式部分附件七《房屋建筑工程质量保修书》的约定。若国家、北京市对工程保修范围的标准要求更高的，按更高标准执行。</w:t>
      </w:r>
      <w:r>
        <w:rPr>
          <w:rFonts w:hint="eastAsia" w:cs="宋体" w:asciiTheme="minorEastAsia" w:hAnsiTheme="minorEastAsia" w:eastAsiaTheme="minorEastAsia"/>
          <w:w w:val="99"/>
          <w:sz w:val="24"/>
          <w:u w:color="000000" w:themeColor="text1"/>
        </w:rPr>
        <w:t xml:space="preserve"> </w:t>
      </w:r>
    </w:p>
    <w:p w14:paraId="3A146247">
      <w:pPr>
        <w:tabs>
          <w:tab w:val="left" w:pos="1914"/>
        </w:tabs>
        <w:adjustRightInd w:val="0"/>
        <w:snapToGrid w:val="0"/>
        <w:spacing w:line="360" w:lineRule="auto"/>
        <w:ind w:firstLine="480" w:firstLineChars="200"/>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工程质量保修期限：</w:t>
      </w:r>
      <w:r>
        <w:rPr>
          <w:rFonts w:hint="eastAsia" w:cs="宋体" w:asciiTheme="minorEastAsia" w:hAnsiTheme="minorEastAsia" w:eastAsiaTheme="minorEastAsia"/>
          <w:sz w:val="24"/>
          <w:u w:val="single" w:color="000000" w:themeColor="text1"/>
        </w:rPr>
        <w:t>具体详见合同附件格式部分附件七《房屋建筑工程质量保修书》的约定。若国家、北京市对工程保修期限有规定且长于本合同约定保修期限的，按相关规定执行；若承包人采购的材料保修期限长于本合同约定工程质量保修期限的，则相关工程质量保修及材料保修期限均按材料保修期限执行。</w:t>
      </w:r>
      <w:r>
        <w:rPr>
          <w:rFonts w:hint="eastAsia" w:cs="宋体" w:asciiTheme="minorEastAsia" w:hAnsiTheme="minorEastAsia" w:eastAsiaTheme="minorEastAsia"/>
          <w:w w:val="99"/>
          <w:sz w:val="24"/>
          <w:u w:color="000000" w:themeColor="text1"/>
        </w:rPr>
        <w:t xml:space="preserve"> </w:t>
      </w:r>
    </w:p>
    <w:p w14:paraId="1F46CFC9">
      <w:pPr>
        <w:tabs>
          <w:tab w:val="left" w:pos="1914"/>
        </w:tabs>
        <w:adjustRightInd w:val="0"/>
        <w:snapToGrid w:val="0"/>
        <w:spacing w:line="360" w:lineRule="auto"/>
        <w:ind w:firstLine="480" w:firstLineChars="200"/>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工程质量保修责任：</w:t>
      </w:r>
      <w:r>
        <w:rPr>
          <w:rFonts w:hint="eastAsia" w:cs="宋体" w:asciiTheme="minorEastAsia" w:hAnsiTheme="minorEastAsia" w:eastAsiaTheme="minorEastAsia"/>
          <w:sz w:val="24"/>
          <w:u w:val="single" w:color="000000" w:themeColor="text1"/>
        </w:rPr>
        <w:t>具体详见合同附件式部分附件七《房屋建筑工程质量保修书》的约定。。</w:t>
      </w:r>
    </w:p>
    <w:p w14:paraId="5D4A5EC6">
      <w:pPr>
        <w:pStyle w:val="6"/>
        <w:spacing w:before="0" w:after="0" w:line="360" w:lineRule="auto"/>
        <w:rPr>
          <w:sz w:val="24"/>
          <w:szCs w:val="24"/>
          <w:u w:color="000000" w:themeColor="text1"/>
        </w:rPr>
      </w:pPr>
      <w:r>
        <w:rPr>
          <w:rFonts w:hint="eastAsia"/>
          <w:sz w:val="24"/>
          <w:szCs w:val="24"/>
          <w:u w:color="000000" w:themeColor="text1"/>
        </w:rPr>
        <w:t>20.保险</w:t>
      </w:r>
    </w:p>
    <w:p w14:paraId="37A0FEF7">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20.1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工程保险</w:t>
      </w:r>
    </w:p>
    <w:p w14:paraId="63B356DA">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本工程</w:t>
      </w:r>
      <w:r>
        <w:rPr>
          <w:rFonts w:hint="eastAsia" w:cs="宋体" w:asciiTheme="minorEastAsia" w:hAnsiTheme="minorEastAsia" w:eastAsiaTheme="minorEastAsia"/>
          <w:sz w:val="24"/>
          <w:u w:val="single" w:color="000000" w:themeColor="text1"/>
        </w:rPr>
        <w:t>投保</w:t>
      </w:r>
      <w:r>
        <w:rPr>
          <w:rFonts w:hint="eastAsia" w:cs="宋体" w:asciiTheme="minorEastAsia" w:hAnsiTheme="minorEastAsia" w:eastAsiaTheme="minorEastAsia"/>
          <w:sz w:val="24"/>
          <w:u w:color="000000" w:themeColor="text1"/>
        </w:rPr>
        <w:t>(投保/不投保)工程保险。投保工程保险时，险种为：</w:t>
      </w:r>
      <w:r>
        <w:rPr>
          <w:rFonts w:hint="eastAsia" w:cs="宋体" w:asciiTheme="minorEastAsia" w:hAnsiTheme="minorEastAsia" w:eastAsiaTheme="minorEastAsia"/>
          <w:sz w:val="24"/>
          <w:u w:val="single" w:color="000000" w:themeColor="text1"/>
        </w:rPr>
        <w:t>建筑工程及安装工程一切险</w:t>
      </w:r>
      <w:r>
        <w:rPr>
          <w:rFonts w:hint="eastAsia" w:cs="宋体" w:asciiTheme="minorEastAsia" w:hAnsiTheme="minorEastAsia" w:eastAsiaTheme="minorEastAsia"/>
          <w:sz w:val="24"/>
          <w:u w:color="000000" w:themeColor="text1"/>
        </w:rPr>
        <w:t>，</w:t>
      </w:r>
      <w:r>
        <w:rPr>
          <w:rFonts w:hint="eastAsia" w:cs="宋体" w:asciiTheme="minorEastAsia" w:hAnsiTheme="minorEastAsia" w:eastAsiaTheme="minorEastAsia"/>
          <w:sz w:val="24"/>
          <w:u w:color="000000" w:themeColor="text1"/>
        </w:rPr>
        <mc:AlternateContent>
          <mc:Choice Requires="wpg">
            <w:drawing>
              <wp:anchor distT="0" distB="0" distL="114300" distR="114300" simplePos="0" relativeHeight="251683840"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1779746356" name="Group 351"/>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1032312918" name="Freeform 352"/>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51" o:spid="_x0000_s1026" o:spt="203" style="position:absolute;left:0pt;margin-left:42.75pt;margin-top:70.5pt;height:701.25pt;width:0.1pt;mso-position-horizontal-relative:page;mso-position-vertical-relative:page;z-index:251683840;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BHqzp9kAAAAKAQAADwAAAAAAAAABACAAAAAiAAAAZHJzL2Rvd25y&#10;ZXYueG1sUEsBAhQAFAAAAAgAh07iQFUR320aAwAAoAcAAA4AAAAAAAAAAQAgAAAAKAEAAGRycy9l&#10;Mm9Eb2MueG1sUEsFBgAAAAAGAAYAWQEAALQGAAAAAA==&#10;">
                <o:lock v:ext="edit" aspectratio="f"/>
                <v:shape id="Freeform 352" o:spid="_x0000_s1026" o:spt="100" style="position:absolute;left:855;top:1410;height:14025;width:2;" fillcolor="#000000" filled="t" stroked="f" coordsize="1,14025" o:gfxdata="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5Dp5psQAAADjAAAADwAAAAAAAAABACAAAAAiAAAAZHJzL2Rvd25yZXYueG1sUEsBAhQAFAAAAAgA&#10;h07iQDMvBZ47AAAAOQAAABAAAAAAAAAAAQAgAAAAEwEAAGRycy9zaGFwZXhtbC54bWxQSwUGAAAA&#10;AAYABgBbAQAAvQMAAAAA&#10;" path="m0,0l0,14025,0,0xe">
                  <v:path o:connectlocs="0,1410;0,15435;0,1410" o:connectangles="0,0,0"/>
                  <v:fill on="t" focussize="0,0"/>
                  <v:stroke on="f"/>
                  <v:imagedata o:title=""/>
                  <o:lock v:ext="edit" aspectratio="f"/>
                </v:shape>
              </v:group>
            </w:pict>
          </mc:Fallback>
        </mc:AlternateContent>
      </w:r>
      <w:r>
        <w:rPr>
          <w:rFonts w:hint="eastAsia" w:cs="宋体" w:asciiTheme="minorEastAsia" w:hAnsiTheme="minorEastAsia" w:eastAsiaTheme="minorEastAsia"/>
          <w:sz w:val="24"/>
          <w:u w:color="000000" w:themeColor="text1"/>
        </w:rPr>
        <w:t>并符合以下约定：</w:t>
      </w:r>
    </w:p>
    <w:p w14:paraId="633ADD70">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（1）投保人：</w:t>
      </w:r>
      <w:r>
        <w:rPr>
          <w:rFonts w:hint="eastAsia" w:cs="宋体" w:asciiTheme="minorEastAsia" w:hAnsiTheme="minorEastAsia" w:eastAsiaTheme="minorEastAsia"/>
          <w:sz w:val="24"/>
          <w:u w:val="single" w:color="000000" w:themeColor="text1"/>
        </w:rPr>
        <w:t>承包人</w:t>
      </w:r>
    </w:p>
    <w:p w14:paraId="4A74BE82">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（2）投保内容：</w:t>
      </w:r>
      <w:r>
        <w:rPr>
          <w:rFonts w:hint="eastAsia" w:cs="宋体" w:asciiTheme="minorEastAsia" w:hAnsiTheme="minorEastAsia" w:eastAsiaTheme="minorEastAsia"/>
          <w:sz w:val="24"/>
          <w:u w:val="single" w:color="000000" w:themeColor="text1"/>
        </w:rPr>
        <w:t>本合同承包范围内全部工程内容。</w:t>
      </w:r>
    </w:p>
    <w:p w14:paraId="09A6763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（3）保险费率：由投保人与合同双方同意的保险人商定。</w:t>
      </w:r>
    </w:p>
    <w:p w14:paraId="29892B70">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（4）保险金额：</w:t>
      </w:r>
      <w:r>
        <w:rPr>
          <w:rFonts w:hint="eastAsia" w:asciiTheme="minorEastAsia" w:hAnsiTheme="minorEastAsia" w:eastAsiaTheme="minorEastAsia"/>
          <w:u w:val="single" w:color="000000" w:themeColor="text1"/>
        </w:rPr>
        <w:t>不低于签约合同价。</w:t>
      </w:r>
    </w:p>
    <w:p w14:paraId="6B716138">
      <w:pPr>
        <w:pStyle w:val="17"/>
        <w:tabs>
          <w:tab w:val="left" w:pos="1254"/>
          <w:tab w:val="clear" w:pos="567"/>
        </w:tabs>
        <w:adjustRightInd w:val="0"/>
        <w:snapToGrid w:val="0"/>
        <w:spacing w:before="0" w:line="360" w:lineRule="auto"/>
        <w:ind w:firstLine="42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（5）保险期限：</w:t>
      </w:r>
      <w:r>
        <w:rPr>
          <w:rFonts w:hint="eastAsia" w:asciiTheme="minorEastAsia" w:hAnsiTheme="minorEastAsia" w:eastAsiaTheme="minorEastAsia"/>
          <w:u w:val="single" w:color="000000" w:themeColor="text1"/>
        </w:rPr>
        <w:t>本工程实际开工之日至实际竣工验收合格之日止。</w:t>
      </w:r>
    </w:p>
    <w:p w14:paraId="4926F648">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20.4</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第三者责任险</w:t>
      </w:r>
    </w:p>
    <w:p w14:paraId="176CA24F">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20.4.2</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保险金额：</w:t>
      </w:r>
      <w:r>
        <w:rPr>
          <w:rFonts w:hint="eastAsia" w:cs="宋体" w:asciiTheme="minorEastAsia" w:hAnsiTheme="minorEastAsia" w:eastAsiaTheme="minorEastAsia"/>
          <w:sz w:val="24"/>
          <w:u w:val="single" w:color="000000" w:themeColor="text1"/>
        </w:rPr>
        <w:t>/</w:t>
      </w:r>
      <w:r>
        <w:rPr>
          <w:rFonts w:hint="eastAsia" w:cs="宋体" w:asciiTheme="minorEastAsia" w:hAnsiTheme="minorEastAsia" w:eastAsiaTheme="minorEastAsia"/>
          <w:sz w:val="24"/>
          <w:u w:color="000000" w:themeColor="text1"/>
        </w:rPr>
        <w:t>，保险费率由承包人与发包人同意的保险人商定，相关保险费由</w:t>
      </w:r>
      <w:r>
        <w:rPr>
          <w:rFonts w:hint="eastAsia" w:cs="宋体" w:asciiTheme="minorEastAsia" w:hAnsiTheme="minorEastAsia" w:eastAsiaTheme="minorEastAsia"/>
          <w:sz w:val="24"/>
          <w:u w:val="single" w:color="000000" w:themeColor="text1"/>
        </w:rPr>
        <w:t>/</w:t>
      </w:r>
      <w:r>
        <w:rPr>
          <w:rFonts w:hint="eastAsia" w:cs="宋体" w:asciiTheme="minorEastAsia" w:hAnsiTheme="minorEastAsia" w:eastAsiaTheme="minorEastAsia"/>
          <w:sz w:val="24"/>
          <w:u w:color="000000" w:themeColor="text1"/>
        </w:rPr>
        <w:t>承担。</w:t>
      </w:r>
    </w:p>
    <w:p w14:paraId="0DAE430B">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20.5</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其他保险</w:t>
      </w:r>
    </w:p>
    <w:p w14:paraId="052ED535">
      <w:pPr>
        <w:adjustRightInd w:val="0"/>
        <w:snapToGrid w:val="0"/>
        <w:spacing w:line="360" w:lineRule="auto"/>
        <w:jc w:val="left"/>
        <w:rPr>
          <w:rFonts w:hint="eastAsia" w:asciiTheme="minorEastAsia" w:hAnsiTheme="minorEastAsia" w:eastAsiaTheme="minorEastAsia"/>
          <w:sz w:val="24"/>
          <w:u w:val="single" w:color="000000" w:themeColor="text1"/>
        </w:rPr>
      </w:pPr>
      <w:r>
        <w:rPr>
          <w:rFonts w:hint="eastAsia" w:cs="宋体" w:asciiTheme="minorEastAsia" w:hAnsiTheme="minorEastAsia" w:eastAsiaTheme="minorEastAsia"/>
          <w:sz w:val="24"/>
          <w:u w:color="000000" w:themeColor="text1"/>
        </w:rPr>
        <w:t>承包人应为其施工设备、进场材料等办理的保险：</w:t>
      </w:r>
      <w:r>
        <w:rPr>
          <w:rFonts w:hint="eastAsia" w:asciiTheme="minorEastAsia" w:hAnsiTheme="minorEastAsia" w:eastAsiaTheme="minorEastAsia"/>
          <w:sz w:val="24"/>
          <w:u w:val="single" w:color="000000" w:themeColor="text1"/>
        </w:rPr>
        <w:t>承包人自行确定，发包人不承担施工场地内施工设备、进场材料等的损失。办理本保险的一切费用均由承包人承担，并包含在合同价款中，发包人不单独列清单项支付。</w:t>
      </w:r>
    </w:p>
    <w:p w14:paraId="04D74133">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20.6</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对各项保险的一般要求</w:t>
      </w:r>
    </w:p>
    <w:p w14:paraId="6CA4B1B7">
      <w:pPr>
        <w:tabs>
          <w:tab w:val="left" w:pos="1290"/>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20.6.1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保险凭证</w:t>
      </w:r>
      <w:r>
        <w:rPr>
          <w:rFonts w:hint="eastAsia" w:cs="宋体" w:asciiTheme="minorEastAsia" w:hAnsiTheme="minorEastAsia" w:eastAsiaTheme="minorEastAsia"/>
          <w:w w:val="99"/>
          <w:sz w:val="24"/>
          <w:u w:color="000000" w:themeColor="text1"/>
        </w:rPr>
        <w:t xml:space="preserve"> </w:t>
      </w:r>
    </w:p>
    <w:p w14:paraId="0693F6E6">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承包人向发包人提交各项保险生效的证据和保险单副本的期限</w:t>
      </w:r>
      <w:r>
        <w:rPr>
          <w:rFonts w:hint="eastAsia" w:cs="宋体" w:asciiTheme="minorEastAsia" w:hAnsiTheme="minorEastAsia" w:eastAsiaTheme="minorEastAsia"/>
          <w:w w:val="95"/>
          <w:sz w:val="24"/>
          <w:u w:color="000000" w:themeColor="text1"/>
        </w:rPr>
        <w:t>：</w:t>
      </w:r>
      <w:r>
        <w:rPr>
          <w:rFonts w:hint="eastAsia" w:cs="宋体" w:asciiTheme="minorEastAsia" w:hAnsiTheme="minorEastAsia" w:eastAsiaTheme="minorEastAsia"/>
          <w:sz w:val="24"/>
          <w:u w:val="single" w:color="000000" w:themeColor="text1"/>
        </w:rPr>
        <w:t>监理人发出开工通知后14日内。</w:t>
      </w:r>
    </w:p>
    <w:p w14:paraId="4CA26DE6">
      <w:pPr>
        <w:tabs>
          <w:tab w:val="left" w:pos="1290"/>
        </w:tabs>
        <w:adjustRightInd w:val="0"/>
        <w:snapToGrid w:val="0"/>
        <w:spacing w:line="360" w:lineRule="auto"/>
        <w:jc w:val="left"/>
        <w:rPr>
          <w:rFonts w:hint="eastAsia" w:cs="宋体" w:asciiTheme="minorEastAsia" w:hAnsiTheme="minorEastAsia" w:eastAsiaTheme="minorEastAsia"/>
          <w:w w:val="99"/>
          <w:sz w:val="24"/>
          <w:u w:color="000000" w:themeColor="text1"/>
        </w:rPr>
      </w:pPr>
      <w:r>
        <w:rPr>
          <w:rFonts w:hint="eastAsia" w:cs="宋体" w:asciiTheme="minorEastAsia" w:hAnsiTheme="minorEastAsia" w:eastAsiaTheme="minorEastAsia"/>
          <w:sz w:val="24"/>
          <w:u w:color="000000" w:themeColor="text1"/>
        </w:rPr>
        <w:t>20.6.4</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保险金不足的补偿</w:t>
      </w:r>
      <w:r>
        <w:rPr>
          <w:rFonts w:hint="eastAsia" w:cs="宋体" w:asciiTheme="minorEastAsia" w:hAnsiTheme="minorEastAsia" w:eastAsiaTheme="minorEastAsia"/>
          <w:w w:val="99"/>
          <w:sz w:val="24"/>
          <w:u w:color="000000" w:themeColor="text1"/>
        </w:rPr>
        <w:t xml:space="preserve"> </w:t>
      </w:r>
    </w:p>
    <w:p w14:paraId="2210CE99">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保险金不足以补偿损失时，承包人和发包人负责补偿的责任分摊：</w:t>
      </w:r>
      <w:r>
        <w:rPr>
          <w:rFonts w:hint="eastAsia" w:cs="宋体" w:asciiTheme="minorEastAsia" w:hAnsiTheme="minorEastAsia" w:eastAsiaTheme="minorEastAsia"/>
          <w:sz w:val="24"/>
          <w:u w:val="single" w:color="000000" w:themeColor="text1"/>
        </w:rPr>
        <w:t>保险金不足以补偿损失时，承包人和发包人负责补偿的责任分摊：承包人负责全部补偿；发包人不承担补偿责任。</w:t>
      </w:r>
    </w:p>
    <w:p w14:paraId="589DCECD">
      <w:pPr>
        <w:pStyle w:val="6"/>
        <w:spacing w:before="0" w:after="0" w:line="360" w:lineRule="auto"/>
        <w:rPr>
          <w:sz w:val="24"/>
          <w:szCs w:val="24"/>
          <w:u w:color="000000" w:themeColor="text1"/>
        </w:rPr>
      </w:pPr>
      <w:r>
        <w:rPr>
          <w:rFonts w:hint="eastAsia"/>
          <w:sz w:val="24"/>
          <w:szCs w:val="24"/>
          <w:u w:color="000000" w:themeColor="text1"/>
        </w:rPr>
        <w:t>21.不可抗力</w:t>
      </w:r>
    </w:p>
    <w:p w14:paraId="533EA834">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21.1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不可抗力的确认</w:t>
      </w:r>
      <w:r>
        <w:rPr>
          <w:rFonts w:hint="eastAsia" w:asciiTheme="minorEastAsia" w:hAnsiTheme="minorEastAsia" w:eastAsiaTheme="minorEastAsia"/>
          <w:u w:color="000000" w:themeColor="text1"/>
        </w:rPr>
        <mc:AlternateContent>
          <mc:Choice Requires="wpg">
            <w:drawing>
              <wp:anchor distT="0" distB="0" distL="114300" distR="114300" simplePos="0" relativeHeight="251684864" behindDoc="0" locked="0" layoutInCell="1" allowOverlap="1">
                <wp:simplePos x="0" y="0"/>
                <wp:positionH relativeFrom="page">
                  <wp:posOffset>542925</wp:posOffset>
                </wp:positionH>
                <wp:positionV relativeFrom="page">
                  <wp:posOffset>895350</wp:posOffset>
                </wp:positionV>
                <wp:extent cx="1270" cy="8905875"/>
                <wp:effectExtent l="0" t="0" r="0" b="0"/>
                <wp:wrapNone/>
                <wp:docPr id="666202751" name="Group 349"/>
                <wp:cNvGraphicFramePr/>
                <a:graphic xmlns:a="http://schemas.openxmlformats.org/drawingml/2006/main">
                  <a:graphicData uri="http://schemas.microsoft.com/office/word/2010/wordprocessingGroup">
                    <wpg:wgp>
                      <wpg:cNvGrpSpPr/>
                      <wpg:grpSpPr>
                        <a:xfrm>
                          <a:off x="0" y="0"/>
                          <a:ext cx="1270" cy="8905875"/>
                          <a:chOff x="855" y="1410"/>
                          <a:chExt cx="2" cy="14025"/>
                        </a:xfrm>
                      </wpg:grpSpPr>
                      <wps:wsp>
                        <wps:cNvPr id="210528312" name="Freeform 350"/>
                        <wps:cNvSpPr/>
                        <wps:spPr bwMode="auto">
                          <a:xfrm>
                            <a:off x="855" y="1410"/>
                            <a:ext cx="2" cy="14025"/>
                          </a:xfrm>
                          <a:custGeom>
                            <a:avLst/>
                            <a:gdLst>
                              <a:gd name="T0" fmla="+- 0 1410 1410"/>
                              <a:gd name="T1" fmla="*/ 1410 h 14025"/>
                              <a:gd name="T2" fmla="+- 0 15435 1410"/>
                              <a:gd name="T3" fmla="*/ 15435 h 14025"/>
                              <a:gd name="T4" fmla="+- 0 1410 1410"/>
                              <a:gd name="T5" fmla="*/ 1410 h 14025"/>
                            </a:gdLst>
                            <a:ahLst/>
                            <a:cxnLst>
                              <a:cxn ang="0">
                                <a:pos x="0" y="T1"/>
                              </a:cxn>
                              <a:cxn ang="0">
                                <a:pos x="0" y="T3"/>
                              </a:cxn>
                              <a:cxn ang="0">
                                <a:pos x="0" y="T5"/>
                              </a:cxn>
                            </a:cxnLst>
                            <a:rect l="0" t="0" r="r" b="b"/>
                            <a:pathLst>
                              <a:path h="14025">
                                <a:moveTo>
                                  <a:pt x="0" y="0"/>
                                </a:moveTo>
                                <a:lnTo>
                                  <a:pt x="0" y="14025"/>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349" o:spid="_x0000_s1026" o:spt="203" style="position:absolute;left:0pt;margin-left:42.75pt;margin-top:70.5pt;height:701.25pt;width:0.1pt;mso-position-horizontal-relative:page;mso-position-vertical-relative:page;z-index:251684864;mso-width-relative:page;mso-height-relative:page;" coordorigin="855,1410" coordsize="2,14025" o:gfxdata="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BHqzp9kAAAAKAQAADwAAAAAAAAABACAAAAAiAAAAZHJzL2Rvd25yZXYu&#10;eG1sUEsBAhQAFAAAAAgAh07iQCoQw4wXAwAAngcAAA4AAAAAAAAAAQAgAAAAKAEAAGRycy9lMm9E&#10;b2MueG1sUEsFBgAAAAAGAAYAWQEAALEGAAAAAA==&#10;">
                <o:lock v:ext="edit" aspectratio="f"/>
                <v:shape id="Freeform 350" o:spid="_x0000_s1026" o:spt="100" style="position:absolute;left:855;top:1410;height:14025;width:2;" fillcolor="#000000" filled="t" stroked="f" coordsize="1,14025" o:gfxdata="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Y&#10;GhWWwwAAAOIAAAAPAAAAAAAAAAEAIAAAACIAAABkcnMvZG93bnJldi54bWxQSwECFAAUAAAACACH&#10;TuJAMy8FnjsAAAA5AAAAEAAAAAAAAAABACAAAAASAQAAZHJzL3NoYXBleG1sLnhtbFBLBQYAAAAA&#10;BgAGAFsBAAC8AwAAAAA=&#10;" path="m0,0l0,14025,0,0xe">
                  <v:path o:connectlocs="0,1410;0,15435;0,1410" o:connectangles="0,0,0"/>
                  <v:fill on="t" focussize="0,0"/>
                  <v:stroke on="f"/>
                  <v:imagedata o:title=""/>
                  <o:lock v:ext="edit" aspectratio="f"/>
                </v:shape>
              </v:group>
            </w:pict>
          </mc:Fallback>
        </mc:AlternateContent>
      </w:r>
    </w:p>
    <w:p w14:paraId="7FD9CEEC">
      <w:pPr>
        <w:tabs>
          <w:tab w:val="left" w:pos="1290"/>
        </w:tabs>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21.1.1</w:t>
      </w:r>
      <w:r>
        <w:rPr>
          <w:rFonts w:hint="eastAsia" w:cs="宋体" w:asciiTheme="minorEastAsia" w:hAnsiTheme="minorEastAsia" w:eastAsiaTheme="minorEastAsia"/>
          <w:sz w:val="24"/>
          <w:u w:color="000000" w:themeColor="text1"/>
        </w:rPr>
        <w:tab/>
      </w:r>
      <w:r>
        <w:rPr>
          <w:rFonts w:hint="eastAsia" w:cs="宋体" w:asciiTheme="minorEastAsia" w:hAnsiTheme="minorEastAsia" w:eastAsiaTheme="minorEastAsia"/>
          <w:sz w:val="24"/>
          <w:u w:color="000000" w:themeColor="text1"/>
        </w:rPr>
        <w:t>合同条款通用部分第21.1.1项约定的不可抗力以外的其他情形：</w:t>
      </w:r>
      <w:r>
        <w:rPr>
          <w:rFonts w:hint="eastAsia" w:asciiTheme="minorEastAsia" w:hAnsiTheme="minorEastAsia" w:eastAsiaTheme="minorEastAsia"/>
          <w:sz w:val="24"/>
          <w:u w:val="single" w:color="000000" w:themeColor="text1"/>
        </w:rPr>
        <w:t>按照届时当地行政管理部门正式发布和认定为不可抗力的意外事件或自然灾害事故为准。</w:t>
      </w:r>
    </w:p>
    <w:p w14:paraId="3AA83B78">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不可抗力的等级范围约定：</w:t>
      </w:r>
      <w:r>
        <w:rPr>
          <w:rFonts w:hint="eastAsia" w:asciiTheme="minorEastAsia" w:hAnsiTheme="minorEastAsia" w:eastAsiaTheme="minorEastAsia"/>
          <w:sz w:val="24"/>
          <w:u w:val="single" w:color="000000" w:themeColor="text1"/>
        </w:rPr>
        <w:t>不可抗力需要满足三个条件:即不可预计、不可避免和不能克服。对于人类无法控制的大自然力量所引起的灾害事故应达到被国家权威部门发布且界定为灾害事故的程度。</w:t>
      </w:r>
    </w:p>
    <w:p w14:paraId="3C550019">
      <w:pPr>
        <w:pStyle w:val="6"/>
        <w:spacing w:before="0" w:after="0" w:line="360" w:lineRule="auto"/>
        <w:rPr>
          <w:sz w:val="24"/>
          <w:szCs w:val="24"/>
          <w:u w:color="000000" w:themeColor="text1"/>
        </w:rPr>
      </w:pPr>
      <w:r>
        <w:rPr>
          <w:rFonts w:hint="eastAsia"/>
          <w:sz w:val="24"/>
          <w:szCs w:val="24"/>
          <w:u w:color="000000" w:themeColor="text1"/>
        </w:rPr>
        <w:t>24.争议的解决</w:t>
      </w:r>
    </w:p>
    <w:p w14:paraId="7F129E9F">
      <w:pPr>
        <w:pStyle w:val="17"/>
        <w:tabs>
          <w:tab w:val="left" w:pos="840"/>
          <w:tab w:val="clear" w:pos="567"/>
        </w:tabs>
        <w:adjustRightInd w:val="0"/>
        <w:snapToGrid w:val="0"/>
        <w:spacing w:before="0" w:line="360" w:lineRule="auto"/>
        <w:ind w:firstLine="240" w:firstLineChars="100"/>
        <w:rPr>
          <w:rFonts w:hint="eastAsia" w:asciiTheme="minorEastAsia" w:hAnsiTheme="minorEastAsia" w:eastAsiaTheme="minorEastAsia"/>
          <w:u w:color="000000" w:themeColor="text1"/>
        </w:rPr>
      </w:pPr>
      <w:r>
        <w:rPr>
          <w:rFonts w:hint="eastAsia" w:asciiTheme="minorEastAsia" w:hAnsiTheme="minorEastAsia" w:eastAsiaTheme="minorEastAsia"/>
          <w:u w:color="000000" w:themeColor="text1"/>
        </w:rPr>
        <w:t>24.1</w:t>
      </w:r>
      <w:r>
        <w:rPr>
          <w:rFonts w:hint="eastAsia" w:asciiTheme="minorEastAsia" w:hAnsiTheme="minorEastAsia" w:eastAsiaTheme="minorEastAsia"/>
          <w:u w:color="000000" w:themeColor="text1"/>
        </w:rPr>
        <w:tab/>
      </w:r>
      <w:r>
        <w:rPr>
          <w:rFonts w:hint="eastAsia" w:asciiTheme="minorEastAsia" w:hAnsiTheme="minorEastAsia" w:eastAsiaTheme="minorEastAsia"/>
          <w:u w:color="000000" w:themeColor="text1"/>
        </w:rPr>
        <w:t>争议的解决方式</w:t>
      </w:r>
    </w:p>
    <w:p w14:paraId="370A1A64">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color="000000" w:themeColor="text1"/>
        </w:rPr>
        <w:t>因本合同引起的或与本合同有关的任何争议，合同双方友好协商不成、不愿提请争议组评审或者不愿接受争议评审组意见的，选择下列第</w:t>
      </w:r>
      <w:r>
        <w:rPr>
          <w:rFonts w:hint="eastAsia" w:cs="宋体" w:asciiTheme="minorEastAsia" w:hAnsiTheme="minorEastAsia" w:eastAsiaTheme="minorEastAsia"/>
          <w:sz w:val="24"/>
          <w:u w:val="single" w:color="000000" w:themeColor="text1"/>
        </w:rPr>
        <w:t>贰</w:t>
      </w:r>
      <w:r>
        <w:rPr>
          <w:rFonts w:hint="eastAsia" w:cs="宋体" w:asciiTheme="minorEastAsia" w:hAnsiTheme="minorEastAsia" w:eastAsiaTheme="minorEastAsia"/>
          <w:sz w:val="24"/>
          <w:u w:color="000000" w:themeColor="text1"/>
        </w:rPr>
        <w:t>种方式解决：</w:t>
      </w:r>
    </w:p>
    <w:p w14:paraId="5F345750">
      <w:pPr>
        <w:tabs>
          <w:tab w:val="left" w:pos="1706"/>
        </w:tabs>
        <w:adjustRightInd w:val="0"/>
        <w:snapToGrid w:val="0"/>
        <w:spacing w:line="360" w:lineRule="auto"/>
        <w:ind w:firstLine="397"/>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w w:val="95"/>
          <w:sz w:val="24"/>
          <w:u w:val="single" w:color="000000" w:themeColor="text1"/>
        </w:rPr>
        <w:t>（壹）</w:t>
      </w:r>
      <w:r>
        <w:rPr>
          <w:rFonts w:hint="eastAsia" w:cs="宋体" w:asciiTheme="minorEastAsia" w:hAnsiTheme="minorEastAsia" w:eastAsiaTheme="minorEastAsia"/>
          <w:w w:val="95"/>
          <w:sz w:val="24"/>
          <w:u w:color="000000" w:themeColor="text1"/>
        </w:rPr>
        <w:t>提请</w:t>
      </w:r>
      <w:r>
        <w:rPr>
          <w:rFonts w:hint="eastAsia" w:cs="宋体" w:asciiTheme="minorEastAsia" w:hAnsiTheme="minorEastAsia" w:eastAsiaTheme="minorEastAsia"/>
          <w:w w:val="95"/>
          <w:sz w:val="24"/>
          <w:u w:val="single" w:color="000000" w:themeColor="text1"/>
        </w:rPr>
        <w:tab/>
      </w:r>
      <w:r>
        <w:rPr>
          <w:rFonts w:hint="eastAsia" w:cs="宋体" w:asciiTheme="minorEastAsia" w:hAnsiTheme="minorEastAsia" w:eastAsiaTheme="minorEastAsia"/>
          <w:sz w:val="24"/>
          <w:u w:val="single" w:color="000000" w:themeColor="text1"/>
        </w:rPr>
        <w:t xml:space="preserve">/  </w:t>
      </w:r>
      <w:r>
        <w:rPr>
          <w:rFonts w:hint="eastAsia" w:cs="宋体" w:asciiTheme="minorEastAsia" w:hAnsiTheme="minorEastAsia" w:eastAsiaTheme="minorEastAsia"/>
          <w:spacing w:val="-31"/>
          <w:sz w:val="24"/>
          <w:u w:val="single" w:color="000000" w:themeColor="text1"/>
        </w:rPr>
        <w:t xml:space="preserve"> </w:t>
      </w:r>
      <w:r>
        <w:rPr>
          <w:rFonts w:hint="eastAsia" w:cs="宋体" w:asciiTheme="minorEastAsia" w:hAnsiTheme="minorEastAsia" w:eastAsiaTheme="minorEastAsia"/>
          <w:sz w:val="24"/>
          <w:u w:color="000000" w:themeColor="text1"/>
        </w:rPr>
        <w:t>仲裁委员会按照该会仲裁规则进行仲裁，仲裁裁决是终局的，对合同双方均有约束力。</w:t>
      </w:r>
    </w:p>
    <w:p w14:paraId="3996748A">
      <w:pPr>
        <w:adjustRightInd w:val="0"/>
        <w:snapToGrid w:val="0"/>
        <w:spacing w:line="360" w:lineRule="auto"/>
        <w:jc w:val="left"/>
        <w:rPr>
          <w:rFonts w:hint="eastAsia" w:cs="宋体" w:asciiTheme="minorEastAsia" w:hAnsiTheme="minorEastAsia" w:eastAsiaTheme="minorEastAsia"/>
          <w:sz w:val="24"/>
          <w:u w:color="000000" w:themeColor="text1"/>
        </w:rPr>
      </w:pPr>
      <w:r>
        <w:rPr>
          <w:rFonts w:hint="eastAsia" w:cs="宋体" w:asciiTheme="minorEastAsia" w:hAnsiTheme="minorEastAsia" w:eastAsiaTheme="minorEastAsia"/>
          <w:sz w:val="24"/>
          <w:u w:val="single" w:color="000000" w:themeColor="text1"/>
        </w:rPr>
        <w:t>（贰）</w:t>
      </w:r>
      <w:r>
        <w:rPr>
          <w:rFonts w:hint="eastAsia" w:cs="宋体" w:asciiTheme="minorEastAsia" w:hAnsiTheme="minorEastAsia" w:eastAsiaTheme="minorEastAsia"/>
          <w:sz w:val="24"/>
          <w:u w:color="000000" w:themeColor="text1"/>
        </w:rPr>
        <w:t>向项目所在地人民法院提起诉讼。</w:t>
      </w:r>
    </w:p>
    <w:p w14:paraId="010793C5">
      <w:pPr>
        <w:snapToGrid w:val="0"/>
        <w:spacing w:line="360" w:lineRule="auto"/>
        <w:ind w:firstLine="480"/>
        <w:rPr>
          <w:rFonts w:hint="eastAsia" w:ascii="宋体" w:hAnsi="宋体" w:cs="宋体"/>
          <w:sz w:val="24"/>
          <w:u w:color="000000" w:themeColor="text1"/>
        </w:rPr>
        <w:sectPr>
          <w:pgSz w:w="11900" w:h="16840"/>
          <w:pgMar w:top="1440" w:right="1800" w:bottom="1440" w:left="1800" w:header="720" w:footer="720" w:gutter="0"/>
          <w:cols w:space="720" w:num="1"/>
        </w:sectPr>
      </w:pPr>
    </w:p>
    <w:p w14:paraId="6E0E71D5">
      <w:pPr>
        <w:pStyle w:val="2"/>
        <w:snapToGrid w:val="0"/>
        <w:rPr>
          <w:rFonts w:hint="eastAsia"/>
          <w:u w:color="000000" w:themeColor="text1"/>
        </w:rPr>
      </w:pPr>
      <w:bookmarkStart w:id="686" w:name="_Toc5819"/>
      <w:r>
        <w:rPr>
          <w:rFonts w:hint="eastAsia"/>
          <w:u w:color="000000" w:themeColor="text1"/>
        </w:rPr>
        <w:t>第四部分 其他</w:t>
      </w:r>
      <w:bookmarkEnd w:id="686"/>
    </w:p>
    <w:p w14:paraId="08C5D754">
      <w:pPr>
        <w:snapToGrid w:val="0"/>
        <w:jc w:val="left"/>
        <w:rPr>
          <w:b/>
          <w:bCs/>
          <w:sz w:val="28"/>
          <w:szCs w:val="28"/>
          <w:u w:color="000000" w:themeColor="text1"/>
        </w:rPr>
      </w:pPr>
      <w:r>
        <w:rPr>
          <w:rFonts w:hint="eastAsia"/>
          <w:b/>
          <w:bCs/>
          <w:sz w:val="28"/>
          <w:szCs w:val="28"/>
          <w:u w:color="000000" w:themeColor="text1"/>
        </w:rPr>
        <w:t>附件一:</w:t>
      </w:r>
    </w:p>
    <w:p w14:paraId="2838794A">
      <w:pPr>
        <w:pStyle w:val="2"/>
        <w:snapToGrid w:val="0"/>
        <w:rPr>
          <w:rFonts w:hint="eastAsia"/>
          <w:kern w:val="2"/>
          <w:sz w:val="28"/>
          <w:szCs w:val="28"/>
          <w:u w:color="000000" w:themeColor="text1"/>
        </w:rPr>
      </w:pPr>
      <w:bookmarkStart w:id="687" w:name="_Toc24487"/>
      <w:r>
        <w:rPr>
          <w:rFonts w:hint="eastAsia"/>
          <w:kern w:val="2"/>
          <w:sz w:val="28"/>
          <w:szCs w:val="28"/>
          <w:u w:color="000000" w:themeColor="text1"/>
        </w:rPr>
        <w:t>建设工程廉政责任书</w:t>
      </w:r>
      <w:bookmarkEnd w:id="687"/>
    </w:p>
    <w:p w14:paraId="7C6DD97A">
      <w:pPr>
        <w:snapToGrid w:val="0"/>
        <w:rPr>
          <w:rFonts w:hint="eastAsia" w:asciiTheme="minorEastAsia" w:hAnsiTheme="minorEastAsia"/>
          <w:u w:color="000000" w:themeColor="text1"/>
        </w:rPr>
      </w:pPr>
    </w:p>
    <w:p w14:paraId="51CC039E">
      <w:pPr>
        <w:snapToGrid w:val="0"/>
        <w:spacing w:line="360" w:lineRule="auto"/>
        <w:rPr>
          <w:rFonts w:hint="eastAsia" w:cs="宋体" w:asciiTheme="minorEastAsia" w:hAnsiTheme="minorEastAsia"/>
          <w:szCs w:val="21"/>
          <w:u w:color="000000" w:themeColor="text1"/>
        </w:rPr>
      </w:pPr>
      <w:r>
        <w:rPr>
          <w:rFonts w:hint="eastAsia" w:cs="宋体" w:asciiTheme="minorEastAsia" w:hAnsiTheme="minorEastAsia"/>
          <w:szCs w:val="21"/>
          <w:u w:color="000000" w:themeColor="text1"/>
        </w:rPr>
        <w:t>发包人：</w:t>
      </w:r>
      <w:r>
        <w:rPr>
          <w:rFonts w:hint="eastAsia" w:cs="宋体" w:asciiTheme="minorEastAsia" w:hAnsiTheme="minorEastAsia"/>
          <w:szCs w:val="21"/>
          <w:u w:val="single" w:color="000000" w:themeColor="text1"/>
        </w:rPr>
        <w:t xml:space="preserve">北京市丰台区职业教育中心学校 </w:t>
      </w:r>
    </w:p>
    <w:p w14:paraId="0FD97361">
      <w:pPr>
        <w:snapToGrid w:val="0"/>
        <w:spacing w:line="360" w:lineRule="auto"/>
        <w:rPr>
          <w:rFonts w:hint="eastAsia" w:cs="宋体" w:asciiTheme="minorEastAsia" w:hAnsiTheme="minorEastAsia"/>
          <w:szCs w:val="21"/>
          <w:u w:color="000000" w:themeColor="text1"/>
        </w:rPr>
      </w:pPr>
      <w:r>
        <w:rPr>
          <w:rFonts w:hint="eastAsia" w:cs="宋体" w:asciiTheme="minorEastAsia" w:hAnsiTheme="minorEastAsia"/>
          <w:szCs w:val="21"/>
          <w:u w:color="000000" w:themeColor="text1"/>
        </w:rPr>
        <w:t>承包人：</w:t>
      </w:r>
      <w:r>
        <w:rPr>
          <w:rFonts w:hint="eastAsia" w:ascii="宋体" w:hAnsi="宋体"/>
          <w:szCs w:val="21"/>
          <w:u w:val="single" w:color="000000" w:themeColor="text1"/>
        </w:rPr>
        <w:t xml:space="preserve">                </w:t>
      </w:r>
    </w:p>
    <w:p w14:paraId="36F0B293">
      <w:pPr>
        <w:snapToGrid w:val="0"/>
        <w:spacing w:line="360" w:lineRule="auto"/>
        <w:rPr>
          <w:rFonts w:hint="eastAsia" w:cs="宋体" w:asciiTheme="minorEastAsia" w:hAnsiTheme="minorEastAsia"/>
          <w:szCs w:val="21"/>
          <w:u w:color="000000" w:themeColor="text1"/>
        </w:rPr>
      </w:pPr>
    </w:p>
    <w:p w14:paraId="5FE3BC08">
      <w:pPr>
        <w:snapToGrid w:val="0"/>
        <w:spacing w:line="360" w:lineRule="auto"/>
        <w:rPr>
          <w:rFonts w:ascii="宋体"/>
          <w:szCs w:val="28"/>
          <w:u w:color="000000" w:themeColor="text1"/>
        </w:rPr>
      </w:pPr>
      <w:r>
        <w:rPr>
          <w:rFonts w:hint="eastAsia" w:ascii="宋体" w:hAnsi="宋体"/>
          <w:szCs w:val="28"/>
          <w:u w:color="000000" w:themeColor="text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6AD1AE5">
      <w:pPr>
        <w:snapToGrid w:val="0"/>
        <w:spacing w:line="360" w:lineRule="auto"/>
        <w:rPr>
          <w:rFonts w:ascii="宋体"/>
          <w:szCs w:val="28"/>
          <w:u w:color="000000" w:themeColor="text1"/>
        </w:rPr>
      </w:pPr>
      <w:r>
        <w:rPr>
          <w:rFonts w:hint="eastAsia" w:ascii="宋体" w:hAnsi="宋体"/>
          <w:szCs w:val="28"/>
          <w:u w:color="000000" w:themeColor="text1"/>
        </w:rPr>
        <w:t>一、双方的责任</w:t>
      </w:r>
    </w:p>
    <w:p w14:paraId="39CB105D">
      <w:pPr>
        <w:snapToGrid w:val="0"/>
        <w:spacing w:line="360" w:lineRule="auto"/>
        <w:rPr>
          <w:rFonts w:ascii="宋体"/>
          <w:szCs w:val="28"/>
          <w:u w:color="000000" w:themeColor="text1"/>
        </w:rPr>
      </w:pPr>
      <w:r>
        <w:rPr>
          <w:rFonts w:ascii="宋体" w:hAnsi="宋体"/>
          <w:szCs w:val="28"/>
          <w:u w:color="000000" w:themeColor="text1"/>
        </w:rPr>
        <w:t xml:space="preserve">1.1 </w:t>
      </w:r>
      <w:r>
        <w:rPr>
          <w:rFonts w:hint="eastAsia" w:ascii="宋体" w:hAnsi="宋体"/>
          <w:szCs w:val="28"/>
          <w:u w:color="000000" w:themeColor="text1"/>
        </w:rPr>
        <w:t>应严格遵守国家关于建设工程的有关法律、法规，相关政策，以及廉政建设的各项规定。</w:t>
      </w:r>
    </w:p>
    <w:p w14:paraId="7293117C">
      <w:pPr>
        <w:snapToGrid w:val="0"/>
        <w:spacing w:line="360" w:lineRule="auto"/>
        <w:rPr>
          <w:rFonts w:ascii="宋体"/>
          <w:szCs w:val="28"/>
          <w:u w:color="000000" w:themeColor="text1"/>
        </w:rPr>
      </w:pPr>
      <w:r>
        <w:rPr>
          <w:rFonts w:ascii="宋体" w:hAnsi="宋体"/>
          <w:szCs w:val="28"/>
          <w:u w:color="000000" w:themeColor="text1"/>
        </w:rPr>
        <w:t>1</w:t>
      </w:r>
      <w:r>
        <w:rPr>
          <w:rFonts w:ascii="宋体"/>
          <w:szCs w:val="28"/>
          <w:u w:color="000000" w:themeColor="text1"/>
        </w:rPr>
        <w:t>.</w:t>
      </w:r>
      <w:r>
        <w:rPr>
          <w:rFonts w:ascii="宋体" w:hAnsi="宋体"/>
          <w:szCs w:val="28"/>
          <w:u w:color="000000" w:themeColor="text1"/>
        </w:rPr>
        <w:t xml:space="preserve">2 </w:t>
      </w:r>
      <w:r>
        <w:rPr>
          <w:rFonts w:hint="eastAsia" w:ascii="宋体" w:hAnsi="宋体"/>
          <w:szCs w:val="28"/>
          <w:u w:color="000000" w:themeColor="text1"/>
        </w:rPr>
        <w:t>严格执行建设工程合同文件，自觉按合同办事。</w:t>
      </w:r>
    </w:p>
    <w:p w14:paraId="55A152FB">
      <w:pPr>
        <w:snapToGrid w:val="0"/>
        <w:spacing w:line="360" w:lineRule="auto"/>
        <w:rPr>
          <w:rFonts w:ascii="宋体"/>
          <w:szCs w:val="28"/>
          <w:u w:color="000000" w:themeColor="text1"/>
        </w:rPr>
      </w:pPr>
      <w:r>
        <w:rPr>
          <w:rFonts w:ascii="宋体" w:hAnsi="宋体"/>
          <w:szCs w:val="28"/>
          <w:u w:color="000000" w:themeColor="text1"/>
        </w:rPr>
        <w:t>1</w:t>
      </w:r>
      <w:r>
        <w:rPr>
          <w:rFonts w:ascii="宋体"/>
          <w:szCs w:val="28"/>
          <w:u w:color="000000" w:themeColor="text1"/>
        </w:rPr>
        <w:t>.</w:t>
      </w:r>
      <w:r>
        <w:rPr>
          <w:rFonts w:ascii="宋体" w:hAnsi="宋体"/>
          <w:szCs w:val="28"/>
          <w:u w:color="000000" w:themeColor="text1"/>
        </w:rPr>
        <w:t xml:space="preserve">3 </w:t>
      </w:r>
      <w:r>
        <w:rPr>
          <w:rFonts w:hint="eastAsia" w:ascii="宋体" w:hAnsi="宋体"/>
          <w:szCs w:val="28"/>
          <w:u w:color="000000" w:themeColor="text1"/>
        </w:rPr>
        <w:t>各项活动必须坚持公开、公平、公正、诚信、透明的原则（除法律法规另有规定者外），不得为获取不正当的利益，损害国家、集体和对方利益，不得违反建设工程管理的规章制度。</w:t>
      </w:r>
    </w:p>
    <w:p w14:paraId="7CD61FB0">
      <w:pPr>
        <w:snapToGrid w:val="0"/>
        <w:spacing w:line="360" w:lineRule="auto"/>
        <w:rPr>
          <w:rFonts w:ascii="宋体"/>
          <w:szCs w:val="28"/>
          <w:u w:color="000000" w:themeColor="text1"/>
        </w:rPr>
      </w:pPr>
      <w:r>
        <w:rPr>
          <w:rFonts w:ascii="宋体" w:hAnsi="宋体"/>
          <w:szCs w:val="28"/>
          <w:u w:color="000000" w:themeColor="text1"/>
        </w:rPr>
        <w:t>1</w:t>
      </w:r>
      <w:r>
        <w:rPr>
          <w:rFonts w:ascii="宋体"/>
          <w:szCs w:val="28"/>
          <w:u w:color="000000" w:themeColor="text1"/>
        </w:rPr>
        <w:t>.</w:t>
      </w:r>
      <w:r>
        <w:rPr>
          <w:rFonts w:ascii="宋体" w:hAnsi="宋体"/>
          <w:szCs w:val="28"/>
          <w:u w:color="000000" w:themeColor="text1"/>
        </w:rPr>
        <w:t xml:space="preserve">4 </w:t>
      </w:r>
      <w:r>
        <w:rPr>
          <w:rFonts w:hint="eastAsia" w:ascii="宋体" w:hAnsi="宋体"/>
          <w:szCs w:val="28"/>
          <w:u w:color="000000" w:themeColor="text1"/>
        </w:rPr>
        <w:t>发现对方在业务活动中有违规、违纪、违法行为的，应及时提醒对方，情节严重的，应向其上级主管部门或纪检监察、司法等有关机关举报。</w:t>
      </w:r>
    </w:p>
    <w:p w14:paraId="7E3006E5">
      <w:pPr>
        <w:snapToGrid w:val="0"/>
        <w:spacing w:line="360" w:lineRule="auto"/>
        <w:rPr>
          <w:rFonts w:ascii="宋体"/>
          <w:szCs w:val="28"/>
          <w:u w:color="000000" w:themeColor="text1"/>
        </w:rPr>
      </w:pPr>
      <w:r>
        <w:rPr>
          <w:rFonts w:hint="eastAsia" w:ascii="宋体" w:hAnsi="宋体"/>
          <w:szCs w:val="28"/>
          <w:u w:color="000000" w:themeColor="text1"/>
        </w:rPr>
        <w:t>二、发包人责任</w:t>
      </w:r>
    </w:p>
    <w:p w14:paraId="63127413">
      <w:pPr>
        <w:snapToGrid w:val="0"/>
        <w:spacing w:line="360" w:lineRule="auto"/>
        <w:rPr>
          <w:rFonts w:ascii="宋体"/>
          <w:szCs w:val="28"/>
          <w:u w:color="000000" w:themeColor="text1"/>
        </w:rPr>
      </w:pPr>
      <w:r>
        <w:rPr>
          <w:rFonts w:hint="eastAsia" w:ascii="宋体" w:hAnsi="宋体"/>
          <w:szCs w:val="28"/>
          <w:u w:color="000000" w:themeColor="text1"/>
        </w:rPr>
        <w:t>发包人的领导和从事该建设工程项目的工作人员，在工程建设的事前、事中、事后应遵守以下规定：</w:t>
      </w:r>
    </w:p>
    <w:p w14:paraId="4814AA8D">
      <w:pPr>
        <w:snapToGrid w:val="0"/>
        <w:spacing w:line="360" w:lineRule="auto"/>
        <w:rPr>
          <w:rFonts w:ascii="宋体"/>
          <w:szCs w:val="28"/>
          <w:u w:color="000000" w:themeColor="text1"/>
        </w:rPr>
      </w:pPr>
      <w:r>
        <w:rPr>
          <w:rFonts w:ascii="宋体" w:hAnsi="宋体"/>
          <w:szCs w:val="28"/>
          <w:u w:color="000000" w:themeColor="text1"/>
        </w:rPr>
        <w:t>2</w:t>
      </w:r>
      <w:r>
        <w:rPr>
          <w:rFonts w:ascii="宋体"/>
          <w:szCs w:val="28"/>
          <w:u w:color="000000" w:themeColor="text1"/>
        </w:rPr>
        <w:t>.</w:t>
      </w:r>
      <w:r>
        <w:rPr>
          <w:rFonts w:ascii="宋体" w:hAnsi="宋体"/>
          <w:szCs w:val="28"/>
          <w:u w:color="000000" w:themeColor="text1"/>
        </w:rPr>
        <w:t>1</w:t>
      </w:r>
      <w:r>
        <w:rPr>
          <w:rFonts w:hint="eastAsia" w:ascii="宋体" w:hAnsi="宋体"/>
          <w:szCs w:val="28"/>
          <w:u w:color="000000" w:themeColor="text1"/>
        </w:rPr>
        <w:t>不得向承包人和相关单位索要或接受回扣、礼金、有价证券、贵重物品和好处费、感谢费等。</w:t>
      </w:r>
    </w:p>
    <w:p w14:paraId="6CC20491">
      <w:pPr>
        <w:snapToGrid w:val="0"/>
        <w:spacing w:line="360" w:lineRule="auto"/>
        <w:rPr>
          <w:rFonts w:ascii="宋体"/>
          <w:szCs w:val="28"/>
          <w:u w:color="000000" w:themeColor="text1"/>
        </w:rPr>
      </w:pPr>
      <w:r>
        <w:rPr>
          <w:rFonts w:ascii="宋体" w:hAnsi="宋体"/>
          <w:szCs w:val="28"/>
          <w:u w:color="000000" w:themeColor="text1"/>
        </w:rPr>
        <w:t>2</w:t>
      </w:r>
      <w:r>
        <w:rPr>
          <w:rFonts w:ascii="宋体"/>
          <w:szCs w:val="28"/>
          <w:u w:color="000000" w:themeColor="text1"/>
        </w:rPr>
        <w:t>.</w:t>
      </w:r>
      <w:r>
        <w:rPr>
          <w:rFonts w:ascii="宋体" w:hAnsi="宋体"/>
          <w:szCs w:val="28"/>
          <w:u w:color="000000" w:themeColor="text1"/>
        </w:rPr>
        <w:t xml:space="preserve">2 </w:t>
      </w:r>
      <w:r>
        <w:rPr>
          <w:rFonts w:hint="eastAsia" w:ascii="宋体" w:hAnsi="宋体"/>
          <w:szCs w:val="28"/>
          <w:u w:color="000000" w:themeColor="text1"/>
        </w:rPr>
        <w:t>不得在承包人和相关单位报销任何应由发包人或个人支付的费用。</w:t>
      </w:r>
    </w:p>
    <w:p w14:paraId="4734A61C">
      <w:pPr>
        <w:snapToGrid w:val="0"/>
        <w:spacing w:line="360" w:lineRule="auto"/>
        <w:rPr>
          <w:rFonts w:ascii="宋体"/>
          <w:szCs w:val="28"/>
          <w:u w:color="000000" w:themeColor="text1"/>
        </w:rPr>
      </w:pPr>
      <w:r>
        <w:rPr>
          <w:rFonts w:ascii="宋体" w:hAnsi="宋体"/>
          <w:szCs w:val="28"/>
          <w:u w:color="000000" w:themeColor="text1"/>
        </w:rPr>
        <w:t>2</w:t>
      </w:r>
      <w:r>
        <w:rPr>
          <w:rFonts w:ascii="宋体"/>
          <w:szCs w:val="28"/>
          <w:u w:color="000000" w:themeColor="text1"/>
        </w:rPr>
        <w:t>.</w:t>
      </w:r>
      <w:r>
        <w:rPr>
          <w:rFonts w:ascii="宋体" w:hAnsi="宋体"/>
          <w:szCs w:val="28"/>
          <w:u w:color="000000" w:themeColor="text1"/>
        </w:rPr>
        <w:t xml:space="preserve">3 </w:t>
      </w:r>
      <w:r>
        <w:rPr>
          <w:rFonts w:hint="eastAsia" w:ascii="宋体" w:hAnsi="宋体"/>
          <w:szCs w:val="28"/>
          <w:u w:color="000000" w:themeColor="text1"/>
        </w:rPr>
        <w:t>不得要求、暗示或接受承包人和相关单位为个人装修住房、婚丧嫁娶、配偶子女的工作安排以及出国（境）、旅游等提供方便。</w:t>
      </w:r>
    </w:p>
    <w:p w14:paraId="4C4003D8">
      <w:pPr>
        <w:snapToGrid w:val="0"/>
        <w:spacing w:line="360" w:lineRule="auto"/>
        <w:rPr>
          <w:rFonts w:ascii="宋体"/>
          <w:szCs w:val="28"/>
          <w:u w:color="000000" w:themeColor="text1"/>
        </w:rPr>
      </w:pPr>
      <w:r>
        <w:rPr>
          <w:rFonts w:ascii="宋体" w:hAnsi="宋体"/>
          <w:szCs w:val="28"/>
          <w:u w:color="000000" w:themeColor="text1"/>
        </w:rPr>
        <w:t>2</w:t>
      </w:r>
      <w:r>
        <w:rPr>
          <w:rFonts w:ascii="宋体"/>
          <w:szCs w:val="28"/>
          <w:u w:color="000000" w:themeColor="text1"/>
        </w:rPr>
        <w:t>.</w:t>
      </w:r>
      <w:r>
        <w:rPr>
          <w:rFonts w:ascii="宋体" w:hAnsi="宋体"/>
          <w:szCs w:val="28"/>
          <w:u w:color="000000" w:themeColor="text1"/>
        </w:rPr>
        <w:t xml:space="preserve">4 </w:t>
      </w:r>
      <w:r>
        <w:rPr>
          <w:rFonts w:hint="eastAsia" w:ascii="宋体" w:hAnsi="宋体"/>
          <w:szCs w:val="28"/>
          <w:u w:color="000000" w:themeColor="text1"/>
        </w:rPr>
        <w:t>不得参加有可能影响公正执行公务的承包人和相关单位的宴请、健身、娱乐等活动。</w:t>
      </w:r>
    </w:p>
    <w:p w14:paraId="059429CF">
      <w:pPr>
        <w:snapToGrid w:val="0"/>
        <w:spacing w:line="360" w:lineRule="auto"/>
        <w:rPr>
          <w:rFonts w:ascii="宋体"/>
          <w:szCs w:val="28"/>
          <w:u w:color="000000" w:themeColor="text1"/>
        </w:rPr>
      </w:pPr>
      <w:r>
        <w:rPr>
          <w:rFonts w:ascii="宋体" w:hAnsi="宋体"/>
          <w:szCs w:val="28"/>
          <w:u w:color="000000" w:themeColor="text1"/>
        </w:rPr>
        <w:t>2</w:t>
      </w:r>
      <w:r>
        <w:rPr>
          <w:rFonts w:ascii="宋体"/>
          <w:szCs w:val="28"/>
          <w:u w:color="000000" w:themeColor="text1"/>
        </w:rPr>
        <w:t>.</w:t>
      </w:r>
      <w:r>
        <w:rPr>
          <w:rFonts w:ascii="宋体" w:hAnsi="宋体"/>
          <w:szCs w:val="28"/>
          <w:u w:color="000000" w:themeColor="text1"/>
        </w:rPr>
        <w:t xml:space="preserve">5 </w:t>
      </w:r>
      <w:r>
        <w:rPr>
          <w:rFonts w:hint="eastAsia" w:ascii="宋体" w:hAnsi="宋体"/>
          <w:szCs w:val="28"/>
          <w:u w:color="000000" w:themeColor="text1"/>
        </w:rPr>
        <w:t>不得向承包人和相关单位介绍或为配偶、子女、亲属参与同发包人工程建设管理合同有关的业务活动；不得以任何理由要求承包人和相关单位使用某种产品、材料和设备。</w:t>
      </w:r>
    </w:p>
    <w:p w14:paraId="735718B6">
      <w:pPr>
        <w:snapToGrid w:val="0"/>
        <w:spacing w:line="360" w:lineRule="auto"/>
        <w:rPr>
          <w:rFonts w:ascii="宋体"/>
          <w:szCs w:val="28"/>
          <w:u w:color="000000" w:themeColor="text1"/>
        </w:rPr>
      </w:pPr>
      <w:r>
        <w:rPr>
          <w:rFonts w:hint="eastAsia" w:ascii="宋体" w:hAnsi="宋体"/>
          <w:szCs w:val="28"/>
          <w:u w:color="000000" w:themeColor="text1"/>
        </w:rPr>
        <w:t>三、承包人责任</w:t>
      </w:r>
    </w:p>
    <w:p w14:paraId="314556F7">
      <w:pPr>
        <w:snapToGrid w:val="0"/>
        <w:spacing w:line="360" w:lineRule="auto"/>
        <w:rPr>
          <w:rFonts w:ascii="宋体"/>
          <w:szCs w:val="28"/>
          <w:u w:color="000000" w:themeColor="text1"/>
        </w:rPr>
      </w:pPr>
      <w:r>
        <w:rPr>
          <w:rFonts w:hint="eastAsia" w:ascii="宋体" w:hAnsi="宋体"/>
          <w:szCs w:val="28"/>
          <w:u w:color="000000" w:themeColor="text1"/>
        </w:rPr>
        <w:t>应与发包人保持正常的业务交往，按照有关法律法规和程序开展业务工作，严格执行工程建设的有关方针、政策，执行工程建设强制性标准，并遵守以下规定：</w:t>
      </w:r>
    </w:p>
    <w:p w14:paraId="26BF3616">
      <w:pPr>
        <w:snapToGrid w:val="0"/>
        <w:spacing w:line="360" w:lineRule="auto"/>
        <w:rPr>
          <w:rFonts w:ascii="宋体"/>
          <w:szCs w:val="28"/>
          <w:u w:color="000000" w:themeColor="text1"/>
        </w:rPr>
      </w:pPr>
      <w:r>
        <w:rPr>
          <w:rFonts w:ascii="宋体" w:hAnsi="宋体"/>
          <w:szCs w:val="28"/>
          <w:u w:color="000000" w:themeColor="text1"/>
        </w:rPr>
        <w:t>3</w:t>
      </w:r>
      <w:r>
        <w:rPr>
          <w:rFonts w:ascii="宋体"/>
          <w:szCs w:val="28"/>
          <w:u w:color="000000" w:themeColor="text1"/>
        </w:rPr>
        <w:t>.</w:t>
      </w:r>
      <w:r>
        <w:rPr>
          <w:rFonts w:ascii="宋体" w:hAnsi="宋体"/>
          <w:szCs w:val="28"/>
          <w:u w:color="000000" w:themeColor="text1"/>
        </w:rPr>
        <w:t xml:space="preserve">1 </w:t>
      </w:r>
      <w:r>
        <w:rPr>
          <w:rFonts w:hint="eastAsia" w:ascii="宋体" w:hAnsi="宋体"/>
          <w:szCs w:val="28"/>
          <w:u w:color="000000" w:themeColor="text1"/>
        </w:rPr>
        <w:t>不得以任何理由向发包人及其工作人员索要、接受或赠送礼金、有价证券、贵重物品及回扣、好处费、感谢费等。</w:t>
      </w:r>
    </w:p>
    <w:p w14:paraId="01505B8C">
      <w:pPr>
        <w:snapToGrid w:val="0"/>
        <w:spacing w:line="360" w:lineRule="auto"/>
        <w:rPr>
          <w:rFonts w:ascii="宋体"/>
          <w:szCs w:val="28"/>
          <w:u w:color="000000" w:themeColor="text1"/>
        </w:rPr>
      </w:pPr>
      <w:r>
        <w:rPr>
          <w:rFonts w:ascii="宋体" w:hAnsi="宋体"/>
          <w:szCs w:val="28"/>
          <w:u w:color="000000" w:themeColor="text1"/>
        </w:rPr>
        <w:t>3</w:t>
      </w:r>
      <w:r>
        <w:rPr>
          <w:rFonts w:ascii="宋体"/>
          <w:szCs w:val="28"/>
          <w:u w:color="000000" w:themeColor="text1"/>
        </w:rPr>
        <w:t>.</w:t>
      </w:r>
      <w:r>
        <w:rPr>
          <w:rFonts w:ascii="宋体" w:hAnsi="宋体"/>
          <w:szCs w:val="28"/>
          <w:u w:color="000000" w:themeColor="text1"/>
        </w:rPr>
        <w:t>2</w:t>
      </w:r>
      <w:r>
        <w:rPr>
          <w:rFonts w:hint="eastAsia" w:ascii="宋体" w:hAnsi="宋体"/>
          <w:szCs w:val="28"/>
          <w:u w:color="000000" w:themeColor="text1"/>
        </w:rPr>
        <w:t>不得以任何理由为发包人和相关单位报销应由对方或个人支付的费用。</w:t>
      </w:r>
    </w:p>
    <w:p w14:paraId="4795E69A">
      <w:pPr>
        <w:snapToGrid w:val="0"/>
        <w:spacing w:line="360" w:lineRule="auto"/>
        <w:rPr>
          <w:rFonts w:ascii="宋体"/>
          <w:szCs w:val="28"/>
          <w:u w:color="000000" w:themeColor="text1"/>
        </w:rPr>
      </w:pPr>
      <w:r>
        <w:rPr>
          <w:rFonts w:ascii="宋体" w:hAnsi="宋体"/>
          <w:szCs w:val="28"/>
          <w:u w:color="000000" w:themeColor="text1"/>
        </w:rPr>
        <w:t>3</w:t>
      </w:r>
      <w:r>
        <w:rPr>
          <w:rFonts w:ascii="宋体"/>
          <w:szCs w:val="28"/>
          <w:u w:color="000000" w:themeColor="text1"/>
        </w:rPr>
        <w:t>.</w:t>
      </w:r>
      <w:r>
        <w:rPr>
          <w:rFonts w:ascii="宋体" w:hAnsi="宋体"/>
          <w:szCs w:val="28"/>
          <w:u w:color="000000" w:themeColor="text1"/>
        </w:rPr>
        <w:t>3</w:t>
      </w:r>
      <w:r>
        <w:rPr>
          <w:rFonts w:hint="eastAsia" w:ascii="宋体" w:hAnsi="宋体"/>
          <w:szCs w:val="28"/>
          <w:u w:color="000000" w:themeColor="text1"/>
        </w:rPr>
        <w:t>不得接受或暗示为发包人、相关单位或个人装修住房、婚丧嫁娶、配偶子女的工作安排以及出国（境）、旅游等提供方便。</w:t>
      </w:r>
    </w:p>
    <w:p w14:paraId="36A5E2E8">
      <w:pPr>
        <w:snapToGrid w:val="0"/>
        <w:spacing w:line="360" w:lineRule="auto"/>
        <w:rPr>
          <w:rFonts w:ascii="宋体"/>
          <w:szCs w:val="28"/>
          <w:u w:color="000000" w:themeColor="text1"/>
        </w:rPr>
      </w:pPr>
      <w:r>
        <w:rPr>
          <w:rFonts w:ascii="宋体" w:hAnsi="宋体"/>
          <w:szCs w:val="28"/>
          <w:u w:color="000000" w:themeColor="text1"/>
        </w:rPr>
        <w:t>3</w:t>
      </w:r>
      <w:r>
        <w:rPr>
          <w:rFonts w:ascii="宋体"/>
          <w:szCs w:val="28"/>
          <w:u w:color="000000" w:themeColor="text1"/>
        </w:rPr>
        <w:t>.</w:t>
      </w:r>
      <w:r>
        <w:rPr>
          <w:rFonts w:ascii="宋体" w:hAnsi="宋体"/>
          <w:szCs w:val="28"/>
          <w:u w:color="000000" w:themeColor="text1"/>
        </w:rPr>
        <w:t>4</w:t>
      </w:r>
      <w:r>
        <w:rPr>
          <w:rFonts w:hint="eastAsia" w:ascii="宋体" w:hAnsi="宋体"/>
          <w:szCs w:val="28"/>
          <w:u w:color="000000" w:themeColor="text1"/>
        </w:rPr>
        <w:t>不得以任何理由为发包人、相关单位或个人组织有可能影响公正执行公务的宴请、健身、娱乐等活动。</w:t>
      </w:r>
    </w:p>
    <w:p w14:paraId="7D8DCF70">
      <w:pPr>
        <w:snapToGrid w:val="0"/>
        <w:spacing w:line="360" w:lineRule="auto"/>
        <w:rPr>
          <w:rFonts w:ascii="宋体"/>
          <w:szCs w:val="28"/>
          <w:u w:color="000000" w:themeColor="text1"/>
        </w:rPr>
      </w:pPr>
      <w:r>
        <w:rPr>
          <w:rFonts w:hint="eastAsia" w:ascii="宋体" w:hAnsi="宋体"/>
          <w:szCs w:val="28"/>
          <w:u w:color="000000" w:themeColor="text1"/>
        </w:rPr>
        <w:t>四、违约责任</w:t>
      </w:r>
    </w:p>
    <w:p w14:paraId="6EA8E69F">
      <w:pPr>
        <w:snapToGrid w:val="0"/>
        <w:spacing w:line="360" w:lineRule="auto"/>
        <w:rPr>
          <w:rFonts w:ascii="宋体"/>
          <w:szCs w:val="28"/>
          <w:u w:color="000000" w:themeColor="text1"/>
        </w:rPr>
      </w:pPr>
      <w:r>
        <w:rPr>
          <w:rFonts w:ascii="宋体" w:hAnsi="宋体"/>
          <w:szCs w:val="28"/>
          <w:u w:color="000000" w:themeColor="text1"/>
        </w:rPr>
        <w:t>4</w:t>
      </w:r>
      <w:r>
        <w:rPr>
          <w:rFonts w:ascii="宋体"/>
          <w:szCs w:val="28"/>
          <w:u w:color="000000" w:themeColor="text1"/>
        </w:rPr>
        <w:t>.</w:t>
      </w:r>
      <w:r>
        <w:rPr>
          <w:rFonts w:ascii="宋体" w:hAnsi="宋体"/>
          <w:szCs w:val="28"/>
          <w:u w:color="000000" w:themeColor="text1"/>
        </w:rPr>
        <w:t>1</w:t>
      </w:r>
      <w:r>
        <w:rPr>
          <w:rFonts w:hint="eastAsia" w:ascii="宋体" w:hAnsi="宋体"/>
          <w:szCs w:val="28"/>
          <w:u w:color="000000" w:themeColor="text1"/>
        </w:rPr>
        <w:t>发包人工作人员有违反本责任书第一、二条责任行为的，依据有关法律、法规给予处理；涉嫌犯罪的，移交司法机关追究刑事责任；给承包人单位造成经济损失的，应予以赔偿。</w:t>
      </w:r>
    </w:p>
    <w:p w14:paraId="7F5DD41C">
      <w:pPr>
        <w:snapToGrid w:val="0"/>
        <w:spacing w:line="360" w:lineRule="auto"/>
        <w:rPr>
          <w:rFonts w:ascii="宋体"/>
          <w:szCs w:val="28"/>
          <w:u w:color="000000" w:themeColor="text1"/>
        </w:rPr>
      </w:pPr>
      <w:r>
        <w:rPr>
          <w:rFonts w:ascii="宋体" w:hAnsi="宋体"/>
          <w:szCs w:val="28"/>
          <w:u w:color="000000" w:themeColor="text1"/>
        </w:rPr>
        <w:t>4</w:t>
      </w:r>
      <w:r>
        <w:rPr>
          <w:rFonts w:ascii="宋体"/>
          <w:szCs w:val="28"/>
          <w:u w:color="000000" w:themeColor="text1"/>
        </w:rPr>
        <w:t>.</w:t>
      </w:r>
      <w:r>
        <w:rPr>
          <w:rFonts w:ascii="宋体" w:hAnsi="宋体"/>
          <w:szCs w:val="28"/>
          <w:u w:color="000000" w:themeColor="text1"/>
        </w:rPr>
        <w:t xml:space="preserve">2 </w:t>
      </w:r>
      <w:r>
        <w:rPr>
          <w:rFonts w:hint="eastAsia" w:ascii="宋体" w:hAnsi="宋体"/>
          <w:szCs w:val="28"/>
          <w:u w:color="000000" w:themeColor="text1"/>
        </w:rPr>
        <w:t>承包人工作人员有违反本责任书第一、三条责任行为的，依据有关法律法规处理；涉嫌犯罪的，移交司法机关追究刑事责任；给发包人单位造成经济损失的，应予以赔偿。</w:t>
      </w:r>
    </w:p>
    <w:p w14:paraId="01478341">
      <w:pPr>
        <w:snapToGrid w:val="0"/>
        <w:spacing w:line="360" w:lineRule="auto"/>
        <w:rPr>
          <w:rFonts w:ascii="宋体"/>
          <w:szCs w:val="28"/>
          <w:u w:color="000000" w:themeColor="text1"/>
        </w:rPr>
      </w:pPr>
      <w:r>
        <w:rPr>
          <w:rFonts w:ascii="宋体" w:hAnsi="宋体"/>
          <w:szCs w:val="28"/>
          <w:u w:color="000000" w:themeColor="text1"/>
        </w:rPr>
        <w:t>4</w:t>
      </w:r>
      <w:r>
        <w:rPr>
          <w:rFonts w:ascii="宋体"/>
          <w:szCs w:val="28"/>
          <w:u w:color="000000" w:themeColor="text1"/>
        </w:rPr>
        <w:t>.</w:t>
      </w:r>
      <w:r>
        <w:rPr>
          <w:rFonts w:ascii="宋体" w:hAnsi="宋体"/>
          <w:szCs w:val="28"/>
          <w:u w:color="000000" w:themeColor="text1"/>
        </w:rPr>
        <w:t xml:space="preserve">3 </w:t>
      </w:r>
      <w:r>
        <w:rPr>
          <w:rFonts w:hint="eastAsia" w:ascii="宋体" w:hAnsi="宋体"/>
          <w:szCs w:val="28"/>
          <w:u w:color="000000" w:themeColor="text1"/>
        </w:rPr>
        <w:t>本责任书作为建设工程合同的组成部分，与建设工程合同具有同等法律效力。经双方签署后立即生效。</w:t>
      </w:r>
    </w:p>
    <w:p w14:paraId="16001319">
      <w:pPr>
        <w:snapToGrid w:val="0"/>
        <w:spacing w:line="360" w:lineRule="auto"/>
        <w:rPr>
          <w:rFonts w:ascii="宋体"/>
          <w:szCs w:val="28"/>
          <w:u w:color="000000" w:themeColor="text1"/>
        </w:rPr>
      </w:pPr>
      <w:r>
        <w:rPr>
          <w:rFonts w:hint="eastAsia" w:ascii="宋体" w:hAnsi="宋体"/>
          <w:szCs w:val="28"/>
          <w:u w:color="000000" w:themeColor="text1"/>
        </w:rPr>
        <w:t>五、责任书有效期</w:t>
      </w:r>
    </w:p>
    <w:p w14:paraId="1F54ED69">
      <w:pPr>
        <w:snapToGrid w:val="0"/>
        <w:spacing w:line="360" w:lineRule="auto"/>
        <w:rPr>
          <w:rFonts w:hint="eastAsia" w:ascii="宋体" w:hAnsi="宋体"/>
          <w:szCs w:val="28"/>
          <w:u w:color="000000" w:themeColor="text1"/>
        </w:rPr>
      </w:pPr>
      <w:r>
        <w:rPr>
          <w:rFonts w:hint="eastAsia" w:ascii="宋体" w:hAnsi="宋体"/>
          <w:szCs w:val="28"/>
          <w:u w:color="000000" w:themeColor="text1"/>
        </w:rPr>
        <w:t>本责任书的有效期为双方签署之日起至该工程项目竣工验收合格时止。</w:t>
      </w:r>
    </w:p>
    <w:p w14:paraId="3EB40AE0">
      <w:pPr>
        <w:snapToGrid w:val="0"/>
        <w:spacing w:line="360" w:lineRule="auto"/>
        <w:rPr>
          <w:rFonts w:hint="eastAsia" w:ascii="宋体" w:hAnsi="宋体"/>
          <w:szCs w:val="28"/>
          <w:u w:color="000000" w:themeColor="text1"/>
        </w:rPr>
      </w:pPr>
      <w:r>
        <w:rPr>
          <w:rFonts w:hint="eastAsia" w:ascii="宋体" w:hAnsi="宋体"/>
          <w:szCs w:val="28"/>
          <w:u w:color="000000" w:themeColor="text1"/>
        </w:rPr>
        <w:t>六、责任书份数</w:t>
      </w:r>
    </w:p>
    <w:p w14:paraId="062AEB9E">
      <w:pPr>
        <w:snapToGrid w:val="0"/>
        <w:spacing w:line="360" w:lineRule="auto"/>
        <w:rPr>
          <w:rFonts w:hint="eastAsia" w:ascii="宋体" w:hAnsi="宋体"/>
          <w:szCs w:val="28"/>
          <w:u w:color="000000" w:themeColor="text1"/>
        </w:rPr>
      </w:pPr>
      <w:r>
        <w:rPr>
          <w:rFonts w:hint="eastAsia" w:ascii="宋体" w:hAnsi="宋体"/>
          <w:szCs w:val="28"/>
          <w:u w:color="000000" w:themeColor="text1"/>
        </w:rPr>
        <w:t>本责任书一式二份，发包人承包人各执一份，具有同等效力。</w:t>
      </w:r>
    </w:p>
    <w:p w14:paraId="4944EE59">
      <w:pPr>
        <w:snapToGrid w:val="0"/>
        <w:ind w:left="5880" w:hanging="5880" w:hangingChars="2800"/>
        <w:jc w:val="left"/>
        <w:rPr>
          <w:rFonts w:hint="eastAsia" w:asciiTheme="minorEastAsia" w:hAnsiTheme="minorEastAsia"/>
          <w:szCs w:val="21"/>
          <w:u w:color="000000" w:themeColor="text1"/>
        </w:rPr>
      </w:pPr>
    </w:p>
    <w:p w14:paraId="708ECE15">
      <w:pPr>
        <w:snapToGrid w:val="0"/>
        <w:ind w:left="5880" w:hanging="5880" w:hangingChars="2800"/>
        <w:jc w:val="left"/>
        <w:rPr>
          <w:rFonts w:hint="eastAsia" w:asciiTheme="minorEastAsia" w:hAnsiTheme="minorEastAsia"/>
          <w:szCs w:val="21"/>
          <w:u w:color="000000" w:themeColor="text1"/>
        </w:rPr>
      </w:pPr>
      <w:r>
        <w:rPr>
          <w:rFonts w:hint="eastAsia" w:asciiTheme="minorEastAsia" w:hAnsiTheme="minorEastAsia"/>
          <w:szCs w:val="21"/>
          <w:u w:color="000000" w:themeColor="text1"/>
        </w:rPr>
        <w:t>（本页无正文）</w:t>
      </w:r>
    </w:p>
    <w:p w14:paraId="30F7D8C9">
      <w:pPr>
        <w:snapToGrid w:val="0"/>
        <w:ind w:left="5880" w:hanging="5880" w:hangingChars="2800"/>
        <w:jc w:val="left"/>
        <w:rPr>
          <w:rFonts w:hint="eastAsia" w:asciiTheme="minorEastAsia" w:hAnsiTheme="minorEastAsia"/>
          <w:szCs w:val="21"/>
          <w:u w:color="000000" w:themeColor="text1"/>
        </w:rPr>
      </w:pPr>
    </w:p>
    <w:tbl>
      <w:tblPr>
        <w:tblStyle w:val="44"/>
        <w:tblW w:w="8526" w:type="dxa"/>
        <w:tblInd w:w="0" w:type="dxa"/>
        <w:tblLayout w:type="fixed"/>
        <w:tblCellMar>
          <w:top w:w="0" w:type="dxa"/>
          <w:left w:w="108" w:type="dxa"/>
          <w:bottom w:w="0" w:type="dxa"/>
          <w:right w:w="108" w:type="dxa"/>
        </w:tblCellMar>
      </w:tblPr>
      <w:tblGrid>
        <w:gridCol w:w="4263"/>
        <w:gridCol w:w="4263"/>
      </w:tblGrid>
      <w:tr w14:paraId="49B34BAC">
        <w:tblPrEx>
          <w:tblCellMar>
            <w:top w:w="0" w:type="dxa"/>
            <w:left w:w="108" w:type="dxa"/>
            <w:bottom w:w="0" w:type="dxa"/>
            <w:right w:w="108" w:type="dxa"/>
          </w:tblCellMar>
        </w:tblPrEx>
        <w:trPr>
          <w:trHeight w:val="542" w:hRule="atLeast"/>
        </w:trPr>
        <w:tc>
          <w:tcPr>
            <w:tcW w:w="4263" w:type="dxa"/>
          </w:tcPr>
          <w:p w14:paraId="19F48FBD">
            <w:pPr>
              <w:snapToGrid w:val="0"/>
              <w:ind w:left="840" w:hanging="840" w:hangingChars="400"/>
              <w:rPr>
                <w:rFonts w:hint="eastAsia" w:ascii="宋体" w:hAnsi="宋体"/>
                <w:szCs w:val="21"/>
                <w:u w:val="single" w:color="000000" w:themeColor="text1"/>
              </w:rPr>
            </w:pPr>
            <w:bookmarkStart w:id="688" w:name="_Hlk199188558"/>
            <w:r>
              <w:rPr>
                <w:rFonts w:hint="eastAsia" w:ascii="宋体" w:hAnsi="宋体"/>
                <w:szCs w:val="21"/>
                <w:u w:color="000000" w:themeColor="text1"/>
              </w:rPr>
              <w:t>发包人：</w:t>
            </w:r>
            <w:r>
              <w:rPr>
                <w:rFonts w:hint="eastAsia" w:ascii="宋体" w:hAnsi="宋体" w:cs="宋体"/>
                <w:szCs w:val="21"/>
                <w:u w:val="single" w:color="000000" w:themeColor="text1"/>
                <w:lang w:bidi="zh-TW"/>
              </w:rPr>
              <w:t>北京市丰台区职业教育中心学校</w:t>
            </w:r>
            <w:r>
              <w:rPr>
                <w:rFonts w:hint="eastAsia" w:ascii="宋体" w:hAnsi="宋体"/>
                <w:szCs w:val="21"/>
                <w:u w:color="000000" w:themeColor="text1"/>
              </w:rPr>
              <w:t>（公章）</w:t>
            </w:r>
          </w:p>
        </w:tc>
        <w:tc>
          <w:tcPr>
            <w:tcW w:w="4263" w:type="dxa"/>
          </w:tcPr>
          <w:p w14:paraId="4973663B">
            <w:pPr>
              <w:snapToGrid w:val="0"/>
              <w:rPr>
                <w:rFonts w:hint="eastAsia" w:ascii="宋体" w:hAnsi="宋体"/>
                <w:szCs w:val="21"/>
                <w:u w:color="000000" w:themeColor="text1"/>
              </w:rPr>
            </w:pPr>
            <w:r>
              <w:rPr>
                <w:rFonts w:hint="eastAsia" w:ascii="宋体" w:hAnsi="宋体"/>
                <w:szCs w:val="21"/>
                <w:u w:color="000000" w:themeColor="text1"/>
              </w:rPr>
              <w:t>承包人：</w:t>
            </w:r>
            <w:r>
              <w:rPr>
                <w:rFonts w:hint="eastAsia" w:ascii="宋体" w:hAnsi="宋体"/>
                <w:szCs w:val="21"/>
                <w:u w:val="single" w:color="000000" w:themeColor="text1"/>
              </w:rPr>
              <w:t xml:space="preserve">              </w:t>
            </w:r>
            <w:r>
              <w:rPr>
                <w:rFonts w:hint="eastAsia" w:ascii="宋体" w:hAnsi="宋体"/>
                <w:szCs w:val="21"/>
                <w:u w:color="000000" w:themeColor="text1"/>
              </w:rPr>
              <w:t>（公章）</w:t>
            </w:r>
          </w:p>
        </w:tc>
      </w:tr>
      <w:tr w14:paraId="38B1AECD">
        <w:tblPrEx>
          <w:tblCellMar>
            <w:top w:w="0" w:type="dxa"/>
            <w:left w:w="108" w:type="dxa"/>
            <w:bottom w:w="0" w:type="dxa"/>
            <w:right w:w="108" w:type="dxa"/>
          </w:tblCellMar>
        </w:tblPrEx>
        <w:trPr>
          <w:trHeight w:val="542" w:hRule="atLeast"/>
        </w:trPr>
        <w:tc>
          <w:tcPr>
            <w:tcW w:w="4263" w:type="dxa"/>
          </w:tcPr>
          <w:p w14:paraId="4DA38161">
            <w:pPr>
              <w:snapToGrid w:val="0"/>
              <w:rPr>
                <w:rFonts w:hint="eastAsia" w:ascii="宋体" w:hAnsi="宋体"/>
                <w:szCs w:val="21"/>
                <w:u w:val="single" w:color="000000" w:themeColor="text1"/>
              </w:rPr>
            </w:pPr>
            <w:r>
              <w:rPr>
                <w:rFonts w:hint="eastAsia" w:ascii="宋体" w:hAnsi="宋体"/>
                <w:szCs w:val="21"/>
                <w:u w:color="000000" w:themeColor="text1"/>
              </w:rPr>
              <w:t>法定地址：</w:t>
            </w:r>
            <w:r>
              <w:rPr>
                <w:rFonts w:hint="eastAsia" w:ascii="宋体" w:hAnsi="宋体"/>
                <w:szCs w:val="21"/>
                <w:u w:val="single" w:color="000000" w:themeColor="text1"/>
              </w:rPr>
              <w:t xml:space="preserve"> 北京市丰台区方庄芳古园二区9号</w:t>
            </w:r>
          </w:p>
        </w:tc>
        <w:tc>
          <w:tcPr>
            <w:tcW w:w="4263" w:type="dxa"/>
          </w:tcPr>
          <w:p w14:paraId="603B63B0">
            <w:pPr>
              <w:snapToGrid w:val="0"/>
              <w:rPr>
                <w:rFonts w:hint="eastAsia" w:ascii="宋体" w:hAnsi="宋体"/>
                <w:szCs w:val="21"/>
                <w:u w:val="single" w:color="000000" w:themeColor="text1"/>
              </w:rPr>
            </w:pPr>
            <w:r>
              <w:rPr>
                <w:rFonts w:hint="eastAsia" w:ascii="宋体" w:hAnsi="宋体"/>
                <w:szCs w:val="21"/>
                <w:u w:color="000000" w:themeColor="text1"/>
              </w:rPr>
              <w:t>法定地址：</w:t>
            </w:r>
            <w:r>
              <w:rPr>
                <w:rFonts w:hint="eastAsia" w:ascii="宋体" w:hAnsi="宋体"/>
                <w:szCs w:val="21"/>
                <w:u w:val="single" w:color="000000" w:themeColor="text1"/>
              </w:rPr>
              <w:t xml:space="preserve">              </w:t>
            </w:r>
          </w:p>
        </w:tc>
      </w:tr>
      <w:tr w14:paraId="2FD9455E">
        <w:tblPrEx>
          <w:tblCellMar>
            <w:top w:w="0" w:type="dxa"/>
            <w:left w:w="108" w:type="dxa"/>
            <w:bottom w:w="0" w:type="dxa"/>
            <w:right w:w="108" w:type="dxa"/>
          </w:tblCellMar>
        </w:tblPrEx>
        <w:trPr>
          <w:trHeight w:val="527" w:hRule="atLeast"/>
        </w:trPr>
        <w:tc>
          <w:tcPr>
            <w:tcW w:w="4263" w:type="dxa"/>
          </w:tcPr>
          <w:p w14:paraId="17F7C82A">
            <w:pPr>
              <w:snapToGrid w:val="0"/>
              <w:rPr>
                <w:rFonts w:hint="eastAsia" w:ascii="宋体" w:hAnsi="宋体"/>
                <w:szCs w:val="21"/>
                <w:u w:color="000000" w:themeColor="text1"/>
              </w:rPr>
            </w:pPr>
            <w:r>
              <w:rPr>
                <w:rFonts w:hint="eastAsia" w:ascii="宋体" w:hAnsi="宋体"/>
                <w:szCs w:val="21"/>
                <w:u w:color="000000" w:themeColor="text1"/>
              </w:rPr>
              <w:t>法定代表人或其</w:t>
            </w:r>
          </w:p>
        </w:tc>
        <w:tc>
          <w:tcPr>
            <w:tcW w:w="4263" w:type="dxa"/>
          </w:tcPr>
          <w:p w14:paraId="7E82922F">
            <w:pPr>
              <w:snapToGrid w:val="0"/>
              <w:rPr>
                <w:rFonts w:hint="eastAsia" w:ascii="宋体" w:hAnsi="宋体"/>
                <w:szCs w:val="21"/>
                <w:u w:color="000000" w:themeColor="text1"/>
              </w:rPr>
            </w:pPr>
            <w:r>
              <w:rPr>
                <w:rFonts w:hint="eastAsia" w:ascii="宋体" w:hAnsi="宋体"/>
                <w:szCs w:val="21"/>
                <w:u w:color="000000" w:themeColor="text1"/>
              </w:rPr>
              <w:t>法定代表人或其</w:t>
            </w:r>
          </w:p>
        </w:tc>
      </w:tr>
      <w:tr w14:paraId="16696417">
        <w:tblPrEx>
          <w:tblCellMar>
            <w:top w:w="0" w:type="dxa"/>
            <w:left w:w="108" w:type="dxa"/>
            <w:bottom w:w="0" w:type="dxa"/>
            <w:right w:w="108" w:type="dxa"/>
          </w:tblCellMar>
        </w:tblPrEx>
        <w:trPr>
          <w:trHeight w:val="542" w:hRule="atLeast"/>
        </w:trPr>
        <w:tc>
          <w:tcPr>
            <w:tcW w:w="4263" w:type="dxa"/>
          </w:tcPr>
          <w:p w14:paraId="00D033E8">
            <w:pPr>
              <w:snapToGrid w:val="0"/>
              <w:rPr>
                <w:rFonts w:hint="eastAsia" w:ascii="宋体" w:hAnsi="宋体"/>
                <w:szCs w:val="21"/>
                <w:u w:val="single" w:color="000000" w:themeColor="text1"/>
              </w:rPr>
            </w:pPr>
            <w:r>
              <w:rPr>
                <w:rFonts w:hint="eastAsia" w:ascii="宋体" w:hAnsi="宋体"/>
                <w:szCs w:val="21"/>
                <w:u w:color="000000" w:themeColor="text1"/>
              </w:rPr>
              <w:t>委托代理人：</w:t>
            </w:r>
            <w:r>
              <w:rPr>
                <w:rFonts w:hint="eastAsia" w:ascii="宋体" w:hAnsi="宋体"/>
                <w:szCs w:val="21"/>
                <w:u w:val="single" w:color="000000" w:themeColor="text1"/>
              </w:rPr>
              <w:t xml:space="preserve">           </w:t>
            </w:r>
            <w:r>
              <w:rPr>
                <w:rFonts w:hint="eastAsia" w:ascii="宋体" w:hAnsi="宋体"/>
                <w:szCs w:val="21"/>
                <w:u w:color="000000" w:themeColor="text1"/>
              </w:rPr>
              <w:t>（签字）</w:t>
            </w:r>
          </w:p>
        </w:tc>
        <w:tc>
          <w:tcPr>
            <w:tcW w:w="4263" w:type="dxa"/>
          </w:tcPr>
          <w:p w14:paraId="7CA19DD5">
            <w:pPr>
              <w:snapToGrid w:val="0"/>
              <w:rPr>
                <w:rFonts w:hint="eastAsia" w:ascii="宋体" w:hAnsi="宋体"/>
                <w:szCs w:val="21"/>
                <w:u w:color="000000" w:themeColor="text1"/>
              </w:rPr>
            </w:pPr>
            <w:r>
              <w:rPr>
                <w:rFonts w:hint="eastAsia" w:ascii="宋体" w:hAnsi="宋体"/>
                <w:szCs w:val="21"/>
                <w:u w:color="000000" w:themeColor="text1"/>
              </w:rPr>
              <w:t>委托代理人：</w:t>
            </w:r>
            <w:r>
              <w:rPr>
                <w:rFonts w:hint="eastAsia" w:ascii="宋体" w:hAnsi="宋体"/>
                <w:szCs w:val="21"/>
                <w:u w:val="single" w:color="000000" w:themeColor="text1"/>
              </w:rPr>
              <w:t xml:space="preserve">           </w:t>
            </w:r>
            <w:r>
              <w:rPr>
                <w:rFonts w:hint="eastAsia" w:ascii="宋体" w:hAnsi="宋体"/>
                <w:szCs w:val="21"/>
                <w:u w:color="000000" w:themeColor="text1"/>
              </w:rPr>
              <w:t>（签字）</w:t>
            </w:r>
          </w:p>
        </w:tc>
      </w:tr>
      <w:tr w14:paraId="4E1E81F6">
        <w:tblPrEx>
          <w:tblCellMar>
            <w:top w:w="0" w:type="dxa"/>
            <w:left w:w="108" w:type="dxa"/>
            <w:bottom w:w="0" w:type="dxa"/>
            <w:right w:w="108" w:type="dxa"/>
          </w:tblCellMar>
        </w:tblPrEx>
        <w:trPr>
          <w:trHeight w:val="542" w:hRule="atLeast"/>
        </w:trPr>
        <w:tc>
          <w:tcPr>
            <w:tcW w:w="4263" w:type="dxa"/>
          </w:tcPr>
          <w:p w14:paraId="18E6F851">
            <w:pPr>
              <w:snapToGrid w:val="0"/>
              <w:rPr>
                <w:rFonts w:hint="eastAsia" w:ascii="宋体" w:hAnsi="宋体"/>
                <w:szCs w:val="21"/>
                <w:u w:val="single" w:color="000000" w:themeColor="text1"/>
              </w:rPr>
            </w:pPr>
            <w:r>
              <w:rPr>
                <w:rFonts w:hint="eastAsia" w:ascii="宋体" w:hAnsi="宋体"/>
                <w:szCs w:val="21"/>
                <w:u w:color="000000" w:themeColor="text1"/>
              </w:rPr>
              <w:t>电话：</w:t>
            </w:r>
            <w:r>
              <w:rPr>
                <w:rFonts w:hint="eastAsia" w:ascii="宋体" w:hAnsi="宋体"/>
                <w:szCs w:val="21"/>
                <w:u w:val="single" w:color="000000" w:themeColor="text1"/>
              </w:rPr>
              <w:t xml:space="preserve">             </w:t>
            </w:r>
          </w:p>
        </w:tc>
        <w:tc>
          <w:tcPr>
            <w:tcW w:w="4263" w:type="dxa"/>
          </w:tcPr>
          <w:p w14:paraId="5E509E71">
            <w:pPr>
              <w:snapToGrid w:val="0"/>
              <w:rPr>
                <w:rFonts w:hint="eastAsia" w:ascii="宋体" w:hAnsi="宋体"/>
                <w:szCs w:val="21"/>
                <w:u w:val="single" w:color="000000" w:themeColor="text1"/>
              </w:rPr>
            </w:pPr>
            <w:r>
              <w:rPr>
                <w:rFonts w:hint="eastAsia" w:ascii="宋体" w:hAnsi="宋体"/>
                <w:szCs w:val="21"/>
                <w:u w:color="000000" w:themeColor="text1"/>
              </w:rPr>
              <w:t>电话：</w:t>
            </w:r>
            <w:r>
              <w:rPr>
                <w:rFonts w:hint="eastAsia" w:ascii="宋体" w:hAnsi="宋体"/>
                <w:szCs w:val="21"/>
                <w:u w:val="single" w:color="000000" w:themeColor="text1"/>
              </w:rPr>
              <w:t xml:space="preserve">              </w:t>
            </w:r>
          </w:p>
        </w:tc>
      </w:tr>
      <w:tr w14:paraId="6BEA2119">
        <w:tblPrEx>
          <w:tblCellMar>
            <w:top w:w="0" w:type="dxa"/>
            <w:left w:w="108" w:type="dxa"/>
            <w:bottom w:w="0" w:type="dxa"/>
            <w:right w:w="108" w:type="dxa"/>
          </w:tblCellMar>
        </w:tblPrEx>
        <w:trPr>
          <w:trHeight w:val="542" w:hRule="atLeast"/>
        </w:trPr>
        <w:tc>
          <w:tcPr>
            <w:tcW w:w="4263" w:type="dxa"/>
          </w:tcPr>
          <w:p w14:paraId="79B478E4">
            <w:pPr>
              <w:snapToGrid w:val="0"/>
              <w:rPr>
                <w:rFonts w:hint="eastAsia" w:ascii="宋体" w:hAnsi="宋体"/>
                <w:szCs w:val="21"/>
                <w:u w:val="single" w:color="000000" w:themeColor="text1"/>
              </w:rPr>
            </w:pPr>
            <w:r>
              <w:rPr>
                <w:rFonts w:hint="eastAsia" w:ascii="宋体" w:hAnsi="宋体"/>
                <w:szCs w:val="21"/>
                <w:u w:color="000000" w:themeColor="text1"/>
              </w:rPr>
              <w:t>传真：</w:t>
            </w:r>
            <w:r>
              <w:rPr>
                <w:rFonts w:hint="eastAsia" w:ascii="宋体" w:hAnsi="宋体"/>
                <w:szCs w:val="21"/>
                <w:u w:val="single" w:color="000000" w:themeColor="text1"/>
              </w:rPr>
              <w:t xml:space="preserve">             </w:t>
            </w:r>
          </w:p>
        </w:tc>
        <w:tc>
          <w:tcPr>
            <w:tcW w:w="4263" w:type="dxa"/>
          </w:tcPr>
          <w:p w14:paraId="6EAF58A3">
            <w:pPr>
              <w:snapToGrid w:val="0"/>
              <w:rPr>
                <w:rFonts w:hint="eastAsia" w:ascii="宋体" w:hAnsi="宋体"/>
                <w:szCs w:val="21"/>
                <w:u w:val="single" w:color="000000" w:themeColor="text1"/>
              </w:rPr>
            </w:pPr>
            <w:r>
              <w:rPr>
                <w:rFonts w:hint="eastAsia" w:ascii="宋体" w:hAnsi="宋体"/>
                <w:szCs w:val="21"/>
                <w:u w:color="000000" w:themeColor="text1"/>
              </w:rPr>
              <w:t>传真：</w:t>
            </w:r>
            <w:r>
              <w:rPr>
                <w:rFonts w:hint="eastAsia" w:ascii="宋体" w:hAnsi="宋体"/>
                <w:szCs w:val="21"/>
                <w:u w:val="single" w:color="000000" w:themeColor="text1"/>
              </w:rPr>
              <w:t xml:space="preserve">              </w:t>
            </w:r>
          </w:p>
        </w:tc>
      </w:tr>
      <w:tr w14:paraId="6F387096">
        <w:tblPrEx>
          <w:tblCellMar>
            <w:top w:w="0" w:type="dxa"/>
            <w:left w:w="108" w:type="dxa"/>
            <w:bottom w:w="0" w:type="dxa"/>
            <w:right w:w="108" w:type="dxa"/>
          </w:tblCellMar>
        </w:tblPrEx>
        <w:trPr>
          <w:trHeight w:val="527" w:hRule="atLeast"/>
        </w:trPr>
        <w:tc>
          <w:tcPr>
            <w:tcW w:w="4263" w:type="dxa"/>
          </w:tcPr>
          <w:p w14:paraId="79F5736D">
            <w:pPr>
              <w:snapToGrid w:val="0"/>
              <w:rPr>
                <w:rFonts w:hint="eastAsia" w:ascii="宋体" w:hAnsi="宋体"/>
                <w:szCs w:val="21"/>
                <w:u w:val="single" w:color="000000" w:themeColor="text1"/>
              </w:rPr>
            </w:pPr>
            <w:r>
              <w:rPr>
                <w:rFonts w:hint="eastAsia" w:ascii="宋体" w:hAnsi="宋体"/>
                <w:szCs w:val="21"/>
                <w:u w:color="000000" w:themeColor="text1"/>
              </w:rPr>
              <w:t>电子邮箱：</w:t>
            </w:r>
            <w:r>
              <w:rPr>
                <w:rFonts w:hint="eastAsia" w:ascii="宋体" w:hAnsi="宋体"/>
                <w:szCs w:val="21"/>
                <w:u w:val="single" w:color="000000" w:themeColor="text1"/>
              </w:rPr>
              <w:t xml:space="preserve">                    </w:t>
            </w:r>
          </w:p>
        </w:tc>
        <w:tc>
          <w:tcPr>
            <w:tcW w:w="4263" w:type="dxa"/>
          </w:tcPr>
          <w:p w14:paraId="3ECD7825">
            <w:pPr>
              <w:snapToGrid w:val="0"/>
              <w:rPr>
                <w:rFonts w:hint="eastAsia" w:ascii="宋体" w:hAnsi="宋体"/>
                <w:szCs w:val="21"/>
                <w:u w:val="single" w:color="000000" w:themeColor="text1"/>
              </w:rPr>
            </w:pPr>
            <w:r>
              <w:rPr>
                <w:rFonts w:hint="eastAsia" w:ascii="宋体" w:hAnsi="宋体"/>
                <w:szCs w:val="21"/>
                <w:u w:color="000000" w:themeColor="text1"/>
              </w:rPr>
              <w:t>电子邮箱：</w:t>
            </w:r>
            <w:r>
              <w:rPr>
                <w:rFonts w:hint="eastAsia" w:ascii="宋体" w:hAnsi="宋体"/>
                <w:szCs w:val="21"/>
                <w:u w:val="single" w:color="000000" w:themeColor="text1"/>
              </w:rPr>
              <w:t xml:space="preserve">                      </w:t>
            </w:r>
          </w:p>
        </w:tc>
      </w:tr>
      <w:tr w14:paraId="2B54EBA4">
        <w:tblPrEx>
          <w:tblCellMar>
            <w:top w:w="0" w:type="dxa"/>
            <w:left w:w="108" w:type="dxa"/>
            <w:bottom w:w="0" w:type="dxa"/>
            <w:right w:w="108" w:type="dxa"/>
          </w:tblCellMar>
        </w:tblPrEx>
        <w:trPr>
          <w:trHeight w:val="542" w:hRule="atLeast"/>
        </w:trPr>
        <w:tc>
          <w:tcPr>
            <w:tcW w:w="4263" w:type="dxa"/>
          </w:tcPr>
          <w:p w14:paraId="5B306744">
            <w:pPr>
              <w:snapToGrid w:val="0"/>
              <w:ind w:left="1050" w:hanging="1050" w:hangingChars="500"/>
              <w:rPr>
                <w:rFonts w:hint="eastAsia" w:ascii="宋体" w:hAnsi="宋体"/>
                <w:szCs w:val="21"/>
                <w:u w:val="single" w:color="000000" w:themeColor="text1"/>
              </w:rPr>
            </w:pPr>
            <w:r>
              <w:rPr>
                <w:rFonts w:hint="eastAsia" w:ascii="宋体" w:hAnsi="宋体"/>
                <w:szCs w:val="21"/>
                <w:u w:color="000000" w:themeColor="text1"/>
              </w:rPr>
              <w:t>开户银行：</w:t>
            </w:r>
            <w:r>
              <w:rPr>
                <w:rFonts w:hint="eastAsia" w:ascii="宋体" w:hAnsi="宋体"/>
                <w:szCs w:val="21"/>
                <w:u w:val="single" w:color="000000" w:themeColor="text1"/>
              </w:rPr>
              <w:t xml:space="preserve">          </w:t>
            </w:r>
          </w:p>
        </w:tc>
        <w:tc>
          <w:tcPr>
            <w:tcW w:w="4263" w:type="dxa"/>
          </w:tcPr>
          <w:p w14:paraId="70688843">
            <w:pPr>
              <w:snapToGrid w:val="0"/>
              <w:rPr>
                <w:rFonts w:hint="eastAsia" w:ascii="宋体" w:hAnsi="宋体"/>
                <w:szCs w:val="21"/>
                <w:u w:val="single" w:color="000000" w:themeColor="text1"/>
              </w:rPr>
            </w:pPr>
            <w:r>
              <w:rPr>
                <w:rFonts w:hint="eastAsia" w:ascii="宋体" w:hAnsi="宋体"/>
                <w:szCs w:val="21"/>
                <w:u w:color="000000" w:themeColor="text1"/>
              </w:rPr>
              <w:t>开户银行：</w:t>
            </w:r>
            <w:r>
              <w:rPr>
                <w:rFonts w:hint="eastAsia" w:ascii="宋体" w:hAnsi="宋体"/>
                <w:szCs w:val="21"/>
                <w:u w:val="single" w:color="000000" w:themeColor="text1"/>
              </w:rPr>
              <w:t xml:space="preserve">              </w:t>
            </w:r>
          </w:p>
        </w:tc>
      </w:tr>
      <w:tr w14:paraId="156278AF">
        <w:tblPrEx>
          <w:tblCellMar>
            <w:top w:w="0" w:type="dxa"/>
            <w:left w:w="108" w:type="dxa"/>
            <w:bottom w:w="0" w:type="dxa"/>
            <w:right w:w="108" w:type="dxa"/>
          </w:tblCellMar>
        </w:tblPrEx>
        <w:trPr>
          <w:trHeight w:val="542" w:hRule="atLeast"/>
        </w:trPr>
        <w:tc>
          <w:tcPr>
            <w:tcW w:w="4263" w:type="dxa"/>
          </w:tcPr>
          <w:p w14:paraId="1CAF50F4">
            <w:pPr>
              <w:snapToGrid w:val="0"/>
              <w:rPr>
                <w:rFonts w:hint="eastAsia" w:ascii="宋体" w:hAnsi="宋体"/>
                <w:szCs w:val="21"/>
                <w:u w:val="single" w:color="000000" w:themeColor="text1"/>
              </w:rPr>
            </w:pPr>
            <w:r>
              <w:rPr>
                <w:rFonts w:hint="eastAsia" w:ascii="宋体" w:hAnsi="宋体"/>
                <w:szCs w:val="21"/>
                <w:u w:color="000000" w:themeColor="text1"/>
              </w:rPr>
              <w:t>帐号：</w:t>
            </w:r>
            <w:r>
              <w:rPr>
                <w:rFonts w:hint="eastAsia" w:ascii="宋体" w:hAnsi="宋体"/>
                <w:szCs w:val="21"/>
                <w:u w:val="single" w:color="000000" w:themeColor="text1"/>
              </w:rPr>
              <w:t xml:space="preserve">              </w:t>
            </w:r>
          </w:p>
        </w:tc>
        <w:tc>
          <w:tcPr>
            <w:tcW w:w="4263" w:type="dxa"/>
          </w:tcPr>
          <w:p w14:paraId="0CCE09E4">
            <w:pPr>
              <w:snapToGrid w:val="0"/>
              <w:rPr>
                <w:rFonts w:hint="eastAsia" w:ascii="宋体" w:hAnsi="宋体"/>
                <w:szCs w:val="21"/>
                <w:u w:val="single" w:color="000000" w:themeColor="text1"/>
              </w:rPr>
            </w:pPr>
            <w:r>
              <w:rPr>
                <w:rFonts w:hint="eastAsia" w:ascii="宋体" w:hAnsi="宋体"/>
                <w:szCs w:val="21"/>
                <w:u w:color="000000" w:themeColor="text1"/>
              </w:rPr>
              <w:t>帐号：</w:t>
            </w:r>
            <w:r>
              <w:rPr>
                <w:rFonts w:hint="eastAsia" w:ascii="宋体" w:hAnsi="宋体"/>
                <w:szCs w:val="21"/>
                <w:u w:val="single" w:color="000000" w:themeColor="text1"/>
              </w:rPr>
              <w:t xml:space="preserve">              </w:t>
            </w:r>
          </w:p>
        </w:tc>
      </w:tr>
      <w:tr w14:paraId="6609319E">
        <w:tblPrEx>
          <w:tblCellMar>
            <w:top w:w="0" w:type="dxa"/>
            <w:left w:w="108" w:type="dxa"/>
            <w:bottom w:w="0" w:type="dxa"/>
            <w:right w:w="108" w:type="dxa"/>
          </w:tblCellMar>
        </w:tblPrEx>
        <w:trPr>
          <w:trHeight w:val="542" w:hRule="atLeast"/>
        </w:trPr>
        <w:tc>
          <w:tcPr>
            <w:tcW w:w="4263" w:type="dxa"/>
          </w:tcPr>
          <w:p w14:paraId="7BD2E23F">
            <w:pPr>
              <w:snapToGrid w:val="0"/>
              <w:rPr>
                <w:rFonts w:hint="eastAsia" w:ascii="宋体" w:hAnsi="宋体"/>
                <w:szCs w:val="21"/>
                <w:u w:val="single" w:color="000000" w:themeColor="text1"/>
              </w:rPr>
            </w:pPr>
            <w:r>
              <w:rPr>
                <w:rFonts w:hint="eastAsia" w:ascii="宋体" w:hAnsi="宋体"/>
                <w:szCs w:val="21"/>
                <w:u w:color="000000" w:themeColor="text1"/>
              </w:rPr>
              <w:t>邮政编码：</w:t>
            </w:r>
            <w:r>
              <w:rPr>
                <w:rFonts w:hint="eastAsia" w:ascii="宋体" w:hAnsi="宋体"/>
                <w:szCs w:val="21"/>
                <w:u w:val="single" w:color="000000" w:themeColor="text1"/>
              </w:rPr>
              <w:t xml:space="preserve">              </w:t>
            </w:r>
          </w:p>
        </w:tc>
        <w:tc>
          <w:tcPr>
            <w:tcW w:w="4263" w:type="dxa"/>
          </w:tcPr>
          <w:p w14:paraId="70983B52">
            <w:pPr>
              <w:snapToGrid w:val="0"/>
              <w:rPr>
                <w:rFonts w:hint="eastAsia" w:ascii="宋体" w:hAnsi="宋体"/>
                <w:szCs w:val="21"/>
                <w:u w:val="single" w:color="000000" w:themeColor="text1"/>
              </w:rPr>
            </w:pPr>
            <w:r>
              <w:rPr>
                <w:rFonts w:hint="eastAsia" w:ascii="宋体" w:hAnsi="宋体"/>
                <w:szCs w:val="21"/>
                <w:u w:color="000000" w:themeColor="text1"/>
              </w:rPr>
              <w:t>邮政编码：</w:t>
            </w:r>
            <w:r>
              <w:rPr>
                <w:rFonts w:hint="eastAsia" w:ascii="宋体" w:hAnsi="宋体"/>
                <w:szCs w:val="21"/>
                <w:u w:val="single" w:color="000000" w:themeColor="text1"/>
              </w:rPr>
              <w:t xml:space="preserve">              </w:t>
            </w:r>
          </w:p>
        </w:tc>
      </w:tr>
      <w:tr w14:paraId="72661763">
        <w:tblPrEx>
          <w:tblCellMar>
            <w:top w:w="0" w:type="dxa"/>
            <w:left w:w="108" w:type="dxa"/>
            <w:bottom w:w="0" w:type="dxa"/>
            <w:right w:w="108" w:type="dxa"/>
          </w:tblCellMar>
        </w:tblPrEx>
        <w:trPr>
          <w:trHeight w:val="542" w:hRule="atLeast"/>
        </w:trPr>
        <w:tc>
          <w:tcPr>
            <w:tcW w:w="4263" w:type="dxa"/>
          </w:tcPr>
          <w:p w14:paraId="636B3142">
            <w:pPr>
              <w:snapToGrid w:val="0"/>
              <w:rPr>
                <w:rFonts w:hint="eastAsia" w:ascii="宋体" w:hAnsi="宋体"/>
                <w:szCs w:val="21"/>
                <w:u w:val="single" w:color="000000" w:themeColor="text1"/>
              </w:rPr>
            </w:pPr>
            <w:r>
              <w:rPr>
                <w:rFonts w:hint="eastAsia" w:ascii="宋体" w:hAnsi="宋体"/>
                <w:szCs w:val="21"/>
                <w:u w:color="000000" w:themeColor="text1"/>
              </w:rPr>
              <w:t>监督单位：</w:t>
            </w:r>
            <w:r>
              <w:rPr>
                <w:rFonts w:hint="eastAsia" w:ascii="宋体" w:hAnsi="宋体"/>
                <w:szCs w:val="21"/>
                <w:u w:val="single" w:color="000000" w:themeColor="text1"/>
              </w:rPr>
              <w:t xml:space="preserve">             </w:t>
            </w:r>
            <w:r>
              <w:rPr>
                <w:rFonts w:hint="eastAsia" w:ascii="宋体" w:hAnsi="宋体"/>
                <w:szCs w:val="21"/>
                <w:u w:color="000000" w:themeColor="text1"/>
              </w:rPr>
              <w:t>（盖章）</w:t>
            </w:r>
          </w:p>
        </w:tc>
        <w:tc>
          <w:tcPr>
            <w:tcW w:w="4263" w:type="dxa"/>
          </w:tcPr>
          <w:p w14:paraId="1FACD184">
            <w:pPr>
              <w:snapToGrid w:val="0"/>
              <w:rPr>
                <w:rFonts w:hint="eastAsia" w:ascii="宋体" w:hAnsi="宋体"/>
                <w:szCs w:val="21"/>
                <w:u w:val="single" w:color="000000" w:themeColor="text1"/>
              </w:rPr>
            </w:pPr>
            <w:r>
              <w:rPr>
                <w:rFonts w:hint="eastAsia" w:ascii="宋体" w:hAnsi="宋体"/>
                <w:szCs w:val="21"/>
                <w:u w:color="000000" w:themeColor="text1"/>
              </w:rPr>
              <w:t>监督单位：</w:t>
            </w:r>
            <w:r>
              <w:rPr>
                <w:rFonts w:hint="eastAsia" w:ascii="宋体" w:hAnsi="宋体"/>
                <w:szCs w:val="21"/>
                <w:u w:val="single" w:color="000000" w:themeColor="text1"/>
              </w:rPr>
              <w:t xml:space="preserve">             </w:t>
            </w:r>
            <w:r>
              <w:rPr>
                <w:rFonts w:hint="eastAsia" w:ascii="宋体" w:hAnsi="宋体"/>
                <w:szCs w:val="21"/>
                <w:u w:color="000000" w:themeColor="text1"/>
              </w:rPr>
              <w:t>（盖章）</w:t>
            </w:r>
          </w:p>
        </w:tc>
      </w:tr>
      <w:bookmarkEnd w:id="688"/>
    </w:tbl>
    <w:p w14:paraId="4C33ADF6">
      <w:pPr>
        <w:snapToGrid w:val="0"/>
        <w:ind w:firstLine="480"/>
        <w:jc w:val="left"/>
        <w:rPr>
          <w:rFonts w:hint="eastAsia" w:asciiTheme="minorEastAsia" w:hAnsiTheme="minorEastAsia"/>
          <w:sz w:val="24"/>
          <w:u w:color="000000" w:themeColor="text1"/>
        </w:rPr>
      </w:pPr>
      <w:r>
        <w:rPr>
          <w:rFonts w:hint="eastAsia" w:asciiTheme="minorEastAsia" w:hAnsiTheme="minorEastAsia"/>
          <w:sz w:val="24"/>
          <w:u w:color="000000" w:themeColor="text1"/>
        </w:rPr>
        <w:br w:type="page"/>
      </w:r>
    </w:p>
    <w:p w14:paraId="5CE1549B">
      <w:pPr>
        <w:snapToGrid w:val="0"/>
        <w:ind w:firstLine="562"/>
        <w:jc w:val="left"/>
        <w:rPr>
          <w:b/>
          <w:bCs/>
          <w:sz w:val="28"/>
          <w:szCs w:val="28"/>
          <w:u w:color="000000" w:themeColor="text1"/>
        </w:rPr>
      </w:pPr>
      <w:r>
        <w:rPr>
          <w:rFonts w:hint="eastAsia"/>
          <w:b/>
          <w:bCs/>
          <w:sz w:val="28"/>
          <w:szCs w:val="28"/>
          <w:u w:color="000000" w:themeColor="text1"/>
        </w:rPr>
        <w:t>附件二：承包人承揽工程项目一览表</w:t>
      </w:r>
    </w:p>
    <w:p w14:paraId="715EC1B0">
      <w:pPr>
        <w:pStyle w:val="253"/>
        <w:ind w:firstLine="480"/>
        <w:jc w:val="center"/>
        <w:rPr>
          <w:rFonts w:hint="eastAsia"/>
        </w:rPr>
      </w:pPr>
      <w:r>
        <w:rPr>
          <w:rFonts w:hint="eastAsia"/>
        </w:rPr>
        <w:t>承包人承揽工程项目一览表</w:t>
      </w:r>
    </w:p>
    <w:tbl>
      <w:tblPr>
        <w:tblStyle w:val="4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9"/>
        <w:gridCol w:w="839"/>
        <w:gridCol w:w="769"/>
        <w:gridCol w:w="709"/>
        <w:gridCol w:w="856"/>
        <w:gridCol w:w="776"/>
        <w:gridCol w:w="1061"/>
        <w:gridCol w:w="937"/>
        <w:gridCol w:w="776"/>
        <w:gridCol w:w="774"/>
      </w:tblGrid>
      <w:tr w14:paraId="556A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59BD99AB">
            <w:pPr>
              <w:adjustRightInd w:val="0"/>
              <w:snapToGrid w:val="0"/>
              <w:jc w:val="center"/>
              <w:rPr>
                <w:rFonts w:hint="eastAsia" w:ascii="宋体" w:hAnsi="宋体"/>
              </w:rPr>
            </w:pPr>
            <w:r>
              <w:rPr>
                <w:rFonts w:hint="eastAsia" w:ascii="宋体" w:hAnsi="宋体"/>
              </w:rPr>
              <w:t>单位工程</w:t>
            </w:r>
          </w:p>
          <w:p w14:paraId="59BD0C43">
            <w:pPr>
              <w:adjustRightInd w:val="0"/>
              <w:snapToGrid w:val="0"/>
              <w:jc w:val="center"/>
              <w:rPr>
                <w:rFonts w:hint="eastAsia" w:ascii="宋体" w:hAnsi="宋体"/>
              </w:rPr>
            </w:pPr>
            <w:r>
              <w:rPr>
                <w:rFonts w:hint="eastAsia" w:ascii="宋体" w:hAnsi="宋体"/>
              </w:rPr>
              <w:t>名称</w:t>
            </w:r>
          </w:p>
        </w:tc>
        <w:tc>
          <w:tcPr>
            <w:tcW w:w="839" w:type="dxa"/>
            <w:vAlign w:val="center"/>
          </w:tcPr>
          <w:p w14:paraId="448C49B2">
            <w:pPr>
              <w:adjustRightInd w:val="0"/>
              <w:snapToGrid w:val="0"/>
              <w:jc w:val="center"/>
              <w:rPr>
                <w:rFonts w:hint="eastAsia" w:ascii="宋体" w:hAnsi="宋体"/>
              </w:rPr>
            </w:pPr>
            <w:r>
              <w:rPr>
                <w:rFonts w:hint="eastAsia" w:ascii="宋体" w:hAnsi="宋体"/>
              </w:rPr>
              <w:t>建设</w:t>
            </w:r>
          </w:p>
          <w:p w14:paraId="54F405F5">
            <w:pPr>
              <w:adjustRightInd w:val="0"/>
              <w:snapToGrid w:val="0"/>
              <w:jc w:val="center"/>
              <w:rPr>
                <w:rFonts w:hint="eastAsia" w:ascii="宋体" w:hAnsi="宋体"/>
              </w:rPr>
            </w:pPr>
            <w:r>
              <w:rPr>
                <w:rFonts w:hint="eastAsia" w:ascii="宋体" w:hAnsi="宋体"/>
              </w:rPr>
              <w:t>规模</w:t>
            </w:r>
          </w:p>
        </w:tc>
        <w:tc>
          <w:tcPr>
            <w:tcW w:w="769" w:type="dxa"/>
            <w:vAlign w:val="center"/>
          </w:tcPr>
          <w:p w14:paraId="30956F1B">
            <w:pPr>
              <w:adjustRightInd w:val="0"/>
              <w:snapToGrid w:val="0"/>
              <w:jc w:val="center"/>
              <w:rPr>
                <w:rFonts w:hint="eastAsia" w:ascii="宋体" w:hAnsi="宋体"/>
              </w:rPr>
            </w:pPr>
            <w:r>
              <w:rPr>
                <w:rFonts w:hint="eastAsia" w:ascii="宋体" w:hAnsi="宋体"/>
              </w:rPr>
              <w:t>建筑面积</w:t>
            </w:r>
          </w:p>
          <w:p w14:paraId="6FD4363F">
            <w:pPr>
              <w:adjustRightInd w:val="0"/>
              <w:snapToGrid w:val="0"/>
              <w:jc w:val="center"/>
              <w:rPr>
                <w:rFonts w:hint="eastAsia" w:ascii="宋体" w:hAnsi="宋体"/>
              </w:rPr>
            </w:pPr>
            <w:r>
              <w:rPr>
                <w:rFonts w:ascii="宋体" w:hAnsi="宋体"/>
              </w:rPr>
              <w:t>(</w:t>
            </w:r>
            <w:r>
              <w:rPr>
                <w:rFonts w:hint="eastAsia" w:ascii="宋体" w:hAnsi="宋体"/>
              </w:rPr>
              <w:t>平方米</w:t>
            </w:r>
            <w:r>
              <w:rPr>
                <w:rFonts w:ascii="宋体" w:hAnsi="宋体"/>
              </w:rPr>
              <w:t>)</w:t>
            </w:r>
          </w:p>
        </w:tc>
        <w:tc>
          <w:tcPr>
            <w:tcW w:w="709" w:type="dxa"/>
            <w:vAlign w:val="center"/>
          </w:tcPr>
          <w:p w14:paraId="3B320E1E">
            <w:pPr>
              <w:adjustRightInd w:val="0"/>
              <w:snapToGrid w:val="0"/>
              <w:jc w:val="center"/>
              <w:rPr>
                <w:rFonts w:hint="eastAsia" w:ascii="宋体" w:hAnsi="宋体"/>
              </w:rPr>
            </w:pPr>
            <w:r>
              <w:rPr>
                <w:rFonts w:hint="eastAsia" w:ascii="宋体" w:hAnsi="宋体"/>
              </w:rPr>
              <w:t>结</w:t>
            </w:r>
          </w:p>
          <w:p w14:paraId="0A5458DD">
            <w:pPr>
              <w:adjustRightInd w:val="0"/>
              <w:snapToGrid w:val="0"/>
              <w:jc w:val="center"/>
              <w:rPr>
                <w:rFonts w:hint="eastAsia" w:ascii="宋体" w:hAnsi="宋体"/>
              </w:rPr>
            </w:pPr>
            <w:r>
              <w:rPr>
                <w:rFonts w:hint="eastAsia" w:ascii="宋体" w:hAnsi="宋体"/>
              </w:rPr>
              <w:t>构</w:t>
            </w:r>
          </w:p>
        </w:tc>
        <w:tc>
          <w:tcPr>
            <w:tcW w:w="856" w:type="dxa"/>
            <w:vAlign w:val="center"/>
          </w:tcPr>
          <w:p w14:paraId="60E1C018">
            <w:pPr>
              <w:adjustRightInd w:val="0"/>
              <w:snapToGrid w:val="0"/>
              <w:jc w:val="center"/>
              <w:rPr>
                <w:rFonts w:hint="eastAsia" w:ascii="宋体" w:hAnsi="宋体"/>
              </w:rPr>
            </w:pPr>
            <w:r>
              <w:rPr>
                <w:rFonts w:hint="eastAsia" w:ascii="宋体" w:hAnsi="宋体"/>
              </w:rPr>
              <w:t>层</w:t>
            </w:r>
          </w:p>
          <w:p w14:paraId="4F934032">
            <w:pPr>
              <w:adjustRightInd w:val="0"/>
              <w:snapToGrid w:val="0"/>
              <w:jc w:val="center"/>
              <w:rPr>
                <w:rFonts w:hint="eastAsia" w:ascii="宋体" w:hAnsi="宋体"/>
              </w:rPr>
            </w:pPr>
            <w:r>
              <w:rPr>
                <w:rFonts w:hint="eastAsia" w:ascii="宋体" w:hAnsi="宋体"/>
              </w:rPr>
              <w:t>数</w:t>
            </w:r>
          </w:p>
        </w:tc>
        <w:tc>
          <w:tcPr>
            <w:tcW w:w="776" w:type="dxa"/>
            <w:vAlign w:val="center"/>
          </w:tcPr>
          <w:p w14:paraId="5F129215">
            <w:pPr>
              <w:adjustRightInd w:val="0"/>
              <w:snapToGrid w:val="0"/>
              <w:jc w:val="center"/>
              <w:rPr>
                <w:rFonts w:hint="eastAsia" w:ascii="宋体" w:hAnsi="宋体"/>
              </w:rPr>
            </w:pPr>
            <w:r>
              <w:rPr>
                <w:rFonts w:hint="eastAsia" w:ascii="宋体" w:hAnsi="宋体"/>
              </w:rPr>
              <w:t>跨度</w:t>
            </w:r>
            <w:r>
              <w:rPr>
                <w:rFonts w:ascii="宋体" w:hAnsi="宋体"/>
              </w:rPr>
              <w:t>(</w:t>
            </w:r>
            <w:r>
              <w:rPr>
                <w:rFonts w:hint="eastAsia" w:ascii="宋体" w:hAnsi="宋体"/>
              </w:rPr>
              <w:t>米</w:t>
            </w:r>
            <w:r>
              <w:rPr>
                <w:rFonts w:ascii="宋体" w:hAnsi="宋体"/>
              </w:rPr>
              <w:t>)</w:t>
            </w:r>
          </w:p>
        </w:tc>
        <w:tc>
          <w:tcPr>
            <w:tcW w:w="1061" w:type="dxa"/>
            <w:vAlign w:val="center"/>
          </w:tcPr>
          <w:p w14:paraId="667B1A40">
            <w:pPr>
              <w:adjustRightInd w:val="0"/>
              <w:snapToGrid w:val="0"/>
              <w:jc w:val="center"/>
              <w:rPr>
                <w:rFonts w:hint="eastAsia" w:ascii="宋体" w:hAnsi="宋体"/>
              </w:rPr>
            </w:pPr>
            <w:r>
              <w:rPr>
                <w:rFonts w:hint="eastAsia" w:ascii="宋体" w:hAnsi="宋体"/>
              </w:rPr>
              <w:t>设备安装</w:t>
            </w:r>
          </w:p>
          <w:p w14:paraId="1BAAF54D">
            <w:pPr>
              <w:adjustRightInd w:val="0"/>
              <w:snapToGrid w:val="0"/>
              <w:jc w:val="center"/>
              <w:rPr>
                <w:rFonts w:hint="eastAsia" w:ascii="宋体" w:hAnsi="宋体"/>
              </w:rPr>
            </w:pPr>
            <w:r>
              <w:rPr>
                <w:rFonts w:hint="eastAsia" w:ascii="宋体" w:hAnsi="宋体"/>
              </w:rPr>
              <w:t>内容</w:t>
            </w:r>
          </w:p>
        </w:tc>
        <w:tc>
          <w:tcPr>
            <w:tcW w:w="937" w:type="dxa"/>
            <w:vAlign w:val="center"/>
          </w:tcPr>
          <w:p w14:paraId="08913B9B">
            <w:pPr>
              <w:adjustRightInd w:val="0"/>
              <w:snapToGrid w:val="0"/>
              <w:jc w:val="center"/>
              <w:rPr>
                <w:rFonts w:hint="eastAsia" w:ascii="宋体" w:hAnsi="宋体"/>
              </w:rPr>
            </w:pPr>
            <w:r>
              <w:rPr>
                <w:rFonts w:hint="eastAsia" w:ascii="宋体" w:hAnsi="宋体"/>
              </w:rPr>
              <w:t>工程造价</w:t>
            </w:r>
          </w:p>
          <w:p w14:paraId="46A8585D">
            <w:pPr>
              <w:adjustRightInd w:val="0"/>
              <w:snapToGrid w:val="0"/>
              <w:jc w:val="center"/>
              <w:rPr>
                <w:rFonts w:hint="eastAsia" w:ascii="宋体" w:hAnsi="宋体"/>
              </w:rPr>
            </w:pPr>
            <w:r>
              <w:rPr>
                <w:rFonts w:ascii="宋体" w:hAnsi="宋体"/>
              </w:rPr>
              <w:t>(</w:t>
            </w:r>
            <w:r>
              <w:rPr>
                <w:rFonts w:hint="eastAsia" w:ascii="宋体" w:hAnsi="宋体"/>
              </w:rPr>
              <w:t>元</w:t>
            </w:r>
            <w:r>
              <w:rPr>
                <w:rFonts w:ascii="宋体" w:hAnsi="宋体"/>
              </w:rPr>
              <w:t>)</w:t>
            </w:r>
          </w:p>
        </w:tc>
        <w:tc>
          <w:tcPr>
            <w:tcW w:w="776" w:type="dxa"/>
            <w:vAlign w:val="center"/>
          </w:tcPr>
          <w:p w14:paraId="4352C452">
            <w:pPr>
              <w:adjustRightInd w:val="0"/>
              <w:snapToGrid w:val="0"/>
              <w:jc w:val="center"/>
              <w:rPr>
                <w:rFonts w:hint="eastAsia" w:ascii="宋体" w:hAnsi="宋体"/>
              </w:rPr>
            </w:pPr>
            <w:r>
              <w:rPr>
                <w:rFonts w:hint="eastAsia" w:ascii="宋体" w:hAnsi="宋体"/>
              </w:rPr>
              <w:t>开工</w:t>
            </w:r>
          </w:p>
          <w:p w14:paraId="59426424">
            <w:pPr>
              <w:adjustRightInd w:val="0"/>
              <w:snapToGrid w:val="0"/>
              <w:jc w:val="center"/>
              <w:rPr>
                <w:rFonts w:hint="eastAsia" w:ascii="宋体" w:hAnsi="宋体"/>
              </w:rPr>
            </w:pPr>
            <w:r>
              <w:rPr>
                <w:rFonts w:hint="eastAsia" w:ascii="宋体" w:hAnsi="宋体"/>
              </w:rPr>
              <w:t>日期</w:t>
            </w:r>
          </w:p>
        </w:tc>
        <w:tc>
          <w:tcPr>
            <w:tcW w:w="774" w:type="dxa"/>
            <w:vAlign w:val="center"/>
          </w:tcPr>
          <w:p w14:paraId="63089790">
            <w:pPr>
              <w:adjustRightInd w:val="0"/>
              <w:snapToGrid w:val="0"/>
              <w:jc w:val="center"/>
              <w:rPr>
                <w:rFonts w:hint="eastAsia" w:ascii="宋体" w:hAnsi="宋体"/>
              </w:rPr>
            </w:pPr>
            <w:r>
              <w:rPr>
                <w:rFonts w:hint="eastAsia" w:ascii="宋体" w:hAnsi="宋体"/>
              </w:rPr>
              <w:t>竣工</w:t>
            </w:r>
          </w:p>
          <w:p w14:paraId="5BAB4B06">
            <w:pPr>
              <w:adjustRightInd w:val="0"/>
              <w:snapToGrid w:val="0"/>
              <w:jc w:val="center"/>
              <w:rPr>
                <w:rFonts w:hint="eastAsia" w:ascii="宋体" w:hAnsi="宋体"/>
              </w:rPr>
            </w:pPr>
            <w:r>
              <w:rPr>
                <w:rFonts w:hint="eastAsia" w:ascii="宋体" w:hAnsi="宋体"/>
              </w:rPr>
              <w:t>日期</w:t>
            </w:r>
          </w:p>
        </w:tc>
      </w:tr>
      <w:tr w14:paraId="56AB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604C1EC3">
            <w:pPr>
              <w:adjustRightInd w:val="0"/>
              <w:snapToGrid w:val="0"/>
              <w:jc w:val="left"/>
              <w:rPr>
                <w:rFonts w:hint="eastAsia" w:ascii="宋体" w:hAnsi="宋体"/>
              </w:rPr>
            </w:pPr>
          </w:p>
        </w:tc>
        <w:tc>
          <w:tcPr>
            <w:tcW w:w="839" w:type="dxa"/>
            <w:vAlign w:val="center"/>
          </w:tcPr>
          <w:p w14:paraId="6344F66E">
            <w:pPr>
              <w:adjustRightInd w:val="0"/>
              <w:snapToGrid w:val="0"/>
              <w:jc w:val="center"/>
              <w:rPr>
                <w:rFonts w:hint="eastAsia" w:ascii="宋体" w:hAnsi="宋体"/>
              </w:rPr>
            </w:pPr>
          </w:p>
        </w:tc>
        <w:tc>
          <w:tcPr>
            <w:tcW w:w="769" w:type="dxa"/>
            <w:vAlign w:val="center"/>
          </w:tcPr>
          <w:p w14:paraId="67AEC0C3">
            <w:pPr>
              <w:adjustRightInd w:val="0"/>
              <w:snapToGrid w:val="0"/>
              <w:jc w:val="center"/>
              <w:rPr>
                <w:rFonts w:hint="eastAsia" w:ascii="宋体" w:hAnsi="宋体"/>
              </w:rPr>
            </w:pPr>
          </w:p>
        </w:tc>
        <w:tc>
          <w:tcPr>
            <w:tcW w:w="709" w:type="dxa"/>
            <w:vAlign w:val="center"/>
          </w:tcPr>
          <w:p w14:paraId="3625DAC6">
            <w:pPr>
              <w:adjustRightInd w:val="0"/>
              <w:snapToGrid w:val="0"/>
              <w:jc w:val="left"/>
              <w:rPr>
                <w:rFonts w:hint="eastAsia" w:ascii="宋体" w:hAnsi="宋体"/>
              </w:rPr>
            </w:pPr>
          </w:p>
        </w:tc>
        <w:tc>
          <w:tcPr>
            <w:tcW w:w="856" w:type="dxa"/>
            <w:vAlign w:val="center"/>
          </w:tcPr>
          <w:p w14:paraId="6546A0EA">
            <w:pPr>
              <w:adjustRightInd w:val="0"/>
              <w:snapToGrid w:val="0"/>
              <w:jc w:val="left"/>
              <w:rPr>
                <w:rFonts w:hint="eastAsia" w:ascii="宋体" w:hAnsi="宋体"/>
              </w:rPr>
            </w:pPr>
          </w:p>
        </w:tc>
        <w:tc>
          <w:tcPr>
            <w:tcW w:w="776" w:type="dxa"/>
            <w:vAlign w:val="center"/>
          </w:tcPr>
          <w:p w14:paraId="619819AE">
            <w:pPr>
              <w:adjustRightInd w:val="0"/>
              <w:snapToGrid w:val="0"/>
              <w:jc w:val="center"/>
              <w:rPr>
                <w:rFonts w:hint="eastAsia" w:ascii="宋体" w:hAnsi="宋体"/>
              </w:rPr>
            </w:pPr>
          </w:p>
        </w:tc>
        <w:tc>
          <w:tcPr>
            <w:tcW w:w="1061" w:type="dxa"/>
            <w:vAlign w:val="center"/>
          </w:tcPr>
          <w:p w14:paraId="231E1EE6">
            <w:pPr>
              <w:adjustRightInd w:val="0"/>
              <w:snapToGrid w:val="0"/>
              <w:jc w:val="left"/>
              <w:rPr>
                <w:rFonts w:hint="eastAsia" w:ascii="宋体" w:hAnsi="宋体"/>
              </w:rPr>
            </w:pPr>
          </w:p>
        </w:tc>
        <w:tc>
          <w:tcPr>
            <w:tcW w:w="937" w:type="dxa"/>
            <w:vAlign w:val="center"/>
          </w:tcPr>
          <w:p w14:paraId="55942C9A">
            <w:pPr>
              <w:adjustRightInd w:val="0"/>
              <w:snapToGrid w:val="0"/>
              <w:jc w:val="center"/>
              <w:rPr>
                <w:rFonts w:hint="eastAsia" w:ascii="宋体" w:hAnsi="宋体"/>
              </w:rPr>
            </w:pPr>
          </w:p>
        </w:tc>
        <w:tc>
          <w:tcPr>
            <w:tcW w:w="776" w:type="dxa"/>
            <w:vAlign w:val="center"/>
          </w:tcPr>
          <w:p w14:paraId="308001FD">
            <w:pPr>
              <w:adjustRightInd w:val="0"/>
              <w:snapToGrid w:val="0"/>
              <w:jc w:val="left"/>
              <w:rPr>
                <w:rFonts w:hint="eastAsia" w:ascii="宋体" w:hAnsi="宋体"/>
              </w:rPr>
            </w:pPr>
          </w:p>
        </w:tc>
        <w:tc>
          <w:tcPr>
            <w:tcW w:w="774" w:type="dxa"/>
            <w:vAlign w:val="center"/>
          </w:tcPr>
          <w:p w14:paraId="39D90BEB">
            <w:pPr>
              <w:adjustRightInd w:val="0"/>
              <w:snapToGrid w:val="0"/>
              <w:jc w:val="left"/>
              <w:rPr>
                <w:rFonts w:hint="eastAsia" w:ascii="宋体" w:hAnsi="宋体"/>
              </w:rPr>
            </w:pPr>
          </w:p>
        </w:tc>
      </w:tr>
      <w:tr w14:paraId="0024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7D460604">
            <w:pPr>
              <w:adjustRightInd w:val="0"/>
              <w:snapToGrid w:val="0"/>
              <w:jc w:val="left"/>
              <w:rPr>
                <w:rFonts w:hint="eastAsia" w:ascii="宋体" w:hAnsi="宋体"/>
              </w:rPr>
            </w:pPr>
            <w:r>
              <w:rPr>
                <w:rFonts w:hint="eastAsia" w:ascii="宋体" w:hAnsi="宋体"/>
              </w:rPr>
              <w:t>　</w:t>
            </w:r>
          </w:p>
        </w:tc>
        <w:tc>
          <w:tcPr>
            <w:tcW w:w="839" w:type="dxa"/>
            <w:vAlign w:val="center"/>
          </w:tcPr>
          <w:p w14:paraId="0261C6FC">
            <w:pPr>
              <w:adjustRightInd w:val="0"/>
              <w:snapToGrid w:val="0"/>
              <w:jc w:val="left"/>
              <w:rPr>
                <w:rFonts w:hint="eastAsia" w:ascii="宋体" w:hAnsi="宋体"/>
              </w:rPr>
            </w:pPr>
          </w:p>
        </w:tc>
        <w:tc>
          <w:tcPr>
            <w:tcW w:w="769" w:type="dxa"/>
            <w:vAlign w:val="center"/>
          </w:tcPr>
          <w:p w14:paraId="7C1B6B03">
            <w:pPr>
              <w:adjustRightInd w:val="0"/>
              <w:snapToGrid w:val="0"/>
              <w:jc w:val="left"/>
              <w:rPr>
                <w:rFonts w:hint="eastAsia" w:ascii="宋体" w:hAnsi="宋体"/>
              </w:rPr>
            </w:pPr>
          </w:p>
        </w:tc>
        <w:tc>
          <w:tcPr>
            <w:tcW w:w="709" w:type="dxa"/>
            <w:vAlign w:val="center"/>
          </w:tcPr>
          <w:p w14:paraId="42E55E82">
            <w:pPr>
              <w:adjustRightInd w:val="0"/>
              <w:snapToGrid w:val="0"/>
              <w:jc w:val="left"/>
              <w:rPr>
                <w:rFonts w:hint="eastAsia" w:ascii="宋体" w:hAnsi="宋体"/>
              </w:rPr>
            </w:pPr>
          </w:p>
        </w:tc>
        <w:tc>
          <w:tcPr>
            <w:tcW w:w="856" w:type="dxa"/>
            <w:vAlign w:val="center"/>
          </w:tcPr>
          <w:p w14:paraId="74677AEA">
            <w:pPr>
              <w:adjustRightInd w:val="0"/>
              <w:snapToGrid w:val="0"/>
              <w:jc w:val="left"/>
              <w:rPr>
                <w:rFonts w:hint="eastAsia" w:ascii="宋体" w:hAnsi="宋体"/>
              </w:rPr>
            </w:pPr>
          </w:p>
        </w:tc>
        <w:tc>
          <w:tcPr>
            <w:tcW w:w="776" w:type="dxa"/>
            <w:vAlign w:val="center"/>
          </w:tcPr>
          <w:p w14:paraId="40E34D1B">
            <w:pPr>
              <w:adjustRightInd w:val="0"/>
              <w:snapToGrid w:val="0"/>
              <w:jc w:val="left"/>
              <w:rPr>
                <w:rFonts w:hint="eastAsia" w:ascii="宋体" w:hAnsi="宋体"/>
              </w:rPr>
            </w:pPr>
          </w:p>
        </w:tc>
        <w:tc>
          <w:tcPr>
            <w:tcW w:w="1061" w:type="dxa"/>
            <w:vAlign w:val="center"/>
          </w:tcPr>
          <w:p w14:paraId="6B11E670">
            <w:pPr>
              <w:adjustRightInd w:val="0"/>
              <w:snapToGrid w:val="0"/>
              <w:jc w:val="left"/>
              <w:rPr>
                <w:rFonts w:hint="eastAsia" w:ascii="宋体" w:hAnsi="宋体"/>
              </w:rPr>
            </w:pPr>
          </w:p>
        </w:tc>
        <w:tc>
          <w:tcPr>
            <w:tcW w:w="937" w:type="dxa"/>
            <w:vAlign w:val="center"/>
          </w:tcPr>
          <w:p w14:paraId="28C24A87">
            <w:pPr>
              <w:adjustRightInd w:val="0"/>
              <w:snapToGrid w:val="0"/>
              <w:jc w:val="left"/>
              <w:rPr>
                <w:rFonts w:hint="eastAsia" w:ascii="宋体" w:hAnsi="宋体"/>
              </w:rPr>
            </w:pPr>
          </w:p>
        </w:tc>
        <w:tc>
          <w:tcPr>
            <w:tcW w:w="776" w:type="dxa"/>
            <w:vAlign w:val="center"/>
          </w:tcPr>
          <w:p w14:paraId="40B1EFFD">
            <w:pPr>
              <w:adjustRightInd w:val="0"/>
              <w:snapToGrid w:val="0"/>
              <w:jc w:val="left"/>
              <w:rPr>
                <w:rFonts w:hint="eastAsia" w:ascii="宋体" w:hAnsi="宋体"/>
              </w:rPr>
            </w:pPr>
          </w:p>
        </w:tc>
        <w:tc>
          <w:tcPr>
            <w:tcW w:w="774" w:type="dxa"/>
            <w:vAlign w:val="center"/>
          </w:tcPr>
          <w:p w14:paraId="055099AD">
            <w:pPr>
              <w:adjustRightInd w:val="0"/>
              <w:snapToGrid w:val="0"/>
              <w:jc w:val="left"/>
              <w:rPr>
                <w:rFonts w:hint="eastAsia" w:ascii="宋体" w:hAnsi="宋体"/>
              </w:rPr>
            </w:pPr>
          </w:p>
        </w:tc>
      </w:tr>
      <w:tr w14:paraId="696F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0760CB5D">
            <w:pPr>
              <w:adjustRightInd w:val="0"/>
              <w:snapToGrid w:val="0"/>
              <w:jc w:val="left"/>
              <w:rPr>
                <w:rFonts w:hint="eastAsia" w:ascii="宋体" w:hAnsi="宋体"/>
              </w:rPr>
            </w:pPr>
            <w:r>
              <w:rPr>
                <w:rFonts w:hint="eastAsia" w:ascii="宋体" w:hAnsi="宋体"/>
              </w:rPr>
              <w:t>　</w:t>
            </w:r>
          </w:p>
        </w:tc>
        <w:tc>
          <w:tcPr>
            <w:tcW w:w="839" w:type="dxa"/>
            <w:vAlign w:val="center"/>
          </w:tcPr>
          <w:p w14:paraId="27666543">
            <w:pPr>
              <w:adjustRightInd w:val="0"/>
              <w:snapToGrid w:val="0"/>
              <w:jc w:val="left"/>
              <w:rPr>
                <w:rFonts w:hint="eastAsia" w:ascii="宋体" w:hAnsi="宋体"/>
              </w:rPr>
            </w:pPr>
          </w:p>
        </w:tc>
        <w:tc>
          <w:tcPr>
            <w:tcW w:w="769" w:type="dxa"/>
            <w:vAlign w:val="center"/>
          </w:tcPr>
          <w:p w14:paraId="1E477F38">
            <w:pPr>
              <w:adjustRightInd w:val="0"/>
              <w:snapToGrid w:val="0"/>
              <w:jc w:val="left"/>
              <w:rPr>
                <w:rFonts w:hint="eastAsia" w:ascii="宋体" w:hAnsi="宋体"/>
              </w:rPr>
            </w:pPr>
          </w:p>
        </w:tc>
        <w:tc>
          <w:tcPr>
            <w:tcW w:w="709" w:type="dxa"/>
            <w:vAlign w:val="center"/>
          </w:tcPr>
          <w:p w14:paraId="37E8414D">
            <w:pPr>
              <w:adjustRightInd w:val="0"/>
              <w:snapToGrid w:val="0"/>
              <w:jc w:val="left"/>
              <w:rPr>
                <w:rFonts w:hint="eastAsia" w:ascii="宋体" w:hAnsi="宋体"/>
              </w:rPr>
            </w:pPr>
          </w:p>
        </w:tc>
        <w:tc>
          <w:tcPr>
            <w:tcW w:w="856" w:type="dxa"/>
            <w:vAlign w:val="center"/>
          </w:tcPr>
          <w:p w14:paraId="641E00C6">
            <w:pPr>
              <w:adjustRightInd w:val="0"/>
              <w:snapToGrid w:val="0"/>
              <w:jc w:val="left"/>
              <w:rPr>
                <w:rFonts w:hint="eastAsia" w:ascii="宋体" w:hAnsi="宋体"/>
              </w:rPr>
            </w:pPr>
          </w:p>
        </w:tc>
        <w:tc>
          <w:tcPr>
            <w:tcW w:w="776" w:type="dxa"/>
            <w:vAlign w:val="center"/>
          </w:tcPr>
          <w:p w14:paraId="6E108D55">
            <w:pPr>
              <w:adjustRightInd w:val="0"/>
              <w:snapToGrid w:val="0"/>
              <w:jc w:val="left"/>
              <w:rPr>
                <w:rFonts w:hint="eastAsia" w:ascii="宋体" w:hAnsi="宋体"/>
              </w:rPr>
            </w:pPr>
          </w:p>
        </w:tc>
        <w:tc>
          <w:tcPr>
            <w:tcW w:w="1061" w:type="dxa"/>
            <w:vAlign w:val="center"/>
          </w:tcPr>
          <w:p w14:paraId="0C0AFB2E">
            <w:pPr>
              <w:adjustRightInd w:val="0"/>
              <w:snapToGrid w:val="0"/>
              <w:jc w:val="left"/>
              <w:rPr>
                <w:rFonts w:hint="eastAsia" w:ascii="宋体" w:hAnsi="宋体"/>
              </w:rPr>
            </w:pPr>
          </w:p>
        </w:tc>
        <w:tc>
          <w:tcPr>
            <w:tcW w:w="937" w:type="dxa"/>
            <w:vAlign w:val="center"/>
          </w:tcPr>
          <w:p w14:paraId="1C52CC96">
            <w:pPr>
              <w:adjustRightInd w:val="0"/>
              <w:snapToGrid w:val="0"/>
              <w:jc w:val="left"/>
              <w:rPr>
                <w:rFonts w:hint="eastAsia" w:ascii="宋体" w:hAnsi="宋体"/>
              </w:rPr>
            </w:pPr>
          </w:p>
        </w:tc>
        <w:tc>
          <w:tcPr>
            <w:tcW w:w="776" w:type="dxa"/>
            <w:vAlign w:val="center"/>
          </w:tcPr>
          <w:p w14:paraId="2F7F44CD">
            <w:pPr>
              <w:adjustRightInd w:val="0"/>
              <w:snapToGrid w:val="0"/>
              <w:jc w:val="left"/>
              <w:rPr>
                <w:rFonts w:hint="eastAsia" w:ascii="宋体" w:hAnsi="宋体"/>
              </w:rPr>
            </w:pPr>
          </w:p>
        </w:tc>
        <w:tc>
          <w:tcPr>
            <w:tcW w:w="774" w:type="dxa"/>
            <w:vAlign w:val="center"/>
          </w:tcPr>
          <w:p w14:paraId="407F29B0">
            <w:pPr>
              <w:adjustRightInd w:val="0"/>
              <w:snapToGrid w:val="0"/>
              <w:jc w:val="left"/>
              <w:rPr>
                <w:rFonts w:hint="eastAsia" w:ascii="宋体" w:hAnsi="宋体"/>
              </w:rPr>
            </w:pPr>
          </w:p>
        </w:tc>
      </w:tr>
      <w:tr w14:paraId="24F3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6949CF73">
            <w:pPr>
              <w:adjustRightInd w:val="0"/>
              <w:snapToGrid w:val="0"/>
              <w:jc w:val="left"/>
              <w:rPr>
                <w:rFonts w:hint="eastAsia" w:ascii="宋体" w:hAnsi="宋体"/>
              </w:rPr>
            </w:pPr>
            <w:r>
              <w:rPr>
                <w:rFonts w:hint="eastAsia" w:ascii="宋体" w:hAnsi="宋体"/>
              </w:rPr>
              <w:t>　</w:t>
            </w:r>
          </w:p>
        </w:tc>
        <w:tc>
          <w:tcPr>
            <w:tcW w:w="839" w:type="dxa"/>
            <w:vAlign w:val="center"/>
          </w:tcPr>
          <w:p w14:paraId="4FA86DB5">
            <w:pPr>
              <w:adjustRightInd w:val="0"/>
              <w:snapToGrid w:val="0"/>
              <w:jc w:val="left"/>
              <w:rPr>
                <w:rFonts w:hint="eastAsia" w:ascii="宋体" w:hAnsi="宋体"/>
              </w:rPr>
            </w:pPr>
          </w:p>
        </w:tc>
        <w:tc>
          <w:tcPr>
            <w:tcW w:w="769" w:type="dxa"/>
            <w:vAlign w:val="center"/>
          </w:tcPr>
          <w:p w14:paraId="0B85870F">
            <w:pPr>
              <w:adjustRightInd w:val="0"/>
              <w:snapToGrid w:val="0"/>
              <w:jc w:val="left"/>
              <w:rPr>
                <w:rFonts w:hint="eastAsia" w:ascii="宋体" w:hAnsi="宋体"/>
              </w:rPr>
            </w:pPr>
          </w:p>
        </w:tc>
        <w:tc>
          <w:tcPr>
            <w:tcW w:w="709" w:type="dxa"/>
            <w:vAlign w:val="center"/>
          </w:tcPr>
          <w:p w14:paraId="1C9AF6CF">
            <w:pPr>
              <w:adjustRightInd w:val="0"/>
              <w:snapToGrid w:val="0"/>
              <w:jc w:val="left"/>
              <w:rPr>
                <w:rFonts w:hint="eastAsia" w:ascii="宋体" w:hAnsi="宋体"/>
              </w:rPr>
            </w:pPr>
          </w:p>
        </w:tc>
        <w:tc>
          <w:tcPr>
            <w:tcW w:w="856" w:type="dxa"/>
            <w:vAlign w:val="center"/>
          </w:tcPr>
          <w:p w14:paraId="7FFB2B0D">
            <w:pPr>
              <w:adjustRightInd w:val="0"/>
              <w:snapToGrid w:val="0"/>
              <w:jc w:val="left"/>
              <w:rPr>
                <w:rFonts w:hint="eastAsia" w:ascii="宋体" w:hAnsi="宋体"/>
              </w:rPr>
            </w:pPr>
          </w:p>
        </w:tc>
        <w:tc>
          <w:tcPr>
            <w:tcW w:w="776" w:type="dxa"/>
            <w:vAlign w:val="center"/>
          </w:tcPr>
          <w:p w14:paraId="61AF9957">
            <w:pPr>
              <w:adjustRightInd w:val="0"/>
              <w:snapToGrid w:val="0"/>
              <w:jc w:val="left"/>
              <w:rPr>
                <w:rFonts w:hint="eastAsia" w:ascii="宋体" w:hAnsi="宋体"/>
              </w:rPr>
            </w:pPr>
          </w:p>
        </w:tc>
        <w:tc>
          <w:tcPr>
            <w:tcW w:w="1061" w:type="dxa"/>
            <w:vAlign w:val="center"/>
          </w:tcPr>
          <w:p w14:paraId="289A961E">
            <w:pPr>
              <w:adjustRightInd w:val="0"/>
              <w:snapToGrid w:val="0"/>
              <w:jc w:val="left"/>
              <w:rPr>
                <w:rFonts w:hint="eastAsia" w:ascii="宋体" w:hAnsi="宋体"/>
              </w:rPr>
            </w:pPr>
          </w:p>
        </w:tc>
        <w:tc>
          <w:tcPr>
            <w:tcW w:w="937" w:type="dxa"/>
            <w:vAlign w:val="center"/>
          </w:tcPr>
          <w:p w14:paraId="4D7DCBDF">
            <w:pPr>
              <w:adjustRightInd w:val="0"/>
              <w:snapToGrid w:val="0"/>
              <w:jc w:val="left"/>
              <w:rPr>
                <w:rFonts w:hint="eastAsia" w:ascii="宋体" w:hAnsi="宋体"/>
              </w:rPr>
            </w:pPr>
          </w:p>
        </w:tc>
        <w:tc>
          <w:tcPr>
            <w:tcW w:w="776" w:type="dxa"/>
            <w:vAlign w:val="center"/>
          </w:tcPr>
          <w:p w14:paraId="6E031515">
            <w:pPr>
              <w:adjustRightInd w:val="0"/>
              <w:snapToGrid w:val="0"/>
              <w:jc w:val="left"/>
              <w:rPr>
                <w:rFonts w:hint="eastAsia" w:ascii="宋体" w:hAnsi="宋体"/>
              </w:rPr>
            </w:pPr>
          </w:p>
        </w:tc>
        <w:tc>
          <w:tcPr>
            <w:tcW w:w="774" w:type="dxa"/>
            <w:vAlign w:val="center"/>
          </w:tcPr>
          <w:p w14:paraId="074CB620">
            <w:pPr>
              <w:adjustRightInd w:val="0"/>
              <w:snapToGrid w:val="0"/>
              <w:jc w:val="left"/>
              <w:rPr>
                <w:rFonts w:hint="eastAsia" w:ascii="宋体" w:hAnsi="宋体"/>
              </w:rPr>
            </w:pPr>
          </w:p>
        </w:tc>
      </w:tr>
      <w:tr w14:paraId="0152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327CAD7F">
            <w:pPr>
              <w:adjustRightInd w:val="0"/>
              <w:snapToGrid w:val="0"/>
              <w:jc w:val="left"/>
              <w:rPr>
                <w:rFonts w:hint="eastAsia" w:ascii="宋体" w:hAnsi="宋体"/>
              </w:rPr>
            </w:pPr>
            <w:r>
              <w:rPr>
                <w:rFonts w:hint="eastAsia" w:ascii="宋体" w:hAnsi="宋体"/>
              </w:rPr>
              <w:t>　</w:t>
            </w:r>
          </w:p>
        </w:tc>
        <w:tc>
          <w:tcPr>
            <w:tcW w:w="839" w:type="dxa"/>
            <w:vAlign w:val="center"/>
          </w:tcPr>
          <w:p w14:paraId="7418A88A">
            <w:pPr>
              <w:adjustRightInd w:val="0"/>
              <w:snapToGrid w:val="0"/>
              <w:jc w:val="left"/>
              <w:rPr>
                <w:rFonts w:hint="eastAsia" w:ascii="宋体" w:hAnsi="宋体"/>
              </w:rPr>
            </w:pPr>
          </w:p>
        </w:tc>
        <w:tc>
          <w:tcPr>
            <w:tcW w:w="769" w:type="dxa"/>
            <w:vAlign w:val="center"/>
          </w:tcPr>
          <w:p w14:paraId="7106BA4E">
            <w:pPr>
              <w:adjustRightInd w:val="0"/>
              <w:snapToGrid w:val="0"/>
              <w:jc w:val="left"/>
              <w:rPr>
                <w:rFonts w:hint="eastAsia" w:ascii="宋体" w:hAnsi="宋体"/>
              </w:rPr>
            </w:pPr>
          </w:p>
        </w:tc>
        <w:tc>
          <w:tcPr>
            <w:tcW w:w="709" w:type="dxa"/>
            <w:vAlign w:val="center"/>
          </w:tcPr>
          <w:p w14:paraId="2A262C10">
            <w:pPr>
              <w:adjustRightInd w:val="0"/>
              <w:snapToGrid w:val="0"/>
              <w:jc w:val="left"/>
              <w:rPr>
                <w:rFonts w:hint="eastAsia" w:ascii="宋体" w:hAnsi="宋体"/>
              </w:rPr>
            </w:pPr>
          </w:p>
        </w:tc>
        <w:tc>
          <w:tcPr>
            <w:tcW w:w="856" w:type="dxa"/>
            <w:vAlign w:val="center"/>
          </w:tcPr>
          <w:p w14:paraId="157520AE">
            <w:pPr>
              <w:adjustRightInd w:val="0"/>
              <w:snapToGrid w:val="0"/>
              <w:jc w:val="left"/>
              <w:rPr>
                <w:rFonts w:hint="eastAsia" w:ascii="宋体" w:hAnsi="宋体"/>
              </w:rPr>
            </w:pPr>
          </w:p>
        </w:tc>
        <w:tc>
          <w:tcPr>
            <w:tcW w:w="776" w:type="dxa"/>
            <w:vAlign w:val="center"/>
          </w:tcPr>
          <w:p w14:paraId="497375E6">
            <w:pPr>
              <w:adjustRightInd w:val="0"/>
              <w:snapToGrid w:val="0"/>
              <w:jc w:val="left"/>
              <w:rPr>
                <w:rFonts w:hint="eastAsia" w:ascii="宋体" w:hAnsi="宋体"/>
              </w:rPr>
            </w:pPr>
          </w:p>
        </w:tc>
        <w:tc>
          <w:tcPr>
            <w:tcW w:w="1061" w:type="dxa"/>
            <w:vAlign w:val="center"/>
          </w:tcPr>
          <w:p w14:paraId="6D7EC55B">
            <w:pPr>
              <w:adjustRightInd w:val="0"/>
              <w:snapToGrid w:val="0"/>
              <w:jc w:val="left"/>
              <w:rPr>
                <w:rFonts w:hint="eastAsia" w:ascii="宋体" w:hAnsi="宋体"/>
              </w:rPr>
            </w:pPr>
          </w:p>
        </w:tc>
        <w:tc>
          <w:tcPr>
            <w:tcW w:w="937" w:type="dxa"/>
            <w:vAlign w:val="center"/>
          </w:tcPr>
          <w:p w14:paraId="336614DE">
            <w:pPr>
              <w:adjustRightInd w:val="0"/>
              <w:snapToGrid w:val="0"/>
              <w:jc w:val="left"/>
              <w:rPr>
                <w:rFonts w:hint="eastAsia" w:ascii="宋体" w:hAnsi="宋体"/>
              </w:rPr>
            </w:pPr>
          </w:p>
        </w:tc>
        <w:tc>
          <w:tcPr>
            <w:tcW w:w="776" w:type="dxa"/>
            <w:vAlign w:val="center"/>
          </w:tcPr>
          <w:p w14:paraId="6E3B5632">
            <w:pPr>
              <w:adjustRightInd w:val="0"/>
              <w:snapToGrid w:val="0"/>
              <w:jc w:val="left"/>
              <w:rPr>
                <w:rFonts w:hint="eastAsia" w:ascii="宋体" w:hAnsi="宋体"/>
              </w:rPr>
            </w:pPr>
          </w:p>
        </w:tc>
        <w:tc>
          <w:tcPr>
            <w:tcW w:w="774" w:type="dxa"/>
            <w:vAlign w:val="center"/>
          </w:tcPr>
          <w:p w14:paraId="7566BC4A">
            <w:pPr>
              <w:adjustRightInd w:val="0"/>
              <w:snapToGrid w:val="0"/>
              <w:jc w:val="left"/>
              <w:rPr>
                <w:rFonts w:hint="eastAsia" w:ascii="宋体" w:hAnsi="宋体"/>
              </w:rPr>
            </w:pPr>
          </w:p>
        </w:tc>
      </w:tr>
      <w:tr w14:paraId="7A77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4E712E9B">
            <w:pPr>
              <w:adjustRightInd w:val="0"/>
              <w:snapToGrid w:val="0"/>
              <w:jc w:val="left"/>
              <w:rPr>
                <w:rFonts w:hint="eastAsia" w:ascii="宋体" w:hAnsi="宋体"/>
              </w:rPr>
            </w:pPr>
            <w:r>
              <w:rPr>
                <w:rFonts w:hint="eastAsia" w:ascii="宋体" w:hAnsi="宋体"/>
              </w:rPr>
              <w:t>　</w:t>
            </w:r>
          </w:p>
        </w:tc>
        <w:tc>
          <w:tcPr>
            <w:tcW w:w="839" w:type="dxa"/>
            <w:vAlign w:val="center"/>
          </w:tcPr>
          <w:p w14:paraId="6715BCE2">
            <w:pPr>
              <w:adjustRightInd w:val="0"/>
              <w:snapToGrid w:val="0"/>
              <w:jc w:val="left"/>
              <w:rPr>
                <w:rFonts w:hint="eastAsia" w:ascii="宋体" w:hAnsi="宋体"/>
              </w:rPr>
            </w:pPr>
          </w:p>
        </w:tc>
        <w:tc>
          <w:tcPr>
            <w:tcW w:w="769" w:type="dxa"/>
            <w:vAlign w:val="center"/>
          </w:tcPr>
          <w:p w14:paraId="47FC27D5">
            <w:pPr>
              <w:adjustRightInd w:val="0"/>
              <w:snapToGrid w:val="0"/>
              <w:jc w:val="left"/>
              <w:rPr>
                <w:rFonts w:hint="eastAsia" w:ascii="宋体" w:hAnsi="宋体"/>
              </w:rPr>
            </w:pPr>
          </w:p>
        </w:tc>
        <w:tc>
          <w:tcPr>
            <w:tcW w:w="709" w:type="dxa"/>
            <w:vAlign w:val="center"/>
          </w:tcPr>
          <w:p w14:paraId="2F90E847">
            <w:pPr>
              <w:adjustRightInd w:val="0"/>
              <w:snapToGrid w:val="0"/>
              <w:jc w:val="left"/>
              <w:rPr>
                <w:rFonts w:hint="eastAsia" w:ascii="宋体" w:hAnsi="宋体"/>
              </w:rPr>
            </w:pPr>
          </w:p>
        </w:tc>
        <w:tc>
          <w:tcPr>
            <w:tcW w:w="856" w:type="dxa"/>
            <w:vAlign w:val="center"/>
          </w:tcPr>
          <w:p w14:paraId="652BB3B9">
            <w:pPr>
              <w:adjustRightInd w:val="0"/>
              <w:snapToGrid w:val="0"/>
              <w:jc w:val="left"/>
              <w:rPr>
                <w:rFonts w:hint="eastAsia" w:ascii="宋体" w:hAnsi="宋体"/>
              </w:rPr>
            </w:pPr>
          </w:p>
        </w:tc>
        <w:tc>
          <w:tcPr>
            <w:tcW w:w="776" w:type="dxa"/>
            <w:vAlign w:val="center"/>
          </w:tcPr>
          <w:p w14:paraId="589AA86E">
            <w:pPr>
              <w:adjustRightInd w:val="0"/>
              <w:snapToGrid w:val="0"/>
              <w:jc w:val="left"/>
              <w:rPr>
                <w:rFonts w:hint="eastAsia" w:ascii="宋体" w:hAnsi="宋体"/>
              </w:rPr>
            </w:pPr>
          </w:p>
        </w:tc>
        <w:tc>
          <w:tcPr>
            <w:tcW w:w="1061" w:type="dxa"/>
            <w:vAlign w:val="center"/>
          </w:tcPr>
          <w:p w14:paraId="403C7733">
            <w:pPr>
              <w:adjustRightInd w:val="0"/>
              <w:snapToGrid w:val="0"/>
              <w:jc w:val="left"/>
              <w:rPr>
                <w:rFonts w:hint="eastAsia" w:ascii="宋体" w:hAnsi="宋体"/>
              </w:rPr>
            </w:pPr>
          </w:p>
        </w:tc>
        <w:tc>
          <w:tcPr>
            <w:tcW w:w="937" w:type="dxa"/>
            <w:vAlign w:val="center"/>
          </w:tcPr>
          <w:p w14:paraId="6AB5C74D">
            <w:pPr>
              <w:adjustRightInd w:val="0"/>
              <w:snapToGrid w:val="0"/>
              <w:jc w:val="left"/>
              <w:rPr>
                <w:rFonts w:hint="eastAsia" w:ascii="宋体" w:hAnsi="宋体"/>
              </w:rPr>
            </w:pPr>
          </w:p>
        </w:tc>
        <w:tc>
          <w:tcPr>
            <w:tcW w:w="776" w:type="dxa"/>
            <w:vAlign w:val="center"/>
          </w:tcPr>
          <w:p w14:paraId="5AABC4C4">
            <w:pPr>
              <w:adjustRightInd w:val="0"/>
              <w:snapToGrid w:val="0"/>
              <w:jc w:val="left"/>
              <w:rPr>
                <w:rFonts w:hint="eastAsia" w:ascii="宋体" w:hAnsi="宋体"/>
              </w:rPr>
            </w:pPr>
          </w:p>
        </w:tc>
        <w:tc>
          <w:tcPr>
            <w:tcW w:w="774" w:type="dxa"/>
            <w:vAlign w:val="center"/>
          </w:tcPr>
          <w:p w14:paraId="0AA86D58">
            <w:pPr>
              <w:adjustRightInd w:val="0"/>
              <w:snapToGrid w:val="0"/>
              <w:jc w:val="left"/>
              <w:rPr>
                <w:rFonts w:hint="eastAsia" w:ascii="宋体" w:hAnsi="宋体"/>
              </w:rPr>
            </w:pPr>
          </w:p>
        </w:tc>
      </w:tr>
      <w:tr w14:paraId="17F5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57E1F112">
            <w:pPr>
              <w:adjustRightInd w:val="0"/>
              <w:snapToGrid w:val="0"/>
              <w:jc w:val="left"/>
              <w:rPr>
                <w:rFonts w:hint="eastAsia" w:ascii="宋体" w:hAnsi="宋体"/>
              </w:rPr>
            </w:pPr>
            <w:r>
              <w:rPr>
                <w:rFonts w:hint="eastAsia" w:ascii="宋体" w:hAnsi="宋体"/>
              </w:rPr>
              <w:t>　</w:t>
            </w:r>
          </w:p>
        </w:tc>
        <w:tc>
          <w:tcPr>
            <w:tcW w:w="839" w:type="dxa"/>
            <w:vAlign w:val="center"/>
          </w:tcPr>
          <w:p w14:paraId="11EA35B4">
            <w:pPr>
              <w:adjustRightInd w:val="0"/>
              <w:snapToGrid w:val="0"/>
              <w:jc w:val="left"/>
              <w:rPr>
                <w:rFonts w:hint="eastAsia" w:ascii="宋体" w:hAnsi="宋体"/>
              </w:rPr>
            </w:pPr>
          </w:p>
        </w:tc>
        <w:tc>
          <w:tcPr>
            <w:tcW w:w="769" w:type="dxa"/>
            <w:vAlign w:val="center"/>
          </w:tcPr>
          <w:p w14:paraId="611AFF06">
            <w:pPr>
              <w:adjustRightInd w:val="0"/>
              <w:snapToGrid w:val="0"/>
              <w:jc w:val="left"/>
              <w:rPr>
                <w:rFonts w:hint="eastAsia" w:ascii="宋体" w:hAnsi="宋体"/>
              </w:rPr>
            </w:pPr>
          </w:p>
        </w:tc>
        <w:tc>
          <w:tcPr>
            <w:tcW w:w="709" w:type="dxa"/>
            <w:vAlign w:val="center"/>
          </w:tcPr>
          <w:p w14:paraId="63B671B4">
            <w:pPr>
              <w:adjustRightInd w:val="0"/>
              <w:snapToGrid w:val="0"/>
              <w:jc w:val="left"/>
              <w:rPr>
                <w:rFonts w:hint="eastAsia" w:ascii="宋体" w:hAnsi="宋体"/>
              </w:rPr>
            </w:pPr>
          </w:p>
        </w:tc>
        <w:tc>
          <w:tcPr>
            <w:tcW w:w="856" w:type="dxa"/>
            <w:vAlign w:val="center"/>
          </w:tcPr>
          <w:p w14:paraId="6934EF23">
            <w:pPr>
              <w:adjustRightInd w:val="0"/>
              <w:snapToGrid w:val="0"/>
              <w:jc w:val="left"/>
              <w:rPr>
                <w:rFonts w:hint="eastAsia" w:ascii="宋体" w:hAnsi="宋体"/>
              </w:rPr>
            </w:pPr>
          </w:p>
        </w:tc>
        <w:tc>
          <w:tcPr>
            <w:tcW w:w="776" w:type="dxa"/>
            <w:vAlign w:val="center"/>
          </w:tcPr>
          <w:p w14:paraId="2EC70F5F">
            <w:pPr>
              <w:adjustRightInd w:val="0"/>
              <w:snapToGrid w:val="0"/>
              <w:jc w:val="left"/>
              <w:rPr>
                <w:rFonts w:hint="eastAsia" w:ascii="宋体" w:hAnsi="宋体"/>
              </w:rPr>
            </w:pPr>
          </w:p>
        </w:tc>
        <w:tc>
          <w:tcPr>
            <w:tcW w:w="1061" w:type="dxa"/>
            <w:vAlign w:val="center"/>
          </w:tcPr>
          <w:p w14:paraId="25A57A71">
            <w:pPr>
              <w:adjustRightInd w:val="0"/>
              <w:snapToGrid w:val="0"/>
              <w:jc w:val="left"/>
              <w:rPr>
                <w:rFonts w:hint="eastAsia" w:ascii="宋体" w:hAnsi="宋体"/>
              </w:rPr>
            </w:pPr>
          </w:p>
        </w:tc>
        <w:tc>
          <w:tcPr>
            <w:tcW w:w="937" w:type="dxa"/>
            <w:vAlign w:val="center"/>
          </w:tcPr>
          <w:p w14:paraId="58570D1A">
            <w:pPr>
              <w:adjustRightInd w:val="0"/>
              <w:snapToGrid w:val="0"/>
              <w:jc w:val="left"/>
              <w:rPr>
                <w:rFonts w:hint="eastAsia" w:ascii="宋体" w:hAnsi="宋体"/>
              </w:rPr>
            </w:pPr>
          </w:p>
        </w:tc>
        <w:tc>
          <w:tcPr>
            <w:tcW w:w="776" w:type="dxa"/>
            <w:vAlign w:val="center"/>
          </w:tcPr>
          <w:p w14:paraId="1E9E864C">
            <w:pPr>
              <w:adjustRightInd w:val="0"/>
              <w:snapToGrid w:val="0"/>
              <w:jc w:val="left"/>
              <w:rPr>
                <w:rFonts w:hint="eastAsia" w:ascii="宋体" w:hAnsi="宋体"/>
              </w:rPr>
            </w:pPr>
          </w:p>
        </w:tc>
        <w:tc>
          <w:tcPr>
            <w:tcW w:w="774" w:type="dxa"/>
            <w:vAlign w:val="center"/>
          </w:tcPr>
          <w:p w14:paraId="4292E202">
            <w:pPr>
              <w:adjustRightInd w:val="0"/>
              <w:snapToGrid w:val="0"/>
              <w:jc w:val="left"/>
              <w:rPr>
                <w:rFonts w:hint="eastAsia" w:ascii="宋体" w:hAnsi="宋体"/>
              </w:rPr>
            </w:pPr>
          </w:p>
        </w:tc>
      </w:tr>
      <w:tr w14:paraId="4F64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362832F2">
            <w:pPr>
              <w:adjustRightInd w:val="0"/>
              <w:snapToGrid w:val="0"/>
              <w:jc w:val="left"/>
              <w:rPr>
                <w:rFonts w:hint="eastAsia" w:ascii="宋体" w:hAnsi="宋体"/>
              </w:rPr>
            </w:pPr>
            <w:r>
              <w:rPr>
                <w:rFonts w:hint="eastAsia" w:ascii="宋体" w:hAnsi="宋体"/>
              </w:rPr>
              <w:t>　</w:t>
            </w:r>
          </w:p>
        </w:tc>
        <w:tc>
          <w:tcPr>
            <w:tcW w:w="839" w:type="dxa"/>
            <w:vAlign w:val="center"/>
          </w:tcPr>
          <w:p w14:paraId="3F37334C">
            <w:pPr>
              <w:adjustRightInd w:val="0"/>
              <w:snapToGrid w:val="0"/>
              <w:jc w:val="left"/>
              <w:rPr>
                <w:rFonts w:hint="eastAsia" w:ascii="宋体" w:hAnsi="宋体"/>
              </w:rPr>
            </w:pPr>
          </w:p>
        </w:tc>
        <w:tc>
          <w:tcPr>
            <w:tcW w:w="769" w:type="dxa"/>
            <w:vAlign w:val="center"/>
          </w:tcPr>
          <w:p w14:paraId="43B7CC17">
            <w:pPr>
              <w:adjustRightInd w:val="0"/>
              <w:snapToGrid w:val="0"/>
              <w:jc w:val="left"/>
              <w:rPr>
                <w:rFonts w:hint="eastAsia" w:ascii="宋体" w:hAnsi="宋体"/>
              </w:rPr>
            </w:pPr>
          </w:p>
        </w:tc>
        <w:tc>
          <w:tcPr>
            <w:tcW w:w="709" w:type="dxa"/>
            <w:vAlign w:val="center"/>
          </w:tcPr>
          <w:p w14:paraId="7D1D7441">
            <w:pPr>
              <w:adjustRightInd w:val="0"/>
              <w:snapToGrid w:val="0"/>
              <w:jc w:val="left"/>
              <w:rPr>
                <w:rFonts w:hint="eastAsia" w:ascii="宋体" w:hAnsi="宋体"/>
              </w:rPr>
            </w:pPr>
          </w:p>
        </w:tc>
        <w:tc>
          <w:tcPr>
            <w:tcW w:w="856" w:type="dxa"/>
            <w:vAlign w:val="center"/>
          </w:tcPr>
          <w:p w14:paraId="6E01E303">
            <w:pPr>
              <w:adjustRightInd w:val="0"/>
              <w:snapToGrid w:val="0"/>
              <w:jc w:val="left"/>
              <w:rPr>
                <w:rFonts w:hint="eastAsia" w:ascii="宋体" w:hAnsi="宋体"/>
              </w:rPr>
            </w:pPr>
          </w:p>
        </w:tc>
        <w:tc>
          <w:tcPr>
            <w:tcW w:w="776" w:type="dxa"/>
            <w:vAlign w:val="center"/>
          </w:tcPr>
          <w:p w14:paraId="596EDE9A">
            <w:pPr>
              <w:adjustRightInd w:val="0"/>
              <w:snapToGrid w:val="0"/>
              <w:jc w:val="left"/>
              <w:rPr>
                <w:rFonts w:hint="eastAsia" w:ascii="宋体" w:hAnsi="宋体"/>
              </w:rPr>
            </w:pPr>
          </w:p>
        </w:tc>
        <w:tc>
          <w:tcPr>
            <w:tcW w:w="1061" w:type="dxa"/>
            <w:vAlign w:val="center"/>
          </w:tcPr>
          <w:p w14:paraId="0D5EA52C">
            <w:pPr>
              <w:adjustRightInd w:val="0"/>
              <w:snapToGrid w:val="0"/>
              <w:jc w:val="left"/>
              <w:rPr>
                <w:rFonts w:hint="eastAsia" w:ascii="宋体" w:hAnsi="宋体"/>
              </w:rPr>
            </w:pPr>
          </w:p>
        </w:tc>
        <w:tc>
          <w:tcPr>
            <w:tcW w:w="937" w:type="dxa"/>
            <w:vAlign w:val="center"/>
          </w:tcPr>
          <w:p w14:paraId="02F339B1">
            <w:pPr>
              <w:adjustRightInd w:val="0"/>
              <w:snapToGrid w:val="0"/>
              <w:jc w:val="left"/>
              <w:rPr>
                <w:rFonts w:hint="eastAsia" w:ascii="宋体" w:hAnsi="宋体"/>
              </w:rPr>
            </w:pPr>
          </w:p>
        </w:tc>
        <w:tc>
          <w:tcPr>
            <w:tcW w:w="776" w:type="dxa"/>
            <w:vAlign w:val="center"/>
          </w:tcPr>
          <w:p w14:paraId="47F8F153">
            <w:pPr>
              <w:adjustRightInd w:val="0"/>
              <w:snapToGrid w:val="0"/>
              <w:jc w:val="left"/>
              <w:rPr>
                <w:rFonts w:hint="eastAsia" w:ascii="宋体" w:hAnsi="宋体"/>
              </w:rPr>
            </w:pPr>
          </w:p>
        </w:tc>
        <w:tc>
          <w:tcPr>
            <w:tcW w:w="774" w:type="dxa"/>
            <w:vAlign w:val="center"/>
          </w:tcPr>
          <w:p w14:paraId="344ED592">
            <w:pPr>
              <w:adjustRightInd w:val="0"/>
              <w:snapToGrid w:val="0"/>
              <w:jc w:val="left"/>
              <w:rPr>
                <w:rFonts w:hint="eastAsia" w:ascii="宋体" w:hAnsi="宋体"/>
              </w:rPr>
            </w:pPr>
          </w:p>
        </w:tc>
      </w:tr>
      <w:tr w14:paraId="3528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4E2F7CAD">
            <w:pPr>
              <w:adjustRightInd w:val="0"/>
              <w:snapToGrid w:val="0"/>
              <w:jc w:val="left"/>
              <w:rPr>
                <w:rFonts w:hint="eastAsia" w:ascii="宋体" w:hAnsi="宋体"/>
              </w:rPr>
            </w:pPr>
            <w:r>
              <w:rPr>
                <w:rFonts w:hint="eastAsia" w:ascii="宋体" w:hAnsi="宋体"/>
              </w:rPr>
              <w:t>　</w:t>
            </w:r>
          </w:p>
        </w:tc>
        <w:tc>
          <w:tcPr>
            <w:tcW w:w="839" w:type="dxa"/>
            <w:vAlign w:val="center"/>
          </w:tcPr>
          <w:p w14:paraId="0ECEE725">
            <w:pPr>
              <w:adjustRightInd w:val="0"/>
              <w:snapToGrid w:val="0"/>
              <w:jc w:val="left"/>
              <w:rPr>
                <w:rFonts w:hint="eastAsia" w:ascii="宋体" w:hAnsi="宋体"/>
              </w:rPr>
            </w:pPr>
          </w:p>
        </w:tc>
        <w:tc>
          <w:tcPr>
            <w:tcW w:w="769" w:type="dxa"/>
            <w:vAlign w:val="center"/>
          </w:tcPr>
          <w:p w14:paraId="3286384E">
            <w:pPr>
              <w:adjustRightInd w:val="0"/>
              <w:snapToGrid w:val="0"/>
              <w:jc w:val="left"/>
              <w:rPr>
                <w:rFonts w:hint="eastAsia" w:ascii="宋体" w:hAnsi="宋体"/>
              </w:rPr>
            </w:pPr>
          </w:p>
        </w:tc>
        <w:tc>
          <w:tcPr>
            <w:tcW w:w="709" w:type="dxa"/>
            <w:vAlign w:val="center"/>
          </w:tcPr>
          <w:p w14:paraId="622AD536">
            <w:pPr>
              <w:adjustRightInd w:val="0"/>
              <w:snapToGrid w:val="0"/>
              <w:jc w:val="left"/>
              <w:rPr>
                <w:rFonts w:hint="eastAsia" w:ascii="宋体" w:hAnsi="宋体"/>
              </w:rPr>
            </w:pPr>
          </w:p>
        </w:tc>
        <w:tc>
          <w:tcPr>
            <w:tcW w:w="856" w:type="dxa"/>
            <w:vAlign w:val="center"/>
          </w:tcPr>
          <w:p w14:paraId="20426065">
            <w:pPr>
              <w:adjustRightInd w:val="0"/>
              <w:snapToGrid w:val="0"/>
              <w:jc w:val="left"/>
              <w:rPr>
                <w:rFonts w:hint="eastAsia" w:ascii="宋体" w:hAnsi="宋体"/>
              </w:rPr>
            </w:pPr>
          </w:p>
        </w:tc>
        <w:tc>
          <w:tcPr>
            <w:tcW w:w="776" w:type="dxa"/>
            <w:vAlign w:val="center"/>
          </w:tcPr>
          <w:p w14:paraId="2D78CC1F">
            <w:pPr>
              <w:adjustRightInd w:val="0"/>
              <w:snapToGrid w:val="0"/>
              <w:jc w:val="left"/>
              <w:rPr>
                <w:rFonts w:hint="eastAsia" w:ascii="宋体" w:hAnsi="宋体"/>
              </w:rPr>
            </w:pPr>
          </w:p>
        </w:tc>
        <w:tc>
          <w:tcPr>
            <w:tcW w:w="1061" w:type="dxa"/>
            <w:vAlign w:val="center"/>
          </w:tcPr>
          <w:p w14:paraId="0E3B9B67">
            <w:pPr>
              <w:adjustRightInd w:val="0"/>
              <w:snapToGrid w:val="0"/>
              <w:jc w:val="left"/>
              <w:rPr>
                <w:rFonts w:hint="eastAsia" w:ascii="宋体" w:hAnsi="宋体"/>
              </w:rPr>
            </w:pPr>
          </w:p>
        </w:tc>
        <w:tc>
          <w:tcPr>
            <w:tcW w:w="937" w:type="dxa"/>
            <w:vAlign w:val="center"/>
          </w:tcPr>
          <w:p w14:paraId="1FC5859A">
            <w:pPr>
              <w:adjustRightInd w:val="0"/>
              <w:snapToGrid w:val="0"/>
              <w:jc w:val="left"/>
              <w:rPr>
                <w:rFonts w:hint="eastAsia" w:ascii="宋体" w:hAnsi="宋体"/>
              </w:rPr>
            </w:pPr>
          </w:p>
        </w:tc>
        <w:tc>
          <w:tcPr>
            <w:tcW w:w="776" w:type="dxa"/>
            <w:vAlign w:val="center"/>
          </w:tcPr>
          <w:p w14:paraId="77A32DD9">
            <w:pPr>
              <w:adjustRightInd w:val="0"/>
              <w:snapToGrid w:val="0"/>
              <w:jc w:val="left"/>
              <w:rPr>
                <w:rFonts w:hint="eastAsia" w:ascii="宋体" w:hAnsi="宋体"/>
              </w:rPr>
            </w:pPr>
          </w:p>
        </w:tc>
        <w:tc>
          <w:tcPr>
            <w:tcW w:w="774" w:type="dxa"/>
            <w:vAlign w:val="center"/>
          </w:tcPr>
          <w:p w14:paraId="4A22D3EB">
            <w:pPr>
              <w:adjustRightInd w:val="0"/>
              <w:snapToGrid w:val="0"/>
              <w:jc w:val="left"/>
              <w:rPr>
                <w:rFonts w:hint="eastAsia" w:ascii="宋体" w:hAnsi="宋体"/>
              </w:rPr>
            </w:pPr>
          </w:p>
        </w:tc>
      </w:tr>
      <w:tr w14:paraId="3024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77B6AFB3">
            <w:pPr>
              <w:adjustRightInd w:val="0"/>
              <w:snapToGrid w:val="0"/>
              <w:jc w:val="left"/>
              <w:rPr>
                <w:rFonts w:hint="eastAsia" w:ascii="宋体" w:hAnsi="宋体"/>
              </w:rPr>
            </w:pPr>
            <w:r>
              <w:rPr>
                <w:rFonts w:hint="eastAsia" w:ascii="宋体" w:hAnsi="宋体"/>
              </w:rPr>
              <w:t>　</w:t>
            </w:r>
          </w:p>
        </w:tc>
        <w:tc>
          <w:tcPr>
            <w:tcW w:w="839" w:type="dxa"/>
            <w:vAlign w:val="center"/>
          </w:tcPr>
          <w:p w14:paraId="367F4E67">
            <w:pPr>
              <w:adjustRightInd w:val="0"/>
              <w:snapToGrid w:val="0"/>
              <w:jc w:val="left"/>
              <w:rPr>
                <w:rFonts w:hint="eastAsia" w:ascii="宋体" w:hAnsi="宋体"/>
              </w:rPr>
            </w:pPr>
          </w:p>
        </w:tc>
        <w:tc>
          <w:tcPr>
            <w:tcW w:w="769" w:type="dxa"/>
            <w:vAlign w:val="center"/>
          </w:tcPr>
          <w:p w14:paraId="4CEFA04E">
            <w:pPr>
              <w:adjustRightInd w:val="0"/>
              <w:snapToGrid w:val="0"/>
              <w:jc w:val="left"/>
              <w:rPr>
                <w:rFonts w:hint="eastAsia" w:ascii="宋体" w:hAnsi="宋体"/>
              </w:rPr>
            </w:pPr>
          </w:p>
        </w:tc>
        <w:tc>
          <w:tcPr>
            <w:tcW w:w="709" w:type="dxa"/>
            <w:vAlign w:val="center"/>
          </w:tcPr>
          <w:p w14:paraId="1FE5B6D7">
            <w:pPr>
              <w:adjustRightInd w:val="0"/>
              <w:snapToGrid w:val="0"/>
              <w:jc w:val="left"/>
              <w:rPr>
                <w:rFonts w:hint="eastAsia" w:ascii="宋体" w:hAnsi="宋体"/>
              </w:rPr>
            </w:pPr>
          </w:p>
        </w:tc>
        <w:tc>
          <w:tcPr>
            <w:tcW w:w="856" w:type="dxa"/>
            <w:vAlign w:val="center"/>
          </w:tcPr>
          <w:p w14:paraId="4AA41C2A">
            <w:pPr>
              <w:adjustRightInd w:val="0"/>
              <w:snapToGrid w:val="0"/>
              <w:jc w:val="left"/>
              <w:rPr>
                <w:rFonts w:hint="eastAsia" w:ascii="宋体" w:hAnsi="宋体"/>
              </w:rPr>
            </w:pPr>
          </w:p>
        </w:tc>
        <w:tc>
          <w:tcPr>
            <w:tcW w:w="776" w:type="dxa"/>
            <w:vAlign w:val="center"/>
          </w:tcPr>
          <w:p w14:paraId="14D94ABB">
            <w:pPr>
              <w:adjustRightInd w:val="0"/>
              <w:snapToGrid w:val="0"/>
              <w:jc w:val="left"/>
              <w:rPr>
                <w:rFonts w:hint="eastAsia" w:ascii="宋体" w:hAnsi="宋体"/>
              </w:rPr>
            </w:pPr>
          </w:p>
        </w:tc>
        <w:tc>
          <w:tcPr>
            <w:tcW w:w="1061" w:type="dxa"/>
            <w:vAlign w:val="center"/>
          </w:tcPr>
          <w:p w14:paraId="6F14A8BE">
            <w:pPr>
              <w:adjustRightInd w:val="0"/>
              <w:snapToGrid w:val="0"/>
              <w:jc w:val="left"/>
              <w:rPr>
                <w:rFonts w:hint="eastAsia" w:ascii="宋体" w:hAnsi="宋体"/>
              </w:rPr>
            </w:pPr>
          </w:p>
        </w:tc>
        <w:tc>
          <w:tcPr>
            <w:tcW w:w="937" w:type="dxa"/>
            <w:vAlign w:val="center"/>
          </w:tcPr>
          <w:p w14:paraId="069A85CD">
            <w:pPr>
              <w:adjustRightInd w:val="0"/>
              <w:snapToGrid w:val="0"/>
              <w:jc w:val="left"/>
              <w:rPr>
                <w:rFonts w:hint="eastAsia" w:ascii="宋体" w:hAnsi="宋体"/>
              </w:rPr>
            </w:pPr>
          </w:p>
        </w:tc>
        <w:tc>
          <w:tcPr>
            <w:tcW w:w="776" w:type="dxa"/>
            <w:vAlign w:val="center"/>
          </w:tcPr>
          <w:p w14:paraId="710BB7DA">
            <w:pPr>
              <w:adjustRightInd w:val="0"/>
              <w:snapToGrid w:val="0"/>
              <w:jc w:val="left"/>
              <w:rPr>
                <w:rFonts w:hint="eastAsia" w:ascii="宋体" w:hAnsi="宋体"/>
              </w:rPr>
            </w:pPr>
          </w:p>
        </w:tc>
        <w:tc>
          <w:tcPr>
            <w:tcW w:w="774" w:type="dxa"/>
            <w:vAlign w:val="center"/>
          </w:tcPr>
          <w:p w14:paraId="699910BE">
            <w:pPr>
              <w:adjustRightInd w:val="0"/>
              <w:snapToGrid w:val="0"/>
              <w:jc w:val="left"/>
              <w:rPr>
                <w:rFonts w:hint="eastAsia" w:ascii="宋体" w:hAnsi="宋体"/>
              </w:rPr>
            </w:pPr>
          </w:p>
        </w:tc>
      </w:tr>
      <w:tr w14:paraId="68B1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770F364C">
            <w:pPr>
              <w:adjustRightInd w:val="0"/>
              <w:snapToGrid w:val="0"/>
              <w:jc w:val="left"/>
              <w:rPr>
                <w:rFonts w:hint="eastAsia" w:ascii="宋体" w:hAnsi="宋体"/>
              </w:rPr>
            </w:pPr>
            <w:r>
              <w:rPr>
                <w:rFonts w:hint="eastAsia" w:ascii="宋体" w:hAnsi="宋体"/>
              </w:rPr>
              <w:t>　</w:t>
            </w:r>
          </w:p>
        </w:tc>
        <w:tc>
          <w:tcPr>
            <w:tcW w:w="839" w:type="dxa"/>
            <w:vAlign w:val="center"/>
          </w:tcPr>
          <w:p w14:paraId="1DA2F4C7">
            <w:pPr>
              <w:adjustRightInd w:val="0"/>
              <w:snapToGrid w:val="0"/>
              <w:jc w:val="left"/>
              <w:rPr>
                <w:rFonts w:hint="eastAsia" w:ascii="宋体" w:hAnsi="宋体"/>
              </w:rPr>
            </w:pPr>
          </w:p>
        </w:tc>
        <w:tc>
          <w:tcPr>
            <w:tcW w:w="769" w:type="dxa"/>
            <w:vAlign w:val="center"/>
          </w:tcPr>
          <w:p w14:paraId="0F9530D1">
            <w:pPr>
              <w:adjustRightInd w:val="0"/>
              <w:snapToGrid w:val="0"/>
              <w:jc w:val="left"/>
              <w:rPr>
                <w:rFonts w:hint="eastAsia" w:ascii="宋体" w:hAnsi="宋体"/>
              </w:rPr>
            </w:pPr>
          </w:p>
        </w:tc>
        <w:tc>
          <w:tcPr>
            <w:tcW w:w="709" w:type="dxa"/>
            <w:vAlign w:val="center"/>
          </w:tcPr>
          <w:p w14:paraId="697E7014">
            <w:pPr>
              <w:adjustRightInd w:val="0"/>
              <w:snapToGrid w:val="0"/>
              <w:jc w:val="left"/>
              <w:rPr>
                <w:rFonts w:hint="eastAsia" w:ascii="宋体" w:hAnsi="宋体"/>
              </w:rPr>
            </w:pPr>
          </w:p>
        </w:tc>
        <w:tc>
          <w:tcPr>
            <w:tcW w:w="856" w:type="dxa"/>
            <w:vAlign w:val="center"/>
          </w:tcPr>
          <w:p w14:paraId="329EAB46">
            <w:pPr>
              <w:adjustRightInd w:val="0"/>
              <w:snapToGrid w:val="0"/>
              <w:jc w:val="left"/>
              <w:rPr>
                <w:rFonts w:hint="eastAsia" w:ascii="宋体" w:hAnsi="宋体"/>
              </w:rPr>
            </w:pPr>
          </w:p>
        </w:tc>
        <w:tc>
          <w:tcPr>
            <w:tcW w:w="776" w:type="dxa"/>
            <w:vAlign w:val="center"/>
          </w:tcPr>
          <w:p w14:paraId="0C1D6783">
            <w:pPr>
              <w:adjustRightInd w:val="0"/>
              <w:snapToGrid w:val="0"/>
              <w:jc w:val="left"/>
              <w:rPr>
                <w:rFonts w:hint="eastAsia" w:ascii="宋体" w:hAnsi="宋体"/>
              </w:rPr>
            </w:pPr>
          </w:p>
        </w:tc>
        <w:tc>
          <w:tcPr>
            <w:tcW w:w="1061" w:type="dxa"/>
            <w:vAlign w:val="center"/>
          </w:tcPr>
          <w:p w14:paraId="5F18C037">
            <w:pPr>
              <w:adjustRightInd w:val="0"/>
              <w:snapToGrid w:val="0"/>
              <w:jc w:val="left"/>
              <w:rPr>
                <w:rFonts w:hint="eastAsia" w:ascii="宋体" w:hAnsi="宋体"/>
              </w:rPr>
            </w:pPr>
          </w:p>
        </w:tc>
        <w:tc>
          <w:tcPr>
            <w:tcW w:w="937" w:type="dxa"/>
            <w:vAlign w:val="center"/>
          </w:tcPr>
          <w:p w14:paraId="5392DD97">
            <w:pPr>
              <w:adjustRightInd w:val="0"/>
              <w:snapToGrid w:val="0"/>
              <w:jc w:val="left"/>
              <w:rPr>
                <w:rFonts w:hint="eastAsia" w:ascii="宋体" w:hAnsi="宋体"/>
              </w:rPr>
            </w:pPr>
          </w:p>
        </w:tc>
        <w:tc>
          <w:tcPr>
            <w:tcW w:w="776" w:type="dxa"/>
            <w:vAlign w:val="center"/>
          </w:tcPr>
          <w:p w14:paraId="444BBB01">
            <w:pPr>
              <w:adjustRightInd w:val="0"/>
              <w:snapToGrid w:val="0"/>
              <w:jc w:val="left"/>
              <w:rPr>
                <w:rFonts w:hint="eastAsia" w:ascii="宋体" w:hAnsi="宋体"/>
              </w:rPr>
            </w:pPr>
          </w:p>
        </w:tc>
        <w:tc>
          <w:tcPr>
            <w:tcW w:w="774" w:type="dxa"/>
            <w:vAlign w:val="center"/>
          </w:tcPr>
          <w:p w14:paraId="2851E457">
            <w:pPr>
              <w:adjustRightInd w:val="0"/>
              <w:snapToGrid w:val="0"/>
              <w:jc w:val="left"/>
              <w:rPr>
                <w:rFonts w:hint="eastAsia" w:ascii="宋体" w:hAnsi="宋体"/>
              </w:rPr>
            </w:pPr>
          </w:p>
        </w:tc>
      </w:tr>
      <w:tr w14:paraId="674E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01ACC68F">
            <w:pPr>
              <w:adjustRightInd w:val="0"/>
              <w:snapToGrid w:val="0"/>
              <w:jc w:val="left"/>
              <w:rPr>
                <w:rFonts w:hint="eastAsia" w:ascii="宋体" w:hAnsi="宋体"/>
              </w:rPr>
            </w:pPr>
            <w:r>
              <w:rPr>
                <w:rFonts w:hint="eastAsia" w:ascii="宋体" w:hAnsi="宋体"/>
              </w:rPr>
              <w:t>　</w:t>
            </w:r>
          </w:p>
        </w:tc>
        <w:tc>
          <w:tcPr>
            <w:tcW w:w="839" w:type="dxa"/>
            <w:vAlign w:val="center"/>
          </w:tcPr>
          <w:p w14:paraId="5C4A1A37">
            <w:pPr>
              <w:adjustRightInd w:val="0"/>
              <w:snapToGrid w:val="0"/>
              <w:jc w:val="left"/>
              <w:rPr>
                <w:rFonts w:hint="eastAsia" w:ascii="宋体" w:hAnsi="宋体"/>
              </w:rPr>
            </w:pPr>
          </w:p>
        </w:tc>
        <w:tc>
          <w:tcPr>
            <w:tcW w:w="769" w:type="dxa"/>
            <w:vAlign w:val="center"/>
          </w:tcPr>
          <w:p w14:paraId="21DC87A7">
            <w:pPr>
              <w:adjustRightInd w:val="0"/>
              <w:snapToGrid w:val="0"/>
              <w:jc w:val="left"/>
              <w:rPr>
                <w:rFonts w:hint="eastAsia" w:ascii="宋体" w:hAnsi="宋体"/>
              </w:rPr>
            </w:pPr>
          </w:p>
        </w:tc>
        <w:tc>
          <w:tcPr>
            <w:tcW w:w="709" w:type="dxa"/>
            <w:vAlign w:val="center"/>
          </w:tcPr>
          <w:p w14:paraId="244CC9B7">
            <w:pPr>
              <w:adjustRightInd w:val="0"/>
              <w:snapToGrid w:val="0"/>
              <w:jc w:val="left"/>
              <w:rPr>
                <w:rFonts w:hint="eastAsia" w:ascii="宋体" w:hAnsi="宋体"/>
              </w:rPr>
            </w:pPr>
          </w:p>
        </w:tc>
        <w:tc>
          <w:tcPr>
            <w:tcW w:w="856" w:type="dxa"/>
            <w:vAlign w:val="center"/>
          </w:tcPr>
          <w:p w14:paraId="30E3463A">
            <w:pPr>
              <w:adjustRightInd w:val="0"/>
              <w:snapToGrid w:val="0"/>
              <w:jc w:val="left"/>
              <w:rPr>
                <w:rFonts w:hint="eastAsia" w:ascii="宋体" w:hAnsi="宋体"/>
              </w:rPr>
            </w:pPr>
          </w:p>
        </w:tc>
        <w:tc>
          <w:tcPr>
            <w:tcW w:w="776" w:type="dxa"/>
            <w:vAlign w:val="center"/>
          </w:tcPr>
          <w:p w14:paraId="1A09E342">
            <w:pPr>
              <w:adjustRightInd w:val="0"/>
              <w:snapToGrid w:val="0"/>
              <w:jc w:val="left"/>
              <w:rPr>
                <w:rFonts w:hint="eastAsia" w:ascii="宋体" w:hAnsi="宋体"/>
              </w:rPr>
            </w:pPr>
          </w:p>
        </w:tc>
        <w:tc>
          <w:tcPr>
            <w:tcW w:w="1061" w:type="dxa"/>
            <w:vAlign w:val="center"/>
          </w:tcPr>
          <w:p w14:paraId="086019B2">
            <w:pPr>
              <w:adjustRightInd w:val="0"/>
              <w:snapToGrid w:val="0"/>
              <w:jc w:val="left"/>
              <w:rPr>
                <w:rFonts w:hint="eastAsia" w:ascii="宋体" w:hAnsi="宋体"/>
              </w:rPr>
            </w:pPr>
          </w:p>
        </w:tc>
        <w:tc>
          <w:tcPr>
            <w:tcW w:w="937" w:type="dxa"/>
            <w:vAlign w:val="center"/>
          </w:tcPr>
          <w:p w14:paraId="69C67669">
            <w:pPr>
              <w:adjustRightInd w:val="0"/>
              <w:snapToGrid w:val="0"/>
              <w:jc w:val="left"/>
              <w:rPr>
                <w:rFonts w:hint="eastAsia" w:ascii="宋体" w:hAnsi="宋体"/>
              </w:rPr>
            </w:pPr>
          </w:p>
        </w:tc>
        <w:tc>
          <w:tcPr>
            <w:tcW w:w="776" w:type="dxa"/>
            <w:vAlign w:val="center"/>
          </w:tcPr>
          <w:p w14:paraId="7DB9958C">
            <w:pPr>
              <w:adjustRightInd w:val="0"/>
              <w:snapToGrid w:val="0"/>
              <w:jc w:val="left"/>
              <w:rPr>
                <w:rFonts w:hint="eastAsia" w:ascii="宋体" w:hAnsi="宋体"/>
              </w:rPr>
            </w:pPr>
          </w:p>
        </w:tc>
        <w:tc>
          <w:tcPr>
            <w:tcW w:w="774" w:type="dxa"/>
            <w:vAlign w:val="center"/>
          </w:tcPr>
          <w:p w14:paraId="53AB2248">
            <w:pPr>
              <w:adjustRightInd w:val="0"/>
              <w:snapToGrid w:val="0"/>
              <w:jc w:val="left"/>
              <w:rPr>
                <w:rFonts w:hint="eastAsia" w:ascii="宋体" w:hAnsi="宋体"/>
              </w:rPr>
            </w:pPr>
          </w:p>
        </w:tc>
      </w:tr>
      <w:tr w14:paraId="6067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5BAF7A1A">
            <w:pPr>
              <w:adjustRightInd w:val="0"/>
              <w:snapToGrid w:val="0"/>
              <w:jc w:val="left"/>
              <w:rPr>
                <w:rFonts w:hint="eastAsia" w:ascii="宋体" w:hAnsi="宋体"/>
              </w:rPr>
            </w:pPr>
            <w:r>
              <w:rPr>
                <w:rFonts w:hint="eastAsia" w:ascii="宋体" w:hAnsi="宋体"/>
              </w:rPr>
              <w:t>　</w:t>
            </w:r>
          </w:p>
        </w:tc>
        <w:tc>
          <w:tcPr>
            <w:tcW w:w="839" w:type="dxa"/>
            <w:vAlign w:val="center"/>
          </w:tcPr>
          <w:p w14:paraId="75EC1C85">
            <w:pPr>
              <w:adjustRightInd w:val="0"/>
              <w:snapToGrid w:val="0"/>
              <w:jc w:val="left"/>
              <w:rPr>
                <w:rFonts w:hint="eastAsia" w:ascii="宋体" w:hAnsi="宋体"/>
              </w:rPr>
            </w:pPr>
          </w:p>
        </w:tc>
        <w:tc>
          <w:tcPr>
            <w:tcW w:w="769" w:type="dxa"/>
            <w:vAlign w:val="center"/>
          </w:tcPr>
          <w:p w14:paraId="7E0F1BCA">
            <w:pPr>
              <w:adjustRightInd w:val="0"/>
              <w:snapToGrid w:val="0"/>
              <w:jc w:val="left"/>
              <w:rPr>
                <w:rFonts w:hint="eastAsia" w:ascii="宋体" w:hAnsi="宋体"/>
              </w:rPr>
            </w:pPr>
          </w:p>
        </w:tc>
        <w:tc>
          <w:tcPr>
            <w:tcW w:w="709" w:type="dxa"/>
            <w:vAlign w:val="center"/>
          </w:tcPr>
          <w:p w14:paraId="24AA0FCB">
            <w:pPr>
              <w:adjustRightInd w:val="0"/>
              <w:snapToGrid w:val="0"/>
              <w:jc w:val="left"/>
              <w:rPr>
                <w:rFonts w:hint="eastAsia" w:ascii="宋体" w:hAnsi="宋体"/>
              </w:rPr>
            </w:pPr>
          </w:p>
        </w:tc>
        <w:tc>
          <w:tcPr>
            <w:tcW w:w="856" w:type="dxa"/>
            <w:vAlign w:val="center"/>
          </w:tcPr>
          <w:p w14:paraId="2B2C9884">
            <w:pPr>
              <w:adjustRightInd w:val="0"/>
              <w:snapToGrid w:val="0"/>
              <w:jc w:val="left"/>
              <w:rPr>
                <w:rFonts w:hint="eastAsia" w:ascii="宋体" w:hAnsi="宋体"/>
              </w:rPr>
            </w:pPr>
          </w:p>
        </w:tc>
        <w:tc>
          <w:tcPr>
            <w:tcW w:w="776" w:type="dxa"/>
            <w:vAlign w:val="center"/>
          </w:tcPr>
          <w:p w14:paraId="68E3DB83">
            <w:pPr>
              <w:adjustRightInd w:val="0"/>
              <w:snapToGrid w:val="0"/>
              <w:jc w:val="left"/>
              <w:rPr>
                <w:rFonts w:hint="eastAsia" w:ascii="宋体" w:hAnsi="宋体"/>
              </w:rPr>
            </w:pPr>
          </w:p>
        </w:tc>
        <w:tc>
          <w:tcPr>
            <w:tcW w:w="1061" w:type="dxa"/>
            <w:vAlign w:val="center"/>
          </w:tcPr>
          <w:p w14:paraId="08692F72">
            <w:pPr>
              <w:adjustRightInd w:val="0"/>
              <w:snapToGrid w:val="0"/>
              <w:jc w:val="left"/>
              <w:rPr>
                <w:rFonts w:hint="eastAsia" w:ascii="宋体" w:hAnsi="宋体"/>
              </w:rPr>
            </w:pPr>
          </w:p>
        </w:tc>
        <w:tc>
          <w:tcPr>
            <w:tcW w:w="937" w:type="dxa"/>
            <w:vAlign w:val="center"/>
          </w:tcPr>
          <w:p w14:paraId="464DEFBF">
            <w:pPr>
              <w:adjustRightInd w:val="0"/>
              <w:snapToGrid w:val="0"/>
              <w:jc w:val="left"/>
              <w:rPr>
                <w:rFonts w:hint="eastAsia" w:ascii="宋体" w:hAnsi="宋体"/>
              </w:rPr>
            </w:pPr>
          </w:p>
        </w:tc>
        <w:tc>
          <w:tcPr>
            <w:tcW w:w="776" w:type="dxa"/>
            <w:vAlign w:val="center"/>
          </w:tcPr>
          <w:p w14:paraId="36F3493B">
            <w:pPr>
              <w:adjustRightInd w:val="0"/>
              <w:snapToGrid w:val="0"/>
              <w:jc w:val="left"/>
              <w:rPr>
                <w:rFonts w:hint="eastAsia" w:ascii="宋体" w:hAnsi="宋体"/>
              </w:rPr>
            </w:pPr>
          </w:p>
        </w:tc>
        <w:tc>
          <w:tcPr>
            <w:tcW w:w="774" w:type="dxa"/>
            <w:vAlign w:val="center"/>
          </w:tcPr>
          <w:p w14:paraId="2E4D23EB">
            <w:pPr>
              <w:adjustRightInd w:val="0"/>
              <w:snapToGrid w:val="0"/>
              <w:jc w:val="left"/>
              <w:rPr>
                <w:rFonts w:hint="eastAsia" w:ascii="宋体" w:hAnsi="宋体"/>
              </w:rPr>
            </w:pPr>
          </w:p>
        </w:tc>
      </w:tr>
      <w:tr w14:paraId="30BE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045C80A0">
            <w:pPr>
              <w:adjustRightInd w:val="0"/>
              <w:snapToGrid w:val="0"/>
              <w:jc w:val="left"/>
              <w:rPr>
                <w:rFonts w:hint="eastAsia" w:ascii="宋体" w:hAnsi="宋体"/>
              </w:rPr>
            </w:pPr>
            <w:r>
              <w:rPr>
                <w:rFonts w:hint="eastAsia" w:ascii="宋体" w:hAnsi="宋体"/>
              </w:rPr>
              <w:t>　</w:t>
            </w:r>
          </w:p>
        </w:tc>
        <w:tc>
          <w:tcPr>
            <w:tcW w:w="839" w:type="dxa"/>
            <w:vAlign w:val="center"/>
          </w:tcPr>
          <w:p w14:paraId="6BBF394A">
            <w:pPr>
              <w:adjustRightInd w:val="0"/>
              <w:snapToGrid w:val="0"/>
              <w:jc w:val="left"/>
              <w:rPr>
                <w:rFonts w:hint="eastAsia" w:ascii="宋体" w:hAnsi="宋体"/>
              </w:rPr>
            </w:pPr>
          </w:p>
        </w:tc>
        <w:tc>
          <w:tcPr>
            <w:tcW w:w="769" w:type="dxa"/>
            <w:vAlign w:val="center"/>
          </w:tcPr>
          <w:p w14:paraId="2205AA72">
            <w:pPr>
              <w:adjustRightInd w:val="0"/>
              <w:snapToGrid w:val="0"/>
              <w:jc w:val="left"/>
              <w:rPr>
                <w:rFonts w:hint="eastAsia" w:ascii="宋体" w:hAnsi="宋体"/>
              </w:rPr>
            </w:pPr>
          </w:p>
        </w:tc>
        <w:tc>
          <w:tcPr>
            <w:tcW w:w="709" w:type="dxa"/>
            <w:vAlign w:val="center"/>
          </w:tcPr>
          <w:p w14:paraId="4E6893E1">
            <w:pPr>
              <w:adjustRightInd w:val="0"/>
              <w:snapToGrid w:val="0"/>
              <w:jc w:val="left"/>
              <w:rPr>
                <w:rFonts w:hint="eastAsia" w:ascii="宋体" w:hAnsi="宋体"/>
              </w:rPr>
            </w:pPr>
          </w:p>
        </w:tc>
        <w:tc>
          <w:tcPr>
            <w:tcW w:w="856" w:type="dxa"/>
            <w:vAlign w:val="center"/>
          </w:tcPr>
          <w:p w14:paraId="1CFE0EFC">
            <w:pPr>
              <w:adjustRightInd w:val="0"/>
              <w:snapToGrid w:val="0"/>
              <w:jc w:val="left"/>
              <w:rPr>
                <w:rFonts w:hint="eastAsia" w:ascii="宋体" w:hAnsi="宋体"/>
              </w:rPr>
            </w:pPr>
          </w:p>
        </w:tc>
        <w:tc>
          <w:tcPr>
            <w:tcW w:w="776" w:type="dxa"/>
            <w:vAlign w:val="center"/>
          </w:tcPr>
          <w:p w14:paraId="599190C5">
            <w:pPr>
              <w:adjustRightInd w:val="0"/>
              <w:snapToGrid w:val="0"/>
              <w:jc w:val="left"/>
              <w:rPr>
                <w:rFonts w:hint="eastAsia" w:ascii="宋体" w:hAnsi="宋体"/>
              </w:rPr>
            </w:pPr>
          </w:p>
        </w:tc>
        <w:tc>
          <w:tcPr>
            <w:tcW w:w="1061" w:type="dxa"/>
            <w:vAlign w:val="center"/>
          </w:tcPr>
          <w:p w14:paraId="406BAA63">
            <w:pPr>
              <w:adjustRightInd w:val="0"/>
              <w:snapToGrid w:val="0"/>
              <w:jc w:val="left"/>
              <w:rPr>
                <w:rFonts w:hint="eastAsia" w:ascii="宋体" w:hAnsi="宋体"/>
              </w:rPr>
            </w:pPr>
          </w:p>
        </w:tc>
        <w:tc>
          <w:tcPr>
            <w:tcW w:w="937" w:type="dxa"/>
            <w:vAlign w:val="center"/>
          </w:tcPr>
          <w:p w14:paraId="7D74631D">
            <w:pPr>
              <w:adjustRightInd w:val="0"/>
              <w:snapToGrid w:val="0"/>
              <w:jc w:val="left"/>
              <w:rPr>
                <w:rFonts w:hint="eastAsia" w:ascii="宋体" w:hAnsi="宋体"/>
              </w:rPr>
            </w:pPr>
          </w:p>
        </w:tc>
        <w:tc>
          <w:tcPr>
            <w:tcW w:w="776" w:type="dxa"/>
            <w:vAlign w:val="center"/>
          </w:tcPr>
          <w:p w14:paraId="750B56DA">
            <w:pPr>
              <w:adjustRightInd w:val="0"/>
              <w:snapToGrid w:val="0"/>
              <w:jc w:val="left"/>
              <w:rPr>
                <w:rFonts w:hint="eastAsia" w:ascii="宋体" w:hAnsi="宋体"/>
              </w:rPr>
            </w:pPr>
          </w:p>
        </w:tc>
        <w:tc>
          <w:tcPr>
            <w:tcW w:w="774" w:type="dxa"/>
            <w:vAlign w:val="center"/>
          </w:tcPr>
          <w:p w14:paraId="4F0FEB32">
            <w:pPr>
              <w:adjustRightInd w:val="0"/>
              <w:snapToGrid w:val="0"/>
              <w:jc w:val="left"/>
              <w:rPr>
                <w:rFonts w:hint="eastAsia" w:ascii="宋体" w:hAnsi="宋体"/>
              </w:rPr>
            </w:pPr>
          </w:p>
        </w:tc>
      </w:tr>
      <w:tr w14:paraId="7DAF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2059E935">
            <w:pPr>
              <w:adjustRightInd w:val="0"/>
              <w:snapToGrid w:val="0"/>
              <w:jc w:val="left"/>
              <w:rPr>
                <w:rFonts w:hint="eastAsia" w:ascii="宋体" w:hAnsi="宋体"/>
              </w:rPr>
            </w:pPr>
            <w:r>
              <w:rPr>
                <w:rFonts w:hint="eastAsia" w:ascii="宋体" w:hAnsi="宋体"/>
              </w:rPr>
              <w:t>　</w:t>
            </w:r>
          </w:p>
        </w:tc>
        <w:tc>
          <w:tcPr>
            <w:tcW w:w="839" w:type="dxa"/>
            <w:vAlign w:val="center"/>
          </w:tcPr>
          <w:p w14:paraId="3454695A">
            <w:pPr>
              <w:adjustRightInd w:val="0"/>
              <w:snapToGrid w:val="0"/>
              <w:jc w:val="left"/>
              <w:rPr>
                <w:rFonts w:hint="eastAsia" w:ascii="宋体" w:hAnsi="宋体"/>
              </w:rPr>
            </w:pPr>
          </w:p>
        </w:tc>
        <w:tc>
          <w:tcPr>
            <w:tcW w:w="769" w:type="dxa"/>
            <w:vAlign w:val="center"/>
          </w:tcPr>
          <w:p w14:paraId="255A6608">
            <w:pPr>
              <w:adjustRightInd w:val="0"/>
              <w:snapToGrid w:val="0"/>
              <w:jc w:val="left"/>
              <w:rPr>
                <w:rFonts w:hint="eastAsia" w:ascii="宋体" w:hAnsi="宋体"/>
              </w:rPr>
            </w:pPr>
          </w:p>
        </w:tc>
        <w:tc>
          <w:tcPr>
            <w:tcW w:w="709" w:type="dxa"/>
            <w:vAlign w:val="center"/>
          </w:tcPr>
          <w:p w14:paraId="18090D90">
            <w:pPr>
              <w:adjustRightInd w:val="0"/>
              <w:snapToGrid w:val="0"/>
              <w:jc w:val="left"/>
              <w:rPr>
                <w:rFonts w:hint="eastAsia" w:ascii="宋体" w:hAnsi="宋体"/>
              </w:rPr>
            </w:pPr>
          </w:p>
        </w:tc>
        <w:tc>
          <w:tcPr>
            <w:tcW w:w="856" w:type="dxa"/>
            <w:vAlign w:val="center"/>
          </w:tcPr>
          <w:p w14:paraId="2E59F9D2">
            <w:pPr>
              <w:adjustRightInd w:val="0"/>
              <w:snapToGrid w:val="0"/>
              <w:jc w:val="left"/>
              <w:rPr>
                <w:rFonts w:hint="eastAsia" w:ascii="宋体" w:hAnsi="宋体"/>
              </w:rPr>
            </w:pPr>
          </w:p>
        </w:tc>
        <w:tc>
          <w:tcPr>
            <w:tcW w:w="776" w:type="dxa"/>
            <w:vAlign w:val="center"/>
          </w:tcPr>
          <w:p w14:paraId="4CD1C315">
            <w:pPr>
              <w:adjustRightInd w:val="0"/>
              <w:snapToGrid w:val="0"/>
              <w:jc w:val="left"/>
              <w:rPr>
                <w:rFonts w:hint="eastAsia" w:ascii="宋体" w:hAnsi="宋体"/>
              </w:rPr>
            </w:pPr>
          </w:p>
        </w:tc>
        <w:tc>
          <w:tcPr>
            <w:tcW w:w="1061" w:type="dxa"/>
            <w:vAlign w:val="center"/>
          </w:tcPr>
          <w:p w14:paraId="2635D5A5">
            <w:pPr>
              <w:adjustRightInd w:val="0"/>
              <w:snapToGrid w:val="0"/>
              <w:jc w:val="left"/>
              <w:rPr>
                <w:rFonts w:hint="eastAsia" w:ascii="宋体" w:hAnsi="宋体"/>
              </w:rPr>
            </w:pPr>
          </w:p>
        </w:tc>
        <w:tc>
          <w:tcPr>
            <w:tcW w:w="937" w:type="dxa"/>
            <w:vAlign w:val="center"/>
          </w:tcPr>
          <w:p w14:paraId="7A51ECAF">
            <w:pPr>
              <w:adjustRightInd w:val="0"/>
              <w:snapToGrid w:val="0"/>
              <w:jc w:val="left"/>
              <w:rPr>
                <w:rFonts w:hint="eastAsia" w:ascii="宋体" w:hAnsi="宋体"/>
              </w:rPr>
            </w:pPr>
          </w:p>
        </w:tc>
        <w:tc>
          <w:tcPr>
            <w:tcW w:w="776" w:type="dxa"/>
            <w:vAlign w:val="center"/>
          </w:tcPr>
          <w:p w14:paraId="33F1FC4C">
            <w:pPr>
              <w:adjustRightInd w:val="0"/>
              <w:snapToGrid w:val="0"/>
              <w:jc w:val="left"/>
              <w:rPr>
                <w:rFonts w:hint="eastAsia" w:ascii="宋体" w:hAnsi="宋体"/>
              </w:rPr>
            </w:pPr>
          </w:p>
        </w:tc>
        <w:tc>
          <w:tcPr>
            <w:tcW w:w="774" w:type="dxa"/>
            <w:vAlign w:val="center"/>
          </w:tcPr>
          <w:p w14:paraId="6568B9DD">
            <w:pPr>
              <w:adjustRightInd w:val="0"/>
              <w:snapToGrid w:val="0"/>
              <w:jc w:val="left"/>
              <w:rPr>
                <w:rFonts w:hint="eastAsia" w:ascii="宋体" w:hAnsi="宋体"/>
              </w:rPr>
            </w:pPr>
          </w:p>
        </w:tc>
      </w:tr>
      <w:tr w14:paraId="22D4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446B95E9">
            <w:pPr>
              <w:adjustRightInd w:val="0"/>
              <w:snapToGrid w:val="0"/>
              <w:jc w:val="left"/>
              <w:rPr>
                <w:rFonts w:hint="eastAsia" w:ascii="宋体" w:hAnsi="宋体"/>
              </w:rPr>
            </w:pPr>
            <w:r>
              <w:rPr>
                <w:rFonts w:hint="eastAsia" w:ascii="宋体" w:hAnsi="宋体"/>
              </w:rPr>
              <w:t>　</w:t>
            </w:r>
          </w:p>
        </w:tc>
        <w:tc>
          <w:tcPr>
            <w:tcW w:w="839" w:type="dxa"/>
            <w:vAlign w:val="center"/>
          </w:tcPr>
          <w:p w14:paraId="6E62D8BE">
            <w:pPr>
              <w:adjustRightInd w:val="0"/>
              <w:snapToGrid w:val="0"/>
              <w:jc w:val="left"/>
              <w:rPr>
                <w:rFonts w:hint="eastAsia" w:ascii="宋体" w:hAnsi="宋体"/>
              </w:rPr>
            </w:pPr>
          </w:p>
        </w:tc>
        <w:tc>
          <w:tcPr>
            <w:tcW w:w="769" w:type="dxa"/>
            <w:vAlign w:val="center"/>
          </w:tcPr>
          <w:p w14:paraId="6121EDB4">
            <w:pPr>
              <w:adjustRightInd w:val="0"/>
              <w:snapToGrid w:val="0"/>
              <w:jc w:val="left"/>
              <w:rPr>
                <w:rFonts w:hint="eastAsia" w:ascii="宋体" w:hAnsi="宋体"/>
              </w:rPr>
            </w:pPr>
          </w:p>
        </w:tc>
        <w:tc>
          <w:tcPr>
            <w:tcW w:w="709" w:type="dxa"/>
            <w:vAlign w:val="center"/>
          </w:tcPr>
          <w:p w14:paraId="6DA8F5D1">
            <w:pPr>
              <w:adjustRightInd w:val="0"/>
              <w:snapToGrid w:val="0"/>
              <w:jc w:val="left"/>
              <w:rPr>
                <w:rFonts w:hint="eastAsia" w:ascii="宋体" w:hAnsi="宋体"/>
              </w:rPr>
            </w:pPr>
          </w:p>
        </w:tc>
        <w:tc>
          <w:tcPr>
            <w:tcW w:w="856" w:type="dxa"/>
            <w:vAlign w:val="center"/>
          </w:tcPr>
          <w:p w14:paraId="05EB548E">
            <w:pPr>
              <w:adjustRightInd w:val="0"/>
              <w:snapToGrid w:val="0"/>
              <w:jc w:val="left"/>
              <w:rPr>
                <w:rFonts w:hint="eastAsia" w:ascii="宋体" w:hAnsi="宋体"/>
              </w:rPr>
            </w:pPr>
          </w:p>
        </w:tc>
        <w:tc>
          <w:tcPr>
            <w:tcW w:w="776" w:type="dxa"/>
            <w:vAlign w:val="center"/>
          </w:tcPr>
          <w:p w14:paraId="3017885B">
            <w:pPr>
              <w:adjustRightInd w:val="0"/>
              <w:snapToGrid w:val="0"/>
              <w:jc w:val="left"/>
              <w:rPr>
                <w:rFonts w:hint="eastAsia" w:ascii="宋体" w:hAnsi="宋体"/>
              </w:rPr>
            </w:pPr>
          </w:p>
        </w:tc>
        <w:tc>
          <w:tcPr>
            <w:tcW w:w="1061" w:type="dxa"/>
            <w:vAlign w:val="center"/>
          </w:tcPr>
          <w:p w14:paraId="11D6CA73">
            <w:pPr>
              <w:adjustRightInd w:val="0"/>
              <w:snapToGrid w:val="0"/>
              <w:jc w:val="left"/>
              <w:rPr>
                <w:rFonts w:hint="eastAsia" w:ascii="宋体" w:hAnsi="宋体"/>
              </w:rPr>
            </w:pPr>
          </w:p>
        </w:tc>
        <w:tc>
          <w:tcPr>
            <w:tcW w:w="937" w:type="dxa"/>
            <w:vAlign w:val="center"/>
          </w:tcPr>
          <w:p w14:paraId="78216AE0">
            <w:pPr>
              <w:adjustRightInd w:val="0"/>
              <w:snapToGrid w:val="0"/>
              <w:jc w:val="left"/>
              <w:rPr>
                <w:rFonts w:hint="eastAsia" w:ascii="宋体" w:hAnsi="宋体"/>
              </w:rPr>
            </w:pPr>
          </w:p>
        </w:tc>
        <w:tc>
          <w:tcPr>
            <w:tcW w:w="776" w:type="dxa"/>
            <w:vAlign w:val="center"/>
          </w:tcPr>
          <w:p w14:paraId="350E100F">
            <w:pPr>
              <w:adjustRightInd w:val="0"/>
              <w:snapToGrid w:val="0"/>
              <w:jc w:val="left"/>
              <w:rPr>
                <w:rFonts w:hint="eastAsia" w:ascii="宋体" w:hAnsi="宋体"/>
              </w:rPr>
            </w:pPr>
          </w:p>
        </w:tc>
        <w:tc>
          <w:tcPr>
            <w:tcW w:w="774" w:type="dxa"/>
            <w:vAlign w:val="center"/>
          </w:tcPr>
          <w:p w14:paraId="778ACC83">
            <w:pPr>
              <w:adjustRightInd w:val="0"/>
              <w:snapToGrid w:val="0"/>
              <w:jc w:val="left"/>
              <w:rPr>
                <w:rFonts w:hint="eastAsia" w:ascii="宋体" w:hAnsi="宋体"/>
              </w:rPr>
            </w:pPr>
          </w:p>
        </w:tc>
      </w:tr>
      <w:tr w14:paraId="641A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56B8841C">
            <w:pPr>
              <w:adjustRightInd w:val="0"/>
              <w:snapToGrid w:val="0"/>
              <w:jc w:val="left"/>
              <w:rPr>
                <w:rFonts w:hint="eastAsia" w:ascii="宋体" w:hAnsi="宋体"/>
              </w:rPr>
            </w:pPr>
            <w:r>
              <w:rPr>
                <w:rFonts w:hint="eastAsia" w:ascii="宋体" w:hAnsi="宋体"/>
              </w:rPr>
              <w:t>　</w:t>
            </w:r>
          </w:p>
        </w:tc>
        <w:tc>
          <w:tcPr>
            <w:tcW w:w="839" w:type="dxa"/>
            <w:vAlign w:val="center"/>
          </w:tcPr>
          <w:p w14:paraId="7FB10BEC">
            <w:pPr>
              <w:adjustRightInd w:val="0"/>
              <w:snapToGrid w:val="0"/>
              <w:jc w:val="left"/>
              <w:rPr>
                <w:rFonts w:hint="eastAsia" w:ascii="宋体" w:hAnsi="宋体"/>
              </w:rPr>
            </w:pPr>
          </w:p>
        </w:tc>
        <w:tc>
          <w:tcPr>
            <w:tcW w:w="769" w:type="dxa"/>
            <w:vAlign w:val="center"/>
          </w:tcPr>
          <w:p w14:paraId="46235033">
            <w:pPr>
              <w:adjustRightInd w:val="0"/>
              <w:snapToGrid w:val="0"/>
              <w:jc w:val="left"/>
              <w:rPr>
                <w:rFonts w:hint="eastAsia" w:ascii="宋体" w:hAnsi="宋体"/>
              </w:rPr>
            </w:pPr>
          </w:p>
        </w:tc>
        <w:tc>
          <w:tcPr>
            <w:tcW w:w="709" w:type="dxa"/>
            <w:vAlign w:val="center"/>
          </w:tcPr>
          <w:p w14:paraId="53C88AEB">
            <w:pPr>
              <w:adjustRightInd w:val="0"/>
              <w:snapToGrid w:val="0"/>
              <w:jc w:val="left"/>
              <w:rPr>
                <w:rFonts w:hint="eastAsia" w:ascii="宋体" w:hAnsi="宋体"/>
              </w:rPr>
            </w:pPr>
          </w:p>
        </w:tc>
        <w:tc>
          <w:tcPr>
            <w:tcW w:w="856" w:type="dxa"/>
            <w:vAlign w:val="center"/>
          </w:tcPr>
          <w:p w14:paraId="4F8643C5">
            <w:pPr>
              <w:adjustRightInd w:val="0"/>
              <w:snapToGrid w:val="0"/>
              <w:jc w:val="left"/>
              <w:rPr>
                <w:rFonts w:hint="eastAsia" w:ascii="宋体" w:hAnsi="宋体"/>
              </w:rPr>
            </w:pPr>
          </w:p>
        </w:tc>
        <w:tc>
          <w:tcPr>
            <w:tcW w:w="776" w:type="dxa"/>
            <w:vAlign w:val="center"/>
          </w:tcPr>
          <w:p w14:paraId="6CE2B3B5">
            <w:pPr>
              <w:adjustRightInd w:val="0"/>
              <w:snapToGrid w:val="0"/>
              <w:jc w:val="left"/>
              <w:rPr>
                <w:rFonts w:hint="eastAsia" w:ascii="宋体" w:hAnsi="宋体"/>
              </w:rPr>
            </w:pPr>
          </w:p>
        </w:tc>
        <w:tc>
          <w:tcPr>
            <w:tcW w:w="1061" w:type="dxa"/>
            <w:vAlign w:val="center"/>
          </w:tcPr>
          <w:p w14:paraId="50150A1C">
            <w:pPr>
              <w:adjustRightInd w:val="0"/>
              <w:snapToGrid w:val="0"/>
              <w:jc w:val="left"/>
              <w:rPr>
                <w:rFonts w:hint="eastAsia" w:ascii="宋体" w:hAnsi="宋体"/>
              </w:rPr>
            </w:pPr>
          </w:p>
        </w:tc>
        <w:tc>
          <w:tcPr>
            <w:tcW w:w="937" w:type="dxa"/>
            <w:vAlign w:val="center"/>
          </w:tcPr>
          <w:p w14:paraId="5231A89E">
            <w:pPr>
              <w:adjustRightInd w:val="0"/>
              <w:snapToGrid w:val="0"/>
              <w:jc w:val="left"/>
              <w:rPr>
                <w:rFonts w:hint="eastAsia" w:ascii="宋体" w:hAnsi="宋体"/>
              </w:rPr>
            </w:pPr>
          </w:p>
        </w:tc>
        <w:tc>
          <w:tcPr>
            <w:tcW w:w="776" w:type="dxa"/>
            <w:vAlign w:val="center"/>
          </w:tcPr>
          <w:p w14:paraId="561E8412">
            <w:pPr>
              <w:adjustRightInd w:val="0"/>
              <w:snapToGrid w:val="0"/>
              <w:jc w:val="left"/>
              <w:rPr>
                <w:rFonts w:hint="eastAsia" w:ascii="宋体" w:hAnsi="宋体"/>
              </w:rPr>
            </w:pPr>
          </w:p>
        </w:tc>
        <w:tc>
          <w:tcPr>
            <w:tcW w:w="774" w:type="dxa"/>
            <w:vAlign w:val="center"/>
          </w:tcPr>
          <w:p w14:paraId="6BBD9C19">
            <w:pPr>
              <w:adjustRightInd w:val="0"/>
              <w:snapToGrid w:val="0"/>
              <w:jc w:val="left"/>
              <w:rPr>
                <w:rFonts w:hint="eastAsia" w:ascii="宋体" w:hAnsi="宋体"/>
              </w:rPr>
            </w:pPr>
          </w:p>
        </w:tc>
      </w:tr>
      <w:tr w14:paraId="5EB7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648A0194">
            <w:pPr>
              <w:adjustRightInd w:val="0"/>
              <w:snapToGrid w:val="0"/>
              <w:jc w:val="left"/>
              <w:rPr>
                <w:rFonts w:hint="eastAsia" w:ascii="宋体" w:hAnsi="宋体"/>
              </w:rPr>
            </w:pPr>
            <w:r>
              <w:rPr>
                <w:rFonts w:hint="eastAsia" w:ascii="宋体" w:hAnsi="宋体"/>
              </w:rPr>
              <w:t>　</w:t>
            </w:r>
          </w:p>
        </w:tc>
        <w:tc>
          <w:tcPr>
            <w:tcW w:w="839" w:type="dxa"/>
            <w:vAlign w:val="center"/>
          </w:tcPr>
          <w:p w14:paraId="1D6B7085">
            <w:pPr>
              <w:adjustRightInd w:val="0"/>
              <w:snapToGrid w:val="0"/>
              <w:jc w:val="left"/>
              <w:rPr>
                <w:rFonts w:hint="eastAsia" w:ascii="宋体" w:hAnsi="宋体"/>
              </w:rPr>
            </w:pPr>
          </w:p>
        </w:tc>
        <w:tc>
          <w:tcPr>
            <w:tcW w:w="769" w:type="dxa"/>
            <w:vAlign w:val="center"/>
          </w:tcPr>
          <w:p w14:paraId="3DC86B6B">
            <w:pPr>
              <w:adjustRightInd w:val="0"/>
              <w:snapToGrid w:val="0"/>
              <w:jc w:val="left"/>
              <w:rPr>
                <w:rFonts w:hint="eastAsia" w:ascii="宋体" w:hAnsi="宋体"/>
              </w:rPr>
            </w:pPr>
          </w:p>
        </w:tc>
        <w:tc>
          <w:tcPr>
            <w:tcW w:w="709" w:type="dxa"/>
            <w:vAlign w:val="center"/>
          </w:tcPr>
          <w:p w14:paraId="4CCDBE30">
            <w:pPr>
              <w:adjustRightInd w:val="0"/>
              <w:snapToGrid w:val="0"/>
              <w:jc w:val="left"/>
              <w:rPr>
                <w:rFonts w:hint="eastAsia" w:ascii="宋体" w:hAnsi="宋体"/>
              </w:rPr>
            </w:pPr>
          </w:p>
        </w:tc>
        <w:tc>
          <w:tcPr>
            <w:tcW w:w="856" w:type="dxa"/>
            <w:vAlign w:val="center"/>
          </w:tcPr>
          <w:p w14:paraId="0C061ADF">
            <w:pPr>
              <w:adjustRightInd w:val="0"/>
              <w:snapToGrid w:val="0"/>
              <w:jc w:val="left"/>
              <w:rPr>
                <w:rFonts w:hint="eastAsia" w:ascii="宋体" w:hAnsi="宋体"/>
              </w:rPr>
            </w:pPr>
          </w:p>
        </w:tc>
        <w:tc>
          <w:tcPr>
            <w:tcW w:w="776" w:type="dxa"/>
            <w:vAlign w:val="center"/>
          </w:tcPr>
          <w:p w14:paraId="614191E9">
            <w:pPr>
              <w:adjustRightInd w:val="0"/>
              <w:snapToGrid w:val="0"/>
              <w:jc w:val="left"/>
              <w:rPr>
                <w:rFonts w:hint="eastAsia" w:ascii="宋体" w:hAnsi="宋体"/>
              </w:rPr>
            </w:pPr>
          </w:p>
        </w:tc>
        <w:tc>
          <w:tcPr>
            <w:tcW w:w="1061" w:type="dxa"/>
            <w:vAlign w:val="center"/>
          </w:tcPr>
          <w:p w14:paraId="2B877AA0">
            <w:pPr>
              <w:adjustRightInd w:val="0"/>
              <w:snapToGrid w:val="0"/>
              <w:jc w:val="left"/>
              <w:rPr>
                <w:rFonts w:hint="eastAsia" w:ascii="宋体" w:hAnsi="宋体"/>
              </w:rPr>
            </w:pPr>
          </w:p>
        </w:tc>
        <w:tc>
          <w:tcPr>
            <w:tcW w:w="937" w:type="dxa"/>
            <w:vAlign w:val="center"/>
          </w:tcPr>
          <w:p w14:paraId="077823F2">
            <w:pPr>
              <w:adjustRightInd w:val="0"/>
              <w:snapToGrid w:val="0"/>
              <w:jc w:val="left"/>
              <w:rPr>
                <w:rFonts w:hint="eastAsia" w:ascii="宋体" w:hAnsi="宋体"/>
              </w:rPr>
            </w:pPr>
          </w:p>
        </w:tc>
        <w:tc>
          <w:tcPr>
            <w:tcW w:w="776" w:type="dxa"/>
            <w:vAlign w:val="center"/>
          </w:tcPr>
          <w:p w14:paraId="2707A9E5">
            <w:pPr>
              <w:adjustRightInd w:val="0"/>
              <w:snapToGrid w:val="0"/>
              <w:jc w:val="left"/>
              <w:rPr>
                <w:rFonts w:hint="eastAsia" w:ascii="宋体" w:hAnsi="宋体"/>
              </w:rPr>
            </w:pPr>
          </w:p>
        </w:tc>
        <w:tc>
          <w:tcPr>
            <w:tcW w:w="774" w:type="dxa"/>
            <w:vAlign w:val="center"/>
          </w:tcPr>
          <w:p w14:paraId="6C0D8BC2">
            <w:pPr>
              <w:adjustRightInd w:val="0"/>
              <w:snapToGrid w:val="0"/>
              <w:jc w:val="left"/>
              <w:rPr>
                <w:rFonts w:hint="eastAsia" w:ascii="宋体" w:hAnsi="宋体"/>
              </w:rPr>
            </w:pPr>
          </w:p>
        </w:tc>
      </w:tr>
      <w:tr w14:paraId="4675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vAlign w:val="center"/>
          </w:tcPr>
          <w:p w14:paraId="401AF776">
            <w:pPr>
              <w:adjustRightInd w:val="0"/>
              <w:snapToGrid w:val="0"/>
              <w:jc w:val="left"/>
              <w:rPr>
                <w:rFonts w:hint="eastAsia" w:ascii="宋体" w:hAnsi="宋体"/>
              </w:rPr>
            </w:pPr>
            <w:r>
              <w:rPr>
                <w:rFonts w:hint="eastAsia" w:ascii="宋体" w:hAnsi="宋体"/>
              </w:rPr>
              <w:t>　</w:t>
            </w:r>
          </w:p>
        </w:tc>
        <w:tc>
          <w:tcPr>
            <w:tcW w:w="839" w:type="dxa"/>
            <w:vAlign w:val="center"/>
          </w:tcPr>
          <w:p w14:paraId="65945011">
            <w:pPr>
              <w:adjustRightInd w:val="0"/>
              <w:snapToGrid w:val="0"/>
              <w:jc w:val="left"/>
              <w:rPr>
                <w:rFonts w:hint="eastAsia" w:ascii="宋体" w:hAnsi="宋体"/>
              </w:rPr>
            </w:pPr>
          </w:p>
        </w:tc>
        <w:tc>
          <w:tcPr>
            <w:tcW w:w="769" w:type="dxa"/>
            <w:vAlign w:val="center"/>
          </w:tcPr>
          <w:p w14:paraId="05D09317">
            <w:pPr>
              <w:adjustRightInd w:val="0"/>
              <w:snapToGrid w:val="0"/>
              <w:jc w:val="left"/>
              <w:rPr>
                <w:rFonts w:hint="eastAsia" w:ascii="宋体" w:hAnsi="宋体"/>
              </w:rPr>
            </w:pPr>
          </w:p>
        </w:tc>
        <w:tc>
          <w:tcPr>
            <w:tcW w:w="709" w:type="dxa"/>
            <w:vAlign w:val="center"/>
          </w:tcPr>
          <w:p w14:paraId="2DA796F3">
            <w:pPr>
              <w:adjustRightInd w:val="0"/>
              <w:snapToGrid w:val="0"/>
              <w:jc w:val="left"/>
              <w:rPr>
                <w:rFonts w:hint="eastAsia" w:ascii="宋体" w:hAnsi="宋体"/>
              </w:rPr>
            </w:pPr>
          </w:p>
        </w:tc>
        <w:tc>
          <w:tcPr>
            <w:tcW w:w="856" w:type="dxa"/>
            <w:vAlign w:val="center"/>
          </w:tcPr>
          <w:p w14:paraId="1156A798">
            <w:pPr>
              <w:adjustRightInd w:val="0"/>
              <w:snapToGrid w:val="0"/>
              <w:jc w:val="left"/>
              <w:rPr>
                <w:rFonts w:hint="eastAsia" w:ascii="宋体" w:hAnsi="宋体"/>
              </w:rPr>
            </w:pPr>
          </w:p>
        </w:tc>
        <w:tc>
          <w:tcPr>
            <w:tcW w:w="776" w:type="dxa"/>
            <w:vAlign w:val="center"/>
          </w:tcPr>
          <w:p w14:paraId="4468385A">
            <w:pPr>
              <w:adjustRightInd w:val="0"/>
              <w:snapToGrid w:val="0"/>
              <w:jc w:val="left"/>
              <w:rPr>
                <w:rFonts w:hint="eastAsia" w:ascii="宋体" w:hAnsi="宋体"/>
              </w:rPr>
            </w:pPr>
          </w:p>
        </w:tc>
        <w:tc>
          <w:tcPr>
            <w:tcW w:w="1061" w:type="dxa"/>
            <w:vAlign w:val="center"/>
          </w:tcPr>
          <w:p w14:paraId="6D46AF22">
            <w:pPr>
              <w:adjustRightInd w:val="0"/>
              <w:snapToGrid w:val="0"/>
              <w:jc w:val="left"/>
              <w:rPr>
                <w:rFonts w:hint="eastAsia" w:ascii="宋体" w:hAnsi="宋体"/>
              </w:rPr>
            </w:pPr>
          </w:p>
        </w:tc>
        <w:tc>
          <w:tcPr>
            <w:tcW w:w="937" w:type="dxa"/>
            <w:vAlign w:val="center"/>
          </w:tcPr>
          <w:p w14:paraId="4BB98E68">
            <w:pPr>
              <w:adjustRightInd w:val="0"/>
              <w:snapToGrid w:val="0"/>
              <w:jc w:val="left"/>
              <w:rPr>
                <w:rFonts w:hint="eastAsia" w:ascii="宋体" w:hAnsi="宋体"/>
              </w:rPr>
            </w:pPr>
          </w:p>
        </w:tc>
        <w:tc>
          <w:tcPr>
            <w:tcW w:w="776" w:type="dxa"/>
            <w:vAlign w:val="center"/>
          </w:tcPr>
          <w:p w14:paraId="28990AB8">
            <w:pPr>
              <w:adjustRightInd w:val="0"/>
              <w:snapToGrid w:val="0"/>
              <w:jc w:val="left"/>
              <w:rPr>
                <w:rFonts w:hint="eastAsia" w:ascii="宋体" w:hAnsi="宋体"/>
              </w:rPr>
            </w:pPr>
          </w:p>
        </w:tc>
        <w:tc>
          <w:tcPr>
            <w:tcW w:w="774" w:type="dxa"/>
            <w:vAlign w:val="center"/>
          </w:tcPr>
          <w:p w14:paraId="123CEDA4">
            <w:pPr>
              <w:adjustRightInd w:val="0"/>
              <w:snapToGrid w:val="0"/>
              <w:jc w:val="left"/>
              <w:rPr>
                <w:rFonts w:hint="eastAsia" w:ascii="宋体" w:hAnsi="宋体"/>
              </w:rPr>
            </w:pPr>
          </w:p>
        </w:tc>
      </w:tr>
    </w:tbl>
    <w:p w14:paraId="36F2B395">
      <w:pPr>
        <w:snapToGrid w:val="0"/>
        <w:ind w:firstLine="562"/>
        <w:jc w:val="left"/>
        <w:rPr>
          <w:b/>
          <w:bCs/>
          <w:sz w:val="28"/>
          <w:szCs w:val="28"/>
          <w:u w:color="000000" w:themeColor="text1"/>
        </w:rPr>
      </w:pPr>
      <w:r>
        <w:rPr>
          <w:b/>
          <w:bCs/>
          <w:sz w:val="28"/>
          <w:szCs w:val="28"/>
          <w:u w:color="000000" w:themeColor="text1"/>
        </w:rPr>
        <w:br w:type="page"/>
      </w:r>
    </w:p>
    <w:p w14:paraId="126B559C">
      <w:pPr>
        <w:snapToGrid w:val="0"/>
        <w:ind w:firstLine="562"/>
        <w:jc w:val="left"/>
        <w:rPr>
          <w:b/>
          <w:bCs/>
          <w:sz w:val="28"/>
          <w:szCs w:val="28"/>
          <w:u w:color="000000" w:themeColor="text1"/>
        </w:rPr>
      </w:pPr>
      <w:r>
        <w:rPr>
          <w:rFonts w:hint="eastAsia"/>
          <w:b/>
          <w:bCs/>
          <w:sz w:val="28"/>
          <w:szCs w:val="28"/>
          <w:u w:color="000000" w:themeColor="text1"/>
        </w:rPr>
        <w:t>附件三:</w:t>
      </w:r>
    </w:p>
    <w:p w14:paraId="486C8ED0">
      <w:pPr>
        <w:snapToGrid w:val="0"/>
        <w:ind w:firstLine="562"/>
        <w:jc w:val="center"/>
        <w:rPr>
          <w:b/>
          <w:bCs/>
          <w:sz w:val="28"/>
          <w:szCs w:val="28"/>
          <w:u w:color="000000" w:themeColor="text1"/>
        </w:rPr>
      </w:pPr>
      <w:r>
        <w:rPr>
          <w:rFonts w:hint="eastAsia"/>
          <w:b/>
          <w:bCs/>
          <w:sz w:val="28"/>
          <w:szCs w:val="28"/>
          <w:u w:color="000000" w:themeColor="text1"/>
        </w:rPr>
        <w:t>房屋建筑工程质量保修书</w:t>
      </w:r>
    </w:p>
    <w:p w14:paraId="7934415D">
      <w:pPr>
        <w:snapToGrid w:val="0"/>
        <w:rPr>
          <w:u w:color="000000" w:themeColor="text1"/>
        </w:rPr>
      </w:pPr>
    </w:p>
    <w:p w14:paraId="6354F7D8">
      <w:pPr>
        <w:snapToGrid w:val="0"/>
        <w:spacing w:line="360" w:lineRule="auto"/>
        <w:rPr>
          <w:rFonts w:hint="eastAsia" w:cs="宋体" w:asciiTheme="minorEastAsia" w:hAnsiTheme="minorEastAsia"/>
          <w:szCs w:val="21"/>
          <w:u w:val="single" w:color="000000" w:themeColor="text1"/>
        </w:rPr>
      </w:pPr>
      <w:r>
        <w:rPr>
          <w:rFonts w:hint="eastAsia" w:cs="宋体" w:asciiTheme="minorEastAsia" w:hAnsiTheme="minorEastAsia"/>
          <w:szCs w:val="21"/>
          <w:u w:color="000000" w:themeColor="text1"/>
        </w:rPr>
        <w:t>发包人：</w:t>
      </w:r>
      <w:r>
        <w:rPr>
          <w:rFonts w:hint="eastAsia"/>
          <w:u w:val="single" w:color="000000" w:themeColor="text1"/>
          <w:lang w:bidi="zh-TW"/>
        </w:rPr>
        <w:t>北京市丰台区职业教育中心学校</w:t>
      </w:r>
    </w:p>
    <w:p w14:paraId="3A28058B">
      <w:pPr>
        <w:snapToGrid w:val="0"/>
        <w:spacing w:line="360" w:lineRule="auto"/>
        <w:rPr>
          <w:rFonts w:hint="eastAsia" w:cs="宋体" w:asciiTheme="minorEastAsia" w:hAnsiTheme="minorEastAsia"/>
          <w:szCs w:val="21"/>
          <w:u w:color="000000" w:themeColor="text1"/>
        </w:rPr>
      </w:pPr>
      <w:r>
        <w:rPr>
          <w:rFonts w:hint="eastAsia" w:cs="宋体" w:asciiTheme="minorEastAsia" w:hAnsiTheme="minorEastAsia"/>
          <w:szCs w:val="21"/>
          <w:u w:color="000000" w:themeColor="text1"/>
        </w:rPr>
        <w:t>承包人：</w:t>
      </w:r>
      <w:r>
        <w:rPr>
          <w:rFonts w:hint="eastAsia" w:ascii="宋体" w:hAnsi="宋体"/>
          <w:szCs w:val="21"/>
          <w:u w:val="single" w:color="000000" w:themeColor="text1"/>
        </w:rPr>
        <w:t xml:space="preserve">              </w:t>
      </w:r>
    </w:p>
    <w:p w14:paraId="23EE57F8">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发包人、承包人根据《中华人民共和国建筑法》、《建设工程质量管理条例》和《房屋建筑工程质量保修办法》，经协商一致，对</w:t>
      </w:r>
      <w:r>
        <w:rPr>
          <w:rFonts w:hint="eastAsia" w:cs="Arial"/>
          <w:szCs w:val="21"/>
          <w:u w:val="single" w:color="000000" w:themeColor="text1"/>
        </w:rPr>
        <w:t>额度外—2026年丰台区职业教育中心学校芳群园校区四楼改造其他建筑工程采购项目</w:t>
      </w:r>
      <w:r>
        <w:rPr>
          <w:rFonts w:hint="eastAsia" w:asciiTheme="minorEastAsia" w:hAnsiTheme="minorEastAsia"/>
          <w:szCs w:val="21"/>
          <w:u w:color="000000" w:themeColor="text1"/>
        </w:rPr>
        <w:t>（工程名称）签订保修书。</w:t>
      </w:r>
    </w:p>
    <w:p w14:paraId="121F736A">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一、工程保修范围和内容</w:t>
      </w:r>
    </w:p>
    <w:p w14:paraId="4C282976">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承包人在保修期内，按照有关法律、法规、规章的管理规定和双方约定，承担本工程保修责任。</w:t>
      </w:r>
    </w:p>
    <w:p w14:paraId="6239D101">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保修责任范围</w:t>
      </w:r>
      <w:r>
        <w:rPr>
          <w:rFonts w:hint="eastAsia" w:ascii="宋体" w:hAnsi="宋体"/>
          <w:u w:val="single"/>
        </w:rPr>
        <w:t xml:space="preserve"> 完成额度外—2026年丰台区职业教育中心学校芳群园校区四楼改造其他建筑工程采购项目所需全部内容，包括拆除工程、装饰装修工程、电气工程、土建及配套工程等内容 ，</w:t>
      </w:r>
      <w:r>
        <w:rPr>
          <w:rFonts w:hint="eastAsia" w:asciiTheme="minorEastAsia" w:hAnsiTheme="minorEastAsia"/>
          <w:szCs w:val="21"/>
          <w:u w:color="000000" w:themeColor="text1"/>
        </w:rPr>
        <w:t>以及双方约定的其他项目。具体保修的内容，双方约定如下：</w:t>
      </w:r>
    </w:p>
    <w:p w14:paraId="4671BC1A">
      <w:pPr>
        <w:snapToGrid w:val="0"/>
        <w:spacing w:line="360" w:lineRule="auto"/>
        <w:rPr>
          <w:rFonts w:hint="eastAsia" w:asciiTheme="minorEastAsia" w:hAnsiTheme="minorEastAsia"/>
          <w:szCs w:val="21"/>
          <w:u w:val="single" w:color="000000" w:themeColor="text1"/>
        </w:rPr>
      </w:pPr>
      <w:r>
        <w:rPr>
          <w:rFonts w:hint="eastAsia" w:asciiTheme="minorEastAsia" w:hAnsiTheme="minorEastAsia"/>
          <w:szCs w:val="21"/>
          <w:u w:val="single" w:color="000000" w:themeColor="text1"/>
        </w:rPr>
        <w:t>承包人与发包人签署的合同约定承包范围内的工程均在工程保修范围内。</w:t>
      </w:r>
    </w:p>
    <w:p w14:paraId="46CA233E">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二、保修期</w:t>
      </w:r>
    </w:p>
    <w:p w14:paraId="4D77AE13">
      <w:pPr>
        <w:snapToGrid w:val="0"/>
        <w:spacing w:line="360" w:lineRule="auto"/>
        <w:rPr>
          <w:rFonts w:ascii="宋体"/>
          <w:u w:color="000000" w:themeColor="text1"/>
        </w:rPr>
      </w:pPr>
      <w:r>
        <w:rPr>
          <w:rFonts w:hint="eastAsia" w:ascii="宋体" w:hAnsi="宋体"/>
          <w:u w:color="000000" w:themeColor="text1"/>
        </w:rPr>
        <w:t>双方根据《建设工程质量管理条例》及有关规定，约定本工程的保修期如下：</w:t>
      </w:r>
    </w:p>
    <w:p w14:paraId="636C1CF2">
      <w:pPr>
        <w:snapToGrid w:val="0"/>
        <w:spacing w:line="360" w:lineRule="auto"/>
        <w:rPr>
          <w:rFonts w:ascii="宋体"/>
          <w:u w:color="000000" w:themeColor="text1"/>
        </w:rPr>
      </w:pPr>
      <w:r>
        <w:rPr>
          <w:rFonts w:hint="eastAsia" w:ascii="宋体" w:hAnsi="宋体"/>
          <w:u w:color="000000" w:themeColor="text1"/>
        </w:rPr>
        <w:t>地基基础工程和主体结构工程为设计文件规定的该工程合理使用年限；</w:t>
      </w:r>
    </w:p>
    <w:p w14:paraId="4AB22F2A">
      <w:pPr>
        <w:snapToGrid w:val="0"/>
        <w:spacing w:line="360" w:lineRule="auto"/>
        <w:rPr>
          <w:rFonts w:ascii="宋体"/>
          <w:u w:color="000000" w:themeColor="text1"/>
        </w:rPr>
      </w:pPr>
      <w:r>
        <w:rPr>
          <w:rFonts w:hint="eastAsia" w:ascii="宋体" w:hAnsi="宋体"/>
          <w:u w:color="000000" w:themeColor="text1"/>
        </w:rPr>
        <w:t>屋面防水工程、有防水要求的卫生间、房间和外墙面的防渗漏为</w:t>
      </w:r>
      <w:r>
        <w:rPr>
          <w:rFonts w:hint="eastAsia" w:ascii="宋体" w:hAnsi="宋体"/>
          <w:u w:val="single" w:color="000000" w:themeColor="text1"/>
        </w:rPr>
        <w:t>5</w:t>
      </w:r>
      <w:r>
        <w:rPr>
          <w:rFonts w:hint="eastAsia" w:ascii="宋体" w:hAnsi="宋体"/>
          <w:u w:color="000000" w:themeColor="text1"/>
        </w:rPr>
        <w:t>年；</w:t>
      </w:r>
    </w:p>
    <w:p w14:paraId="7A50C36D">
      <w:pPr>
        <w:snapToGrid w:val="0"/>
        <w:spacing w:line="360" w:lineRule="auto"/>
        <w:rPr>
          <w:rFonts w:ascii="宋体"/>
          <w:u w:color="000000" w:themeColor="text1"/>
        </w:rPr>
      </w:pPr>
      <w:r>
        <w:rPr>
          <w:rFonts w:hint="eastAsia" w:ascii="宋体" w:hAnsi="宋体"/>
          <w:u w:color="000000" w:themeColor="text1"/>
        </w:rPr>
        <w:t>外窗工程为</w:t>
      </w:r>
      <w:r>
        <w:rPr>
          <w:rFonts w:ascii="宋体" w:hAnsi="宋体"/>
          <w:u w:val="single" w:color="000000" w:themeColor="text1"/>
        </w:rPr>
        <w:t xml:space="preserve"> </w:t>
      </w:r>
      <w:r>
        <w:rPr>
          <w:rFonts w:hint="eastAsia" w:ascii="宋体" w:hAnsi="宋体"/>
          <w:u w:val="single" w:color="000000" w:themeColor="text1"/>
        </w:rPr>
        <w:t>2</w:t>
      </w:r>
      <w:r>
        <w:rPr>
          <w:rFonts w:ascii="宋体" w:hAnsi="宋体"/>
          <w:u w:val="single" w:color="000000" w:themeColor="text1"/>
        </w:rPr>
        <w:t xml:space="preserve"> </w:t>
      </w:r>
      <w:r>
        <w:rPr>
          <w:rFonts w:hint="eastAsia" w:ascii="宋体" w:hAnsi="宋体"/>
          <w:u w:color="000000" w:themeColor="text1"/>
        </w:rPr>
        <w:t>年，外窗防渗漏为</w:t>
      </w:r>
      <w:r>
        <w:rPr>
          <w:rFonts w:ascii="宋体" w:hAnsi="宋体"/>
          <w:u w:val="single" w:color="000000" w:themeColor="text1"/>
        </w:rPr>
        <w:t xml:space="preserve"> </w:t>
      </w:r>
      <w:r>
        <w:rPr>
          <w:rFonts w:hint="eastAsia" w:ascii="宋体" w:hAnsi="宋体"/>
          <w:u w:val="single" w:color="000000" w:themeColor="text1"/>
        </w:rPr>
        <w:t>5</w:t>
      </w:r>
      <w:r>
        <w:rPr>
          <w:rFonts w:ascii="宋体" w:hAnsi="宋体"/>
          <w:u w:val="single" w:color="000000" w:themeColor="text1"/>
        </w:rPr>
        <w:t xml:space="preserve">  </w:t>
      </w:r>
      <w:r>
        <w:rPr>
          <w:rFonts w:hint="eastAsia" w:ascii="宋体" w:hAnsi="宋体"/>
          <w:u w:color="000000" w:themeColor="text1"/>
        </w:rPr>
        <w:t>年；</w:t>
      </w:r>
    </w:p>
    <w:p w14:paraId="7A62F932">
      <w:pPr>
        <w:snapToGrid w:val="0"/>
        <w:spacing w:line="360" w:lineRule="auto"/>
        <w:rPr>
          <w:rFonts w:ascii="宋体"/>
          <w:u w:color="000000" w:themeColor="text1"/>
        </w:rPr>
      </w:pPr>
      <w:r>
        <w:rPr>
          <w:rFonts w:hint="eastAsia" w:ascii="宋体" w:hAnsi="宋体"/>
          <w:u w:color="000000" w:themeColor="text1"/>
        </w:rPr>
        <w:t>装修工程为</w:t>
      </w:r>
      <w:r>
        <w:rPr>
          <w:rFonts w:ascii="宋体" w:hAnsi="宋体"/>
          <w:u w:val="single" w:color="000000" w:themeColor="text1"/>
        </w:rPr>
        <w:t xml:space="preserve"> </w:t>
      </w:r>
      <w:r>
        <w:rPr>
          <w:rFonts w:hint="eastAsia" w:ascii="宋体" w:hAnsi="宋体"/>
          <w:u w:val="single" w:color="000000" w:themeColor="text1"/>
        </w:rPr>
        <w:t xml:space="preserve"> 2</w:t>
      </w:r>
      <w:r>
        <w:rPr>
          <w:rFonts w:ascii="宋体" w:hAnsi="宋体"/>
          <w:u w:val="single" w:color="000000" w:themeColor="text1"/>
        </w:rPr>
        <w:t xml:space="preserve">  </w:t>
      </w:r>
      <w:r>
        <w:rPr>
          <w:rFonts w:hint="eastAsia" w:ascii="宋体" w:hAnsi="宋体"/>
          <w:u w:color="000000" w:themeColor="text1"/>
        </w:rPr>
        <w:t>年；</w:t>
      </w:r>
    </w:p>
    <w:p w14:paraId="07179695">
      <w:pPr>
        <w:snapToGrid w:val="0"/>
        <w:spacing w:line="360" w:lineRule="auto"/>
        <w:rPr>
          <w:rFonts w:ascii="宋体"/>
          <w:u w:color="000000" w:themeColor="text1"/>
        </w:rPr>
      </w:pPr>
      <w:r>
        <w:rPr>
          <w:rFonts w:hint="eastAsia" w:ascii="宋体" w:hAnsi="宋体"/>
          <w:u w:color="000000" w:themeColor="text1"/>
        </w:rPr>
        <w:t>电气管线、给排水管道、设备安装工程为</w:t>
      </w:r>
      <w:r>
        <w:rPr>
          <w:rFonts w:ascii="宋体" w:hAnsi="宋体"/>
          <w:u w:val="single" w:color="000000" w:themeColor="text1"/>
        </w:rPr>
        <w:t xml:space="preserve"> </w:t>
      </w:r>
      <w:r>
        <w:rPr>
          <w:rFonts w:hint="eastAsia" w:ascii="宋体" w:hAnsi="宋体"/>
          <w:u w:val="single" w:color="000000" w:themeColor="text1"/>
        </w:rPr>
        <w:t>2</w:t>
      </w:r>
      <w:r>
        <w:rPr>
          <w:rFonts w:ascii="宋体" w:hAnsi="宋体"/>
          <w:u w:val="single" w:color="000000" w:themeColor="text1"/>
        </w:rPr>
        <w:t xml:space="preserve"> </w:t>
      </w:r>
      <w:r>
        <w:rPr>
          <w:rFonts w:hint="eastAsia" w:ascii="宋体" w:hAnsi="宋体"/>
          <w:u w:color="000000" w:themeColor="text1"/>
        </w:rPr>
        <w:t>年；</w:t>
      </w:r>
    </w:p>
    <w:p w14:paraId="22EA0FCF">
      <w:pPr>
        <w:snapToGrid w:val="0"/>
        <w:spacing w:line="360" w:lineRule="auto"/>
        <w:rPr>
          <w:rFonts w:ascii="宋体"/>
          <w:u w:color="000000" w:themeColor="text1"/>
        </w:rPr>
      </w:pPr>
      <w:r>
        <w:rPr>
          <w:rFonts w:hint="eastAsia" w:ascii="宋体" w:hAnsi="宋体"/>
          <w:u w:color="000000" w:themeColor="text1"/>
        </w:rPr>
        <w:t>供热与供冷系统为</w:t>
      </w:r>
      <w:r>
        <w:rPr>
          <w:rFonts w:hint="eastAsia" w:ascii="宋体" w:hAnsi="宋体"/>
          <w:u w:val="single" w:color="000000" w:themeColor="text1"/>
        </w:rPr>
        <w:t xml:space="preserve"> 2</w:t>
      </w:r>
      <w:r>
        <w:rPr>
          <w:rFonts w:hint="eastAsia" w:ascii="宋体" w:hAnsi="宋体"/>
          <w:u w:color="000000" w:themeColor="text1"/>
        </w:rPr>
        <w:t>个采暖期、供冷期；</w:t>
      </w:r>
    </w:p>
    <w:p w14:paraId="103EE111">
      <w:pPr>
        <w:snapToGrid w:val="0"/>
        <w:spacing w:line="360" w:lineRule="auto"/>
        <w:rPr>
          <w:rFonts w:ascii="宋体"/>
          <w:u w:color="000000" w:themeColor="text1"/>
        </w:rPr>
      </w:pPr>
      <w:r>
        <w:rPr>
          <w:rFonts w:hint="eastAsia" w:ascii="宋体" w:hAnsi="宋体"/>
          <w:u w:color="000000" w:themeColor="text1"/>
        </w:rPr>
        <w:t>住宅小区内的给排水设施、道路等配套工程为</w:t>
      </w:r>
      <w:r>
        <w:rPr>
          <w:rFonts w:ascii="宋体" w:hAnsi="宋体"/>
          <w:u w:val="single" w:color="000000" w:themeColor="text1"/>
        </w:rPr>
        <w:t xml:space="preserve"> </w:t>
      </w:r>
      <w:r>
        <w:rPr>
          <w:rFonts w:hint="eastAsia" w:ascii="宋体" w:hAnsi="宋体"/>
          <w:u w:val="single" w:color="000000" w:themeColor="text1"/>
        </w:rPr>
        <w:t>2</w:t>
      </w:r>
      <w:r>
        <w:rPr>
          <w:rFonts w:ascii="宋体" w:hAnsi="宋体"/>
          <w:u w:val="single" w:color="000000" w:themeColor="text1"/>
        </w:rPr>
        <w:t xml:space="preserve">  </w:t>
      </w:r>
      <w:r>
        <w:rPr>
          <w:rFonts w:hint="eastAsia" w:ascii="宋体" w:hAnsi="宋体"/>
          <w:u w:color="000000" w:themeColor="text1"/>
        </w:rPr>
        <w:t>年；</w:t>
      </w:r>
    </w:p>
    <w:p w14:paraId="24688EF4">
      <w:pPr>
        <w:snapToGrid w:val="0"/>
        <w:spacing w:line="360" w:lineRule="auto"/>
        <w:rPr>
          <w:rFonts w:ascii="宋体"/>
          <w:u w:color="000000" w:themeColor="text1"/>
        </w:rPr>
      </w:pPr>
      <w:r>
        <w:rPr>
          <w:rFonts w:hint="eastAsia" w:ascii="宋体" w:hAnsi="宋体"/>
          <w:u w:color="000000" w:themeColor="text1"/>
        </w:rPr>
        <w:t>其他项目保修期限约定如下：</w:t>
      </w:r>
      <w:r>
        <w:rPr>
          <w:rFonts w:ascii="宋体" w:hAnsi="宋体"/>
          <w:u w:val="single" w:color="000000" w:themeColor="text1"/>
        </w:rPr>
        <w:t xml:space="preserve">       </w:t>
      </w:r>
      <w:r>
        <w:rPr>
          <w:rFonts w:hint="eastAsia" w:ascii="宋体" w:hAnsi="宋体"/>
          <w:u w:val="single" w:color="000000" w:themeColor="text1"/>
        </w:rPr>
        <w:t>/</w:t>
      </w:r>
      <w:r>
        <w:rPr>
          <w:rFonts w:ascii="宋体" w:hAnsi="宋体"/>
          <w:u w:val="single" w:color="000000" w:themeColor="text1"/>
        </w:rPr>
        <w:t xml:space="preserve">   </w:t>
      </w:r>
      <w:r>
        <w:rPr>
          <w:rFonts w:hint="eastAsia" w:ascii="宋体" w:hAnsi="宋体"/>
          <w:u w:val="single" w:color="000000" w:themeColor="text1"/>
        </w:rPr>
        <w:t xml:space="preserve"> </w:t>
      </w:r>
      <w:r>
        <w:rPr>
          <w:rFonts w:ascii="宋体" w:hAnsi="宋体"/>
          <w:u w:val="single" w:color="000000" w:themeColor="text1"/>
        </w:rPr>
        <w:t xml:space="preserve">       </w:t>
      </w:r>
      <w:r>
        <w:rPr>
          <w:rFonts w:hint="eastAsia" w:ascii="宋体" w:hAnsi="宋体"/>
          <w:u w:val="single" w:color="000000" w:themeColor="text1"/>
        </w:rPr>
        <w:t>。</w:t>
      </w:r>
    </w:p>
    <w:p w14:paraId="65F27C10">
      <w:pPr>
        <w:tabs>
          <w:tab w:val="center" w:pos="4366"/>
        </w:tabs>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三、保修责任</w:t>
      </w:r>
      <w:r>
        <w:rPr>
          <w:rFonts w:asciiTheme="minorEastAsia" w:hAnsiTheme="minorEastAsia"/>
          <w:szCs w:val="21"/>
          <w:u w:color="000000" w:themeColor="text1"/>
        </w:rPr>
        <w:tab/>
      </w:r>
    </w:p>
    <w:p w14:paraId="1AB4217F">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1、属于责任范围、内容的项目，承包人应当在接到保修通知之日起7天内派人保修。 承包人不在约 定期限内派人保修的，发包人可以委托他人修理。</w:t>
      </w:r>
    </w:p>
    <w:p w14:paraId="52E350B8">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2、发生紧急抢修事故的，承包人在接到事故通知后，应当立即到达事故现场抢修。</w:t>
      </w:r>
    </w:p>
    <w:p w14:paraId="312BA342">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3、对于涉及结构安全的质量问题，应当按照《房屋建筑工程质量保修办法》的规定，立即向当地建 设行政主管部门报告，采取安全防范措施；由原设计人或者具有相应资质等级的设计人提出保修方案，承包人实施保修。</w:t>
      </w:r>
    </w:p>
    <w:p w14:paraId="43F8EEC5">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4、质量保修完成后，由发包人组织验收。</w:t>
      </w:r>
    </w:p>
    <w:p w14:paraId="13790AF6">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四、保修费用</w:t>
      </w:r>
    </w:p>
    <w:p w14:paraId="1837528A">
      <w:pPr>
        <w:snapToGrid w:val="0"/>
        <w:spacing w:line="360" w:lineRule="auto"/>
        <w:rPr>
          <w:rFonts w:hint="eastAsia" w:asciiTheme="minorEastAsia" w:hAnsiTheme="minorEastAsia"/>
          <w:szCs w:val="21"/>
          <w:u w:val="single" w:color="000000" w:themeColor="text1"/>
        </w:rPr>
      </w:pPr>
      <w:r>
        <w:rPr>
          <w:rFonts w:hint="eastAsia" w:asciiTheme="minorEastAsia" w:hAnsiTheme="minorEastAsia"/>
          <w:szCs w:val="21"/>
          <w:u w:color="000000" w:themeColor="text1"/>
        </w:rPr>
        <w:t>保修费用由造成质量缺陷的责任方承担。</w:t>
      </w:r>
    </w:p>
    <w:p w14:paraId="5EED0F4E">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五、其</w:t>
      </w:r>
      <w:r>
        <w:rPr>
          <w:rFonts w:asciiTheme="minorEastAsia" w:hAnsiTheme="minorEastAsia"/>
          <w:szCs w:val="21"/>
          <w:u w:color="000000" w:themeColor="text1"/>
        </w:rPr>
        <w:t xml:space="preserve"> </w:t>
      </w:r>
      <w:r>
        <w:rPr>
          <w:rFonts w:hint="eastAsia" w:asciiTheme="minorEastAsia" w:hAnsiTheme="minorEastAsia"/>
          <w:szCs w:val="21"/>
          <w:u w:color="000000" w:themeColor="text1"/>
        </w:rPr>
        <w:t>他</w:t>
      </w:r>
    </w:p>
    <w:p w14:paraId="7F27255F">
      <w:pPr>
        <w:snapToGrid w:val="0"/>
        <w:spacing w:line="360" w:lineRule="auto"/>
        <w:rPr>
          <w:rFonts w:hint="eastAsia" w:asciiTheme="minorEastAsia" w:hAnsiTheme="minorEastAsia"/>
          <w:szCs w:val="21"/>
          <w:u w:val="single" w:color="000000" w:themeColor="text1"/>
        </w:rPr>
      </w:pPr>
      <w:r>
        <w:rPr>
          <w:rFonts w:hint="eastAsia" w:asciiTheme="minorEastAsia" w:hAnsiTheme="minorEastAsia"/>
          <w:szCs w:val="21"/>
          <w:u w:color="000000" w:themeColor="text1"/>
        </w:rPr>
        <w:t>双方约定的其他工程保修责任事项：</w:t>
      </w:r>
      <w:r>
        <w:rPr>
          <w:rFonts w:asciiTheme="minorEastAsia" w:hAnsiTheme="minorEastAsia"/>
          <w:szCs w:val="21"/>
          <w:u w:val="single" w:color="000000" w:themeColor="text1"/>
        </w:rPr>
        <w:t xml:space="preserve">  /</w:t>
      </w:r>
      <w:r>
        <w:rPr>
          <w:rFonts w:hint="eastAsia" w:asciiTheme="minorEastAsia" w:hAnsiTheme="minorEastAsia"/>
          <w:szCs w:val="21"/>
          <w:u w:val="single" w:color="000000" w:themeColor="text1"/>
        </w:rPr>
        <w:t xml:space="preserve"> </w:t>
      </w:r>
      <w:r>
        <w:rPr>
          <w:rFonts w:asciiTheme="minorEastAsia" w:hAnsiTheme="minorEastAsia"/>
          <w:szCs w:val="21"/>
          <w:u w:val="single" w:color="000000" w:themeColor="text1"/>
        </w:rPr>
        <w:t xml:space="preserve"> </w:t>
      </w:r>
      <w:r>
        <w:rPr>
          <w:rFonts w:hint="eastAsia" w:asciiTheme="minorEastAsia" w:hAnsiTheme="minorEastAsia"/>
          <w:szCs w:val="21"/>
          <w:u w:color="000000" w:themeColor="text1"/>
        </w:rPr>
        <w:t>。</w:t>
      </w:r>
    </w:p>
    <w:p w14:paraId="52FACF35">
      <w:pPr>
        <w:snapToGrid w:val="0"/>
        <w:spacing w:line="360" w:lineRule="auto"/>
        <w:rPr>
          <w:rFonts w:hint="eastAsia" w:asciiTheme="minorEastAsia" w:hAnsiTheme="minorEastAsia"/>
          <w:szCs w:val="21"/>
          <w:u w:color="000000" w:themeColor="text1"/>
        </w:rPr>
      </w:pPr>
      <w:r>
        <w:rPr>
          <w:rFonts w:hint="eastAsia" w:asciiTheme="minorEastAsia" w:hAnsiTheme="minorEastAsia"/>
          <w:szCs w:val="21"/>
          <w:u w:color="000000" w:themeColor="text1"/>
        </w:rPr>
        <w:t>本工程保修书，由施工合同发包人、承包人双方在竣工验收前共同签署，作为施工合同附件，其有效期限至保修期满。</w:t>
      </w:r>
    </w:p>
    <w:p w14:paraId="21203D22">
      <w:pPr>
        <w:snapToGrid w:val="0"/>
        <w:spacing w:line="360" w:lineRule="auto"/>
        <w:ind w:firstLine="480"/>
        <w:rPr>
          <w:rFonts w:hint="eastAsia" w:asciiTheme="minorEastAsia" w:hAnsiTheme="minorEastAsia"/>
          <w:sz w:val="24"/>
          <w:u w:color="000000" w:themeColor="text1"/>
        </w:rPr>
      </w:pPr>
    </w:p>
    <w:tbl>
      <w:tblPr>
        <w:tblStyle w:val="44"/>
        <w:tblW w:w="9124" w:type="dxa"/>
        <w:tblInd w:w="0" w:type="dxa"/>
        <w:tblLayout w:type="fixed"/>
        <w:tblCellMar>
          <w:top w:w="0" w:type="dxa"/>
          <w:left w:w="108" w:type="dxa"/>
          <w:bottom w:w="0" w:type="dxa"/>
          <w:right w:w="108" w:type="dxa"/>
        </w:tblCellMar>
      </w:tblPr>
      <w:tblGrid>
        <w:gridCol w:w="4562"/>
        <w:gridCol w:w="4562"/>
      </w:tblGrid>
      <w:tr w14:paraId="119B73EB">
        <w:tblPrEx>
          <w:tblCellMar>
            <w:top w:w="0" w:type="dxa"/>
            <w:left w:w="108" w:type="dxa"/>
            <w:bottom w:w="0" w:type="dxa"/>
            <w:right w:w="108" w:type="dxa"/>
          </w:tblCellMar>
        </w:tblPrEx>
        <w:trPr>
          <w:trHeight w:val="558" w:hRule="atLeast"/>
        </w:trPr>
        <w:tc>
          <w:tcPr>
            <w:tcW w:w="4562" w:type="dxa"/>
          </w:tcPr>
          <w:p w14:paraId="14CFF9DB">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发包人：</w:t>
            </w:r>
            <w:r>
              <w:rPr>
                <w:rFonts w:hint="eastAsia" w:ascii="宋体" w:hAnsi="宋体" w:cs="宋体"/>
                <w:szCs w:val="21"/>
                <w:u w:val="single" w:color="000000" w:themeColor="text1"/>
                <w:lang w:bidi="zh-TW"/>
              </w:rPr>
              <w:t>北京市丰台区职业教育中心学校</w:t>
            </w:r>
            <w:r>
              <w:rPr>
                <w:rFonts w:hint="eastAsia" w:ascii="宋体" w:hAnsi="宋体"/>
                <w:szCs w:val="21"/>
                <w:u w:color="000000" w:themeColor="text1"/>
              </w:rPr>
              <w:t>（公章）</w:t>
            </w:r>
          </w:p>
        </w:tc>
        <w:tc>
          <w:tcPr>
            <w:tcW w:w="4562" w:type="dxa"/>
          </w:tcPr>
          <w:p w14:paraId="7C12FFB6">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承包人：</w:t>
            </w:r>
            <w:r>
              <w:rPr>
                <w:rFonts w:hint="eastAsia" w:ascii="宋体" w:hAnsi="宋体"/>
                <w:szCs w:val="21"/>
                <w:u w:val="single" w:color="000000" w:themeColor="text1"/>
              </w:rPr>
              <w:t xml:space="preserve">              </w:t>
            </w:r>
          </w:p>
          <w:p w14:paraId="6E5E0AAE">
            <w:pPr>
              <w:snapToGrid w:val="0"/>
              <w:spacing w:line="360" w:lineRule="auto"/>
              <w:ind w:left="1050" w:leftChars="500"/>
              <w:rPr>
                <w:rFonts w:hint="eastAsia" w:ascii="宋体" w:hAnsi="宋体"/>
                <w:szCs w:val="21"/>
                <w:u w:val="single" w:color="000000" w:themeColor="text1"/>
              </w:rPr>
            </w:pPr>
            <w:r>
              <w:rPr>
                <w:rFonts w:hint="eastAsia" w:ascii="宋体" w:hAnsi="宋体"/>
                <w:szCs w:val="21"/>
                <w:u w:color="000000" w:themeColor="text1"/>
              </w:rPr>
              <w:t>（公章）</w:t>
            </w:r>
          </w:p>
        </w:tc>
      </w:tr>
      <w:tr w14:paraId="0FB77761">
        <w:tblPrEx>
          <w:tblCellMar>
            <w:top w:w="0" w:type="dxa"/>
            <w:left w:w="108" w:type="dxa"/>
            <w:bottom w:w="0" w:type="dxa"/>
            <w:right w:w="108" w:type="dxa"/>
          </w:tblCellMar>
        </w:tblPrEx>
        <w:trPr>
          <w:trHeight w:val="558" w:hRule="atLeast"/>
        </w:trPr>
        <w:tc>
          <w:tcPr>
            <w:tcW w:w="4562" w:type="dxa"/>
          </w:tcPr>
          <w:p w14:paraId="4E2D3A45">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法定地址：</w:t>
            </w:r>
            <w:r>
              <w:rPr>
                <w:rFonts w:hint="eastAsia" w:ascii="宋体" w:hAnsi="宋体"/>
                <w:szCs w:val="21"/>
                <w:u w:val="single" w:color="000000" w:themeColor="text1"/>
              </w:rPr>
              <w:t xml:space="preserve">              </w:t>
            </w:r>
          </w:p>
        </w:tc>
        <w:tc>
          <w:tcPr>
            <w:tcW w:w="4562" w:type="dxa"/>
          </w:tcPr>
          <w:p w14:paraId="2CF069D6">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法定地址：</w:t>
            </w:r>
            <w:r>
              <w:rPr>
                <w:rFonts w:hint="eastAsia" w:ascii="宋体" w:hAnsi="宋体"/>
                <w:szCs w:val="21"/>
                <w:u w:val="single" w:color="000000" w:themeColor="text1"/>
              </w:rPr>
              <w:t xml:space="preserve">              </w:t>
            </w:r>
          </w:p>
        </w:tc>
      </w:tr>
      <w:tr w14:paraId="137FC775">
        <w:tblPrEx>
          <w:tblCellMar>
            <w:top w:w="0" w:type="dxa"/>
            <w:left w:w="108" w:type="dxa"/>
            <w:bottom w:w="0" w:type="dxa"/>
            <w:right w:w="108" w:type="dxa"/>
          </w:tblCellMar>
        </w:tblPrEx>
        <w:trPr>
          <w:trHeight w:val="543" w:hRule="atLeast"/>
        </w:trPr>
        <w:tc>
          <w:tcPr>
            <w:tcW w:w="4562" w:type="dxa"/>
          </w:tcPr>
          <w:p w14:paraId="1E53DFF3">
            <w:pPr>
              <w:snapToGrid w:val="0"/>
              <w:spacing w:line="360" w:lineRule="auto"/>
              <w:rPr>
                <w:rFonts w:hint="eastAsia" w:ascii="宋体" w:hAnsi="宋体"/>
                <w:szCs w:val="21"/>
                <w:u w:color="000000" w:themeColor="text1"/>
              </w:rPr>
            </w:pPr>
            <w:r>
              <w:rPr>
                <w:rFonts w:hint="eastAsia" w:ascii="宋体" w:hAnsi="宋体"/>
                <w:szCs w:val="21"/>
                <w:u w:color="000000" w:themeColor="text1"/>
              </w:rPr>
              <w:t>法定代表人或其</w:t>
            </w:r>
          </w:p>
        </w:tc>
        <w:tc>
          <w:tcPr>
            <w:tcW w:w="4562" w:type="dxa"/>
          </w:tcPr>
          <w:p w14:paraId="02F1C1D4">
            <w:pPr>
              <w:snapToGrid w:val="0"/>
              <w:spacing w:line="360" w:lineRule="auto"/>
              <w:rPr>
                <w:rFonts w:hint="eastAsia" w:ascii="宋体" w:hAnsi="宋体"/>
                <w:szCs w:val="21"/>
                <w:u w:color="000000" w:themeColor="text1"/>
              </w:rPr>
            </w:pPr>
            <w:r>
              <w:rPr>
                <w:rFonts w:hint="eastAsia" w:ascii="宋体" w:hAnsi="宋体"/>
                <w:szCs w:val="21"/>
                <w:u w:color="000000" w:themeColor="text1"/>
              </w:rPr>
              <w:t>法定代表人或其</w:t>
            </w:r>
          </w:p>
        </w:tc>
      </w:tr>
      <w:tr w14:paraId="3F75ED84">
        <w:tblPrEx>
          <w:tblCellMar>
            <w:top w:w="0" w:type="dxa"/>
            <w:left w:w="108" w:type="dxa"/>
            <w:bottom w:w="0" w:type="dxa"/>
            <w:right w:w="108" w:type="dxa"/>
          </w:tblCellMar>
        </w:tblPrEx>
        <w:trPr>
          <w:trHeight w:val="558" w:hRule="atLeast"/>
        </w:trPr>
        <w:tc>
          <w:tcPr>
            <w:tcW w:w="4562" w:type="dxa"/>
          </w:tcPr>
          <w:p w14:paraId="1255C349">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委托代理人：</w:t>
            </w:r>
            <w:r>
              <w:rPr>
                <w:rFonts w:hint="eastAsia" w:ascii="宋体" w:hAnsi="宋体"/>
                <w:szCs w:val="21"/>
                <w:u w:val="single" w:color="000000" w:themeColor="text1"/>
              </w:rPr>
              <w:t xml:space="preserve">           </w:t>
            </w:r>
            <w:r>
              <w:rPr>
                <w:rFonts w:hint="eastAsia" w:ascii="宋体" w:hAnsi="宋体"/>
                <w:szCs w:val="21"/>
                <w:u w:color="000000" w:themeColor="text1"/>
              </w:rPr>
              <w:t>（签字）</w:t>
            </w:r>
          </w:p>
        </w:tc>
        <w:tc>
          <w:tcPr>
            <w:tcW w:w="4562" w:type="dxa"/>
          </w:tcPr>
          <w:p w14:paraId="522376AF">
            <w:pPr>
              <w:snapToGrid w:val="0"/>
              <w:spacing w:line="360" w:lineRule="auto"/>
              <w:rPr>
                <w:rFonts w:hint="eastAsia" w:ascii="宋体" w:hAnsi="宋体"/>
                <w:szCs w:val="21"/>
                <w:u w:color="000000" w:themeColor="text1"/>
              </w:rPr>
            </w:pPr>
            <w:r>
              <w:rPr>
                <w:rFonts w:hint="eastAsia" w:ascii="宋体" w:hAnsi="宋体"/>
                <w:szCs w:val="21"/>
                <w:u w:color="000000" w:themeColor="text1"/>
              </w:rPr>
              <w:t>委托代理人：</w:t>
            </w:r>
            <w:r>
              <w:rPr>
                <w:rFonts w:hint="eastAsia" w:ascii="宋体" w:hAnsi="宋体"/>
                <w:szCs w:val="21"/>
                <w:u w:val="single" w:color="000000" w:themeColor="text1"/>
              </w:rPr>
              <w:t xml:space="preserve">           </w:t>
            </w:r>
            <w:r>
              <w:rPr>
                <w:rFonts w:hint="eastAsia" w:ascii="宋体" w:hAnsi="宋体"/>
                <w:szCs w:val="21"/>
                <w:u w:color="000000" w:themeColor="text1"/>
              </w:rPr>
              <w:t>（签字）</w:t>
            </w:r>
          </w:p>
        </w:tc>
      </w:tr>
      <w:tr w14:paraId="326B08B5">
        <w:tblPrEx>
          <w:tblCellMar>
            <w:top w:w="0" w:type="dxa"/>
            <w:left w:w="108" w:type="dxa"/>
            <w:bottom w:w="0" w:type="dxa"/>
            <w:right w:w="108" w:type="dxa"/>
          </w:tblCellMar>
        </w:tblPrEx>
        <w:trPr>
          <w:trHeight w:val="558" w:hRule="atLeast"/>
        </w:trPr>
        <w:tc>
          <w:tcPr>
            <w:tcW w:w="4562" w:type="dxa"/>
          </w:tcPr>
          <w:p w14:paraId="193156DF">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电话：</w:t>
            </w:r>
            <w:r>
              <w:rPr>
                <w:rFonts w:hint="eastAsia" w:ascii="宋体" w:hAnsi="宋体"/>
                <w:szCs w:val="21"/>
                <w:u w:val="single" w:color="000000" w:themeColor="text1"/>
              </w:rPr>
              <w:t xml:space="preserve">             </w:t>
            </w:r>
          </w:p>
        </w:tc>
        <w:tc>
          <w:tcPr>
            <w:tcW w:w="4562" w:type="dxa"/>
          </w:tcPr>
          <w:p w14:paraId="309C3750">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电话：</w:t>
            </w:r>
            <w:r>
              <w:rPr>
                <w:rFonts w:hint="eastAsia" w:ascii="宋体" w:hAnsi="宋体"/>
                <w:szCs w:val="21"/>
                <w:u w:val="single" w:color="000000" w:themeColor="text1"/>
              </w:rPr>
              <w:t xml:space="preserve">              </w:t>
            </w:r>
          </w:p>
        </w:tc>
      </w:tr>
      <w:tr w14:paraId="7D00EFEF">
        <w:tblPrEx>
          <w:tblCellMar>
            <w:top w:w="0" w:type="dxa"/>
            <w:left w:w="108" w:type="dxa"/>
            <w:bottom w:w="0" w:type="dxa"/>
            <w:right w:w="108" w:type="dxa"/>
          </w:tblCellMar>
        </w:tblPrEx>
        <w:trPr>
          <w:trHeight w:val="558" w:hRule="atLeast"/>
        </w:trPr>
        <w:tc>
          <w:tcPr>
            <w:tcW w:w="4562" w:type="dxa"/>
          </w:tcPr>
          <w:p w14:paraId="3974ECD8">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传真：</w:t>
            </w:r>
            <w:r>
              <w:rPr>
                <w:rFonts w:hint="eastAsia" w:ascii="宋体" w:hAnsi="宋体"/>
                <w:szCs w:val="21"/>
                <w:u w:val="single" w:color="000000" w:themeColor="text1"/>
              </w:rPr>
              <w:t xml:space="preserve">          </w:t>
            </w:r>
          </w:p>
        </w:tc>
        <w:tc>
          <w:tcPr>
            <w:tcW w:w="4562" w:type="dxa"/>
          </w:tcPr>
          <w:p w14:paraId="551A9E01">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传真：</w:t>
            </w:r>
            <w:r>
              <w:rPr>
                <w:rFonts w:hint="eastAsia" w:ascii="宋体" w:hAnsi="宋体"/>
                <w:szCs w:val="21"/>
                <w:u w:val="single" w:color="000000" w:themeColor="text1"/>
              </w:rPr>
              <w:t xml:space="preserve">              </w:t>
            </w:r>
          </w:p>
        </w:tc>
      </w:tr>
      <w:tr w14:paraId="2419D2DB">
        <w:tblPrEx>
          <w:tblCellMar>
            <w:top w:w="0" w:type="dxa"/>
            <w:left w:w="108" w:type="dxa"/>
            <w:bottom w:w="0" w:type="dxa"/>
            <w:right w:w="108" w:type="dxa"/>
          </w:tblCellMar>
        </w:tblPrEx>
        <w:trPr>
          <w:trHeight w:val="543" w:hRule="atLeast"/>
        </w:trPr>
        <w:tc>
          <w:tcPr>
            <w:tcW w:w="4562" w:type="dxa"/>
          </w:tcPr>
          <w:p w14:paraId="37C4353A">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电子邮箱：</w:t>
            </w:r>
            <w:r>
              <w:rPr>
                <w:rFonts w:hint="eastAsia" w:ascii="宋体" w:hAnsi="宋体"/>
                <w:szCs w:val="21"/>
                <w:u w:val="single" w:color="000000" w:themeColor="text1"/>
              </w:rPr>
              <w:t xml:space="preserve">                 </w:t>
            </w:r>
          </w:p>
        </w:tc>
        <w:tc>
          <w:tcPr>
            <w:tcW w:w="4562" w:type="dxa"/>
          </w:tcPr>
          <w:p w14:paraId="71564CC0">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电子邮箱：</w:t>
            </w:r>
            <w:r>
              <w:rPr>
                <w:rFonts w:hint="eastAsia" w:ascii="宋体" w:hAnsi="宋体"/>
                <w:szCs w:val="21"/>
                <w:u w:val="single" w:color="000000" w:themeColor="text1"/>
              </w:rPr>
              <w:t xml:space="preserve">                      </w:t>
            </w:r>
          </w:p>
        </w:tc>
      </w:tr>
      <w:tr w14:paraId="320DB6F3">
        <w:tblPrEx>
          <w:tblCellMar>
            <w:top w:w="0" w:type="dxa"/>
            <w:left w:w="108" w:type="dxa"/>
            <w:bottom w:w="0" w:type="dxa"/>
            <w:right w:w="108" w:type="dxa"/>
          </w:tblCellMar>
        </w:tblPrEx>
        <w:trPr>
          <w:trHeight w:val="558" w:hRule="atLeast"/>
        </w:trPr>
        <w:tc>
          <w:tcPr>
            <w:tcW w:w="4562" w:type="dxa"/>
          </w:tcPr>
          <w:p w14:paraId="46F258CB">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开户银行：</w:t>
            </w:r>
            <w:r>
              <w:rPr>
                <w:rFonts w:hint="eastAsia" w:ascii="宋体" w:hAnsi="宋体"/>
                <w:szCs w:val="21"/>
                <w:u w:val="single" w:color="000000" w:themeColor="text1"/>
              </w:rPr>
              <w:t xml:space="preserve">               </w:t>
            </w:r>
          </w:p>
        </w:tc>
        <w:tc>
          <w:tcPr>
            <w:tcW w:w="4562" w:type="dxa"/>
          </w:tcPr>
          <w:p w14:paraId="7D68AA28">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开户银行：</w:t>
            </w:r>
            <w:r>
              <w:rPr>
                <w:rFonts w:hint="eastAsia" w:ascii="宋体" w:hAnsi="宋体"/>
                <w:szCs w:val="21"/>
                <w:u w:val="single" w:color="000000" w:themeColor="text1"/>
              </w:rPr>
              <w:t xml:space="preserve">              </w:t>
            </w:r>
          </w:p>
        </w:tc>
      </w:tr>
      <w:tr w14:paraId="7704E153">
        <w:tblPrEx>
          <w:tblCellMar>
            <w:top w:w="0" w:type="dxa"/>
            <w:left w:w="108" w:type="dxa"/>
            <w:bottom w:w="0" w:type="dxa"/>
            <w:right w:w="108" w:type="dxa"/>
          </w:tblCellMar>
        </w:tblPrEx>
        <w:trPr>
          <w:trHeight w:val="558" w:hRule="atLeast"/>
        </w:trPr>
        <w:tc>
          <w:tcPr>
            <w:tcW w:w="4562" w:type="dxa"/>
          </w:tcPr>
          <w:p w14:paraId="00F6BE74">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帐号：</w:t>
            </w:r>
            <w:r>
              <w:rPr>
                <w:rFonts w:hint="eastAsia" w:ascii="宋体" w:hAnsi="宋体"/>
                <w:szCs w:val="21"/>
                <w:u w:val="single" w:color="000000" w:themeColor="text1"/>
              </w:rPr>
              <w:t xml:space="preserve">              </w:t>
            </w:r>
          </w:p>
        </w:tc>
        <w:tc>
          <w:tcPr>
            <w:tcW w:w="4562" w:type="dxa"/>
          </w:tcPr>
          <w:p w14:paraId="4F968896">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帐号：</w:t>
            </w:r>
            <w:r>
              <w:rPr>
                <w:rFonts w:hint="eastAsia" w:ascii="宋体" w:hAnsi="宋体"/>
                <w:szCs w:val="21"/>
                <w:u w:val="single" w:color="000000" w:themeColor="text1"/>
              </w:rPr>
              <w:t xml:space="preserve">              </w:t>
            </w:r>
          </w:p>
        </w:tc>
      </w:tr>
      <w:tr w14:paraId="35DC4F6A">
        <w:tblPrEx>
          <w:tblCellMar>
            <w:top w:w="0" w:type="dxa"/>
            <w:left w:w="108" w:type="dxa"/>
            <w:bottom w:w="0" w:type="dxa"/>
            <w:right w:w="108" w:type="dxa"/>
          </w:tblCellMar>
        </w:tblPrEx>
        <w:trPr>
          <w:trHeight w:val="558" w:hRule="atLeast"/>
        </w:trPr>
        <w:tc>
          <w:tcPr>
            <w:tcW w:w="4562" w:type="dxa"/>
          </w:tcPr>
          <w:p w14:paraId="03FF2352">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邮政编码：</w:t>
            </w:r>
            <w:r>
              <w:rPr>
                <w:rFonts w:hint="eastAsia" w:ascii="宋体" w:hAnsi="宋体"/>
                <w:szCs w:val="21"/>
                <w:u w:val="single" w:color="000000" w:themeColor="text1"/>
              </w:rPr>
              <w:t xml:space="preserve">                 </w:t>
            </w:r>
          </w:p>
        </w:tc>
        <w:tc>
          <w:tcPr>
            <w:tcW w:w="4562" w:type="dxa"/>
          </w:tcPr>
          <w:p w14:paraId="1F916ED3">
            <w:pPr>
              <w:snapToGrid w:val="0"/>
              <w:spacing w:line="360" w:lineRule="auto"/>
              <w:rPr>
                <w:rFonts w:hint="eastAsia" w:ascii="宋体" w:hAnsi="宋体"/>
                <w:szCs w:val="21"/>
                <w:u w:val="single" w:color="000000" w:themeColor="text1"/>
              </w:rPr>
            </w:pPr>
            <w:r>
              <w:rPr>
                <w:rFonts w:hint="eastAsia" w:ascii="宋体" w:hAnsi="宋体"/>
                <w:szCs w:val="21"/>
                <w:u w:color="000000" w:themeColor="text1"/>
              </w:rPr>
              <w:t>邮政编码：</w:t>
            </w:r>
            <w:r>
              <w:rPr>
                <w:rFonts w:hint="eastAsia" w:ascii="宋体" w:hAnsi="宋体"/>
                <w:szCs w:val="21"/>
                <w:u w:val="single" w:color="000000" w:themeColor="text1"/>
              </w:rPr>
              <w:t xml:space="preserve">              </w:t>
            </w:r>
          </w:p>
        </w:tc>
      </w:tr>
    </w:tbl>
    <w:p w14:paraId="0910009A">
      <w:pPr>
        <w:snapToGrid w:val="0"/>
        <w:rPr>
          <w:rFonts w:hint="eastAsia" w:asciiTheme="minorEastAsia" w:hAnsiTheme="minorEastAsia"/>
          <w:szCs w:val="21"/>
          <w:u w:color="000000" w:themeColor="text1"/>
        </w:rPr>
      </w:pPr>
    </w:p>
    <w:p w14:paraId="172835D1">
      <w:pPr>
        <w:rPr>
          <w:rFonts w:eastAsiaTheme="minorEastAsia"/>
          <w:b/>
          <w:sz w:val="36"/>
          <w:szCs w:val="36"/>
        </w:rPr>
      </w:pPr>
      <w:r>
        <w:rPr>
          <w:rFonts w:eastAsiaTheme="minorEastAsia"/>
          <w:b/>
          <w:sz w:val="36"/>
          <w:szCs w:val="36"/>
        </w:rPr>
        <w:br w:type="page"/>
      </w:r>
    </w:p>
    <w:p w14:paraId="1B325124">
      <w:pPr>
        <w:spacing w:line="360" w:lineRule="auto"/>
        <w:ind w:firstLine="482" w:firstLineChars="200"/>
        <w:jc w:val="center"/>
        <w:rPr>
          <w:b/>
          <w:sz w:val="24"/>
        </w:rPr>
      </w:pPr>
      <w:r>
        <w:rPr>
          <w:rFonts w:hint="eastAsia"/>
          <w:b/>
          <w:sz w:val="24"/>
        </w:rPr>
        <w:t>北京市建设工程施工总承包单位法定代表人授权</w:t>
      </w:r>
    </w:p>
    <w:p w14:paraId="05A8501E">
      <w:pPr>
        <w:spacing w:line="360" w:lineRule="auto"/>
        <w:ind w:firstLine="482" w:firstLineChars="200"/>
        <w:jc w:val="center"/>
        <w:rPr>
          <w:rFonts w:ascii="宋体"/>
          <w:b/>
          <w:sz w:val="24"/>
          <w:szCs w:val="28"/>
        </w:rPr>
      </w:pPr>
    </w:p>
    <w:p w14:paraId="491A1350">
      <w:pPr>
        <w:spacing w:line="360" w:lineRule="auto"/>
        <w:ind w:firstLine="490"/>
        <w:rPr>
          <w:rFonts w:ascii="宋体"/>
          <w:szCs w:val="28"/>
        </w:rPr>
      </w:pPr>
      <w:r>
        <w:rPr>
          <w:rFonts w:ascii="宋体"/>
          <w:szCs w:val="28"/>
        </w:rPr>
        <w:t>兹授权</w:t>
      </w:r>
      <w:r>
        <w:rPr>
          <w:rFonts w:hint="eastAsia" w:ascii="宋体"/>
          <w:szCs w:val="28"/>
          <w:u w:val="single"/>
        </w:rPr>
        <w:t xml:space="preserve"> </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szCs w:val="28"/>
          <w:u w:val="single"/>
        </w:rPr>
        <w:t xml:space="preserve">  </w:t>
      </w:r>
      <w:r>
        <w:rPr>
          <w:rFonts w:ascii="宋体"/>
          <w:szCs w:val="28"/>
        </w:rPr>
        <w:t>（姓名）担任</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szCs w:val="28"/>
        </w:rPr>
        <w:t>（工程名称）施工总承包单位的项目</w:t>
      </w:r>
      <w:r>
        <w:rPr>
          <w:rFonts w:ascii="宋体"/>
          <w:szCs w:val="28"/>
        </w:rPr>
        <w:t>负责人，对该工程项目的施工工作实施组织管理，依据国家和北京市有关法律法规及标准规范履行职责，并依法对该工程项目在设计使用年限内的工程质量承担相应终身责任。</w:t>
      </w:r>
    </w:p>
    <w:p w14:paraId="53A11739">
      <w:pPr>
        <w:spacing w:line="360" w:lineRule="auto"/>
        <w:ind w:firstLine="420" w:firstLineChars="200"/>
        <w:rPr>
          <w:rFonts w:ascii="宋体"/>
          <w:szCs w:val="28"/>
        </w:rPr>
      </w:pPr>
      <w:r>
        <w:rPr>
          <w:rFonts w:ascii="宋体"/>
          <w:szCs w:val="28"/>
        </w:rPr>
        <w:t>法定代表人承担被授权人在授权范围内履行职责产生的法律责任。本授权书自授权之日起生效。</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1159"/>
        <w:gridCol w:w="1889"/>
        <w:gridCol w:w="1076"/>
        <w:gridCol w:w="2844"/>
      </w:tblGrid>
      <w:tr w14:paraId="54F2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tcPr>
          <w:p w14:paraId="21B71895">
            <w:pPr>
              <w:pStyle w:val="254"/>
              <w:widowControl w:val="0"/>
              <w:autoSpaceDE w:val="0"/>
              <w:autoSpaceDN w:val="0"/>
              <w:adjustRightInd w:val="0"/>
              <w:spacing w:before="0" w:after="0" w:line="281" w:lineRule="exact"/>
              <w:ind w:firstLine="206"/>
              <w:jc w:val="center"/>
              <w:rPr>
                <w:rFonts w:ascii="宋体"/>
                <w:kern w:val="2"/>
                <w:sz w:val="21"/>
                <w:szCs w:val="28"/>
                <w:lang w:val="en-US" w:eastAsia="zh-CN"/>
              </w:rPr>
            </w:pPr>
            <w:r>
              <w:rPr>
                <w:rFonts w:hint="eastAsia" w:ascii="宋体"/>
                <w:kern w:val="2"/>
                <w:sz w:val="21"/>
                <w:szCs w:val="28"/>
                <w:lang w:val="en-US" w:eastAsia="zh-CN"/>
              </w:rPr>
              <w:t>被授权人基本情况</w:t>
            </w:r>
          </w:p>
        </w:tc>
      </w:tr>
      <w:tr w14:paraId="00EB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7AB5AA8A">
            <w:pPr>
              <w:spacing w:line="360" w:lineRule="auto"/>
              <w:rPr>
                <w:rFonts w:ascii="宋体"/>
                <w:szCs w:val="28"/>
              </w:rPr>
            </w:pPr>
            <w:r>
              <w:rPr>
                <w:rFonts w:hint="eastAsia" w:ascii="宋体"/>
                <w:szCs w:val="28"/>
              </w:rPr>
              <w:t>姓名</w:t>
            </w:r>
          </w:p>
        </w:tc>
        <w:tc>
          <w:tcPr>
            <w:tcW w:w="1641" w:type="pct"/>
            <w:gridSpan w:val="2"/>
          </w:tcPr>
          <w:p w14:paraId="5F428E11">
            <w:pPr>
              <w:spacing w:line="360" w:lineRule="auto"/>
              <w:rPr>
                <w:rFonts w:ascii="宋体"/>
                <w:szCs w:val="28"/>
              </w:rPr>
            </w:pPr>
            <w:r>
              <w:rPr>
                <w:rFonts w:hint="eastAsia" w:ascii="宋体" w:hAnsi="宋体"/>
                <w:bCs/>
                <w:sz w:val="24"/>
                <w:u w:val="single"/>
              </w:rPr>
              <w:t xml:space="preserve"> </w:t>
            </w:r>
            <w:r>
              <w:rPr>
                <w:rFonts w:hint="eastAsia" w:ascii="宋体" w:hAnsi="宋体"/>
                <w:bCs/>
                <w:sz w:val="36"/>
                <w:szCs w:val="36"/>
                <w:u w:val="single"/>
              </w:rPr>
              <w:t xml:space="preserve">      </w:t>
            </w:r>
          </w:p>
        </w:tc>
        <w:tc>
          <w:tcPr>
            <w:tcW w:w="2109" w:type="pct"/>
            <w:gridSpan w:val="2"/>
          </w:tcPr>
          <w:p w14:paraId="7687D60B">
            <w:pPr>
              <w:spacing w:line="360" w:lineRule="auto"/>
              <w:rPr>
                <w:rFonts w:ascii="宋体"/>
                <w:szCs w:val="28"/>
              </w:rPr>
            </w:pPr>
            <w:r>
              <w:rPr>
                <w:rFonts w:hint="eastAsia" w:ascii="宋体"/>
                <w:szCs w:val="28"/>
              </w:rPr>
              <w:t>身份证编号：</w:t>
            </w:r>
          </w:p>
        </w:tc>
      </w:tr>
      <w:tr w14:paraId="4F19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7704E67F">
            <w:pPr>
              <w:spacing w:line="360" w:lineRule="auto"/>
              <w:rPr>
                <w:rFonts w:ascii="宋体"/>
                <w:szCs w:val="28"/>
              </w:rPr>
            </w:pPr>
            <w:r>
              <w:rPr>
                <w:rFonts w:hint="eastAsia" w:ascii="宋体"/>
                <w:szCs w:val="28"/>
              </w:rPr>
              <w:t>电话</w:t>
            </w:r>
          </w:p>
        </w:tc>
        <w:tc>
          <w:tcPr>
            <w:tcW w:w="1641" w:type="pct"/>
            <w:gridSpan w:val="2"/>
          </w:tcPr>
          <w:p w14:paraId="03709647">
            <w:pPr>
              <w:spacing w:line="360" w:lineRule="auto"/>
              <w:rPr>
                <w:rFonts w:ascii="宋体"/>
                <w:szCs w:val="28"/>
              </w:rPr>
            </w:pPr>
            <w:r>
              <w:rPr>
                <w:rFonts w:hint="eastAsia" w:ascii="宋体"/>
                <w:szCs w:val="28"/>
              </w:rPr>
              <w:t>/</w:t>
            </w:r>
          </w:p>
        </w:tc>
        <w:tc>
          <w:tcPr>
            <w:tcW w:w="2109" w:type="pct"/>
            <w:gridSpan w:val="2"/>
          </w:tcPr>
          <w:p w14:paraId="70081C87">
            <w:pPr>
              <w:spacing w:line="360" w:lineRule="auto"/>
              <w:rPr>
                <w:rFonts w:ascii="宋体"/>
                <w:szCs w:val="28"/>
              </w:rPr>
            </w:pPr>
            <w:r>
              <w:rPr>
                <w:rFonts w:hint="eastAsia" w:ascii="宋体"/>
                <w:szCs w:val="28"/>
              </w:rPr>
              <w:t>户籍所在地：</w:t>
            </w:r>
            <w:r>
              <w:rPr>
                <w:rFonts w:hint="eastAsia" w:ascii="宋体" w:hAnsi="宋体"/>
                <w:bCs/>
                <w:sz w:val="24"/>
                <w:u w:val="single"/>
              </w:rPr>
              <w:t xml:space="preserve"> </w:t>
            </w:r>
            <w:r>
              <w:rPr>
                <w:rFonts w:hint="eastAsia" w:ascii="宋体" w:hAnsi="宋体"/>
                <w:bCs/>
                <w:sz w:val="36"/>
                <w:szCs w:val="36"/>
                <w:u w:val="single"/>
              </w:rPr>
              <w:t xml:space="preserve">      </w:t>
            </w:r>
          </w:p>
        </w:tc>
      </w:tr>
      <w:tr w14:paraId="73E3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restart"/>
          </w:tcPr>
          <w:p w14:paraId="5F7F923D">
            <w:pPr>
              <w:spacing w:line="360" w:lineRule="auto"/>
              <w:rPr>
                <w:rFonts w:ascii="宋体"/>
                <w:szCs w:val="28"/>
              </w:rPr>
            </w:pPr>
            <w:r>
              <w:rPr>
                <w:rFonts w:hint="eastAsia" w:ascii="宋体"/>
                <w:szCs w:val="28"/>
              </w:rPr>
              <w:t>注册证书</w:t>
            </w:r>
          </w:p>
        </w:tc>
        <w:tc>
          <w:tcPr>
            <w:tcW w:w="624" w:type="pct"/>
          </w:tcPr>
          <w:p w14:paraId="775D6A7F">
            <w:pPr>
              <w:spacing w:line="360" w:lineRule="auto"/>
              <w:rPr>
                <w:rFonts w:ascii="宋体"/>
                <w:szCs w:val="28"/>
              </w:rPr>
            </w:pPr>
            <w:r>
              <w:rPr>
                <w:rFonts w:hint="eastAsia" w:ascii="宋体"/>
                <w:szCs w:val="28"/>
              </w:rPr>
              <w:t>编号</w:t>
            </w:r>
          </w:p>
        </w:tc>
        <w:tc>
          <w:tcPr>
            <w:tcW w:w="1016" w:type="pct"/>
          </w:tcPr>
          <w:p w14:paraId="346C0AF9">
            <w:pPr>
              <w:spacing w:line="360" w:lineRule="auto"/>
              <w:jc w:val="center"/>
              <w:rPr>
                <w:rFonts w:ascii="宋体"/>
                <w:szCs w:val="28"/>
              </w:rPr>
            </w:pPr>
          </w:p>
        </w:tc>
        <w:tc>
          <w:tcPr>
            <w:tcW w:w="579" w:type="pct"/>
          </w:tcPr>
          <w:p w14:paraId="45CB5E7D">
            <w:pPr>
              <w:spacing w:line="360" w:lineRule="auto"/>
              <w:rPr>
                <w:rFonts w:ascii="宋体"/>
                <w:szCs w:val="28"/>
              </w:rPr>
            </w:pPr>
            <w:r>
              <w:rPr>
                <w:rFonts w:hint="eastAsia" w:ascii="宋体"/>
                <w:szCs w:val="28"/>
              </w:rPr>
              <w:t>类别</w:t>
            </w:r>
          </w:p>
        </w:tc>
        <w:tc>
          <w:tcPr>
            <w:tcW w:w="1529" w:type="pct"/>
          </w:tcPr>
          <w:p w14:paraId="0A594FA2">
            <w:pPr>
              <w:spacing w:line="360" w:lineRule="auto"/>
              <w:rPr>
                <w:rFonts w:ascii="宋体"/>
                <w:szCs w:val="28"/>
              </w:rPr>
            </w:pPr>
          </w:p>
        </w:tc>
      </w:tr>
      <w:tr w14:paraId="16A6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tcPr>
          <w:p w14:paraId="7587F89A">
            <w:pPr>
              <w:spacing w:line="360" w:lineRule="auto"/>
              <w:rPr>
                <w:rFonts w:ascii="宋体"/>
                <w:szCs w:val="28"/>
              </w:rPr>
            </w:pPr>
          </w:p>
        </w:tc>
        <w:tc>
          <w:tcPr>
            <w:tcW w:w="624" w:type="pct"/>
          </w:tcPr>
          <w:p w14:paraId="5BCCC914">
            <w:pPr>
              <w:spacing w:line="360" w:lineRule="auto"/>
              <w:rPr>
                <w:rFonts w:ascii="宋体"/>
                <w:szCs w:val="28"/>
              </w:rPr>
            </w:pPr>
            <w:r>
              <w:rPr>
                <w:rFonts w:hint="eastAsia" w:ascii="宋体"/>
                <w:szCs w:val="28"/>
              </w:rPr>
              <w:t>专业</w:t>
            </w:r>
          </w:p>
        </w:tc>
        <w:tc>
          <w:tcPr>
            <w:tcW w:w="1016" w:type="pct"/>
          </w:tcPr>
          <w:p w14:paraId="0EFBEAF1">
            <w:pPr>
              <w:spacing w:line="360" w:lineRule="auto"/>
              <w:rPr>
                <w:rFonts w:ascii="宋体"/>
                <w:szCs w:val="28"/>
              </w:rPr>
            </w:pPr>
          </w:p>
        </w:tc>
        <w:tc>
          <w:tcPr>
            <w:tcW w:w="579" w:type="pct"/>
          </w:tcPr>
          <w:p w14:paraId="025DF156">
            <w:pPr>
              <w:spacing w:line="360" w:lineRule="auto"/>
              <w:rPr>
                <w:rFonts w:ascii="宋体"/>
                <w:szCs w:val="28"/>
              </w:rPr>
            </w:pPr>
            <w:r>
              <w:rPr>
                <w:rFonts w:hint="eastAsia" w:ascii="宋体"/>
                <w:szCs w:val="28"/>
              </w:rPr>
              <w:t>期限</w:t>
            </w:r>
          </w:p>
        </w:tc>
        <w:tc>
          <w:tcPr>
            <w:tcW w:w="1529" w:type="pct"/>
          </w:tcPr>
          <w:p w14:paraId="04491F88">
            <w:pPr>
              <w:spacing w:line="360" w:lineRule="auto"/>
              <w:rPr>
                <w:rFonts w:ascii="宋体"/>
                <w:szCs w:val="28"/>
              </w:rPr>
            </w:pPr>
          </w:p>
        </w:tc>
      </w:tr>
      <w:tr w14:paraId="1662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tcPr>
          <w:p w14:paraId="727BB34B">
            <w:pPr>
              <w:spacing w:line="360" w:lineRule="auto"/>
              <w:rPr>
                <w:rFonts w:ascii="宋体"/>
                <w:szCs w:val="28"/>
              </w:rPr>
            </w:pPr>
            <w:r>
              <w:rPr>
                <w:rFonts w:hint="eastAsia" w:ascii="宋体"/>
                <w:szCs w:val="28"/>
              </w:rPr>
              <w:t>备注</w:t>
            </w:r>
          </w:p>
        </w:tc>
        <w:tc>
          <w:tcPr>
            <w:tcW w:w="3750" w:type="pct"/>
            <w:gridSpan w:val="4"/>
          </w:tcPr>
          <w:p w14:paraId="319D900C">
            <w:pPr>
              <w:spacing w:line="360" w:lineRule="auto"/>
              <w:rPr>
                <w:rFonts w:ascii="宋体"/>
                <w:szCs w:val="28"/>
              </w:rPr>
            </w:pPr>
          </w:p>
        </w:tc>
      </w:tr>
      <w:tr w14:paraId="5AD0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Pr>
          <w:p w14:paraId="1FDD28C3">
            <w:pPr>
              <w:spacing w:line="360" w:lineRule="auto"/>
              <w:rPr>
                <w:rFonts w:ascii="宋体"/>
                <w:szCs w:val="28"/>
              </w:rPr>
            </w:pPr>
          </w:p>
        </w:tc>
      </w:tr>
    </w:tbl>
    <w:p w14:paraId="669E3131">
      <w:pPr>
        <w:spacing w:line="360" w:lineRule="auto"/>
        <w:ind w:right="640" w:firstLine="420" w:firstLineChars="200"/>
        <w:jc w:val="right"/>
        <w:rPr>
          <w:rFonts w:ascii="DDJLFQ+·ÂËÎ" w:hAnsi="DDJLFQ+·ÂËÎ" w:eastAsia="Calibri" w:cs="DDJLFQ+·ÂËÎ"/>
          <w:szCs w:val="21"/>
        </w:rPr>
      </w:pPr>
    </w:p>
    <w:p w14:paraId="365938CD">
      <w:pPr>
        <w:spacing w:line="360" w:lineRule="auto"/>
        <w:ind w:right="640" w:firstLine="420" w:firstLineChars="200"/>
        <w:jc w:val="right"/>
        <w:rPr>
          <w:rFonts w:ascii="DDJLFQ+·ÂËÎ" w:hAnsi="DDJLFQ+·ÂËÎ" w:eastAsia="Calibri" w:cs="DDJLFQ+·ÂËÎ"/>
          <w:szCs w:val="21"/>
        </w:rPr>
      </w:pPr>
    </w:p>
    <w:p w14:paraId="22E3837F">
      <w:pPr>
        <w:spacing w:line="360" w:lineRule="auto"/>
        <w:ind w:right="640" w:firstLine="420" w:firstLineChars="200"/>
        <w:jc w:val="right"/>
        <w:rPr>
          <w:rFonts w:ascii="RQODRS+·ÂËÎ" w:hAnsi="Calibri"/>
          <w:szCs w:val="21"/>
          <w:u w:val="single"/>
        </w:rPr>
      </w:pPr>
      <w:r>
        <w:rPr>
          <w:rFonts w:ascii="DDJLFQ+·ÂËÎ" w:hAnsi="DDJLFQ+·ÂËÎ" w:eastAsia="Calibri" w:cs="DDJLFQ+·ÂËÎ"/>
          <w:szCs w:val="21"/>
        </w:rPr>
        <w:t>授权单位名称（公章）：</w:t>
      </w:r>
    </w:p>
    <w:p w14:paraId="06F221D0">
      <w:pPr>
        <w:spacing w:line="360" w:lineRule="auto"/>
        <w:ind w:right="640" w:firstLine="420" w:firstLineChars="200"/>
        <w:jc w:val="right"/>
        <w:rPr>
          <w:rFonts w:ascii="DDJLFQ+·ÂËÎ" w:hAnsi="DDJLFQ+·ÂËÎ" w:eastAsia="Calibri" w:cs="DDJLFQ+·ÂËÎ"/>
          <w:szCs w:val="21"/>
        </w:rPr>
      </w:pPr>
      <w:r>
        <w:rPr>
          <w:rFonts w:ascii="DDJLFQ+·ÂËÎ" w:hAnsi="DDJLFQ+·ÂËÎ" w:eastAsia="Calibri" w:cs="DDJLFQ+·ÂËÎ"/>
          <w:szCs w:val="21"/>
        </w:rPr>
        <w:t>法定代表人（签字）：</w:t>
      </w:r>
    </w:p>
    <w:p w14:paraId="6E82871B">
      <w:pPr>
        <w:spacing w:line="360" w:lineRule="auto"/>
        <w:ind w:right="30" w:firstLine="420" w:firstLineChars="200"/>
        <w:jc w:val="right"/>
        <w:rPr>
          <w:rFonts w:ascii="RQODRS+·ÂËÎ" w:hAnsi="Calibri" w:eastAsia="Calibri"/>
          <w:szCs w:val="21"/>
        </w:rPr>
      </w:pPr>
      <w:r>
        <w:rPr>
          <w:rFonts w:ascii="DDJLFQ+·ÂËÎ" w:hAnsi="DDJLFQ+·ÂËÎ" w:eastAsia="Calibri" w:cs="DDJLFQ+·ÂËÎ"/>
          <w:szCs w:val="21"/>
        </w:rPr>
        <w:t>授权日期：</w:t>
      </w:r>
      <w:r>
        <w:rPr>
          <w:rFonts w:hint="eastAsia" w:ascii="DDJLFQ+·ÂËÎ" w:hAnsi="DDJLFQ+·ÂËÎ" w:cs="DDJLFQ+·ÂËÎ"/>
          <w:szCs w:val="21"/>
        </w:rPr>
        <w:t xml:space="preserve"> </w:t>
      </w:r>
      <w:r>
        <w:rPr>
          <w:rFonts w:ascii="DDJLFQ+·ÂËÎ" w:hAnsi="DDJLFQ+·ÂËÎ" w:cs="DDJLFQ+·ÂËÎ"/>
          <w:szCs w:val="21"/>
        </w:rPr>
        <w:t xml:space="preserve">  </w:t>
      </w:r>
      <w:r>
        <w:rPr>
          <w:rFonts w:ascii="DDJLFQ+·ÂËÎ" w:hAnsi="DDJLFQ+·ÂËÎ" w:eastAsia="Calibri" w:cs="DDJLFQ+·ÂËÎ"/>
          <w:szCs w:val="21"/>
        </w:rPr>
        <w:t>年</w:t>
      </w:r>
      <w:r>
        <w:rPr>
          <w:rFonts w:hint="eastAsia" w:ascii="DDJLFQ+·ÂËÎ" w:hAnsi="DDJLFQ+·ÂËÎ" w:cs="DDJLFQ+·ÂËÎ"/>
          <w:szCs w:val="21"/>
        </w:rPr>
        <w:t xml:space="preserve"> </w:t>
      </w:r>
      <w:r>
        <w:rPr>
          <w:rFonts w:ascii="DDJLFQ+·ÂËÎ" w:hAnsi="DDJLFQ+·ÂËÎ" w:cs="DDJLFQ+·ÂËÎ"/>
          <w:szCs w:val="21"/>
        </w:rPr>
        <w:t xml:space="preserve">  </w:t>
      </w:r>
      <w:r>
        <w:rPr>
          <w:rFonts w:ascii="DDJLFQ+·ÂËÎ" w:hAnsi="DDJLFQ+·ÂËÎ" w:eastAsia="Calibri" w:cs="DDJLFQ+·ÂËÎ"/>
          <w:szCs w:val="21"/>
        </w:rPr>
        <w:t>月</w:t>
      </w:r>
      <w:r>
        <w:rPr>
          <w:rFonts w:hint="eastAsia" w:ascii="DDJLFQ+·ÂËÎ" w:hAnsi="DDJLFQ+·ÂËÎ" w:cs="DDJLFQ+·ÂËÎ"/>
          <w:szCs w:val="21"/>
        </w:rPr>
        <w:t xml:space="preserve"> </w:t>
      </w:r>
      <w:r>
        <w:rPr>
          <w:rFonts w:ascii="DDJLFQ+·ÂËÎ" w:hAnsi="DDJLFQ+·ÂËÎ" w:cs="DDJLFQ+·ÂËÎ"/>
          <w:szCs w:val="21"/>
        </w:rPr>
        <w:t xml:space="preserve">  </w:t>
      </w:r>
      <w:r>
        <w:rPr>
          <w:rFonts w:ascii="RQODRS+·ÂËÎ" w:hAnsi="Calibri" w:eastAsia="Calibri"/>
          <w:szCs w:val="21"/>
        </w:rPr>
        <w:t>日</w:t>
      </w:r>
    </w:p>
    <w:p w14:paraId="3D2D3628">
      <w:pPr>
        <w:jc w:val="center"/>
        <w:rPr>
          <w:rFonts w:hint="eastAsia" w:ascii="华文中宋" w:hAnsi="华文中宋" w:eastAsia="华文中宋" w:cs="华文中宋"/>
          <w:b/>
          <w:bCs/>
          <w:sz w:val="48"/>
          <w:szCs w:val="48"/>
        </w:rPr>
      </w:pPr>
    </w:p>
    <w:p w14:paraId="6B6D93DF">
      <w:pPr>
        <w:jc w:val="center"/>
        <w:rPr>
          <w:rFonts w:hint="eastAsia" w:ascii="华文中宋" w:hAnsi="华文中宋" w:eastAsia="华文中宋" w:cs="华文中宋"/>
          <w:b/>
          <w:bCs/>
          <w:sz w:val="48"/>
          <w:szCs w:val="48"/>
        </w:rPr>
      </w:pPr>
    </w:p>
    <w:p w14:paraId="27F15C27">
      <w:pPr>
        <w:rPr>
          <w:rFonts w:hint="eastAsia" w:ascii="华文中宋" w:hAnsi="华文中宋" w:eastAsia="华文中宋" w:cs="华文中宋"/>
          <w:b/>
          <w:bCs/>
          <w:sz w:val="48"/>
          <w:szCs w:val="48"/>
        </w:rPr>
      </w:pPr>
    </w:p>
    <w:p w14:paraId="5295E49F">
      <w:pPr>
        <w:jc w:val="center"/>
        <w:rPr>
          <w:rFonts w:hint="eastAsia" w:ascii="华文中宋" w:hAnsi="华文中宋" w:eastAsia="华文中宋" w:cs="华文中宋"/>
          <w:b/>
          <w:bCs/>
          <w:sz w:val="15"/>
          <w:szCs w:val="15"/>
        </w:rPr>
      </w:pPr>
      <w:r>
        <w:rPr>
          <w:rFonts w:hint="eastAsia" w:ascii="华文中宋" w:hAnsi="华文中宋" w:eastAsia="华文中宋" w:cs="华文中宋"/>
          <w:b/>
          <w:bCs/>
          <w:sz w:val="48"/>
          <w:szCs w:val="48"/>
        </w:rPr>
        <w:br w:type="page"/>
      </w:r>
      <w:r>
        <w:rPr>
          <w:rFonts w:hint="eastAsia" w:ascii="华文中宋" w:hAnsi="华文中宋" w:eastAsia="华文中宋" w:cs="华文中宋"/>
          <w:b/>
          <w:bCs/>
          <w:sz w:val="48"/>
          <w:szCs w:val="48"/>
        </w:rPr>
        <w:t>北京市建设工程施工总承包单位</w:t>
      </w:r>
    </w:p>
    <w:p w14:paraId="48826C6F">
      <w:pPr>
        <w:jc w:val="center"/>
        <w:rPr>
          <w:rFonts w:hint="eastAsia" w:ascii="华文中宋" w:hAnsi="华文中宋" w:eastAsia="华文中宋" w:cs="华文中宋"/>
          <w:b/>
          <w:bCs/>
          <w:sz w:val="15"/>
          <w:szCs w:val="15"/>
        </w:rPr>
      </w:pPr>
    </w:p>
    <w:p w14:paraId="2D2D005D">
      <w:pPr>
        <w:jc w:val="center"/>
        <w:rPr>
          <w:rFonts w:hint="eastAsia" w:ascii="华文中宋" w:hAnsi="华文中宋" w:eastAsia="华文中宋" w:cs="华文中宋"/>
          <w:b/>
          <w:bCs/>
          <w:sz w:val="48"/>
          <w:szCs w:val="48"/>
        </w:rPr>
      </w:pPr>
      <w:r>
        <w:rPr>
          <w:rFonts w:hint="eastAsia" w:ascii="华文中宋" w:hAnsi="华文中宋" w:eastAsia="华文中宋" w:cs="华文中宋"/>
          <w:b/>
          <w:bCs/>
          <w:sz w:val="48"/>
          <w:szCs w:val="48"/>
        </w:rPr>
        <w:t>项目负责人工程质量终身责任</w:t>
      </w:r>
    </w:p>
    <w:p w14:paraId="05909B62">
      <w:pPr>
        <w:jc w:val="center"/>
        <w:rPr>
          <w:rFonts w:hint="eastAsia" w:ascii="华文中宋" w:hAnsi="华文中宋" w:eastAsia="华文中宋" w:cs="华文中宋"/>
          <w:b/>
          <w:bCs/>
          <w:sz w:val="72"/>
          <w:szCs w:val="72"/>
        </w:rPr>
      </w:pPr>
    </w:p>
    <w:p w14:paraId="4D52CC9A">
      <w:pPr>
        <w:jc w:val="center"/>
        <w:rPr>
          <w:rFonts w:hint="eastAsia" w:ascii="华文中宋" w:hAnsi="华文中宋" w:eastAsia="华文中宋" w:cs="华文中宋"/>
          <w:b/>
          <w:bCs/>
          <w:sz w:val="72"/>
          <w:szCs w:val="72"/>
        </w:rPr>
      </w:pPr>
      <w:r>
        <w:rPr>
          <w:rFonts w:hint="eastAsia" w:ascii="华文中宋" w:hAnsi="华文中宋" w:eastAsia="华文中宋" w:cs="华文中宋"/>
          <w:b/>
          <w:bCs/>
          <w:sz w:val="72"/>
          <w:szCs w:val="72"/>
        </w:rPr>
        <w:t>承</w:t>
      </w:r>
    </w:p>
    <w:p w14:paraId="38DA21AA">
      <w:pPr>
        <w:jc w:val="center"/>
        <w:rPr>
          <w:rFonts w:hint="eastAsia" w:ascii="华文中宋" w:hAnsi="华文中宋" w:eastAsia="华文中宋" w:cs="华文中宋"/>
          <w:b/>
          <w:bCs/>
          <w:sz w:val="72"/>
          <w:szCs w:val="72"/>
        </w:rPr>
      </w:pPr>
    </w:p>
    <w:p w14:paraId="28312AAF">
      <w:pPr>
        <w:jc w:val="center"/>
        <w:rPr>
          <w:rFonts w:hint="eastAsia" w:ascii="华文中宋" w:hAnsi="华文中宋" w:eastAsia="华文中宋" w:cs="华文中宋"/>
          <w:b/>
          <w:bCs/>
          <w:sz w:val="72"/>
          <w:szCs w:val="72"/>
        </w:rPr>
      </w:pPr>
      <w:r>
        <w:rPr>
          <w:rFonts w:hint="eastAsia" w:ascii="华文中宋" w:hAnsi="华文中宋" w:eastAsia="华文中宋" w:cs="华文中宋"/>
          <w:b/>
          <w:bCs/>
          <w:sz w:val="72"/>
          <w:szCs w:val="72"/>
        </w:rPr>
        <w:t>诺</w:t>
      </w:r>
    </w:p>
    <w:p w14:paraId="6418D4DA">
      <w:pPr>
        <w:jc w:val="center"/>
        <w:rPr>
          <w:rFonts w:hint="eastAsia" w:ascii="华文中宋" w:hAnsi="华文中宋" w:eastAsia="华文中宋" w:cs="华文中宋"/>
          <w:b/>
          <w:bCs/>
          <w:sz w:val="72"/>
          <w:szCs w:val="72"/>
        </w:rPr>
      </w:pPr>
    </w:p>
    <w:p w14:paraId="68A92AC7">
      <w:pPr>
        <w:jc w:val="center"/>
        <w:rPr>
          <w:rFonts w:hint="eastAsia" w:ascii="华文中宋" w:hAnsi="华文中宋" w:eastAsia="华文中宋" w:cs="华文中宋"/>
          <w:b/>
          <w:bCs/>
          <w:sz w:val="72"/>
          <w:szCs w:val="72"/>
        </w:rPr>
      </w:pPr>
      <w:r>
        <w:rPr>
          <w:rFonts w:hint="eastAsia" w:ascii="华文中宋" w:hAnsi="华文中宋" w:eastAsia="华文中宋" w:cs="华文中宋"/>
          <w:b/>
          <w:bCs/>
          <w:sz w:val="72"/>
          <w:szCs w:val="72"/>
        </w:rPr>
        <w:t>书</w:t>
      </w:r>
    </w:p>
    <w:p w14:paraId="0D00A248">
      <w:pPr>
        <w:spacing w:line="360" w:lineRule="auto"/>
        <w:rPr>
          <w:rFonts w:hint="eastAsia" w:ascii="华文中宋" w:hAnsi="华文中宋" w:eastAsia="华文中宋" w:cs="华文中宋"/>
          <w:b/>
          <w:bCs/>
          <w:sz w:val="36"/>
          <w:szCs w:val="36"/>
        </w:rPr>
      </w:pPr>
    </w:p>
    <w:p w14:paraId="2DE68533">
      <w:pPr>
        <w:spacing w:line="360" w:lineRule="auto"/>
        <w:rPr>
          <w:rFonts w:hint="eastAsia" w:ascii="华文中宋" w:hAnsi="华文中宋" w:eastAsia="华文中宋" w:cs="华文中宋"/>
          <w:b/>
          <w:bCs/>
          <w:sz w:val="18"/>
          <w:szCs w:val="18"/>
        </w:rPr>
      </w:pPr>
      <w:r>
        <w:rPr>
          <w:rFonts w:hint="eastAsia" w:ascii="华文中宋" w:hAnsi="华文中宋" w:eastAsia="华文中宋" w:cs="华文中宋"/>
          <w:b/>
          <w:bCs/>
          <w:sz w:val="36"/>
          <w:szCs w:val="36"/>
        </w:rPr>
        <w:t>工程名称：</w:t>
      </w:r>
      <w:r>
        <w:rPr>
          <w:rFonts w:hint="eastAsia" w:ascii="华文中宋" w:hAnsi="华文中宋" w:eastAsia="华文中宋" w:cs="华文中宋"/>
          <w:b/>
          <w:bCs/>
          <w:sz w:val="18"/>
          <w:szCs w:val="18"/>
        </w:rPr>
        <w:t xml:space="preserve"> </w:t>
      </w:r>
    </w:p>
    <w:p w14:paraId="075AE338">
      <w:pPr>
        <w:jc w:val="left"/>
        <w:rPr>
          <w:rFonts w:hint="eastAsia" w:ascii="华文中宋" w:hAnsi="华文中宋" w:eastAsia="华文中宋" w:cs="华文中宋"/>
          <w:b/>
          <w:bCs/>
          <w:sz w:val="18"/>
          <w:szCs w:val="18"/>
        </w:rPr>
      </w:pPr>
      <w:r>
        <w:rPr>
          <w:rFonts w:hint="eastAsia" w:ascii="华文中宋" w:hAnsi="华文中宋" w:eastAsia="华文中宋" w:cs="华文中宋"/>
          <w:b/>
          <w:bCs/>
          <w:sz w:val="36"/>
          <w:szCs w:val="36"/>
        </w:rPr>
        <w:t xml:space="preserve">施工总承包单位： </w:t>
      </w:r>
    </w:p>
    <w:p w14:paraId="28E4B4F8">
      <w:pPr>
        <w:jc w:val="left"/>
        <w:rPr>
          <w:rFonts w:hint="eastAsia" w:ascii="华文中宋" w:hAnsi="华文中宋" w:eastAsia="华文中宋" w:cs="华文中宋"/>
          <w:b/>
          <w:bCs/>
          <w:sz w:val="18"/>
          <w:szCs w:val="18"/>
        </w:rPr>
      </w:pPr>
      <w:r>
        <w:rPr>
          <w:rFonts w:hint="eastAsia" w:ascii="华文中宋" w:hAnsi="华文中宋" w:eastAsia="华文中宋" w:cs="华文中宋"/>
          <w:b/>
          <w:bCs/>
          <w:sz w:val="36"/>
          <w:szCs w:val="36"/>
        </w:rPr>
        <w:t xml:space="preserve">法定代表人： </w:t>
      </w:r>
    </w:p>
    <w:p w14:paraId="08741434">
      <w:pP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 xml:space="preserve">项目负责人： </w:t>
      </w:r>
    </w:p>
    <w:p w14:paraId="03A6278A">
      <w:pPr>
        <w:spacing w:line="360" w:lineRule="auto"/>
        <w:jc w:val="center"/>
        <w:rPr>
          <w:sz w:val="28"/>
          <w:szCs w:val="28"/>
        </w:rPr>
      </w:pPr>
      <w:r>
        <w:rPr>
          <w:rFonts w:cs="宋体"/>
          <w:b/>
          <w:bCs/>
          <w:sz w:val="28"/>
          <w:szCs w:val="28"/>
        </w:rPr>
        <w:br w:type="page"/>
      </w:r>
      <w:r>
        <w:rPr>
          <w:rFonts w:hint="eastAsia" w:cs="宋体"/>
          <w:b/>
          <w:bCs/>
          <w:sz w:val="28"/>
          <w:szCs w:val="28"/>
        </w:rPr>
        <w:t>承诺书</w:t>
      </w:r>
    </w:p>
    <w:p w14:paraId="4540FBC4">
      <w:pPr>
        <w:spacing w:line="360" w:lineRule="auto"/>
        <w:ind w:firstLine="630" w:firstLineChars="300"/>
        <w:rPr>
          <w:rFonts w:hint="eastAsia" w:ascii="MS Mincho" w:hAnsi="MS Mincho" w:cs="MS Mincho"/>
          <w:szCs w:val="21"/>
        </w:rPr>
      </w:pPr>
      <w:r>
        <w:rPr>
          <w:rFonts w:hint="eastAsia" w:ascii="宋体" w:hAnsi="宋体" w:cs="宋体"/>
          <w:szCs w:val="21"/>
        </w:rPr>
        <w:t>本人</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cs="宋体"/>
          <w:szCs w:val="21"/>
          <w:u w:val="single"/>
        </w:rPr>
        <w:t xml:space="preserve"> </w:t>
      </w:r>
      <w:r>
        <w:rPr>
          <w:rFonts w:hint="eastAsia" w:ascii="宋体" w:hAnsi="宋体" w:cs="MS Mincho"/>
          <w:szCs w:val="21"/>
        </w:rPr>
        <w:t>（</w:t>
      </w:r>
      <w:r>
        <w:rPr>
          <w:rFonts w:hint="eastAsia" w:ascii="宋体" w:hAnsi="宋体" w:cs="宋体"/>
          <w:szCs w:val="21"/>
        </w:rPr>
        <w:t>身份证编号</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szCs w:val="28"/>
        </w:rPr>
        <w:t xml:space="preserve"> </w:t>
      </w:r>
      <w:r>
        <w:rPr>
          <w:rFonts w:hint="eastAsia" w:ascii="宋体" w:hAnsi="宋体" w:cs="宋体"/>
          <w:szCs w:val="21"/>
        </w:rPr>
        <w:t>）受单位（法定代表人：</w:t>
      </w:r>
      <w:r>
        <w:rPr>
          <w:rFonts w:hint="eastAsia" w:ascii="宋体" w:hAnsi="宋体" w:cs="宋体"/>
          <w:szCs w:val="21"/>
          <w:u w:val="single"/>
        </w:rPr>
        <w:t xml:space="preserve"> </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cs="宋体"/>
          <w:szCs w:val="21"/>
          <w:u w:val="single"/>
        </w:rPr>
        <w:t xml:space="preserve"> </w:t>
      </w:r>
      <w:r>
        <w:rPr>
          <w:rFonts w:hint="eastAsia" w:ascii="宋体" w:hAnsi="宋体" w:cs="宋体"/>
          <w:szCs w:val="21"/>
        </w:rPr>
        <w:t>授权），担任</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cs="宋体"/>
          <w:szCs w:val="21"/>
          <w:u w:val="single"/>
        </w:rPr>
        <w:t xml:space="preserve"> </w:t>
      </w:r>
      <w:r>
        <w:rPr>
          <w:rFonts w:hint="eastAsia" w:ascii="宋体" w:hAnsi="宋体" w:cs="宋体"/>
          <w:szCs w:val="21"/>
        </w:rPr>
        <w:t>（工程名称）的施工总承包单位项目负责人</w:t>
      </w:r>
      <w:r>
        <w:rPr>
          <w:rFonts w:hint="eastAsia" w:ascii="MS Mincho" w:hAnsi="MS Mincho" w:eastAsia="MS Mincho" w:cs="MS Mincho"/>
          <w:szCs w:val="21"/>
        </w:rPr>
        <w:t>（</w:t>
      </w:r>
      <w:r>
        <w:rPr>
          <w:rFonts w:hint="eastAsia" w:ascii="宋体" w:hAnsi="宋体" w:cs="宋体"/>
          <w:szCs w:val="21"/>
        </w:rPr>
        <w:t>项目经理</w:t>
      </w:r>
      <w:r>
        <w:rPr>
          <w:rFonts w:hint="eastAsia" w:ascii="MS Mincho" w:hAnsi="MS Mincho" w:eastAsia="MS Mincho" w:cs="MS Mincho"/>
          <w:szCs w:val="21"/>
        </w:rPr>
        <w:t>），</w:t>
      </w:r>
      <w:r>
        <w:rPr>
          <w:rFonts w:hint="eastAsia" w:ascii="宋体" w:hAnsi="宋体" w:cs="宋体"/>
          <w:szCs w:val="21"/>
        </w:rPr>
        <w:t>对该工程项目的施工工作实施组织管理</w:t>
      </w:r>
      <w:r>
        <w:rPr>
          <w:rFonts w:hint="eastAsia" w:ascii="MS Mincho" w:hAnsi="MS Mincho" w:eastAsia="MS Mincho" w:cs="MS Mincho"/>
          <w:szCs w:val="21"/>
        </w:rPr>
        <w:t>，</w:t>
      </w:r>
      <w:r>
        <w:rPr>
          <w:rFonts w:hint="eastAsia" w:ascii="宋体" w:hAnsi="宋体" w:cs="宋体"/>
          <w:szCs w:val="21"/>
        </w:rPr>
        <w:t>并依法对该工程项目在设计使用年限内的工程质量承担相应终身责任。本人将严格遵守职业道德</w:t>
      </w:r>
      <w:r>
        <w:rPr>
          <w:rFonts w:hint="eastAsia" w:ascii="MS Mincho" w:hAnsi="MS Mincho" w:eastAsia="MS Mincho" w:cs="MS Mincho"/>
          <w:szCs w:val="21"/>
        </w:rPr>
        <w:t>，</w:t>
      </w:r>
      <w:r>
        <w:rPr>
          <w:rFonts w:hint="eastAsia" w:ascii="宋体" w:hAnsi="宋体" w:cs="宋体"/>
          <w:szCs w:val="21"/>
        </w:rPr>
        <w:t>并代表施工总承包单位和我本人作出如下郑重承诺</w:t>
      </w:r>
      <w:r>
        <w:rPr>
          <w:rFonts w:hint="eastAsia" w:ascii="MS Mincho" w:hAnsi="MS Mincho" w:eastAsia="MS Mincho" w:cs="MS Mincho"/>
          <w:szCs w:val="21"/>
        </w:rPr>
        <w:t>：</w:t>
      </w:r>
    </w:p>
    <w:p w14:paraId="466DF8FF">
      <w:pPr>
        <w:spacing w:line="360" w:lineRule="auto"/>
        <w:ind w:firstLine="630" w:firstLineChars="300"/>
        <w:rPr>
          <w:rFonts w:hint="eastAsia" w:ascii="宋体" w:hAnsi="宋体" w:cs="宋体"/>
          <w:szCs w:val="21"/>
        </w:rPr>
      </w:pPr>
      <w:r>
        <w:rPr>
          <w:rFonts w:hint="eastAsia" w:ascii="宋体" w:hAnsi="宋体" w:cs="宋体"/>
          <w:szCs w:val="21"/>
        </w:rPr>
        <w:t>一、严格按照《建筑法》、《中华人民共和国城乡规划法》、《建设工程质量管理条例》等国家和北京市有关建设工程的法律法规、标准规范、文件规定和工程设计文件、合同约定</w:t>
      </w:r>
      <w:r>
        <w:rPr>
          <w:rFonts w:hint="eastAsia" w:ascii="MS Mincho" w:hAnsi="MS Mincho" w:eastAsia="MS Mincho" w:cs="MS Mincho"/>
          <w:szCs w:val="21"/>
        </w:rPr>
        <w:t>，</w:t>
      </w:r>
      <w:r>
        <w:rPr>
          <w:rFonts w:hint="eastAsia" w:ascii="宋体" w:hAnsi="宋体" w:cs="宋体"/>
          <w:szCs w:val="21"/>
        </w:rPr>
        <w:t>认真履行施工总承包单位项目负责人的职责和义务。保证不违反法律法规和标准规范，不降低建设工程施工质量。</w:t>
      </w:r>
    </w:p>
    <w:p w14:paraId="092FF736">
      <w:pPr>
        <w:spacing w:line="360" w:lineRule="auto"/>
        <w:ind w:firstLine="630" w:firstLineChars="300"/>
        <w:rPr>
          <w:rFonts w:hint="eastAsia" w:ascii="宋体" w:hAnsi="宋体" w:cs="宋体"/>
          <w:szCs w:val="21"/>
        </w:rPr>
      </w:pPr>
      <w:r>
        <w:rPr>
          <w:rFonts w:hint="eastAsia" w:ascii="宋体" w:hAnsi="宋体" w:cs="宋体"/>
          <w:szCs w:val="21"/>
        </w:rPr>
        <w:t>二、本人持有符合规定且有效的执业资格注册证书，在符合注册许可范围和聘用单位资质等级许可范围内进行执业。保证不以他人名义执业，不让其他人员借名替代，不超越许可范围执业。保证不违法分包，不与分包单位串通、弄虚作假、降低工程质量。</w:t>
      </w:r>
    </w:p>
    <w:p w14:paraId="7D0096C8">
      <w:pPr>
        <w:spacing w:line="360" w:lineRule="auto"/>
        <w:ind w:firstLine="630" w:firstLineChars="300"/>
        <w:rPr>
          <w:rFonts w:hint="eastAsia" w:ascii="宋体" w:hAnsi="宋体" w:cs="宋体"/>
          <w:szCs w:val="21"/>
        </w:rPr>
      </w:pPr>
      <w:r>
        <w:rPr>
          <w:rFonts w:hint="eastAsia" w:ascii="宋体" w:hAnsi="宋体" w:cs="宋体"/>
          <w:szCs w:val="21"/>
        </w:rPr>
        <w:t>三、建立健全质量管理体系，按有关规定配备施工现场管理人员，保证相关人员持证上岗，落实质量责任制，保证不让分包单位以包代管；建立健全教育培训制度，保证不让未经教育培训或者考核不合格的人员上岗作业。</w:t>
      </w:r>
    </w:p>
    <w:p w14:paraId="77ADE3ED">
      <w:pPr>
        <w:spacing w:line="360" w:lineRule="auto"/>
        <w:ind w:firstLine="630" w:firstLineChars="300"/>
        <w:rPr>
          <w:rFonts w:hint="eastAsia" w:ascii="宋体" w:hAnsi="宋体" w:cs="宋体"/>
          <w:szCs w:val="21"/>
        </w:rPr>
      </w:pPr>
      <w:r>
        <w:rPr>
          <w:rFonts w:hint="eastAsia" w:ascii="宋体" w:hAnsi="宋体" w:cs="宋体"/>
          <w:szCs w:val="21"/>
        </w:rPr>
        <w:t>四、对应当实行抽样检测的建筑材料、商品混凝土、混凝土预制构件、建筑构配件和设备等，在建设单位或者监理单位见证下取样送检，经检测合格后使用；保证取样、封样、送检工作不弄虚作假；未经检验、检验不合格或者未经签字确认的，保证不在工程上使用或者安装。</w:t>
      </w:r>
    </w:p>
    <w:p w14:paraId="6076A809">
      <w:pPr>
        <w:spacing w:line="360" w:lineRule="auto"/>
        <w:ind w:firstLine="630" w:firstLineChars="300"/>
        <w:rPr>
          <w:rFonts w:hint="eastAsia" w:ascii="宋体" w:hAnsi="宋体" w:cs="宋体"/>
          <w:szCs w:val="21"/>
        </w:rPr>
      </w:pPr>
      <w:r>
        <w:rPr>
          <w:rFonts w:hint="eastAsia" w:ascii="宋体" w:hAnsi="宋体" w:cs="宋体"/>
          <w:szCs w:val="21"/>
        </w:rPr>
        <w:t>五、严格按照工程设计和施工技术标准施工，保证关键部位、关键工序施工过程中施工管理人员到岗履职。隐蔽工程、上道工序未经验收或者验收不合格，保证不擅自隐蔽、不进行下一道工序；保证不擅自修改工程设计，不偷工减料；发现设计文件和图纸有差错的，保证及时提出意见和建议。</w:t>
      </w:r>
    </w:p>
    <w:p w14:paraId="6BA8C409">
      <w:pPr>
        <w:spacing w:line="360" w:lineRule="auto"/>
        <w:ind w:firstLine="630" w:firstLineChars="300"/>
        <w:rPr>
          <w:rFonts w:hint="eastAsia" w:ascii="宋体" w:hAnsi="宋体" w:cs="宋体"/>
          <w:szCs w:val="21"/>
        </w:rPr>
      </w:pPr>
      <w:r>
        <w:rPr>
          <w:rFonts w:hint="eastAsia" w:ascii="宋体" w:hAnsi="宋体" w:cs="宋体"/>
          <w:szCs w:val="21"/>
        </w:rPr>
        <w:t>六、保证使用北京市工商局和市住房和城乡建设委联合监制的《北京市预拌混凝土买卖合同》，签订后，严格执行。保证不签订阴阳合同，不在混凝土拌合物中加水或其它组分。</w:t>
      </w:r>
    </w:p>
    <w:p w14:paraId="0FB2A07C">
      <w:pPr>
        <w:spacing w:line="360" w:lineRule="auto"/>
        <w:ind w:firstLine="630" w:firstLineChars="300"/>
        <w:rPr>
          <w:rFonts w:hint="eastAsia" w:ascii="宋体" w:hAnsi="宋体" w:cs="宋体"/>
          <w:szCs w:val="21"/>
        </w:rPr>
      </w:pPr>
      <w:r>
        <w:rPr>
          <w:rFonts w:hint="eastAsia" w:ascii="宋体" w:hAnsi="宋体" w:cs="宋体"/>
          <w:szCs w:val="21"/>
        </w:rPr>
        <w:t>七、愿意接受政府建设主管部门和有关单位的检查、考核、指导。保证对存在的问题和隐患按要求整改，并按规定接受处理。</w:t>
      </w:r>
    </w:p>
    <w:p w14:paraId="08D9161D">
      <w:pPr>
        <w:topLinePunct/>
        <w:jc w:val="center"/>
        <w:rPr>
          <w:rFonts w:hint="eastAsia" w:ascii="华文中宋" w:hAnsi="华文中宋" w:eastAsia="华文中宋" w:cs="华文中宋"/>
          <w:b/>
          <w:bCs/>
          <w:sz w:val="44"/>
          <w:szCs w:val="44"/>
        </w:rPr>
      </w:pPr>
      <w:r>
        <w:rPr>
          <w:rFonts w:ascii="华文中宋" w:hAnsi="华文中宋" w:eastAsia="华文中宋" w:cs="华文中宋"/>
          <w:b/>
          <w:bCs/>
          <w:sz w:val="44"/>
          <w:szCs w:val="44"/>
        </w:rPr>
        <w:br w:type="page"/>
      </w:r>
      <w:r>
        <w:rPr>
          <w:rFonts w:hint="eastAsia" w:ascii="华文中宋" w:hAnsi="华文中宋" w:eastAsia="华文中宋" w:cs="华文中宋"/>
          <w:b/>
          <w:bCs/>
          <w:sz w:val="44"/>
          <w:szCs w:val="44"/>
        </w:rPr>
        <w:t>承诺人信息</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1065"/>
        <w:gridCol w:w="1733"/>
        <w:gridCol w:w="988"/>
        <w:gridCol w:w="2606"/>
      </w:tblGrid>
      <w:tr w14:paraId="0A0A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Borders>
              <w:top w:val="single" w:color="auto" w:sz="4" w:space="0"/>
              <w:left w:val="single" w:color="auto" w:sz="4" w:space="0"/>
              <w:bottom w:val="single" w:color="auto" w:sz="4" w:space="0"/>
              <w:right w:val="single" w:color="auto" w:sz="4" w:space="0"/>
            </w:tcBorders>
          </w:tcPr>
          <w:p w14:paraId="23DE91A4">
            <w:pPr>
              <w:pStyle w:val="254"/>
              <w:widowControl w:val="0"/>
              <w:autoSpaceDE w:val="0"/>
              <w:autoSpaceDN w:val="0"/>
              <w:adjustRightInd w:val="0"/>
              <w:spacing w:before="0" w:after="0" w:line="281" w:lineRule="exact"/>
              <w:ind w:firstLine="206"/>
              <w:jc w:val="center"/>
              <w:rPr>
                <w:rFonts w:ascii="宋体" w:eastAsia="宋体"/>
                <w:kern w:val="2"/>
                <w:sz w:val="21"/>
                <w:szCs w:val="24"/>
                <w:lang w:val="en-US" w:eastAsia="zh-CN"/>
              </w:rPr>
            </w:pPr>
            <w:r>
              <w:rPr>
                <w:kern w:val="2"/>
                <w:sz w:val="21"/>
                <w:szCs w:val="24"/>
                <w:lang w:val="en-US" w:eastAsia="zh-CN"/>
              </w:rPr>
              <w:t>被授权人基本情况</w:t>
            </w:r>
          </w:p>
        </w:tc>
      </w:tr>
      <w:tr w14:paraId="0C39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0B137BDF">
            <w:pPr>
              <w:spacing w:line="360" w:lineRule="auto"/>
              <w:rPr>
                <w:rFonts w:ascii="宋体"/>
              </w:rPr>
            </w:pPr>
            <w:r>
              <w:rPr>
                <w:rFonts w:hint="eastAsia" w:ascii="宋体"/>
              </w:rPr>
              <w:t>姓名</w:t>
            </w:r>
          </w:p>
        </w:tc>
        <w:tc>
          <w:tcPr>
            <w:tcW w:w="2798" w:type="dxa"/>
            <w:gridSpan w:val="2"/>
            <w:tcBorders>
              <w:top w:val="single" w:color="auto" w:sz="4" w:space="0"/>
              <w:left w:val="single" w:color="auto" w:sz="4" w:space="0"/>
              <w:bottom w:val="single" w:color="auto" w:sz="4" w:space="0"/>
              <w:right w:val="single" w:color="auto" w:sz="4" w:space="0"/>
            </w:tcBorders>
          </w:tcPr>
          <w:p w14:paraId="4FEA9944">
            <w:pPr>
              <w:spacing w:line="360" w:lineRule="auto"/>
              <w:rPr>
                <w:rFonts w:ascii="宋体"/>
              </w:rPr>
            </w:pPr>
          </w:p>
        </w:tc>
        <w:tc>
          <w:tcPr>
            <w:tcW w:w="3594" w:type="dxa"/>
            <w:gridSpan w:val="2"/>
            <w:tcBorders>
              <w:top w:val="single" w:color="auto" w:sz="4" w:space="0"/>
              <w:left w:val="single" w:color="auto" w:sz="4" w:space="0"/>
              <w:bottom w:val="single" w:color="auto" w:sz="4" w:space="0"/>
              <w:right w:val="single" w:color="auto" w:sz="4" w:space="0"/>
            </w:tcBorders>
          </w:tcPr>
          <w:p w14:paraId="559030F6">
            <w:pPr>
              <w:spacing w:line="360" w:lineRule="auto"/>
              <w:rPr>
                <w:rFonts w:ascii="宋体"/>
              </w:rPr>
            </w:pPr>
            <w:r>
              <w:rPr>
                <w:rFonts w:hint="eastAsia" w:ascii="宋体"/>
              </w:rPr>
              <w:t>身份证编号：</w:t>
            </w:r>
          </w:p>
        </w:tc>
      </w:tr>
      <w:tr w14:paraId="45F4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543F1D05">
            <w:pPr>
              <w:spacing w:line="360" w:lineRule="auto"/>
              <w:rPr>
                <w:rFonts w:ascii="宋体"/>
              </w:rPr>
            </w:pPr>
            <w:r>
              <w:rPr>
                <w:rFonts w:hint="eastAsia" w:ascii="宋体"/>
              </w:rPr>
              <w:t>电话</w:t>
            </w:r>
          </w:p>
        </w:tc>
        <w:tc>
          <w:tcPr>
            <w:tcW w:w="2798" w:type="dxa"/>
            <w:gridSpan w:val="2"/>
            <w:tcBorders>
              <w:top w:val="single" w:color="auto" w:sz="4" w:space="0"/>
              <w:left w:val="single" w:color="auto" w:sz="4" w:space="0"/>
              <w:bottom w:val="single" w:color="auto" w:sz="4" w:space="0"/>
              <w:right w:val="single" w:color="auto" w:sz="4" w:space="0"/>
            </w:tcBorders>
          </w:tcPr>
          <w:p w14:paraId="27B336F1">
            <w:pPr>
              <w:spacing w:line="360" w:lineRule="auto"/>
              <w:rPr>
                <w:rFonts w:ascii="宋体"/>
              </w:rPr>
            </w:pPr>
          </w:p>
        </w:tc>
        <w:tc>
          <w:tcPr>
            <w:tcW w:w="3594" w:type="dxa"/>
            <w:gridSpan w:val="2"/>
            <w:tcBorders>
              <w:top w:val="single" w:color="auto" w:sz="4" w:space="0"/>
              <w:left w:val="single" w:color="auto" w:sz="4" w:space="0"/>
              <w:bottom w:val="single" w:color="auto" w:sz="4" w:space="0"/>
              <w:right w:val="single" w:color="auto" w:sz="4" w:space="0"/>
            </w:tcBorders>
          </w:tcPr>
          <w:p w14:paraId="4C4189CE">
            <w:pPr>
              <w:spacing w:line="360" w:lineRule="auto"/>
              <w:rPr>
                <w:rFonts w:ascii="宋体"/>
              </w:rPr>
            </w:pPr>
            <w:r>
              <w:rPr>
                <w:rFonts w:hint="eastAsia" w:ascii="宋体"/>
              </w:rPr>
              <w:t xml:space="preserve">户籍所在地： </w:t>
            </w:r>
          </w:p>
        </w:tc>
      </w:tr>
      <w:tr w14:paraId="2E4A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6B619DB3">
            <w:pPr>
              <w:spacing w:line="360" w:lineRule="auto"/>
              <w:rPr>
                <w:rFonts w:ascii="宋体"/>
              </w:rPr>
            </w:pPr>
            <w:r>
              <w:rPr>
                <w:rFonts w:hint="eastAsia" w:ascii="宋体"/>
              </w:rPr>
              <w:t>注册证书</w:t>
            </w:r>
          </w:p>
        </w:tc>
        <w:tc>
          <w:tcPr>
            <w:tcW w:w="1065" w:type="dxa"/>
            <w:tcBorders>
              <w:top w:val="single" w:color="auto" w:sz="4" w:space="0"/>
              <w:left w:val="single" w:color="auto" w:sz="4" w:space="0"/>
              <w:bottom w:val="single" w:color="auto" w:sz="4" w:space="0"/>
              <w:right w:val="single" w:color="auto" w:sz="4" w:space="0"/>
            </w:tcBorders>
          </w:tcPr>
          <w:p w14:paraId="531C21A6">
            <w:pPr>
              <w:spacing w:line="360" w:lineRule="auto"/>
              <w:rPr>
                <w:rFonts w:ascii="宋体"/>
              </w:rPr>
            </w:pPr>
            <w:r>
              <w:rPr>
                <w:rFonts w:hint="eastAsia" w:ascii="宋体"/>
              </w:rPr>
              <w:t>编号</w:t>
            </w:r>
          </w:p>
        </w:tc>
        <w:tc>
          <w:tcPr>
            <w:tcW w:w="1733" w:type="dxa"/>
            <w:tcBorders>
              <w:top w:val="single" w:color="auto" w:sz="4" w:space="0"/>
              <w:left w:val="single" w:color="auto" w:sz="4" w:space="0"/>
              <w:bottom w:val="single" w:color="auto" w:sz="4" w:space="0"/>
              <w:right w:val="single" w:color="auto" w:sz="4" w:space="0"/>
            </w:tcBorders>
          </w:tcPr>
          <w:p w14:paraId="6C01DB89">
            <w:pPr>
              <w:spacing w:line="360" w:lineRule="auto"/>
              <w:jc w:val="center"/>
              <w:rPr>
                <w:rFonts w:ascii="宋体"/>
              </w:rPr>
            </w:pPr>
          </w:p>
        </w:tc>
        <w:tc>
          <w:tcPr>
            <w:tcW w:w="988" w:type="dxa"/>
            <w:tcBorders>
              <w:top w:val="single" w:color="auto" w:sz="4" w:space="0"/>
              <w:left w:val="single" w:color="auto" w:sz="4" w:space="0"/>
              <w:bottom w:val="single" w:color="auto" w:sz="4" w:space="0"/>
              <w:right w:val="single" w:color="auto" w:sz="4" w:space="0"/>
            </w:tcBorders>
          </w:tcPr>
          <w:p w14:paraId="59923DD8">
            <w:pPr>
              <w:spacing w:line="360" w:lineRule="auto"/>
              <w:rPr>
                <w:rFonts w:ascii="宋体"/>
              </w:rPr>
            </w:pPr>
            <w:r>
              <w:rPr>
                <w:rFonts w:hint="eastAsia" w:ascii="宋体"/>
              </w:rPr>
              <w:t>类别</w:t>
            </w:r>
          </w:p>
        </w:tc>
        <w:tc>
          <w:tcPr>
            <w:tcW w:w="2606" w:type="dxa"/>
            <w:tcBorders>
              <w:top w:val="single" w:color="auto" w:sz="4" w:space="0"/>
              <w:left w:val="single" w:color="auto" w:sz="4" w:space="0"/>
              <w:bottom w:val="single" w:color="auto" w:sz="4" w:space="0"/>
              <w:right w:val="single" w:color="auto" w:sz="4" w:space="0"/>
            </w:tcBorders>
          </w:tcPr>
          <w:p w14:paraId="56950B4F">
            <w:pPr>
              <w:spacing w:line="360" w:lineRule="auto"/>
              <w:rPr>
                <w:rFonts w:ascii="宋体"/>
              </w:rPr>
            </w:pPr>
          </w:p>
        </w:tc>
      </w:tr>
      <w:tr w14:paraId="488C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16B1E1AB">
            <w:pPr>
              <w:spacing w:line="360" w:lineRule="auto"/>
              <w:rPr>
                <w:rFonts w:ascii="宋体"/>
              </w:rPr>
            </w:pPr>
          </w:p>
        </w:tc>
        <w:tc>
          <w:tcPr>
            <w:tcW w:w="1065" w:type="dxa"/>
            <w:tcBorders>
              <w:top w:val="single" w:color="auto" w:sz="4" w:space="0"/>
              <w:left w:val="single" w:color="auto" w:sz="4" w:space="0"/>
              <w:bottom w:val="single" w:color="auto" w:sz="4" w:space="0"/>
              <w:right w:val="single" w:color="auto" w:sz="4" w:space="0"/>
            </w:tcBorders>
          </w:tcPr>
          <w:p w14:paraId="745FECB8">
            <w:pPr>
              <w:spacing w:line="360" w:lineRule="auto"/>
              <w:rPr>
                <w:rFonts w:ascii="宋体"/>
              </w:rPr>
            </w:pPr>
            <w:r>
              <w:rPr>
                <w:rFonts w:hint="eastAsia" w:ascii="宋体"/>
              </w:rPr>
              <w:t>专业</w:t>
            </w:r>
          </w:p>
        </w:tc>
        <w:tc>
          <w:tcPr>
            <w:tcW w:w="1733" w:type="dxa"/>
            <w:tcBorders>
              <w:top w:val="single" w:color="auto" w:sz="4" w:space="0"/>
              <w:left w:val="single" w:color="auto" w:sz="4" w:space="0"/>
              <w:bottom w:val="single" w:color="auto" w:sz="4" w:space="0"/>
              <w:right w:val="single" w:color="auto" w:sz="4" w:space="0"/>
            </w:tcBorders>
          </w:tcPr>
          <w:p w14:paraId="16EA602C">
            <w:pPr>
              <w:spacing w:line="360" w:lineRule="auto"/>
              <w:rPr>
                <w:rFonts w:ascii="宋体"/>
              </w:rPr>
            </w:pPr>
          </w:p>
        </w:tc>
        <w:tc>
          <w:tcPr>
            <w:tcW w:w="988" w:type="dxa"/>
            <w:tcBorders>
              <w:top w:val="single" w:color="auto" w:sz="4" w:space="0"/>
              <w:left w:val="single" w:color="auto" w:sz="4" w:space="0"/>
              <w:bottom w:val="single" w:color="auto" w:sz="4" w:space="0"/>
              <w:right w:val="single" w:color="auto" w:sz="4" w:space="0"/>
            </w:tcBorders>
          </w:tcPr>
          <w:p w14:paraId="693D9CD4">
            <w:pPr>
              <w:spacing w:line="360" w:lineRule="auto"/>
              <w:rPr>
                <w:rFonts w:ascii="宋体"/>
              </w:rPr>
            </w:pPr>
            <w:r>
              <w:rPr>
                <w:rFonts w:hint="eastAsia" w:ascii="宋体"/>
              </w:rPr>
              <w:t>期限</w:t>
            </w:r>
          </w:p>
        </w:tc>
        <w:tc>
          <w:tcPr>
            <w:tcW w:w="2606" w:type="dxa"/>
            <w:tcBorders>
              <w:top w:val="single" w:color="auto" w:sz="4" w:space="0"/>
              <w:left w:val="single" w:color="auto" w:sz="4" w:space="0"/>
              <w:bottom w:val="single" w:color="auto" w:sz="4" w:space="0"/>
              <w:right w:val="single" w:color="auto" w:sz="4" w:space="0"/>
            </w:tcBorders>
          </w:tcPr>
          <w:p w14:paraId="5AC64C95">
            <w:pPr>
              <w:spacing w:line="360" w:lineRule="auto"/>
              <w:rPr>
                <w:rFonts w:ascii="宋体"/>
              </w:rPr>
            </w:pPr>
          </w:p>
        </w:tc>
      </w:tr>
      <w:tr w14:paraId="005A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7B793930">
            <w:pPr>
              <w:spacing w:line="360" w:lineRule="auto"/>
              <w:rPr>
                <w:rFonts w:ascii="宋体"/>
              </w:rPr>
            </w:pPr>
            <w:r>
              <w:rPr>
                <w:rFonts w:hint="eastAsia" w:ascii="宋体"/>
              </w:rPr>
              <w:t>备注</w:t>
            </w:r>
          </w:p>
        </w:tc>
        <w:tc>
          <w:tcPr>
            <w:tcW w:w="6392" w:type="dxa"/>
            <w:gridSpan w:val="4"/>
            <w:tcBorders>
              <w:top w:val="single" w:color="auto" w:sz="4" w:space="0"/>
              <w:left w:val="single" w:color="auto" w:sz="4" w:space="0"/>
              <w:bottom w:val="single" w:color="auto" w:sz="4" w:space="0"/>
              <w:right w:val="single" w:color="auto" w:sz="4" w:space="0"/>
            </w:tcBorders>
          </w:tcPr>
          <w:p w14:paraId="609DA5F1">
            <w:pPr>
              <w:spacing w:line="360" w:lineRule="auto"/>
              <w:rPr>
                <w:rFonts w:ascii="宋体"/>
              </w:rPr>
            </w:pPr>
          </w:p>
        </w:tc>
      </w:tr>
      <w:tr w14:paraId="5F24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Borders>
              <w:top w:val="single" w:color="auto" w:sz="4" w:space="0"/>
              <w:left w:val="single" w:color="auto" w:sz="4" w:space="0"/>
              <w:bottom w:val="single" w:color="auto" w:sz="4" w:space="0"/>
              <w:right w:val="single" w:color="auto" w:sz="4" w:space="0"/>
            </w:tcBorders>
          </w:tcPr>
          <w:p w14:paraId="0D031230">
            <w:pPr>
              <w:spacing w:line="360" w:lineRule="auto"/>
              <w:rPr>
                <w:rFonts w:ascii="宋体"/>
              </w:rPr>
            </w:pPr>
          </w:p>
        </w:tc>
      </w:tr>
    </w:tbl>
    <w:p w14:paraId="5BB7E9A9">
      <w:pPr>
        <w:topLinePunct/>
        <w:jc w:val="center"/>
        <w:rPr>
          <w:rFonts w:hint="eastAsia" w:ascii="华文中宋" w:hAnsi="华文中宋" w:eastAsia="华文中宋" w:cs="华文中宋"/>
          <w:b/>
          <w:bCs/>
          <w:sz w:val="36"/>
          <w:szCs w:val="36"/>
        </w:rPr>
      </w:pPr>
    </w:p>
    <w:p w14:paraId="131FE759">
      <w:pPr>
        <w:spacing w:line="360" w:lineRule="auto"/>
        <w:ind w:firstLine="420" w:firstLineChars="200"/>
        <w:rPr>
          <w:rFonts w:ascii="宋体"/>
          <w:szCs w:val="28"/>
        </w:rPr>
      </w:pPr>
    </w:p>
    <w:p w14:paraId="3147075F">
      <w:pPr>
        <w:spacing w:line="360" w:lineRule="auto"/>
        <w:ind w:right="640" w:firstLine="480" w:firstLineChars="200"/>
        <w:jc w:val="right"/>
        <w:rPr>
          <w:rFonts w:hint="eastAsia" w:ascii="DDJLFQ+·ÂËÎ" w:hAnsi="DDJLFQ+·ÂËÎ" w:cs="DDJLFQ+·ÂËÎ"/>
          <w:sz w:val="24"/>
        </w:rPr>
      </w:pPr>
    </w:p>
    <w:p w14:paraId="57B492D3">
      <w:pPr>
        <w:ind w:firstLine="630" w:firstLineChars="300"/>
        <w:rPr>
          <w:rFonts w:hint="eastAsia" w:ascii="宋体" w:hAnsi="宋体"/>
          <w:szCs w:val="21"/>
        </w:rPr>
      </w:pPr>
      <w:r>
        <w:drawing>
          <wp:anchor distT="0" distB="0" distL="114300" distR="114300" simplePos="0" relativeHeight="251687936" behindDoc="0" locked="0" layoutInCell="1" allowOverlap="1">
            <wp:simplePos x="0" y="0"/>
            <wp:positionH relativeFrom="column">
              <wp:posOffset>-383540</wp:posOffset>
            </wp:positionH>
            <wp:positionV relativeFrom="paragraph">
              <wp:posOffset>-186690</wp:posOffset>
            </wp:positionV>
            <wp:extent cx="5724525" cy="3317240"/>
            <wp:effectExtent l="0" t="0" r="9525" b="165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1"/>
                    <a:stretch>
                      <a:fillRect/>
                    </a:stretch>
                  </pic:blipFill>
                  <pic:spPr>
                    <a:xfrm>
                      <a:off x="0" y="0"/>
                      <a:ext cx="5724525" cy="3317240"/>
                    </a:xfrm>
                    <a:prstGeom prst="rect">
                      <a:avLst/>
                    </a:prstGeom>
                    <a:noFill/>
                    <a:ln>
                      <a:noFill/>
                    </a:ln>
                  </pic:spPr>
                </pic:pic>
              </a:graphicData>
            </a:graphic>
          </wp:anchor>
        </w:drawing>
      </w:r>
    </w:p>
    <w:p w14:paraId="1205C3F1">
      <w:pPr>
        <w:ind w:firstLine="630" w:firstLineChars="300"/>
        <w:rPr>
          <w:rFonts w:hint="eastAsia" w:ascii="宋体" w:hAnsi="宋体"/>
          <w:szCs w:val="21"/>
        </w:rPr>
      </w:pPr>
    </w:p>
    <w:p w14:paraId="3AC06006">
      <w:pPr>
        <w:ind w:firstLine="630" w:firstLineChars="300"/>
        <w:rPr>
          <w:rFonts w:hint="eastAsia" w:ascii="宋体" w:hAnsi="宋体"/>
          <w:szCs w:val="21"/>
        </w:rPr>
      </w:pPr>
    </w:p>
    <w:p w14:paraId="3538E70B">
      <w:pPr>
        <w:ind w:firstLine="630" w:firstLineChars="300"/>
        <w:rPr>
          <w:rFonts w:hint="eastAsia" w:ascii="宋体" w:hAnsi="宋体"/>
          <w:szCs w:val="21"/>
        </w:rPr>
      </w:pPr>
    </w:p>
    <w:p w14:paraId="15EC7627">
      <w:pPr>
        <w:ind w:firstLine="630" w:firstLineChars="300"/>
        <w:rPr>
          <w:rFonts w:hint="eastAsia" w:ascii="宋体" w:hAnsi="宋体"/>
          <w:szCs w:val="21"/>
        </w:rPr>
      </w:pPr>
    </w:p>
    <w:p w14:paraId="0697FBF0">
      <w:pPr>
        <w:ind w:firstLine="630" w:firstLineChars="300"/>
        <w:rPr>
          <w:rFonts w:hint="eastAsia" w:ascii="宋体" w:hAnsi="宋体"/>
          <w:szCs w:val="21"/>
        </w:rPr>
      </w:pPr>
    </w:p>
    <w:p w14:paraId="63A57B0A">
      <w:pPr>
        <w:ind w:firstLine="630" w:firstLineChars="300"/>
        <w:rPr>
          <w:rFonts w:hint="eastAsia" w:ascii="宋体" w:hAnsi="宋体"/>
          <w:szCs w:val="21"/>
        </w:rPr>
      </w:pPr>
    </w:p>
    <w:p w14:paraId="37EB5F04">
      <w:pPr>
        <w:ind w:firstLine="630" w:firstLineChars="300"/>
        <w:rPr>
          <w:rFonts w:hint="eastAsia" w:ascii="宋体" w:hAnsi="宋体"/>
          <w:szCs w:val="21"/>
        </w:rPr>
      </w:pPr>
    </w:p>
    <w:p w14:paraId="37FB7B52">
      <w:pPr>
        <w:ind w:firstLine="630" w:firstLineChars="300"/>
        <w:rPr>
          <w:rFonts w:hint="eastAsia" w:ascii="宋体" w:hAnsi="宋体"/>
          <w:szCs w:val="21"/>
        </w:rPr>
      </w:pPr>
    </w:p>
    <w:p w14:paraId="028E2C6F">
      <w:pPr>
        <w:ind w:firstLine="630" w:firstLineChars="300"/>
        <w:rPr>
          <w:rFonts w:hint="eastAsia" w:ascii="宋体" w:hAnsi="宋体"/>
          <w:szCs w:val="21"/>
        </w:rPr>
      </w:pPr>
    </w:p>
    <w:p w14:paraId="39A79285">
      <w:pPr>
        <w:ind w:firstLine="630" w:firstLineChars="300"/>
        <w:rPr>
          <w:rFonts w:hint="eastAsia" w:ascii="宋体" w:hAnsi="宋体"/>
          <w:szCs w:val="21"/>
        </w:rPr>
      </w:pPr>
    </w:p>
    <w:p w14:paraId="0E72B900">
      <w:pPr>
        <w:ind w:firstLine="630" w:firstLineChars="300"/>
        <w:rPr>
          <w:rFonts w:hint="eastAsia" w:ascii="宋体" w:hAnsi="宋体"/>
          <w:szCs w:val="21"/>
        </w:rPr>
      </w:pPr>
    </w:p>
    <w:p w14:paraId="5FCD01CF">
      <w:pPr>
        <w:ind w:firstLine="630" w:firstLineChars="300"/>
        <w:rPr>
          <w:rFonts w:hint="eastAsia" w:ascii="宋体" w:hAnsi="宋体"/>
          <w:szCs w:val="21"/>
        </w:rPr>
      </w:pPr>
    </w:p>
    <w:p w14:paraId="07D9AA2B">
      <w:pPr>
        <w:ind w:firstLine="630" w:firstLineChars="300"/>
        <w:rPr>
          <w:rFonts w:hint="eastAsia" w:ascii="宋体" w:hAnsi="宋体"/>
          <w:szCs w:val="21"/>
        </w:rPr>
      </w:pPr>
    </w:p>
    <w:p w14:paraId="2DED25BD">
      <w:pPr>
        <w:ind w:firstLine="630" w:firstLineChars="300"/>
        <w:rPr>
          <w:rFonts w:hint="eastAsia" w:ascii="宋体" w:hAnsi="宋体"/>
          <w:szCs w:val="21"/>
        </w:rPr>
      </w:pPr>
    </w:p>
    <w:p w14:paraId="562A90A7">
      <w:pPr>
        <w:ind w:firstLine="630" w:firstLineChars="300"/>
        <w:rPr>
          <w:rFonts w:hint="eastAsia" w:ascii="宋体" w:hAnsi="宋体"/>
          <w:szCs w:val="21"/>
        </w:rPr>
      </w:pPr>
    </w:p>
    <w:p w14:paraId="7D806FFA">
      <w:pPr>
        <w:ind w:firstLine="630" w:firstLineChars="300"/>
        <w:rPr>
          <w:rFonts w:hint="eastAsia" w:ascii="宋体" w:hAnsi="宋体"/>
          <w:szCs w:val="21"/>
        </w:rPr>
      </w:pPr>
    </w:p>
    <w:p w14:paraId="353AB210">
      <w:pPr>
        <w:ind w:firstLine="630" w:firstLineChars="300"/>
        <w:rPr>
          <w:rFonts w:hint="eastAsia" w:ascii="宋体" w:hAnsi="宋体"/>
          <w:szCs w:val="21"/>
        </w:rPr>
      </w:pPr>
    </w:p>
    <w:p w14:paraId="761C941A">
      <w:pPr>
        <w:rPr>
          <w:rFonts w:hint="eastAsia" w:ascii="宋体" w:hAnsi="宋体"/>
          <w:szCs w:val="21"/>
        </w:rPr>
      </w:pPr>
    </w:p>
    <w:p w14:paraId="50927249">
      <w:pPr>
        <w:rPr>
          <w:rFonts w:hint="eastAsia" w:ascii="宋体" w:hAnsi="宋体" w:cs="宋体"/>
          <w:szCs w:val="21"/>
        </w:rPr>
      </w:pPr>
    </w:p>
    <w:p w14:paraId="3E29AA5D">
      <w:pPr>
        <w:rPr>
          <w:rFonts w:hint="eastAsia" w:ascii="宋体" w:hAnsi="宋体" w:cs="宋体"/>
          <w:szCs w:val="21"/>
        </w:rPr>
      </w:pPr>
      <w:r>
        <w:rPr>
          <w:rFonts w:hint="eastAsia" w:ascii="宋体" w:hAnsi="宋体" w:cs="宋体"/>
          <w:szCs w:val="21"/>
        </w:rPr>
        <w:t>承诺人（签字）            法定代表人（签字）          单位盖章（公章）</w:t>
      </w:r>
    </w:p>
    <w:p w14:paraId="21C6D9D7">
      <w:pPr>
        <w:pStyle w:val="17"/>
        <w:adjustRightInd w:val="0"/>
        <w:snapToGrid w:val="0"/>
        <w:spacing w:before="0" w:line="360" w:lineRule="auto"/>
        <w:rPr>
          <w:rFonts w:hint="eastAsia"/>
          <w:snapToGrid w:val="0"/>
        </w:rPr>
      </w:pPr>
    </w:p>
    <w:p w14:paraId="492C565F">
      <w:pPr>
        <w:rPr>
          <w:sz w:val="32"/>
          <w:szCs w:val="36"/>
        </w:rPr>
      </w:pPr>
      <w:r>
        <w:br w:type="page"/>
      </w:r>
      <w:r>
        <w:rPr>
          <w:rFonts w:hint="eastAsia"/>
          <w:sz w:val="32"/>
          <w:szCs w:val="36"/>
        </w:rPr>
        <w:t>已标价工程量清单及图纸</w:t>
      </w:r>
    </w:p>
    <w:p w14:paraId="4B5F74A6">
      <w:pPr>
        <w:rPr>
          <w:rFonts w:hint="eastAsia" w:ascii="宋体" w:hAnsi="宋体" w:cs="宋体"/>
          <w:color w:val="000000"/>
          <w:sz w:val="18"/>
          <w:szCs w:val="18"/>
        </w:rPr>
      </w:pPr>
      <w:r>
        <w:rPr>
          <w:sz w:val="32"/>
          <w:szCs w:val="36"/>
        </w:rPr>
        <w:br w:type="page"/>
      </w:r>
      <w:r>
        <w:rPr>
          <w:rFonts w:hint="eastAsia"/>
          <w:sz w:val="32"/>
          <w:szCs w:val="36"/>
        </w:rPr>
        <w:t>其他合同文件</w:t>
      </w:r>
    </w:p>
    <w:p w14:paraId="1329C922">
      <w:pPr>
        <w:tabs>
          <w:tab w:val="left" w:pos="900"/>
          <w:tab w:val="left" w:pos="1080"/>
        </w:tabs>
        <w:snapToGrid w:val="0"/>
        <w:spacing w:line="360" w:lineRule="auto"/>
        <w:rPr>
          <w:rFonts w:eastAsiaTheme="minorEastAsia"/>
          <w:b/>
          <w:sz w:val="36"/>
          <w:szCs w:val="36"/>
        </w:rPr>
      </w:pPr>
      <w:r>
        <w:rPr>
          <w:rFonts w:eastAsiaTheme="minorEastAsia"/>
          <w:b/>
          <w:sz w:val="36"/>
          <w:szCs w:val="36"/>
        </w:rPr>
        <w:br w:type="page"/>
      </w:r>
    </w:p>
    <w:p w14:paraId="6468CEA5">
      <w:pPr>
        <w:pStyle w:val="2"/>
        <w:rPr>
          <w:rFonts w:hint="eastAsia"/>
        </w:rPr>
      </w:pPr>
      <w:bookmarkStart w:id="689" w:name="_Toc23736"/>
      <w:r>
        <w:t>第六章   响应文件格式</w:t>
      </w:r>
      <w:bookmarkEnd w:id="689"/>
    </w:p>
    <w:p w14:paraId="090B596F">
      <w:pPr>
        <w:widowControl/>
        <w:spacing w:line="360" w:lineRule="auto"/>
        <w:jc w:val="left"/>
        <w:rPr>
          <w:rFonts w:eastAsiaTheme="minorEastAsia"/>
          <w:b/>
          <w:sz w:val="24"/>
        </w:rPr>
      </w:pPr>
    </w:p>
    <w:p w14:paraId="0EB04B74">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14:paraId="78184B64">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14:paraId="546B761F">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kern w:val="0"/>
          <w:sz w:val="24"/>
        </w:rPr>
        <w:t>对于竞争性磋商文件中标记了“实质性格式”文件的，供应商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6168B398">
      <w:pPr>
        <w:tabs>
          <w:tab w:val="left" w:pos="900"/>
          <w:tab w:val="left" w:pos="1980"/>
        </w:tabs>
        <w:snapToGrid w:val="0"/>
        <w:spacing w:line="360" w:lineRule="auto"/>
        <w:ind w:left="142"/>
        <w:rPr>
          <w:rFonts w:eastAsiaTheme="minorEastAsia"/>
          <w:sz w:val="24"/>
        </w:rPr>
      </w:pPr>
      <w:r>
        <w:rPr>
          <w:rFonts w:eastAsiaTheme="minorEastAsia"/>
          <w:sz w:val="24"/>
        </w:rPr>
        <w:t>3、全部声明和问题的回答及所附材料必须是真实的、准确的和完整的。</w:t>
      </w:r>
    </w:p>
    <w:p w14:paraId="34F4FC06">
      <w:pPr>
        <w:tabs>
          <w:tab w:val="left" w:pos="900"/>
          <w:tab w:val="left" w:pos="1980"/>
        </w:tabs>
        <w:snapToGrid w:val="0"/>
        <w:spacing w:line="360" w:lineRule="auto"/>
        <w:ind w:left="142"/>
        <w:rPr>
          <w:rFonts w:eastAsiaTheme="minorEastAsia"/>
          <w:sz w:val="24"/>
        </w:rPr>
      </w:pPr>
    </w:p>
    <w:p w14:paraId="2620BFBE">
      <w:pPr>
        <w:widowControl/>
        <w:jc w:val="left"/>
        <w:rPr>
          <w:rFonts w:eastAsiaTheme="minorEastAsia"/>
          <w:sz w:val="24"/>
        </w:rPr>
      </w:pPr>
      <w:r>
        <w:rPr>
          <w:rFonts w:eastAsiaTheme="minorEastAsia"/>
          <w:sz w:val="24"/>
        </w:rPr>
        <w:br w:type="page"/>
      </w:r>
    </w:p>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14:paraId="2F10898A">
      <w:pPr>
        <w:rPr>
          <w:rFonts w:eastAsiaTheme="minorEastAsia"/>
          <w:b/>
          <w:spacing w:val="20"/>
          <w:szCs w:val="21"/>
        </w:rPr>
      </w:pPr>
    </w:p>
    <w:p w14:paraId="3A728DD8">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373B8AF3">
      <w:pPr>
        <w:jc w:val="center"/>
        <w:rPr>
          <w:rFonts w:eastAsiaTheme="minorEastAsia"/>
          <w:szCs w:val="21"/>
        </w:rPr>
      </w:pPr>
    </w:p>
    <w:p w14:paraId="747C9181">
      <w:pPr>
        <w:jc w:val="center"/>
        <w:rPr>
          <w:rFonts w:eastAsiaTheme="minorEastAsia"/>
          <w:b/>
          <w:spacing w:val="60"/>
          <w:sz w:val="84"/>
          <w:szCs w:val="84"/>
        </w:rPr>
      </w:pPr>
      <w:r>
        <w:rPr>
          <w:rFonts w:eastAsiaTheme="minorEastAsia"/>
          <w:b/>
          <w:spacing w:val="60"/>
          <w:sz w:val="84"/>
          <w:szCs w:val="84"/>
        </w:rPr>
        <w:t>响 应 文 件</w:t>
      </w:r>
    </w:p>
    <w:p w14:paraId="35F6F102">
      <w:pPr>
        <w:jc w:val="center"/>
        <w:rPr>
          <w:rFonts w:eastAsiaTheme="minorEastAsia"/>
          <w:b/>
          <w:spacing w:val="60"/>
          <w:sz w:val="52"/>
          <w:szCs w:val="52"/>
        </w:rPr>
      </w:pPr>
    </w:p>
    <w:p w14:paraId="178DB26F">
      <w:pPr>
        <w:ind w:firstLine="542" w:firstLineChars="150"/>
        <w:rPr>
          <w:rFonts w:eastAsiaTheme="minorEastAsia"/>
          <w:b/>
          <w:spacing w:val="20"/>
          <w:sz w:val="32"/>
          <w:szCs w:val="32"/>
        </w:rPr>
      </w:pPr>
    </w:p>
    <w:p w14:paraId="3C11410E">
      <w:pPr>
        <w:ind w:firstLine="542" w:firstLineChars="150"/>
        <w:rPr>
          <w:rFonts w:eastAsiaTheme="minorEastAsia"/>
          <w:b/>
          <w:spacing w:val="20"/>
          <w:sz w:val="32"/>
          <w:szCs w:val="32"/>
        </w:rPr>
      </w:pPr>
    </w:p>
    <w:p w14:paraId="2E74AB71">
      <w:pPr>
        <w:ind w:firstLine="542" w:firstLineChars="150"/>
        <w:rPr>
          <w:rFonts w:eastAsiaTheme="minorEastAsia"/>
          <w:b/>
          <w:spacing w:val="20"/>
          <w:sz w:val="32"/>
          <w:szCs w:val="32"/>
        </w:rPr>
      </w:pPr>
      <w:r>
        <w:rPr>
          <w:rFonts w:eastAsiaTheme="minorEastAsia"/>
          <w:b/>
          <w:spacing w:val="20"/>
          <w:sz w:val="32"/>
          <w:szCs w:val="32"/>
        </w:rPr>
        <w:t>项目名称:</w:t>
      </w:r>
    </w:p>
    <w:p w14:paraId="55F77135">
      <w:pPr>
        <w:ind w:firstLine="542" w:firstLineChars="150"/>
        <w:rPr>
          <w:rFonts w:eastAsiaTheme="minorEastAsia"/>
          <w:b/>
          <w:spacing w:val="20"/>
          <w:sz w:val="32"/>
          <w:szCs w:val="32"/>
        </w:rPr>
      </w:pPr>
      <w:r>
        <w:rPr>
          <w:rFonts w:eastAsiaTheme="minorEastAsia"/>
          <w:b/>
          <w:spacing w:val="20"/>
          <w:sz w:val="32"/>
          <w:szCs w:val="32"/>
        </w:rPr>
        <w:t>项目编号/包号：</w:t>
      </w:r>
    </w:p>
    <w:p w14:paraId="7AB1CA38">
      <w:pPr>
        <w:ind w:firstLine="542" w:firstLineChars="150"/>
        <w:rPr>
          <w:rFonts w:eastAsiaTheme="minorEastAsia"/>
          <w:b/>
          <w:spacing w:val="20"/>
          <w:sz w:val="32"/>
          <w:szCs w:val="32"/>
        </w:rPr>
      </w:pPr>
    </w:p>
    <w:p w14:paraId="5AC73F56">
      <w:pPr>
        <w:ind w:firstLine="542" w:firstLineChars="150"/>
        <w:rPr>
          <w:rFonts w:eastAsiaTheme="minorEastAsia"/>
          <w:b/>
          <w:spacing w:val="20"/>
          <w:sz w:val="32"/>
          <w:szCs w:val="32"/>
        </w:rPr>
      </w:pPr>
    </w:p>
    <w:p w14:paraId="3555C96D">
      <w:pPr>
        <w:jc w:val="center"/>
        <w:rPr>
          <w:rFonts w:eastAsiaTheme="minorEastAsia"/>
          <w:b/>
          <w:sz w:val="32"/>
          <w:szCs w:val="32"/>
        </w:rPr>
      </w:pPr>
    </w:p>
    <w:p w14:paraId="0BC16745">
      <w:pPr>
        <w:jc w:val="center"/>
        <w:rPr>
          <w:rFonts w:eastAsiaTheme="minorEastAsia"/>
          <w:b/>
          <w:sz w:val="32"/>
          <w:szCs w:val="32"/>
        </w:rPr>
      </w:pPr>
    </w:p>
    <w:p w14:paraId="06DDEA22">
      <w:pPr>
        <w:jc w:val="center"/>
        <w:rPr>
          <w:rFonts w:eastAsiaTheme="minorEastAsia"/>
          <w:b/>
          <w:sz w:val="32"/>
          <w:szCs w:val="32"/>
        </w:rPr>
      </w:pPr>
    </w:p>
    <w:p w14:paraId="2691669F">
      <w:pPr>
        <w:jc w:val="center"/>
        <w:rPr>
          <w:rFonts w:eastAsiaTheme="minorEastAsia"/>
          <w:b/>
          <w:spacing w:val="20"/>
          <w:sz w:val="32"/>
          <w:szCs w:val="32"/>
        </w:rPr>
      </w:pPr>
    </w:p>
    <w:p w14:paraId="716107B0">
      <w:pPr>
        <w:jc w:val="center"/>
        <w:rPr>
          <w:rFonts w:eastAsiaTheme="minorEastAsia"/>
          <w:b/>
          <w:spacing w:val="20"/>
          <w:sz w:val="32"/>
          <w:szCs w:val="32"/>
        </w:rPr>
      </w:pPr>
    </w:p>
    <w:p w14:paraId="523D9CD6">
      <w:pPr>
        <w:jc w:val="center"/>
        <w:rPr>
          <w:rFonts w:eastAsiaTheme="minorEastAsia"/>
          <w:b/>
          <w:spacing w:val="20"/>
          <w:sz w:val="32"/>
          <w:szCs w:val="32"/>
        </w:rPr>
      </w:pPr>
    </w:p>
    <w:p w14:paraId="71AF0BC8">
      <w:pPr>
        <w:spacing w:line="360" w:lineRule="auto"/>
        <w:ind w:firstLine="1445" w:firstLineChars="400"/>
        <w:jc w:val="left"/>
        <w:rPr>
          <w:rFonts w:eastAsiaTheme="minorEastAsia"/>
          <w:b/>
          <w:spacing w:val="20"/>
          <w:sz w:val="32"/>
          <w:szCs w:val="32"/>
        </w:rPr>
      </w:pPr>
      <w:r>
        <w:rPr>
          <w:rFonts w:eastAsiaTheme="minorEastAsia"/>
          <w:b/>
          <w:spacing w:val="20"/>
          <w:sz w:val="32"/>
          <w:szCs w:val="32"/>
        </w:rPr>
        <w:t>供应商名称：</w:t>
      </w:r>
    </w:p>
    <w:p w14:paraId="4D580A97">
      <w:pPr>
        <w:jc w:val="center"/>
        <w:rPr>
          <w:rFonts w:eastAsiaTheme="minorEastAsia"/>
          <w:b/>
          <w:sz w:val="32"/>
          <w:szCs w:val="32"/>
        </w:rPr>
      </w:pPr>
    </w:p>
    <w:p w14:paraId="6E04C3C3">
      <w:pPr>
        <w:rPr>
          <w:rFonts w:eastAsiaTheme="minorEastAsia"/>
          <w:b/>
        </w:rPr>
      </w:pPr>
      <w:r>
        <w:rPr>
          <w:rFonts w:eastAsiaTheme="minorEastAsia"/>
          <w:b/>
          <w:spacing w:val="20"/>
          <w:sz w:val="32"/>
          <w:szCs w:val="32"/>
        </w:rPr>
        <w:br w:type="page"/>
      </w:r>
    </w:p>
    <w:p w14:paraId="2A45A985">
      <w:pPr>
        <w:tabs>
          <w:tab w:val="left" w:pos="360"/>
        </w:tabs>
        <w:snapToGrid w:val="0"/>
        <w:spacing w:line="360" w:lineRule="auto"/>
        <w:outlineLvl w:val="1"/>
        <w:rPr>
          <w:rFonts w:eastAsiaTheme="minorEastAsia"/>
          <w:sz w:val="24"/>
        </w:rPr>
      </w:pPr>
      <w:r>
        <w:rPr>
          <w:rFonts w:eastAsiaTheme="minorEastAsia"/>
          <w:sz w:val="24"/>
        </w:rPr>
        <w:t>1 满足《中华人民共和国政府采购法》第二十二条规定</w:t>
      </w:r>
    </w:p>
    <w:p w14:paraId="0E23EF50">
      <w:pPr>
        <w:spacing w:line="360" w:lineRule="auto"/>
        <w:outlineLvl w:val="2"/>
        <w:rPr>
          <w:rFonts w:eastAsiaTheme="minorEastAsia"/>
          <w:color w:val="000000"/>
          <w:sz w:val="24"/>
        </w:rPr>
      </w:pPr>
      <w:r>
        <w:rPr>
          <w:rFonts w:eastAsiaTheme="minorEastAsia"/>
          <w:color w:val="000000"/>
          <w:sz w:val="24"/>
        </w:rPr>
        <w:t>1-1 营业执照等证明文件</w:t>
      </w:r>
    </w:p>
    <w:p w14:paraId="6F9FEB75">
      <w:pPr>
        <w:tabs>
          <w:tab w:val="left" w:pos="1080"/>
        </w:tabs>
        <w:snapToGrid w:val="0"/>
        <w:rPr>
          <w:rFonts w:eastAsiaTheme="minorEastAsia"/>
          <w:sz w:val="24"/>
        </w:rPr>
      </w:pPr>
    </w:p>
    <w:p w14:paraId="53B8AEA5">
      <w:pPr>
        <w:widowControl/>
        <w:jc w:val="left"/>
        <w:rPr>
          <w:rFonts w:eastAsiaTheme="minorEastAsia"/>
          <w:color w:val="000000"/>
          <w:sz w:val="24"/>
          <w:szCs w:val="20"/>
        </w:rPr>
      </w:pPr>
      <w:r>
        <w:rPr>
          <w:rFonts w:eastAsiaTheme="minorEastAsia"/>
          <w:color w:val="000000"/>
          <w:sz w:val="24"/>
        </w:rPr>
        <w:br w:type="page"/>
      </w:r>
    </w:p>
    <w:p w14:paraId="2A1DD257">
      <w:pPr>
        <w:pStyle w:val="5"/>
        <w:rPr>
          <w:rFonts w:ascii="Times New Roman" w:eastAsiaTheme="minorEastAsia"/>
          <w:b w:val="0"/>
          <w:bCs/>
          <w:color w:val="000000"/>
          <w:szCs w:val="24"/>
          <w:u w:val="none"/>
        </w:rPr>
      </w:pPr>
      <w:r>
        <w:rPr>
          <w:rFonts w:ascii="Times New Roman" w:eastAsiaTheme="minorEastAsia"/>
          <w:b w:val="0"/>
          <w:color w:val="000000"/>
          <w:szCs w:val="24"/>
          <w:u w:val="none"/>
        </w:rPr>
        <w:t>1-2 供应商资格声明书</w:t>
      </w:r>
    </w:p>
    <w:p w14:paraId="2C8E69D8">
      <w:pPr>
        <w:jc w:val="center"/>
        <w:rPr>
          <w:b/>
          <w:color w:val="000000"/>
          <w:sz w:val="36"/>
          <w:szCs w:val="36"/>
        </w:rPr>
      </w:pPr>
      <w:r>
        <w:rPr>
          <w:b/>
          <w:color w:val="000000"/>
          <w:sz w:val="36"/>
          <w:szCs w:val="36"/>
        </w:rPr>
        <w:t>供应商资格声明书</w:t>
      </w:r>
    </w:p>
    <w:p w14:paraId="189FFE9B">
      <w:pPr>
        <w:tabs>
          <w:tab w:val="left" w:pos="5580"/>
        </w:tabs>
        <w:spacing w:line="360" w:lineRule="auto"/>
        <w:rPr>
          <w:rFonts w:eastAsiaTheme="minorEastAsia"/>
          <w:sz w:val="24"/>
        </w:rPr>
      </w:pPr>
    </w:p>
    <w:p w14:paraId="4E33B6B3">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7DC28917">
      <w:pPr>
        <w:spacing w:line="360" w:lineRule="auto"/>
        <w:ind w:firstLine="480" w:firstLineChars="200"/>
        <w:rPr>
          <w:rFonts w:eastAsiaTheme="minorEastAsia"/>
          <w:sz w:val="24"/>
        </w:rPr>
      </w:pPr>
      <w:r>
        <w:rPr>
          <w:rFonts w:eastAsiaTheme="minorEastAsia"/>
          <w:sz w:val="24"/>
        </w:rPr>
        <w:t>在参与本次项目磋商中，我单位承诺：</w:t>
      </w:r>
    </w:p>
    <w:p w14:paraId="61EB0BB2">
      <w:pPr>
        <w:numPr>
          <w:ilvl w:val="0"/>
          <w:numId w:val="13"/>
        </w:numPr>
        <w:spacing w:line="360" w:lineRule="auto"/>
        <w:ind w:left="1134"/>
        <w:rPr>
          <w:rFonts w:eastAsiaTheme="minorEastAsia"/>
          <w:sz w:val="24"/>
          <w:szCs w:val="22"/>
        </w:rPr>
      </w:pPr>
      <w:r>
        <w:rPr>
          <w:rFonts w:eastAsiaTheme="minorEastAsia"/>
          <w:sz w:val="24"/>
          <w:szCs w:val="22"/>
        </w:rPr>
        <w:t>具有良好的商业信誉和健全的财务会计制度；</w:t>
      </w:r>
    </w:p>
    <w:p w14:paraId="7EA9404A">
      <w:pPr>
        <w:numPr>
          <w:ilvl w:val="0"/>
          <w:numId w:val="13"/>
        </w:numPr>
        <w:spacing w:line="360" w:lineRule="auto"/>
        <w:ind w:left="1134"/>
        <w:rPr>
          <w:rFonts w:eastAsiaTheme="minorEastAsia"/>
          <w:sz w:val="24"/>
          <w:szCs w:val="22"/>
        </w:rPr>
      </w:pPr>
      <w:r>
        <w:rPr>
          <w:rFonts w:eastAsiaTheme="minorEastAsia"/>
          <w:sz w:val="24"/>
          <w:szCs w:val="22"/>
        </w:rPr>
        <w:t>具有履行合同所必需的设备和专业技术能力；</w:t>
      </w:r>
    </w:p>
    <w:p w14:paraId="1979F539">
      <w:pPr>
        <w:numPr>
          <w:ilvl w:val="0"/>
          <w:numId w:val="13"/>
        </w:numPr>
        <w:spacing w:line="360" w:lineRule="auto"/>
        <w:ind w:left="1134"/>
        <w:rPr>
          <w:rFonts w:eastAsiaTheme="minorEastAsia"/>
          <w:sz w:val="24"/>
          <w:szCs w:val="22"/>
        </w:rPr>
      </w:pPr>
      <w:r>
        <w:rPr>
          <w:rFonts w:eastAsiaTheme="minorEastAsia"/>
          <w:sz w:val="24"/>
          <w:szCs w:val="22"/>
        </w:rPr>
        <w:t>有依法缴纳税收和社会保障资金的良好记录；</w:t>
      </w:r>
    </w:p>
    <w:p w14:paraId="38187C11">
      <w:pPr>
        <w:numPr>
          <w:ilvl w:val="0"/>
          <w:numId w:val="13"/>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927A9CF">
      <w:pPr>
        <w:numPr>
          <w:ilvl w:val="0"/>
          <w:numId w:val="13"/>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654A70E7">
      <w:pPr>
        <w:numPr>
          <w:ilvl w:val="0"/>
          <w:numId w:val="13"/>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1E348E6E">
      <w:pPr>
        <w:numPr>
          <w:ilvl w:val="0"/>
          <w:numId w:val="13"/>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2A176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A4C56DD">
            <w:pPr>
              <w:jc w:val="center"/>
              <w:rPr>
                <w:rFonts w:eastAsiaTheme="minorEastAsia"/>
                <w:sz w:val="24"/>
              </w:rPr>
            </w:pPr>
            <w:r>
              <w:rPr>
                <w:rFonts w:eastAsiaTheme="minorEastAsia"/>
                <w:sz w:val="24"/>
              </w:rPr>
              <w:t>序号</w:t>
            </w:r>
          </w:p>
        </w:tc>
        <w:tc>
          <w:tcPr>
            <w:tcW w:w="4574" w:type="dxa"/>
            <w:vAlign w:val="center"/>
          </w:tcPr>
          <w:p w14:paraId="14F5C288">
            <w:pPr>
              <w:jc w:val="center"/>
              <w:rPr>
                <w:rFonts w:eastAsiaTheme="minorEastAsia"/>
                <w:sz w:val="24"/>
              </w:rPr>
            </w:pPr>
            <w:r>
              <w:rPr>
                <w:rFonts w:eastAsiaTheme="minorEastAsia"/>
                <w:sz w:val="24"/>
              </w:rPr>
              <w:t>单位名称</w:t>
            </w:r>
          </w:p>
        </w:tc>
        <w:tc>
          <w:tcPr>
            <w:tcW w:w="2976" w:type="dxa"/>
            <w:vAlign w:val="center"/>
          </w:tcPr>
          <w:p w14:paraId="7FC1B369">
            <w:pPr>
              <w:jc w:val="center"/>
              <w:rPr>
                <w:rFonts w:eastAsiaTheme="minorEastAsia"/>
                <w:sz w:val="24"/>
              </w:rPr>
            </w:pPr>
            <w:r>
              <w:rPr>
                <w:rFonts w:eastAsiaTheme="minorEastAsia"/>
                <w:sz w:val="24"/>
              </w:rPr>
              <w:t>相互关系</w:t>
            </w:r>
          </w:p>
        </w:tc>
      </w:tr>
      <w:tr w14:paraId="1AC9D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373FF22">
            <w:pPr>
              <w:jc w:val="center"/>
              <w:rPr>
                <w:rFonts w:eastAsiaTheme="minorEastAsia"/>
                <w:sz w:val="24"/>
              </w:rPr>
            </w:pPr>
            <w:r>
              <w:rPr>
                <w:rFonts w:eastAsiaTheme="minorEastAsia"/>
                <w:sz w:val="24"/>
              </w:rPr>
              <w:t>1</w:t>
            </w:r>
          </w:p>
        </w:tc>
        <w:tc>
          <w:tcPr>
            <w:tcW w:w="4574" w:type="dxa"/>
            <w:vAlign w:val="center"/>
          </w:tcPr>
          <w:p w14:paraId="3364F329">
            <w:pPr>
              <w:jc w:val="center"/>
              <w:rPr>
                <w:rFonts w:eastAsiaTheme="minorEastAsia"/>
                <w:sz w:val="24"/>
              </w:rPr>
            </w:pPr>
          </w:p>
        </w:tc>
        <w:tc>
          <w:tcPr>
            <w:tcW w:w="2976" w:type="dxa"/>
            <w:vAlign w:val="center"/>
          </w:tcPr>
          <w:p w14:paraId="655B6B4D">
            <w:pPr>
              <w:jc w:val="center"/>
              <w:rPr>
                <w:rFonts w:eastAsiaTheme="minorEastAsia"/>
                <w:sz w:val="24"/>
              </w:rPr>
            </w:pPr>
          </w:p>
        </w:tc>
      </w:tr>
      <w:tr w14:paraId="5B86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8B005F6">
            <w:pPr>
              <w:jc w:val="center"/>
              <w:rPr>
                <w:rFonts w:eastAsiaTheme="minorEastAsia"/>
                <w:sz w:val="24"/>
              </w:rPr>
            </w:pPr>
            <w:r>
              <w:rPr>
                <w:rFonts w:eastAsiaTheme="minorEastAsia"/>
                <w:sz w:val="24"/>
              </w:rPr>
              <w:t>2</w:t>
            </w:r>
          </w:p>
        </w:tc>
        <w:tc>
          <w:tcPr>
            <w:tcW w:w="4574" w:type="dxa"/>
            <w:vAlign w:val="center"/>
          </w:tcPr>
          <w:p w14:paraId="43E1F03D">
            <w:pPr>
              <w:jc w:val="center"/>
              <w:rPr>
                <w:rFonts w:eastAsiaTheme="minorEastAsia"/>
                <w:sz w:val="24"/>
              </w:rPr>
            </w:pPr>
          </w:p>
        </w:tc>
        <w:tc>
          <w:tcPr>
            <w:tcW w:w="2976" w:type="dxa"/>
            <w:vAlign w:val="center"/>
          </w:tcPr>
          <w:p w14:paraId="5F619E6E">
            <w:pPr>
              <w:jc w:val="center"/>
              <w:rPr>
                <w:rFonts w:eastAsiaTheme="minorEastAsia"/>
                <w:sz w:val="24"/>
              </w:rPr>
            </w:pPr>
          </w:p>
        </w:tc>
      </w:tr>
      <w:tr w14:paraId="1F88E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2D63D0F">
            <w:pPr>
              <w:jc w:val="center"/>
              <w:rPr>
                <w:rFonts w:eastAsiaTheme="minorEastAsia"/>
                <w:sz w:val="24"/>
              </w:rPr>
            </w:pPr>
            <w:r>
              <w:rPr>
                <w:rFonts w:eastAsiaTheme="minorEastAsia"/>
                <w:sz w:val="24"/>
              </w:rPr>
              <w:t>…</w:t>
            </w:r>
          </w:p>
        </w:tc>
        <w:tc>
          <w:tcPr>
            <w:tcW w:w="4574" w:type="dxa"/>
            <w:vAlign w:val="center"/>
          </w:tcPr>
          <w:p w14:paraId="2E523689">
            <w:pPr>
              <w:jc w:val="center"/>
              <w:rPr>
                <w:rFonts w:eastAsiaTheme="minorEastAsia"/>
                <w:sz w:val="24"/>
              </w:rPr>
            </w:pPr>
          </w:p>
        </w:tc>
        <w:tc>
          <w:tcPr>
            <w:tcW w:w="2976" w:type="dxa"/>
            <w:vAlign w:val="center"/>
          </w:tcPr>
          <w:p w14:paraId="1DB77CC3">
            <w:pPr>
              <w:jc w:val="center"/>
              <w:rPr>
                <w:rFonts w:eastAsiaTheme="minorEastAsia"/>
                <w:sz w:val="24"/>
              </w:rPr>
            </w:pPr>
          </w:p>
        </w:tc>
      </w:tr>
    </w:tbl>
    <w:p w14:paraId="0783B310">
      <w:pPr>
        <w:rPr>
          <w:rFonts w:eastAsiaTheme="minorEastAsia"/>
        </w:rPr>
      </w:pPr>
    </w:p>
    <w:p w14:paraId="0F593661">
      <w:pPr>
        <w:ind w:firstLine="480" w:firstLineChars="200"/>
        <w:rPr>
          <w:rFonts w:eastAsiaTheme="minorEastAsia"/>
          <w:sz w:val="24"/>
          <w:szCs w:val="22"/>
        </w:rPr>
      </w:pPr>
      <w:r>
        <w:rPr>
          <w:rFonts w:eastAsiaTheme="minorEastAsia"/>
          <w:sz w:val="24"/>
        </w:rPr>
        <w:t>上述声明真实有效，否则我方负全部责任。</w:t>
      </w:r>
    </w:p>
    <w:p w14:paraId="30846EC0">
      <w:pPr>
        <w:spacing w:line="360" w:lineRule="auto"/>
        <w:rPr>
          <w:rFonts w:eastAsiaTheme="minorEastAsia"/>
          <w:sz w:val="24"/>
        </w:rPr>
      </w:pPr>
    </w:p>
    <w:p w14:paraId="7A0DEBAE">
      <w:pPr>
        <w:autoSpaceDE w:val="0"/>
        <w:autoSpaceDN w:val="0"/>
        <w:adjustRightInd w:val="0"/>
        <w:snapToGrid w:val="0"/>
        <w:spacing w:before="25" w:after="25"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49585B1">
      <w:pPr>
        <w:spacing w:line="360" w:lineRule="auto"/>
        <w:ind w:right="360" w:firstLine="480"/>
        <w:jc w:val="right"/>
        <w:rPr>
          <w:rFonts w:eastAsiaTheme="minorEastAsia"/>
          <w:sz w:val="24"/>
        </w:rPr>
      </w:pPr>
      <w:r>
        <w:rPr>
          <w:rFonts w:eastAsiaTheme="minorEastAsia"/>
          <w:color w:val="000000"/>
          <w:sz w:val="24"/>
          <w:szCs w:val="20"/>
        </w:rPr>
        <w:t xml:space="preserve">日期：____年____月____日   </w:t>
      </w:r>
    </w:p>
    <w:p w14:paraId="08047A69">
      <w:pPr>
        <w:spacing w:line="360" w:lineRule="auto"/>
        <w:rPr>
          <w:rFonts w:eastAsiaTheme="minorEastAsia"/>
          <w:sz w:val="24"/>
        </w:rPr>
      </w:pPr>
      <w:r>
        <w:rPr>
          <w:sz w:val="24"/>
        </w:rPr>
        <w:t>说明：供应商承诺不实的，依据《政府采购法》第七十七条“提供虚假材料谋取中标、成交的”有关规定予以处理。</w:t>
      </w:r>
    </w:p>
    <w:p w14:paraId="489049D7">
      <w:pPr>
        <w:tabs>
          <w:tab w:val="left" w:pos="5580"/>
        </w:tabs>
        <w:spacing w:line="360" w:lineRule="auto"/>
        <w:rPr>
          <w:rFonts w:eastAsiaTheme="minorEastAsia"/>
          <w:sz w:val="24"/>
        </w:rPr>
        <w:sectPr>
          <w:headerReference r:id="rId26" w:type="first"/>
          <w:footerReference r:id="rId28" w:type="first"/>
          <w:headerReference r:id="rId25" w:type="even"/>
          <w:footerReference r:id="rId27" w:type="even"/>
          <w:pgSz w:w="11907" w:h="16840"/>
          <w:pgMar w:top="1418" w:right="1134" w:bottom="1418" w:left="1701" w:header="851" w:footer="851" w:gutter="0"/>
          <w:cols w:space="720" w:num="1"/>
          <w:docGrid w:linePitch="462" w:charSpace="0"/>
        </w:sectPr>
      </w:pPr>
    </w:p>
    <w:p w14:paraId="17A60A33">
      <w:pPr>
        <w:tabs>
          <w:tab w:val="left" w:pos="360"/>
        </w:tabs>
        <w:snapToGrid w:val="0"/>
        <w:spacing w:line="360" w:lineRule="auto"/>
        <w:outlineLvl w:val="1"/>
        <w:rPr>
          <w:rFonts w:eastAsiaTheme="minorEastAsia"/>
          <w:sz w:val="24"/>
        </w:rPr>
      </w:pPr>
      <w:r>
        <w:rPr>
          <w:rFonts w:eastAsiaTheme="minorEastAsia"/>
          <w:sz w:val="24"/>
        </w:rPr>
        <w:t>2 落实政府采购政策需满足的资格要求（如有）</w:t>
      </w:r>
    </w:p>
    <w:p w14:paraId="515AB90D">
      <w:pPr>
        <w:spacing w:line="360" w:lineRule="auto"/>
        <w:outlineLvl w:val="2"/>
        <w:rPr>
          <w:rFonts w:eastAsiaTheme="minorEastAsia"/>
          <w:color w:val="000000"/>
          <w:sz w:val="24"/>
          <w:szCs w:val="20"/>
        </w:rPr>
      </w:pPr>
      <w:r>
        <w:rPr>
          <w:rFonts w:eastAsiaTheme="minorEastAsia"/>
          <w:color w:val="000000"/>
          <w:sz w:val="24"/>
          <w:szCs w:val="20"/>
        </w:rPr>
        <w:t>2-1 中小企业</w:t>
      </w:r>
      <w:r>
        <w:rPr>
          <w:rFonts w:hint="eastAsia" w:eastAsiaTheme="minorEastAsia"/>
          <w:color w:val="000000"/>
          <w:sz w:val="24"/>
          <w:szCs w:val="20"/>
        </w:rPr>
        <w:t>政策</w:t>
      </w:r>
      <w:r>
        <w:rPr>
          <w:rFonts w:eastAsiaTheme="minorEastAsia"/>
          <w:color w:val="000000"/>
          <w:sz w:val="24"/>
          <w:szCs w:val="20"/>
        </w:rPr>
        <w:t>证明文件</w:t>
      </w:r>
    </w:p>
    <w:p w14:paraId="121A2920">
      <w:pPr>
        <w:tabs>
          <w:tab w:val="left" w:pos="5580"/>
        </w:tabs>
        <w:spacing w:line="360" w:lineRule="auto"/>
        <w:rPr>
          <w:rFonts w:eastAsiaTheme="minorEastAsia"/>
          <w:sz w:val="24"/>
        </w:rPr>
      </w:pPr>
      <w:r>
        <w:rPr>
          <w:rFonts w:eastAsiaTheme="minorEastAsia"/>
          <w:sz w:val="24"/>
        </w:rPr>
        <w:t>说明：</w:t>
      </w:r>
    </w:p>
    <w:p w14:paraId="7AD003DD">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14:textFill>
            <w14:solidFill>
              <w14:schemeClr w14:val="tx1"/>
            </w14:solidFill>
          </w14:textFill>
        </w:rPr>
        <w:t>否则不享受相关中小企业扶持政策</w:t>
      </w:r>
      <w:r>
        <w:rPr>
          <w:sz w:val="24"/>
        </w:rPr>
        <w:t>。</w:t>
      </w:r>
    </w:p>
    <w:p w14:paraId="7E30494D">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2E06F910">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7DB55D63">
      <w:pPr>
        <w:tabs>
          <w:tab w:val="left" w:pos="5580"/>
        </w:tabs>
        <w:spacing w:line="360" w:lineRule="auto"/>
        <w:rPr>
          <w:sz w:val="24"/>
        </w:rPr>
      </w:pPr>
      <w:r>
        <w:rPr>
          <w:rFonts w:eastAsiaTheme="minorEastAsia"/>
          <w:sz w:val="24"/>
        </w:rPr>
        <w:t>（4）</w:t>
      </w:r>
      <w:r>
        <w:rPr>
          <w:sz w:val="24"/>
        </w:rPr>
        <w:t>中小企业声明函填写注意事项</w:t>
      </w:r>
    </w:p>
    <w:p w14:paraId="3F3313E8">
      <w:pPr>
        <w:tabs>
          <w:tab w:val="left" w:pos="5580"/>
        </w:tabs>
        <w:spacing w:line="360" w:lineRule="auto"/>
        <w:rPr>
          <w:sz w:val="24"/>
        </w:rPr>
      </w:pPr>
      <w:r>
        <w:rPr>
          <w:sz w:val="24"/>
        </w:rPr>
        <w:t>1）《中小企业声明函》由参加政府采购活动的供应商出具。联合体参与的，《中小企业声明函》可由牵头人出具。</w:t>
      </w:r>
    </w:p>
    <w:p w14:paraId="6B914D9B">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551F1FA">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14:paraId="686CCEDB">
      <w:pPr>
        <w:tabs>
          <w:tab w:val="left" w:pos="5580"/>
        </w:tabs>
        <w:spacing w:line="360" w:lineRule="auto"/>
        <w:rPr>
          <w:rFonts w:eastAsiaTheme="minorEastAsia"/>
          <w:b/>
          <w:bCs/>
          <w:color w:val="000000"/>
          <w:sz w:val="36"/>
          <w:szCs w:val="36"/>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14:paraId="620323B7">
      <w:pPr>
        <w:pStyle w:val="6"/>
        <w:rPr>
          <w:rFonts w:ascii="Times New Roman" w:hAnsi="Times New Roman" w:eastAsiaTheme="majorEastAsia"/>
          <w:sz w:val="24"/>
          <w:szCs w:val="24"/>
        </w:rPr>
      </w:pPr>
      <w:r>
        <w:rPr>
          <w:rFonts w:ascii="Times New Roman" w:hAnsi="Times New Roman" w:eastAsiaTheme="majorEastAsia"/>
          <w:sz w:val="24"/>
          <w:szCs w:val="24"/>
        </w:rPr>
        <w:t>2-1-1 中小企业</w:t>
      </w:r>
      <w:r>
        <w:rPr>
          <w:rFonts w:hint="eastAsia" w:ascii="Times New Roman" w:hAnsi="Times New Roman" w:eastAsiaTheme="majorEastAsia"/>
          <w:sz w:val="24"/>
          <w:szCs w:val="24"/>
        </w:rPr>
        <w:t>证明文件</w:t>
      </w:r>
    </w:p>
    <w:p w14:paraId="4994FDE3">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中小企业声明函（货物）格式</w:t>
      </w:r>
    </w:p>
    <w:p w14:paraId="55A654EB">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6356CA59">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14:paraId="28D65605">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，从业人员______人，营业收入为______万元，资产总额为______万元，属于</w:t>
      </w:r>
      <w:r>
        <w:rPr>
          <w:rFonts w:eastAsiaTheme="minorEastAsia"/>
          <w:spacing w:val="6"/>
          <w:sz w:val="24"/>
          <w:u w:val="single"/>
        </w:rPr>
        <w:t>（中型企业、小型企业、微型企业）</w:t>
      </w:r>
      <w:r>
        <w:rPr>
          <w:rFonts w:eastAsiaTheme="minorEastAsia"/>
          <w:spacing w:val="6"/>
          <w:sz w:val="24"/>
        </w:rPr>
        <w:t>；</w:t>
      </w:r>
    </w:p>
    <w:p w14:paraId="6E8BA773">
      <w:pPr>
        <w:spacing w:line="360" w:lineRule="auto"/>
        <w:ind w:firstLine="504"/>
        <w:rPr>
          <w:rFonts w:eastAsiaTheme="minorEastAsia"/>
          <w:spacing w:val="6"/>
          <w:sz w:val="24"/>
        </w:rPr>
      </w:pPr>
      <w:r>
        <w:rPr>
          <w:rFonts w:eastAsiaTheme="minorEastAsia"/>
          <w:spacing w:val="6"/>
          <w:sz w:val="24"/>
        </w:rPr>
        <w:t>……</w:t>
      </w:r>
    </w:p>
    <w:p w14:paraId="42A280E8">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247EB3C7">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0866BC03">
      <w:pPr>
        <w:spacing w:line="360" w:lineRule="auto"/>
        <w:ind w:firstLine="504"/>
        <w:rPr>
          <w:rFonts w:eastAsiaTheme="minorEastAsia"/>
          <w:spacing w:val="6"/>
          <w:sz w:val="24"/>
        </w:rPr>
      </w:pPr>
    </w:p>
    <w:p w14:paraId="5AC4BEB0">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0D653208">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14:paraId="6DC552C1">
      <w:pPr>
        <w:spacing w:line="360" w:lineRule="auto"/>
        <w:ind w:right="360" w:firstLine="480"/>
        <w:jc w:val="right"/>
        <w:rPr>
          <w:rFonts w:eastAsiaTheme="minorEastAsia"/>
          <w:color w:val="000000"/>
          <w:sz w:val="24"/>
        </w:rPr>
      </w:pPr>
    </w:p>
    <w:p w14:paraId="1993796B">
      <w:pPr>
        <w:spacing w:line="360" w:lineRule="auto"/>
        <w:ind w:right="360" w:firstLine="480"/>
        <w:jc w:val="right"/>
        <w:rPr>
          <w:rFonts w:eastAsiaTheme="minorEastAsia"/>
          <w:color w:val="000000"/>
          <w:sz w:val="24"/>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1A4DD0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0FED9FFD">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14:paraId="3F3C1719">
      <w:pPr>
        <w:autoSpaceDE w:val="0"/>
        <w:autoSpaceDN w:val="0"/>
        <w:adjustRightInd w:val="0"/>
        <w:ind w:firstLine="420"/>
        <w:jc w:val="left"/>
        <w:rPr>
          <w:rFonts w:eastAsiaTheme="minorEastAsia"/>
          <w:sz w:val="24"/>
        </w:rPr>
      </w:pPr>
    </w:p>
    <w:p w14:paraId="046D71EA">
      <w:pPr>
        <w:rPr>
          <w:rFonts w:eastAsiaTheme="minorEastAsia"/>
          <w:b/>
          <w:bCs/>
          <w:color w:val="000000"/>
          <w:sz w:val="36"/>
          <w:szCs w:val="36"/>
        </w:rPr>
      </w:pPr>
      <w:r>
        <w:rPr>
          <w:rFonts w:eastAsiaTheme="minorEastAsia"/>
          <w:b/>
          <w:bCs/>
          <w:color w:val="000000"/>
          <w:sz w:val="36"/>
          <w:szCs w:val="36"/>
        </w:rPr>
        <w:br w:type="page"/>
      </w:r>
    </w:p>
    <w:p w14:paraId="3C7B5925">
      <w:pPr>
        <w:spacing w:before="240" w:beforeLines="100" w:after="240" w:afterLines="100" w:line="360" w:lineRule="auto"/>
        <w:jc w:val="center"/>
        <w:rPr>
          <w:rFonts w:eastAsiaTheme="minorEastAsia"/>
          <w:b/>
          <w:bCs/>
          <w:color w:val="000000"/>
          <w:sz w:val="36"/>
          <w:szCs w:val="36"/>
        </w:rPr>
      </w:pPr>
      <w:r>
        <w:rPr>
          <w:rFonts w:eastAsiaTheme="minorEastAsia"/>
          <w:b/>
          <w:bCs/>
          <w:color w:val="000000"/>
          <w:sz w:val="36"/>
          <w:szCs w:val="36"/>
        </w:rPr>
        <w:t>中小企业声明函（工程、服务）格式</w:t>
      </w:r>
    </w:p>
    <w:p w14:paraId="4C65228B">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0FC56D48">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14:paraId="09256C0E">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623D82C2">
      <w:pPr>
        <w:spacing w:line="360" w:lineRule="auto"/>
        <w:ind w:firstLine="504"/>
        <w:rPr>
          <w:rFonts w:eastAsiaTheme="minorEastAsia"/>
          <w:spacing w:val="6"/>
          <w:sz w:val="24"/>
        </w:rPr>
      </w:pPr>
    </w:p>
    <w:p w14:paraId="6142A8ED">
      <w:pPr>
        <w:spacing w:line="360" w:lineRule="auto"/>
        <w:ind w:firstLine="504"/>
        <w:rPr>
          <w:rFonts w:eastAsiaTheme="minorEastAsia"/>
          <w:spacing w:val="6"/>
          <w:sz w:val="24"/>
        </w:rPr>
      </w:pPr>
      <w:r>
        <w:rPr>
          <w:rFonts w:eastAsiaTheme="minorEastAsia"/>
          <w:spacing w:val="6"/>
          <w:sz w:val="24"/>
        </w:rPr>
        <w:t>……</w:t>
      </w:r>
    </w:p>
    <w:p w14:paraId="02B37671">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5CAE8C48">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33D1348C">
      <w:pPr>
        <w:spacing w:line="360" w:lineRule="auto"/>
        <w:ind w:right="360" w:firstLine="480"/>
        <w:jc w:val="right"/>
        <w:rPr>
          <w:rFonts w:eastAsiaTheme="minorEastAsia"/>
          <w:color w:val="000000"/>
          <w:sz w:val="24"/>
        </w:rPr>
      </w:pPr>
    </w:p>
    <w:p w14:paraId="1ABA7EF7">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24CA865B">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14:paraId="2E92B503">
      <w:pPr>
        <w:adjustRightInd w:val="0"/>
        <w:snapToGrid w:val="0"/>
        <w:jc w:val="left"/>
        <w:rPr>
          <w:rFonts w:eastAsiaTheme="minorEastAsia"/>
          <w:color w:val="000000"/>
          <w:sz w:val="24"/>
          <w:szCs w:val="21"/>
        </w:rPr>
      </w:pPr>
    </w:p>
    <w:p w14:paraId="61B14E5F">
      <w:pPr>
        <w:adjustRightInd w:val="0"/>
        <w:snapToGrid w:val="0"/>
        <w:jc w:val="left"/>
        <w:rPr>
          <w:rFonts w:eastAsiaTheme="minorEastAsia"/>
          <w:color w:val="000000"/>
          <w:sz w:val="24"/>
          <w:szCs w:val="21"/>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7123FD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5C285D59">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14:paraId="50FEF9D9">
      <w:pPr>
        <w:adjustRightInd w:val="0"/>
        <w:snapToGrid w:val="0"/>
        <w:jc w:val="left"/>
        <w:rPr>
          <w:rFonts w:eastAsiaTheme="minorEastAsia"/>
          <w:color w:val="000000"/>
          <w:szCs w:val="21"/>
          <w:vertAlign w:val="superscript"/>
        </w:rPr>
      </w:pPr>
    </w:p>
    <w:p w14:paraId="1B595674">
      <w:pPr>
        <w:spacing w:line="360" w:lineRule="auto"/>
        <w:ind w:right="360" w:firstLine="480"/>
        <w:jc w:val="right"/>
        <w:rPr>
          <w:rFonts w:eastAsiaTheme="minorEastAsia"/>
          <w:color w:val="000000"/>
          <w:sz w:val="24"/>
        </w:rPr>
      </w:pPr>
    </w:p>
    <w:p w14:paraId="730B0192">
      <w:pPr>
        <w:rPr>
          <w:rFonts w:eastAsiaTheme="minorEastAsia"/>
          <w:color w:val="000000"/>
          <w:sz w:val="24"/>
        </w:rPr>
      </w:pPr>
      <w:r>
        <w:rPr>
          <w:rFonts w:eastAsiaTheme="minorEastAsia"/>
          <w:color w:val="000000"/>
          <w:sz w:val="24"/>
        </w:rPr>
        <w:br w:type="page"/>
      </w:r>
    </w:p>
    <w:p w14:paraId="3208757F">
      <w:pPr>
        <w:widowControl/>
        <w:spacing w:line="600" w:lineRule="exact"/>
        <w:jc w:val="left"/>
        <w:rPr>
          <w:rFonts w:ascii="黑体" w:eastAsia="黑体" w:cs="宋体"/>
          <w:kern w:val="0"/>
          <w:sz w:val="32"/>
          <w:szCs w:val="32"/>
        </w:rPr>
      </w:pPr>
      <w:r>
        <w:rPr>
          <w:rFonts w:hint="eastAsia" w:ascii="黑体" w:eastAsia="黑体" w:cs="宋体"/>
          <w:kern w:val="0"/>
          <w:sz w:val="32"/>
          <w:szCs w:val="32"/>
        </w:rPr>
        <w:t>附表（仅供参考）</w:t>
      </w:r>
    </w:p>
    <w:p w14:paraId="5BD2A9E9">
      <w:pPr>
        <w:widowControl/>
        <w:spacing w:line="330" w:lineRule="atLeast"/>
        <w:jc w:val="center"/>
        <w:rPr>
          <w:rFonts w:ascii="方正小标宋_GBK" w:eastAsia="方正小标宋_GBK" w:cs="宋体"/>
          <w:kern w:val="0"/>
          <w:sz w:val="36"/>
          <w:szCs w:val="32"/>
        </w:rPr>
      </w:pPr>
      <w:r>
        <w:rPr>
          <w:rFonts w:hint="eastAsia" w:ascii="方正小标宋_GBK" w:eastAsia="方正小标宋_GBK" w:cs="宋体"/>
          <w:kern w:val="0"/>
          <w:sz w:val="36"/>
          <w:szCs w:val="32"/>
        </w:rPr>
        <w:t>大中小微型企业划分标准</w:t>
      </w:r>
    </w:p>
    <w:tbl>
      <w:tblPr>
        <w:tblStyle w:val="4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5FE1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14:paraId="217E524E">
            <w:pPr>
              <w:widowControl/>
              <w:spacing w:line="240" w:lineRule="exact"/>
              <w:jc w:val="center"/>
              <w:rPr>
                <w:rFonts w:ascii="宋体" w:cs="宋体"/>
                <w:b/>
                <w:bCs/>
                <w:kern w:val="0"/>
                <w:sz w:val="18"/>
                <w:szCs w:val="21"/>
              </w:rPr>
            </w:pPr>
            <w:r>
              <w:rPr>
                <w:rFonts w:hint="eastAsia" w:ascii="宋体" w:cs="宋体"/>
                <w:b/>
                <w:bCs/>
                <w:kern w:val="0"/>
                <w:sz w:val="18"/>
                <w:szCs w:val="21"/>
              </w:rPr>
              <w:t>行业名称</w:t>
            </w:r>
          </w:p>
        </w:tc>
        <w:tc>
          <w:tcPr>
            <w:tcW w:w="1369" w:type="dxa"/>
            <w:vAlign w:val="center"/>
          </w:tcPr>
          <w:p w14:paraId="579F6075">
            <w:pPr>
              <w:widowControl/>
              <w:jc w:val="center"/>
              <w:rPr>
                <w:rFonts w:ascii="宋体" w:cs="宋体"/>
                <w:b/>
                <w:bCs/>
                <w:kern w:val="0"/>
                <w:sz w:val="18"/>
                <w:szCs w:val="18"/>
              </w:rPr>
            </w:pPr>
            <w:r>
              <w:rPr>
                <w:rFonts w:hint="eastAsia" w:ascii="宋体" w:cs="宋体"/>
                <w:b/>
                <w:bCs/>
                <w:kern w:val="0"/>
                <w:sz w:val="18"/>
                <w:szCs w:val="18"/>
              </w:rPr>
              <w:t>指标名称</w:t>
            </w:r>
          </w:p>
        </w:tc>
        <w:tc>
          <w:tcPr>
            <w:tcW w:w="709" w:type="dxa"/>
            <w:vAlign w:val="center"/>
          </w:tcPr>
          <w:p w14:paraId="7D1BC4F8">
            <w:pPr>
              <w:widowControl/>
              <w:jc w:val="center"/>
              <w:rPr>
                <w:rFonts w:ascii="宋体" w:cs="宋体"/>
                <w:b/>
                <w:bCs/>
                <w:kern w:val="0"/>
                <w:sz w:val="18"/>
                <w:szCs w:val="18"/>
              </w:rPr>
            </w:pPr>
            <w:r>
              <w:rPr>
                <w:rFonts w:hint="eastAsia" w:ascii="宋体" w:cs="宋体"/>
                <w:b/>
                <w:bCs/>
                <w:kern w:val="0"/>
                <w:sz w:val="18"/>
                <w:szCs w:val="18"/>
              </w:rPr>
              <w:t>计量</w:t>
            </w:r>
          </w:p>
          <w:p w14:paraId="5E629B50">
            <w:pPr>
              <w:widowControl/>
              <w:jc w:val="center"/>
              <w:rPr>
                <w:rFonts w:ascii="宋体" w:cs="宋体"/>
                <w:b/>
                <w:bCs/>
                <w:kern w:val="0"/>
                <w:sz w:val="18"/>
                <w:szCs w:val="18"/>
              </w:rPr>
            </w:pPr>
            <w:r>
              <w:rPr>
                <w:rFonts w:hint="eastAsia" w:ascii="宋体" w:cs="宋体"/>
                <w:b/>
                <w:bCs/>
                <w:kern w:val="0"/>
                <w:sz w:val="18"/>
                <w:szCs w:val="18"/>
              </w:rPr>
              <w:t>单位</w:t>
            </w:r>
          </w:p>
        </w:tc>
        <w:tc>
          <w:tcPr>
            <w:tcW w:w="1125" w:type="dxa"/>
            <w:vAlign w:val="center"/>
          </w:tcPr>
          <w:p w14:paraId="315901D9">
            <w:pPr>
              <w:widowControl/>
              <w:jc w:val="center"/>
              <w:rPr>
                <w:rFonts w:ascii="宋体" w:cs="宋体"/>
                <w:b/>
                <w:bCs/>
                <w:kern w:val="0"/>
                <w:sz w:val="18"/>
                <w:szCs w:val="18"/>
              </w:rPr>
            </w:pPr>
            <w:r>
              <w:rPr>
                <w:rFonts w:hint="eastAsia" w:ascii="宋体" w:cs="宋体"/>
                <w:b/>
                <w:bCs/>
                <w:kern w:val="0"/>
                <w:sz w:val="18"/>
                <w:szCs w:val="18"/>
              </w:rPr>
              <w:t>大型</w:t>
            </w:r>
          </w:p>
        </w:tc>
        <w:tc>
          <w:tcPr>
            <w:tcW w:w="1701" w:type="dxa"/>
            <w:vAlign w:val="center"/>
          </w:tcPr>
          <w:p w14:paraId="30543E74">
            <w:pPr>
              <w:widowControl/>
              <w:jc w:val="center"/>
              <w:rPr>
                <w:rFonts w:ascii="宋体" w:cs="宋体"/>
                <w:b/>
                <w:bCs/>
                <w:kern w:val="0"/>
                <w:sz w:val="18"/>
                <w:szCs w:val="18"/>
              </w:rPr>
            </w:pPr>
            <w:r>
              <w:rPr>
                <w:rFonts w:hint="eastAsia" w:ascii="宋体" w:cs="宋体"/>
                <w:b/>
                <w:bCs/>
                <w:kern w:val="0"/>
                <w:sz w:val="18"/>
                <w:szCs w:val="18"/>
              </w:rPr>
              <w:t>中型</w:t>
            </w:r>
          </w:p>
        </w:tc>
        <w:tc>
          <w:tcPr>
            <w:tcW w:w="1426" w:type="dxa"/>
            <w:vAlign w:val="center"/>
          </w:tcPr>
          <w:p w14:paraId="30A308E0">
            <w:pPr>
              <w:widowControl/>
              <w:jc w:val="center"/>
              <w:rPr>
                <w:rFonts w:ascii="宋体" w:cs="宋体"/>
                <w:b/>
                <w:bCs/>
                <w:kern w:val="0"/>
                <w:sz w:val="18"/>
                <w:szCs w:val="18"/>
              </w:rPr>
            </w:pPr>
            <w:r>
              <w:rPr>
                <w:rFonts w:hint="eastAsia" w:ascii="宋体" w:cs="宋体"/>
                <w:b/>
                <w:bCs/>
                <w:kern w:val="0"/>
                <w:sz w:val="18"/>
                <w:szCs w:val="18"/>
              </w:rPr>
              <w:t>小型</w:t>
            </w:r>
          </w:p>
        </w:tc>
        <w:tc>
          <w:tcPr>
            <w:tcW w:w="992" w:type="dxa"/>
            <w:vAlign w:val="center"/>
          </w:tcPr>
          <w:p w14:paraId="36567CA6">
            <w:pPr>
              <w:widowControl/>
              <w:jc w:val="center"/>
              <w:rPr>
                <w:rFonts w:ascii="宋体" w:cs="宋体"/>
                <w:b/>
                <w:bCs/>
                <w:kern w:val="0"/>
                <w:sz w:val="18"/>
                <w:szCs w:val="18"/>
              </w:rPr>
            </w:pPr>
            <w:r>
              <w:rPr>
                <w:rFonts w:hint="eastAsia" w:ascii="宋体" w:cs="宋体"/>
                <w:b/>
                <w:bCs/>
                <w:kern w:val="0"/>
                <w:sz w:val="18"/>
                <w:szCs w:val="18"/>
              </w:rPr>
              <w:t>微型</w:t>
            </w:r>
          </w:p>
        </w:tc>
      </w:tr>
      <w:tr w14:paraId="74D8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79CDFD4">
            <w:pPr>
              <w:widowControl/>
              <w:spacing w:line="240" w:lineRule="exact"/>
              <w:jc w:val="left"/>
              <w:rPr>
                <w:rFonts w:ascii="宋体" w:cs="宋体"/>
                <w:kern w:val="0"/>
                <w:sz w:val="18"/>
                <w:szCs w:val="18"/>
              </w:rPr>
            </w:pPr>
            <w:r>
              <w:rPr>
                <w:rFonts w:hint="eastAsia" w:ascii="宋体" w:cs="宋体"/>
                <w:kern w:val="0"/>
                <w:sz w:val="18"/>
                <w:szCs w:val="18"/>
              </w:rPr>
              <w:t>农、林、牧、渔业</w:t>
            </w:r>
          </w:p>
        </w:tc>
        <w:tc>
          <w:tcPr>
            <w:tcW w:w="1369" w:type="dxa"/>
            <w:vAlign w:val="center"/>
          </w:tcPr>
          <w:p w14:paraId="7C68897E">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62080A14">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13B59E49">
            <w:pPr>
              <w:widowControl/>
              <w:jc w:val="center"/>
              <w:rPr>
                <w:rFonts w:ascii="宋体" w:cs="宋体"/>
                <w:kern w:val="0"/>
                <w:sz w:val="18"/>
                <w:szCs w:val="18"/>
              </w:rPr>
            </w:pPr>
            <w:r>
              <w:rPr>
                <w:rFonts w:hint="eastAsia" w:ascii="宋体" w:cs="宋体"/>
                <w:kern w:val="0"/>
                <w:sz w:val="18"/>
                <w:szCs w:val="18"/>
              </w:rPr>
              <w:t>Y≥20000</w:t>
            </w:r>
          </w:p>
        </w:tc>
        <w:tc>
          <w:tcPr>
            <w:tcW w:w="1701" w:type="dxa"/>
            <w:vAlign w:val="center"/>
          </w:tcPr>
          <w:p w14:paraId="2C4E3FCA">
            <w:pPr>
              <w:widowControl/>
              <w:jc w:val="center"/>
              <w:rPr>
                <w:rFonts w:ascii="宋体" w:cs="宋体"/>
                <w:kern w:val="0"/>
                <w:sz w:val="18"/>
                <w:szCs w:val="18"/>
              </w:rPr>
            </w:pPr>
            <w:r>
              <w:rPr>
                <w:rFonts w:hint="eastAsia" w:ascii="宋体" w:cs="宋体"/>
                <w:kern w:val="0"/>
                <w:sz w:val="18"/>
                <w:szCs w:val="18"/>
              </w:rPr>
              <w:t xml:space="preserve"> 500≤Y＜20000</w:t>
            </w:r>
          </w:p>
        </w:tc>
        <w:tc>
          <w:tcPr>
            <w:tcW w:w="1426" w:type="dxa"/>
            <w:vAlign w:val="center"/>
          </w:tcPr>
          <w:p w14:paraId="0E8FEED9">
            <w:pPr>
              <w:widowControl/>
              <w:jc w:val="center"/>
              <w:rPr>
                <w:rFonts w:ascii="宋体" w:cs="宋体"/>
                <w:kern w:val="0"/>
                <w:sz w:val="18"/>
                <w:szCs w:val="18"/>
              </w:rPr>
            </w:pPr>
            <w:r>
              <w:rPr>
                <w:rFonts w:hint="eastAsia" w:ascii="宋体" w:cs="宋体"/>
                <w:kern w:val="0"/>
                <w:sz w:val="18"/>
                <w:szCs w:val="18"/>
              </w:rPr>
              <w:t xml:space="preserve"> 50≤Y＜500</w:t>
            </w:r>
          </w:p>
        </w:tc>
        <w:tc>
          <w:tcPr>
            <w:tcW w:w="992" w:type="dxa"/>
            <w:vAlign w:val="center"/>
          </w:tcPr>
          <w:p w14:paraId="1E178BA2">
            <w:pPr>
              <w:widowControl/>
              <w:jc w:val="center"/>
              <w:rPr>
                <w:rFonts w:ascii="宋体" w:cs="宋体"/>
                <w:kern w:val="0"/>
                <w:sz w:val="18"/>
                <w:szCs w:val="18"/>
              </w:rPr>
            </w:pPr>
            <w:r>
              <w:rPr>
                <w:rFonts w:hint="eastAsia" w:ascii="宋体" w:cs="宋体"/>
                <w:kern w:val="0"/>
                <w:sz w:val="18"/>
                <w:szCs w:val="18"/>
              </w:rPr>
              <w:t>Y＜50</w:t>
            </w:r>
          </w:p>
        </w:tc>
      </w:tr>
      <w:tr w14:paraId="7234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678A146">
            <w:pPr>
              <w:widowControl/>
              <w:spacing w:line="240" w:lineRule="exact"/>
              <w:jc w:val="left"/>
              <w:rPr>
                <w:rFonts w:ascii="宋体" w:cs="宋体"/>
                <w:kern w:val="0"/>
                <w:sz w:val="18"/>
                <w:szCs w:val="18"/>
              </w:rPr>
            </w:pPr>
            <w:r>
              <w:rPr>
                <w:rFonts w:hint="eastAsia" w:ascii="宋体" w:cs="宋体"/>
                <w:kern w:val="0"/>
                <w:sz w:val="18"/>
                <w:szCs w:val="18"/>
              </w:rPr>
              <w:t xml:space="preserve">工业 </w:t>
            </w:r>
            <w:r>
              <w:rPr>
                <w:rFonts w:ascii="宋体" w:cs="宋体"/>
                <w:kern w:val="0"/>
                <w:sz w:val="18"/>
                <w:szCs w:val="18"/>
              </w:rPr>
              <w:t>#</w:t>
            </w:r>
          </w:p>
        </w:tc>
        <w:tc>
          <w:tcPr>
            <w:tcW w:w="1369" w:type="dxa"/>
            <w:vAlign w:val="center"/>
          </w:tcPr>
          <w:p w14:paraId="1FB8117D">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196BD242">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157F7E13">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3B0423EA">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61BC2F12">
            <w:pPr>
              <w:widowControl/>
              <w:jc w:val="center"/>
              <w:rPr>
                <w:rFonts w:ascii="宋体" w:cs="宋体"/>
                <w:kern w:val="0"/>
                <w:sz w:val="18"/>
                <w:szCs w:val="18"/>
              </w:rPr>
            </w:pPr>
            <w:r>
              <w:rPr>
                <w:rFonts w:hint="eastAsia" w:ascii="宋体" w:cs="宋体"/>
                <w:kern w:val="0"/>
                <w:sz w:val="18"/>
                <w:szCs w:val="18"/>
              </w:rPr>
              <w:t xml:space="preserve"> 20≤X＜300</w:t>
            </w:r>
          </w:p>
        </w:tc>
        <w:tc>
          <w:tcPr>
            <w:tcW w:w="992" w:type="dxa"/>
            <w:vAlign w:val="center"/>
          </w:tcPr>
          <w:p w14:paraId="481BCC3D">
            <w:pPr>
              <w:widowControl/>
              <w:jc w:val="center"/>
              <w:rPr>
                <w:rFonts w:ascii="宋体" w:cs="宋体"/>
                <w:kern w:val="0"/>
                <w:sz w:val="18"/>
                <w:szCs w:val="18"/>
              </w:rPr>
            </w:pPr>
            <w:r>
              <w:rPr>
                <w:rFonts w:hint="eastAsia" w:ascii="宋体" w:cs="宋体"/>
                <w:kern w:val="0"/>
                <w:sz w:val="18"/>
                <w:szCs w:val="18"/>
              </w:rPr>
              <w:t>X＜20</w:t>
            </w:r>
          </w:p>
        </w:tc>
      </w:tr>
      <w:tr w14:paraId="1A04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4D00368">
            <w:pPr>
              <w:rPr>
                <w:szCs w:val="20"/>
              </w:rPr>
            </w:pPr>
          </w:p>
        </w:tc>
        <w:tc>
          <w:tcPr>
            <w:tcW w:w="1369" w:type="dxa"/>
            <w:vAlign w:val="center"/>
          </w:tcPr>
          <w:p w14:paraId="19C156DF">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52C6DCCD">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2471B920">
            <w:pPr>
              <w:widowControl/>
              <w:jc w:val="center"/>
              <w:rPr>
                <w:rFonts w:ascii="宋体" w:cs="宋体"/>
                <w:kern w:val="0"/>
                <w:sz w:val="18"/>
                <w:szCs w:val="18"/>
              </w:rPr>
            </w:pPr>
            <w:r>
              <w:rPr>
                <w:rFonts w:hint="eastAsia" w:ascii="宋体" w:cs="宋体"/>
                <w:kern w:val="0"/>
                <w:sz w:val="18"/>
                <w:szCs w:val="18"/>
              </w:rPr>
              <w:t>Y≥40000</w:t>
            </w:r>
          </w:p>
        </w:tc>
        <w:tc>
          <w:tcPr>
            <w:tcW w:w="1701" w:type="dxa"/>
            <w:vAlign w:val="center"/>
          </w:tcPr>
          <w:p w14:paraId="65F8326C">
            <w:pPr>
              <w:widowControl/>
              <w:jc w:val="center"/>
              <w:rPr>
                <w:rFonts w:ascii="宋体" w:cs="宋体"/>
                <w:kern w:val="0"/>
                <w:sz w:val="18"/>
                <w:szCs w:val="18"/>
              </w:rPr>
            </w:pPr>
            <w:r>
              <w:rPr>
                <w:rFonts w:hint="eastAsia" w:ascii="宋体" w:cs="宋体"/>
                <w:kern w:val="0"/>
                <w:sz w:val="18"/>
                <w:szCs w:val="18"/>
              </w:rPr>
              <w:t>2000≤Y＜40000</w:t>
            </w:r>
          </w:p>
        </w:tc>
        <w:tc>
          <w:tcPr>
            <w:tcW w:w="1426" w:type="dxa"/>
            <w:vAlign w:val="center"/>
          </w:tcPr>
          <w:p w14:paraId="71D17FA6">
            <w:pPr>
              <w:widowControl/>
              <w:jc w:val="center"/>
              <w:rPr>
                <w:rFonts w:ascii="宋体" w:cs="宋体"/>
                <w:kern w:val="0"/>
                <w:sz w:val="18"/>
                <w:szCs w:val="18"/>
              </w:rPr>
            </w:pPr>
            <w:r>
              <w:rPr>
                <w:rFonts w:hint="eastAsia" w:ascii="宋体" w:cs="宋体"/>
                <w:kern w:val="0"/>
                <w:sz w:val="18"/>
                <w:szCs w:val="18"/>
              </w:rPr>
              <w:t xml:space="preserve"> 300≤Y＜2000</w:t>
            </w:r>
          </w:p>
        </w:tc>
        <w:tc>
          <w:tcPr>
            <w:tcW w:w="992" w:type="dxa"/>
            <w:vAlign w:val="center"/>
          </w:tcPr>
          <w:p w14:paraId="06FFA4A4">
            <w:pPr>
              <w:widowControl/>
              <w:jc w:val="center"/>
              <w:rPr>
                <w:rFonts w:ascii="宋体" w:cs="宋体"/>
                <w:kern w:val="0"/>
                <w:sz w:val="18"/>
                <w:szCs w:val="18"/>
              </w:rPr>
            </w:pPr>
            <w:r>
              <w:rPr>
                <w:rFonts w:hint="eastAsia" w:ascii="宋体" w:cs="宋体"/>
                <w:kern w:val="0"/>
                <w:sz w:val="18"/>
                <w:szCs w:val="18"/>
              </w:rPr>
              <w:t>Y＜300</w:t>
            </w:r>
          </w:p>
        </w:tc>
      </w:tr>
      <w:tr w14:paraId="1D8D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D2EEA1E">
            <w:pPr>
              <w:widowControl/>
              <w:spacing w:line="240" w:lineRule="exact"/>
              <w:jc w:val="left"/>
              <w:rPr>
                <w:rFonts w:ascii="宋体" w:cs="宋体"/>
                <w:kern w:val="0"/>
                <w:sz w:val="18"/>
                <w:szCs w:val="18"/>
              </w:rPr>
            </w:pPr>
            <w:r>
              <w:rPr>
                <w:rFonts w:hint="eastAsia" w:ascii="宋体" w:cs="宋体"/>
                <w:kern w:val="0"/>
                <w:sz w:val="18"/>
                <w:szCs w:val="18"/>
              </w:rPr>
              <w:t>建筑业</w:t>
            </w:r>
          </w:p>
        </w:tc>
        <w:tc>
          <w:tcPr>
            <w:tcW w:w="1369" w:type="dxa"/>
            <w:vAlign w:val="center"/>
          </w:tcPr>
          <w:p w14:paraId="7ACA7C8C">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67589C42">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3CAFCAD8">
            <w:pPr>
              <w:widowControl/>
              <w:jc w:val="center"/>
              <w:rPr>
                <w:rFonts w:ascii="宋体" w:cs="宋体"/>
                <w:kern w:val="0"/>
                <w:sz w:val="18"/>
                <w:szCs w:val="18"/>
              </w:rPr>
            </w:pPr>
            <w:r>
              <w:rPr>
                <w:rFonts w:hint="eastAsia" w:ascii="宋体" w:cs="宋体"/>
                <w:kern w:val="0"/>
                <w:sz w:val="18"/>
                <w:szCs w:val="18"/>
              </w:rPr>
              <w:t>Y≥80000</w:t>
            </w:r>
          </w:p>
        </w:tc>
        <w:tc>
          <w:tcPr>
            <w:tcW w:w="1701" w:type="dxa"/>
            <w:vAlign w:val="center"/>
          </w:tcPr>
          <w:p w14:paraId="1DFF2755">
            <w:pPr>
              <w:widowControl/>
              <w:jc w:val="center"/>
              <w:rPr>
                <w:rFonts w:ascii="宋体" w:cs="宋体"/>
                <w:kern w:val="0"/>
                <w:sz w:val="18"/>
                <w:szCs w:val="18"/>
              </w:rPr>
            </w:pPr>
            <w:r>
              <w:rPr>
                <w:rFonts w:hint="eastAsia" w:ascii="宋体" w:cs="宋体"/>
                <w:kern w:val="0"/>
                <w:sz w:val="18"/>
                <w:szCs w:val="18"/>
              </w:rPr>
              <w:t>6000≤Y＜80000</w:t>
            </w:r>
          </w:p>
        </w:tc>
        <w:tc>
          <w:tcPr>
            <w:tcW w:w="1426" w:type="dxa"/>
            <w:vAlign w:val="center"/>
          </w:tcPr>
          <w:p w14:paraId="0E6073A5">
            <w:pPr>
              <w:widowControl/>
              <w:jc w:val="center"/>
              <w:rPr>
                <w:rFonts w:ascii="宋体" w:cs="宋体"/>
                <w:kern w:val="0"/>
                <w:sz w:val="18"/>
                <w:szCs w:val="18"/>
              </w:rPr>
            </w:pPr>
            <w:r>
              <w:rPr>
                <w:rFonts w:hint="eastAsia" w:ascii="宋体" w:cs="宋体"/>
                <w:kern w:val="0"/>
                <w:sz w:val="18"/>
                <w:szCs w:val="18"/>
              </w:rPr>
              <w:t xml:space="preserve"> 300≤Y＜6000</w:t>
            </w:r>
          </w:p>
        </w:tc>
        <w:tc>
          <w:tcPr>
            <w:tcW w:w="992" w:type="dxa"/>
            <w:vAlign w:val="center"/>
          </w:tcPr>
          <w:p w14:paraId="10FF6043">
            <w:pPr>
              <w:widowControl/>
              <w:jc w:val="center"/>
              <w:rPr>
                <w:rFonts w:ascii="宋体" w:cs="宋体"/>
                <w:kern w:val="0"/>
                <w:sz w:val="18"/>
                <w:szCs w:val="18"/>
              </w:rPr>
            </w:pPr>
            <w:r>
              <w:rPr>
                <w:rFonts w:hint="eastAsia" w:ascii="宋体" w:cs="宋体"/>
                <w:kern w:val="0"/>
                <w:sz w:val="18"/>
                <w:szCs w:val="18"/>
              </w:rPr>
              <w:t>Y＜300</w:t>
            </w:r>
          </w:p>
        </w:tc>
      </w:tr>
      <w:tr w14:paraId="0F7E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1680C11">
            <w:pPr>
              <w:rPr>
                <w:szCs w:val="20"/>
              </w:rPr>
            </w:pPr>
          </w:p>
        </w:tc>
        <w:tc>
          <w:tcPr>
            <w:tcW w:w="1369" w:type="dxa"/>
            <w:vAlign w:val="center"/>
          </w:tcPr>
          <w:p w14:paraId="2CAB9BA2">
            <w:pPr>
              <w:widowControl/>
              <w:spacing w:line="240" w:lineRule="exact"/>
              <w:jc w:val="center"/>
              <w:rPr>
                <w:rFonts w:ascii="宋体" w:cs="宋体"/>
                <w:kern w:val="0"/>
                <w:sz w:val="18"/>
                <w:szCs w:val="18"/>
              </w:rPr>
            </w:pPr>
            <w:r>
              <w:rPr>
                <w:rFonts w:hint="eastAsia" w:ascii="宋体" w:cs="宋体"/>
                <w:kern w:val="0"/>
                <w:sz w:val="18"/>
                <w:szCs w:val="18"/>
              </w:rPr>
              <w:t>资产总额(Z)</w:t>
            </w:r>
          </w:p>
        </w:tc>
        <w:tc>
          <w:tcPr>
            <w:tcW w:w="709" w:type="dxa"/>
            <w:vAlign w:val="center"/>
          </w:tcPr>
          <w:p w14:paraId="1AFFCDB1">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1C213DB2">
            <w:pPr>
              <w:widowControl/>
              <w:jc w:val="center"/>
              <w:rPr>
                <w:rFonts w:ascii="宋体" w:cs="宋体"/>
                <w:kern w:val="0"/>
                <w:sz w:val="18"/>
                <w:szCs w:val="18"/>
              </w:rPr>
            </w:pPr>
            <w:r>
              <w:rPr>
                <w:rFonts w:hint="eastAsia" w:ascii="宋体" w:cs="宋体"/>
                <w:kern w:val="0"/>
                <w:sz w:val="18"/>
                <w:szCs w:val="18"/>
              </w:rPr>
              <w:t>Z≥80000</w:t>
            </w:r>
          </w:p>
        </w:tc>
        <w:tc>
          <w:tcPr>
            <w:tcW w:w="1701" w:type="dxa"/>
            <w:vAlign w:val="center"/>
          </w:tcPr>
          <w:p w14:paraId="0084000A">
            <w:pPr>
              <w:widowControl/>
              <w:jc w:val="center"/>
              <w:rPr>
                <w:rFonts w:ascii="宋体" w:cs="宋体"/>
                <w:kern w:val="0"/>
                <w:sz w:val="18"/>
                <w:szCs w:val="18"/>
              </w:rPr>
            </w:pPr>
            <w:r>
              <w:rPr>
                <w:rFonts w:hint="eastAsia" w:ascii="宋体" w:cs="宋体"/>
                <w:kern w:val="0"/>
                <w:sz w:val="18"/>
                <w:szCs w:val="18"/>
              </w:rPr>
              <w:t>5000≤Z＜80000</w:t>
            </w:r>
          </w:p>
        </w:tc>
        <w:tc>
          <w:tcPr>
            <w:tcW w:w="1426" w:type="dxa"/>
            <w:vAlign w:val="center"/>
          </w:tcPr>
          <w:p w14:paraId="37D985AA">
            <w:pPr>
              <w:widowControl/>
              <w:jc w:val="center"/>
              <w:rPr>
                <w:rFonts w:ascii="宋体" w:cs="宋体"/>
                <w:kern w:val="0"/>
                <w:sz w:val="18"/>
                <w:szCs w:val="18"/>
              </w:rPr>
            </w:pPr>
            <w:r>
              <w:rPr>
                <w:rFonts w:hint="eastAsia" w:ascii="宋体" w:cs="宋体"/>
                <w:kern w:val="0"/>
                <w:sz w:val="18"/>
                <w:szCs w:val="18"/>
              </w:rPr>
              <w:t xml:space="preserve"> 300≤Z＜5000</w:t>
            </w:r>
          </w:p>
        </w:tc>
        <w:tc>
          <w:tcPr>
            <w:tcW w:w="992" w:type="dxa"/>
            <w:vAlign w:val="center"/>
          </w:tcPr>
          <w:p w14:paraId="2B17AF9F">
            <w:pPr>
              <w:widowControl/>
              <w:jc w:val="center"/>
              <w:rPr>
                <w:rFonts w:ascii="宋体" w:cs="宋体"/>
                <w:kern w:val="0"/>
                <w:sz w:val="18"/>
                <w:szCs w:val="18"/>
              </w:rPr>
            </w:pPr>
            <w:r>
              <w:rPr>
                <w:rFonts w:hint="eastAsia" w:ascii="宋体" w:cs="宋体"/>
                <w:kern w:val="0"/>
                <w:sz w:val="18"/>
                <w:szCs w:val="18"/>
              </w:rPr>
              <w:t>Z＜300</w:t>
            </w:r>
          </w:p>
        </w:tc>
      </w:tr>
      <w:tr w14:paraId="0DBE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B6C4ED5">
            <w:pPr>
              <w:widowControl/>
              <w:spacing w:line="240" w:lineRule="exact"/>
              <w:jc w:val="left"/>
              <w:rPr>
                <w:rFonts w:ascii="宋体" w:cs="宋体"/>
                <w:kern w:val="0"/>
                <w:sz w:val="18"/>
                <w:szCs w:val="18"/>
              </w:rPr>
            </w:pPr>
            <w:r>
              <w:rPr>
                <w:rFonts w:hint="eastAsia" w:ascii="宋体" w:cs="宋体"/>
                <w:kern w:val="0"/>
                <w:sz w:val="18"/>
                <w:szCs w:val="18"/>
              </w:rPr>
              <w:t>批发业</w:t>
            </w:r>
          </w:p>
        </w:tc>
        <w:tc>
          <w:tcPr>
            <w:tcW w:w="1369" w:type="dxa"/>
            <w:vAlign w:val="center"/>
          </w:tcPr>
          <w:p w14:paraId="4F4E3982">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02A36A55">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0594BD2F">
            <w:pPr>
              <w:widowControl/>
              <w:jc w:val="center"/>
              <w:rPr>
                <w:rFonts w:ascii="宋体" w:cs="宋体"/>
                <w:kern w:val="0"/>
                <w:sz w:val="18"/>
                <w:szCs w:val="18"/>
              </w:rPr>
            </w:pPr>
            <w:r>
              <w:rPr>
                <w:rFonts w:hint="eastAsia" w:ascii="宋体" w:cs="宋体"/>
                <w:kern w:val="0"/>
                <w:sz w:val="18"/>
                <w:szCs w:val="18"/>
              </w:rPr>
              <w:t>X≥200</w:t>
            </w:r>
          </w:p>
        </w:tc>
        <w:tc>
          <w:tcPr>
            <w:tcW w:w="1701" w:type="dxa"/>
            <w:vAlign w:val="center"/>
          </w:tcPr>
          <w:p w14:paraId="6B897BC4">
            <w:pPr>
              <w:widowControl/>
              <w:jc w:val="center"/>
              <w:rPr>
                <w:rFonts w:ascii="宋体" w:cs="宋体"/>
                <w:kern w:val="0"/>
                <w:sz w:val="18"/>
                <w:szCs w:val="18"/>
              </w:rPr>
            </w:pPr>
            <w:r>
              <w:rPr>
                <w:rFonts w:hint="eastAsia" w:ascii="宋体" w:cs="宋体"/>
                <w:kern w:val="0"/>
                <w:sz w:val="18"/>
                <w:szCs w:val="18"/>
              </w:rPr>
              <w:t>20≤X＜200</w:t>
            </w:r>
          </w:p>
        </w:tc>
        <w:tc>
          <w:tcPr>
            <w:tcW w:w="1426" w:type="dxa"/>
            <w:vAlign w:val="center"/>
          </w:tcPr>
          <w:p w14:paraId="38CBB916">
            <w:pPr>
              <w:widowControl/>
              <w:jc w:val="center"/>
              <w:rPr>
                <w:rFonts w:ascii="宋体" w:cs="宋体"/>
                <w:kern w:val="0"/>
                <w:sz w:val="18"/>
                <w:szCs w:val="18"/>
              </w:rPr>
            </w:pPr>
            <w:r>
              <w:rPr>
                <w:rFonts w:hint="eastAsia" w:ascii="宋体" w:cs="宋体"/>
                <w:kern w:val="0"/>
                <w:sz w:val="18"/>
                <w:szCs w:val="18"/>
              </w:rPr>
              <w:t xml:space="preserve"> 5≤X＜20</w:t>
            </w:r>
          </w:p>
        </w:tc>
        <w:tc>
          <w:tcPr>
            <w:tcW w:w="992" w:type="dxa"/>
            <w:vAlign w:val="center"/>
          </w:tcPr>
          <w:p w14:paraId="2B351711">
            <w:pPr>
              <w:widowControl/>
              <w:jc w:val="center"/>
              <w:rPr>
                <w:rFonts w:ascii="宋体" w:cs="宋体"/>
                <w:kern w:val="0"/>
                <w:sz w:val="18"/>
                <w:szCs w:val="18"/>
              </w:rPr>
            </w:pPr>
            <w:r>
              <w:rPr>
                <w:rFonts w:hint="eastAsia" w:ascii="宋体" w:cs="宋体"/>
                <w:kern w:val="0"/>
                <w:sz w:val="18"/>
                <w:szCs w:val="18"/>
              </w:rPr>
              <w:t>X＜5</w:t>
            </w:r>
          </w:p>
        </w:tc>
      </w:tr>
      <w:tr w14:paraId="6456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5707626">
            <w:pPr>
              <w:rPr>
                <w:szCs w:val="20"/>
              </w:rPr>
            </w:pPr>
          </w:p>
        </w:tc>
        <w:tc>
          <w:tcPr>
            <w:tcW w:w="1369" w:type="dxa"/>
            <w:vAlign w:val="center"/>
          </w:tcPr>
          <w:p w14:paraId="3DE7A374">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5D0B6BF6">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085484BD">
            <w:pPr>
              <w:widowControl/>
              <w:jc w:val="center"/>
              <w:rPr>
                <w:rFonts w:ascii="宋体" w:cs="宋体"/>
                <w:kern w:val="0"/>
                <w:sz w:val="18"/>
                <w:szCs w:val="18"/>
              </w:rPr>
            </w:pPr>
            <w:r>
              <w:rPr>
                <w:rFonts w:hint="eastAsia" w:ascii="宋体" w:cs="宋体"/>
                <w:kern w:val="0"/>
                <w:sz w:val="18"/>
                <w:szCs w:val="18"/>
              </w:rPr>
              <w:t>Y≥40000</w:t>
            </w:r>
          </w:p>
        </w:tc>
        <w:tc>
          <w:tcPr>
            <w:tcW w:w="1701" w:type="dxa"/>
            <w:vAlign w:val="center"/>
          </w:tcPr>
          <w:p w14:paraId="45111856">
            <w:pPr>
              <w:widowControl/>
              <w:jc w:val="center"/>
              <w:rPr>
                <w:rFonts w:ascii="宋体" w:cs="宋体"/>
                <w:kern w:val="0"/>
                <w:sz w:val="18"/>
                <w:szCs w:val="18"/>
              </w:rPr>
            </w:pPr>
            <w:r>
              <w:rPr>
                <w:rFonts w:hint="eastAsia" w:ascii="宋体" w:cs="宋体"/>
                <w:kern w:val="0"/>
                <w:sz w:val="18"/>
                <w:szCs w:val="18"/>
              </w:rPr>
              <w:t>5000≤Y＜40000</w:t>
            </w:r>
          </w:p>
        </w:tc>
        <w:tc>
          <w:tcPr>
            <w:tcW w:w="1426" w:type="dxa"/>
            <w:vAlign w:val="center"/>
          </w:tcPr>
          <w:p w14:paraId="344A0B87">
            <w:pPr>
              <w:widowControl/>
              <w:ind w:left="-1" w:leftChars="-1" w:hanging="1"/>
              <w:jc w:val="center"/>
              <w:rPr>
                <w:rFonts w:ascii="宋体" w:cs="宋体"/>
                <w:kern w:val="0"/>
                <w:sz w:val="18"/>
                <w:szCs w:val="18"/>
              </w:rPr>
            </w:pPr>
            <w:r>
              <w:rPr>
                <w:rFonts w:hint="eastAsia" w:ascii="宋体" w:cs="宋体"/>
                <w:kern w:val="0"/>
                <w:sz w:val="18"/>
                <w:szCs w:val="18"/>
              </w:rPr>
              <w:t>1000≤Y＜5000</w:t>
            </w:r>
          </w:p>
        </w:tc>
        <w:tc>
          <w:tcPr>
            <w:tcW w:w="992" w:type="dxa"/>
            <w:vAlign w:val="center"/>
          </w:tcPr>
          <w:p w14:paraId="3B7B7D28">
            <w:pPr>
              <w:widowControl/>
              <w:jc w:val="center"/>
              <w:rPr>
                <w:rFonts w:ascii="宋体" w:cs="宋体"/>
                <w:kern w:val="0"/>
                <w:sz w:val="18"/>
                <w:szCs w:val="18"/>
              </w:rPr>
            </w:pPr>
            <w:r>
              <w:rPr>
                <w:rFonts w:hint="eastAsia" w:ascii="宋体" w:cs="宋体"/>
                <w:kern w:val="0"/>
                <w:sz w:val="18"/>
                <w:szCs w:val="18"/>
              </w:rPr>
              <w:t>Y＜1000</w:t>
            </w:r>
          </w:p>
        </w:tc>
      </w:tr>
      <w:tr w14:paraId="134F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5F6A458">
            <w:pPr>
              <w:widowControl/>
              <w:spacing w:line="240" w:lineRule="exact"/>
              <w:jc w:val="left"/>
              <w:rPr>
                <w:rFonts w:ascii="宋体" w:cs="宋体"/>
                <w:kern w:val="0"/>
                <w:sz w:val="18"/>
                <w:szCs w:val="18"/>
              </w:rPr>
            </w:pPr>
            <w:r>
              <w:rPr>
                <w:rFonts w:hint="eastAsia" w:ascii="宋体" w:cs="宋体"/>
                <w:kern w:val="0"/>
                <w:sz w:val="18"/>
                <w:szCs w:val="18"/>
              </w:rPr>
              <w:t>零售业</w:t>
            </w:r>
          </w:p>
        </w:tc>
        <w:tc>
          <w:tcPr>
            <w:tcW w:w="1369" w:type="dxa"/>
            <w:vAlign w:val="center"/>
          </w:tcPr>
          <w:p w14:paraId="5215B4EA">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0D99B799">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550304DF">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4930127C">
            <w:pPr>
              <w:widowControl/>
              <w:jc w:val="center"/>
              <w:rPr>
                <w:rFonts w:ascii="宋体" w:cs="宋体"/>
                <w:kern w:val="0"/>
                <w:sz w:val="18"/>
                <w:szCs w:val="18"/>
              </w:rPr>
            </w:pPr>
            <w:r>
              <w:rPr>
                <w:rFonts w:hint="eastAsia" w:ascii="宋体" w:cs="宋体"/>
                <w:kern w:val="0"/>
                <w:sz w:val="18"/>
                <w:szCs w:val="18"/>
              </w:rPr>
              <w:t>50≤X＜300</w:t>
            </w:r>
          </w:p>
        </w:tc>
        <w:tc>
          <w:tcPr>
            <w:tcW w:w="1426" w:type="dxa"/>
            <w:vAlign w:val="center"/>
          </w:tcPr>
          <w:p w14:paraId="7CFDE487">
            <w:pPr>
              <w:widowControl/>
              <w:ind w:left="-1" w:leftChars="-1" w:hanging="1"/>
              <w:jc w:val="center"/>
              <w:rPr>
                <w:rFonts w:ascii="宋体" w:cs="宋体"/>
                <w:kern w:val="0"/>
                <w:sz w:val="18"/>
                <w:szCs w:val="18"/>
              </w:rPr>
            </w:pPr>
            <w:r>
              <w:rPr>
                <w:rFonts w:hint="eastAsia" w:ascii="宋体" w:cs="宋体"/>
                <w:kern w:val="0"/>
                <w:sz w:val="18"/>
                <w:szCs w:val="18"/>
              </w:rPr>
              <w:t xml:space="preserve">10≤X＜50 </w:t>
            </w:r>
          </w:p>
        </w:tc>
        <w:tc>
          <w:tcPr>
            <w:tcW w:w="992" w:type="dxa"/>
            <w:vAlign w:val="center"/>
          </w:tcPr>
          <w:p w14:paraId="0E2E2BB1">
            <w:pPr>
              <w:widowControl/>
              <w:jc w:val="center"/>
              <w:rPr>
                <w:rFonts w:ascii="宋体" w:cs="宋体"/>
                <w:kern w:val="0"/>
                <w:sz w:val="18"/>
                <w:szCs w:val="18"/>
              </w:rPr>
            </w:pPr>
            <w:r>
              <w:rPr>
                <w:rFonts w:hint="eastAsia" w:ascii="宋体" w:cs="宋体"/>
                <w:kern w:val="0"/>
                <w:sz w:val="18"/>
                <w:szCs w:val="18"/>
              </w:rPr>
              <w:t>X＜10</w:t>
            </w:r>
          </w:p>
        </w:tc>
      </w:tr>
      <w:tr w14:paraId="2CE9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A6C29AC">
            <w:pPr>
              <w:rPr>
                <w:szCs w:val="20"/>
              </w:rPr>
            </w:pPr>
          </w:p>
        </w:tc>
        <w:tc>
          <w:tcPr>
            <w:tcW w:w="1369" w:type="dxa"/>
            <w:vAlign w:val="center"/>
          </w:tcPr>
          <w:p w14:paraId="6CA143DD">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028CE721">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6F38FDCE">
            <w:pPr>
              <w:widowControl/>
              <w:jc w:val="center"/>
              <w:rPr>
                <w:rFonts w:ascii="宋体" w:cs="宋体"/>
                <w:kern w:val="0"/>
                <w:sz w:val="18"/>
                <w:szCs w:val="18"/>
              </w:rPr>
            </w:pPr>
            <w:r>
              <w:rPr>
                <w:rFonts w:hint="eastAsia" w:ascii="宋体" w:cs="宋体"/>
                <w:kern w:val="0"/>
                <w:sz w:val="18"/>
                <w:szCs w:val="18"/>
              </w:rPr>
              <w:t>Y≥20000</w:t>
            </w:r>
          </w:p>
        </w:tc>
        <w:tc>
          <w:tcPr>
            <w:tcW w:w="1701" w:type="dxa"/>
            <w:vAlign w:val="center"/>
          </w:tcPr>
          <w:p w14:paraId="293A299E">
            <w:pPr>
              <w:widowControl/>
              <w:jc w:val="center"/>
              <w:rPr>
                <w:rFonts w:ascii="宋体" w:cs="宋体"/>
                <w:kern w:val="0"/>
                <w:sz w:val="18"/>
                <w:szCs w:val="18"/>
              </w:rPr>
            </w:pPr>
            <w:r>
              <w:rPr>
                <w:rFonts w:hint="eastAsia" w:ascii="宋体" w:cs="宋体"/>
                <w:kern w:val="0"/>
                <w:sz w:val="18"/>
                <w:szCs w:val="18"/>
              </w:rPr>
              <w:t xml:space="preserve"> 500≤Y＜20000</w:t>
            </w:r>
          </w:p>
        </w:tc>
        <w:tc>
          <w:tcPr>
            <w:tcW w:w="1426" w:type="dxa"/>
            <w:vAlign w:val="center"/>
          </w:tcPr>
          <w:p w14:paraId="4B4B1A78">
            <w:pPr>
              <w:widowControl/>
              <w:ind w:left="-1" w:leftChars="-1" w:hanging="1"/>
              <w:jc w:val="center"/>
              <w:rPr>
                <w:rFonts w:ascii="宋体" w:cs="宋体"/>
                <w:kern w:val="0"/>
                <w:sz w:val="18"/>
                <w:szCs w:val="18"/>
              </w:rPr>
            </w:pPr>
            <w:r>
              <w:rPr>
                <w:rFonts w:hint="eastAsia" w:ascii="宋体" w:cs="宋体"/>
                <w:kern w:val="0"/>
                <w:sz w:val="18"/>
                <w:szCs w:val="18"/>
              </w:rPr>
              <w:t xml:space="preserve">100≤Y＜500 </w:t>
            </w:r>
          </w:p>
        </w:tc>
        <w:tc>
          <w:tcPr>
            <w:tcW w:w="992" w:type="dxa"/>
            <w:vAlign w:val="center"/>
          </w:tcPr>
          <w:p w14:paraId="5194AED4">
            <w:pPr>
              <w:widowControl/>
              <w:jc w:val="center"/>
              <w:rPr>
                <w:rFonts w:ascii="宋体" w:cs="宋体"/>
                <w:kern w:val="0"/>
                <w:sz w:val="18"/>
                <w:szCs w:val="18"/>
              </w:rPr>
            </w:pPr>
            <w:r>
              <w:rPr>
                <w:rFonts w:hint="eastAsia" w:ascii="宋体" w:cs="宋体"/>
                <w:kern w:val="0"/>
                <w:sz w:val="18"/>
                <w:szCs w:val="18"/>
              </w:rPr>
              <w:t>Y＜100</w:t>
            </w:r>
          </w:p>
        </w:tc>
      </w:tr>
      <w:tr w14:paraId="5448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AFC12BF">
            <w:pPr>
              <w:widowControl/>
              <w:spacing w:line="240" w:lineRule="exact"/>
              <w:jc w:val="left"/>
              <w:rPr>
                <w:rFonts w:ascii="宋体" w:cs="宋体"/>
                <w:kern w:val="0"/>
                <w:sz w:val="18"/>
                <w:szCs w:val="18"/>
              </w:rPr>
            </w:pPr>
            <w:r>
              <w:rPr>
                <w:rFonts w:hint="eastAsia" w:ascii="宋体" w:cs="宋体"/>
                <w:kern w:val="0"/>
                <w:sz w:val="18"/>
                <w:szCs w:val="18"/>
              </w:rPr>
              <w:t xml:space="preserve">交通运输业 </w:t>
            </w:r>
            <w:r>
              <w:rPr>
                <w:rFonts w:ascii="宋体" w:cs="宋体"/>
                <w:kern w:val="0"/>
                <w:sz w:val="18"/>
                <w:szCs w:val="18"/>
              </w:rPr>
              <w:t>#</w:t>
            </w:r>
          </w:p>
        </w:tc>
        <w:tc>
          <w:tcPr>
            <w:tcW w:w="1369" w:type="dxa"/>
            <w:vAlign w:val="center"/>
          </w:tcPr>
          <w:p w14:paraId="0F5F39E4">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7D8885E7">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2D5A8D44">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50B8E424">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357F90B5">
            <w:pPr>
              <w:widowControl/>
              <w:jc w:val="center"/>
              <w:rPr>
                <w:rFonts w:ascii="宋体" w:cs="宋体"/>
                <w:kern w:val="0"/>
                <w:sz w:val="18"/>
                <w:szCs w:val="18"/>
              </w:rPr>
            </w:pPr>
            <w:r>
              <w:rPr>
                <w:rFonts w:hint="eastAsia" w:ascii="宋体" w:cs="宋体"/>
                <w:kern w:val="0"/>
                <w:sz w:val="18"/>
                <w:szCs w:val="18"/>
              </w:rPr>
              <w:t xml:space="preserve"> 20≤X＜300</w:t>
            </w:r>
          </w:p>
        </w:tc>
        <w:tc>
          <w:tcPr>
            <w:tcW w:w="992" w:type="dxa"/>
            <w:vAlign w:val="center"/>
          </w:tcPr>
          <w:p w14:paraId="60E2265D">
            <w:pPr>
              <w:widowControl/>
              <w:jc w:val="center"/>
              <w:rPr>
                <w:rFonts w:ascii="宋体" w:cs="宋体"/>
                <w:kern w:val="0"/>
                <w:sz w:val="18"/>
                <w:szCs w:val="18"/>
              </w:rPr>
            </w:pPr>
            <w:r>
              <w:rPr>
                <w:rFonts w:hint="eastAsia" w:ascii="宋体" w:cs="宋体"/>
                <w:kern w:val="0"/>
                <w:sz w:val="18"/>
                <w:szCs w:val="18"/>
              </w:rPr>
              <w:t>X＜20</w:t>
            </w:r>
          </w:p>
        </w:tc>
      </w:tr>
      <w:tr w14:paraId="49CE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97F7357">
            <w:pPr>
              <w:rPr>
                <w:szCs w:val="20"/>
              </w:rPr>
            </w:pPr>
          </w:p>
        </w:tc>
        <w:tc>
          <w:tcPr>
            <w:tcW w:w="1369" w:type="dxa"/>
            <w:vAlign w:val="center"/>
          </w:tcPr>
          <w:p w14:paraId="7C588CB1">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526E5A9D">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7CC09442">
            <w:pPr>
              <w:widowControl/>
              <w:jc w:val="center"/>
              <w:rPr>
                <w:rFonts w:ascii="宋体" w:cs="宋体"/>
                <w:kern w:val="0"/>
                <w:sz w:val="18"/>
                <w:szCs w:val="18"/>
              </w:rPr>
            </w:pPr>
            <w:r>
              <w:rPr>
                <w:rFonts w:hint="eastAsia" w:ascii="宋体" w:cs="宋体"/>
                <w:kern w:val="0"/>
                <w:sz w:val="18"/>
                <w:szCs w:val="18"/>
              </w:rPr>
              <w:t>Y≥30000</w:t>
            </w:r>
          </w:p>
        </w:tc>
        <w:tc>
          <w:tcPr>
            <w:tcW w:w="1701" w:type="dxa"/>
            <w:vAlign w:val="center"/>
          </w:tcPr>
          <w:p w14:paraId="38417986">
            <w:pPr>
              <w:widowControl/>
              <w:jc w:val="center"/>
              <w:rPr>
                <w:rFonts w:ascii="宋体" w:cs="宋体"/>
                <w:kern w:val="0"/>
                <w:sz w:val="18"/>
                <w:szCs w:val="18"/>
              </w:rPr>
            </w:pPr>
            <w:r>
              <w:rPr>
                <w:rFonts w:hint="eastAsia" w:ascii="宋体" w:cs="宋体"/>
                <w:kern w:val="0"/>
                <w:sz w:val="18"/>
                <w:szCs w:val="18"/>
              </w:rPr>
              <w:t>3000≤Y＜30000</w:t>
            </w:r>
          </w:p>
        </w:tc>
        <w:tc>
          <w:tcPr>
            <w:tcW w:w="1426" w:type="dxa"/>
            <w:vAlign w:val="center"/>
          </w:tcPr>
          <w:p w14:paraId="167738B1">
            <w:pPr>
              <w:widowControl/>
              <w:jc w:val="center"/>
              <w:rPr>
                <w:rFonts w:ascii="宋体" w:cs="宋体"/>
                <w:kern w:val="0"/>
                <w:sz w:val="18"/>
                <w:szCs w:val="18"/>
              </w:rPr>
            </w:pPr>
            <w:r>
              <w:rPr>
                <w:rFonts w:hint="eastAsia" w:ascii="宋体" w:cs="宋体"/>
                <w:kern w:val="0"/>
                <w:sz w:val="18"/>
                <w:szCs w:val="18"/>
              </w:rPr>
              <w:t xml:space="preserve"> 200≤Y＜3000</w:t>
            </w:r>
          </w:p>
        </w:tc>
        <w:tc>
          <w:tcPr>
            <w:tcW w:w="992" w:type="dxa"/>
            <w:vAlign w:val="center"/>
          </w:tcPr>
          <w:p w14:paraId="4E2AAE56">
            <w:pPr>
              <w:widowControl/>
              <w:jc w:val="center"/>
              <w:rPr>
                <w:rFonts w:ascii="宋体" w:cs="宋体"/>
                <w:kern w:val="0"/>
                <w:sz w:val="18"/>
                <w:szCs w:val="18"/>
              </w:rPr>
            </w:pPr>
            <w:r>
              <w:rPr>
                <w:rFonts w:hint="eastAsia" w:ascii="宋体" w:cs="宋体"/>
                <w:kern w:val="0"/>
                <w:sz w:val="18"/>
                <w:szCs w:val="18"/>
              </w:rPr>
              <w:t>Y＜200</w:t>
            </w:r>
          </w:p>
        </w:tc>
      </w:tr>
      <w:tr w14:paraId="3880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2F2101C">
            <w:pPr>
              <w:widowControl/>
              <w:spacing w:line="240" w:lineRule="exact"/>
              <w:jc w:val="left"/>
              <w:rPr>
                <w:rFonts w:ascii="宋体" w:cs="宋体"/>
                <w:kern w:val="0"/>
                <w:sz w:val="18"/>
                <w:szCs w:val="18"/>
              </w:rPr>
            </w:pPr>
            <w:r>
              <w:rPr>
                <w:rFonts w:hint="eastAsia" w:ascii="宋体" w:cs="宋体"/>
                <w:kern w:val="0"/>
                <w:sz w:val="18"/>
                <w:szCs w:val="18"/>
              </w:rPr>
              <w:t>仓储业</w:t>
            </w:r>
            <w:r>
              <w:rPr>
                <w:rFonts w:ascii="宋体" w:cs="宋体"/>
                <w:kern w:val="0"/>
                <w:sz w:val="18"/>
                <w:szCs w:val="18"/>
              </w:rPr>
              <w:t>#</w:t>
            </w:r>
          </w:p>
        </w:tc>
        <w:tc>
          <w:tcPr>
            <w:tcW w:w="1369" w:type="dxa"/>
            <w:vAlign w:val="center"/>
          </w:tcPr>
          <w:p w14:paraId="6E16DB7B">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26E19349">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74456A06">
            <w:pPr>
              <w:widowControl/>
              <w:jc w:val="center"/>
              <w:rPr>
                <w:rFonts w:ascii="宋体" w:cs="宋体"/>
                <w:kern w:val="0"/>
                <w:sz w:val="18"/>
                <w:szCs w:val="18"/>
              </w:rPr>
            </w:pPr>
            <w:r>
              <w:rPr>
                <w:rFonts w:hint="eastAsia" w:ascii="宋体" w:cs="宋体"/>
                <w:kern w:val="0"/>
                <w:sz w:val="18"/>
                <w:szCs w:val="18"/>
              </w:rPr>
              <w:t>X≥200</w:t>
            </w:r>
          </w:p>
        </w:tc>
        <w:tc>
          <w:tcPr>
            <w:tcW w:w="1701" w:type="dxa"/>
            <w:vAlign w:val="center"/>
          </w:tcPr>
          <w:p w14:paraId="1D097600">
            <w:pPr>
              <w:widowControl/>
              <w:ind w:left="1" w:leftChars="-51" w:hanging="108" w:hangingChars="60"/>
              <w:jc w:val="center"/>
              <w:rPr>
                <w:rFonts w:ascii="宋体" w:cs="宋体"/>
                <w:kern w:val="0"/>
                <w:sz w:val="18"/>
                <w:szCs w:val="18"/>
              </w:rPr>
            </w:pPr>
            <w:r>
              <w:rPr>
                <w:rFonts w:hint="eastAsia" w:ascii="宋体" w:cs="宋体"/>
                <w:kern w:val="0"/>
                <w:sz w:val="18"/>
                <w:szCs w:val="18"/>
              </w:rPr>
              <w:t>100≤X＜200</w:t>
            </w:r>
          </w:p>
        </w:tc>
        <w:tc>
          <w:tcPr>
            <w:tcW w:w="1426" w:type="dxa"/>
            <w:vAlign w:val="center"/>
          </w:tcPr>
          <w:p w14:paraId="6E6D5FD9">
            <w:pPr>
              <w:widowControl/>
              <w:jc w:val="center"/>
              <w:rPr>
                <w:rFonts w:ascii="宋体" w:cs="宋体"/>
                <w:kern w:val="0"/>
                <w:sz w:val="18"/>
                <w:szCs w:val="18"/>
              </w:rPr>
            </w:pPr>
            <w:r>
              <w:rPr>
                <w:rFonts w:hint="eastAsia" w:ascii="宋体" w:cs="宋体"/>
                <w:kern w:val="0"/>
                <w:sz w:val="18"/>
                <w:szCs w:val="18"/>
              </w:rPr>
              <w:t xml:space="preserve"> 20≤X＜100</w:t>
            </w:r>
          </w:p>
        </w:tc>
        <w:tc>
          <w:tcPr>
            <w:tcW w:w="992" w:type="dxa"/>
            <w:vAlign w:val="center"/>
          </w:tcPr>
          <w:p w14:paraId="3396F18B">
            <w:pPr>
              <w:widowControl/>
              <w:jc w:val="center"/>
              <w:rPr>
                <w:rFonts w:ascii="宋体" w:cs="宋体"/>
                <w:kern w:val="0"/>
                <w:sz w:val="18"/>
                <w:szCs w:val="18"/>
              </w:rPr>
            </w:pPr>
            <w:r>
              <w:rPr>
                <w:rFonts w:hint="eastAsia" w:ascii="宋体" w:cs="宋体"/>
                <w:kern w:val="0"/>
                <w:sz w:val="18"/>
                <w:szCs w:val="18"/>
              </w:rPr>
              <w:t>X＜20</w:t>
            </w:r>
          </w:p>
        </w:tc>
      </w:tr>
      <w:tr w14:paraId="769F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7FBAE09">
            <w:pPr>
              <w:rPr>
                <w:szCs w:val="20"/>
              </w:rPr>
            </w:pPr>
          </w:p>
        </w:tc>
        <w:tc>
          <w:tcPr>
            <w:tcW w:w="1369" w:type="dxa"/>
            <w:vAlign w:val="center"/>
          </w:tcPr>
          <w:p w14:paraId="206244CD">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69FED776">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5FB0FD1E">
            <w:pPr>
              <w:widowControl/>
              <w:jc w:val="center"/>
              <w:rPr>
                <w:rFonts w:ascii="宋体" w:cs="宋体"/>
                <w:kern w:val="0"/>
                <w:sz w:val="18"/>
                <w:szCs w:val="18"/>
              </w:rPr>
            </w:pPr>
            <w:r>
              <w:rPr>
                <w:rFonts w:hint="eastAsia" w:ascii="宋体" w:cs="宋体"/>
                <w:kern w:val="0"/>
                <w:sz w:val="18"/>
                <w:szCs w:val="18"/>
              </w:rPr>
              <w:t>Y≥30000</w:t>
            </w:r>
          </w:p>
        </w:tc>
        <w:tc>
          <w:tcPr>
            <w:tcW w:w="1701" w:type="dxa"/>
            <w:vAlign w:val="center"/>
          </w:tcPr>
          <w:p w14:paraId="6AA5E0B8">
            <w:pPr>
              <w:widowControl/>
              <w:jc w:val="center"/>
              <w:rPr>
                <w:rFonts w:ascii="宋体" w:cs="宋体"/>
                <w:kern w:val="0"/>
                <w:sz w:val="18"/>
                <w:szCs w:val="18"/>
              </w:rPr>
            </w:pPr>
            <w:r>
              <w:rPr>
                <w:rFonts w:hint="eastAsia" w:ascii="宋体" w:cs="宋体"/>
                <w:kern w:val="0"/>
                <w:sz w:val="18"/>
                <w:szCs w:val="18"/>
              </w:rPr>
              <w:t>1000≤Y＜30000</w:t>
            </w:r>
          </w:p>
        </w:tc>
        <w:tc>
          <w:tcPr>
            <w:tcW w:w="1426" w:type="dxa"/>
            <w:vAlign w:val="center"/>
          </w:tcPr>
          <w:p w14:paraId="09FF211D">
            <w:pPr>
              <w:widowControl/>
              <w:jc w:val="center"/>
              <w:rPr>
                <w:rFonts w:ascii="宋体" w:cs="宋体"/>
                <w:kern w:val="0"/>
                <w:sz w:val="18"/>
                <w:szCs w:val="18"/>
              </w:rPr>
            </w:pPr>
            <w:r>
              <w:rPr>
                <w:rFonts w:hint="eastAsia" w:ascii="宋体" w:cs="宋体"/>
                <w:kern w:val="0"/>
                <w:sz w:val="18"/>
                <w:szCs w:val="18"/>
              </w:rPr>
              <w:t xml:space="preserve"> 100≤Y＜1000</w:t>
            </w:r>
          </w:p>
        </w:tc>
        <w:tc>
          <w:tcPr>
            <w:tcW w:w="992" w:type="dxa"/>
            <w:vAlign w:val="center"/>
          </w:tcPr>
          <w:p w14:paraId="6E706FF3">
            <w:pPr>
              <w:widowControl/>
              <w:jc w:val="center"/>
              <w:rPr>
                <w:rFonts w:ascii="宋体" w:cs="宋体"/>
                <w:kern w:val="0"/>
                <w:sz w:val="18"/>
                <w:szCs w:val="18"/>
              </w:rPr>
            </w:pPr>
            <w:r>
              <w:rPr>
                <w:rFonts w:hint="eastAsia" w:ascii="宋体" w:cs="宋体"/>
                <w:kern w:val="0"/>
                <w:sz w:val="18"/>
                <w:szCs w:val="18"/>
              </w:rPr>
              <w:t>Y＜100</w:t>
            </w:r>
          </w:p>
        </w:tc>
      </w:tr>
      <w:tr w14:paraId="2FF7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A35FA7C">
            <w:pPr>
              <w:widowControl/>
              <w:spacing w:line="240" w:lineRule="exact"/>
              <w:jc w:val="left"/>
              <w:rPr>
                <w:rFonts w:ascii="宋体" w:cs="宋体"/>
                <w:kern w:val="0"/>
                <w:sz w:val="18"/>
                <w:szCs w:val="18"/>
              </w:rPr>
            </w:pPr>
            <w:r>
              <w:rPr>
                <w:rFonts w:hint="eastAsia" w:ascii="宋体" w:cs="宋体"/>
                <w:kern w:val="0"/>
                <w:sz w:val="18"/>
                <w:szCs w:val="18"/>
              </w:rPr>
              <w:t>邮政业</w:t>
            </w:r>
          </w:p>
        </w:tc>
        <w:tc>
          <w:tcPr>
            <w:tcW w:w="1369" w:type="dxa"/>
            <w:vAlign w:val="center"/>
          </w:tcPr>
          <w:p w14:paraId="325FBA8E">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6B922FFF">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177441FE">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45BC6F6E">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0BD05054">
            <w:pPr>
              <w:widowControl/>
              <w:jc w:val="center"/>
              <w:rPr>
                <w:rFonts w:ascii="宋体" w:cs="宋体"/>
                <w:kern w:val="0"/>
                <w:sz w:val="18"/>
                <w:szCs w:val="18"/>
              </w:rPr>
            </w:pPr>
            <w:r>
              <w:rPr>
                <w:rFonts w:hint="eastAsia" w:ascii="宋体" w:cs="宋体"/>
                <w:kern w:val="0"/>
                <w:sz w:val="18"/>
                <w:szCs w:val="18"/>
              </w:rPr>
              <w:t xml:space="preserve"> 20≤X＜300</w:t>
            </w:r>
          </w:p>
        </w:tc>
        <w:tc>
          <w:tcPr>
            <w:tcW w:w="992" w:type="dxa"/>
            <w:vAlign w:val="center"/>
          </w:tcPr>
          <w:p w14:paraId="6F8065EF">
            <w:pPr>
              <w:widowControl/>
              <w:jc w:val="center"/>
              <w:rPr>
                <w:rFonts w:ascii="宋体" w:cs="宋体"/>
                <w:kern w:val="0"/>
                <w:sz w:val="18"/>
                <w:szCs w:val="18"/>
              </w:rPr>
            </w:pPr>
            <w:r>
              <w:rPr>
                <w:rFonts w:hint="eastAsia" w:ascii="宋体" w:cs="宋体"/>
                <w:kern w:val="0"/>
                <w:sz w:val="18"/>
                <w:szCs w:val="18"/>
              </w:rPr>
              <w:t>X＜20</w:t>
            </w:r>
          </w:p>
        </w:tc>
      </w:tr>
      <w:tr w14:paraId="0E75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75DA5E4">
            <w:pPr>
              <w:rPr>
                <w:szCs w:val="20"/>
              </w:rPr>
            </w:pPr>
          </w:p>
        </w:tc>
        <w:tc>
          <w:tcPr>
            <w:tcW w:w="1369" w:type="dxa"/>
            <w:vAlign w:val="center"/>
          </w:tcPr>
          <w:p w14:paraId="683CD024">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4A2DEBE0">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74AAC881">
            <w:pPr>
              <w:widowControl/>
              <w:jc w:val="center"/>
              <w:rPr>
                <w:rFonts w:ascii="宋体" w:cs="宋体"/>
                <w:kern w:val="0"/>
                <w:sz w:val="18"/>
                <w:szCs w:val="18"/>
              </w:rPr>
            </w:pPr>
            <w:r>
              <w:rPr>
                <w:rFonts w:hint="eastAsia" w:ascii="宋体" w:cs="宋体"/>
                <w:kern w:val="0"/>
                <w:sz w:val="18"/>
                <w:szCs w:val="18"/>
              </w:rPr>
              <w:t>Y≥30000</w:t>
            </w:r>
          </w:p>
        </w:tc>
        <w:tc>
          <w:tcPr>
            <w:tcW w:w="1701" w:type="dxa"/>
            <w:vAlign w:val="center"/>
          </w:tcPr>
          <w:p w14:paraId="59FF754C">
            <w:pPr>
              <w:widowControl/>
              <w:jc w:val="center"/>
              <w:rPr>
                <w:rFonts w:ascii="宋体" w:cs="宋体"/>
                <w:kern w:val="0"/>
                <w:sz w:val="18"/>
                <w:szCs w:val="18"/>
              </w:rPr>
            </w:pPr>
            <w:r>
              <w:rPr>
                <w:rFonts w:hint="eastAsia" w:ascii="宋体" w:cs="宋体"/>
                <w:kern w:val="0"/>
                <w:sz w:val="18"/>
                <w:szCs w:val="18"/>
              </w:rPr>
              <w:t>2000≤Y＜30000</w:t>
            </w:r>
          </w:p>
        </w:tc>
        <w:tc>
          <w:tcPr>
            <w:tcW w:w="1426" w:type="dxa"/>
            <w:vAlign w:val="center"/>
          </w:tcPr>
          <w:p w14:paraId="3A160D2C">
            <w:pPr>
              <w:widowControl/>
              <w:jc w:val="center"/>
              <w:rPr>
                <w:rFonts w:ascii="宋体" w:cs="宋体"/>
                <w:kern w:val="0"/>
                <w:sz w:val="18"/>
                <w:szCs w:val="18"/>
              </w:rPr>
            </w:pPr>
            <w:r>
              <w:rPr>
                <w:rFonts w:hint="eastAsia" w:ascii="宋体" w:cs="宋体"/>
                <w:kern w:val="0"/>
                <w:sz w:val="18"/>
                <w:szCs w:val="18"/>
              </w:rPr>
              <w:t xml:space="preserve"> 100≤Y＜2000</w:t>
            </w:r>
          </w:p>
        </w:tc>
        <w:tc>
          <w:tcPr>
            <w:tcW w:w="992" w:type="dxa"/>
            <w:vAlign w:val="center"/>
          </w:tcPr>
          <w:p w14:paraId="301A9380">
            <w:pPr>
              <w:widowControl/>
              <w:jc w:val="center"/>
              <w:rPr>
                <w:rFonts w:ascii="宋体" w:cs="宋体"/>
                <w:kern w:val="0"/>
                <w:sz w:val="18"/>
                <w:szCs w:val="18"/>
              </w:rPr>
            </w:pPr>
            <w:r>
              <w:rPr>
                <w:rFonts w:hint="eastAsia" w:ascii="宋体" w:cs="宋体"/>
                <w:kern w:val="0"/>
                <w:sz w:val="18"/>
                <w:szCs w:val="18"/>
              </w:rPr>
              <w:t>Y＜100</w:t>
            </w:r>
          </w:p>
        </w:tc>
      </w:tr>
      <w:tr w14:paraId="7801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71355E1">
            <w:pPr>
              <w:widowControl/>
              <w:spacing w:line="240" w:lineRule="exact"/>
              <w:jc w:val="left"/>
              <w:rPr>
                <w:rFonts w:ascii="宋体" w:cs="宋体"/>
                <w:kern w:val="0"/>
                <w:sz w:val="18"/>
                <w:szCs w:val="18"/>
              </w:rPr>
            </w:pPr>
            <w:r>
              <w:rPr>
                <w:rFonts w:hint="eastAsia" w:ascii="宋体" w:cs="宋体"/>
                <w:kern w:val="0"/>
                <w:sz w:val="18"/>
                <w:szCs w:val="18"/>
              </w:rPr>
              <w:t>住宿业</w:t>
            </w:r>
          </w:p>
        </w:tc>
        <w:tc>
          <w:tcPr>
            <w:tcW w:w="1369" w:type="dxa"/>
            <w:vAlign w:val="center"/>
          </w:tcPr>
          <w:p w14:paraId="10E32D45">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5D87456B">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4C54D211">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3464787A">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45E72166">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3CABDF5D">
            <w:pPr>
              <w:widowControl/>
              <w:jc w:val="center"/>
              <w:rPr>
                <w:rFonts w:ascii="宋体" w:cs="宋体"/>
                <w:kern w:val="0"/>
                <w:sz w:val="18"/>
                <w:szCs w:val="18"/>
              </w:rPr>
            </w:pPr>
            <w:r>
              <w:rPr>
                <w:rFonts w:hint="eastAsia" w:ascii="宋体" w:cs="宋体"/>
                <w:kern w:val="0"/>
                <w:sz w:val="18"/>
                <w:szCs w:val="18"/>
              </w:rPr>
              <w:t>X＜10</w:t>
            </w:r>
          </w:p>
        </w:tc>
      </w:tr>
      <w:tr w14:paraId="0643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BF75080">
            <w:pPr>
              <w:rPr>
                <w:szCs w:val="20"/>
              </w:rPr>
            </w:pPr>
          </w:p>
        </w:tc>
        <w:tc>
          <w:tcPr>
            <w:tcW w:w="1369" w:type="dxa"/>
            <w:vAlign w:val="center"/>
          </w:tcPr>
          <w:p w14:paraId="1F4E8DF9">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09BB230F">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0D05A51C">
            <w:pPr>
              <w:widowControl/>
              <w:jc w:val="center"/>
              <w:rPr>
                <w:rFonts w:ascii="宋体" w:cs="宋体"/>
                <w:kern w:val="0"/>
                <w:sz w:val="18"/>
                <w:szCs w:val="18"/>
              </w:rPr>
            </w:pPr>
            <w:r>
              <w:rPr>
                <w:rFonts w:hint="eastAsia" w:ascii="宋体" w:cs="宋体"/>
                <w:kern w:val="0"/>
                <w:sz w:val="18"/>
                <w:szCs w:val="18"/>
              </w:rPr>
              <w:t>Y≥10000</w:t>
            </w:r>
          </w:p>
        </w:tc>
        <w:tc>
          <w:tcPr>
            <w:tcW w:w="1701" w:type="dxa"/>
            <w:vAlign w:val="center"/>
          </w:tcPr>
          <w:p w14:paraId="3B55AF40">
            <w:pPr>
              <w:widowControl/>
              <w:jc w:val="center"/>
              <w:rPr>
                <w:rFonts w:ascii="宋体" w:cs="宋体"/>
                <w:kern w:val="0"/>
                <w:sz w:val="18"/>
                <w:szCs w:val="18"/>
              </w:rPr>
            </w:pPr>
            <w:r>
              <w:rPr>
                <w:rFonts w:hint="eastAsia" w:ascii="宋体" w:cs="宋体"/>
                <w:kern w:val="0"/>
                <w:sz w:val="18"/>
                <w:szCs w:val="18"/>
              </w:rPr>
              <w:t>2000≤Y＜10000</w:t>
            </w:r>
          </w:p>
        </w:tc>
        <w:tc>
          <w:tcPr>
            <w:tcW w:w="1426" w:type="dxa"/>
            <w:vAlign w:val="center"/>
          </w:tcPr>
          <w:p w14:paraId="72311D88">
            <w:pPr>
              <w:widowControl/>
              <w:jc w:val="center"/>
              <w:rPr>
                <w:rFonts w:ascii="宋体" w:cs="宋体"/>
                <w:kern w:val="0"/>
                <w:sz w:val="18"/>
                <w:szCs w:val="18"/>
              </w:rPr>
            </w:pPr>
            <w:r>
              <w:rPr>
                <w:rFonts w:hint="eastAsia" w:ascii="宋体" w:cs="宋体"/>
                <w:kern w:val="0"/>
                <w:sz w:val="18"/>
                <w:szCs w:val="18"/>
              </w:rPr>
              <w:t xml:space="preserve"> 100≤Y＜2000</w:t>
            </w:r>
          </w:p>
        </w:tc>
        <w:tc>
          <w:tcPr>
            <w:tcW w:w="992" w:type="dxa"/>
            <w:vAlign w:val="center"/>
          </w:tcPr>
          <w:p w14:paraId="3CD2E231">
            <w:pPr>
              <w:widowControl/>
              <w:jc w:val="center"/>
              <w:rPr>
                <w:rFonts w:ascii="宋体" w:cs="宋体"/>
                <w:kern w:val="0"/>
                <w:sz w:val="18"/>
                <w:szCs w:val="18"/>
              </w:rPr>
            </w:pPr>
            <w:r>
              <w:rPr>
                <w:rFonts w:hint="eastAsia" w:ascii="宋体" w:cs="宋体"/>
                <w:kern w:val="0"/>
                <w:sz w:val="18"/>
                <w:szCs w:val="18"/>
              </w:rPr>
              <w:t>Y＜100</w:t>
            </w:r>
          </w:p>
        </w:tc>
      </w:tr>
      <w:tr w14:paraId="373A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99F25DB">
            <w:pPr>
              <w:widowControl/>
              <w:spacing w:line="240" w:lineRule="exact"/>
              <w:jc w:val="left"/>
              <w:rPr>
                <w:rFonts w:ascii="宋体" w:cs="宋体"/>
                <w:kern w:val="0"/>
                <w:sz w:val="18"/>
                <w:szCs w:val="18"/>
              </w:rPr>
            </w:pPr>
            <w:r>
              <w:rPr>
                <w:rFonts w:hint="eastAsia" w:ascii="宋体" w:cs="宋体"/>
                <w:kern w:val="0"/>
                <w:sz w:val="18"/>
                <w:szCs w:val="18"/>
              </w:rPr>
              <w:t>餐饮业</w:t>
            </w:r>
          </w:p>
        </w:tc>
        <w:tc>
          <w:tcPr>
            <w:tcW w:w="1369" w:type="dxa"/>
            <w:vAlign w:val="center"/>
          </w:tcPr>
          <w:p w14:paraId="6513D425">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55199605">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6BB526B5">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2F1C94D7">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69058230">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21F5B429">
            <w:pPr>
              <w:widowControl/>
              <w:jc w:val="center"/>
              <w:rPr>
                <w:rFonts w:ascii="宋体" w:cs="宋体"/>
                <w:kern w:val="0"/>
                <w:sz w:val="18"/>
                <w:szCs w:val="18"/>
              </w:rPr>
            </w:pPr>
            <w:r>
              <w:rPr>
                <w:rFonts w:hint="eastAsia" w:ascii="宋体" w:cs="宋体"/>
                <w:kern w:val="0"/>
                <w:sz w:val="18"/>
                <w:szCs w:val="18"/>
              </w:rPr>
              <w:t>X＜10</w:t>
            </w:r>
          </w:p>
        </w:tc>
      </w:tr>
      <w:tr w14:paraId="5EC3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6499482">
            <w:pPr>
              <w:rPr>
                <w:szCs w:val="20"/>
              </w:rPr>
            </w:pPr>
          </w:p>
        </w:tc>
        <w:tc>
          <w:tcPr>
            <w:tcW w:w="1369" w:type="dxa"/>
            <w:vAlign w:val="center"/>
          </w:tcPr>
          <w:p w14:paraId="0782BEF5">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08368A29">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3B165D89">
            <w:pPr>
              <w:widowControl/>
              <w:jc w:val="center"/>
              <w:rPr>
                <w:rFonts w:ascii="宋体" w:cs="宋体"/>
                <w:kern w:val="0"/>
                <w:sz w:val="18"/>
                <w:szCs w:val="18"/>
              </w:rPr>
            </w:pPr>
            <w:r>
              <w:rPr>
                <w:rFonts w:hint="eastAsia" w:ascii="宋体" w:cs="宋体"/>
                <w:kern w:val="0"/>
                <w:sz w:val="18"/>
                <w:szCs w:val="18"/>
              </w:rPr>
              <w:t>Y≥10000</w:t>
            </w:r>
          </w:p>
        </w:tc>
        <w:tc>
          <w:tcPr>
            <w:tcW w:w="1701" w:type="dxa"/>
            <w:vAlign w:val="center"/>
          </w:tcPr>
          <w:p w14:paraId="262C37EC">
            <w:pPr>
              <w:widowControl/>
              <w:jc w:val="center"/>
              <w:rPr>
                <w:rFonts w:ascii="宋体" w:cs="宋体"/>
                <w:kern w:val="0"/>
                <w:sz w:val="18"/>
                <w:szCs w:val="18"/>
              </w:rPr>
            </w:pPr>
            <w:r>
              <w:rPr>
                <w:rFonts w:hint="eastAsia" w:ascii="宋体" w:cs="宋体"/>
                <w:kern w:val="0"/>
                <w:sz w:val="18"/>
                <w:szCs w:val="18"/>
              </w:rPr>
              <w:t>2000≤Y＜10000</w:t>
            </w:r>
          </w:p>
        </w:tc>
        <w:tc>
          <w:tcPr>
            <w:tcW w:w="1426" w:type="dxa"/>
            <w:vAlign w:val="center"/>
          </w:tcPr>
          <w:p w14:paraId="2F4107A3">
            <w:pPr>
              <w:widowControl/>
              <w:jc w:val="center"/>
              <w:rPr>
                <w:rFonts w:ascii="宋体" w:cs="宋体"/>
                <w:kern w:val="0"/>
                <w:sz w:val="18"/>
                <w:szCs w:val="18"/>
              </w:rPr>
            </w:pPr>
            <w:r>
              <w:rPr>
                <w:rFonts w:hint="eastAsia" w:ascii="宋体" w:cs="宋体"/>
                <w:kern w:val="0"/>
                <w:sz w:val="18"/>
                <w:szCs w:val="18"/>
              </w:rPr>
              <w:t xml:space="preserve"> 100≤Y＜2000</w:t>
            </w:r>
          </w:p>
        </w:tc>
        <w:tc>
          <w:tcPr>
            <w:tcW w:w="992" w:type="dxa"/>
            <w:vAlign w:val="center"/>
          </w:tcPr>
          <w:p w14:paraId="02905935">
            <w:pPr>
              <w:widowControl/>
              <w:jc w:val="center"/>
              <w:rPr>
                <w:rFonts w:ascii="宋体" w:cs="宋体"/>
                <w:kern w:val="0"/>
                <w:sz w:val="18"/>
                <w:szCs w:val="18"/>
              </w:rPr>
            </w:pPr>
            <w:r>
              <w:rPr>
                <w:rFonts w:hint="eastAsia" w:ascii="宋体" w:cs="宋体"/>
                <w:kern w:val="0"/>
                <w:sz w:val="18"/>
                <w:szCs w:val="18"/>
              </w:rPr>
              <w:t>Y＜100</w:t>
            </w:r>
          </w:p>
        </w:tc>
      </w:tr>
      <w:tr w14:paraId="69FF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9A94C1F">
            <w:pPr>
              <w:widowControl/>
              <w:spacing w:line="240" w:lineRule="exact"/>
              <w:jc w:val="left"/>
              <w:rPr>
                <w:rFonts w:ascii="宋体" w:cs="宋体"/>
                <w:kern w:val="0"/>
                <w:sz w:val="18"/>
                <w:szCs w:val="18"/>
              </w:rPr>
            </w:pPr>
            <w:r>
              <w:rPr>
                <w:rFonts w:hint="eastAsia" w:ascii="宋体" w:cs="宋体"/>
                <w:kern w:val="0"/>
                <w:sz w:val="18"/>
                <w:szCs w:val="18"/>
              </w:rPr>
              <w:t xml:space="preserve">信息传输业 </w:t>
            </w:r>
            <w:r>
              <w:rPr>
                <w:rFonts w:ascii="宋体" w:cs="宋体"/>
                <w:kern w:val="0"/>
                <w:sz w:val="18"/>
                <w:szCs w:val="18"/>
              </w:rPr>
              <w:t>#</w:t>
            </w:r>
          </w:p>
        </w:tc>
        <w:tc>
          <w:tcPr>
            <w:tcW w:w="1369" w:type="dxa"/>
            <w:vAlign w:val="center"/>
          </w:tcPr>
          <w:p w14:paraId="644DC30F">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29BBADCD">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79D389EF">
            <w:pPr>
              <w:widowControl/>
              <w:jc w:val="center"/>
              <w:rPr>
                <w:rFonts w:ascii="宋体" w:cs="宋体"/>
                <w:kern w:val="0"/>
                <w:sz w:val="18"/>
                <w:szCs w:val="18"/>
              </w:rPr>
            </w:pPr>
            <w:r>
              <w:rPr>
                <w:rFonts w:hint="eastAsia" w:ascii="宋体" w:cs="宋体"/>
                <w:kern w:val="0"/>
                <w:sz w:val="18"/>
                <w:szCs w:val="18"/>
              </w:rPr>
              <w:t>X≥2000</w:t>
            </w:r>
          </w:p>
        </w:tc>
        <w:tc>
          <w:tcPr>
            <w:tcW w:w="1701" w:type="dxa"/>
            <w:vAlign w:val="center"/>
          </w:tcPr>
          <w:p w14:paraId="0A5DF940">
            <w:pPr>
              <w:widowControl/>
              <w:jc w:val="center"/>
              <w:rPr>
                <w:rFonts w:ascii="宋体" w:cs="宋体"/>
                <w:kern w:val="0"/>
                <w:sz w:val="18"/>
                <w:szCs w:val="18"/>
              </w:rPr>
            </w:pPr>
            <w:r>
              <w:rPr>
                <w:rFonts w:hint="eastAsia" w:ascii="宋体" w:cs="宋体"/>
                <w:kern w:val="0"/>
                <w:sz w:val="18"/>
                <w:szCs w:val="18"/>
              </w:rPr>
              <w:t>100≤X＜2000</w:t>
            </w:r>
          </w:p>
        </w:tc>
        <w:tc>
          <w:tcPr>
            <w:tcW w:w="1426" w:type="dxa"/>
            <w:vAlign w:val="center"/>
          </w:tcPr>
          <w:p w14:paraId="2AC604AB">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74862DE9">
            <w:pPr>
              <w:widowControl/>
              <w:jc w:val="center"/>
              <w:rPr>
                <w:rFonts w:ascii="宋体" w:cs="宋体"/>
                <w:kern w:val="0"/>
                <w:sz w:val="18"/>
                <w:szCs w:val="18"/>
              </w:rPr>
            </w:pPr>
            <w:r>
              <w:rPr>
                <w:rFonts w:hint="eastAsia" w:ascii="宋体" w:cs="宋体"/>
                <w:kern w:val="0"/>
                <w:sz w:val="18"/>
                <w:szCs w:val="18"/>
              </w:rPr>
              <w:t>X＜10</w:t>
            </w:r>
          </w:p>
        </w:tc>
      </w:tr>
      <w:tr w14:paraId="676E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B5A5289">
            <w:pPr>
              <w:rPr>
                <w:szCs w:val="20"/>
              </w:rPr>
            </w:pPr>
          </w:p>
        </w:tc>
        <w:tc>
          <w:tcPr>
            <w:tcW w:w="1369" w:type="dxa"/>
            <w:vAlign w:val="center"/>
          </w:tcPr>
          <w:p w14:paraId="702CCEB9">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588C55D7">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232FE660">
            <w:pPr>
              <w:widowControl/>
              <w:jc w:val="center"/>
              <w:rPr>
                <w:rFonts w:ascii="宋体" w:cs="宋体"/>
                <w:kern w:val="0"/>
                <w:sz w:val="18"/>
                <w:szCs w:val="18"/>
              </w:rPr>
            </w:pPr>
            <w:r>
              <w:rPr>
                <w:rFonts w:hint="eastAsia" w:ascii="宋体" w:cs="宋体"/>
                <w:kern w:val="0"/>
                <w:sz w:val="18"/>
                <w:szCs w:val="18"/>
              </w:rPr>
              <w:t>Y≥100000</w:t>
            </w:r>
          </w:p>
        </w:tc>
        <w:tc>
          <w:tcPr>
            <w:tcW w:w="1701" w:type="dxa"/>
            <w:vAlign w:val="center"/>
          </w:tcPr>
          <w:p w14:paraId="5F105F47">
            <w:pPr>
              <w:widowControl/>
              <w:jc w:val="center"/>
              <w:rPr>
                <w:rFonts w:ascii="宋体" w:cs="宋体"/>
                <w:kern w:val="0"/>
                <w:sz w:val="18"/>
                <w:szCs w:val="18"/>
              </w:rPr>
            </w:pPr>
            <w:r>
              <w:rPr>
                <w:rFonts w:hint="eastAsia" w:ascii="宋体" w:cs="宋体"/>
                <w:kern w:val="0"/>
                <w:sz w:val="18"/>
                <w:szCs w:val="18"/>
              </w:rPr>
              <w:t xml:space="preserve"> 1000≤Y＜100000</w:t>
            </w:r>
          </w:p>
        </w:tc>
        <w:tc>
          <w:tcPr>
            <w:tcW w:w="1426" w:type="dxa"/>
            <w:vAlign w:val="center"/>
          </w:tcPr>
          <w:p w14:paraId="256248AE">
            <w:pPr>
              <w:widowControl/>
              <w:jc w:val="center"/>
              <w:rPr>
                <w:rFonts w:ascii="宋体" w:cs="宋体"/>
                <w:kern w:val="0"/>
                <w:sz w:val="18"/>
                <w:szCs w:val="18"/>
              </w:rPr>
            </w:pPr>
            <w:r>
              <w:rPr>
                <w:rFonts w:hint="eastAsia" w:ascii="宋体" w:cs="宋体"/>
                <w:kern w:val="0"/>
                <w:sz w:val="18"/>
                <w:szCs w:val="18"/>
              </w:rPr>
              <w:t xml:space="preserve"> 100≤Y＜1000</w:t>
            </w:r>
          </w:p>
        </w:tc>
        <w:tc>
          <w:tcPr>
            <w:tcW w:w="992" w:type="dxa"/>
            <w:vAlign w:val="center"/>
          </w:tcPr>
          <w:p w14:paraId="5C4CBF34">
            <w:pPr>
              <w:widowControl/>
              <w:jc w:val="center"/>
              <w:rPr>
                <w:rFonts w:ascii="宋体" w:cs="宋体"/>
                <w:kern w:val="0"/>
                <w:sz w:val="18"/>
                <w:szCs w:val="18"/>
              </w:rPr>
            </w:pPr>
            <w:r>
              <w:rPr>
                <w:rFonts w:hint="eastAsia" w:ascii="宋体" w:cs="宋体"/>
                <w:kern w:val="0"/>
                <w:sz w:val="18"/>
                <w:szCs w:val="18"/>
              </w:rPr>
              <w:t>Y＜100</w:t>
            </w:r>
          </w:p>
        </w:tc>
      </w:tr>
      <w:tr w14:paraId="2F33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98231D7">
            <w:pPr>
              <w:widowControl/>
              <w:spacing w:line="240" w:lineRule="exact"/>
              <w:jc w:val="left"/>
              <w:rPr>
                <w:rFonts w:ascii="宋体" w:cs="宋体"/>
                <w:spacing w:val="-12"/>
                <w:kern w:val="0"/>
                <w:sz w:val="18"/>
                <w:szCs w:val="18"/>
              </w:rPr>
            </w:pPr>
            <w:r>
              <w:rPr>
                <w:rFonts w:hint="eastAsia" w:ascii="宋体" w:cs="宋体"/>
                <w:spacing w:val="-12"/>
                <w:kern w:val="0"/>
                <w:sz w:val="18"/>
                <w:szCs w:val="18"/>
              </w:rPr>
              <w:t>软件和信息技术服</w:t>
            </w:r>
            <w:r>
              <w:rPr>
                <w:rFonts w:hint="eastAsia" w:ascii="宋体" w:cs="宋体"/>
                <w:kern w:val="0"/>
                <w:sz w:val="18"/>
                <w:szCs w:val="18"/>
              </w:rPr>
              <w:t>务业</w:t>
            </w:r>
          </w:p>
        </w:tc>
        <w:tc>
          <w:tcPr>
            <w:tcW w:w="1369" w:type="dxa"/>
            <w:vAlign w:val="center"/>
          </w:tcPr>
          <w:p w14:paraId="5EDD23D6">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3C97787D">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409B444D">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7A87C976">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2FF304E1">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4A3C3DF9">
            <w:pPr>
              <w:widowControl/>
              <w:jc w:val="center"/>
              <w:rPr>
                <w:rFonts w:ascii="宋体" w:cs="宋体"/>
                <w:kern w:val="0"/>
                <w:sz w:val="18"/>
                <w:szCs w:val="18"/>
              </w:rPr>
            </w:pPr>
            <w:r>
              <w:rPr>
                <w:rFonts w:hint="eastAsia" w:ascii="宋体" w:cs="宋体"/>
                <w:kern w:val="0"/>
                <w:sz w:val="18"/>
                <w:szCs w:val="18"/>
              </w:rPr>
              <w:t>X＜10</w:t>
            </w:r>
          </w:p>
        </w:tc>
      </w:tr>
      <w:tr w14:paraId="2D09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5CDAF57A">
            <w:pPr>
              <w:rPr>
                <w:szCs w:val="20"/>
              </w:rPr>
            </w:pPr>
          </w:p>
        </w:tc>
        <w:tc>
          <w:tcPr>
            <w:tcW w:w="1369" w:type="dxa"/>
            <w:vAlign w:val="center"/>
          </w:tcPr>
          <w:p w14:paraId="12A5D965">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02BD32FA">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4AFF27B2">
            <w:pPr>
              <w:widowControl/>
              <w:jc w:val="center"/>
              <w:rPr>
                <w:rFonts w:ascii="宋体" w:cs="宋体"/>
                <w:kern w:val="0"/>
                <w:sz w:val="18"/>
                <w:szCs w:val="18"/>
              </w:rPr>
            </w:pPr>
            <w:r>
              <w:rPr>
                <w:rFonts w:hint="eastAsia" w:ascii="宋体" w:cs="宋体"/>
                <w:kern w:val="0"/>
                <w:sz w:val="18"/>
                <w:szCs w:val="18"/>
              </w:rPr>
              <w:t>Y≥10000</w:t>
            </w:r>
          </w:p>
        </w:tc>
        <w:tc>
          <w:tcPr>
            <w:tcW w:w="1701" w:type="dxa"/>
            <w:vAlign w:val="center"/>
          </w:tcPr>
          <w:p w14:paraId="2EDE2173">
            <w:pPr>
              <w:widowControl/>
              <w:jc w:val="center"/>
              <w:rPr>
                <w:rFonts w:ascii="宋体" w:cs="宋体"/>
                <w:kern w:val="0"/>
                <w:sz w:val="18"/>
                <w:szCs w:val="18"/>
              </w:rPr>
            </w:pPr>
            <w:r>
              <w:rPr>
                <w:rFonts w:hint="eastAsia" w:ascii="宋体" w:cs="宋体"/>
                <w:kern w:val="0"/>
                <w:sz w:val="18"/>
                <w:szCs w:val="18"/>
              </w:rPr>
              <w:t>1000≤Y＜10000</w:t>
            </w:r>
          </w:p>
        </w:tc>
        <w:tc>
          <w:tcPr>
            <w:tcW w:w="1426" w:type="dxa"/>
            <w:vAlign w:val="center"/>
          </w:tcPr>
          <w:p w14:paraId="1DF48AA1">
            <w:pPr>
              <w:widowControl/>
              <w:jc w:val="center"/>
              <w:rPr>
                <w:rFonts w:ascii="宋体" w:cs="宋体"/>
                <w:kern w:val="0"/>
                <w:sz w:val="18"/>
                <w:szCs w:val="18"/>
              </w:rPr>
            </w:pPr>
            <w:r>
              <w:rPr>
                <w:rFonts w:hint="eastAsia" w:ascii="宋体" w:cs="宋体"/>
                <w:kern w:val="0"/>
                <w:sz w:val="18"/>
                <w:szCs w:val="18"/>
              </w:rPr>
              <w:t xml:space="preserve">  50≤Y＜1000</w:t>
            </w:r>
          </w:p>
        </w:tc>
        <w:tc>
          <w:tcPr>
            <w:tcW w:w="992" w:type="dxa"/>
            <w:vAlign w:val="center"/>
          </w:tcPr>
          <w:p w14:paraId="17A04F99">
            <w:pPr>
              <w:widowControl/>
              <w:jc w:val="center"/>
              <w:rPr>
                <w:rFonts w:ascii="宋体" w:cs="宋体"/>
                <w:kern w:val="0"/>
                <w:sz w:val="18"/>
                <w:szCs w:val="18"/>
              </w:rPr>
            </w:pPr>
            <w:r>
              <w:rPr>
                <w:rFonts w:hint="eastAsia" w:ascii="宋体" w:cs="宋体"/>
                <w:kern w:val="0"/>
                <w:sz w:val="18"/>
                <w:szCs w:val="18"/>
              </w:rPr>
              <w:t>Y＜50</w:t>
            </w:r>
          </w:p>
        </w:tc>
      </w:tr>
      <w:tr w14:paraId="2B20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8B0689F">
            <w:pPr>
              <w:widowControl/>
              <w:spacing w:line="240" w:lineRule="exact"/>
              <w:jc w:val="left"/>
              <w:rPr>
                <w:rFonts w:ascii="宋体" w:cs="宋体"/>
                <w:kern w:val="0"/>
                <w:sz w:val="18"/>
                <w:szCs w:val="18"/>
              </w:rPr>
            </w:pPr>
            <w:r>
              <w:rPr>
                <w:rFonts w:hint="eastAsia" w:ascii="宋体" w:cs="宋体"/>
                <w:kern w:val="0"/>
                <w:sz w:val="18"/>
                <w:szCs w:val="18"/>
              </w:rPr>
              <w:t>房地产开发经营</w:t>
            </w:r>
          </w:p>
        </w:tc>
        <w:tc>
          <w:tcPr>
            <w:tcW w:w="1369" w:type="dxa"/>
            <w:vAlign w:val="center"/>
          </w:tcPr>
          <w:p w14:paraId="1CBD1F51">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47BFBA94">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7B646143">
            <w:pPr>
              <w:widowControl/>
              <w:jc w:val="center"/>
              <w:rPr>
                <w:rFonts w:ascii="宋体" w:cs="宋体"/>
                <w:kern w:val="0"/>
                <w:sz w:val="18"/>
                <w:szCs w:val="18"/>
              </w:rPr>
            </w:pPr>
            <w:r>
              <w:rPr>
                <w:rFonts w:hint="eastAsia" w:ascii="宋体" w:cs="宋体"/>
                <w:kern w:val="0"/>
                <w:sz w:val="18"/>
                <w:szCs w:val="18"/>
              </w:rPr>
              <w:t>Y≥200000</w:t>
            </w:r>
          </w:p>
        </w:tc>
        <w:tc>
          <w:tcPr>
            <w:tcW w:w="1701" w:type="dxa"/>
            <w:vAlign w:val="center"/>
          </w:tcPr>
          <w:p w14:paraId="173EA9B0">
            <w:pPr>
              <w:widowControl/>
              <w:jc w:val="center"/>
              <w:rPr>
                <w:rFonts w:ascii="宋体" w:cs="宋体"/>
                <w:kern w:val="0"/>
                <w:sz w:val="18"/>
                <w:szCs w:val="18"/>
              </w:rPr>
            </w:pPr>
            <w:r>
              <w:rPr>
                <w:rFonts w:hint="eastAsia" w:ascii="宋体" w:cs="宋体"/>
                <w:kern w:val="0"/>
                <w:sz w:val="18"/>
                <w:szCs w:val="18"/>
              </w:rPr>
              <w:t xml:space="preserve"> 1000≤Y＜200000</w:t>
            </w:r>
          </w:p>
        </w:tc>
        <w:tc>
          <w:tcPr>
            <w:tcW w:w="1426" w:type="dxa"/>
            <w:vAlign w:val="center"/>
          </w:tcPr>
          <w:p w14:paraId="78F60340">
            <w:pPr>
              <w:widowControl/>
              <w:jc w:val="center"/>
              <w:rPr>
                <w:rFonts w:ascii="宋体" w:cs="宋体"/>
                <w:kern w:val="0"/>
                <w:sz w:val="18"/>
                <w:szCs w:val="18"/>
              </w:rPr>
            </w:pPr>
            <w:r>
              <w:rPr>
                <w:rFonts w:hint="eastAsia" w:ascii="宋体" w:cs="宋体"/>
                <w:kern w:val="0"/>
                <w:sz w:val="18"/>
                <w:szCs w:val="18"/>
              </w:rPr>
              <w:t xml:space="preserve"> 100≤Y＜1000</w:t>
            </w:r>
          </w:p>
        </w:tc>
        <w:tc>
          <w:tcPr>
            <w:tcW w:w="992" w:type="dxa"/>
            <w:vAlign w:val="center"/>
          </w:tcPr>
          <w:p w14:paraId="76529AB4">
            <w:pPr>
              <w:widowControl/>
              <w:jc w:val="center"/>
              <w:rPr>
                <w:rFonts w:ascii="宋体" w:cs="宋体"/>
                <w:kern w:val="0"/>
                <w:sz w:val="18"/>
                <w:szCs w:val="18"/>
              </w:rPr>
            </w:pPr>
            <w:r>
              <w:rPr>
                <w:rFonts w:hint="eastAsia" w:ascii="宋体" w:cs="宋体"/>
                <w:kern w:val="0"/>
                <w:sz w:val="18"/>
                <w:szCs w:val="18"/>
              </w:rPr>
              <w:t>Y＜100</w:t>
            </w:r>
          </w:p>
        </w:tc>
      </w:tr>
      <w:tr w14:paraId="1C6D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6F72D8E">
            <w:pPr>
              <w:rPr>
                <w:szCs w:val="20"/>
              </w:rPr>
            </w:pPr>
          </w:p>
        </w:tc>
        <w:tc>
          <w:tcPr>
            <w:tcW w:w="1369" w:type="dxa"/>
            <w:vAlign w:val="center"/>
          </w:tcPr>
          <w:p w14:paraId="6470E0A9">
            <w:pPr>
              <w:widowControl/>
              <w:spacing w:line="240" w:lineRule="exact"/>
              <w:jc w:val="center"/>
              <w:rPr>
                <w:rFonts w:ascii="宋体" w:cs="宋体"/>
                <w:kern w:val="0"/>
                <w:sz w:val="18"/>
                <w:szCs w:val="18"/>
              </w:rPr>
            </w:pPr>
            <w:r>
              <w:rPr>
                <w:rFonts w:hint="eastAsia" w:ascii="宋体" w:cs="宋体"/>
                <w:kern w:val="0"/>
                <w:sz w:val="18"/>
                <w:szCs w:val="18"/>
              </w:rPr>
              <w:t>资产总额(Z)</w:t>
            </w:r>
          </w:p>
        </w:tc>
        <w:tc>
          <w:tcPr>
            <w:tcW w:w="709" w:type="dxa"/>
            <w:vAlign w:val="center"/>
          </w:tcPr>
          <w:p w14:paraId="5F454AA4">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4E563621">
            <w:pPr>
              <w:widowControl/>
              <w:jc w:val="center"/>
              <w:rPr>
                <w:rFonts w:ascii="宋体" w:cs="宋体"/>
                <w:kern w:val="0"/>
                <w:sz w:val="18"/>
                <w:szCs w:val="18"/>
              </w:rPr>
            </w:pPr>
            <w:r>
              <w:rPr>
                <w:rFonts w:hint="eastAsia" w:ascii="宋体" w:cs="宋体"/>
                <w:kern w:val="0"/>
                <w:sz w:val="18"/>
                <w:szCs w:val="18"/>
              </w:rPr>
              <w:t>Z≥10000</w:t>
            </w:r>
          </w:p>
        </w:tc>
        <w:tc>
          <w:tcPr>
            <w:tcW w:w="1701" w:type="dxa"/>
            <w:vAlign w:val="center"/>
          </w:tcPr>
          <w:p w14:paraId="3B7D87DC">
            <w:pPr>
              <w:widowControl/>
              <w:jc w:val="center"/>
              <w:rPr>
                <w:rFonts w:ascii="宋体" w:cs="宋体"/>
                <w:kern w:val="0"/>
                <w:sz w:val="18"/>
                <w:szCs w:val="18"/>
              </w:rPr>
            </w:pPr>
            <w:r>
              <w:rPr>
                <w:rFonts w:hint="eastAsia" w:ascii="宋体" w:cs="宋体"/>
                <w:kern w:val="0"/>
                <w:sz w:val="18"/>
                <w:szCs w:val="18"/>
              </w:rPr>
              <w:t>5000≤Z＜10000</w:t>
            </w:r>
          </w:p>
        </w:tc>
        <w:tc>
          <w:tcPr>
            <w:tcW w:w="1426" w:type="dxa"/>
            <w:vAlign w:val="center"/>
          </w:tcPr>
          <w:p w14:paraId="20DA0644">
            <w:pPr>
              <w:widowControl/>
              <w:jc w:val="center"/>
              <w:rPr>
                <w:rFonts w:ascii="宋体" w:cs="宋体"/>
                <w:kern w:val="0"/>
                <w:sz w:val="18"/>
                <w:szCs w:val="18"/>
              </w:rPr>
            </w:pPr>
            <w:r>
              <w:rPr>
                <w:rFonts w:hint="eastAsia" w:ascii="宋体" w:cs="宋体"/>
                <w:kern w:val="0"/>
                <w:sz w:val="18"/>
                <w:szCs w:val="18"/>
              </w:rPr>
              <w:t xml:space="preserve">2000≤Z＜5000   </w:t>
            </w:r>
          </w:p>
        </w:tc>
        <w:tc>
          <w:tcPr>
            <w:tcW w:w="992" w:type="dxa"/>
            <w:vAlign w:val="center"/>
          </w:tcPr>
          <w:p w14:paraId="6CF63FA4">
            <w:pPr>
              <w:widowControl/>
              <w:jc w:val="center"/>
              <w:rPr>
                <w:rFonts w:ascii="宋体" w:cs="宋体"/>
                <w:kern w:val="0"/>
                <w:sz w:val="18"/>
                <w:szCs w:val="18"/>
              </w:rPr>
            </w:pPr>
            <w:r>
              <w:rPr>
                <w:rFonts w:hint="eastAsia" w:ascii="宋体" w:cs="宋体"/>
                <w:kern w:val="0"/>
                <w:sz w:val="18"/>
                <w:szCs w:val="18"/>
              </w:rPr>
              <w:t>Z＜2000</w:t>
            </w:r>
          </w:p>
        </w:tc>
      </w:tr>
      <w:tr w14:paraId="2EE7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61CDF72">
            <w:pPr>
              <w:widowControl/>
              <w:spacing w:line="240" w:lineRule="exact"/>
              <w:jc w:val="left"/>
              <w:rPr>
                <w:rFonts w:ascii="宋体" w:cs="宋体"/>
                <w:kern w:val="0"/>
                <w:sz w:val="18"/>
                <w:szCs w:val="18"/>
              </w:rPr>
            </w:pPr>
            <w:r>
              <w:rPr>
                <w:rFonts w:hint="eastAsia" w:ascii="宋体" w:cs="宋体"/>
                <w:kern w:val="0"/>
                <w:sz w:val="18"/>
                <w:szCs w:val="18"/>
              </w:rPr>
              <w:t>物业管理</w:t>
            </w:r>
          </w:p>
        </w:tc>
        <w:tc>
          <w:tcPr>
            <w:tcW w:w="1369" w:type="dxa"/>
            <w:vAlign w:val="center"/>
          </w:tcPr>
          <w:p w14:paraId="2950CE8C">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64F12D25">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66F4624E">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2C8BE76E">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188FC640">
            <w:pPr>
              <w:widowControl/>
              <w:jc w:val="center"/>
              <w:rPr>
                <w:rFonts w:ascii="宋体" w:cs="宋体"/>
                <w:kern w:val="0"/>
                <w:sz w:val="18"/>
                <w:szCs w:val="18"/>
              </w:rPr>
            </w:pPr>
            <w:r>
              <w:rPr>
                <w:rFonts w:hint="eastAsia" w:ascii="宋体" w:cs="宋体"/>
                <w:kern w:val="0"/>
                <w:sz w:val="18"/>
                <w:szCs w:val="18"/>
              </w:rPr>
              <w:t xml:space="preserve">100≤X＜300 </w:t>
            </w:r>
          </w:p>
        </w:tc>
        <w:tc>
          <w:tcPr>
            <w:tcW w:w="992" w:type="dxa"/>
            <w:vAlign w:val="center"/>
          </w:tcPr>
          <w:p w14:paraId="3EAE4784">
            <w:pPr>
              <w:widowControl/>
              <w:jc w:val="center"/>
              <w:rPr>
                <w:rFonts w:ascii="宋体" w:cs="宋体"/>
                <w:kern w:val="0"/>
                <w:sz w:val="18"/>
                <w:szCs w:val="18"/>
              </w:rPr>
            </w:pPr>
            <w:r>
              <w:rPr>
                <w:rFonts w:hint="eastAsia" w:ascii="宋体" w:cs="宋体"/>
                <w:kern w:val="0"/>
                <w:sz w:val="18"/>
                <w:szCs w:val="18"/>
              </w:rPr>
              <w:t>X＜100</w:t>
            </w:r>
          </w:p>
        </w:tc>
      </w:tr>
      <w:tr w14:paraId="67D7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20C3F2C">
            <w:pPr>
              <w:rPr>
                <w:szCs w:val="20"/>
              </w:rPr>
            </w:pPr>
          </w:p>
        </w:tc>
        <w:tc>
          <w:tcPr>
            <w:tcW w:w="1369" w:type="dxa"/>
            <w:vAlign w:val="center"/>
          </w:tcPr>
          <w:p w14:paraId="1DFF7C6A">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5CD0545A">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3C63FBC9">
            <w:pPr>
              <w:widowControl/>
              <w:jc w:val="center"/>
              <w:rPr>
                <w:rFonts w:ascii="宋体" w:cs="宋体"/>
                <w:kern w:val="0"/>
                <w:sz w:val="18"/>
                <w:szCs w:val="18"/>
              </w:rPr>
            </w:pPr>
            <w:r>
              <w:rPr>
                <w:rFonts w:hint="eastAsia" w:ascii="宋体" w:cs="宋体"/>
                <w:kern w:val="0"/>
                <w:sz w:val="18"/>
                <w:szCs w:val="18"/>
              </w:rPr>
              <w:t>Y≥5000</w:t>
            </w:r>
          </w:p>
        </w:tc>
        <w:tc>
          <w:tcPr>
            <w:tcW w:w="1701" w:type="dxa"/>
            <w:vAlign w:val="center"/>
          </w:tcPr>
          <w:p w14:paraId="1D112CE1">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1000≤Y＜5000 </w:t>
            </w:r>
          </w:p>
        </w:tc>
        <w:tc>
          <w:tcPr>
            <w:tcW w:w="1426" w:type="dxa"/>
            <w:vAlign w:val="center"/>
          </w:tcPr>
          <w:p w14:paraId="412926F8">
            <w:pPr>
              <w:widowControl/>
              <w:jc w:val="center"/>
              <w:rPr>
                <w:rFonts w:ascii="宋体" w:cs="宋体"/>
                <w:kern w:val="0"/>
                <w:sz w:val="18"/>
                <w:szCs w:val="18"/>
              </w:rPr>
            </w:pPr>
            <w:r>
              <w:rPr>
                <w:rFonts w:hint="eastAsia" w:ascii="宋体" w:cs="宋体"/>
                <w:kern w:val="0"/>
                <w:sz w:val="18"/>
                <w:szCs w:val="18"/>
              </w:rPr>
              <w:t xml:space="preserve"> 500≤Y＜1000</w:t>
            </w:r>
          </w:p>
        </w:tc>
        <w:tc>
          <w:tcPr>
            <w:tcW w:w="992" w:type="dxa"/>
            <w:vAlign w:val="center"/>
          </w:tcPr>
          <w:p w14:paraId="7211F4BE">
            <w:pPr>
              <w:widowControl/>
              <w:jc w:val="center"/>
              <w:rPr>
                <w:rFonts w:ascii="宋体" w:cs="宋体"/>
                <w:kern w:val="0"/>
                <w:sz w:val="18"/>
                <w:szCs w:val="18"/>
              </w:rPr>
            </w:pPr>
            <w:r>
              <w:rPr>
                <w:rFonts w:hint="eastAsia" w:ascii="宋体" w:cs="宋体"/>
                <w:kern w:val="0"/>
                <w:sz w:val="18"/>
                <w:szCs w:val="18"/>
              </w:rPr>
              <w:t>Y＜500</w:t>
            </w:r>
          </w:p>
        </w:tc>
      </w:tr>
      <w:tr w14:paraId="2C44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0F87989">
            <w:pPr>
              <w:widowControl/>
              <w:spacing w:line="240" w:lineRule="exact"/>
              <w:jc w:val="left"/>
              <w:rPr>
                <w:rFonts w:ascii="宋体" w:cs="宋体"/>
                <w:kern w:val="0"/>
                <w:sz w:val="18"/>
                <w:szCs w:val="18"/>
              </w:rPr>
            </w:pPr>
            <w:r>
              <w:rPr>
                <w:rFonts w:hint="eastAsia" w:ascii="宋体" w:cs="宋体"/>
                <w:kern w:val="0"/>
                <w:sz w:val="18"/>
                <w:szCs w:val="18"/>
              </w:rPr>
              <w:t>租赁和商务服务业</w:t>
            </w:r>
          </w:p>
        </w:tc>
        <w:tc>
          <w:tcPr>
            <w:tcW w:w="1369" w:type="dxa"/>
            <w:vAlign w:val="center"/>
          </w:tcPr>
          <w:p w14:paraId="35D000F4">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66621B87">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364EF062">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285D6C3B">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7639E941">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3D1DA168">
            <w:pPr>
              <w:widowControl/>
              <w:jc w:val="center"/>
              <w:rPr>
                <w:rFonts w:ascii="宋体" w:cs="宋体"/>
                <w:kern w:val="0"/>
                <w:sz w:val="18"/>
                <w:szCs w:val="18"/>
              </w:rPr>
            </w:pPr>
            <w:r>
              <w:rPr>
                <w:rFonts w:hint="eastAsia" w:ascii="宋体" w:cs="宋体"/>
                <w:kern w:val="0"/>
                <w:sz w:val="18"/>
                <w:szCs w:val="18"/>
              </w:rPr>
              <w:t>X＜10</w:t>
            </w:r>
          </w:p>
        </w:tc>
      </w:tr>
      <w:tr w14:paraId="2D28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8FDA991">
            <w:pPr>
              <w:rPr>
                <w:szCs w:val="20"/>
              </w:rPr>
            </w:pPr>
          </w:p>
        </w:tc>
        <w:tc>
          <w:tcPr>
            <w:tcW w:w="1369" w:type="dxa"/>
            <w:vAlign w:val="center"/>
          </w:tcPr>
          <w:p w14:paraId="587019E4">
            <w:pPr>
              <w:widowControl/>
              <w:spacing w:line="240" w:lineRule="exact"/>
              <w:jc w:val="center"/>
              <w:rPr>
                <w:rFonts w:ascii="宋体" w:cs="宋体"/>
                <w:kern w:val="0"/>
                <w:sz w:val="18"/>
                <w:szCs w:val="18"/>
              </w:rPr>
            </w:pPr>
            <w:r>
              <w:rPr>
                <w:rFonts w:hint="eastAsia" w:ascii="宋体" w:cs="宋体"/>
                <w:kern w:val="0"/>
                <w:sz w:val="18"/>
                <w:szCs w:val="18"/>
              </w:rPr>
              <w:t>资产总额(Z)</w:t>
            </w:r>
          </w:p>
        </w:tc>
        <w:tc>
          <w:tcPr>
            <w:tcW w:w="709" w:type="dxa"/>
            <w:vAlign w:val="center"/>
          </w:tcPr>
          <w:p w14:paraId="63106B6D">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48128778">
            <w:pPr>
              <w:widowControl/>
              <w:jc w:val="center"/>
              <w:rPr>
                <w:rFonts w:ascii="宋体" w:cs="宋体"/>
                <w:kern w:val="0"/>
                <w:sz w:val="18"/>
                <w:szCs w:val="18"/>
              </w:rPr>
            </w:pPr>
            <w:r>
              <w:rPr>
                <w:rFonts w:hint="eastAsia" w:ascii="宋体" w:cs="宋体"/>
                <w:kern w:val="0"/>
                <w:sz w:val="18"/>
                <w:szCs w:val="18"/>
              </w:rPr>
              <w:t>Z≥120000</w:t>
            </w:r>
          </w:p>
        </w:tc>
        <w:tc>
          <w:tcPr>
            <w:tcW w:w="1701" w:type="dxa"/>
            <w:vAlign w:val="center"/>
          </w:tcPr>
          <w:p w14:paraId="68A017AF">
            <w:pPr>
              <w:widowControl/>
              <w:jc w:val="center"/>
              <w:rPr>
                <w:rFonts w:ascii="宋体" w:cs="宋体"/>
                <w:kern w:val="0"/>
                <w:sz w:val="18"/>
                <w:szCs w:val="18"/>
              </w:rPr>
            </w:pPr>
            <w:r>
              <w:rPr>
                <w:rFonts w:hint="eastAsia" w:ascii="宋体" w:cs="宋体"/>
                <w:kern w:val="0"/>
                <w:sz w:val="18"/>
                <w:szCs w:val="18"/>
              </w:rPr>
              <w:t xml:space="preserve"> 8000≤Z＜120000</w:t>
            </w:r>
          </w:p>
        </w:tc>
        <w:tc>
          <w:tcPr>
            <w:tcW w:w="1426" w:type="dxa"/>
            <w:vAlign w:val="center"/>
          </w:tcPr>
          <w:p w14:paraId="4CD4AE73">
            <w:pPr>
              <w:widowControl/>
              <w:jc w:val="center"/>
              <w:rPr>
                <w:rFonts w:ascii="宋体" w:cs="宋体"/>
                <w:kern w:val="0"/>
                <w:sz w:val="18"/>
                <w:szCs w:val="18"/>
              </w:rPr>
            </w:pPr>
            <w:r>
              <w:rPr>
                <w:rFonts w:hint="eastAsia" w:ascii="宋体" w:cs="宋体"/>
                <w:kern w:val="0"/>
                <w:sz w:val="18"/>
                <w:szCs w:val="18"/>
              </w:rPr>
              <w:t xml:space="preserve"> 100≤Z＜8000</w:t>
            </w:r>
          </w:p>
        </w:tc>
        <w:tc>
          <w:tcPr>
            <w:tcW w:w="992" w:type="dxa"/>
            <w:vAlign w:val="center"/>
          </w:tcPr>
          <w:p w14:paraId="4EDACAA9">
            <w:pPr>
              <w:widowControl/>
              <w:jc w:val="center"/>
              <w:rPr>
                <w:rFonts w:ascii="宋体" w:cs="宋体"/>
                <w:kern w:val="0"/>
                <w:sz w:val="18"/>
                <w:szCs w:val="18"/>
              </w:rPr>
            </w:pPr>
            <w:r>
              <w:rPr>
                <w:rFonts w:hint="eastAsia" w:ascii="宋体" w:cs="宋体"/>
                <w:kern w:val="0"/>
                <w:sz w:val="18"/>
                <w:szCs w:val="18"/>
              </w:rPr>
              <w:t>Z＜100</w:t>
            </w:r>
          </w:p>
        </w:tc>
      </w:tr>
      <w:tr w14:paraId="3767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F3F7D9D">
            <w:pPr>
              <w:widowControl/>
              <w:spacing w:line="240" w:lineRule="exact"/>
              <w:jc w:val="left"/>
              <w:rPr>
                <w:rFonts w:ascii="宋体" w:cs="宋体"/>
                <w:kern w:val="0"/>
                <w:sz w:val="18"/>
                <w:szCs w:val="18"/>
              </w:rPr>
            </w:pPr>
            <w:r>
              <w:rPr>
                <w:rFonts w:hint="eastAsia" w:ascii="宋体" w:cs="宋体"/>
                <w:kern w:val="0"/>
                <w:sz w:val="18"/>
                <w:szCs w:val="18"/>
              </w:rPr>
              <w:t xml:space="preserve">其他未列明行业 </w:t>
            </w:r>
            <w:r>
              <w:rPr>
                <w:rFonts w:ascii="宋体" w:cs="宋体"/>
                <w:kern w:val="0"/>
                <w:sz w:val="18"/>
                <w:szCs w:val="18"/>
              </w:rPr>
              <w:t>#</w:t>
            </w:r>
          </w:p>
        </w:tc>
        <w:tc>
          <w:tcPr>
            <w:tcW w:w="1369" w:type="dxa"/>
            <w:vAlign w:val="center"/>
          </w:tcPr>
          <w:p w14:paraId="1F923440">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14AF02DF">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26AD4044">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090D76AB">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590FA2C6">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1E76C091">
            <w:pPr>
              <w:widowControl/>
              <w:jc w:val="center"/>
              <w:rPr>
                <w:rFonts w:ascii="宋体" w:cs="宋体"/>
                <w:kern w:val="0"/>
                <w:sz w:val="18"/>
                <w:szCs w:val="18"/>
              </w:rPr>
            </w:pPr>
            <w:r>
              <w:rPr>
                <w:rFonts w:hint="eastAsia" w:ascii="宋体" w:cs="宋体"/>
                <w:kern w:val="0"/>
                <w:sz w:val="18"/>
                <w:szCs w:val="18"/>
              </w:rPr>
              <w:t>X＜10</w:t>
            </w:r>
          </w:p>
        </w:tc>
      </w:tr>
    </w:tbl>
    <w:p w14:paraId="52AFF8B5">
      <w:pPr>
        <w:widowControl/>
        <w:spacing w:line="540" w:lineRule="exact"/>
        <w:rPr>
          <w:rFonts w:ascii="宋体"/>
          <w:szCs w:val="21"/>
        </w:rPr>
      </w:pPr>
      <w:r>
        <w:rPr>
          <w:rFonts w:hint="eastAsia" w:ascii="宋体"/>
          <w:szCs w:val="21"/>
        </w:rPr>
        <w:t>说明：</w:t>
      </w:r>
    </w:p>
    <w:p w14:paraId="56062D0D">
      <w:pPr>
        <w:spacing w:line="540" w:lineRule="exact"/>
        <w:ind w:firstLine="420" w:firstLineChars="200"/>
        <w:rPr>
          <w:rFonts w:ascii="宋体"/>
          <w:szCs w:val="21"/>
        </w:rPr>
      </w:pPr>
      <w:r>
        <w:rPr>
          <w:rFonts w:hint="eastAsia" w:ascii="宋体"/>
          <w:szCs w:val="21"/>
        </w:rPr>
        <w:t>1.大型、中型和小型企业须同时满足所列指标的下限，否则下划一档；微型企业只须满足所列指标中的一项即可。</w:t>
      </w:r>
    </w:p>
    <w:p w14:paraId="67197FD1">
      <w:pPr>
        <w:spacing w:line="540" w:lineRule="exact"/>
        <w:ind w:firstLine="420" w:firstLineChars="200"/>
        <w:rPr>
          <w:rFonts w:ascii="宋体"/>
          <w:szCs w:val="21"/>
        </w:rPr>
      </w:pPr>
      <w:r>
        <w:rPr>
          <w:rFonts w:hint="eastAsia" w:ascii="宋体"/>
          <w:szCs w:val="21"/>
        </w:rPr>
        <w:t>2.附表中各行业的范围以《国民经济行业分类》（GB/T4754-2017）为准。带</w:t>
      </w:r>
      <w:r>
        <w:rPr>
          <w:rFonts w:ascii="宋体"/>
          <w:szCs w:val="21"/>
        </w:rPr>
        <w:t>#</w:t>
      </w:r>
      <w:r>
        <w:rPr>
          <w:rFonts w:hint="eastAsia" w:ascii="宋体"/>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7E5A77A">
      <w:pPr>
        <w:spacing w:line="540" w:lineRule="exact"/>
        <w:ind w:firstLine="420" w:firstLineChars="200"/>
        <w:rPr>
          <w:rFonts w:eastAsiaTheme="minorEastAsia"/>
          <w:color w:val="000000"/>
          <w:sz w:val="24"/>
        </w:rPr>
      </w:pPr>
      <w:r>
        <w:rPr>
          <w:rFonts w:hint="eastAsia" w:ascii="宋体"/>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426A372">
      <w:pPr>
        <w:spacing w:line="360" w:lineRule="auto"/>
        <w:ind w:right="360" w:firstLine="480"/>
        <w:jc w:val="right"/>
        <w:rPr>
          <w:rFonts w:eastAsiaTheme="minorEastAsia"/>
          <w:color w:val="000000"/>
          <w:sz w:val="24"/>
        </w:rPr>
      </w:pPr>
    </w:p>
    <w:p w14:paraId="3D470C43">
      <w:pPr>
        <w:spacing w:line="360" w:lineRule="auto"/>
        <w:ind w:right="360" w:firstLine="480"/>
        <w:jc w:val="right"/>
        <w:rPr>
          <w:rFonts w:eastAsiaTheme="minorEastAsia"/>
          <w:color w:val="000000"/>
          <w:sz w:val="24"/>
          <w:szCs w:val="20"/>
        </w:rPr>
      </w:pPr>
      <w:r>
        <w:rPr>
          <w:rFonts w:eastAsiaTheme="minorEastAsia"/>
          <w:color w:val="000000"/>
          <w:sz w:val="24"/>
          <w:szCs w:val="20"/>
        </w:rPr>
        <w:br w:type="page"/>
      </w:r>
    </w:p>
    <w:p w14:paraId="76C947C4">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残疾人福利性单位声明函格式</w:t>
      </w:r>
      <w:r>
        <w:rPr>
          <w:rFonts w:eastAsiaTheme="minorEastAsia"/>
          <w:b/>
          <w:color w:val="000000"/>
          <w:sz w:val="36"/>
          <w:szCs w:val="36"/>
        </w:rPr>
        <w:t xml:space="preserve">       </w:t>
      </w:r>
    </w:p>
    <w:p w14:paraId="6C93E106">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16CEAC15">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06322D36">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项目采购活动提供本单位制造的货物（由本单位承担工程/提供服务），或者提供其他残疾人福利性单位制造的货物（不包括使用非残疾人福利性单位注册商标的货物）。</w:t>
      </w:r>
    </w:p>
    <w:p w14:paraId="19E77643">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14:paraId="4C04D8AD">
      <w:pPr>
        <w:spacing w:line="588" w:lineRule="exact"/>
        <w:ind w:firstLine="504" w:firstLineChars="200"/>
        <w:rPr>
          <w:rFonts w:eastAsiaTheme="minorEastAsia"/>
          <w:spacing w:val="6"/>
          <w:sz w:val="24"/>
        </w:rPr>
      </w:pPr>
    </w:p>
    <w:p w14:paraId="05FEF0F7">
      <w:pPr>
        <w:spacing w:line="588" w:lineRule="exact"/>
        <w:ind w:firstLine="504" w:firstLineChars="200"/>
        <w:rPr>
          <w:rFonts w:eastAsiaTheme="minorEastAsia"/>
          <w:spacing w:val="6"/>
          <w:sz w:val="24"/>
        </w:rPr>
      </w:pPr>
    </w:p>
    <w:p w14:paraId="4329526A">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单位名称（盖章）：</w:t>
      </w:r>
      <w:r>
        <w:rPr>
          <w:rFonts w:eastAsiaTheme="minorEastAsia"/>
          <w:sz w:val="24"/>
        </w:rPr>
        <w:t>______</w:t>
      </w:r>
    </w:p>
    <w:p w14:paraId="70321003">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日  期：</w:t>
      </w:r>
      <w:r>
        <w:rPr>
          <w:rFonts w:eastAsiaTheme="minorEastAsia"/>
          <w:sz w:val="24"/>
        </w:rPr>
        <w:t>______</w:t>
      </w:r>
    </w:p>
    <w:p w14:paraId="75A245CB">
      <w:pPr>
        <w:widowControl/>
        <w:jc w:val="left"/>
        <w:rPr>
          <w:rFonts w:eastAsiaTheme="minorEastAsia"/>
          <w:color w:val="000000"/>
          <w:sz w:val="24"/>
          <w:szCs w:val="20"/>
        </w:rPr>
      </w:pPr>
      <w:r>
        <w:rPr>
          <w:rFonts w:eastAsiaTheme="minorEastAsia"/>
          <w:color w:val="000000"/>
          <w:sz w:val="24"/>
          <w:szCs w:val="20"/>
        </w:rPr>
        <w:br w:type="page"/>
      </w:r>
    </w:p>
    <w:p w14:paraId="4F4F9B15">
      <w:pPr>
        <w:pStyle w:val="6"/>
        <w:rPr>
          <w:rFonts w:ascii="Times New Roman" w:hAnsi="Times New Roman" w:eastAsiaTheme="majorEastAsia"/>
          <w:b w:val="0"/>
          <w:color w:val="000000"/>
          <w:sz w:val="24"/>
        </w:rPr>
      </w:pPr>
      <w:r>
        <w:rPr>
          <w:rFonts w:ascii="Times New Roman" w:hAnsi="Times New Roman" w:eastAsiaTheme="majorEastAsia"/>
          <w:b w:val="0"/>
          <w:color w:val="000000"/>
          <w:sz w:val="24"/>
        </w:rPr>
        <w:t>2-1-2 拟分包情况说明及分包意向协议</w:t>
      </w:r>
    </w:p>
    <w:p w14:paraId="413FCA13">
      <w:pPr>
        <w:tabs>
          <w:tab w:val="left" w:pos="5580"/>
        </w:tabs>
        <w:spacing w:line="360" w:lineRule="auto"/>
        <w:rPr>
          <w:rFonts w:eastAsiaTheme="minorEastAsia"/>
          <w:sz w:val="24"/>
        </w:rPr>
      </w:pPr>
      <w:r>
        <w:rPr>
          <w:rFonts w:eastAsiaTheme="minorEastAsia"/>
          <w:sz w:val="24"/>
        </w:rPr>
        <w:t>说明：</w:t>
      </w:r>
    </w:p>
    <w:p w14:paraId="5CB74ECE">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14:paraId="6A575A1C">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14:paraId="3264C9ED">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14:paraId="3EE3343B">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513C5DC6">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14:paraId="0D3BFEDD">
      <w:pPr>
        <w:autoSpaceDE w:val="0"/>
        <w:autoSpaceDN w:val="0"/>
        <w:adjustRightInd w:val="0"/>
        <w:rPr>
          <w:rFonts w:eastAsiaTheme="minorEastAsia"/>
          <w:color w:val="000000"/>
          <w:sz w:val="30"/>
          <w:szCs w:val="30"/>
        </w:rPr>
      </w:pPr>
    </w:p>
    <w:p w14:paraId="67E45514">
      <w:pPr>
        <w:widowControl/>
        <w:jc w:val="left"/>
        <w:rPr>
          <w:rFonts w:eastAsiaTheme="minorEastAsia"/>
          <w:b/>
          <w:color w:val="000000"/>
          <w:sz w:val="36"/>
          <w:szCs w:val="36"/>
        </w:rPr>
      </w:pPr>
      <w:r>
        <w:rPr>
          <w:rFonts w:eastAsiaTheme="minorEastAsia"/>
          <w:b/>
          <w:color w:val="000000"/>
          <w:sz w:val="36"/>
          <w:szCs w:val="36"/>
        </w:rPr>
        <w:br w:type="page"/>
      </w:r>
    </w:p>
    <w:p w14:paraId="00312165">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拟分包情况说明</w:t>
      </w:r>
    </w:p>
    <w:p w14:paraId="49555816">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6D92FA6B">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4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34D9F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607AE2E">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45C18FC8">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31B70998">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7CD81820">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1D456861">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1F16FDAA">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22FD3614">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2C66506C">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6885686E">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52968EA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2D758C45">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669D672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02798C9A">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0F16799E">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615EB9BB">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230D0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5ECE353">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65C16A42">
            <w:pPr>
              <w:pStyle w:val="248"/>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C12CB29">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58FF166C">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51633A3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0D00ED5B">
            <w:pPr>
              <w:pStyle w:val="248"/>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42B18771">
            <w:pPr>
              <w:pStyle w:val="248"/>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734CF25C">
            <w:pPr>
              <w:pStyle w:val="248"/>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82D64F1">
            <w:pPr>
              <w:pStyle w:val="248"/>
              <w:jc w:val="center"/>
              <w:rPr>
                <w:rFonts w:ascii="Times New Roman" w:hAnsi="Times New Roman" w:cs="Times New Roman" w:eastAsiaTheme="minorEastAsia"/>
                <w:sz w:val="30"/>
                <w:lang w:eastAsia="zh-CN"/>
              </w:rPr>
            </w:pPr>
          </w:p>
        </w:tc>
      </w:tr>
      <w:tr w14:paraId="73FB2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212AD36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7E47A7C">
            <w:pPr>
              <w:pStyle w:val="248"/>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62C0731">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7F6CD911">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7AFC38C">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5AE71D67">
            <w:pPr>
              <w:pStyle w:val="248"/>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29A3F99C">
            <w:pPr>
              <w:pStyle w:val="248"/>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5A7C11C7">
            <w:pPr>
              <w:pStyle w:val="248"/>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3DAB52E6">
            <w:pPr>
              <w:pStyle w:val="248"/>
              <w:jc w:val="center"/>
              <w:rPr>
                <w:rFonts w:ascii="Times New Roman" w:hAnsi="Times New Roman" w:cs="Times New Roman" w:eastAsiaTheme="minorEastAsia"/>
                <w:sz w:val="30"/>
                <w:lang w:eastAsia="zh-CN"/>
              </w:rPr>
            </w:pPr>
          </w:p>
        </w:tc>
      </w:tr>
      <w:tr w14:paraId="3EA28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5F7A2512">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5AA824B6">
            <w:pPr>
              <w:pStyle w:val="248"/>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3EAF21F">
            <w:pPr>
              <w:pStyle w:val="248"/>
              <w:tabs>
                <w:tab w:val="left" w:pos="235"/>
              </w:tabs>
              <w:jc w:val="center"/>
              <w:rPr>
                <w:rFonts w:ascii="Times New Roman" w:hAnsi="Times New Roman" w:cs="Times New Roman" w:eastAsiaTheme="minor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7A4B7BFF">
            <w:pPr>
              <w:pStyle w:val="248"/>
              <w:jc w:val="center"/>
              <w:rPr>
                <w:rFonts w:ascii="Times New Roman" w:hAnsi="Times New Roman" w:cs="Times New Roman" w:eastAsiaTheme="minorEastAsia"/>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6DD10FB1">
            <w:pPr>
              <w:pStyle w:val="248"/>
              <w:jc w:val="center"/>
              <w:rPr>
                <w:rFonts w:ascii="Times New Roman" w:hAnsi="Times New Roman" w:cs="Times New Roman" w:eastAsiaTheme="minorEastAsia"/>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4304058A">
            <w:pPr>
              <w:pStyle w:val="248"/>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1B5577B">
            <w:pPr>
              <w:pStyle w:val="248"/>
              <w:jc w:val="center"/>
              <w:rPr>
                <w:rFonts w:ascii="Times New Roman" w:hAnsi="Times New Roman" w:cs="Times New Roman" w:eastAsiaTheme="minorEastAsia"/>
                <w:sz w:val="30"/>
              </w:rPr>
            </w:pPr>
          </w:p>
        </w:tc>
      </w:tr>
      <w:tr w14:paraId="0D834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29DF1B32">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13BCAFD8">
            <w:pPr>
              <w:pStyle w:val="248"/>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64D9147">
            <w:pPr>
              <w:pStyle w:val="248"/>
              <w:jc w:val="center"/>
              <w:rPr>
                <w:rFonts w:ascii="Times New Roman" w:hAnsi="Times New Roman" w:cs="Times New Roman" w:eastAsiaTheme="minorEastAsia"/>
                <w:sz w:val="30"/>
              </w:rPr>
            </w:pPr>
          </w:p>
        </w:tc>
      </w:tr>
    </w:tbl>
    <w:p w14:paraId="592973B5">
      <w:pPr>
        <w:adjustRightInd w:val="0"/>
        <w:snapToGrid w:val="0"/>
        <w:spacing w:line="360" w:lineRule="auto"/>
        <w:jc w:val="left"/>
        <w:rPr>
          <w:rFonts w:eastAsiaTheme="minorEastAsia"/>
          <w:sz w:val="24"/>
        </w:rPr>
      </w:pPr>
    </w:p>
    <w:p w14:paraId="3A59BA11">
      <w:pPr>
        <w:autoSpaceDE w:val="0"/>
        <w:autoSpaceDN w:val="0"/>
        <w:adjustRightInd w:val="0"/>
        <w:snapToGrid w:val="0"/>
        <w:spacing w:before="25" w:after="25"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57212C00">
      <w:pPr>
        <w:spacing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14:paraId="1BBFF006">
      <w:pPr>
        <w:adjustRightInd w:val="0"/>
        <w:snapToGrid w:val="0"/>
        <w:spacing w:line="360" w:lineRule="auto"/>
        <w:jc w:val="left"/>
        <w:rPr>
          <w:rFonts w:eastAsiaTheme="minorEastAsia"/>
          <w:sz w:val="24"/>
        </w:rPr>
      </w:pPr>
    </w:p>
    <w:p w14:paraId="50BC52CA">
      <w:pPr>
        <w:adjustRightInd w:val="0"/>
        <w:snapToGrid w:val="0"/>
        <w:spacing w:line="360" w:lineRule="auto"/>
        <w:jc w:val="left"/>
        <w:rPr>
          <w:rFonts w:eastAsiaTheme="minorEastAsia"/>
          <w:sz w:val="24"/>
        </w:rPr>
      </w:pPr>
      <w:r>
        <w:rPr>
          <w:rFonts w:eastAsiaTheme="minorEastAsia"/>
          <w:sz w:val="24"/>
        </w:rPr>
        <w:t>注：</w:t>
      </w:r>
    </w:p>
    <w:p w14:paraId="2C31F89C">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3BCB6D4A">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2ECCB8F7">
      <w:pPr>
        <w:adjustRightInd w:val="0"/>
        <w:snapToGrid w:val="0"/>
        <w:spacing w:line="360" w:lineRule="auto"/>
        <w:jc w:val="left"/>
        <w:rPr>
          <w:rFonts w:eastAsiaTheme="minorEastAsia"/>
          <w:sz w:val="24"/>
        </w:rPr>
      </w:pPr>
      <w:r>
        <w:rPr>
          <w:rFonts w:eastAsiaTheme="minorEastAsia"/>
          <w:sz w:val="24"/>
        </w:rPr>
        <w:t>（3）如本采购文件《供应商须知资料表》载明本项目分包承担主体应具备的相应资质条件，则供应商须在本表中列明分包承担主体的资质等级，并后附资质证书电子件，否则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41088A70">
      <w:pPr>
        <w:autoSpaceDE w:val="0"/>
        <w:autoSpaceDN w:val="0"/>
        <w:adjustRightInd w:val="0"/>
        <w:spacing w:line="360" w:lineRule="auto"/>
        <w:jc w:val="center"/>
        <w:rPr>
          <w:rFonts w:eastAsiaTheme="minorEastAsia"/>
          <w:b/>
          <w:color w:val="000000"/>
          <w:sz w:val="36"/>
          <w:szCs w:val="36"/>
        </w:rPr>
      </w:pPr>
      <w:r>
        <w:rPr>
          <w:rFonts w:eastAsiaTheme="minorEastAsia"/>
          <w:color w:val="000000"/>
          <w:sz w:val="30"/>
          <w:szCs w:val="30"/>
        </w:rPr>
        <w:br w:type="page"/>
      </w:r>
      <w:r>
        <w:rPr>
          <w:rFonts w:eastAsiaTheme="minorEastAsia"/>
          <w:b/>
          <w:color w:val="000000"/>
          <w:sz w:val="36"/>
          <w:szCs w:val="36"/>
        </w:rPr>
        <w:t>分包意向协议</w:t>
      </w:r>
    </w:p>
    <w:p w14:paraId="60271B76">
      <w:pPr>
        <w:adjustRightInd w:val="0"/>
        <w:snapToGrid w:val="0"/>
        <w:spacing w:line="360" w:lineRule="auto"/>
        <w:ind w:firstLine="480" w:firstLineChars="200"/>
        <w:jc w:val="left"/>
        <w:rPr>
          <w:rFonts w:eastAsiaTheme="minorEastAsia"/>
          <w:sz w:val="24"/>
        </w:rPr>
      </w:pPr>
      <w:r>
        <w:rPr>
          <w:rFonts w:eastAsiaTheme="minorEastAsia"/>
          <w:sz w:val="24"/>
        </w:rPr>
        <w:t>甲方（供应商）：______</w:t>
      </w:r>
    </w:p>
    <w:p w14:paraId="4D328A08">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w:t>
      </w:r>
    </w:p>
    <w:p w14:paraId="34CF095B">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甲方承诺，一旦在______（采购项目名称）（项目编号/包号为：______）采购项目中获得采购合同，将按照下述约定将合同项下部分内容分包给乙方：</w:t>
      </w:r>
    </w:p>
    <w:p w14:paraId="63C35395">
      <w:pPr>
        <w:adjustRightInd w:val="0"/>
        <w:snapToGrid w:val="0"/>
        <w:spacing w:line="360" w:lineRule="auto"/>
        <w:ind w:firstLine="480" w:firstLineChars="200"/>
        <w:jc w:val="left"/>
        <w:rPr>
          <w:rFonts w:eastAsiaTheme="minorEastAsia"/>
          <w:sz w:val="24"/>
        </w:rPr>
      </w:pPr>
      <w:r>
        <w:rPr>
          <w:rFonts w:eastAsiaTheme="minorEastAsia"/>
          <w:sz w:val="24"/>
        </w:rPr>
        <w:t>1.分包内容：______。</w:t>
      </w:r>
    </w:p>
    <w:p w14:paraId="092479BB">
      <w:pPr>
        <w:adjustRightInd w:val="0"/>
        <w:snapToGrid w:val="0"/>
        <w:spacing w:line="360" w:lineRule="auto"/>
        <w:ind w:firstLine="480" w:firstLineChars="200"/>
        <w:jc w:val="left"/>
        <w:rPr>
          <w:rFonts w:eastAsiaTheme="minorEastAsia"/>
          <w:sz w:val="24"/>
        </w:rPr>
      </w:pPr>
      <w:r>
        <w:rPr>
          <w:rFonts w:eastAsiaTheme="minorEastAsia"/>
          <w:sz w:val="24"/>
        </w:rPr>
        <w:t>2.分包金额：______，该金额占该采购包合同金额的比例为______%。</w:t>
      </w:r>
    </w:p>
    <w:p w14:paraId="7B7E421D">
      <w:pPr>
        <w:adjustRightInd w:val="0"/>
        <w:snapToGrid w:val="0"/>
        <w:spacing w:line="360" w:lineRule="auto"/>
        <w:ind w:firstLine="480" w:firstLineChars="200"/>
        <w:jc w:val="left"/>
        <w:rPr>
          <w:rFonts w:eastAsiaTheme="minorEastAsia"/>
          <w:bCs/>
          <w:color w:val="000000"/>
          <w:sz w:val="24"/>
        </w:rPr>
      </w:pPr>
      <w:r>
        <w:rPr>
          <w:rFonts w:eastAsiaTheme="minorEastAsia"/>
          <w:sz w:val="24"/>
        </w:rPr>
        <w:t>乙方承诺将在上述情况下与甲方签订分包合同。</w:t>
      </w:r>
    </w:p>
    <w:p w14:paraId="33AFAAE7">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14:paraId="7E544ADE">
      <w:pPr>
        <w:spacing w:line="360" w:lineRule="auto"/>
        <w:ind w:firstLine="471"/>
        <w:rPr>
          <w:rFonts w:eastAsiaTheme="minorEastAsia"/>
          <w:b/>
          <w:color w:val="000000"/>
          <w:sz w:val="24"/>
        </w:rPr>
      </w:pPr>
    </w:p>
    <w:p w14:paraId="34CC86F6">
      <w:pPr>
        <w:spacing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乙方（盖章）：</w:t>
      </w:r>
      <w:r>
        <w:rPr>
          <w:rFonts w:eastAsiaTheme="minorEastAsia"/>
          <w:sz w:val="24"/>
        </w:rPr>
        <w:t>______</w:t>
      </w:r>
    </w:p>
    <w:p w14:paraId="7CD21F21">
      <w:pPr>
        <w:spacing w:line="360" w:lineRule="auto"/>
        <w:ind w:left="480"/>
        <w:jc w:val="right"/>
        <w:rPr>
          <w:rFonts w:eastAsiaTheme="minorEastAsia"/>
          <w:color w:val="000000"/>
          <w:sz w:val="24"/>
        </w:rPr>
      </w:pPr>
    </w:p>
    <w:p w14:paraId="7F1135BE">
      <w:pPr>
        <w:wordWrap w:val="0"/>
        <w:spacing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 xml:space="preserve">日   </w:t>
      </w:r>
    </w:p>
    <w:p w14:paraId="7647F654">
      <w:pPr>
        <w:tabs>
          <w:tab w:val="left" w:pos="8280"/>
        </w:tabs>
        <w:spacing w:line="360" w:lineRule="auto"/>
        <w:ind w:firstLine="480"/>
        <w:rPr>
          <w:rFonts w:eastAsiaTheme="minorEastAsia"/>
          <w:color w:val="000000"/>
          <w:sz w:val="24"/>
        </w:rPr>
      </w:pPr>
    </w:p>
    <w:p w14:paraId="68F9A6F3">
      <w:pPr>
        <w:tabs>
          <w:tab w:val="left" w:pos="8280"/>
        </w:tabs>
        <w:spacing w:line="360" w:lineRule="auto"/>
        <w:rPr>
          <w:rFonts w:eastAsiaTheme="minorEastAsia"/>
          <w:color w:val="000000"/>
          <w:sz w:val="24"/>
        </w:rPr>
      </w:pPr>
      <w:r>
        <w:rPr>
          <w:rFonts w:eastAsiaTheme="minorEastAsia"/>
          <w:color w:val="000000"/>
          <w:sz w:val="24"/>
        </w:rPr>
        <w:t>注：</w:t>
      </w:r>
    </w:p>
    <w:p w14:paraId="2CCA1787">
      <w:pPr>
        <w:tabs>
          <w:tab w:val="left" w:pos="8280"/>
        </w:tabs>
        <w:spacing w:line="360" w:lineRule="auto"/>
        <w:rPr>
          <w:color w:val="000000"/>
          <w:sz w:val="24"/>
        </w:rPr>
      </w:pPr>
      <w:r>
        <w:rPr>
          <w:color w:val="000000"/>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14:paraId="1A063D6A">
      <w:pPr>
        <w:tabs>
          <w:tab w:val="left" w:pos="8280"/>
        </w:tabs>
        <w:spacing w:line="360" w:lineRule="auto"/>
        <w:rPr>
          <w:rFonts w:eastAsiaTheme="minorEastAsia"/>
          <w:color w:val="000000"/>
          <w:sz w:val="24"/>
        </w:rPr>
      </w:pPr>
      <w:r>
        <w:rPr>
          <w:color w:val="000000"/>
          <w:sz w:val="24"/>
        </w:rPr>
        <w:t>（2）</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14:paraId="35E5FD0A">
      <w:pPr>
        <w:tabs>
          <w:tab w:val="left" w:pos="8280"/>
        </w:tabs>
        <w:spacing w:line="360" w:lineRule="auto"/>
        <w:rPr>
          <w:rFonts w:eastAsiaTheme="minorEastAsia"/>
          <w:color w:val="000000"/>
          <w:sz w:val="24"/>
        </w:rPr>
        <w:sectPr>
          <w:headerReference r:id="rId30" w:type="first"/>
          <w:footerReference r:id="rId32" w:type="first"/>
          <w:headerReference r:id="rId29" w:type="even"/>
          <w:footerReference r:id="rId31" w:type="even"/>
          <w:pgSz w:w="11907" w:h="16840"/>
          <w:pgMar w:top="1418" w:right="1134" w:bottom="1418" w:left="1701" w:header="851" w:footer="851" w:gutter="0"/>
          <w:cols w:space="720" w:num="1"/>
          <w:docGrid w:linePitch="462" w:charSpace="0"/>
        </w:sectPr>
      </w:pPr>
    </w:p>
    <w:p w14:paraId="5A0C0F8E">
      <w:pPr>
        <w:spacing w:line="360" w:lineRule="auto"/>
        <w:outlineLvl w:val="2"/>
        <w:rPr>
          <w:rFonts w:eastAsiaTheme="minorEastAsia"/>
          <w:color w:val="000000"/>
          <w:sz w:val="24"/>
          <w:szCs w:val="20"/>
        </w:rPr>
      </w:pPr>
      <w:r>
        <w:rPr>
          <w:rFonts w:eastAsiaTheme="minorEastAsia"/>
          <w:color w:val="000000"/>
          <w:sz w:val="24"/>
          <w:szCs w:val="20"/>
        </w:rPr>
        <w:t xml:space="preserve">2-2 </w:t>
      </w:r>
      <w:r>
        <w:rPr>
          <w:rFonts w:eastAsiaTheme="minorEastAsia"/>
          <w:sz w:val="24"/>
        </w:rPr>
        <w:t>其它落实政府采购政策的资格要求</w:t>
      </w:r>
      <w:r>
        <w:rPr>
          <w:rFonts w:eastAsiaTheme="minorEastAsia"/>
          <w:color w:val="000000"/>
          <w:sz w:val="24"/>
          <w:szCs w:val="20"/>
        </w:rPr>
        <w:t>（如有）</w:t>
      </w:r>
    </w:p>
    <w:p w14:paraId="4F81684D">
      <w:pPr>
        <w:widowControl/>
        <w:jc w:val="left"/>
        <w:rPr>
          <w:rFonts w:eastAsiaTheme="minorEastAsia"/>
          <w:sz w:val="24"/>
        </w:rPr>
      </w:pPr>
      <w:r>
        <w:rPr>
          <w:rFonts w:eastAsiaTheme="minorEastAsia"/>
          <w:sz w:val="24"/>
        </w:rPr>
        <w:br w:type="page"/>
      </w:r>
    </w:p>
    <w:p w14:paraId="172D5E28">
      <w:pPr>
        <w:tabs>
          <w:tab w:val="left" w:pos="360"/>
        </w:tabs>
        <w:snapToGrid w:val="0"/>
        <w:spacing w:line="360" w:lineRule="auto"/>
        <w:outlineLvl w:val="1"/>
        <w:rPr>
          <w:rFonts w:eastAsiaTheme="minorEastAsia"/>
          <w:sz w:val="24"/>
        </w:rPr>
      </w:pPr>
      <w:r>
        <w:rPr>
          <w:rFonts w:eastAsiaTheme="minorEastAsia"/>
          <w:sz w:val="24"/>
        </w:rPr>
        <w:t>3 本项目的特定资格要求（如有）</w:t>
      </w:r>
    </w:p>
    <w:p w14:paraId="234663C1">
      <w:pPr>
        <w:spacing w:line="360" w:lineRule="auto"/>
        <w:outlineLvl w:val="2"/>
        <w:rPr>
          <w:rFonts w:eastAsiaTheme="minorEastAsia"/>
          <w:color w:val="000000"/>
          <w:sz w:val="24"/>
          <w:szCs w:val="20"/>
        </w:rPr>
      </w:pPr>
      <w:r>
        <w:rPr>
          <w:rFonts w:eastAsiaTheme="minorEastAsia"/>
          <w:color w:val="000000"/>
          <w:sz w:val="24"/>
          <w:szCs w:val="20"/>
        </w:rPr>
        <w:t>3-1 联合协议（如有）</w:t>
      </w:r>
    </w:p>
    <w:p w14:paraId="54C45C3A">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联合协议</w:t>
      </w:r>
    </w:p>
    <w:p w14:paraId="4CEE6412">
      <w:pPr>
        <w:spacing w:line="360" w:lineRule="auto"/>
        <w:ind w:firstLine="828" w:firstLineChars="345"/>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14:paraId="1A95B027">
      <w:pPr>
        <w:numPr>
          <w:ilvl w:val="0"/>
          <w:numId w:val="14"/>
        </w:numPr>
        <w:spacing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14:paraId="2EEFC798">
      <w:pPr>
        <w:numPr>
          <w:ilvl w:val="0"/>
          <w:numId w:val="14"/>
        </w:numPr>
        <w:spacing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14:paraId="7C0965E4">
      <w:pPr>
        <w:numPr>
          <w:ilvl w:val="0"/>
          <w:numId w:val="14"/>
        </w:numPr>
        <w:spacing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14:paraId="52C94AD7">
      <w:pPr>
        <w:numPr>
          <w:ilvl w:val="0"/>
          <w:numId w:val="14"/>
        </w:numPr>
        <w:spacing w:line="360" w:lineRule="auto"/>
        <w:rPr>
          <w:rFonts w:eastAsiaTheme="minorEastAsia"/>
          <w:bCs/>
          <w:color w:val="000000"/>
          <w:sz w:val="24"/>
        </w:rPr>
      </w:pPr>
      <w:r>
        <w:rPr>
          <w:rFonts w:eastAsiaTheme="minorEastAsia"/>
          <w:bCs/>
          <w:color w:val="000000"/>
          <w:sz w:val="24"/>
        </w:rPr>
        <w:t>牵头人为项目的总负责单位；组织各参加方进行项目实施工作。</w:t>
      </w:r>
    </w:p>
    <w:p w14:paraId="3B438F5E">
      <w:pPr>
        <w:numPr>
          <w:ilvl w:val="0"/>
          <w:numId w:val="14"/>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5D10EB00">
      <w:pPr>
        <w:numPr>
          <w:ilvl w:val="0"/>
          <w:numId w:val="14"/>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53B7B59F">
      <w:pPr>
        <w:numPr>
          <w:ilvl w:val="0"/>
          <w:numId w:val="14"/>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14:paraId="46DE9902">
      <w:pPr>
        <w:numPr>
          <w:ilvl w:val="0"/>
          <w:numId w:val="14"/>
        </w:numPr>
        <w:spacing w:line="360" w:lineRule="auto"/>
        <w:rPr>
          <w:rFonts w:eastAsiaTheme="minorEastAsia"/>
          <w:sz w:val="24"/>
        </w:rPr>
      </w:pPr>
      <w:r>
        <w:rPr>
          <w:rFonts w:eastAsiaTheme="minorEastAsia"/>
          <w:sz w:val="24"/>
        </w:rPr>
        <w:t>本项目联合协议合同总额为______元，联合体各成员按照如下比例分摊（按联合体成员分别列明）：</w:t>
      </w:r>
    </w:p>
    <w:p w14:paraId="3F95F217">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（1）</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157432A8">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（2）</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4A57DBFA">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0CFC3962">
      <w:pPr>
        <w:numPr>
          <w:ilvl w:val="0"/>
          <w:numId w:val="14"/>
        </w:numPr>
        <w:tabs>
          <w:tab w:val="left" w:pos="993"/>
        </w:tabs>
        <w:spacing w:line="360" w:lineRule="auto"/>
        <w:rPr>
          <w:rFonts w:eastAsiaTheme="minorEastAsia"/>
          <w:bCs/>
          <w:color w:val="000000"/>
          <w:sz w:val="24"/>
        </w:rPr>
      </w:pPr>
      <w:r>
        <w:rPr>
          <w:rFonts w:eastAsiaTheme="minorEastAsia"/>
          <w:color w:val="000000"/>
          <w:sz w:val="24"/>
          <w:szCs w:val="20"/>
        </w:rPr>
        <w:t>以联合体形式参加政府采购活动的，联合体各方不得再单独参加或者与其他供应商另外组成联合体参加同一合同项下的政府采购活动。</w:t>
      </w:r>
    </w:p>
    <w:p w14:paraId="4844A8E7">
      <w:pPr>
        <w:numPr>
          <w:ilvl w:val="0"/>
          <w:numId w:val="14"/>
        </w:numPr>
        <w:spacing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p>
    <w:p w14:paraId="6E06CABC">
      <w:pPr>
        <w:tabs>
          <w:tab w:val="left" w:pos="780"/>
        </w:tabs>
        <w:spacing w:line="360" w:lineRule="auto"/>
        <w:ind w:left="180" w:firstLine="480" w:firstLineChars="20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14:paraId="03BA61C4">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3C14D2D2">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06BD4EB6">
      <w:pPr>
        <w:spacing w:line="360" w:lineRule="auto"/>
        <w:ind w:firstLine="471"/>
        <w:rPr>
          <w:color w:val="000000"/>
          <w:sz w:val="24"/>
        </w:rPr>
      </w:pPr>
    </w:p>
    <w:p w14:paraId="16FFE720">
      <w:pPr>
        <w:spacing w:line="360" w:lineRule="auto"/>
        <w:ind w:firstLine="471"/>
        <w:rPr>
          <w:color w:val="000000"/>
          <w:sz w:val="24"/>
        </w:rPr>
      </w:pPr>
    </w:p>
    <w:p w14:paraId="63FD81CC">
      <w:pPr>
        <w:spacing w:line="360" w:lineRule="auto"/>
        <w:ind w:firstLine="471"/>
        <w:rPr>
          <w:color w:val="000000"/>
          <w:sz w:val="24"/>
        </w:rPr>
      </w:pPr>
      <w:r>
        <w:rPr>
          <w:color w:val="000000"/>
          <w:sz w:val="24"/>
        </w:rPr>
        <w:t>联合体成员名称：</w:t>
      </w:r>
      <w:r>
        <w:rPr>
          <w:color w:val="000000"/>
          <w:sz w:val="24"/>
          <w:szCs w:val="20"/>
        </w:rPr>
        <w:t>______</w:t>
      </w:r>
    </w:p>
    <w:p w14:paraId="18A37F03">
      <w:pPr>
        <w:widowControl/>
        <w:ind w:firstLine="480" w:firstLineChars="20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14:paraId="3B7DDA4C">
      <w:pPr>
        <w:spacing w:line="360" w:lineRule="auto"/>
        <w:ind w:left="480"/>
        <w:jc w:val="right"/>
        <w:rPr>
          <w:rFonts w:eastAsiaTheme="minorEastAsia"/>
          <w:color w:val="000000"/>
          <w:sz w:val="24"/>
        </w:rPr>
      </w:pPr>
    </w:p>
    <w:p w14:paraId="7A2516E5">
      <w:pPr>
        <w:spacing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14:paraId="08A21687">
      <w:pPr>
        <w:spacing w:line="360" w:lineRule="auto"/>
        <w:ind w:left="480"/>
        <w:jc w:val="right"/>
        <w:rPr>
          <w:rFonts w:eastAsiaTheme="minorEastAsia"/>
          <w:b/>
          <w:color w:val="000000"/>
          <w:sz w:val="24"/>
        </w:rPr>
      </w:pPr>
    </w:p>
    <w:p w14:paraId="31F1557A">
      <w:pPr>
        <w:tabs>
          <w:tab w:val="left" w:pos="8280"/>
        </w:tabs>
        <w:spacing w:line="360" w:lineRule="auto"/>
        <w:ind w:firstLine="480"/>
        <w:rPr>
          <w:rFonts w:eastAsiaTheme="minorEastAsia"/>
          <w:color w:val="000000"/>
          <w:sz w:val="24"/>
        </w:rPr>
      </w:pPr>
    </w:p>
    <w:p w14:paraId="6864339E">
      <w:pPr>
        <w:tabs>
          <w:tab w:val="left" w:pos="8280"/>
        </w:tabs>
        <w:spacing w:line="360" w:lineRule="auto"/>
        <w:ind w:firstLine="480"/>
        <w:rPr>
          <w:rFonts w:eastAsiaTheme="minorEastAsia"/>
          <w:color w:val="000000"/>
          <w:sz w:val="24"/>
        </w:rPr>
      </w:pPr>
    </w:p>
    <w:p w14:paraId="205BB8DC">
      <w:pPr>
        <w:spacing w:line="360" w:lineRule="auto"/>
        <w:ind w:left="719" w:leftChars="228" w:hanging="240" w:hangingChars="100"/>
        <w:rPr>
          <w:rFonts w:eastAsiaTheme="minorEastAsia"/>
          <w:color w:val="000000"/>
          <w:sz w:val="24"/>
        </w:rPr>
      </w:pPr>
      <w:r>
        <w:rPr>
          <w:rFonts w:eastAsiaTheme="minorEastAsia"/>
          <w:color w:val="000000"/>
          <w:sz w:val="24"/>
        </w:rPr>
        <w:t>注：</w:t>
      </w:r>
    </w:p>
    <w:p w14:paraId="418C6DC8">
      <w:pPr>
        <w:spacing w:line="360" w:lineRule="auto"/>
        <w:ind w:left="719" w:leftChars="228" w:hanging="240" w:hangingChars="100"/>
        <w:rPr>
          <w:rFonts w:eastAsiaTheme="minorEastAsia"/>
          <w:color w:val="000000"/>
          <w:sz w:val="24"/>
        </w:rPr>
      </w:pPr>
      <w:r>
        <w:rPr>
          <w:rFonts w:eastAsiaTheme="minorEastAsia"/>
          <w:color w:val="000000"/>
          <w:sz w:val="24"/>
        </w:rPr>
        <w:t>1. 如本项目（包）接受供应商以联合体形式参加采购活动，且供应商以联合体形式参与时，须提供《联合协议》，否则</w:t>
      </w:r>
      <w:r>
        <w:rPr>
          <w:rFonts w:eastAsiaTheme="minorEastAsia"/>
          <w:b/>
          <w:color w:val="000000"/>
          <w:sz w:val="24"/>
        </w:rPr>
        <w:t>响应无效</w:t>
      </w:r>
      <w:r>
        <w:rPr>
          <w:rFonts w:eastAsiaTheme="minorEastAsia"/>
          <w:color w:val="000000"/>
          <w:sz w:val="24"/>
        </w:rPr>
        <w:t>。</w:t>
      </w:r>
    </w:p>
    <w:p w14:paraId="1A155D08">
      <w:pPr>
        <w:spacing w:line="360" w:lineRule="auto"/>
        <w:ind w:left="719" w:leftChars="228" w:hanging="240" w:hangingChars="100"/>
        <w:rPr>
          <w:rFonts w:eastAsiaTheme="minorEastAsia"/>
          <w:color w:val="000000"/>
          <w:sz w:val="24"/>
        </w:rPr>
      </w:pPr>
      <w:r>
        <w:rPr>
          <w:rFonts w:eastAsiaTheme="minorEastAsia"/>
          <w:color w:val="000000"/>
          <w:sz w:val="24"/>
        </w:rPr>
        <w:t>2. 联合体各方成员</w:t>
      </w:r>
      <w:r>
        <w:rPr>
          <w:rFonts w:hint="eastAsia" w:eastAsiaTheme="minorEastAsia"/>
          <w:color w:val="000000"/>
          <w:sz w:val="24"/>
        </w:rPr>
        <w:t>须</w:t>
      </w:r>
      <w:r>
        <w:rPr>
          <w:rFonts w:eastAsiaTheme="minorEastAsia"/>
          <w:color w:val="000000"/>
          <w:sz w:val="24"/>
        </w:rPr>
        <w:t>在本协议上共同盖章。</w:t>
      </w:r>
    </w:p>
    <w:p w14:paraId="5CA0A237">
      <w:pPr>
        <w:widowControl/>
        <w:jc w:val="left"/>
        <w:rPr>
          <w:rFonts w:eastAsiaTheme="minorEastAsia"/>
          <w:sz w:val="24"/>
        </w:rPr>
      </w:pPr>
      <w:r>
        <w:rPr>
          <w:rFonts w:eastAsiaTheme="minorEastAsia"/>
          <w:sz w:val="24"/>
        </w:rPr>
        <w:br w:type="page"/>
      </w:r>
    </w:p>
    <w:p w14:paraId="2EF0CF3C">
      <w:pPr>
        <w:spacing w:line="360" w:lineRule="auto"/>
        <w:outlineLvl w:val="2"/>
        <w:rPr>
          <w:rFonts w:eastAsiaTheme="minorEastAsia"/>
          <w:sz w:val="24"/>
          <w:szCs w:val="20"/>
        </w:rPr>
      </w:pPr>
      <w:r>
        <w:rPr>
          <w:rFonts w:eastAsiaTheme="minorEastAsia"/>
          <w:color w:val="000000"/>
          <w:sz w:val="24"/>
          <w:szCs w:val="20"/>
        </w:rPr>
        <w:t>3-2 其他</w:t>
      </w:r>
      <w:r>
        <w:rPr>
          <w:rFonts w:eastAsiaTheme="minorEastAsia"/>
          <w:sz w:val="24"/>
          <w:szCs w:val="20"/>
        </w:rPr>
        <w:t>特定资格要求</w:t>
      </w:r>
    </w:p>
    <w:p w14:paraId="79C237A4">
      <w:pPr>
        <w:widowControl/>
        <w:jc w:val="left"/>
        <w:rPr>
          <w:rFonts w:eastAsiaTheme="minorEastAsia"/>
          <w:b/>
          <w:bCs/>
          <w:sz w:val="24"/>
          <w:szCs w:val="20"/>
        </w:rPr>
      </w:pPr>
      <w:r>
        <w:rPr>
          <w:rFonts w:hint="eastAsia" w:eastAsiaTheme="minorEastAsia"/>
          <w:b/>
          <w:bCs/>
          <w:sz w:val="24"/>
          <w:szCs w:val="20"/>
        </w:rPr>
        <w:t>1）供应商须同时具有有效的  建筑装修装饰工程专业承包二级[新]及以上资质及有效的安全生产许可证；</w:t>
      </w:r>
    </w:p>
    <w:p w14:paraId="691021E1">
      <w:pPr>
        <w:widowControl/>
        <w:jc w:val="left"/>
        <w:rPr>
          <w:rFonts w:eastAsiaTheme="minorEastAsia"/>
          <w:sz w:val="24"/>
          <w:szCs w:val="20"/>
        </w:rPr>
      </w:pPr>
      <w:r>
        <w:rPr>
          <w:rFonts w:hint="eastAsia" w:eastAsiaTheme="minorEastAsia"/>
          <w:sz w:val="24"/>
          <w:szCs w:val="20"/>
        </w:rPr>
        <w:t>注：需提供相关证书并加盖供应商公章。</w:t>
      </w:r>
    </w:p>
    <w:p w14:paraId="7A9E3742">
      <w:pPr>
        <w:widowControl/>
        <w:jc w:val="left"/>
        <w:rPr>
          <w:rFonts w:eastAsiaTheme="minorEastAsia"/>
          <w:sz w:val="24"/>
          <w:szCs w:val="20"/>
          <w:highlight w:val="yellow"/>
        </w:rPr>
      </w:pPr>
    </w:p>
    <w:p w14:paraId="69DEA22E">
      <w:pPr>
        <w:widowControl/>
        <w:jc w:val="left"/>
        <w:rPr>
          <w:rFonts w:eastAsiaTheme="minorEastAsia"/>
          <w:sz w:val="24"/>
          <w:szCs w:val="20"/>
          <w:highlight w:val="yellow"/>
        </w:rPr>
      </w:pPr>
    </w:p>
    <w:p w14:paraId="44498652">
      <w:pPr>
        <w:widowControl/>
        <w:jc w:val="left"/>
        <w:rPr>
          <w:rFonts w:eastAsiaTheme="minorEastAsia"/>
          <w:sz w:val="24"/>
          <w:szCs w:val="20"/>
          <w:highlight w:val="yellow"/>
        </w:rPr>
      </w:pPr>
    </w:p>
    <w:p w14:paraId="3171751C">
      <w:pPr>
        <w:widowControl/>
        <w:jc w:val="left"/>
        <w:rPr>
          <w:rFonts w:eastAsiaTheme="minorEastAsia"/>
          <w:b/>
          <w:bCs/>
          <w:sz w:val="24"/>
          <w:szCs w:val="20"/>
        </w:rPr>
      </w:pPr>
      <w:r>
        <w:rPr>
          <w:rFonts w:hint="eastAsia" w:eastAsiaTheme="minorEastAsia"/>
          <w:b/>
          <w:bCs/>
          <w:sz w:val="24"/>
          <w:szCs w:val="20"/>
        </w:rPr>
        <w:t>2）非北京市建筑企业，应提供有效的《外省市建筑业企业进京施工备案信息》</w:t>
      </w:r>
    </w:p>
    <w:p w14:paraId="763DAB0F">
      <w:pPr>
        <w:widowControl/>
        <w:jc w:val="left"/>
        <w:rPr>
          <w:rFonts w:eastAsiaTheme="minorEastAsia"/>
          <w:sz w:val="24"/>
          <w:szCs w:val="20"/>
        </w:rPr>
      </w:pPr>
      <w:r>
        <w:rPr>
          <w:rFonts w:hint="eastAsia" w:eastAsiaTheme="minorEastAsia"/>
          <w:sz w:val="24"/>
          <w:szCs w:val="20"/>
        </w:rPr>
        <w:t>注：需提供证明文件并加盖供应商公章。</w:t>
      </w:r>
    </w:p>
    <w:p w14:paraId="3E70CE4D">
      <w:pPr>
        <w:widowControl/>
        <w:jc w:val="left"/>
        <w:rPr>
          <w:rFonts w:eastAsiaTheme="minorEastAsia"/>
          <w:sz w:val="24"/>
          <w:szCs w:val="20"/>
          <w:highlight w:val="yellow"/>
        </w:rPr>
      </w:pPr>
    </w:p>
    <w:p w14:paraId="0E3B6DAF">
      <w:pPr>
        <w:widowControl/>
        <w:jc w:val="left"/>
        <w:rPr>
          <w:rFonts w:eastAsiaTheme="minorEastAsia"/>
          <w:sz w:val="24"/>
          <w:szCs w:val="20"/>
          <w:highlight w:val="yellow"/>
        </w:rPr>
      </w:pPr>
    </w:p>
    <w:p w14:paraId="73B46488">
      <w:pPr>
        <w:widowControl/>
        <w:jc w:val="left"/>
        <w:rPr>
          <w:rFonts w:eastAsiaTheme="minorEastAsia"/>
          <w:sz w:val="24"/>
          <w:szCs w:val="20"/>
          <w:highlight w:val="yellow"/>
        </w:rPr>
      </w:pPr>
    </w:p>
    <w:p w14:paraId="6DA0B4EF">
      <w:pPr>
        <w:widowControl/>
        <w:jc w:val="left"/>
        <w:rPr>
          <w:rFonts w:eastAsiaTheme="minorEastAsia"/>
          <w:b/>
          <w:bCs/>
          <w:sz w:val="24"/>
          <w:szCs w:val="20"/>
        </w:rPr>
      </w:pPr>
      <w:r>
        <w:rPr>
          <w:rFonts w:hint="eastAsia" w:eastAsiaTheme="minorEastAsia"/>
          <w:b/>
          <w:bCs/>
          <w:sz w:val="24"/>
          <w:szCs w:val="20"/>
        </w:rPr>
        <w:t>3）项目经理须具有建筑工程专业二级（含）以上注册建造师执业资格和有效的安全生产考核合格证书（简称B本），且在确定成交时不得担任其他在施建设工程的项目经理；</w:t>
      </w:r>
    </w:p>
    <w:p w14:paraId="535B5816">
      <w:pPr>
        <w:widowControl/>
        <w:jc w:val="left"/>
        <w:rPr>
          <w:rFonts w:eastAsiaTheme="minorEastAsia"/>
          <w:sz w:val="24"/>
          <w:szCs w:val="20"/>
        </w:rPr>
      </w:pPr>
      <w:r>
        <w:rPr>
          <w:rFonts w:hint="eastAsia" w:eastAsiaTheme="minorEastAsia"/>
          <w:sz w:val="24"/>
          <w:szCs w:val="20"/>
        </w:rPr>
        <w:t>注：①需提供项目经理相关证书复印件并加盖供应商公章；</w:t>
      </w:r>
    </w:p>
    <w:p w14:paraId="44AB9B67">
      <w:pPr>
        <w:widowControl/>
        <w:ind w:firstLine="480" w:firstLineChars="200"/>
        <w:jc w:val="left"/>
        <w:rPr>
          <w:rFonts w:eastAsiaTheme="minorEastAsia"/>
          <w:sz w:val="24"/>
          <w:szCs w:val="20"/>
        </w:rPr>
      </w:pPr>
      <w:r>
        <w:rPr>
          <w:rFonts w:hint="eastAsia" w:eastAsiaTheme="minorEastAsia"/>
          <w:sz w:val="24"/>
          <w:szCs w:val="20"/>
        </w:rPr>
        <w:t>②需提供在确定成交供应商时不得担任其他在施建设工程的项目经理的承诺书并加盖供应商公章。（格式自拟）</w:t>
      </w:r>
    </w:p>
    <w:p w14:paraId="2DCAF052">
      <w:pPr>
        <w:widowControl/>
        <w:jc w:val="left"/>
        <w:rPr>
          <w:rFonts w:eastAsiaTheme="minorEastAsia"/>
          <w:sz w:val="24"/>
          <w:szCs w:val="20"/>
          <w:highlight w:val="yellow"/>
        </w:rPr>
      </w:pPr>
    </w:p>
    <w:p w14:paraId="5CEE7E1E">
      <w:pPr>
        <w:widowControl/>
        <w:jc w:val="left"/>
        <w:rPr>
          <w:rFonts w:eastAsiaTheme="minorEastAsia"/>
          <w:sz w:val="24"/>
          <w:szCs w:val="20"/>
          <w:highlight w:val="yellow"/>
        </w:rPr>
      </w:pPr>
    </w:p>
    <w:p w14:paraId="217F2354">
      <w:pPr>
        <w:widowControl/>
        <w:jc w:val="left"/>
        <w:rPr>
          <w:rFonts w:eastAsiaTheme="minorEastAsia"/>
          <w:sz w:val="24"/>
          <w:szCs w:val="20"/>
          <w:highlight w:val="yellow"/>
        </w:rPr>
      </w:pPr>
    </w:p>
    <w:p w14:paraId="137F3319">
      <w:pPr>
        <w:widowControl/>
        <w:jc w:val="left"/>
        <w:rPr>
          <w:rFonts w:eastAsiaTheme="minorEastAsia"/>
          <w:b/>
          <w:bCs/>
          <w:sz w:val="24"/>
          <w:szCs w:val="20"/>
        </w:rPr>
      </w:pPr>
      <w:r>
        <w:rPr>
          <w:rFonts w:hint="eastAsia" w:eastAsiaTheme="minorEastAsia"/>
          <w:b/>
          <w:bCs/>
          <w:sz w:val="24"/>
          <w:szCs w:val="20"/>
        </w:rPr>
        <w:t>4）供应商没有处于被责令停业，投标资格被取消，财产被接管、冻结，破产状态；</w:t>
      </w:r>
    </w:p>
    <w:p w14:paraId="4B6BBDC1">
      <w:pPr>
        <w:widowControl/>
        <w:jc w:val="left"/>
        <w:rPr>
          <w:rFonts w:eastAsiaTheme="minorEastAsia"/>
          <w:b/>
          <w:bCs/>
          <w:sz w:val="24"/>
          <w:szCs w:val="20"/>
        </w:rPr>
      </w:pPr>
      <w:r>
        <w:rPr>
          <w:rFonts w:hint="eastAsia" w:eastAsiaTheme="minorEastAsia"/>
          <w:b/>
          <w:bCs/>
          <w:sz w:val="24"/>
          <w:szCs w:val="20"/>
        </w:rPr>
        <w:t>5）供应商在最近三年内（2023年6月25日至2026年6月24日）没有骗取中标和严重违约及重大工程质量问题；</w:t>
      </w:r>
    </w:p>
    <w:p w14:paraId="447B0CF7">
      <w:pPr>
        <w:widowControl/>
        <w:jc w:val="left"/>
        <w:rPr>
          <w:rFonts w:eastAsiaTheme="minorEastAsia"/>
          <w:sz w:val="24"/>
        </w:rPr>
      </w:pPr>
      <w:r>
        <w:rPr>
          <w:rFonts w:hint="eastAsia" w:eastAsiaTheme="minorEastAsia"/>
          <w:sz w:val="24"/>
          <w:szCs w:val="20"/>
        </w:rPr>
        <w:t>注：4）、5）项需提供承诺书并加盖供应商公章（格式自拟）</w:t>
      </w:r>
    </w:p>
    <w:p w14:paraId="4F0774D2">
      <w:pPr>
        <w:tabs>
          <w:tab w:val="left" w:pos="5580"/>
        </w:tabs>
        <w:spacing w:line="360" w:lineRule="auto"/>
        <w:rPr>
          <w:rFonts w:eastAsiaTheme="minorEastAsia"/>
          <w:sz w:val="24"/>
        </w:rPr>
      </w:pPr>
    </w:p>
    <w:p w14:paraId="17111156">
      <w:pPr>
        <w:widowControl/>
        <w:jc w:val="left"/>
        <w:rPr>
          <w:rFonts w:eastAsiaTheme="minorEastAsia"/>
          <w:sz w:val="24"/>
          <w:szCs w:val="20"/>
        </w:rPr>
      </w:pPr>
      <w:r>
        <w:rPr>
          <w:rFonts w:eastAsiaTheme="minorEastAsia"/>
          <w:sz w:val="24"/>
          <w:szCs w:val="20"/>
        </w:rPr>
        <w:br w:type="page"/>
      </w:r>
    </w:p>
    <w:p w14:paraId="081248F5">
      <w:pPr>
        <w:tabs>
          <w:tab w:val="left" w:pos="360"/>
        </w:tabs>
        <w:snapToGrid w:val="0"/>
        <w:spacing w:line="360" w:lineRule="auto"/>
        <w:outlineLvl w:val="1"/>
        <w:rPr>
          <w:rFonts w:eastAsiaTheme="minorEastAsia"/>
          <w:sz w:val="24"/>
        </w:rPr>
      </w:pPr>
      <w:r>
        <w:rPr>
          <w:rFonts w:eastAsiaTheme="minorEastAsia"/>
          <w:sz w:val="24"/>
        </w:rPr>
        <w:t>4 磋商保证金凭证/交款单据电子件</w:t>
      </w:r>
      <w:r>
        <w:rPr>
          <w:rFonts w:hint="eastAsia" w:eastAsiaTheme="minorEastAsia"/>
          <w:sz w:val="24"/>
        </w:rPr>
        <w:t>（如有）</w:t>
      </w:r>
    </w:p>
    <w:p w14:paraId="5E08D7D2">
      <w:pPr>
        <w:widowControl/>
        <w:jc w:val="left"/>
        <w:rPr>
          <w:rFonts w:eastAsiaTheme="minorEastAsia"/>
          <w:kern w:val="0"/>
          <w:sz w:val="24"/>
          <w:szCs w:val="20"/>
        </w:rPr>
      </w:pPr>
      <w:r>
        <w:rPr>
          <w:rFonts w:eastAsiaTheme="minorEastAsia"/>
          <w:b/>
          <w:sz w:val="24"/>
        </w:rPr>
        <w:br w:type="page"/>
      </w:r>
    </w:p>
    <w:p w14:paraId="33DEFA1B">
      <w:pPr>
        <w:tabs>
          <w:tab w:val="left" w:pos="360"/>
        </w:tabs>
        <w:snapToGrid w:val="0"/>
        <w:spacing w:line="360" w:lineRule="auto"/>
        <w:outlineLvl w:val="1"/>
        <w:rPr>
          <w:rFonts w:eastAsiaTheme="minorEastAsia"/>
          <w:sz w:val="24"/>
        </w:rPr>
      </w:pPr>
      <w:bookmarkStart w:id="690" w:name="_Hlt520343392"/>
      <w:bookmarkEnd w:id="690"/>
      <w:bookmarkStart w:id="691" w:name="_Hlt520343000"/>
      <w:bookmarkEnd w:id="691"/>
      <w:bookmarkStart w:id="692" w:name="_Hlt520271212"/>
      <w:bookmarkEnd w:id="692"/>
      <w:bookmarkStart w:id="693" w:name="_Hlt520350918"/>
      <w:bookmarkEnd w:id="693"/>
      <w:bookmarkStart w:id="694" w:name="_Hlt520274065"/>
      <w:bookmarkEnd w:id="694"/>
      <w:bookmarkStart w:id="695" w:name="_Hlt520355504"/>
      <w:bookmarkEnd w:id="695"/>
      <w:bookmarkStart w:id="696" w:name="_Hlt520274121"/>
      <w:bookmarkEnd w:id="696"/>
      <w:bookmarkStart w:id="697" w:name="_Hlt520273711"/>
      <w:bookmarkEnd w:id="697"/>
      <w:bookmarkStart w:id="698" w:name="_Hlt520274393"/>
      <w:bookmarkEnd w:id="698"/>
      <w:bookmarkStart w:id="699" w:name="_Hlt520274407"/>
      <w:bookmarkEnd w:id="699"/>
      <w:bookmarkStart w:id="700" w:name="_Ref467988698"/>
      <w:bookmarkStart w:id="701" w:name="_Toc480942349"/>
      <w:bookmarkStart w:id="702" w:name="_Toc127151556"/>
      <w:bookmarkStart w:id="703" w:name="_Toc142311058"/>
      <w:bookmarkStart w:id="704" w:name="_Toc226309800"/>
      <w:bookmarkStart w:id="705" w:name="_Toc150480794"/>
      <w:bookmarkStart w:id="706" w:name="_Toc520356217"/>
      <w:bookmarkStart w:id="707" w:name="_Toc226337252"/>
      <w:bookmarkStart w:id="708" w:name="_Toc195842921"/>
      <w:bookmarkStart w:id="709" w:name="_Toc226965746"/>
      <w:bookmarkStart w:id="710" w:name="_Toc226965829"/>
      <w:bookmarkStart w:id="711" w:name="_Toc150774761"/>
      <w:r>
        <w:rPr>
          <w:rFonts w:eastAsiaTheme="minorEastAsia"/>
          <w:sz w:val="24"/>
        </w:rPr>
        <w:t xml:space="preserve">5  </w:t>
      </w:r>
      <w:bookmarkEnd w:id="700"/>
      <w:bookmarkEnd w:id="701"/>
      <w:r>
        <w:rPr>
          <w:rFonts w:eastAsiaTheme="minorEastAsia"/>
          <w:sz w:val="24"/>
        </w:rPr>
        <w:t>响应书</w:t>
      </w:r>
      <w:bookmarkEnd w:id="702"/>
      <w:bookmarkEnd w:id="703"/>
      <w:bookmarkEnd w:id="704"/>
      <w:bookmarkEnd w:id="705"/>
      <w:bookmarkEnd w:id="706"/>
      <w:bookmarkEnd w:id="707"/>
      <w:bookmarkEnd w:id="708"/>
      <w:bookmarkEnd w:id="709"/>
      <w:bookmarkEnd w:id="710"/>
      <w:bookmarkEnd w:id="711"/>
      <w:r>
        <w:rPr>
          <w:rFonts w:eastAsiaTheme="minorEastAsia"/>
          <w:sz w:val="24"/>
        </w:rPr>
        <w:t>（实质性格式）</w:t>
      </w:r>
    </w:p>
    <w:p w14:paraId="615E6F89">
      <w:pPr>
        <w:tabs>
          <w:tab w:val="left" w:pos="5580"/>
        </w:tabs>
        <w:spacing w:line="360" w:lineRule="auto"/>
        <w:rPr>
          <w:rFonts w:eastAsiaTheme="minorEastAsia"/>
          <w:color w:val="000000"/>
          <w:sz w:val="24"/>
        </w:rPr>
      </w:pPr>
    </w:p>
    <w:p w14:paraId="449EF944">
      <w:pPr>
        <w:spacing w:line="360" w:lineRule="auto"/>
        <w:jc w:val="center"/>
        <w:rPr>
          <w:rFonts w:eastAsiaTheme="minorEastAsia"/>
          <w:b/>
          <w:color w:val="000000"/>
          <w:sz w:val="36"/>
          <w:szCs w:val="36"/>
        </w:rPr>
      </w:pPr>
      <w:r>
        <w:rPr>
          <w:rFonts w:eastAsiaTheme="minorEastAsia"/>
          <w:b/>
          <w:color w:val="000000"/>
          <w:sz w:val="36"/>
          <w:szCs w:val="36"/>
        </w:rPr>
        <w:t>响应书</w:t>
      </w:r>
    </w:p>
    <w:p w14:paraId="326F523F">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68EF12BB">
      <w:pPr>
        <w:tabs>
          <w:tab w:val="left" w:pos="5580"/>
        </w:tabs>
        <w:spacing w:line="360" w:lineRule="auto"/>
        <w:rPr>
          <w:rFonts w:eastAsiaTheme="minorEastAsia"/>
          <w:color w:val="000000"/>
          <w:sz w:val="24"/>
          <w:szCs w:val="20"/>
        </w:rPr>
      </w:pPr>
    </w:p>
    <w:p w14:paraId="4072D6FF">
      <w:pPr>
        <w:tabs>
          <w:tab w:val="left" w:pos="5580"/>
        </w:tabs>
        <w:spacing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（项目名称，项目编号/包号）组织的采购活动，并对此项目进行磋商。</w:t>
      </w:r>
    </w:p>
    <w:p w14:paraId="0A3FBC7F">
      <w:pPr>
        <w:tabs>
          <w:tab w:val="left" w:pos="5580"/>
        </w:tabs>
        <w:spacing w:line="360" w:lineRule="auto"/>
        <w:ind w:firstLine="408"/>
        <w:rPr>
          <w:rFonts w:eastAsiaTheme="minorEastAsia"/>
          <w:color w:val="000000"/>
          <w:sz w:val="24"/>
          <w:szCs w:val="20"/>
        </w:rPr>
      </w:pPr>
      <w:r>
        <w:rPr>
          <w:rFonts w:eastAsiaTheme="minorEastAsia"/>
          <w:color w:val="000000"/>
          <w:sz w:val="24"/>
          <w:szCs w:val="20"/>
        </w:rPr>
        <w:t>1. 我方</w:t>
      </w:r>
      <w:r>
        <w:rPr>
          <w:rFonts w:eastAsiaTheme="minorEastAsia"/>
          <w:color w:val="000000"/>
          <w:sz w:val="24"/>
        </w:rPr>
        <w:t>已详细审查全部竞争性磋商文件</w:t>
      </w:r>
      <w:r>
        <w:rPr>
          <w:rFonts w:eastAsiaTheme="minorEastAsia"/>
          <w:color w:val="000000"/>
          <w:sz w:val="24"/>
          <w:szCs w:val="20"/>
        </w:rPr>
        <w:t>，自愿参与磋商并承诺如下：</w:t>
      </w:r>
    </w:p>
    <w:p w14:paraId="112224A8">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（1）本响应有效期为自响应文件提交截止之日起</w:t>
      </w:r>
      <w:r>
        <w:rPr>
          <w:rFonts w:eastAsiaTheme="minorEastAsia"/>
          <w:sz w:val="24"/>
        </w:rPr>
        <w:t>______</w:t>
      </w:r>
      <w:r>
        <w:rPr>
          <w:rFonts w:eastAsiaTheme="minorEastAsia"/>
          <w:color w:val="000000"/>
          <w:sz w:val="24"/>
          <w:szCs w:val="20"/>
        </w:rPr>
        <w:t>个日历日。</w:t>
      </w:r>
    </w:p>
    <w:p w14:paraId="6D6B78A2">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（2）除合同条款及采购需求偏离表列出的偏离外，我方响应竞争性磋商文件的全部要求。</w:t>
      </w:r>
    </w:p>
    <w:p w14:paraId="5F18B4BB">
      <w:pPr>
        <w:tabs>
          <w:tab w:val="left" w:pos="5580"/>
        </w:tabs>
        <w:spacing w:line="360" w:lineRule="auto"/>
        <w:ind w:firstLine="420" w:firstLineChars="175"/>
        <w:rPr>
          <w:rFonts w:eastAsiaTheme="minorEastAsia"/>
          <w:color w:val="000000"/>
          <w:sz w:val="24"/>
          <w:szCs w:val="20"/>
        </w:rPr>
      </w:pPr>
      <w:r>
        <w:rPr>
          <w:rFonts w:eastAsiaTheme="minorEastAsia"/>
          <w:color w:val="000000"/>
          <w:sz w:val="24"/>
          <w:szCs w:val="20"/>
        </w:rPr>
        <w:t>（3）我方已提供的全部文件资料是真实、准确的，并对此承担一切法律后果。</w:t>
      </w:r>
    </w:p>
    <w:p w14:paraId="0738F3C2">
      <w:pPr>
        <w:tabs>
          <w:tab w:val="left" w:pos="5580"/>
        </w:tabs>
        <w:spacing w:line="360" w:lineRule="auto"/>
        <w:ind w:firstLine="420" w:firstLineChars="175"/>
        <w:rPr>
          <w:rFonts w:eastAsiaTheme="minorEastAsia"/>
          <w:color w:val="000000"/>
          <w:sz w:val="24"/>
        </w:rPr>
      </w:pPr>
      <w:r>
        <w:rPr>
          <w:rFonts w:eastAsiaTheme="minorEastAsia"/>
          <w:color w:val="000000"/>
          <w:sz w:val="24"/>
          <w:szCs w:val="20"/>
        </w:rPr>
        <w:t>（4）如我方成交，我方将在法律规定的期限内与你方签订合同，按照竞争性磋商文件要求提交履约保证金，并在合同约定的期限内完成合同规定的全部义务。</w:t>
      </w:r>
    </w:p>
    <w:p w14:paraId="3FF88ECC">
      <w:pPr>
        <w:spacing w:line="360" w:lineRule="auto"/>
        <w:ind w:left="420"/>
        <w:rPr>
          <w:rFonts w:eastAsiaTheme="minorEastAsia"/>
          <w:color w:val="000000"/>
          <w:sz w:val="24"/>
        </w:rPr>
      </w:pPr>
      <w:r>
        <w:rPr>
          <w:rFonts w:eastAsiaTheme="minorEastAsia"/>
          <w:color w:val="000000"/>
          <w:sz w:val="24"/>
        </w:rPr>
        <w:t>2. 其他补充条款（如有）：</w:t>
      </w:r>
      <w:r>
        <w:rPr>
          <w:rFonts w:eastAsiaTheme="minorEastAsia"/>
          <w:sz w:val="24"/>
        </w:rPr>
        <w:t>______</w:t>
      </w:r>
      <w:r>
        <w:rPr>
          <w:rFonts w:eastAsiaTheme="minorEastAsia"/>
          <w:color w:val="000000"/>
          <w:sz w:val="24"/>
        </w:rPr>
        <w:t>。</w:t>
      </w:r>
    </w:p>
    <w:p w14:paraId="07437BEA">
      <w:pPr>
        <w:spacing w:line="360" w:lineRule="auto"/>
        <w:ind w:firstLine="480" w:firstLineChars="200"/>
        <w:rPr>
          <w:rFonts w:eastAsiaTheme="minorEastAsia"/>
          <w:color w:val="000000"/>
          <w:sz w:val="24"/>
        </w:rPr>
      </w:pPr>
      <w:r>
        <w:rPr>
          <w:rFonts w:eastAsiaTheme="minorEastAsia"/>
          <w:color w:val="000000"/>
          <w:sz w:val="24"/>
        </w:rPr>
        <w:t>与本磋商有关的一切正式往来信函请寄：</w:t>
      </w:r>
    </w:p>
    <w:p w14:paraId="15A4537C">
      <w:pPr>
        <w:tabs>
          <w:tab w:val="left" w:pos="5580"/>
        </w:tabs>
        <w:spacing w:line="360" w:lineRule="auto"/>
        <w:ind w:left="420"/>
        <w:rPr>
          <w:rFonts w:eastAsiaTheme="minorEastAsia"/>
          <w:color w:val="000000"/>
          <w:sz w:val="24"/>
          <w:szCs w:val="20"/>
        </w:rPr>
      </w:pPr>
    </w:p>
    <w:p w14:paraId="01D6A531">
      <w:pPr>
        <w:tabs>
          <w:tab w:val="left" w:pos="5580"/>
        </w:tabs>
        <w:spacing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传   真</w:t>
      </w:r>
      <w:r>
        <w:rPr>
          <w:rFonts w:eastAsiaTheme="minorEastAsia"/>
          <w:bCs/>
          <w:color w:val="000000"/>
          <w:sz w:val="24"/>
        </w:rPr>
        <w:t>_________________________</w:t>
      </w:r>
    </w:p>
    <w:p w14:paraId="39CF0FDC">
      <w:pPr>
        <w:tabs>
          <w:tab w:val="left" w:pos="5580"/>
        </w:tabs>
        <w:spacing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电子函件</w:t>
      </w:r>
      <w:r>
        <w:rPr>
          <w:rFonts w:eastAsiaTheme="minorEastAsia"/>
          <w:bCs/>
          <w:color w:val="000000"/>
          <w:sz w:val="24"/>
        </w:rPr>
        <w:t>_________________________</w:t>
      </w:r>
    </w:p>
    <w:p w14:paraId="74E70558">
      <w:pPr>
        <w:tabs>
          <w:tab w:val="left" w:pos="5580"/>
        </w:tabs>
        <w:spacing w:line="360" w:lineRule="auto"/>
        <w:ind w:left="420"/>
        <w:rPr>
          <w:rFonts w:eastAsiaTheme="minorEastAsia"/>
          <w:color w:val="000000"/>
          <w:sz w:val="24"/>
          <w:szCs w:val="20"/>
        </w:rPr>
      </w:pPr>
    </w:p>
    <w:p w14:paraId="1BEF7E40">
      <w:pPr>
        <w:tabs>
          <w:tab w:val="left" w:pos="5580"/>
        </w:tabs>
        <w:spacing w:line="360" w:lineRule="auto"/>
        <w:ind w:left="420"/>
        <w:rPr>
          <w:rFonts w:eastAsiaTheme="minorEastAsia"/>
          <w:color w:val="000000"/>
          <w:sz w:val="24"/>
          <w:szCs w:val="20"/>
        </w:rPr>
      </w:pPr>
    </w:p>
    <w:p w14:paraId="7DBCF434">
      <w:pPr>
        <w:tabs>
          <w:tab w:val="left" w:pos="5580"/>
        </w:tabs>
        <w:spacing w:line="360" w:lineRule="auto"/>
        <w:ind w:left="420"/>
        <w:rPr>
          <w:rFonts w:eastAsiaTheme="minorEastAsia"/>
          <w:color w:val="000000"/>
          <w:sz w:val="24"/>
          <w:szCs w:val="20"/>
        </w:rPr>
      </w:pPr>
    </w:p>
    <w:p w14:paraId="767B3BC9">
      <w:pPr>
        <w:autoSpaceDE w:val="0"/>
        <w:autoSpaceDN w:val="0"/>
        <w:adjustRightInd w:val="0"/>
        <w:snapToGrid w:val="0"/>
        <w:spacing w:before="25" w:after="25" w:line="360" w:lineRule="auto"/>
        <w:ind w:right="360" w:firstLine="360" w:firstLineChars="15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3A5B930F">
      <w:pPr>
        <w:tabs>
          <w:tab w:val="left" w:pos="5580"/>
        </w:tabs>
        <w:spacing w:line="360" w:lineRule="auto"/>
        <w:ind w:firstLine="360" w:firstLineChars="150"/>
        <w:rPr>
          <w:rFonts w:eastAsiaTheme="minorEastAsia"/>
          <w:color w:val="000000"/>
          <w:sz w:val="24"/>
          <w:szCs w:val="20"/>
        </w:rPr>
      </w:pPr>
      <w:r>
        <w:rPr>
          <w:rFonts w:eastAsiaTheme="minorEastAsia"/>
          <w:color w:val="000000"/>
          <w:sz w:val="24"/>
          <w:szCs w:val="20"/>
        </w:rPr>
        <w:t xml:space="preserve">日期：____年____月____日  </w:t>
      </w:r>
    </w:p>
    <w:p w14:paraId="56AB3876">
      <w:pPr>
        <w:tabs>
          <w:tab w:val="left" w:pos="5580"/>
        </w:tabs>
        <w:spacing w:line="360" w:lineRule="auto"/>
        <w:ind w:left="420"/>
        <w:jc w:val="left"/>
        <w:rPr>
          <w:rFonts w:eastAsiaTheme="minorEastAsia"/>
          <w:color w:val="000000"/>
          <w:sz w:val="24"/>
          <w:szCs w:val="20"/>
        </w:rPr>
      </w:pPr>
    </w:p>
    <w:p w14:paraId="33CFE07D">
      <w:pPr>
        <w:widowControl/>
        <w:jc w:val="left"/>
        <w:rPr>
          <w:rFonts w:eastAsiaTheme="minorEastAsia"/>
          <w:b/>
          <w:color w:val="000000"/>
          <w:sz w:val="24"/>
          <w:szCs w:val="20"/>
        </w:rPr>
      </w:pPr>
      <w:r>
        <w:rPr>
          <w:rFonts w:eastAsiaTheme="minorEastAsia"/>
          <w:b/>
          <w:color w:val="000000"/>
          <w:sz w:val="24"/>
          <w:szCs w:val="20"/>
        </w:rPr>
        <w:br w:type="page"/>
      </w:r>
    </w:p>
    <w:p w14:paraId="56766EE7">
      <w:pPr>
        <w:tabs>
          <w:tab w:val="left" w:pos="360"/>
        </w:tabs>
        <w:snapToGrid w:val="0"/>
        <w:spacing w:line="360" w:lineRule="auto"/>
        <w:outlineLvl w:val="1"/>
        <w:rPr>
          <w:rFonts w:eastAsiaTheme="minorEastAsia"/>
          <w:sz w:val="24"/>
        </w:rPr>
      </w:pPr>
      <w:bookmarkStart w:id="712" w:name="_Hlt520355938"/>
      <w:bookmarkEnd w:id="712"/>
      <w:bookmarkStart w:id="713" w:name="_Hlt520356243"/>
      <w:bookmarkEnd w:id="713"/>
      <w:bookmarkStart w:id="714" w:name="_Toc305158825"/>
      <w:bookmarkStart w:id="715" w:name="_Toc305158899"/>
      <w:bookmarkStart w:id="716" w:name="_Ref467988705"/>
      <w:bookmarkStart w:id="717" w:name="_Toc127151557"/>
      <w:bookmarkStart w:id="718" w:name="_Toc226965830"/>
      <w:bookmarkStart w:id="719" w:name="_Toc150480795"/>
      <w:bookmarkStart w:id="720" w:name="_Toc195842922"/>
      <w:bookmarkStart w:id="721" w:name="_Toc226965747"/>
      <w:bookmarkStart w:id="722" w:name="_Toc226337253"/>
      <w:bookmarkStart w:id="723" w:name="_Toc480942350"/>
      <w:bookmarkStart w:id="724" w:name="_Toc265228395"/>
      <w:bookmarkStart w:id="725" w:name="_Toc142311059"/>
      <w:bookmarkStart w:id="726" w:name="_Toc150774762"/>
      <w:bookmarkStart w:id="727" w:name="_Toc520356218"/>
      <w:bookmarkStart w:id="728" w:name="_Toc264969247"/>
      <w:bookmarkStart w:id="729" w:name="_Toc226309801"/>
      <w:r>
        <w:rPr>
          <w:rFonts w:eastAsiaTheme="minorEastAsia"/>
          <w:sz w:val="24"/>
        </w:rPr>
        <w:t>6  授权委托书（实质性格式）</w:t>
      </w:r>
    </w:p>
    <w:p w14:paraId="31D95BD3">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授权委托书</w:t>
      </w:r>
    </w:p>
    <w:p w14:paraId="739347B1">
      <w:pPr>
        <w:spacing w:line="360" w:lineRule="auto"/>
        <w:ind w:firstLine="420"/>
        <w:rPr>
          <w:rFonts w:eastAsiaTheme="minorEastAsia"/>
          <w:color w:val="000000"/>
          <w:sz w:val="24"/>
          <w:szCs w:val="20"/>
        </w:rPr>
      </w:pPr>
      <w:r>
        <w:rPr>
          <w:rFonts w:eastAsiaTheme="minorEastAsia"/>
          <w:color w:val="000000"/>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6591E0B0">
      <w:pPr>
        <w:spacing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14:paraId="540E2BD0">
      <w:pPr>
        <w:spacing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14:paraId="4AC4F629">
      <w:pPr>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14:paraId="28224F7A">
      <w:pPr>
        <w:spacing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或签章</w:t>
      </w:r>
      <w:r>
        <w:rPr>
          <w:rFonts w:eastAsiaTheme="minorEastAsia"/>
          <w:color w:val="000000"/>
          <w:sz w:val="24"/>
          <w:szCs w:val="20"/>
        </w:rPr>
        <w:t>）：______________</w:t>
      </w:r>
    </w:p>
    <w:p w14:paraId="66F64D30">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或签章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14:paraId="4A4BD8CA">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14:paraId="742E2F43">
      <w:pPr>
        <w:tabs>
          <w:tab w:val="left" w:pos="5580"/>
        </w:tabs>
        <w:spacing w:line="360" w:lineRule="auto"/>
        <w:ind w:firstLine="480" w:firstLineChars="200"/>
        <w:rPr>
          <w:rFonts w:eastAsiaTheme="minorEastAsia"/>
          <w:color w:val="000000"/>
          <w:sz w:val="24"/>
          <w:szCs w:val="20"/>
        </w:rPr>
      </w:pPr>
    </w:p>
    <w:p w14:paraId="12474416">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14:paraId="299F821C">
      <w:pPr>
        <w:tabs>
          <w:tab w:val="left" w:pos="5580"/>
        </w:tabs>
        <w:spacing w:line="360" w:lineRule="auto"/>
        <w:jc w:val="left"/>
        <w:rPr>
          <w:rFonts w:eastAsiaTheme="minorEastAsia"/>
          <w:color w:val="000000"/>
          <w:sz w:val="24"/>
          <w:szCs w:val="20"/>
        </w:rPr>
      </w:pPr>
    </w:p>
    <w:p w14:paraId="65DBF8A9">
      <w:pPr>
        <w:tabs>
          <w:tab w:val="left" w:pos="5580"/>
        </w:tabs>
        <w:spacing w:line="360" w:lineRule="auto"/>
        <w:jc w:val="left"/>
        <w:rPr>
          <w:rFonts w:eastAsiaTheme="minorEastAsia"/>
          <w:color w:val="000000"/>
          <w:sz w:val="24"/>
          <w:szCs w:val="20"/>
        </w:rPr>
      </w:pPr>
    </w:p>
    <w:p w14:paraId="43CB3539">
      <w:pPr>
        <w:tabs>
          <w:tab w:val="left" w:pos="5580"/>
        </w:tabs>
        <w:spacing w:line="360" w:lineRule="auto"/>
        <w:jc w:val="left"/>
        <w:rPr>
          <w:rFonts w:eastAsiaTheme="minorEastAsia"/>
          <w:color w:val="000000"/>
          <w:sz w:val="24"/>
          <w:szCs w:val="20"/>
        </w:rPr>
      </w:pPr>
    </w:p>
    <w:p w14:paraId="371AACC2">
      <w:pPr>
        <w:tabs>
          <w:tab w:val="left" w:pos="5580"/>
        </w:tabs>
        <w:spacing w:line="360" w:lineRule="auto"/>
        <w:jc w:val="left"/>
        <w:rPr>
          <w:rFonts w:eastAsiaTheme="minorEastAsia"/>
          <w:color w:val="000000"/>
          <w:sz w:val="24"/>
          <w:szCs w:val="20"/>
        </w:rPr>
      </w:pPr>
    </w:p>
    <w:p w14:paraId="53DA9247">
      <w:pPr>
        <w:tabs>
          <w:tab w:val="left" w:pos="5580"/>
        </w:tabs>
        <w:spacing w:line="360" w:lineRule="auto"/>
        <w:jc w:val="left"/>
        <w:rPr>
          <w:rFonts w:eastAsiaTheme="minorEastAsia"/>
          <w:color w:val="000000"/>
          <w:sz w:val="24"/>
          <w:szCs w:val="20"/>
        </w:rPr>
      </w:pPr>
    </w:p>
    <w:p w14:paraId="1AA48AE7">
      <w:pPr>
        <w:tabs>
          <w:tab w:val="left" w:pos="5580"/>
        </w:tabs>
        <w:spacing w:line="360" w:lineRule="auto"/>
        <w:jc w:val="left"/>
        <w:rPr>
          <w:rFonts w:eastAsiaTheme="minorEastAsia"/>
          <w:color w:val="000000"/>
          <w:sz w:val="24"/>
          <w:szCs w:val="20"/>
        </w:rPr>
      </w:pPr>
      <w:r>
        <w:rPr>
          <w:rFonts w:eastAsiaTheme="minorEastAsia"/>
          <w:color w:val="000000"/>
          <w:sz w:val="24"/>
          <w:szCs w:val="20"/>
        </w:rPr>
        <w:t>说明：</w:t>
      </w:r>
    </w:p>
    <w:p w14:paraId="58233C43">
      <w:pPr>
        <w:tabs>
          <w:tab w:val="left" w:pos="5580"/>
        </w:tabs>
        <w:spacing w:line="360" w:lineRule="auto"/>
        <w:jc w:val="left"/>
        <w:rPr>
          <w:rFonts w:eastAsiaTheme="minorEastAsia"/>
          <w:color w:val="000000"/>
          <w:sz w:val="24"/>
          <w:szCs w:val="20"/>
        </w:rPr>
      </w:pPr>
      <w:r>
        <w:rPr>
          <w:rFonts w:eastAsiaTheme="minorEastAsia"/>
          <w:color w:val="000000"/>
          <w:sz w:val="24"/>
          <w:szCs w:val="20"/>
        </w:rPr>
        <w:t>1.若供应商为事业单位或其他组织或分支机构，则法定代表人（单位负责人）处的签署人可为单位负责人。</w:t>
      </w:r>
    </w:p>
    <w:p w14:paraId="1EA1F9E2">
      <w:pPr>
        <w:tabs>
          <w:tab w:val="left" w:pos="5580"/>
        </w:tabs>
        <w:spacing w:line="360" w:lineRule="auto"/>
        <w:jc w:val="left"/>
        <w:rPr>
          <w:rFonts w:eastAsiaTheme="minorEastAsia"/>
          <w:color w:val="000000"/>
          <w:sz w:val="24"/>
          <w:szCs w:val="20"/>
        </w:rPr>
      </w:pPr>
      <w:r>
        <w:rPr>
          <w:rFonts w:eastAsiaTheme="minorEastAsia"/>
          <w:color w:val="000000"/>
          <w:sz w:val="24"/>
          <w:szCs w:val="20"/>
        </w:rPr>
        <w:t>2.若响应文件中签字之处均为法定代表人（单位负责人）本人签署，则可不提供本《授权委托书》，但须提供《法定代表人（单位负责人）身份证明》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14:paraId="70B783E6">
      <w:pPr>
        <w:tabs>
          <w:tab w:val="left" w:pos="5580"/>
        </w:tabs>
        <w:spacing w:line="360" w:lineRule="auto"/>
        <w:jc w:val="left"/>
        <w:rPr>
          <w:rFonts w:eastAsiaTheme="minorEastAsia"/>
          <w:color w:val="000000"/>
          <w:sz w:val="24"/>
          <w:szCs w:val="20"/>
        </w:rPr>
      </w:pPr>
      <w:r>
        <w:rPr>
          <w:rFonts w:eastAsiaTheme="minorEastAsia"/>
          <w:color w:val="000000"/>
          <w:sz w:val="24"/>
          <w:szCs w:val="20"/>
        </w:rPr>
        <w:t>3.供应商为自然人的情形，可不提供本《授权委托书》。</w:t>
      </w:r>
    </w:p>
    <w:p w14:paraId="6544BECA">
      <w:pPr>
        <w:tabs>
          <w:tab w:val="left" w:pos="5580"/>
        </w:tabs>
        <w:spacing w:line="360" w:lineRule="auto"/>
        <w:jc w:val="left"/>
        <w:rPr>
          <w:rFonts w:eastAsiaTheme="minorEastAsia"/>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14:paraId="7D49A867">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法定代表人（单位负责人）身份证明</w:t>
      </w:r>
    </w:p>
    <w:p w14:paraId="1723A5D3">
      <w:pPr>
        <w:kinsoku w:val="0"/>
        <w:overflowPunct w:val="0"/>
        <w:spacing w:line="200" w:lineRule="exact"/>
        <w:rPr>
          <w:rFonts w:eastAsiaTheme="minorEastAsia"/>
          <w:sz w:val="20"/>
          <w:szCs w:val="20"/>
        </w:rPr>
      </w:pPr>
    </w:p>
    <w:p w14:paraId="3B84A57D">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14:paraId="16D2857A">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eastAsiaTheme="minorEastAsia"/>
        </w:rPr>
      </w:pPr>
      <w:r>
        <w:rPr>
          <w:rFonts w:ascii="Times New Roman" w:hAnsi="Times New Roman" w:eastAsiaTheme="minorEastAsia"/>
        </w:rPr>
        <w:t>兹证明，</w:t>
      </w:r>
    </w:p>
    <w:p w14:paraId="7081D8FD">
      <w:pPr>
        <w:pStyle w:val="17"/>
        <w:tabs>
          <w:tab w:val="left" w:pos="1690"/>
          <w:tab w:val="left" w:pos="3400"/>
          <w:tab w:val="left" w:pos="5110"/>
          <w:tab w:val="left" w:pos="6821"/>
        </w:tabs>
        <w:kinsoku w:val="0"/>
        <w:overflowPunct w:val="0"/>
        <w:spacing w:line="335" w:lineRule="exact"/>
        <w:rPr>
          <w:rFonts w:ascii="Times New Roman" w:hAnsi="Times New Roman" w:eastAsiaTheme="minorEastAsia"/>
        </w:rPr>
      </w:pPr>
      <w:r>
        <w:rPr>
          <w:rFonts w:ascii="Times New Roman" w:hAnsi="Times New Roman" w:eastAsiaTheme="minorEastAsia"/>
        </w:rPr>
        <w:t>姓名：</w:t>
      </w:r>
      <w:r>
        <w:rPr>
          <w:rFonts w:ascii="Times New Roman" w:hAnsi="Times New Roman" w:eastAsiaTheme="minorEastAsia"/>
          <w:color w:val="000000"/>
          <w:szCs w:val="20"/>
        </w:rPr>
        <w:t>____</w:t>
      </w:r>
      <w:r>
        <w:rPr>
          <w:rFonts w:ascii="Times New Roman" w:hAnsi="Times New Roman" w:eastAsiaTheme="minorEastAsia"/>
        </w:rPr>
        <w:t>性别：</w:t>
      </w:r>
      <w:r>
        <w:rPr>
          <w:rFonts w:ascii="Times New Roman" w:hAnsi="Times New Roman" w:eastAsiaTheme="minorEastAsia"/>
          <w:color w:val="000000"/>
          <w:szCs w:val="20"/>
        </w:rPr>
        <w:t>____</w:t>
      </w:r>
      <w:r>
        <w:rPr>
          <w:rFonts w:ascii="Times New Roman" w:hAnsi="Times New Roman" w:eastAsiaTheme="minorEastAsia"/>
        </w:rPr>
        <w:t>年龄：</w:t>
      </w:r>
      <w:r>
        <w:rPr>
          <w:rFonts w:ascii="Times New Roman" w:hAnsi="Times New Roman" w:eastAsiaTheme="minorEastAsia"/>
          <w:color w:val="000000"/>
          <w:szCs w:val="20"/>
        </w:rPr>
        <w:t>____</w:t>
      </w:r>
      <w:r>
        <w:rPr>
          <w:rFonts w:ascii="Times New Roman" w:hAnsi="Times New Roman" w:eastAsiaTheme="minorEastAsia"/>
        </w:rPr>
        <w:t>职务：</w:t>
      </w:r>
      <w:r>
        <w:rPr>
          <w:rFonts w:ascii="Times New Roman" w:hAnsi="Times New Roman" w:eastAsiaTheme="minorEastAsia"/>
          <w:color w:val="000000"/>
          <w:szCs w:val="20"/>
        </w:rPr>
        <w:t>____</w:t>
      </w:r>
    </w:p>
    <w:p w14:paraId="25E67B24">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119A4A63">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eastAsiaTheme="minorEastAsia"/>
        </w:rPr>
      </w:pPr>
      <w:r>
        <w:rPr>
          <w:rFonts w:ascii="Times New Roman" w:hAnsi="Times New Roman" w:eastAsiaTheme="minorEastAsia"/>
        </w:rPr>
        <w:t>系</w:t>
      </w:r>
      <w:r>
        <w:rPr>
          <w:rFonts w:ascii="Times New Roman" w:hAnsi="Times New Roman" w:eastAsiaTheme="minorEastAsia"/>
          <w:color w:val="000000"/>
          <w:szCs w:val="20"/>
        </w:rPr>
        <w:t>__________</w:t>
      </w:r>
      <w:r>
        <w:rPr>
          <w:rFonts w:ascii="Times New Roman" w:hAnsi="Times New Roman" w:eastAsiaTheme="minorEastAsia"/>
        </w:rPr>
        <w:t>（供应商名称）的法定代表人（单位负责人）。</w:t>
      </w:r>
    </w:p>
    <w:p w14:paraId="26F89AA1">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3B34B013">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47961FDC">
      <w:pPr>
        <w:pStyle w:val="17"/>
        <w:kinsoku w:val="0"/>
        <w:overflowPunct w:val="0"/>
        <w:spacing w:line="583" w:lineRule="auto"/>
        <w:ind w:right="-46"/>
        <w:rPr>
          <w:rFonts w:hint="eastAsia"/>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14:paraId="0DF038A5">
      <w:pPr>
        <w:pStyle w:val="17"/>
        <w:kinsoku w:val="0"/>
        <w:overflowPunct w:val="0"/>
        <w:spacing w:line="583" w:lineRule="auto"/>
        <w:ind w:right="4305"/>
        <w:rPr>
          <w:rFonts w:ascii="Times New Roman" w:hAnsi="Times New Roman" w:eastAsiaTheme="minorEastAsia"/>
          <w:spacing w:val="-3"/>
        </w:rPr>
      </w:pPr>
    </w:p>
    <w:p w14:paraId="25295A6A">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1CF10D43">
      <w:pPr>
        <w:autoSpaceDE w:val="0"/>
        <w:autoSpaceDN w:val="0"/>
        <w:adjustRightInd w:val="0"/>
        <w:snapToGrid w:val="0"/>
        <w:spacing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或签章</w:t>
      </w:r>
      <w:r>
        <w:rPr>
          <w:rFonts w:eastAsiaTheme="minorEastAsia"/>
          <w:spacing w:val="-3"/>
          <w:sz w:val="24"/>
        </w:rPr>
        <w:t>）：</w:t>
      </w:r>
      <w:r>
        <w:rPr>
          <w:rFonts w:eastAsiaTheme="minorEastAsia"/>
          <w:sz w:val="24"/>
        </w:rPr>
        <w:t>______</w:t>
      </w:r>
    </w:p>
    <w:p w14:paraId="12BEFDE3">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54C0FAD2">
      <w:pPr>
        <w:widowControl/>
        <w:jc w:val="left"/>
        <w:rPr>
          <w:rFonts w:eastAsiaTheme="minorEastAsia"/>
          <w:i/>
          <w:color w:val="000000"/>
          <w:sz w:val="24"/>
          <w:szCs w:val="20"/>
          <w:u w:val="single"/>
        </w:rPr>
      </w:pPr>
    </w:p>
    <w:p w14:paraId="067B38AD">
      <w:pPr>
        <w:widowControl/>
        <w:jc w:val="left"/>
        <w:rPr>
          <w:rFonts w:eastAsiaTheme="minorEastAsia"/>
          <w:color w:val="000000"/>
          <w:sz w:val="24"/>
          <w:szCs w:val="20"/>
        </w:rPr>
      </w:pPr>
      <w:r>
        <w:rPr>
          <w:rFonts w:eastAsiaTheme="minorEastAsia"/>
          <w:color w:val="000000"/>
          <w:sz w:val="24"/>
          <w:szCs w:val="20"/>
        </w:rPr>
        <w:br w:type="page"/>
      </w:r>
    </w:p>
    <w:p w14:paraId="6A1B2BFB">
      <w:pPr>
        <w:tabs>
          <w:tab w:val="left" w:pos="360"/>
        </w:tabs>
        <w:snapToGrid w:val="0"/>
        <w:spacing w:line="360" w:lineRule="auto"/>
        <w:outlineLvl w:val="1"/>
        <w:rPr>
          <w:rFonts w:eastAsiaTheme="minorEastAsia"/>
          <w:sz w:val="24"/>
        </w:rPr>
      </w:pPr>
      <w:r>
        <w:rPr>
          <w:rFonts w:eastAsiaTheme="minorEastAsia"/>
          <w:sz w:val="24"/>
        </w:rPr>
        <w:t>7  报价一览表</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17835430">
      <w:pPr>
        <w:spacing w:line="360" w:lineRule="exact"/>
        <w:jc w:val="center"/>
        <w:rPr>
          <w:rFonts w:eastAsiaTheme="minorEastAsia"/>
          <w:b/>
          <w:color w:val="000000"/>
          <w:sz w:val="36"/>
          <w:szCs w:val="36"/>
        </w:rPr>
      </w:pPr>
      <w:bookmarkStart w:id="730" w:name="_Toc265228396"/>
      <w:bookmarkStart w:id="731" w:name="_Toc195842923"/>
      <w:bookmarkStart w:id="732" w:name="_Toc164608672"/>
      <w:bookmarkStart w:id="733" w:name="_Toc264969248"/>
      <w:bookmarkStart w:id="734" w:name="_Toc305158826"/>
      <w:bookmarkStart w:id="735" w:name="_Toc226337254"/>
      <w:bookmarkStart w:id="736" w:name="_Toc164608827"/>
      <w:bookmarkStart w:id="737" w:name="_Toc305158900"/>
      <w:bookmarkStart w:id="738" w:name="_Toc226965831"/>
      <w:bookmarkStart w:id="739" w:name="_Toc226309802"/>
      <w:bookmarkStart w:id="740" w:name="_Toc226965748"/>
      <w:r>
        <w:rPr>
          <w:rFonts w:eastAsiaTheme="minorEastAsia"/>
          <w:b/>
          <w:color w:val="000000"/>
          <w:sz w:val="36"/>
          <w:szCs w:val="36"/>
        </w:rPr>
        <w:t>报价一览表</w:t>
      </w:r>
      <w:bookmarkEnd w:id="730"/>
      <w:bookmarkEnd w:id="731"/>
      <w:bookmarkEnd w:id="732"/>
      <w:bookmarkEnd w:id="733"/>
      <w:bookmarkEnd w:id="734"/>
      <w:bookmarkEnd w:id="735"/>
      <w:bookmarkEnd w:id="736"/>
      <w:bookmarkEnd w:id="737"/>
      <w:bookmarkEnd w:id="738"/>
      <w:bookmarkEnd w:id="739"/>
      <w:bookmarkEnd w:id="740"/>
    </w:p>
    <w:p w14:paraId="03BA3238">
      <w:pPr>
        <w:tabs>
          <w:tab w:val="left" w:pos="1800"/>
          <w:tab w:val="left" w:pos="5580"/>
        </w:tabs>
        <w:spacing w:line="360" w:lineRule="auto"/>
        <w:jc w:val="left"/>
        <w:rPr>
          <w:rFonts w:eastAsiaTheme="minorEastAsia"/>
          <w:color w:val="000000"/>
          <w:sz w:val="24"/>
        </w:rPr>
      </w:pPr>
    </w:p>
    <w:p w14:paraId="108E15FB">
      <w:pPr>
        <w:tabs>
          <w:tab w:val="left" w:pos="1800"/>
          <w:tab w:val="left" w:pos="5580"/>
        </w:tabs>
        <w:spacing w:line="360" w:lineRule="auto"/>
        <w:jc w:val="left"/>
        <w:rPr>
          <w:i/>
          <w:color w:val="FF0000"/>
          <w:sz w:val="24"/>
        </w:rPr>
      </w:pPr>
      <w:r>
        <w:rPr>
          <w:i/>
          <w:color w:val="FF0000"/>
          <w:sz w:val="24"/>
        </w:rPr>
        <w:t>（格式示例：适用于投报总价的项目）</w:t>
      </w:r>
    </w:p>
    <w:p w14:paraId="51B527DF">
      <w:pPr>
        <w:tabs>
          <w:tab w:val="left" w:pos="1800"/>
          <w:tab w:val="left" w:pos="5580"/>
        </w:tabs>
        <w:spacing w:line="360" w:lineRule="auto"/>
        <w:ind w:firstLine="240" w:firstLineChars="10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项目名称：</w:t>
      </w:r>
      <w:r>
        <w:rPr>
          <w:rFonts w:eastAsiaTheme="minorEastAsia"/>
          <w:sz w:val="24"/>
        </w:rPr>
        <w:t>___________</w:t>
      </w:r>
    </w:p>
    <w:tbl>
      <w:tblPr>
        <w:tblStyle w:val="44"/>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3204"/>
        <w:gridCol w:w="2026"/>
        <w:gridCol w:w="2132"/>
      </w:tblGrid>
      <w:tr w14:paraId="360E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14:paraId="11536071">
            <w:pPr>
              <w:tabs>
                <w:tab w:val="left" w:pos="5580"/>
              </w:tabs>
              <w:jc w:val="center"/>
              <w:rPr>
                <w:rFonts w:eastAsiaTheme="minorEastAsia"/>
                <w:b/>
                <w:sz w:val="24"/>
              </w:rPr>
            </w:pPr>
            <w:r>
              <w:rPr>
                <w:rFonts w:eastAsiaTheme="minorEastAsia"/>
                <w:b/>
                <w:sz w:val="24"/>
              </w:rPr>
              <w:t>包号</w:t>
            </w:r>
          </w:p>
        </w:tc>
        <w:tc>
          <w:tcPr>
            <w:tcW w:w="1960" w:type="pct"/>
            <w:vMerge w:val="restart"/>
            <w:tcBorders>
              <w:top w:val="single" w:color="auto" w:sz="4" w:space="0"/>
              <w:left w:val="single" w:color="auto" w:sz="4" w:space="0"/>
              <w:bottom w:val="single" w:color="auto" w:sz="4" w:space="0"/>
              <w:right w:val="single" w:color="auto" w:sz="4" w:space="0"/>
            </w:tcBorders>
            <w:vAlign w:val="center"/>
          </w:tcPr>
          <w:p w14:paraId="3F160BCF">
            <w:pPr>
              <w:tabs>
                <w:tab w:val="left" w:pos="5580"/>
              </w:tabs>
              <w:jc w:val="center"/>
              <w:rPr>
                <w:rFonts w:eastAsiaTheme="minorEastAsia"/>
                <w:b/>
                <w:sz w:val="24"/>
              </w:rPr>
            </w:pPr>
            <w:r>
              <w:rPr>
                <w:rFonts w:eastAsiaTheme="minorEastAsia"/>
                <w:b/>
                <w:sz w:val="24"/>
              </w:rPr>
              <w:t>供应商名称</w:t>
            </w:r>
          </w:p>
        </w:tc>
        <w:tc>
          <w:tcPr>
            <w:tcW w:w="2543" w:type="pct"/>
            <w:gridSpan w:val="2"/>
            <w:tcBorders>
              <w:top w:val="single" w:color="auto" w:sz="4" w:space="0"/>
              <w:left w:val="single" w:color="auto" w:sz="4" w:space="0"/>
              <w:bottom w:val="single" w:color="auto" w:sz="4" w:space="0"/>
              <w:right w:val="single" w:color="auto" w:sz="4" w:space="0"/>
            </w:tcBorders>
            <w:vAlign w:val="center"/>
          </w:tcPr>
          <w:p w14:paraId="416D2D5C">
            <w:pPr>
              <w:tabs>
                <w:tab w:val="left" w:pos="5580"/>
              </w:tabs>
              <w:jc w:val="center"/>
              <w:rPr>
                <w:rFonts w:eastAsiaTheme="minorEastAsia"/>
                <w:b/>
                <w:sz w:val="24"/>
              </w:rPr>
            </w:pPr>
            <w:r>
              <w:rPr>
                <w:rFonts w:eastAsiaTheme="minorEastAsia"/>
                <w:b/>
                <w:sz w:val="24"/>
              </w:rPr>
              <w:t>报价</w:t>
            </w:r>
          </w:p>
        </w:tc>
      </w:tr>
      <w:tr w14:paraId="35B2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552D79B">
            <w:pPr>
              <w:widowControl/>
              <w:jc w:val="left"/>
              <w:rPr>
                <w:rFonts w:eastAsiaTheme="minorEastAsia"/>
                <w:b/>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F260BC8">
            <w:pPr>
              <w:widowControl/>
              <w:jc w:val="left"/>
              <w:rPr>
                <w:rFonts w:eastAsiaTheme="minorEastAsia"/>
                <w:b/>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50F2608F">
            <w:pPr>
              <w:tabs>
                <w:tab w:val="left" w:pos="5580"/>
              </w:tabs>
              <w:jc w:val="center"/>
              <w:rPr>
                <w:rFonts w:eastAsiaTheme="minorEastAsia"/>
                <w:b/>
                <w:sz w:val="24"/>
              </w:rPr>
            </w:pPr>
            <w:r>
              <w:rPr>
                <w:rFonts w:eastAsiaTheme="minorEastAsia"/>
                <w:b/>
                <w:sz w:val="24"/>
              </w:rPr>
              <w:t>大写</w:t>
            </w:r>
          </w:p>
        </w:tc>
        <w:tc>
          <w:tcPr>
            <w:tcW w:w="1304" w:type="pct"/>
            <w:tcBorders>
              <w:top w:val="single" w:color="auto" w:sz="4" w:space="0"/>
              <w:left w:val="single" w:color="auto" w:sz="4" w:space="0"/>
              <w:bottom w:val="single" w:color="auto" w:sz="4" w:space="0"/>
              <w:right w:val="single" w:color="auto" w:sz="4" w:space="0"/>
            </w:tcBorders>
            <w:vAlign w:val="center"/>
          </w:tcPr>
          <w:p w14:paraId="7AAC55A2">
            <w:pPr>
              <w:tabs>
                <w:tab w:val="left" w:pos="5580"/>
              </w:tabs>
              <w:jc w:val="center"/>
              <w:rPr>
                <w:rFonts w:eastAsiaTheme="minorEastAsia"/>
                <w:b/>
                <w:sz w:val="24"/>
              </w:rPr>
            </w:pPr>
            <w:r>
              <w:rPr>
                <w:rFonts w:eastAsiaTheme="minorEastAsia"/>
                <w:b/>
                <w:sz w:val="24"/>
              </w:rPr>
              <w:t>小写</w:t>
            </w:r>
          </w:p>
        </w:tc>
      </w:tr>
      <w:tr w14:paraId="4DF9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vAlign w:val="center"/>
          </w:tcPr>
          <w:p w14:paraId="2B12D40C">
            <w:pPr>
              <w:tabs>
                <w:tab w:val="left" w:pos="5580"/>
              </w:tabs>
              <w:jc w:val="center"/>
              <w:rPr>
                <w:rFonts w:eastAsiaTheme="minorEastAsia"/>
                <w:sz w:val="24"/>
              </w:rPr>
            </w:pPr>
          </w:p>
        </w:tc>
        <w:tc>
          <w:tcPr>
            <w:tcW w:w="1960" w:type="pct"/>
            <w:tcBorders>
              <w:top w:val="single" w:color="auto" w:sz="4" w:space="0"/>
              <w:left w:val="single" w:color="auto" w:sz="4" w:space="0"/>
              <w:bottom w:val="single" w:color="auto" w:sz="4" w:space="0"/>
              <w:right w:val="single" w:color="auto" w:sz="4" w:space="0"/>
            </w:tcBorders>
            <w:vAlign w:val="center"/>
          </w:tcPr>
          <w:p w14:paraId="4241A247">
            <w:pPr>
              <w:tabs>
                <w:tab w:val="left" w:pos="5580"/>
              </w:tabs>
              <w:jc w:val="center"/>
              <w:rPr>
                <w:rFonts w:eastAsiaTheme="minorEastAsia"/>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46C17C70">
            <w:pPr>
              <w:tabs>
                <w:tab w:val="left" w:pos="5580"/>
              </w:tabs>
              <w:jc w:val="center"/>
              <w:rPr>
                <w:rFonts w:eastAsiaTheme="minorEastAsia"/>
                <w:sz w:val="24"/>
              </w:rPr>
            </w:pPr>
          </w:p>
        </w:tc>
        <w:tc>
          <w:tcPr>
            <w:tcW w:w="1304" w:type="pct"/>
            <w:tcBorders>
              <w:top w:val="single" w:color="auto" w:sz="4" w:space="0"/>
              <w:left w:val="single" w:color="auto" w:sz="4" w:space="0"/>
              <w:bottom w:val="single" w:color="auto" w:sz="4" w:space="0"/>
              <w:right w:val="single" w:color="auto" w:sz="4" w:space="0"/>
            </w:tcBorders>
            <w:vAlign w:val="center"/>
          </w:tcPr>
          <w:p w14:paraId="531BAC2F">
            <w:pPr>
              <w:tabs>
                <w:tab w:val="left" w:pos="5580"/>
              </w:tabs>
              <w:jc w:val="center"/>
              <w:rPr>
                <w:rFonts w:eastAsiaTheme="minorEastAsia"/>
                <w:sz w:val="24"/>
              </w:rPr>
            </w:pPr>
          </w:p>
        </w:tc>
      </w:tr>
    </w:tbl>
    <w:p w14:paraId="53B15A65">
      <w:pPr>
        <w:autoSpaceDE w:val="0"/>
        <w:autoSpaceDN w:val="0"/>
        <w:adjustRightInd w:val="0"/>
        <w:jc w:val="left"/>
        <w:rPr>
          <w:rFonts w:eastAsiaTheme="minorEastAsia"/>
          <w:color w:val="000000"/>
          <w:kern w:val="0"/>
          <w:sz w:val="24"/>
        </w:rPr>
      </w:pPr>
    </w:p>
    <w:p w14:paraId="24774516">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.此表中，每包的报价应和《分项报价表》中的总价相一致。</w:t>
      </w:r>
    </w:p>
    <w:p w14:paraId="6768D624">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14:paraId="383C2AB1">
      <w:pPr>
        <w:tabs>
          <w:tab w:val="left" w:pos="5580"/>
        </w:tabs>
        <w:ind w:firstLine="480" w:firstLineChars="200"/>
        <w:rPr>
          <w:rFonts w:eastAsiaTheme="minorEastAsia"/>
          <w:color w:val="000000"/>
          <w:sz w:val="24"/>
          <w:szCs w:val="20"/>
        </w:rPr>
      </w:pPr>
    </w:p>
    <w:p w14:paraId="2FDD89B8">
      <w:pPr>
        <w:autoSpaceDE w:val="0"/>
        <w:autoSpaceDN w:val="0"/>
        <w:adjustRightInd w:val="0"/>
        <w:snapToGrid w:val="0"/>
        <w:spacing w:before="25" w:after="25" w:line="360" w:lineRule="auto"/>
        <w:rPr>
          <w:rFonts w:eastAsiaTheme="minorEastAsia"/>
          <w:color w:val="000000"/>
          <w:sz w:val="24"/>
          <w:lang w:val="zh-CN"/>
        </w:rPr>
      </w:pPr>
    </w:p>
    <w:p w14:paraId="54CF7311">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14:paraId="44ABE7FF">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14:paraId="28C5387D">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32C51125">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14:paraId="2CCE8D71">
      <w:pPr>
        <w:tabs>
          <w:tab w:val="left" w:pos="360"/>
        </w:tabs>
        <w:snapToGrid w:val="0"/>
        <w:spacing w:line="360" w:lineRule="auto"/>
        <w:outlineLvl w:val="1"/>
        <w:rPr>
          <w:rFonts w:eastAsiaTheme="minorEastAsia"/>
          <w:sz w:val="24"/>
        </w:rPr>
        <w:sectPr>
          <w:headerReference r:id="rId34" w:type="first"/>
          <w:footerReference r:id="rId36" w:type="first"/>
          <w:headerReference r:id="rId33" w:type="even"/>
          <w:footerReference r:id="rId35" w:type="even"/>
          <w:pgSz w:w="11907" w:h="16840"/>
          <w:pgMar w:top="1418" w:right="1134" w:bottom="1418" w:left="1701" w:header="851" w:footer="851" w:gutter="0"/>
          <w:cols w:space="720" w:num="1"/>
          <w:docGrid w:linePitch="462" w:charSpace="0"/>
        </w:sectPr>
      </w:pPr>
      <w:bookmarkStart w:id="741" w:name="_Toc142311060"/>
      <w:bookmarkStart w:id="742" w:name="_Toc226965749"/>
      <w:bookmarkStart w:id="743" w:name="_Toc264969249"/>
      <w:bookmarkStart w:id="744" w:name="_Toc305158827"/>
      <w:bookmarkStart w:id="745" w:name="_Toc305158901"/>
      <w:bookmarkStart w:id="746" w:name="_Toc226965832"/>
      <w:bookmarkStart w:id="747" w:name="_Toc150480796"/>
      <w:bookmarkStart w:id="748" w:name="_Toc265228397"/>
      <w:bookmarkStart w:id="749" w:name="_Toc226337255"/>
      <w:bookmarkStart w:id="750" w:name="_Toc195842924"/>
      <w:bookmarkStart w:id="751" w:name="_Toc127151558"/>
      <w:bookmarkStart w:id="752" w:name="_Toc226309803"/>
      <w:bookmarkStart w:id="753" w:name="_Toc150774763"/>
    </w:p>
    <w:p w14:paraId="439F7C92">
      <w:pPr>
        <w:tabs>
          <w:tab w:val="left" w:pos="360"/>
        </w:tabs>
        <w:snapToGrid w:val="0"/>
        <w:spacing w:line="360" w:lineRule="auto"/>
        <w:outlineLvl w:val="1"/>
        <w:rPr>
          <w:rFonts w:eastAsiaTheme="minorEastAsia"/>
          <w:sz w:val="24"/>
        </w:rPr>
      </w:pPr>
      <w:r>
        <w:rPr>
          <w:rFonts w:eastAsiaTheme="minorEastAsia"/>
          <w:sz w:val="24"/>
        </w:rPr>
        <w:t>8  分项报价表</w:t>
      </w:r>
      <w:bookmarkEnd w:id="741"/>
      <w:bookmarkEnd w:id="742"/>
      <w:bookmarkEnd w:id="743"/>
      <w:bookmarkEnd w:id="744"/>
      <w:bookmarkEnd w:id="745"/>
      <w:bookmarkEnd w:id="746"/>
      <w:bookmarkEnd w:id="747"/>
      <w:bookmarkEnd w:id="748"/>
      <w:bookmarkEnd w:id="749"/>
      <w:bookmarkEnd w:id="750"/>
      <w:bookmarkEnd w:id="751"/>
      <w:bookmarkEnd w:id="752"/>
      <w:bookmarkEnd w:id="753"/>
    </w:p>
    <w:p w14:paraId="121E5482">
      <w:pPr>
        <w:spacing w:line="360" w:lineRule="exact"/>
        <w:jc w:val="center"/>
        <w:rPr>
          <w:rFonts w:eastAsiaTheme="minorEastAsia"/>
          <w:b/>
          <w:color w:val="000000"/>
          <w:sz w:val="36"/>
          <w:szCs w:val="36"/>
        </w:rPr>
      </w:pPr>
      <w:r>
        <w:rPr>
          <w:rFonts w:eastAsiaTheme="minorEastAsia"/>
          <w:b/>
          <w:color w:val="000000"/>
          <w:sz w:val="36"/>
          <w:szCs w:val="36"/>
        </w:rPr>
        <w:t>分项报价表</w:t>
      </w:r>
    </w:p>
    <w:p w14:paraId="026B68FC">
      <w:pPr>
        <w:spacing w:line="260" w:lineRule="exact"/>
        <w:jc w:val="center"/>
        <w:rPr>
          <w:rFonts w:eastAsiaTheme="minorEastAsia"/>
          <w:color w:val="000000"/>
          <w:sz w:val="36"/>
          <w:szCs w:val="36"/>
        </w:rPr>
      </w:pPr>
    </w:p>
    <w:p w14:paraId="045244F2">
      <w:pPr>
        <w:adjustRightInd w:val="0"/>
        <w:snapToGrid w:val="0"/>
        <w:spacing w:before="240" w:beforeLines="100" w:after="240" w:afterLines="100"/>
        <w:jc w:val="left"/>
        <w:rPr>
          <w:b/>
          <w:i/>
          <w:color w:val="FF0000"/>
          <w:sz w:val="24"/>
        </w:rPr>
      </w:pPr>
      <w:bookmarkStart w:id="754" w:name="_Hlk217395541"/>
      <w:r>
        <w:rPr>
          <w:rFonts w:hint="eastAsia"/>
          <w:b/>
          <w:i/>
          <w:color w:val="FF0000"/>
          <w:sz w:val="24"/>
        </w:rPr>
        <w:t>（格式示例一，适用于设备采购）</w:t>
      </w:r>
    </w:p>
    <w:p w14:paraId="1BD535BB">
      <w:pPr>
        <w:tabs>
          <w:tab w:val="left" w:pos="1800"/>
          <w:tab w:val="left" w:pos="5580"/>
        </w:tabs>
        <w:rPr>
          <w:color w:val="000000"/>
          <w:sz w:val="24"/>
        </w:rPr>
      </w:pPr>
      <w:r>
        <w:rPr>
          <w:rFonts w:hint="eastAsia"/>
          <w:color w:val="000000"/>
          <w:sz w:val="24"/>
        </w:rPr>
        <w:t>项目编号</w:t>
      </w:r>
      <w:r>
        <w:rPr>
          <w:color w:val="000000"/>
          <w:sz w:val="24"/>
        </w:rPr>
        <w:t>/</w:t>
      </w:r>
      <w:r>
        <w:rPr>
          <w:rFonts w:hint="eastAsia"/>
          <w:color w:val="000000"/>
          <w:sz w:val="24"/>
        </w:rPr>
        <w:t>包号：</w:t>
      </w:r>
      <w:r>
        <w:rPr>
          <w:color w:val="000000"/>
          <w:sz w:val="24"/>
        </w:rPr>
        <w:t xml:space="preserve">________ </w:t>
      </w:r>
      <w:r>
        <w:rPr>
          <w:rFonts w:hint="eastAsia"/>
          <w:color w:val="000000"/>
          <w:sz w:val="24"/>
        </w:rPr>
        <w:t>项目名称：</w:t>
      </w:r>
      <w:r>
        <w:rPr>
          <w:color w:val="000000"/>
          <w:sz w:val="24"/>
        </w:rPr>
        <w:t>__________</w:t>
      </w:r>
      <w:r>
        <w:rPr>
          <w:rFonts w:hint="eastAsia"/>
          <w:color w:val="000000"/>
          <w:sz w:val="24"/>
        </w:rPr>
        <w:t>报价单位：人民币元</w:t>
      </w:r>
    </w:p>
    <w:tbl>
      <w:tblPr>
        <w:tblStyle w:val="44"/>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976"/>
        <w:gridCol w:w="1234"/>
        <w:gridCol w:w="881"/>
        <w:gridCol w:w="1663"/>
        <w:gridCol w:w="1167"/>
        <w:gridCol w:w="1167"/>
        <w:gridCol w:w="1169"/>
        <w:gridCol w:w="1169"/>
        <w:gridCol w:w="1169"/>
        <w:gridCol w:w="959"/>
        <w:gridCol w:w="777"/>
        <w:gridCol w:w="11"/>
        <w:gridCol w:w="956"/>
        <w:gridCol w:w="8"/>
      </w:tblGrid>
      <w:tr w14:paraId="40E9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94" w:hRule="atLeast"/>
          <w:jc w:val="center"/>
        </w:trPr>
        <w:tc>
          <w:tcPr>
            <w:tcW w:w="255" w:type="pct"/>
            <w:tcBorders>
              <w:top w:val="single" w:color="auto" w:sz="4" w:space="0"/>
              <w:left w:val="single" w:color="auto" w:sz="4" w:space="0"/>
              <w:bottom w:val="single" w:color="auto" w:sz="4" w:space="0"/>
              <w:right w:val="single" w:color="auto" w:sz="4" w:space="0"/>
            </w:tcBorders>
            <w:vAlign w:val="center"/>
          </w:tcPr>
          <w:p w14:paraId="1BD8736C">
            <w:pPr>
              <w:adjustRightInd w:val="0"/>
              <w:snapToGrid w:val="0"/>
              <w:jc w:val="center"/>
              <w:rPr>
                <w:b/>
                <w:color w:val="000000"/>
                <w:sz w:val="24"/>
              </w:rPr>
            </w:pPr>
            <w:r>
              <w:rPr>
                <w:rFonts w:hint="eastAsia"/>
                <w:b/>
                <w:color w:val="000000"/>
                <w:sz w:val="24"/>
              </w:rPr>
              <w:t>序号</w:t>
            </w:r>
          </w:p>
        </w:tc>
        <w:tc>
          <w:tcPr>
            <w:tcW w:w="348" w:type="pct"/>
            <w:tcBorders>
              <w:top w:val="single" w:color="auto" w:sz="4" w:space="0"/>
              <w:left w:val="single" w:color="auto" w:sz="4" w:space="0"/>
              <w:bottom w:val="single" w:color="auto" w:sz="4" w:space="0"/>
              <w:right w:val="single" w:color="auto" w:sz="4" w:space="0"/>
            </w:tcBorders>
            <w:vAlign w:val="center"/>
          </w:tcPr>
          <w:p w14:paraId="25254EFD">
            <w:pPr>
              <w:adjustRightInd w:val="0"/>
              <w:snapToGrid w:val="0"/>
              <w:jc w:val="center"/>
              <w:rPr>
                <w:b/>
                <w:color w:val="000000"/>
                <w:sz w:val="24"/>
              </w:rPr>
            </w:pPr>
            <w:r>
              <w:rPr>
                <w:rFonts w:hint="eastAsia"/>
                <w:b/>
                <w:color w:val="000000"/>
                <w:sz w:val="24"/>
              </w:rPr>
              <w:t>分项名称</w:t>
            </w:r>
          </w:p>
        </w:tc>
        <w:tc>
          <w:tcPr>
            <w:tcW w:w="440" w:type="pct"/>
            <w:tcBorders>
              <w:top w:val="single" w:color="auto" w:sz="4" w:space="0"/>
              <w:left w:val="single" w:color="auto" w:sz="4" w:space="0"/>
              <w:bottom w:val="single" w:color="auto" w:sz="4" w:space="0"/>
              <w:right w:val="single" w:color="auto" w:sz="4" w:space="0"/>
            </w:tcBorders>
            <w:vAlign w:val="center"/>
          </w:tcPr>
          <w:p w14:paraId="5DAA261E">
            <w:pPr>
              <w:adjustRightInd w:val="0"/>
              <w:snapToGrid w:val="0"/>
              <w:jc w:val="center"/>
              <w:rPr>
                <w:b/>
                <w:color w:val="000000"/>
                <w:sz w:val="24"/>
              </w:rPr>
            </w:pPr>
            <w:r>
              <w:rPr>
                <w:rFonts w:hint="eastAsia"/>
                <w:b/>
                <w:color w:val="000000"/>
                <w:sz w:val="24"/>
              </w:rPr>
              <w:t>制造商</w:t>
            </w:r>
          </w:p>
        </w:tc>
        <w:tc>
          <w:tcPr>
            <w:tcW w:w="314" w:type="pct"/>
            <w:tcBorders>
              <w:top w:val="single" w:color="auto" w:sz="4" w:space="0"/>
              <w:left w:val="single" w:color="auto" w:sz="4" w:space="0"/>
              <w:bottom w:val="single" w:color="auto" w:sz="4" w:space="0"/>
              <w:right w:val="single" w:color="auto" w:sz="4" w:space="0"/>
            </w:tcBorders>
            <w:vAlign w:val="center"/>
          </w:tcPr>
          <w:p w14:paraId="073AA916">
            <w:pPr>
              <w:adjustRightInd w:val="0"/>
              <w:snapToGrid w:val="0"/>
              <w:jc w:val="center"/>
              <w:rPr>
                <w:b/>
                <w:color w:val="000000"/>
                <w:sz w:val="24"/>
              </w:rPr>
            </w:pPr>
            <w:r>
              <w:rPr>
                <w:rFonts w:hint="eastAsia"/>
                <w:b/>
                <w:color w:val="000000"/>
                <w:sz w:val="24"/>
              </w:rPr>
              <w:t>产地</w:t>
            </w:r>
            <w:r>
              <w:rPr>
                <w:b/>
                <w:color w:val="000000"/>
                <w:sz w:val="24"/>
              </w:rPr>
              <w:t>/</w:t>
            </w:r>
            <w:r>
              <w:rPr>
                <w:rFonts w:hint="eastAsia"/>
                <w:b/>
                <w:color w:val="000000"/>
                <w:sz w:val="24"/>
              </w:rPr>
              <w:t>国别</w:t>
            </w:r>
          </w:p>
        </w:tc>
        <w:tc>
          <w:tcPr>
            <w:tcW w:w="593" w:type="pct"/>
            <w:tcBorders>
              <w:top w:val="single" w:color="auto" w:sz="4" w:space="0"/>
              <w:left w:val="single" w:color="auto" w:sz="4" w:space="0"/>
              <w:bottom w:val="single" w:color="auto" w:sz="4" w:space="0"/>
              <w:right w:val="single" w:color="auto" w:sz="4" w:space="0"/>
            </w:tcBorders>
            <w:vAlign w:val="center"/>
          </w:tcPr>
          <w:p w14:paraId="056E5FCF">
            <w:pPr>
              <w:jc w:val="center"/>
              <w:rPr>
                <w:b/>
                <w:color w:val="000000"/>
                <w:sz w:val="24"/>
              </w:rPr>
            </w:pPr>
            <w:r>
              <w:rPr>
                <w:rFonts w:hint="eastAsia"/>
                <w:b/>
                <w:color w:val="000000"/>
                <w:sz w:val="24"/>
              </w:rPr>
              <w:t>制造商</w:t>
            </w:r>
          </w:p>
          <w:p w14:paraId="78258BF8">
            <w:pPr>
              <w:adjustRightInd w:val="0"/>
              <w:snapToGrid w:val="0"/>
              <w:jc w:val="center"/>
              <w:rPr>
                <w:b/>
                <w:color w:val="000000"/>
                <w:sz w:val="24"/>
              </w:rPr>
            </w:pPr>
            <w:r>
              <w:rPr>
                <w:rFonts w:hint="eastAsia"/>
                <w:b/>
                <w:color w:val="000000"/>
                <w:sz w:val="24"/>
              </w:rPr>
              <w:t>统一社会信用代码</w:t>
            </w:r>
          </w:p>
        </w:tc>
        <w:tc>
          <w:tcPr>
            <w:tcW w:w="416" w:type="pct"/>
            <w:tcBorders>
              <w:top w:val="single" w:color="auto" w:sz="4" w:space="0"/>
              <w:left w:val="single" w:color="auto" w:sz="4" w:space="0"/>
              <w:bottom w:val="single" w:color="auto" w:sz="4" w:space="0"/>
              <w:right w:val="single" w:color="auto" w:sz="4" w:space="0"/>
            </w:tcBorders>
            <w:vAlign w:val="center"/>
          </w:tcPr>
          <w:p w14:paraId="110AB2A8">
            <w:pPr>
              <w:jc w:val="center"/>
              <w:rPr>
                <w:b/>
                <w:color w:val="000000"/>
                <w:sz w:val="24"/>
              </w:rPr>
            </w:pPr>
            <w:r>
              <w:rPr>
                <w:rFonts w:hint="eastAsia"/>
                <w:b/>
                <w:color w:val="000000"/>
                <w:sz w:val="24"/>
              </w:rPr>
              <w:t>制造商</w:t>
            </w:r>
          </w:p>
          <w:p w14:paraId="13B35351">
            <w:pPr>
              <w:adjustRightInd w:val="0"/>
              <w:snapToGrid w:val="0"/>
              <w:jc w:val="center"/>
              <w:rPr>
                <w:b/>
                <w:color w:val="000000"/>
                <w:sz w:val="24"/>
              </w:rPr>
            </w:pPr>
            <w:r>
              <w:rPr>
                <w:rFonts w:hint="eastAsia"/>
                <w:b/>
                <w:color w:val="000000"/>
                <w:sz w:val="24"/>
              </w:rPr>
              <w:t>规模</w:t>
            </w:r>
          </w:p>
        </w:tc>
        <w:tc>
          <w:tcPr>
            <w:tcW w:w="416" w:type="pct"/>
            <w:tcBorders>
              <w:top w:val="single" w:color="auto" w:sz="4" w:space="0"/>
              <w:left w:val="single" w:color="auto" w:sz="4" w:space="0"/>
              <w:bottom w:val="single" w:color="auto" w:sz="4" w:space="0"/>
              <w:right w:val="single" w:color="auto" w:sz="4" w:space="0"/>
            </w:tcBorders>
            <w:vAlign w:val="center"/>
          </w:tcPr>
          <w:p w14:paraId="5A881FE4">
            <w:pPr>
              <w:adjustRightInd w:val="0"/>
              <w:snapToGrid w:val="0"/>
              <w:jc w:val="center"/>
              <w:rPr>
                <w:b/>
                <w:color w:val="000000"/>
                <w:sz w:val="24"/>
              </w:rPr>
            </w:pPr>
            <w:r>
              <w:rPr>
                <w:rFonts w:hint="eastAsia"/>
                <w:b/>
                <w:color w:val="000000"/>
                <w:sz w:val="24"/>
              </w:rPr>
              <w:t>制造商所属性别</w:t>
            </w:r>
          </w:p>
        </w:tc>
        <w:tc>
          <w:tcPr>
            <w:tcW w:w="417" w:type="pct"/>
            <w:tcBorders>
              <w:top w:val="single" w:color="auto" w:sz="4" w:space="0"/>
              <w:left w:val="single" w:color="auto" w:sz="4" w:space="0"/>
              <w:bottom w:val="single" w:color="auto" w:sz="4" w:space="0"/>
              <w:right w:val="single" w:color="auto" w:sz="4" w:space="0"/>
            </w:tcBorders>
            <w:vAlign w:val="center"/>
          </w:tcPr>
          <w:p w14:paraId="6B689BAE">
            <w:pPr>
              <w:adjustRightInd w:val="0"/>
              <w:snapToGrid w:val="0"/>
              <w:jc w:val="center"/>
              <w:rPr>
                <w:b/>
                <w:color w:val="000000"/>
                <w:sz w:val="24"/>
              </w:rPr>
            </w:pPr>
            <w:r>
              <w:rPr>
                <w:rFonts w:hint="eastAsia"/>
                <w:b/>
                <w:color w:val="000000"/>
                <w:sz w:val="24"/>
              </w:rPr>
              <w:t>外商投资类型</w:t>
            </w:r>
          </w:p>
        </w:tc>
        <w:tc>
          <w:tcPr>
            <w:tcW w:w="417" w:type="pct"/>
            <w:tcBorders>
              <w:top w:val="single" w:color="auto" w:sz="4" w:space="0"/>
              <w:left w:val="single" w:color="auto" w:sz="4" w:space="0"/>
              <w:bottom w:val="single" w:color="auto" w:sz="4" w:space="0"/>
              <w:right w:val="single" w:color="auto" w:sz="4" w:space="0"/>
            </w:tcBorders>
            <w:vAlign w:val="center"/>
          </w:tcPr>
          <w:p w14:paraId="79E1A85E">
            <w:pPr>
              <w:adjustRightInd w:val="0"/>
              <w:snapToGrid w:val="0"/>
              <w:jc w:val="center"/>
              <w:rPr>
                <w:b/>
                <w:color w:val="000000"/>
                <w:sz w:val="24"/>
              </w:rPr>
            </w:pPr>
            <w:r>
              <w:rPr>
                <w:rFonts w:hint="eastAsia"/>
                <w:b/>
                <w:color w:val="000000"/>
                <w:sz w:val="24"/>
              </w:rPr>
              <w:t>品牌</w:t>
            </w:r>
          </w:p>
        </w:tc>
        <w:tc>
          <w:tcPr>
            <w:tcW w:w="417" w:type="pct"/>
            <w:tcBorders>
              <w:top w:val="single" w:color="auto" w:sz="4" w:space="0"/>
              <w:left w:val="single" w:color="auto" w:sz="4" w:space="0"/>
              <w:bottom w:val="single" w:color="auto" w:sz="4" w:space="0"/>
              <w:right w:val="single" w:color="auto" w:sz="4" w:space="0"/>
            </w:tcBorders>
            <w:vAlign w:val="center"/>
          </w:tcPr>
          <w:p w14:paraId="1AC16DA1">
            <w:pPr>
              <w:adjustRightInd w:val="0"/>
              <w:snapToGrid w:val="0"/>
              <w:jc w:val="center"/>
              <w:rPr>
                <w:b/>
                <w:color w:val="000000"/>
                <w:sz w:val="24"/>
              </w:rPr>
            </w:pPr>
            <w:r>
              <w:rPr>
                <w:rFonts w:hint="eastAsia"/>
                <w:b/>
                <w:color w:val="000000"/>
                <w:sz w:val="24"/>
              </w:rPr>
              <w:t>规格、型号</w:t>
            </w:r>
          </w:p>
        </w:tc>
        <w:tc>
          <w:tcPr>
            <w:tcW w:w="342" w:type="pct"/>
            <w:tcBorders>
              <w:top w:val="single" w:color="auto" w:sz="4" w:space="0"/>
              <w:left w:val="single" w:color="auto" w:sz="4" w:space="0"/>
              <w:bottom w:val="single" w:color="auto" w:sz="4" w:space="0"/>
              <w:right w:val="single" w:color="auto" w:sz="4" w:space="0"/>
            </w:tcBorders>
            <w:vAlign w:val="center"/>
          </w:tcPr>
          <w:p w14:paraId="67E4C220">
            <w:pPr>
              <w:adjustRightInd w:val="0"/>
              <w:snapToGrid w:val="0"/>
              <w:jc w:val="center"/>
              <w:rPr>
                <w:b/>
                <w:color w:val="000000"/>
                <w:sz w:val="24"/>
              </w:rPr>
            </w:pPr>
            <w:r>
              <w:rPr>
                <w:rFonts w:hint="eastAsia"/>
                <w:b/>
                <w:color w:val="000000"/>
                <w:sz w:val="24"/>
              </w:rPr>
              <w:t>单价（元）</w:t>
            </w:r>
          </w:p>
        </w:tc>
        <w:tc>
          <w:tcPr>
            <w:tcW w:w="277" w:type="pct"/>
            <w:tcBorders>
              <w:top w:val="single" w:color="auto" w:sz="4" w:space="0"/>
              <w:left w:val="single" w:color="auto" w:sz="4" w:space="0"/>
              <w:bottom w:val="single" w:color="auto" w:sz="4" w:space="0"/>
              <w:right w:val="single" w:color="auto" w:sz="4" w:space="0"/>
            </w:tcBorders>
            <w:vAlign w:val="center"/>
          </w:tcPr>
          <w:p w14:paraId="3E69DDA4">
            <w:pPr>
              <w:adjustRightInd w:val="0"/>
              <w:snapToGrid w:val="0"/>
              <w:jc w:val="center"/>
              <w:rPr>
                <w:b/>
                <w:color w:val="000000"/>
                <w:sz w:val="24"/>
              </w:rPr>
            </w:pPr>
            <w:r>
              <w:rPr>
                <w:rFonts w:hint="eastAsia"/>
                <w:b/>
                <w:color w:val="000000"/>
                <w:sz w:val="24"/>
              </w:rPr>
              <w:t>数量</w:t>
            </w:r>
          </w:p>
        </w:tc>
        <w:tc>
          <w:tcPr>
            <w:tcW w:w="345" w:type="pct"/>
            <w:gridSpan w:val="2"/>
            <w:tcBorders>
              <w:top w:val="single" w:color="auto" w:sz="4" w:space="0"/>
              <w:left w:val="single" w:color="auto" w:sz="4" w:space="0"/>
              <w:bottom w:val="single" w:color="auto" w:sz="4" w:space="0"/>
              <w:right w:val="single" w:color="auto" w:sz="4" w:space="0"/>
            </w:tcBorders>
            <w:vAlign w:val="center"/>
          </w:tcPr>
          <w:p w14:paraId="249D06BE">
            <w:pPr>
              <w:adjustRightInd w:val="0"/>
              <w:snapToGrid w:val="0"/>
              <w:jc w:val="center"/>
              <w:rPr>
                <w:b/>
                <w:color w:val="000000"/>
                <w:sz w:val="24"/>
              </w:rPr>
            </w:pPr>
            <w:r>
              <w:rPr>
                <w:rFonts w:hint="eastAsia"/>
                <w:b/>
                <w:color w:val="000000"/>
                <w:sz w:val="24"/>
              </w:rPr>
              <w:t>合价（元）</w:t>
            </w:r>
          </w:p>
        </w:tc>
      </w:tr>
      <w:tr w14:paraId="7B9C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5" w:type="pct"/>
            <w:tcBorders>
              <w:top w:val="single" w:color="auto" w:sz="4" w:space="0"/>
              <w:left w:val="single" w:color="auto" w:sz="4" w:space="0"/>
              <w:bottom w:val="single" w:color="auto" w:sz="4" w:space="0"/>
              <w:right w:val="single" w:color="auto" w:sz="4" w:space="0"/>
            </w:tcBorders>
            <w:vAlign w:val="center"/>
          </w:tcPr>
          <w:p w14:paraId="0EFC0AC8">
            <w:pPr>
              <w:adjustRightInd w:val="0"/>
              <w:snapToGrid w:val="0"/>
              <w:jc w:val="left"/>
              <w:rPr>
                <w:color w:val="000000"/>
                <w:sz w:val="24"/>
              </w:rPr>
            </w:pPr>
            <w:r>
              <w:rPr>
                <w:color w:val="000000"/>
                <w:sz w:val="24"/>
              </w:rPr>
              <w:t>1</w:t>
            </w:r>
          </w:p>
        </w:tc>
        <w:tc>
          <w:tcPr>
            <w:tcW w:w="348" w:type="pct"/>
            <w:tcBorders>
              <w:top w:val="single" w:color="auto" w:sz="4" w:space="0"/>
              <w:left w:val="single" w:color="auto" w:sz="4" w:space="0"/>
              <w:bottom w:val="single" w:color="auto" w:sz="4" w:space="0"/>
              <w:right w:val="single" w:color="auto" w:sz="4" w:space="0"/>
            </w:tcBorders>
            <w:vAlign w:val="center"/>
          </w:tcPr>
          <w:p w14:paraId="112104B5">
            <w:pPr>
              <w:adjustRightInd w:val="0"/>
              <w:snapToGrid w:val="0"/>
              <w:jc w:val="left"/>
              <w:rPr>
                <w:color w:val="000000"/>
                <w:sz w:val="24"/>
              </w:rPr>
            </w:pPr>
          </w:p>
        </w:tc>
        <w:tc>
          <w:tcPr>
            <w:tcW w:w="440" w:type="pct"/>
            <w:tcBorders>
              <w:top w:val="single" w:color="auto" w:sz="4" w:space="0"/>
              <w:left w:val="single" w:color="auto" w:sz="4" w:space="0"/>
              <w:bottom w:val="single" w:color="auto" w:sz="4" w:space="0"/>
              <w:right w:val="single" w:color="auto" w:sz="4" w:space="0"/>
            </w:tcBorders>
            <w:vAlign w:val="center"/>
          </w:tcPr>
          <w:p w14:paraId="0528A8BF">
            <w:pPr>
              <w:adjustRightInd w:val="0"/>
              <w:snapToGrid w:val="0"/>
              <w:jc w:val="left"/>
              <w:rPr>
                <w:color w:val="000000"/>
                <w:sz w:val="24"/>
              </w:rPr>
            </w:pPr>
          </w:p>
        </w:tc>
        <w:tc>
          <w:tcPr>
            <w:tcW w:w="314" w:type="pct"/>
            <w:tcBorders>
              <w:top w:val="single" w:color="auto" w:sz="4" w:space="0"/>
              <w:left w:val="single" w:color="auto" w:sz="4" w:space="0"/>
              <w:bottom w:val="single" w:color="auto" w:sz="4" w:space="0"/>
              <w:right w:val="single" w:color="auto" w:sz="4" w:space="0"/>
            </w:tcBorders>
          </w:tcPr>
          <w:p w14:paraId="51BA9518">
            <w:pPr>
              <w:adjustRightInd w:val="0"/>
              <w:snapToGrid w:val="0"/>
              <w:jc w:val="left"/>
              <w:rPr>
                <w:color w:val="000000"/>
                <w:sz w:val="24"/>
              </w:rPr>
            </w:pPr>
          </w:p>
        </w:tc>
        <w:tc>
          <w:tcPr>
            <w:tcW w:w="593" w:type="pct"/>
            <w:tcBorders>
              <w:top w:val="single" w:color="auto" w:sz="4" w:space="0"/>
              <w:left w:val="single" w:color="auto" w:sz="4" w:space="0"/>
              <w:bottom w:val="single" w:color="auto" w:sz="4" w:space="0"/>
              <w:right w:val="single" w:color="auto" w:sz="4" w:space="0"/>
            </w:tcBorders>
            <w:vAlign w:val="center"/>
          </w:tcPr>
          <w:p w14:paraId="6E56FA7F">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vAlign w:val="center"/>
          </w:tcPr>
          <w:p w14:paraId="3A79865D">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tcPr>
          <w:p w14:paraId="775C4CA7">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tcPr>
          <w:p w14:paraId="5C39B8F0">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30BD74CF">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50F625EA">
            <w:pPr>
              <w:adjustRightInd w:val="0"/>
              <w:snapToGrid w:val="0"/>
              <w:jc w:val="left"/>
              <w:rPr>
                <w:color w:val="000000"/>
                <w:sz w:val="24"/>
              </w:rPr>
            </w:pPr>
          </w:p>
        </w:tc>
        <w:tc>
          <w:tcPr>
            <w:tcW w:w="342" w:type="pct"/>
            <w:tcBorders>
              <w:top w:val="single" w:color="auto" w:sz="4" w:space="0"/>
              <w:left w:val="single" w:color="auto" w:sz="4" w:space="0"/>
              <w:bottom w:val="single" w:color="auto" w:sz="4" w:space="0"/>
              <w:right w:val="single" w:color="auto" w:sz="4" w:space="0"/>
            </w:tcBorders>
            <w:vAlign w:val="center"/>
          </w:tcPr>
          <w:p w14:paraId="5528C477">
            <w:pPr>
              <w:adjustRightInd w:val="0"/>
              <w:snapToGrid w:val="0"/>
              <w:jc w:val="left"/>
              <w:rPr>
                <w:color w:val="000000"/>
                <w:sz w:val="24"/>
              </w:rPr>
            </w:pPr>
          </w:p>
        </w:tc>
        <w:tc>
          <w:tcPr>
            <w:tcW w:w="277" w:type="pct"/>
            <w:tcBorders>
              <w:top w:val="single" w:color="auto" w:sz="4" w:space="0"/>
              <w:left w:val="single" w:color="auto" w:sz="4" w:space="0"/>
              <w:bottom w:val="single" w:color="auto" w:sz="4" w:space="0"/>
              <w:right w:val="single" w:color="auto" w:sz="4" w:space="0"/>
            </w:tcBorders>
            <w:vAlign w:val="center"/>
          </w:tcPr>
          <w:p w14:paraId="302CAFE1">
            <w:pPr>
              <w:adjustRightInd w:val="0"/>
              <w:snapToGrid w:val="0"/>
              <w:jc w:val="left"/>
              <w:rPr>
                <w:color w:val="000000"/>
                <w:sz w:val="24"/>
              </w:rPr>
            </w:pPr>
          </w:p>
        </w:tc>
        <w:tc>
          <w:tcPr>
            <w:tcW w:w="345" w:type="pct"/>
            <w:gridSpan w:val="2"/>
            <w:tcBorders>
              <w:top w:val="single" w:color="auto" w:sz="4" w:space="0"/>
              <w:left w:val="single" w:color="auto" w:sz="4" w:space="0"/>
              <w:bottom w:val="single" w:color="auto" w:sz="4" w:space="0"/>
              <w:right w:val="single" w:color="auto" w:sz="4" w:space="0"/>
            </w:tcBorders>
            <w:vAlign w:val="center"/>
          </w:tcPr>
          <w:p w14:paraId="2F3F0F37">
            <w:pPr>
              <w:adjustRightInd w:val="0"/>
              <w:snapToGrid w:val="0"/>
              <w:jc w:val="left"/>
              <w:rPr>
                <w:color w:val="000000"/>
                <w:sz w:val="24"/>
              </w:rPr>
            </w:pPr>
          </w:p>
        </w:tc>
      </w:tr>
      <w:tr w14:paraId="6B2C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5" w:type="pct"/>
            <w:tcBorders>
              <w:top w:val="single" w:color="auto" w:sz="4" w:space="0"/>
              <w:left w:val="single" w:color="auto" w:sz="4" w:space="0"/>
              <w:bottom w:val="single" w:color="auto" w:sz="4" w:space="0"/>
              <w:right w:val="single" w:color="auto" w:sz="4" w:space="0"/>
            </w:tcBorders>
            <w:vAlign w:val="center"/>
          </w:tcPr>
          <w:p w14:paraId="4F06C40B">
            <w:pPr>
              <w:adjustRightInd w:val="0"/>
              <w:snapToGrid w:val="0"/>
              <w:jc w:val="left"/>
              <w:rPr>
                <w:color w:val="000000"/>
                <w:sz w:val="24"/>
              </w:rPr>
            </w:pPr>
            <w:r>
              <w:rPr>
                <w:color w:val="000000"/>
                <w:sz w:val="24"/>
              </w:rPr>
              <w:t>2</w:t>
            </w:r>
          </w:p>
        </w:tc>
        <w:tc>
          <w:tcPr>
            <w:tcW w:w="348" w:type="pct"/>
            <w:tcBorders>
              <w:top w:val="single" w:color="auto" w:sz="4" w:space="0"/>
              <w:left w:val="single" w:color="auto" w:sz="4" w:space="0"/>
              <w:bottom w:val="single" w:color="auto" w:sz="4" w:space="0"/>
              <w:right w:val="single" w:color="auto" w:sz="4" w:space="0"/>
            </w:tcBorders>
            <w:vAlign w:val="center"/>
          </w:tcPr>
          <w:p w14:paraId="61E6A305">
            <w:pPr>
              <w:adjustRightInd w:val="0"/>
              <w:snapToGrid w:val="0"/>
              <w:jc w:val="left"/>
              <w:rPr>
                <w:color w:val="000000"/>
                <w:sz w:val="24"/>
              </w:rPr>
            </w:pPr>
          </w:p>
        </w:tc>
        <w:tc>
          <w:tcPr>
            <w:tcW w:w="440" w:type="pct"/>
            <w:tcBorders>
              <w:top w:val="single" w:color="auto" w:sz="4" w:space="0"/>
              <w:left w:val="single" w:color="auto" w:sz="4" w:space="0"/>
              <w:bottom w:val="single" w:color="auto" w:sz="4" w:space="0"/>
              <w:right w:val="single" w:color="auto" w:sz="4" w:space="0"/>
            </w:tcBorders>
            <w:vAlign w:val="center"/>
          </w:tcPr>
          <w:p w14:paraId="41368853">
            <w:pPr>
              <w:adjustRightInd w:val="0"/>
              <w:snapToGrid w:val="0"/>
              <w:jc w:val="left"/>
              <w:rPr>
                <w:color w:val="000000"/>
                <w:sz w:val="24"/>
              </w:rPr>
            </w:pPr>
          </w:p>
        </w:tc>
        <w:tc>
          <w:tcPr>
            <w:tcW w:w="314" w:type="pct"/>
            <w:tcBorders>
              <w:top w:val="single" w:color="auto" w:sz="4" w:space="0"/>
              <w:left w:val="single" w:color="auto" w:sz="4" w:space="0"/>
              <w:bottom w:val="single" w:color="auto" w:sz="4" w:space="0"/>
              <w:right w:val="single" w:color="auto" w:sz="4" w:space="0"/>
            </w:tcBorders>
          </w:tcPr>
          <w:p w14:paraId="2336DBE5">
            <w:pPr>
              <w:adjustRightInd w:val="0"/>
              <w:snapToGrid w:val="0"/>
              <w:jc w:val="left"/>
              <w:rPr>
                <w:color w:val="000000"/>
                <w:sz w:val="24"/>
              </w:rPr>
            </w:pPr>
          </w:p>
        </w:tc>
        <w:tc>
          <w:tcPr>
            <w:tcW w:w="593" w:type="pct"/>
            <w:tcBorders>
              <w:top w:val="single" w:color="auto" w:sz="4" w:space="0"/>
              <w:left w:val="single" w:color="auto" w:sz="4" w:space="0"/>
              <w:bottom w:val="single" w:color="auto" w:sz="4" w:space="0"/>
              <w:right w:val="single" w:color="auto" w:sz="4" w:space="0"/>
            </w:tcBorders>
            <w:vAlign w:val="center"/>
          </w:tcPr>
          <w:p w14:paraId="0D2A2E8C">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vAlign w:val="center"/>
          </w:tcPr>
          <w:p w14:paraId="6CFF47E4">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tcPr>
          <w:p w14:paraId="6D46E01A">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tcPr>
          <w:p w14:paraId="1DF9F6C1">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46E203CD">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44A58D5C">
            <w:pPr>
              <w:adjustRightInd w:val="0"/>
              <w:snapToGrid w:val="0"/>
              <w:jc w:val="left"/>
              <w:rPr>
                <w:color w:val="000000"/>
                <w:sz w:val="24"/>
              </w:rPr>
            </w:pPr>
          </w:p>
        </w:tc>
        <w:tc>
          <w:tcPr>
            <w:tcW w:w="342" w:type="pct"/>
            <w:tcBorders>
              <w:top w:val="single" w:color="auto" w:sz="4" w:space="0"/>
              <w:left w:val="single" w:color="auto" w:sz="4" w:space="0"/>
              <w:bottom w:val="single" w:color="auto" w:sz="4" w:space="0"/>
              <w:right w:val="single" w:color="auto" w:sz="4" w:space="0"/>
            </w:tcBorders>
            <w:vAlign w:val="center"/>
          </w:tcPr>
          <w:p w14:paraId="13A86EFD">
            <w:pPr>
              <w:adjustRightInd w:val="0"/>
              <w:snapToGrid w:val="0"/>
              <w:jc w:val="left"/>
              <w:rPr>
                <w:color w:val="000000"/>
                <w:sz w:val="24"/>
              </w:rPr>
            </w:pPr>
          </w:p>
        </w:tc>
        <w:tc>
          <w:tcPr>
            <w:tcW w:w="277" w:type="pct"/>
            <w:tcBorders>
              <w:top w:val="single" w:color="auto" w:sz="4" w:space="0"/>
              <w:left w:val="single" w:color="auto" w:sz="4" w:space="0"/>
              <w:bottom w:val="single" w:color="auto" w:sz="4" w:space="0"/>
              <w:right w:val="single" w:color="auto" w:sz="4" w:space="0"/>
            </w:tcBorders>
            <w:vAlign w:val="center"/>
          </w:tcPr>
          <w:p w14:paraId="2B9BB95A">
            <w:pPr>
              <w:adjustRightInd w:val="0"/>
              <w:snapToGrid w:val="0"/>
              <w:jc w:val="left"/>
              <w:rPr>
                <w:color w:val="000000"/>
                <w:sz w:val="24"/>
              </w:rPr>
            </w:pPr>
          </w:p>
        </w:tc>
        <w:tc>
          <w:tcPr>
            <w:tcW w:w="345" w:type="pct"/>
            <w:gridSpan w:val="2"/>
            <w:tcBorders>
              <w:top w:val="single" w:color="auto" w:sz="4" w:space="0"/>
              <w:left w:val="single" w:color="auto" w:sz="4" w:space="0"/>
              <w:bottom w:val="single" w:color="auto" w:sz="4" w:space="0"/>
              <w:right w:val="single" w:color="auto" w:sz="4" w:space="0"/>
            </w:tcBorders>
            <w:vAlign w:val="center"/>
          </w:tcPr>
          <w:p w14:paraId="7D42D63D">
            <w:pPr>
              <w:adjustRightInd w:val="0"/>
              <w:snapToGrid w:val="0"/>
              <w:jc w:val="left"/>
              <w:rPr>
                <w:color w:val="000000"/>
                <w:sz w:val="24"/>
              </w:rPr>
            </w:pPr>
          </w:p>
        </w:tc>
      </w:tr>
      <w:tr w14:paraId="4501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5" w:type="pct"/>
            <w:tcBorders>
              <w:top w:val="single" w:color="auto" w:sz="4" w:space="0"/>
              <w:left w:val="single" w:color="auto" w:sz="4" w:space="0"/>
              <w:bottom w:val="single" w:color="auto" w:sz="4" w:space="0"/>
              <w:right w:val="single" w:color="auto" w:sz="4" w:space="0"/>
            </w:tcBorders>
            <w:vAlign w:val="center"/>
          </w:tcPr>
          <w:p w14:paraId="2750C2DE">
            <w:pPr>
              <w:adjustRightInd w:val="0"/>
              <w:snapToGrid w:val="0"/>
              <w:jc w:val="left"/>
              <w:rPr>
                <w:color w:val="000000"/>
                <w:sz w:val="24"/>
              </w:rPr>
            </w:pPr>
            <w:r>
              <w:rPr>
                <w:color w:val="000000"/>
                <w:sz w:val="24"/>
              </w:rPr>
              <w:t>3</w:t>
            </w:r>
          </w:p>
        </w:tc>
        <w:tc>
          <w:tcPr>
            <w:tcW w:w="348" w:type="pct"/>
            <w:tcBorders>
              <w:top w:val="single" w:color="auto" w:sz="4" w:space="0"/>
              <w:left w:val="single" w:color="auto" w:sz="4" w:space="0"/>
              <w:bottom w:val="single" w:color="auto" w:sz="4" w:space="0"/>
              <w:right w:val="single" w:color="auto" w:sz="4" w:space="0"/>
            </w:tcBorders>
            <w:vAlign w:val="center"/>
          </w:tcPr>
          <w:p w14:paraId="05C0CCCF">
            <w:pPr>
              <w:adjustRightInd w:val="0"/>
              <w:snapToGrid w:val="0"/>
              <w:jc w:val="left"/>
              <w:rPr>
                <w:color w:val="000000"/>
                <w:sz w:val="24"/>
              </w:rPr>
            </w:pPr>
          </w:p>
        </w:tc>
        <w:tc>
          <w:tcPr>
            <w:tcW w:w="440" w:type="pct"/>
            <w:tcBorders>
              <w:top w:val="single" w:color="auto" w:sz="4" w:space="0"/>
              <w:left w:val="single" w:color="auto" w:sz="4" w:space="0"/>
              <w:bottom w:val="single" w:color="auto" w:sz="4" w:space="0"/>
              <w:right w:val="single" w:color="auto" w:sz="4" w:space="0"/>
            </w:tcBorders>
            <w:vAlign w:val="center"/>
          </w:tcPr>
          <w:p w14:paraId="5A34CEFA">
            <w:pPr>
              <w:adjustRightInd w:val="0"/>
              <w:snapToGrid w:val="0"/>
              <w:jc w:val="left"/>
              <w:rPr>
                <w:color w:val="000000"/>
                <w:sz w:val="24"/>
              </w:rPr>
            </w:pPr>
          </w:p>
        </w:tc>
        <w:tc>
          <w:tcPr>
            <w:tcW w:w="314" w:type="pct"/>
            <w:tcBorders>
              <w:top w:val="single" w:color="auto" w:sz="4" w:space="0"/>
              <w:left w:val="single" w:color="auto" w:sz="4" w:space="0"/>
              <w:bottom w:val="single" w:color="auto" w:sz="4" w:space="0"/>
              <w:right w:val="single" w:color="auto" w:sz="4" w:space="0"/>
            </w:tcBorders>
          </w:tcPr>
          <w:p w14:paraId="5F0E4072">
            <w:pPr>
              <w:adjustRightInd w:val="0"/>
              <w:snapToGrid w:val="0"/>
              <w:jc w:val="left"/>
              <w:rPr>
                <w:color w:val="000000"/>
                <w:sz w:val="24"/>
              </w:rPr>
            </w:pPr>
          </w:p>
        </w:tc>
        <w:tc>
          <w:tcPr>
            <w:tcW w:w="593" w:type="pct"/>
            <w:tcBorders>
              <w:top w:val="single" w:color="auto" w:sz="4" w:space="0"/>
              <w:left w:val="single" w:color="auto" w:sz="4" w:space="0"/>
              <w:bottom w:val="single" w:color="auto" w:sz="4" w:space="0"/>
              <w:right w:val="single" w:color="auto" w:sz="4" w:space="0"/>
            </w:tcBorders>
            <w:vAlign w:val="center"/>
          </w:tcPr>
          <w:p w14:paraId="18FCA034">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vAlign w:val="center"/>
          </w:tcPr>
          <w:p w14:paraId="6816D045">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tcPr>
          <w:p w14:paraId="3F47A5EA">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tcPr>
          <w:p w14:paraId="29EDA6E3">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3921F8B3">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60579804">
            <w:pPr>
              <w:adjustRightInd w:val="0"/>
              <w:snapToGrid w:val="0"/>
              <w:jc w:val="left"/>
              <w:rPr>
                <w:color w:val="000000"/>
                <w:sz w:val="24"/>
              </w:rPr>
            </w:pPr>
          </w:p>
        </w:tc>
        <w:tc>
          <w:tcPr>
            <w:tcW w:w="342" w:type="pct"/>
            <w:tcBorders>
              <w:top w:val="single" w:color="auto" w:sz="4" w:space="0"/>
              <w:left w:val="single" w:color="auto" w:sz="4" w:space="0"/>
              <w:bottom w:val="single" w:color="auto" w:sz="4" w:space="0"/>
              <w:right w:val="single" w:color="auto" w:sz="4" w:space="0"/>
            </w:tcBorders>
            <w:vAlign w:val="center"/>
          </w:tcPr>
          <w:p w14:paraId="63952CA7">
            <w:pPr>
              <w:adjustRightInd w:val="0"/>
              <w:snapToGrid w:val="0"/>
              <w:jc w:val="left"/>
              <w:rPr>
                <w:color w:val="000000"/>
                <w:sz w:val="24"/>
              </w:rPr>
            </w:pPr>
          </w:p>
        </w:tc>
        <w:tc>
          <w:tcPr>
            <w:tcW w:w="277" w:type="pct"/>
            <w:tcBorders>
              <w:top w:val="single" w:color="auto" w:sz="4" w:space="0"/>
              <w:left w:val="single" w:color="auto" w:sz="4" w:space="0"/>
              <w:bottom w:val="single" w:color="auto" w:sz="4" w:space="0"/>
              <w:right w:val="single" w:color="auto" w:sz="4" w:space="0"/>
            </w:tcBorders>
            <w:vAlign w:val="center"/>
          </w:tcPr>
          <w:p w14:paraId="6CB2BDB4">
            <w:pPr>
              <w:adjustRightInd w:val="0"/>
              <w:snapToGrid w:val="0"/>
              <w:jc w:val="left"/>
              <w:rPr>
                <w:color w:val="000000"/>
                <w:sz w:val="24"/>
              </w:rPr>
            </w:pPr>
          </w:p>
        </w:tc>
        <w:tc>
          <w:tcPr>
            <w:tcW w:w="345" w:type="pct"/>
            <w:gridSpan w:val="2"/>
            <w:tcBorders>
              <w:top w:val="single" w:color="auto" w:sz="4" w:space="0"/>
              <w:left w:val="single" w:color="auto" w:sz="4" w:space="0"/>
              <w:bottom w:val="single" w:color="auto" w:sz="4" w:space="0"/>
              <w:right w:val="single" w:color="auto" w:sz="4" w:space="0"/>
            </w:tcBorders>
            <w:vAlign w:val="center"/>
          </w:tcPr>
          <w:p w14:paraId="196D0E83">
            <w:pPr>
              <w:adjustRightInd w:val="0"/>
              <w:snapToGrid w:val="0"/>
              <w:jc w:val="left"/>
              <w:rPr>
                <w:color w:val="000000"/>
                <w:sz w:val="24"/>
              </w:rPr>
            </w:pPr>
          </w:p>
        </w:tc>
      </w:tr>
      <w:tr w14:paraId="119C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5" w:type="pct"/>
            <w:tcBorders>
              <w:top w:val="single" w:color="auto" w:sz="4" w:space="0"/>
              <w:left w:val="single" w:color="auto" w:sz="4" w:space="0"/>
              <w:bottom w:val="single" w:color="auto" w:sz="4" w:space="0"/>
              <w:right w:val="single" w:color="auto" w:sz="4" w:space="0"/>
            </w:tcBorders>
            <w:vAlign w:val="center"/>
          </w:tcPr>
          <w:p w14:paraId="36D753A3">
            <w:pPr>
              <w:adjustRightInd w:val="0"/>
              <w:snapToGrid w:val="0"/>
              <w:jc w:val="left"/>
              <w:rPr>
                <w:color w:val="000000"/>
                <w:sz w:val="24"/>
              </w:rPr>
            </w:pPr>
            <w:r>
              <w:rPr>
                <w:color w:val="000000"/>
                <w:sz w:val="24"/>
              </w:rPr>
              <w:t>4</w:t>
            </w:r>
          </w:p>
        </w:tc>
        <w:tc>
          <w:tcPr>
            <w:tcW w:w="348" w:type="pct"/>
            <w:tcBorders>
              <w:top w:val="single" w:color="auto" w:sz="4" w:space="0"/>
              <w:left w:val="single" w:color="auto" w:sz="4" w:space="0"/>
              <w:bottom w:val="single" w:color="auto" w:sz="4" w:space="0"/>
              <w:right w:val="single" w:color="auto" w:sz="4" w:space="0"/>
            </w:tcBorders>
            <w:vAlign w:val="center"/>
          </w:tcPr>
          <w:p w14:paraId="55468AF1">
            <w:pPr>
              <w:adjustRightInd w:val="0"/>
              <w:snapToGrid w:val="0"/>
              <w:jc w:val="left"/>
              <w:rPr>
                <w:color w:val="000000"/>
                <w:sz w:val="24"/>
              </w:rPr>
            </w:pPr>
          </w:p>
        </w:tc>
        <w:tc>
          <w:tcPr>
            <w:tcW w:w="440" w:type="pct"/>
            <w:tcBorders>
              <w:top w:val="single" w:color="auto" w:sz="4" w:space="0"/>
              <w:left w:val="single" w:color="auto" w:sz="4" w:space="0"/>
              <w:bottom w:val="single" w:color="auto" w:sz="4" w:space="0"/>
              <w:right w:val="single" w:color="auto" w:sz="4" w:space="0"/>
            </w:tcBorders>
            <w:vAlign w:val="center"/>
          </w:tcPr>
          <w:p w14:paraId="63FD1619">
            <w:pPr>
              <w:adjustRightInd w:val="0"/>
              <w:snapToGrid w:val="0"/>
              <w:jc w:val="left"/>
              <w:rPr>
                <w:color w:val="000000"/>
                <w:sz w:val="24"/>
              </w:rPr>
            </w:pPr>
          </w:p>
        </w:tc>
        <w:tc>
          <w:tcPr>
            <w:tcW w:w="314" w:type="pct"/>
            <w:tcBorders>
              <w:top w:val="single" w:color="auto" w:sz="4" w:space="0"/>
              <w:left w:val="single" w:color="auto" w:sz="4" w:space="0"/>
              <w:bottom w:val="single" w:color="auto" w:sz="4" w:space="0"/>
              <w:right w:val="single" w:color="auto" w:sz="4" w:space="0"/>
            </w:tcBorders>
          </w:tcPr>
          <w:p w14:paraId="60BDBE1D">
            <w:pPr>
              <w:adjustRightInd w:val="0"/>
              <w:snapToGrid w:val="0"/>
              <w:jc w:val="left"/>
              <w:rPr>
                <w:color w:val="000000"/>
                <w:sz w:val="24"/>
              </w:rPr>
            </w:pPr>
          </w:p>
        </w:tc>
        <w:tc>
          <w:tcPr>
            <w:tcW w:w="593" w:type="pct"/>
            <w:tcBorders>
              <w:top w:val="single" w:color="auto" w:sz="4" w:space="0"/>
              <w:left w:val="single" w:color="auto" w:sz="4" w:space="0"/>
              <w:bottom w:val="single" w:color="auto" w:sz="4" w:space="0"/>
              <w:right w:val="single" w:color="auto" w:sz="4" w:space="0"/>
            </w:tcBorders>
            <w:vAlign w:val="center"/>
          </w:tcPr>
          <w:p w14:paraId="79E4D5F8">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vAlign w:val="center"/>
          </w:tcPr>
          <w:p w14:paraId="5EA9B45E">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tcPr>
          <w:p w14:paraId="4A8A0BE4">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tcPr>
          <w:p w14:paraId="468A5614">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671D372E">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5B7BB9A0">
            <w:pPr>
              <w:adjustRightInd w:val="0"/>
              <w:snapToGrid w:val="0"/>
              <w:jc w:val="left"/>
              <w:rPr>
                <w:color w:val="000000"/>
                <w:sz w:val="24"/>
              </w:rPr>
            </w:pPr>
          </w:p>
        </w:tc>
        <w:tc>
          <w:tcPr>
            <w:tcW w:w="342" w:type="pct"/>
            <w:tcBorders>
              <w:top w:val="single" w:color="auto" w:sz="4" w:space="0"/>
              <w:left w:val="single" w:color="auto" w:sz="4" w:space="0"/>
              <w:bottom w:val="single" w:color="auto" w:sz="4" w:space="0"/>
              <w:right w:val="single" w:color="auto" w:sz="4" w:space="0"/>
            </w:tcBorders>
            <w:vAlign w:val="center"/>
          </w:tcPr>
          <w:p w14:paraId="49729BC8">
            <w:pPr>
              <w:adjustRightInd w:val="0"/>
              <w:snapToGrid w:val="0"/>
              <w:jc w:val="left"/>
              <w:rPr>
                <w:color w:val="000000"/>
                <w:sz w:val="24"/>
              </w:rPr>
            </w:pPr>
          </w:p>
        </w:tc>
        <w:tc>
          <w:tcPr>
            <w:tcW w:w="277" w:type="pct"/>
            <w:tcBorders>
              <w:top w:val="single" w:color="auto" w:sz="4" w:space="0"/>
              <w:left w:val="single" w:color="auto" w:sz="4" w:space="0"/>
              <w:bottom w:val="single" w:color="auto" w:sz="4" w:space="0"/>
              <w:right w:val="single" w:color="auto" w:sz="4" w:space="0"/>
            </w:tcBorders>
            <w:vAlign w:val="center"/>
          </w:tcPr>
          <w:p w14:paraId="72356657">
            <w:pPr>
              <w:adjustRightInd w:val="0"/>
              <w:snapToGrid w:val="0"/>
              <w:jc w:val="left"/>
              <w:rPr>
                <w:color w:val="000000"/>
                <w:sz w:val="24"/>
              </w:rPr>
            </w:pPr>
          </w:p>
        </w:tc>
        <w:tc>
          <w:tcPr>
            <w:tcW w:w="345" w:type="pct"/>
            <w:gridSpan w:val="2"/>
            <w:tcBorders>
              <w:top w:val="single" w:color="auto" w:sz="4" w:space="0"/>
              <w:left w:val="single" w:color="auto" w:sz="4" w:space="0"/>
              <w:bottom w:val="single" w:color="auto" w:sz="4" w:space="0"/>
              <w:right w:val="single" w:color="auto" w:sz="4" w:space="0"/>
            </w:tcBorders>
            <w:vAlign w:val="center"/>
          </w:tcPr>
          <w:p w14:paraId="08D6256E">
            <w:pPr>
              <w:adjustRightInd w:val="0"/>
              <w:snapToGrid w:val="0"/>
              <w:jc w:val="left"/>
              <w:rPr>
                <w:color w:val="000000"/>
                <w:sz w:val="24"/>
              </w:rPr>
            </w:pPr>
          </w:p>
        </w:tc>
      </w:tr>
      <w:tr w14:paraId="0B2F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5" w:type="pct"/>
            <w:tcBorders>
              <w:top w:val="single" w:color="auto" w:sz="4" w:space="0"/>
              <w:left w:val="single" w:color="auto" w:sz="4" w:space="0"/>
              <w:bottom w:val="single" w:color="auto" w:sz="4" w:space="0"/>
              <w:right w:val="single" w:color="auto" w:sz="4" w:space="0"/>
            </w:tcBorders>
            <w:vAlign w:val="center"/>
          </w:tcPr>
          <w:p w14:paraId="1086DB5E">
            <w:pPr>
              <w:adjustRightInd w:val="0"/>
              <w:snapToGrid w:val="0"/>
              <w:jc w:val="left"/>
              <w:rPr>
                <w:color w:val="000000"/>
                <w:sz w:val="24"/>
              </w:rPr>
            </w:pPr>
            <w:r>
              <w:rPr>
                <w:color w:val="000000"/>
                <w:sz w:val="24"/>
              </w:rPr>
              <w:t>…</w:t>
            </w:r>
          </w:p>
        </w:tc>
        <w:tc>
          <w:tcPr>
            <w:tcW w:w="348" w:type="pct"/>
            <w:tcBorders>
              <w:top w:val="single" w:color="auto" w:sz="4" w:space="0"/>
              <w:left w:val="single" w:color="auto" w:sz="4" w:space="0"/>
              <w:bottom w:val="single" w:color="auto" w:sz="4" w:space="0"/>
              <w:right w:val="single" w:color="auto" w:sz="4" w:space="0"/>
            </w:tcBorders>
            <w:vAlign w:val="center"/>
          </w:tcPr>
          <w:p w14:paraId="180668BA">
            <w:pPr>
              <w:adjustRightInd w:val="0"/>
              <w:snapToGrid w:val="0"/>
              <w:jc w:val="left"/>
              <w:rPr>
                <w:color w:val="000000"/>
                <w:sz w:val="24"/>
              </w:rPr>
            </w:pPr>
          </w:p>
        </w:tc>
        <w:tc>
          <w:tcPr>
            <w:tcW w:w="440" w:type="pct"/>
            <w:tcBorders>
              <w:top w:val="single" w:color="auto" w:sz="4" w:space="0"/>
              <w:left w:val="single" w:color="auto" w:sz="4" w:space="0"/>
              <w:bottom w:val="single" w:color="auto" w:sz="4" w:space="0"/>
              <w:right w:val="single" w:color="auto" w:sz="4" w:space="0"/>
            </w:tcBorders>
            <w:vAlign w:val="center"/>
          </w:tcPr>
          <w:p w14:paraId="45B175BC">
            <w:pPr>
              <w:adjustRightInd w:val="0"/>
              <w:snapToGrid w:val="0"/>
              <w:jc w:val="left"/>
              <w:rPr>
                <w:color w:val="000000"/>
                <w:sz w:val="24"/>
              </w:rPr>
            </w:pPr>
          </w:p>
        </w:tc>
        <w:tc>
          <w:tcPr>
            <w:tcW w:w="314" w:type="pct"/>
            <w:tcBorders>
              <w:top w:val="single" w:color="auto" w:sz="4" w:space="0"/>
              <w:left w:val="single" w:color="auto" w:sz="4" w:space="0"/>
              <w:bottom w:val="single" w:color="auto" w:sz="4" w:space="0"/>
              <w:right w:val="single" w:color="auto" w:sz="4" w:space="0"/>
            </w:tcBorders>
          </w:tcPr>
          <w:p w14:paraId="7E463B0D">
            <w:pPr>
              <w:adjustRightInd w:val="0"/>
              <w:snapToGrid w:val="0"/>
              <w:jc w:val="left"/>
              <w:rPr>
                <w:color w:val="000000"/>
                <w:sz w:val="24"/>
              </w:rPr>
            </w:pPr>
          </w:p>
        </w:tc>
        <w:tc>
          <w:tcPr>
            <w:tcW w:w="593" w:type="pct"/>
            <w:tcBorders>
              <w:top w:val="single" w:color="auto" w:sz="4" w:space="0"/>
              <w:left w:val="single" w:color="auto" w:sz="4" w:space="0"/>
              <w:bottom w:val="single" w:color="auto" w:sz="4" w:space="0"/>
              <w:right w:val="single" w:color="auto" w:sz="4" w:space="0"/>
            </w:tcBorders>
            <w:vAlign w:val="center"/>
          </w:tcPr>
          <w:p w14:paraId="2213FE23">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vAlign w:val="center"/>
          </w:tcPr>
          <w:p w14:paraId="457FFBF3">
            <w:pPr>
              <w:adjustRightInd w:val="0"/>
              <w:snapToGrid w:val="0"/>
              <w:jc w:val="center"/>
              <w:rPr>
                <w:color w:val="000000"/>
                <w:sz w:val="24"/>
              </w:rPr>
            </w:pPr>
          </w:p>
        </w:tc>
        <w:tc>
          <w:tcPr>
            <w:tcW w:w="416" w:type="pct"/>
            <w:tcBorders>
              <w:top w:val="single" w:color="auto" w:sz="4" w:space="0"/>
              <w:left w:val="single" w:color="auto" w:sz="4" w:space="0"/>
              <w:bottom w:val="single" w:color="auto" w:sz="4" w:space="0"/>
              <w:right w:val="single" w:color="auto" w:sz="4" w:space="0"/>
            </w:tcBorders>
          </w:tcPr>
          <w:p w14:paraId="0DEF4916">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tcPr>
          <w:p w14:paraId="2F192CCE">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3716CFFF">
            <w:pPr>
              <w:adjustRightInd w:val="0"/>
              <w:snapToGrid w:val="0"/>
              <w:jc w:val="center"/>
              <w:rPr>
                <w:color w:val="000000"/>
                <w:sz w:val="24"/>
              </w:rPr>
            </w:pPr>
          </w:p>
        </w:tc>
        <w:tc>
          <w:tcPr>
            <w:tcW w:w="417" w:type="pct"/>
            <w:tcBorders>
              <w:top w:val="single" w:color="auto" w:sz="4" w:space="0"/>
              <w:left w:val="single" w:color="auto" w:sz="4" w:space="0"/>
              <w:bottom w:val="single" w:color="auto" w:sz="4" w:space="0"/>
              <w:right w:val="single" w:color="auto" w:sz="4" w:space="0"/>
            </w:tcBorders>
            <w:vAlign w:val="center"/>
          </w:tcPr>
          <w:p w14:paraId="003B6361">
            <w:pPr>
              <w:adjustRightInd w:val="0"/>
              <w:snapToGrid w:val="0"/>
              <w:jc w:val="left"/>
              <w:rPr>
                <w:color w:val="000000"/>
                <w:sz w:val="24"/>
              </w:rPr>
            </w:pPr>
          </w:p>
        </w:tc>
        <w:tc>
          <w:tcPr>
            <w:tcW w:w="342" w:type="pct"/>
            <w:tcBorders>
              <w:top w:val="single" w:color="auto" w:sz="4" w:space="0"/>
              <w:left w:val="single" w:color="auto" w:sz="4" w:space="0"/>
              <w:bottom w:val="single" w:color="auto" w:sz="4" w:space="0"/>
              <w:right w:val="single" w:color="auto" w:sz="4" w:space="0"/>
            </w:tcBorders>
            <w:vAlign w:val="center"/>
          </w:tcPr>
          <w:p w14:paraId="45E83486">
            <w:pPr>
              <w:adjustRightInd w:val="0"/>
              <w:snapToGrid w:val="0"/>
              <w:jc w:val="left"/>
              <w:rPr>
                <w:color w:val="000000"/>
                <w:sz w:val="24"/>
              </w:rPr>
            </w:pPr>
          </w:p>
        </w:tc>
        <w:tc>
          <w:tcPr>
            <w:tcW w:w="277" w:type="pct"/>
            <w:tcBorders>
              <w:top w:val="single" w:color="auto" w:sz="4" w:space="0"/>
              <w:left w:val="single" w:color="auto" w:sz="4" w:space="0"/>
              <w:bottom w:val="single" w:color="auto" w:sz="4" w:space="0"/>
              <w:right w:val="single" w:color="auto" w:sz="4" w:space="0"/>
            </w:tcBorders>
            <w:vAlign w:val="center"/>
          </w:tcPr>
          <w:p w14:paraId="00A10DE2">
            <w:pPr>
              <w:adjustRightInd w:val="0"/>
              <w:snapToGrid w:val="0"/>
              <w:jc w:val="left"/>
              <w:rPr>
                <w:color w:val="000000"/>
                <w:sz w:val="24"/>
              </w:rPr>
            </w:pPr>
          </w:p>
        </w:tc>
        <w:tc>
          <w:tcPr>
            <w:tcW w:w="345" w:type="pct"/>
            <w:gridSpan w:val="2"/>
            <w:tcBorders>
              <w:top w:val="single" w:color="auto" w:sz="4" w:space="0"/>
              <w:left w:val="single" w:color="auto" w:sz="4" w:space="0"/>
              <w:bottom w:val="single" w:color="auto" w:sz="4" w:space="0"/>
              <w:right w:val="single" w:color="auto" w:sz="4" w:space="0"/>
            </w:tcBorders>
            <w:vAlign w:val="center"/>
          </w:tcPr>
          <w:p w14:paraId="0B48D4C9">
            <w:pPr>
              <w:adjustRightInd w:val="0"/>
              <w:snapToGrid w:val="0"/>
              <w:jc w:val="left"/>
              <w:rPr>
                <w:color w:val="000000"/>
                <w:sz w:val="24"/>
              </w:rPr>
            </w:pPr>
          </w:p>
        </w:tc>
      </w:tr>
      <w:tr w14:paraId="06A3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56" w:type="pct"/>
            <w:gridSpan w:val="13"/>
            <w:tcBorders>
              <w:top w:val="single" w:color="auto" w:sz="4" w:space="0"/>
              <w:left w:val="single" w:color="auto" w:sz="4" w:space="0"/>
              <w:bottom w:val="single" w:color="auto" w:sz="4" w:space="0"/>
              <w:right w:val="single" w:color="auto" w:sz="4" w:space="0"/>
            </w:tcBorders>
            <w:vAlign w:val="center"/>
          </w:tcPr>
          <w:p w14:paraId="74FCDAC7">
            <w:pPr>
              <w:adjustRightInd w:val="0"/>
              <w:snapToGrid w:val="0"/>
              <w:jc w:val="right"/>
              <w:rPr>
                <w:color w:val="000000"/>
                <w:sz w:val="24"/>
              </w:rPr>
            </w:pPr>
            <w:r>
              <w:rPr>
                <w:rFonts w:hint="eastAsia"/>
                <w:b/>
                <w:color w:val="000000"/>
                <w:sz w:val="24"/>
              </w:rPr>
              <w:t>总价（元）</w:t>
            </w:r>
          </w:p>
        </w:tc>
        <w:tc>
          <w:tcPr>
            <w:tcW w:w="344" w:type="pct"/>
            <w:gridSpan w:val="2"/>
            <w:tcBorders>
              <w:top w:val="single" w:color="auto" w:sz="4" w:space="0"/>
              <w:left w:val="single" w:color="auto" w:sz="4" w:space="0"/>
              <w:bottom w:val="single" w:color="auto" w:sz="4" w:space="0"/>
              <w:right w:val="single" w:color="auto" w:sz="4" w:space="0"/>
            </w:tcBorders>
            <w:vAlign w:val="center"/>
          </w:tcPr>
          <w:p w14:paraId="6E7E9BDF">
            <w:pPr>
              <w:adjustRightInd w:val="0"/>
              <w:snapToGrid w:val="0"/>
              <w:jc w:val="left"/>
              <w:rPr>
                <w:color w:val="000000"/>
                <w:sz w:val="24"/>
              </w:rPr>
            </w:pPr>
          </w:p>
        </w:tc>
      </w:tr>
    </w:tbl>
    <w:p w14:paraId="2FDA8A45">
      <w:pPr>
        <w:adjustRightInd w:val="0"/>
        <w:snapToGrid w:val="0"/>
        <w:jc w:val="left"/>
        <w:rPr>
          <w:b/>
          <w:i/>
          <w:color w:val="FF0000"/>
          <w:sz w:val="24"/>
        </w:rPr>
      </w:pPr>
      <w:r>
        <w:rPr>
          <w:b/>
          <w:i/>
          <w:color w:val="FF0000"/>
          <w:sz w:val="24"/>
        </w:rPr>
        <w:t>说明：制造商规模请填写</w:t>
      </w:r>
      <w:bookmarkStart w:id="755" w:name="_Hlk168431944"/>
      <w:r>
        <w:rPr>
          <w:b/>
          <w:i/>
          <w:color w:val="FF0000"/>
          <w:sz w:val="24"/>
        </w:rPr>
        <w:t>“</w:t>
      </w:r>
      <w:r>
        <w:rPr>
          <w:rFonts w:hint="eastAsia"/>
          <w:b/>
          <w:i/>
          <w:color w:val="FF0000"/>
          <w:sz w:val="24"/>
        </w:rPr>
        <w:t>大</w:t>
      </w:r>
      <w:r>
        <w:rPr>
          <w:b/>
          <w:i/>
          <w:color w:val="FF0000"/>
          <w:sz w:val="24"/>
        </w:rPr>
        <w:t>型”、</w:t>
      </w:r>
      <w:bookmarkEnd w:id="755"/>
      <w:r>
        <w:rPr>
          <w:b/>
          <w:i/>
          <w:color w:val="FF0000"/>
          <w:sz w:val="24"/>
        </w:rPr>
        <w:t>“中型”、“小型”、“微型”或“其他”，中小企业的定义见第二章《</w:t>
      </w:r>
      <w:r>
        <w:rPr>
          <w:rFonts w:hint="eastAsia"/>
          <w:b/>
          <w:bCs/>
          <w:i/>
          <w:iCs/>
          <w:color w:val="FF0000"/>
          <w:sz w:val="24"/>
        </w:rPr>
        <w:t>供应商</w:t>
      </w:r>
      <w:r>
        <w:rPr>
          <w:b/>
          <w:i/>
          <w:color w:val="FF0000"/>
          <w:sz w:val="24"/>
        </w:rPr>
        <w:t>须知》。</w:t>
      </w:r>
    </w:p>
    <w:p w14:paraId="6B67E2E7">
      <w:pPr>
        <w:tabs>
          <w:tab w:val="left" w:pos="1800"/>
          <w:tab w:val="left" w:pos="5580"/>
        </w:tabs>
        <w:ind w:firstLine="723" w:firstLineChars="300"/>
        <w:jc w:val="left"/>
        <w:rPr>
          <w:b/>
          <w:i/>
          <w:color w:val="FF0000"/>
          <w:sz w:val="24"/>
        </w:rPr>
      </w:pPr>
      <w:r>
        <w:rPr>
          <w:b/>
          <w:i/>
          <w:color w:val="FF0000"/>
          <w:sz w:val="24"/>
        </w:rPr>
        <w:t>制造商所属性别请填写“男”</w:t>
      </w:r>
      <w:r>
        <w:rPr>
          <w:rFonts w:hint="eastAsia"/>
          <w:b/>
          <w:i/>
          <w:color w:val="FF0000"/>
          <w:sz w:val="24"/>
        </w:rPr>
        <w:t>或</w:t>
      </w:r>
      <w:r>
        <w:rPr>
          <w:b/>
          <w:i/>
          <w:color w:val="FF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bCs/>
          <w:i/>
          <w:sz w:val="24"/>
        </w:rPr>
        <w:t>。</w:t>
      </w:r>
    </w:p>
    <w:p w14:paraId="02900A04">
      <w:pPr>
        <w:tabs>
          <w:tab w:val="left" w:pos="1800"/>
          <w:tab w:val="left" w:pos="5580"/>
        </w:tabs>
        <w:ind w:firstLine="723" w:firstLineChars="300"/>
        <w:jc w:val="left"/>
        <w:rPr>
          <w:b/>
          <w:i/>
          <w:color w:val="FF0000"/>
          <w:sz w:val="24"/>
        </w:rPr>
      </w:pPr>
      <w:r>
        <w:rPr>
          <w:b/>
          <w:i/>
          <w:color w:val="FF0000"/>
          <w:sz w:val="24"/>
        </w:rPr>
        <w:t>外商投资类型请填写“外商单独投资”、“外商部分投资”</w:t>
      </w:r>
      <w:r>
        <w:rPr>
          <w:rFonts w:hint="eastAsia"/>
          <w:b/>
          <w:i/>
          <w:color w:val="FF0000"/>
          <w:sz w:val="24"/>
        </w:rPr>
        <w:t>或</w:t>
      </w:r>
      <w:r>
        <w:rPr>
          <w:b/>
          <w:i/>
          <w:color w:val="FF0000"/>
          <w:sz w:val="24"/>
        </w:rPr>
        <w:t>“内资”。</w:t>
      </w:r>
      <w:bookmarkEnd w:id="754"/>
      <w:r>
        <w:rPr>
          <w:b/>
          <w:i/>
          <w:color w:val="FF0000"/>
          <w:sz w:val="24"/>
        </w:rPr>
        <w:t xml:space="preserve"> </w:t>
      </w:r>
    </w:p>
    <w:p w14:paraId="58D6D430">
      <w:pPr>
        <w:adjustRightInd w:val="0"/>
        <w:snapToGrid w:val="0"/>
        <w:spacing w:before="240" w:beforeLines="100" w:after="240" w:afterLines="100"/>
        <w:jc w:val="left"/>
        <w:rPr>
          <w:rFonts w:eastAsiaTheme="minorEastAsia"/>
          <w:b/>
          <w:i/>
          <w:color w:val="FF0000"/>
          <w:sz w:val="24"/>
        </w:rPr>
        <w:sectPr>
          <w:pgSz w:w="16840" w:h="11907" w:orient="landscape"/>
          <w:pgMar w:top="1701" w:right="1418" w:bottom="1134" w:left="1418" w:header="851" w:footer="851" w:gutter="0"/>
          <w:cols w:space="720" w:num="1"/>
          <w:docGrid w:linePitch="462" w:charSpace="0"/>
        </w:sectPr>
      </w:pPr>
    </w:p>
    <w:p w14:paraId="162E65F1">
      <w:pPr>
        <w:adjustRightInd w:val="0"/>
        <w:snapToGrid w:val="0"/>
        <w:spacing w:before="240" w:beforeLines="100" w:after="240" w:afterLines="100"/>
        <w:jc w:val="left"/>
        <w:rPr>
          <w:rFonts w:eastAsiaTheme="minorEastAsia"/>
          <w:b/>
          <w:i/>
          <w:color w:val="FF0000"/>
          <w:sz w:val="24"/>
        </w:rPr>
      </w:pPr>
      <w:r>
        <w:rPr>
          <w:rFonts w:eastAsiaTheme="minorEastAsia"/>
          <w:b/>
          <w:i/>
          <w:color w:val="FF0000"/>
          <w:sz w:val="24"/>
        </w:rPr>
        <w:t>（格式示例</w:t>
      </w:r>
      <w:r>
        <w:rPr>
          <w:rFonts w:hint="eastAsia" w:eastAsiaTheme="minorEastAsia"/>
          <w:b/>
          <w:i/>
          <w:color w:val="FF0000"/>
          <w:sz w:val="24"/>
        </w:rPr>
        <w:t>二</w:t>
      </w:r>
      <w:r>
        <w:rPr>
          <w:rFonts w:eastAsiaTheme="minorEastAsia"/>
          <w:b/>
          <w:i/>
          <w:color w:val="FF0000"/>
          <w:sz w:val="24"/>
        </w:rPr>
        <w:t>，适用于服务类项目）</w:t>
      </w:r>
    </w:p>
    <w:p w14:paraId="55767D44">
      <w:pPr>
        <w:tabs>
          <w:tab w:val="left" w:pos="1800"/>
          <w:tab w:val="left" w:pos="5580"/>
        </w:tabs>
        <w:rPr>
          <w:rFonts w:eastAsiaTheme="minorEastAsia"/>
          <w:color w:val="000000"/>
          <w:sz w:val="24"/>
        </w:rPr>
      </w:pPr>
      <w:r>
        <w:rPr>
          <w:rFonts w:eastAsiaTheme="minorEastAsia"/>
          <w:color w:val="000000"/>
          <w:sz w:val="24"/>
        </w:rPr>
        <w:t>项目编号/包号：_________ 项目名称：_________报价单位：人民币元</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2937"/>
        <w:gridCol w:w="1347"/>
        <w:gridCol w:w="1345"/>
        <w:gridCol w:w="1345"/>
        <w:gridCol w:w="1707"/>
      </w:tblGrid>
      <w:tr w14:paraId="64C8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7" w:type="pct"/>
            <w:vAlign w:val="center"/>
          </w:tcPr>
          <w:p w14:paraId="0C07855E">
            <w:pPr>
              <w:adjustRightInd w:val="0"/>
              <w:snapToGrid w:val="0"/>
              <w:jc w:val="left"/>
              <w:rPr>
                <w:rFonts w:eastAsiaTheme="minorEastAsia"/>
                <w:b/>
                <w:color w:val="000000"/>
                <w:sz w:val="24"/>
              </w:rPr>
            </w:pPr>
            <w:r>
              <w:rPr>
                <w:rFonts w:eastAsiaTheme="minorEastAsia"/>
                <w:b/>
                <w:color w:val="000000"/>
                <w:sz w:val="24"/>
              </w:rPr>
              <w:t>序号</w:t>
            </w:r>
          </w:p>
        </w:tc>
        <w:tc>
          <w:tcPr>
            <w:tcW w:w="1581" w:type="pct"/>
            <w:vAlign w:val="center"/>
          </w:tcPr>
          <w:p w14:paraId="5FED412F">
            <w:pPr>
              <w:adjustRightInd w:val="0"/>
              <w:snapToGrid w:val="0"/>
              <w:jc w:val="center"/>
              <w:rPr>
                <w:rFonts w:eastAsiaTheme="minorEastAsia"/>
                <w:b/>
                <w:color w:val="000000"/>
                <w:sz w:val="24"/>
              </w:rPr>
            </w:pPr>
            <w:r>
              <w:rPr>
                <w:rFonts w:eastAsiaTheme="minorEastAsia"/>
                <w:b/>
                <w:color w:val="000000"/>
                <w:sz w:val="24"/>
              </w:rPr>
              <w:t>分项名称</w:t>
            </w:r>
          </w:p>
        </w:tc>
        <w:tc>
          <w:tcPr>
            <w:tcW w:w="725" w:type="pct"/>
            <w:vAlign w:val="center"/>
          </w:tcPr>
          <w:p w14:paraId="2563F949">
            <w:pPr>
              <w:adjustRightInd w:val="0"/>
              <w:snapToGrid w:val="0"/>
              <w:jc w:val="center"/>
              <w:rPr>
                <w:rFonts w:eastAsiaTheme="minorEastAsia"/>
                <w:b/>
                <w:color w:val="000000"/>
                <w:sz w:val="24"/>
              </w:rPr>
            </w:pPr>
            <w:r>
              <w:rPr>
                <w:rFonts w:eastAsiaTheme="minorEastAsia"/>
                <w:b/>
                <w:color w:val="000000"/>
                <w:sz w:val="24"/>
              </w:rPr>
              <w:t>单价（元）</w:t>
            </w:r>
          </w:p>
        </w:tc>
        <w:tc>
          <w:tcPr>
            <w:tcW w:w="724" w:type="pct"/>
            <w:vAlign w:val="center"/>
          </w:tcPr>
          <w:p w14:paraId="6D3B9285">
            <w:pPr>
              <w:adjustRightInd w:val="0"/>
              <w:snapToGrid w:val="0"/>
              <w:jc w:val="center"/>
              <w:rPr>
                <w:rFonts w:eastAsiaTheme="minorEastAsia"/>
                <w:b/>
                <w:color w:val="000000"/>
                <w:sz w:val="24"/>
              </w:rPr>
            </w:pPr>
            <w:r>
              <w:rPr>
                <w:rFonts w:eastAsiaTheme="minorEastAsia"/>
                <w:b/>
                <w:color w:val="000000"/>
                <w:sz w:val="24"/>
              </w:rPr>
              <w:t>数量</w:t>
            </w:r>
          </w:p>
        </w:tc>
        <w:tc>
          <w:tcPr>
            <w:tcW w:w="724" w:type="pct"/>
            <w:vAlign w:val="center"/>
          </w:tcPr>
          <w:p w14:paraId="22671A20">
            <w:pPr>
              <w:adjustRightInd w:val="0"/>
              <w:snapToGrid w:val="0"/>
              <w:jc w:val="center"/>
              <w:rPr>
                <w:rFonts w:eastAsiaTheme="minorEastAsia"/>
                <w:b/>
                <w:color w:val="000000"/>
                <w:sz w:val="24"/>
              </w:rPr>
            </w:pPr>
            <w:r>
              <w:rPr>
                <w:rFonts w:eastAsiaTheme="minorEastAsia"/>
                <w:b/>
                <w:color w:val="000000"/>
                <w:sz w:val="24"/>
              </w:rPr>
              <w:t>合价（元）</w:t>
            </w:r>
          </w:p>
        </w:tc>
        <w:tc>
          <w:tcPr>
            <w:tcW w:w="919" w:type="pct"/>
            <w:vAlign w:val="center"/>
          </w:tcPr>
          <w:p w14:paraId="74315060">
            <w:pPr>
              <w:adjustRightInd w:val="0"/>
              <w:snapToGrid w:val="0"/>
              <w:jc w:val="center"/>
              <w:rPr>
                <w:rFonts w:eastAsiaTheme="minorEastAsia"/>
                <w:b/>
                <w:color w:val="000000"/>
                <w:sz w:val="24"/>
              </w:rPr>
            </w:pPr>
            <w:r>
              <w:rPr>
                <w:rFonts w:eastAsiaTheme="minorEastAsia"/>
                <w:b/>
                <w:color w:val="000000"/>
                <w:sz w:val="24"/>
              </w:rPr>
              <w:t>备注/说明</w:t>
            </w:r>
          </w:p>
        </w:tc>
      </w:tr>
      <w:tr w14:paraId="5564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7" w:type="pct"/>
            <w:vAlign w:val="center"/>
          </w:tcPr>
          <w:p w14:paraId="778182C5">
            <w:pPr>
              <w:adjustRightInd w:val="0"/>
              <w:snapToGrid w:val="0"/>
              <w:jc w:val="center"/>
              <w:rPr>
                <w:rFonts w:eastAsiaTheme="minorEastAsia"/>
                <w:color w:val="000000"/>
                <w:sz w:val="24"/>
              </w:rPr>
            </w:pPr>
            <w:r>
              <w:rPr>
                <w:rFonts w:eastAsiaTheme="minorEastAsia"/>
                <w:color w:val="000000"/>
                <w:sz w:val="24"/>
              </w:rPr>
              <w:t>1</w:t>
            </w:r>
          </w:p>
        </w:tc>
        <w:tc>
          <w:tcPr>
            <w:tcW w:w="1581" w:type="pct"/>
            <w:vAlign w:val="center"/>
          </w:tcPr>
          <w:p w14:paraId="0E8E20C7">
            <w:pPr>
              <w:adjustRightInd w:val="0"/>
              <w:snapToGrid w:val="0"/>
              <w:jc w:val="left"/>
              <w:rPr>
                <w:rFonts w:eastAsiaTheme="minorEastAsia"/>
                <w:color w:val="000000"/>
                <w:sz w:val="24"/>
              </w:rPr>
            </w:pPr>
          </w:p>
        </w:tc>
        <w:tc>
          <w:tcPr>
            <w:tcW w:w="725" w:type="pct"/>
            <w:vAlign w:val="center"/>
          </w:tcPr>
          <w:p w14:paraId="1828AA69">
            <w:pPr>
              <w:adjustRightInd w:val="0"/>
              <w:snapToGrid w:val="0"/>
              <w:jc w:val="left"/>
              <w:rPr>
                <w:rFonts w:eastAsiaTheme="minorEastAsia"/>
                <w:color w:val="000000"/>
                <w:sz w:val="24"/>
              </w:rPr>
            </w:pPr>
          </w:p>
        </w:tc>
        <w:tc>
          <w:tcPr>
            <w:tcW w:w="724" w:type="pct"/>
            <w:vAlign w:val="center"/>
          </w:tcPr>
          <w:p w14:paraId="2F3209D2">
            <w:pPr>
              <w:adjustRightInd w:val="0"/>
              <w:snapToGrid w:val="0"/>
              <w:jc w:val="center"/>
              <w:rPr>
                <w:rFonts w:eastAsiaTheme="minorEastAsia"/>
                <w:color w:val="000000"/>
                <w:sz w:val="24"/>
              </w:rPr>
            </w:pPr>
          </w:p>
        </w:tc>
        <w:tc>
          <w:tcPr>
            <w:tcW w:w="724" w:type="pct"/>
            <w:vAlign w:val="center"/>
          </w:tcPr>
          <w:p w14:paraId="2E39A49B">
            <w:pPr>
              <w:adjustRightInd w:val="0"/>
              <w:snapToGrid w:val="0"/>
              <w:jc w:val="left"/>
              <w:rPr>
                <w:rFonts w:eastAsiaTheme="minorEastAsia"/>
                <w:color w:val="000000"/>
                <w:sz w:val="24"/>
              </w:rPr>
            </w:pPr>
          </w:p>
        </w:tc>
        <w:tc>
          <w:tcPr>
            <w:tcW w:w="919" w:type="pct"/>
            <w:vAlign w:val="center"/>
          </w:tcPr>
          <w:p w14:paraId="1A284CE3">
            <w:pPr>
              <w:adjustRightInd w:val="0"/>
              <w:snapToGrid w:val="0"/>
              <w:jc w:val="left"/>
              <w:rPr>
                <w:rFonts w:eastAsiaTheme="minorEastAsia"/>
                <w:color w:val="000000"/>
                <w:sz w:val="24"/>
              </w:rPr>
            </w:pPr>
          </w:p>
        </w:tc>
      </w:tr>
      <w:tr w14:paraId="5B68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7" w:type="pct"/>
            <w:vAlign w:val="center"/>
          </w:tcPr>
          <w:p w14:paraId="71D6117B">
            <w:pPr>
              <w:adjustRightInd w:val="0"/>
              <w:snapToGrid w:val="0"/>
              <w:jc w:val="center"/>
              <w:rPr>
                <w:rFonts w:eastAsiaTheme="minorEastAsia"/>
                <w:color w:val="000000"/>
                <w:sz w:val="24"/>
              </w:rPr>
            </w:pPr>
            <w:r>
              <w:rPr>
                <w:rFonts w:eastAsiaTheme="minorEastAsia"/>
                <w:color w:val="000000"/>
                <w:sz w:val="24"/>
              </w:rPr>
              <w:t>2</w:t>
            </w:r>
          </w:p>
        </w:tc>
        <w:tc>
          <w:tcPr>
            <w:tcW w:w="1581" w:type="pct"/>
            <w:vAlign w:val="center"/>
          </w:tcPr>
          <w:p w14:paraId="121C0CAE">
            <w:pPr>
              <w:adjustRightInd w:val="0"/>
              <w:snapToGrid w:val="0"/>
              <w:jc w:val="left"/>
              <w:rPr>
                <w:rFonts w:eastAsiaTheme="minorEastAsia"/>
                <w:color w:val="000000"/>
                <w:sz w:val="24"/>
              </w:rPr>
            </w:pPr>
          </w:p>
        </w:tc>
        <w:tc>
          <w:tcPr>
            <w:tcW w:w="725" w:type="pct"/>
            <w:vAlign w:val="center"/>
          </w:tcPr>
          <w:p w14:paraId="4AA6B844">
            <w:pPr>
              <w:adjustRightInd w:val="0"/>
              <w:snapToGrid w:val="0"/>
              <w:jc w:val="left"/>
              <w:rPr>
                <w:rFonts w:eastAsiaTheme="minorEastAsia"/>
                <w:color w:val="000000"/>
                <w:sz w:val="24"/>
              </w:rPr>
            </w:pPr>
          </w:p>
        </w:tc>
        <w:tc>
          <w:tcPr>
            <w:tcW w:w="724" w:type="pct"/>
            <w:vAlign w:val="center"/>
          </w:tcPr>
          <w:p w14:paraId="5205212C">
            <w:pPr>
              <w:adjustRightInd w:val="0"/>
              <w:snapToGrid w:val="0"/>
              <w:jc w:val="center"/>
              <w:rPr>
                <w:rFonts w:eastAsiaTheme="minorEastAsia"/>
                <w:color w:val="000000"/>
                <w:sz w:val="24"/>
              </w:rPr>
            </w:pPr>
          </w:p>
        </w:tc>
        <w:tc>
          <w:tcPr>
            <w:tcW w:w="724" w:type="pct"/>
            <w:vAlign w:val="center"/>
          </w:tcPr>
          <w:p w14:paraId="133CF67D">
            <w:pPr>
              <w:adjustRightInd w:val="0"/>
              <w:snapToGrid w:val="0"/>
              <w:jc w:val="left"/>
              <w:rPr>
                <w:rFonts w:eastAsiaTheme="minorEastAsia"/>
                <w:color w:val="000000"/>
                <w:sz w:val="24"/>
              </w:rPr>
            </w:pPr>
          </w:p>
        </w:tc>
        <w:tc>
          <w:tcPr>
            <w:tcW w:w="919" w:type="pct"/>
            <w:vAlign w:val="center"/>
          </w:tcPr>
          <w:p w14:paraId="39890F0E">
            <w:pPr>
              <w:adjustRightInd w:val="0"/>
              <w:snapToGrid w:val="0"/>
              <w:jc w:val="left"/>
              <w:rPr>
                <w:rFonts w:eastAsiaTheme="minorEastAsia"/>
                <w:color w:val="000000"/>
                <w:sz w:val="24"/>
              </w:rPr>
            </w:pPr>
          </w:p>
        </w:tc>
      </w:tr>
      <w:tr w14:paraId="51CF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7" w:type="pct"/>
            <w:vAlign w:val="center"/>
          </w:tcPr>
          <w:p w14:paraId="2DA66111">
            <w:pPr>
              <w:adjustRightInd w:val="0"/>
              <w:snapToGrid w:val="0"/>
              <w:jc w:val="center"/>
              <w:rPr>
                <w:rFonts w:eastAsiaTheme="minorEastAsia"/>
                <w:color w:val="000000"/>
                <w:sz w:val="24"/>
              </w:rPr>
            </w:pPr>
            <w:r>
              <w:rPr>
                <w:rFonts w:eastAsiaTheme="minorEastAsia"/>
                <w:color w:val="000000"/>
                <w:sz w:val="24"/>
              </w:rPr>
              <w:t>3</w:t>
            </w:r>
          </w:p>
        </w:tc>
        <w:tc>
          <w:tcPr>
            <w:tcW w:w="1581" w:type="pct"/>
            <w:vAlign w:val="center"/>
          </w:tcPr>
          <w:p w14:paraId="744C89F6">
            <w:pPr>
              <w:adjustRightInd w:val="0"/>
              <w:snapToGrid w:val="0"/>
              <w:jc w:val="left"/>
              <w:rPr>
                <w:rFonts w:eastAsiaTheme="minorEastAsia"/>
                <w:color w:val="000000"/>
                <w:sz w:val="24"/>
              </w:rPr>
            </w:pPr>
            <w:r>
              <w:rPr>
                <w:rFonts w:eastAsiaTheme="minorEastAsia"/>
                <w:color w:val="000000"/>
                <w:sz w:val="24"/>
              </w:rPr>
              <w:t>…</w:t>
            </w:r>
          </w:p>
        </w:tc>
        <w:tc>
          <w:tcPr>
            <w:tcW w:w="725" w:type="pct"/>
            <w:vAlign w:val="center"/>
          </w:tcPr>
          <w:p w14:paraId="779EFDDE">
            <w:pPr>
              <w:adjustRightInd w:val="0"/>
              <w:snapToGrid w:val="0"/>
              <w:jc w:val="left"/>
              <w:rPr>
                <w:rFonts w:eastAsiaTheme="minorEastAsia"/>
                <w:color w:val="000000"/>
                <w:sz w:val="24"/>
              </w:rPr>
            </w:pPr>
          </w:p>
        </w:tc>
        <w:tc>
          <w:tcPr>
            <w:tcW w:w="724" w:type="pct"/>
            <w:vAlign w:val="center"/>
          </w:tcPr>
          <w:p w14:paraId="1CA2BB3E">
            <w:pPr>
              <w:adjustRightInd w:val="0"/>
              <w:snapToGrid w:val="0"/>
              <w:jc w:val="center"/>
              <w:rPr>
                <w:rFonts w:eastAsiaTheme="minorEastAsia"/>
                <w:color w:val="000000"/>
                <w:sz w:val="24"/>
              </w:rPr>
            </w:pPr>
          </w:p>
        </w:tc>
        <w:tc>
          <w:tcPr>
            <w:tcW w:w="724" w:type="pct"/>
            <w:vAlign w:val="center"/>
          </w:tcPr>
          <w:p w14:paraId="7DEEF982">
            <w:pPr>
              <w:adjustRightInd w:val="0"/>
              <w:snapToGrid w:val="0"/>
              <w:jc w:val="left"/>
              <w:rPr>
                <w:rFonts w:eastAsiaTheme="minorEastAsia"/>
                <w:color w:val="000000"/>
                <w:sz w:val="24"/>
              </w:rPr>
            </w:pPr>
          </w:p>
        </w:tc>
        <w:tc>
          <w:tcPr>
            <w:tcW w:w="919" w:type="pct"/>
            <w:vAlign w:val="center"/>
          </w:tcPr>
          <w:p w14:paraId="1094A591">
            <w:pPr>
              <w:adjustRightInd w:val="0"/>
              <w:snapToGrid w:val="0"/>
              <w:jc w:val="left"/>
              <w:rPr>
                <w:rFonts w:eastAsiaTheme="minorEastAsia"/>
                <w:color w:val="000000"/>
                <w:sz w:val="24"/>
              </w:rPr>
            </w:pPr>
          </w:p>
        </w:tc>
      </w:tr>
      <w:tr w14:paraId="7F8B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7" w:type="pct"/>
            <w:gridSpan w:val="4"/>
            <w:vAlign w:val="center"/>
          </w:tcPr>
          <w:p w14:paraId="7A53FE6A">
            <w:pPr>
              <w:adjustRightInd w:val="0"/>
              <w:snapToGrid w:val="0"/>
              <w:jc w:val="right"/>
              <w:rPr>
                <w:rFonts w:eastAsiaTheme="minorEastAsia"/>
                <w:b/>
                <w:bCs/>
                <w:color w:val="000000"/>
                <w:sz w:val="24"/>
              </w:rPr>
            </w:pPr>
            <w:r>
              <w:rPr>
                <w:rFonts w:hint="eastAsia" w:eastAsiaTheme="minorEastAsia"/>
                <w:b/>
                <w:bCs/>
                <w:color w:val="000000"/>
                <w:sz w:val="24"/>
              </w:rPr>
              <w:t>总价（元）</w:t>
            </w:r>
          </w:p>
        </w:tc>
        <w:tc>
          <w:tcPr>
            <w:tcW w:w="724" w:type="pct"/>
            <w:vAlign w:val="center"/>
          </w:tcPr>
          <w:p w14:paraId="1CF5A891">
            <w:pPr>
              <w:adjustRightInd w:val="0"/>
              <w:snapToGrid w:val="0"/>
              <w:jc w:val="left"/>
              <w:rPr>
                <w:rFonts w:eastAsiaTheme="minorEastAsia"/>
                <w:color w:val="000000"/>
                <w:sz w:val="24"/>
              </w:rPr>
            </w:pPr>
          </w:p>
        </w:tc>
        <w:tc>
          <w:tcPr>
            <w:tcW w:w="919" w:type="pct"/>
            <w:vAlign w:val="center"/>
          </w:tcPr>
          <w:p w14:paraId="1C3B49C8">
            <w:pPr>
              <w:adjustRightInd w:val="0"/>
              <w:snapToGrid w:val="0"/>
              <w:jc w:val="left"/>
              <w:rPr>
                <w:rFonts w:eastAsiaTheme="minorEastAsia"/>
                <w:color w:val="000000"/>
                <w:sz w:val="24"/>
              </w:rPr>
            </w:pPr>
          </w:p>
        </w:tc>
      </w:tr>
    </w:tbl>
    <w:p w14:paraId="51FFA0F7">
      <w:pPr>
        <w:tabs>
          <w:tab w:val="left" w:pos="1800"/>
          <w:tab w:val="left" w:pos="5580"/>
        </w:tabs>
        <w:jc w:val="left"/>
        <w:rPr>
          <w:rFonts w:eastAsiaTheme="minorEastAsia"/>
          <w:color w:val="000000"/>
          <w:sz w:val="24"/>
        </w:rPr>
      </w:pPr>
    </w:p>
    <w:p w14:paraId="272A8A5B">
      <w:pPr>
        <w:tabs>
          <w:tab w:val="left" w:pos="1800"/>
          <w:tab w:val="left" w:pos="5580"/>
        </w:tabs>
        <w:jc w:val="left"/>
        <w:rPr>
          <w:rFonts w:eastAsiaTheme="minorEastAsia"/>
          <w:color w:val="000000"/>
          <w:sz w:val="24"/>
        </w:rPr>
      </w:pPr>
    </w:p>
    <w:p w14:paraId="57B7CEBD">
      <w:pPr>
        <w:tabs>
          <w:tab w:val="left" w:pos="1800"/>
          <w:tab w:val="left" w:pos="5580"/>
        </w:tabs>
        <w:jc w:val="left"/>
        <w:rPr>
          <w:rFonts w:eastAsiaTheme="minorEastAsia"/>
          <w:b/>
          <w:i/>
          <w:color w:val="FF0000"/>
          <w:sz w:val="24"/>
        </w:rPr>
      </w:pPr>
      <w:r>
        <w:rPr>
          <w:rFonts w:eastAsiaTheme="minorEastAsia"/>
          <w:b/>
          <w:i/>
          <w:color w:val="FF0000"/>
          <w:sz w:val="24"/>
        </w:rPr>
        <w:t>（</w:t>
      </w:r>
      <w:r>
        <w:rPr>
          <w:rFonts w:eastAsiaTheme="minorEastAsia"/>
          <w:i/>
          <w:color w:val="FF0000"/>
          <w:sz w:val="24"/>
        </w:rPr>
        <w:t>采用工程量清单计价方式的采购项目，应在本部分放置清单计价表格</w:t>
      </w:r>
      <w:r>
        <w:rPr>
          <w:rFonts w:eastAsiaTheme="minorEastAsia"/>
          <w:b/>
          <w:i/>
          <w:color w:val="FF0000"/>
          <w:sz w:val="24"/>
        </w:rPr>
        <w:t>）</w:t>
      </w:r>
    </w:p>
    <w:p w14:paraId="22B40673">
      <w:pPr>
        <w:tabs>
          <w:tab w:val="left" w:pos="1800"/>
          <w:tab w:val="left" w:pos="5580"/>
        </w:tabs>
        <w:jc w:val="left"/>
        <w:rPr>
          <w:rFonts w:eastAsiaTheme="minorEastAsia"/>
          <w:color w:val="000000"/>
          <w:sz w:val="24"/>
        </w:rPr>
      </w:pPr>
    </w:p>
    <w:p w14:paraId="392FD208">
      <w:pPr>
        <w:tabs>
          <w:tab w:val="left" w:pos="1800"/>
          <w:tab w:val="left" w:pos="5580"/>
        </w:tabs>
        <w:jc w:val="left"/>
        <w:rPr>
          <w:rFonts w:eastAsiaTheme="minorEastAsia"/>
          <w:color w:val="000000"/>
          <w:sz w:val="24"/>
        </w:rPr>
      </w:pPr>
    </w:p>
    <w:p w14:paraId="7593B189">
      <w:pPr>
        <w:tabs>
          <w:tab w:val="left" w:pos="1800"/>
          <w:tab w:val="left" w:pos="5580"/>
        </w:tabs>
        <w:jc w:val="left"/>
        <w:rPr>
          <w:rFonts w:eastAsiaTheme="minorEastAsia"/>
          <w:color w:val="000000"/>
          <w:sz w:val="24"/>
        </w:rPr>
      </w:pPr>
      <w:r>
        <w:rPr>
          <w:rFonts w:eastAsiaTheme="minorEastAsia"/>
          <w:color w:val="000000"/>
          <w:sz w:val="24"/>
        </w:rPr>
        <w:t>注：1.本表应按包分别填写。</w:t>
      </w:r>
    </w:p>
    <w:p w14:paraId="2C9F3C2C">
      <w:pPr>
        <w:tabs>
          <w:tab w:val="left" w:pos="1800"/>
          <w:tab w:val="left" w:pos="5580"/>
        </w:tabs>
        <w:ind w:firstLine="480" w:firstLineChars="200"/>
        <w:jc w:val="left"/>
        <w:rPr>
          <w:rFonts w:eastAsiaTheme="minorEastAsia"/>
          <w:color w:val="000000"/>
          <w:sz w:val="24"/>
        </w:rPr>
      </w:pPr>
      <w:r>
        <w:rPr>
          <w:rFonts w:eastAsiaTheme="minorEastAsia"/>
          <w:color w:val="000000"/>
          <w:sz w:val="24"/>
        </w:rPr>
        <w:t>2.上述各项的详细规格（如有），可另页描述。</w:t>
      </w:r>
    </w:p>
    <w:p w14:paraId="4815F2AE">
      <w:pPr>
        <w:tabs>
          <w:tab w:val="left" w:pos="1800"/>
          <w:tab w:val="left" w:pos="5580"/>
        </w:tabs>
        <w:ind w:firstLine="480" w:firstLineChars="200"/>
        <w:jc w:val="left"/>
        <w:rPr>
          <w:color w:val="000000"/>
          <w:sz w:val="24"/>
        </w:rPr>
      </w:pPr>
      <w:r>
        <w:rPr>
          <w:rFonts w:eastAsiaTheme="minorEastAsia"/>
          <w:color w:val="000000"/>
          <w:sz w:val="24"/>
        </w:rPr>
        <w:t>3.制造商规模列应填写</w:t>
      </w:r>
      <w:bookmarkStart w:id="756" w:name="_Hlk168432512"/>
      <w:r>
        <w:rPr>
          <w:rFonts w:hint="eastAsia" w:eastAsiaTheme="minorEastAsia"/>
          <w:color w:val="000000"/>
          <w:sz w:val="24"/>
        </w:rPr>
        <w:t>“大型”、</w:t>
      </w:r>
      <w:bookmarkEnd w:id="756"/>
      <w:r>
        <w:rPr>
          <w:rFonts w:eastAsiaTheme="minorEastAsia"/>
          <w:color w:val="000000"/>
          <w:sz w:val="24"/>
        </w:rPr>
        <w:t>“中型”、“小型”</w:t>
      </w:r>
      <w:r>
        <w:rPr>
          <w:rFonts w:hint="eastAsia" w:eastAsiaTheme="minorEastAsia"/>
          <w:color w:val="000000"/>
          <w:sz w:val="24"/>
        </w:rPr>
        <w:t>、</w:t>
      </w:r>
      <w:r>
        <w:rPr>
          <w:rFonts w:eastAsiaTheme="minorEastAsia"/>
          <w:color w:val="000000"/>
          <w:sz w:val="24"/>
        </w:rPr>
        <w:t>“微型”或“其他”，且不应与《中小企业声明函》或《拟分包情况说明》中内容矛盾。</w:t>
      </w:r>
      <w:bookmarkStart w:id="757" w:name="_Hlk167094566"/>
      <w:r>
        <w:rPr>
          <w:rFonts w:hint="eastAsia" w:eastAsiaTheme="minorEastAsia"/>
          <w:color w:val="000000"/>
          <w:sz w:val="24"/>
        </w:rPr>
        <w:t>制造商所属性别请填写“男”或“女”，</w:t>
      </w:r>
      <w:r>
        <w:rPr>
          <w:rFonts w:hint="eastAsia"/>
          <w:color w:val="000000"/>
          <w:sz w:val="24"/>
        </w:rPr>
        <w:t>指拥有制造商</w:t>
      </w:r>
      <w:r>
        <w:rPr>
          <w:color w:val="000000"/>
          <w:sz w:val="24"/>
        </w:rPr>
        <w:t>51%</w:t>
      </w:r>
      <w:r>
        <w:rPr>
          <w:rFonts w:hint="eastAsia"/>
          <w:color w:val="000000"/>
          <w:sz w:val="24"/>
        </w:rPr>
        <w:t>以上绝对所有权的性别；绝对所有权拥有者可以是一个人，也可以是多人合计计算</w:t>
      </w:r>
      <w:r>
        <w:rPr>
          <w:rFonts w:hint="eastAsia" w:eastAsiaTheme="minorEastAsia"/>
          <w:color w:val="000000"/>
          <w:sz w:val="24"/>
        </w:rPr>
        <w:t>。外商投资类型请填写“外商单独投资”、“外商部分投资”或“内资”。</w:t>
      </w:r>
    </w:p>
    <w:bookmarkEnd w:id="757"/>
    <w:p w14:paraId="3D7623BC">
      <w:pPr>
        <w:tabs>
          <w:tab w:val="left" w:pos="1800"/>
          <w:tab w:val="left" w:pos="5580"/>
        </w:tabs>
        <w:ind w:firstLine="480" w:firstLineChars="200"/>
        <w:jc w:val="left"/>
        <w:rPr>
          <w:rFonts w:eastAsiaTheme="minorEastAsia"/>
          <w:color w:val="000000"/>
          <w:sz w:val="24"/>
        </w:rPr>
      </w:pPr>
    </w:p>
    <w:p w14:paraId="77C949A2">
      <w:pPr>
        <w:autoSpaceDE w:val="0"/>
        <w:autoSpaceDN w:val="0"/>
        <w:adjustRightInd w:val="0"/>
        <w:snapToGrid w:val="0"/>
        <w:spacing w:before="25" w:after="25" w:line="360" w:lineRule="auto"/>
        <w:rPr>
          <w:rFonts w:eastAsiaTheme="minorEastAsia"/>
          <w:color w:val="000000"/>
          <w:sz w:val="24"/>
        </w:rPr>
      </w:pPr>
    </w:p>
    <w:p w14:paraId="0BDF5986">
      <w:pPr>
        <w:autoSpaceDE w:val="0"/>
        <w:autoSpaceDN w:val="0"/>
        <w:adjustRightInd w:val="0"/>
        <w:snapToGrid w:val="0"/>
        <w:spacing w:before="25" w:after="25" w:line="360" w:lineRule="auto"/>
        <w:rPr>
          <w:rFonts w:eastAsiaTheme="minorEastAsia"/>
          <w:color w:val="000000"/>
          <w:sz w:val="24"/>
        </w:rPr>
      </w:pPr>
    </w:p>
    <w:p w14:paraId="67652623">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6C4CAAAF">
      <w:pPr>
        <w:autoSpaceDE w:val="0"/>
        <w:autoSpaceDN w:val="0"/>
        <w:adjustRightInd w:val="0"/>
        <w:snapToGrid w:val="0"/>
        <w:spacing w:before="25" w:after="25" w:line="360" w:lineRule="auto"/>
        <w:rPr>
          <w:rFonts w:eastAsiaTheme="minorEastAsia"/>
          <w:color w:val="000000"/>
          <w:sz w:val="24"/>
          <w:szCs w:val="20"/>
        </w:rPr>
      </w:pPr>
      <w:r>
        <w:rPr>
          <w:rFonts w:eastAsiaTheme="minorEastAsia"/>
          <w:color w:val="000000"/>
          <w:sz w:val="24"/>
          <w:szCs w:val="20"/>
        </w:rPr>
        <w:t>日期：____年____月____日</w:t>
      </w:r>
    </w:p>
    <w:p w14:paraId="4AABD114">
      <w:pPr>
        <w:rPr>
          <w:rFonts w:eastAsiaTheme="minorEastAsia"/>
          <w:color w:val="000000"/>
          <w:sz w:val="24"/>
          <w:szCs w:val="20"/>
        </w:rPr>
      </w:pPr>
      <w:r>
        <w:rPr>
          <w:rFonts w:eastAsiaTheme="minorEastAsia"/>
          <w:color w:val="000000"/>
          <w:sz w:val="24"/>
          <w:szCs w:val="20"/>
        </w:rPr>
        <w:br w:type="page"/>
      </w:r>
    </w:p>
    <w:p w14:paraId="27E6C361">
      <w:pPr>
        <w:adjustRightInd w:val="0"/>
        <w:snapToGrid w:val="0"/>
        <w:spacing w:before="240" w:beforeLines="100" w:after="240" w:afterLines="100"/>
        <w:jc w:val="left"/>
        <w:rPr>
          <w:rFonts w:eastAsiaTheme="minorEastAsia"/>
          <w:color w:val="000000"/>
          <w:sz w:val="24"/>
        </w:rPr>
      </w:pPr>
      <w:r>
        <w:rPr>
          <w:rFonts w:eastAsiaTheme="minorEastAsia"/>
          <w:b/>
          <w:i/>
          <w:color w:val="FF0000"/>
          <w:sz w:val="24"/>
        </w:rPr>
        <w:t>（格式示例</w:t>
      </w:r>
      <w:r>
        <w:rPr>
          <w:rFonts w:hint="eastAsia" w:eastAsiaTheme="minorEastAsia"/>
          <w:b/>
          <w:i/>
          <w:color w:val="FF0000"/>
          <w:sz w:val="24"/>
        </w:rPr>
        <w:t>三，适用于工程量清单计价方式的采购项目</w:t>
      </w:r>
      <w:r>
        <w:rPr>
          <w:rFonts w:eastAsiaTheme="minorEastAsia"/>
          <w:b/>
          <w:i/>
          <w:color w:val="FF0000"/>
          <w:sz w:val="24"/>
        </w:rPr>
        <w:t>）</w:t>
      </w:r>
    </w:p>
    <w:p w14:paraId="098DCA57">
      <w:pPr>
        <w:tabs>
          <w:tab w:val="left" w:pos="1800"/>
          <w:tab w:val="left" w:pos="5580"/>
        </w:tabs>
        <w:jc w:val="left"/>
        <w:rPr>
          <w:rFonts w:eastAsiaTheme="minorEastAsia"/>
          <w:b/>
          <w:i/>
          <w:color w:val="FF0000"/>
          <w:sz w:val="24"/>
        </w:rPr>
      </w:pPr>
      <w:r>
        <w:rPr>
          <w:rFonts w:eastAsiaTheme="minorEastAsia"/>
          <w:b/>
          <w:i/>
          <w:color w:val="FF0000"/>
          <w:sz w:val="24"/>
        </w:rPr>
        <w:t>（</w:t>
      </w:r>
      <w:r>
        <w:rPr>
          <w:rFonts w:eastAsiaTheme="minorEastAsia"/>
          <w:i/>
          <w:color w:val="FF0000"/>
          <w:sz w:val="24"/>
        </w:rPr>
        <w:t>采用工程量清单计价方式的采购项目，应在本部分放置</w:t>
      </w:r>
      <w:r>
        <w:rPr>
          <w:rFonts w:eastAsiaTheme="minorEastAsia"/>
          <w:b/>
          <w:bCs/>
          <w:i/>
          <w:color w:val="FF0000"/>
          <w:sz w:val="24"/>
          <w:u w:val="single"/>
        </w:rPr>
        <w:t>清单计价表格</w:t>
      </w:r>
      <w:r>
        <w:rPr>
          <w:rFonts w:hint="eastAsia" w:eastAsiaTheme="minorEastAsia"/>
          <w:b/>
          <w:bCs/>
          <w:i/>
          <w:color w:val="FF0000"/>
          <w:sz w:val="24"/>
          <w:u w:val="single"/>
        </w:rPr>
        <w:t>及下表</w:t>
      </w:r>
      <w:r>
        <w:rPr>
          <w:rFonts w:eastAsiaTheme="minorEastAsia"/>
          <w:b/>
          <w:i/>
          <w:color w:val="FF0000"/>
          <w:sz w:val="24"/>
        </w:rPr>
        <w:t>）</w:t>
      </w:r>
    </w:p>
    <w:p w14:paraId="24234152">
      <w:pPr>
        <w:tabs>
          <w:tab w:val="left" w:pos="1800"/>
          <w:tab w:val="left" w:pos="5580"/>
        </w:tabs>
        <w:rPr>
          <w:rFonts w:eastAsiaTheme="minorEastAsia"/>
          <w:color w:val="000000"/>
          <w:sz w:val="24"/>
        </w:rPr>
      </w:pPr>
      <w:r>
        <w:rPr>
          <w:rFonts w:eastAsiaTheme="minorEastAsia"/>
          <w:color w:val="000000"/>
          <w:sz w:val="24"/>
        </w:rPr>
        <w:t>项目编号/包号：_________ 项目名称：_________报价单位：人民币元</w:t>
      </w:r>
    </w:p>
    <w:tbl>
      <w:tblPr>
        <w:tblStyle w:val="4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9"/>
        <w:gridCol w:w="6307"/>
      </w:tblGrid>
      <w:tr w14:paraId="5E7E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0E3D4AB6">
            <w:pPr>
              <w:rPr>
                <w:rFonts w:hint="eastAsia" w:ascii="宋体" w:hAnsi="宋体"/>
                <w:sz w:val="24"/>
              </w:rPr>
            </w:pPr>
            <w:r>
              <w:rPr>
                <w:rFonts w:hint="eastAsia" w:ascii="宋体" w:hAnsi="宋体"/>
                <w:sz w:val="24"/>
              </w:rPr>
              <w:t>工程名称</w:t>
            </w:r>
          </w:p>
        </w:tc>
        <w:tc>
          <w:tcPr>
            <w:tcW w:w="3395" w:type="pct"/>
            <w:vAlign w:val="center"/>
          </w:tcPr>
          <w:p w14:paraId="127FBE2D">
            <w:pPr>
              <w:rPr>
                <w:rFonts w:hint="eastAsia" w:ascii="宋体" w:hAnsi="宋体"/>
                <w:sz w:val="24"/>
              </w:rPr>
            </w:pPr>
            <w:r>
              <w:rPr>
                <w:rFonts w:hint="eastAsia" w:ascii="宋体" w:hAnsi="宋体"/>
                <w:sz w:val="24"/>
              </w:rPr>
              <w:t xml:space="preserve">  </w:t>
            </w:r>
          </w:p>
        </w:tc>
      </w:tr>
      <w:tr w14:paraId="25E3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0EA222C6">
            <w:pPr>
              <w:rPr>
                <w:rFonts w:hint="eastAsia" w:ascii="宋体" w:hAnsi="宋体"/>
                <w:sz w:val="24"/>
              </w:rPr>
            </w:pPr>
            <w:r>
              <w:rPr>
                <w:rFonts w:hint="eastAsia" w:ascii="宋体" w:hAnsi="宋体"/>
                <w:sz w:val="24"/>
              </w:rPr>
              <w:t>合同履行期限</w:t>
            </w:r>
          </w:p>
        </w:tc>
        <w:tc>
          <w:tcPr>
            <w:tcW w:w="3395" w:type="pct"/>
            <w:vAlign w:val="center"/>
          </w:tcPr>
          <w:p w14:paraId="4999E5E7">
            <w:pPr>
              <w:rPr>
                <w:rFonts w:hint="eastAsia" w:ascii="宋体" w:hAnsi="宋体"/>
                <w:sz w:val="24"/>
              </w:rPr>
            </w:pPr>
          </w:p>
        </w:tc>
      </w:tr>
      <w:tr w14:paraId="304F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54F5C75E">
            <w:pPr>
              <w:rPr>
                <w:rFonts w:hint="eastAsia" w:ascii="宋体" w:hAnsi="宋体"/>
                <w:sz w:val="24"/>
              </w:rPr>
            </w:pPr>
            <w:r>
              <w:rPr>
                <w:rFonts w:hint="eastAsia" w:ascii="宋体" w:hAnsi="宋体"/>
                <w:sz w:val="24"/>
              </w:rPr>
              <w:t>计划开工日期</w:t>
            </w:r>
          </w:p>
        </w:tc>
        <w:tc>
          <w:tcPr>
            <w:tcW w:w="3395" w:type="pct"/>
            <w:vAlign w:val="center"/>
          </w:tcPr>
          <w:p w14:paraId="6FAC340D">
            <w:pPr>
              <w:ind w:firstLine="840" w:firstLineChars="350"/>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tc>
      </w:tr>
      <w:tr w14:paraId="22D4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689C2E99">
            <w:pPr>
              <w:rPr>
                <w:rFonts w:hint="eastAsia" w:ascii="宋体" w:hAnsi="宋体"/>
                <w:sz w:val="24"/>
              </w:rPr>
            </w:pPr>
            <w:r>
              <w:rPr>
                <w:rFonts w:hint="eastAsia" w:ascii="宋体" w:hAnsi="宋体"/>
                <w:sz w:val="24"/>
              </w:rPr>
              <w:t>计划竣工日期</w:t>
            </w:r>
          </w:p>
        </w:tc>
        <w:tc>
          <w:tcPr>
            <w:tcW w:w="3395" w:type="pct"/>
            <w:vAlign w:val="center"/>
          </w:tcPr>
          <w:p w14:paraId="171EF663">
            <w:pPr>
              <w:ind w:firstLine="840" w:firstLineChars="350"/>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tc>
      </w:tr>
      <w:tr w14:paraId="64E6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1028463A">
            <w:pPr>
              <w:rPr>
                <w:rFonts w:hint="eastAsia" w:ascii="宋体" w:hAnsi="宋体"/>
                <w:sz w:val="24"/>
              </w:rPr>
            </w:pPr>
            <w:r>
              <w:rPr>
                <w:rFonts w:hint="eastAsia" w:ascii="宋体" w:hAnsi="宋体"/>
                <w:sz w:val="24"/>
              </w:rPr>
              <w:t>质量标准</w:t>
            </w:r>
          </w:p>
        </w:tc>
        <w:tc>
          <w:tcPr>
            <w:tcW w:w="3395" w:type="pct"/>
            <w:vAlign w:val="center"/>
          </w:tcPr>
          <w:p w14:paraId="70CF70D4">
            <w:pPr>
              <w:rPr>
                <w:rFonts w:hint="eastAsia" w:ascii="宋体" w:hAnsi="宋体"/>
                <w:sz w:val="24"/>
              </w:rPr>
            </w:pPr>
            <w:r>
              <w:rPr>
                <w:rFonts w:hint="eastAsia" w:ascii="宋体" w:hAnsi="宋体"/>
                <w:sz w:val="24"/>
              </w:rPr>
              <w:t>合格</w:t>
            </w:r>
          </w:p>
        </w:tc>
      </w:tr>
      <w:tr w14:paraId="301F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07BF2828">
            <w:pPr>
              <w:adjustRightInd w:val="0"/>
              <w:snapToGrid w:val="0"/>
              <w:jc w:val="left"/>
              <w:rPr>
                <w:rFonts w:hint="eastAsia" w:ascii="宋体" w:hAnsi="宋体"/>
                <w:sz w:val="24"/>
              </w:rPr>
            </w:pPr>
            <w:r>
              <w:rPr>
                <w:rFonts w:hint="eastAsia" w:ascii="宋体" w:hAnsi="宋体"/>
                <w:sz w:val="24"/>
              </w:rPr>
              <w:t>施工现场安全生产标准化管理目标等级</w:t>
            </w:r>
          </w:p>
        </w:tc>
        <w:tc>
          <w:tcPr>
            <w:tcW w:w="3395" w:type="pct"/>
            <w:vAlign w:val="center"/>
          </w:tcPr>
          <w:p w14:paraId="3552500E">
            <w:pPr>
              <w:rPr>
                <w:rFonts w:hint="eastAsia" w:ascii="宋体" w:hAnsi="宋体"/>
                <w:sz w:val="24"/>
              </w:rPr>
            </w:pPr>
            <w:r>
              <w:rPr>
                <w:rFonts w:hint="eastAsia" w:ascii="宋体" w:hAnsi="宋体"/>
                <w:sz w:val="24"/>
              </w:rPr>
              <w:t>达标</w:t>
            </w:r>
          </w:p>
        </w:tc>
      </w:tr>
      <w:tr w14:paraId="0C25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4C6AE00B">
            <w:pPr>
              <w:rPr>
                <w:rFonts w:hint="eastAsia" w:ascii="宋体" w:hAnsi="宋体"/>
                <w:sz w:val="24"/>
              </w:rPr>
            </w:pPr>
            <w:r>
              <w:rPr>
                <w:rFonts w:hint="eastAsia" w:ascii="宋体" w:hAnsi="宋体"/>
                <w:sz w:val="24"/>
              </w:rPr>
              <w:t>响应报价</w:t>
            </w:r>
          </w:p>
        </w:tc>
        <w:tc>
          <w:tcPr>
            <w:tcW w:w="3395" w:type="pct"/>
            <w:vAlign w:val="center"/>
          </w:tcPr>
          <w:p w14:paraId="187E6BE2">
            <w:pPr>
              <w:rPr>
                <w:rFonts w:hint="eastAsia" w:ascii="宋体" w:hAnsi="宋体"/>
                <w:sz w:val="24"/>
              </w:rPr>
            </w:pPr>
            <w:r>
              <w:rPr>
                <w:rFonts w:hint="eastAsia" w:ascii="宋体" w:hAnsi="宋体"/>
                <w:sz w:val="24"/>
              </w:rPr>
              <w:t>人民币大写：</w:t>
            </w:r>
            <w:r>
              <w:rPr>
                <w:rFonts w:hint="eastAsia" w:ascii="宋体" w:hAnsi="宋体"/>
                <w:sz w:val="24"/>
                <w:u w:val="single"/>
              </w:rPr>
              <w:t xml:space="preserve"> </w:t>
            </w:r>
            <w:r>
              <w:rPr>
                <w:rFonts w:hint="eastAsia" w:ascii="宋体" w:hAnsi="宋体"/>
                <w:bCs/>
                <w:sz w:val="36"/>
                <w:szCs w:val="36"/>
                <w:u w:val="single"/>
              </w:rPr>
              <w:t xml:space="preserve">            </w:t>
            </w:r>
            <w:r>
              <w:rPr>
                <w:rFonts w:hint="eastAsia" w:ascii="宋体" w:hAnsi="宋体"/>
                <w:sz w:val="24"/>
              </w:rPr>
              <w:t>，</w:t>
            </w:r>
          </w:p>
          <w:p w14:paraId="6BF3F6A3">
            <w:pPr>
              <w:rPr>
                <w:rFonts w:hint="eastAsia" w:ascii="宋体" w:hAnsi="宋体"/>
                <w:sz w:val="24"/>
              </w:rPr>
            </w:pPr>
            <w:r>
              <w:rPr>
                <w:rFonts w:hint="eastAsia" w:ascii="宋体" w:hAnsi="宋体"/>
                <w:sz w:val="24"/>
              </w:rPr>
              <w:t>人民币小写：</w:t>
            </w:r>
            <w:r>
              <w:rPr>
                <w:rFonts w:hint="eastAsia" w:ascii="宋体" w:hAnsi="宋体"/>
                <w:sz w:val="24"/>
                <w:u w:val="single"/>
              </w:rPr>
              <w:t xml:space="preserve"> </w:t>
            </w:r>
            <w:r>
              <w:rPr>
                <w:rFonts w:hint="eastAsia" w:ascii="宋体" w:hAnsi="宋体"/>
                <w:bCs/>
                <w:sz w:val="36"/>
                <w:szCs w:val="36"/>
                <w:u w:val="single"/>
              </w:rPr>
              <w:t xml:space="preserve">            </w:t>
            </w:r>
            <w:r>
              <w:rPr>
                <w:rFonts w:hint="eastAsia" w:ascii="宋体" w:hAnsi="宋体" w:cs="宋体"/>
                <w:bCs/>
                <w:sz w:val="24"/>
                <w:u w:val="single"/>
                <w:shd w:val="clear" w:color="auto" w:fill="FFFFFF"/>
              </w:rPr>
              <w:t xml:space="preserve"> </w:t>
            </w:r>
            <w:r>
              <w:rPr>
                <w:rFonts w:hint="eastAsia" w:ascii="宋体" w:hAnsi="宋体"/>
                <w:sz w:val="24"/>
              </w:rPr>
              <w:t>元</w:t>
            </w:r>
          </w:p>
        </w:tc>
      </w:tr>
      <w:tr w14:paraId="4DB3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39396991">
            <w:pPr>
              <w:rPr>
                <w:rFonts w:hint="eastAsia" w:ascii="宋体" w:hAnsi="宋体"/>
                <w:sz w:val="24"/>
              </w:rPr>
            </w:pPr>
            <w:r>
              <w:rPr>
                <w:rFonts w:hint="eastAsia" w:ascii="宋体" w:hAnsi="宋体"/>
                <w:sz w:val="24"/>
              </w:rPr>
              <w:t>其中：</w:t>
            </w:r>
          </w:p>
        </w:tc>
        <w:tc>
          <w:tcPr>
            <w:tcW w:w="3395" w:type="pct"/>
            <w:vAlign w:val="center"/>
          </w:tcPr>
          <w:p w14:paraId="3EDFD8BE">
            <w:pPr>
              <w:jc w:val="left"/>
              <w:rPr>
                <w:rFonts w:hint="eastAsia" w:ascii="宋体" w:hAnsi="宋体"/>
                <w:bCs/>
                <w:sz w:val="24"/>
              </w:rPr>
            </w:pPr>
            <w:r>
              <w:rPr>
                <w:rFonts w:hint="eastAsia" w:ascii="宋体" w:hAnsi="宋体"/>
                <w:bCs/>
                <w:sz w:val="24"/>
              </w:rPr>
              <w:t>分部分项工程合价为：</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cs="宋体"/>
                <w:bCs/>
                <w:sz w:val="24"/>
                <w:u w:val="single"/>
                <w:shd w:val="clear" w:color="auto" w:fill="FFFFFF"/>
              </w:rPr>
              <w:t xml:space="preserve"> </w:t>
            </w:r>
            <w:r>
              <w:rPr>
                <w:rFonts w:hint="eastAsia" w:ascii="宋体" w:hAnsi="宋体"/>
                <w:bCs/>
                <w:sz w:val="24"/>
                <w:u w:val="single"/>
              </w:rPr>
              <w:t xml:space="preserve"> </w:t>
            </w:r>
            <w:r>
              <w:rPr>
                <w:rFonts w:hint="eastAsia" w:ascii="宋体" w:hAnsi="宋体"/>
                <w:bCs/>
                <w:sz w:val="24"/>
              </w:rPr>
              <w:t>元；</w:t>
            </w:r>
          </w:p>
          <w:p w14:paraId="3903127B">
            <w:pPr>
              <w:jc w:val="left"/>
              <w:rPr>
                <w:rFonts w:hint="eastAsia" w:ascii="宋体" w:hAnsi="宋体"/>
                <w:bCs/>
                <w:sz w:val="24"/>
              </w:rPr>
            </w:pPr>
            <w:r>
              <w:rPr>
                <w:rFonts w:hint="eastAsia" w:ascii="宋体" w:hAnsi="宋体"/>
                <w:bCs/>
                <w:sz w:val="24"/>
              </w:rPr>
              <w:t>措施项目合价为：</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cs="宋体"/>
                <w:bCs/>
                <w:sz w:val="24"/>
                <w:u w:val="single"/>
                <w:shd w:val="clear" w:color="auto" w:fill="FFFFFF"/>
              </w:rPr>
              <w:t xml:space="preserve"> </w:t>
            </w:r>
            <w:r>
              <w:rPr>
                <w:rFonts w:hint="eastAsia" w:ascii="宋体" w:hAnsi="宋体"/>
                <w:bCs/>
                <w:sz w:val="24"/>
                <w:u w:val="single"/>
              </w:rPr>
              <w:t xml:space="preserve"> </w:t>
            </w:r>
            <w:r>
              <w:rPr>
                <w:rFonts w:hint="eastAsia" w:ascii="宋体" w:hAnsi="宋体"/>
                <w:bCs/>
                <w:sz w:val="24"/>
              </w:rPr>
              <w:t>元；</w:t>
            </w:r>
          </w:p>
          <w:p w14:paraId="770009E0">
            <w:pPr>
              <w:jc w:val="left"/>
              <w:rPr>
                <w:rFonts w:hint="eastAsia" w:ascii="宋体" w:hAnsi="宋体"/>
                <w:bCs/>
                <w:sz w:val="24"/>
              </w:rPr>
            </w:pPr>
            <w:r>
              <w:rPr>
                <w:rFonts w:hint="eastAsia" w:ascii="宋体" w:hAnsi="宋体"/>
                <w:bCs/>
                <w:sz w:val="24"/>
              </w:rPr>
              <w:t>其他项目合价为：</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cs="宋体"/>
                <w:bCs/>
                <w:sz w:val="24"/>
                <w:u w:val="single"/>
                <w:shd w:val="clear" w:color="auto" w:fill="FFFFFF"/>
              </w:rPr>
              <w:t xml:space="preserve"> </w:t>
            </w:r>
            <w:r>
              <w:rPr>
                <w:rFonts w:hint="eastAsia" w:ascii="宋体" w:hAnsi="宋体"/>
                <w:bCs/>
                <w:sz w:val="24"/>
                <w:u w:val="single"/>
              </w:rPr>
              <w:t xml:space="preserve">    </w:t>
            </w:r>
            <w:r>
              <w:rPr>
                <w:rFonts w:hint="eastAsia" w:ascii="宋体" w:hAnsi="宋体"/>
                <w:bCs/>
                <w:sz w:val="24"/>
              </w:rPr>
              <w:t>元；</w:t>
            </w:r>
          </w:p>
          <w:p w14:paraId="2F5806B3">
            <w:pPr>
              <w:jc w:val="left"/>
              <w:rPr>
                <w:rFonts w:hint="eastAsia" w:ascii="宋体" w:hAnsi="宋体"/>
                <w:bCs/>
                <w:sz w:val="24"/>
              </w:rPr>
            </w:pPr>
            <w:r>
              <w:rPr>
                <w:rFonts w:hint="eastAsia" w:ascii="宋体" w:hAnsi="宋体"/>
                <w:bCs/>
                <w:sz w:val="24"/>
              </w:rPr>
              <w:t>税金的合价为：</w:t>
            </w:r>
            <w:r>
              <w:rPr>
                <w:rFonts w:hint="eastAsia" w:ascii="宋体" w:hAnsi="宋体"/>
                <w:bCs/>
                <w:sz w:val="24"/>
                <w:u w:val="single"/>
              </w:rPr>
              <w:t xml:space="preserve">  </w:t>
            </w:r>
            <w:r>
              <w:rPr>
                <w:rFonts w:hint="eastAsia" w:ascii="宋体" w:hAnsi="宋体"/>
                <w:bCs/>
                <w:sz w:val="36"/>
                <w:szCs w:val="36"/>
                <w:u w:val="single"/>
              </w:rPr>
              <w:t xml:space="preserve">      </w:t>
            </w:r>
            <w:r>
              <w:rPr>
                <w:rFonts w:hint="eastAsia" w:ascii="宋体" w:hAnsi="宋体"/>
                <w:bCs/>
                <w:sz w:val="24"/>
                <w:u w:val="single"/>
              </w:rPr>
              <w:t xml:space="preserve">  </w:t>
            </w:r>
            <w:r>
              <w:rPr>
                <w:rFonts w:hint="eastAsia" w:ascii="宋体" w:hAnsi="宋体"/>
                <w:bCs/>
                <w:sz w:val="24"/>
              </w:rPr>
              <w:t>元；</w:t>
            </w:r>
          </w:p>
          <w:p w14:paraId="454E5C84">
            <w:pPr>
              <w:jc w:val="left"/>
              <w:rPr>
                <w:rFonts w:hint="eastAsia" w:ascii="宋体" w:hAnsi="宋体"/>
                <w:bCs/>
                <w:sz w:val="24"/>
              </w:rPr>
            </w:pPr>
            <w:r>
              <w:rPr>
                <w:rFonts w:hint="eastAsia" w:ascii="宋体" w:hAnsi="宋体"/>
                <w:bCs/>
                <w:sz w:val="24"/>
              </w:rPr>
              <w:t>其他说明：</w:t>
            </w:r>
          </w:p>
          <w:p w14:paraId="7ECC13BB">
            <w:pPr>
              <w:ind w:firstLine="480" w:firstLineChars="200"/>
              <w:jc w:val="left"/>
              <w:rPr>
                <w:rFonts w:hint="eastAsia" w:ascii="宋体" w:hAnsi="宋体"/>
                <w:bCs/>
                <w:sz w:val="24"/>
              </w:rPr>
            </w:pPr>
            <w:r>
              <w:rPr>
                <w:rFonts w:hint="eastAsia" w:ascii="宋体" w:hAnsi="宋体"/>
                <w:bCs/>
                <w:sz w:val="24"/>
              </w:rPr>
              <w:t>材料和工程设备暂估价（含税）合计金额：</w:t>
            </w:r>
            <w:r>
              <w:rPr>
                <w:rFonts w:hint="eastAsia" w:ascii="宋体" w:hAnsi="宋体"/>
                <w:bCs/>
                <w:sz w:val="24"/>
                <w:u w:val="single"/>
              </w:rPr>
              <w:t xml:space="preserve">      </w:t>
            </w:r>
            <w:r>
              <w:rPr>
                <w:rFonts w:hint="eastAsia" w:ascii="宋体" w:hAnsi="宋体"/>
                <w:bCs/>
                <w:sz w:val="24"/>
              </w:rPr>
              <w:t>元；</w:t>
            </w:r>
          </w:p>
          <w:p w14:paraId="2689A587">
            <w:pPr>
              <w:ind w:firstLine="480" w:firstLineChars="200"/>
              <w:jc w:val="left"/>
              <w:rPr>
                <w:rFonts w:hint="eastAsia" w:ascii="宋体" w:hAnsi="宋体"/>
                <w:bCs/>
                <w:sz w:val="24"/>
              </w:rPr>
            </w:pPr>
            <w:r>
              <w:rPr>
                <w:rFonts w:hint="eastAsia" w:ascii="宋体" w:hAnsi="宋体"/>
                <w:bCs/>
                <w:sz w:val="24"/>
              </w:rPr>
              <w:t>专业工程暂估价（含税）合计金额：</w:t>
            </w:r>
            <w:r>
              <w:rPr>
                <w:rFonts w:hint="eastAsia" w:ascii="宋体" w:hAnsi="宋体"/>
                <w:bCs/>
                <w:sz w:val="24"/>
                <w:u w:val="single"/>
              </w:rPr>
              <w:t xml:space="preserve">      </w:t>
            </w:r>
            <w:r>
              <w:rPr>
                <w:rFonts w:hint="eastAsia" w:ascii="宋体" w:hAnsi="宋体"/>
                <w:bCs/>
                <w:sz w:val="24"/>
              </w:rPr>
              <w:t>元；</w:t>
            </w:r>
          </w:p>
          <w:p w14:paraId="781A256A">
            <w:pPr>
              <w:ind w:firstLine="480" w:firstLineChars="200"/>
              <w:jc w:val="left"/>
              <w:rPr>
                <w:rFonts w:hint="eastAsia" w:ascii="宋体" w:hAnsi="宋体"/>
                <w:bCs/>
                <w:sz w:val="24"/>
              </w:rPr>
            </w:pPr>
            <w:r>
              <w:rPr>
                <w:rFonts w:hint="eastAsia" w:ascii="宋体" w:hAnsi="宋体"/>
                <w:bCs/>
                <w:sz w:val="24"/>
              </w:rPr>
              <w:t>暂列金额（不含计日工）（含税）合计金额：</w:t>
            </w:r>
            <w:r>
              <w:rPr>
                <w:rFonts w:hint="eastAsia" w:ascii="宋体" w:hAnsi="宋体"/>
                <w:bCs/>
                <w:sz w:val="24"/>
                <w:u w:val="single"/>
              </w:rPr>
              <w:t xml:space="preserve">      </w:t>
            </w:r>
            <w:r>
              <w:rPr>
                <w:rFonts w:hint="eastAsia" w:ascii="宋体" w:hAnsi="宋体"/>
                <w:bCs/>
                <w:sz w:val="24"/>
              </w:rPr>
              <w:t>元；</w:t>
            </w:r>
          </w:p>
          <w:p w14:paraId="3CD261A9">
            <w:pPr>
              <w:ind w:firstLine="480" w:firstLineChars="200"/>
              <w:jc w:val="left"/>
              <w:rPr>
                <w:rFonts w:hint="eastAsia" w:ascii="宋体" w:hAnsi="宋体"/>
                <w:bCs/>
                <w:sz w:val="24"/>
              </w:rPr>
            </w:pPr>
            <w:r>
              <w:rPr>
                <w:rFonts w:hint="eastAsia" w:ascii="宋体" w:hAnsi="宋体"/>
                <w:bCs/>
                <w:sz w:val="24"/>
              </w:rPr>
              <w:t>安全生产标准化措施费（含税）合计金额：</w:t>
            </w:r>
            <w:r>
              <w:rPr>
                <w:rFonts w:hint="eastAsia" w:ascii="宋体" w:hAnsi="宋体"/>
                <w:bCs/>
                <w:sz w:val="24"/>
                <w:u w:val="single"/>
              </w:rPr>
              <w:t xml:space="preserve">      </w:t>
            </w:r>
            <w:r>
              <w:rPr>
                <w:rFonts w:hint="eastAsia" w:ascii="宋体" w:hAnsi="宋体"/>
                <w:bCs/>
                <w:sz w:val="24"/>
              </w:rPr>
              <w:t>元</w:t>
            </w:r>
          </w:p>
          <w:p w14:paraId="4B512BCF">
            <w:pPr>
              <w:ind w:firstLine="480" w:firstLineChars="200"/>
              <w:jc w:val="left"/>
              <w:rPr>
                <w:rFonts w:hint="eastAsia" w:ascii="宋体" w:hAnsi="宋体"/>
                <w:bCs/>
                <w:sz w:val="24"/>
              </w:rPr>
            </w:pPr>
            <w:r>
              <w:rPr>
                <w:rFonts w:hint="eastAsia" w:ascii="宋体" w:hAnsi="宋体"/>
                <w:bCs/>
                <w:sz w:val="24"/>
              </w:rPr>
              <w:t>赶工增加费（含税）合计金额（如有）：</w:t>
            </w:r>
            <w:r>
              <w:rPr>
                <w:rFonts w:hint="eastAsia" w:ascii="宋体" w:hAnsi="宋体"/>
                <w:bCs/>
                <w:sz w:val="24"/>
                <w:u w:val="single"/>
              </w:rPr>
              <w:t xml:space="preserve">      </w:t>
            </w:r>
            <w:r>
              <w:rPr>
                <w:rFonts w:hint="eastAsia" w:ascii="宋体" w:hAnsi="宋体"/>
                <w:bCs/>
                <w:sz w:val="24"/>
              </w:rPr>
              <w:t>元。</w:t>
            </w:r>
          </w:p>
        </w:tc>
      </w:tr>
      <w:tr w14:paraId="5E84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3D645C50">
            <w:pPr>
              <w:rPr>
                <w:rFonts w:hint="eastAsia" w:ascii="宋体" w:hAnsi="宋体"/>
                <w:sz w:val="24"/>
              </w:rPr>
            </w:pPr>
            <w:r>
              <w:rPr>
                <w:rFonts w:hint="eastAsia" w:ascii="宋体" w:hAnsi="宋体"/>
                <w:sz w:val="24"/>
              </w:rPr>
              <w:t>对磋商文件的确认意见</w:t>
            </w:r>
          </w:p>
        </w:tc>
        <w:tc>
          <w:tcPr>
            <w:tcW w:w="3395" w:type="pct"/>
            <w:vAlign w:val="center"/>
          </w:tcPr>
          <w:p w14:paraId="0B65BF41">
            <w:pPr>
              <w:rPr>
                <w:rFonts w:hint="eastAsia" w:ascii="宋体" w:hAnsi="宋体"/>
                <w:sz w:val="24"/>
              </w:rPr>
            </w:pPr>
            <w:r>
              <w:rPr>
                <w:rFonts w:hint="eastAsia" w:ascii="宋体" w:hAnsi="宋体"/>
                <w:sz w:val="24"/>
              </w:rPr>
              <w:t>全部确认、无意见</w:t>
            </w:r>
          </w:p>
        </w:tc>
      </w:tr>
      <w:tr w14:paraId="6A66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769CC039">
            <w:pPr>
              <w:rPr>
                <w:rFonts w:hint="eastAsia" w:ascii="宋体" w:hAnsi="宋体"/>
                <w:sz w:val="24"/>
              </w:rPr>
            </w:pPr>
            <w:r>
              <w:rPr>
                <w:rFonts w:hint="eastAsia" w:ascii="宋体" w:hAnsi="宋体"/>
                <w:sz w:val="24"/>
              </w:rPr>
              <w:t>报价中未包含内容及要求采购单位的配合条件</w:t>
            </w:r>
          </w:p>
        </w:tc>
        <w:tc>
          <w:tcPr>
            <w:tcW w:w="3395" w:type="pct"/>
            <w:vAlign w:val="center"/>
          </w:tcPr>
          <w:p w14:paraId="5888D30A">
            <w:pPr>
              <w:rPr>
                <w:rFonts w:hint="eastAsia" w:ascii="宋体" w:hAnsi="宋体"/>
                <w:sz w:val="24"/>
              </w:rPr>
            </w:pPr>
            <w:r>
              <w:rPr>
                <w:rFonts w:hint="eastAsia" w:ascii="宋体" w:hAnsi="宋体"/>
                <w:sz w:val="24"/>
              </w:rPr>
              <w:t>无</w:t>
            </w:r>
          </w:p>
        </w:tc>
      </w:tr>
      <w:tr w14:paraId="1BF4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70DAFA83">
            <w:pPr>
              <w:rPr>
                <w:rFonts w:hint="eastAsia" w:ascii="宋体" w:hAnsi="宋体"/>
                <w:sz w:val="24"/>
              </w:rPr>
            </w:pPr>
            <w:r>
              <w:rPr>
                <w:rFonts w:hint="eastAsia" w:ascii="宋体" w:hAnsi="宋体"/>
                <w:sz w:val="24"/>
              </w:rPr>
              <w:t>响应报价需要说明的问题</w:t>
            </w:r>
          </w:p>
        </w:tc>
        <w:tc>
          <w:tcPr>
            <w:tcW w:w="3395" w:type="pct"/>
            <w:vAlign w:val="center"/>
          </w:tcPr>
          <w:p w14:paraId="4A9DB334">
            <w:pPr>
              <w:rPr>
                <w:rFonts w:hint="eastAsia" w:ascii="宋体" w:hAnsi="宋体"/>
                <w:sz w:val="24"/>
              </w:rPr>
            </w:pPr>
            <w:r>
              <w:rPr>
                <w:rFonts w:hint="eastAsia" w:ascii="宋体" w:hAnsi="宋体"/>
                <w:sz w:val="24"/>
              </w:rPr>
              <w:t>安全生产标准化措施费的报价及费率，以及税率、规费费率等执行现行最新标准。</w:t>
            </w:r>
          </w:p>
        </w:tc>
      </w:tr>
      <w:tr w14:paraId="25EF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4" w:type="pct"/>
            <w:vAlign w:val="center"/>
          </w:tcPr>
          <w:p w14:paraId="6DEB3427">
            <w:pPr>
              <w:rPr>
                <w:rFonts w:hint="eastAsia" w:ascii="宋体" w:hAnsi="宋体"/>
                <w:sz w:val="24"/>
              </w:rPr>
            </w:pPr>
            <w:r>
              <w:rPr>
                <w:rFonts w:hint="eastAsia" w:ascii="宋体" w:hAnsi="宋体"/>
                <w:sz w:val="24"/>
              </w:rPr>
              <w:t>备注</w:t>
            </w:r>
          </w:p>
        </w:tc>
        <w:tc>
          <w:tcPr>
            <w:tcW w:w="3395" w:type="pct"/>
            <w:vAlign w:val="center"/>
          </w:tcPr>
          <w:p w14:paraId="68B89EBA">
            <w:pPr>
              <w:rPr>
                <w:rFonts w:hint="eastAsia" w:ascii="宋体" w:hAnsi="宋体"/>
                <w:sz w:val="24"/>
              </w:rPr>
            </w:pPr>
            <w:r>
              <w:rPr>
                <w:rFonts w:hint="eastAsia" w:ascii="宋体" w:hAnsi="宋体"/>
                <w:sz w:val="24"/>
              </w:rPr>
              <w:t>无</w:t>
            </w:r>
          </w:p>
        </w:tc>
      </w:tr>
    </w:tbl>
    <w:p w14:paraId="5A23C160">
      <w:pPr>
        <w:tabs>
          <w:tab w:val="left" w:pos="1800"/>
          <w:tab w:val="left" w:pos="5580"/>
        </w:tabs>
        <w:jc w:val="left"/>
        <w:rPr>
          <w:rFonts w:eastAsiaTheme="minorEastAsia"/>
          <w:color w:val="000000"/>
          <w:sz w:val="24"/>
        </w:rPr>
      </w:pPr>
    </w:p>
    <w:p w14:paraId="6E422BA8">
      <w:pPr>
        <w:tabs>
          <w:tab w:val="left" w:pos="1800"/>
          <w:tab w:val="left" w:pos="5580"/>
        </w:tabs>
        <w:jc w:val="left"/>
        <w:rPr>
          <w:rFonts w:eastAsiaTheme="minorEastAsia"/>
          <w:color w:val="000000"/>
          <w:sz w:val="24"/>
        </w:rPr>
      </w:pPr>
      <w:r>
        <w:rPr>
          <w:rFonts w:eastAsiaTheme="minorEastAsia"/>
          <w:color w:val="000000"/>
          <w:sz w:val="24"/>
        </w:rPr>
        <w:t>注：1.本表应按包分别填写。</w:t>
      </w:r>
    </w:p>
    <w:p w14:paraId="597FF5E9">
      <w:pPr>
        <w:tabs>
          <w:tab w:val="left" w:pos="1800"/>
          <w:tab w:val="left" w:pos="5580"/>
        </w:tabs>
        <w:ind w:firstLine="480" w:firstLineChars="200"/>
        <w:jc w:val="left"/>
        <w:rPr>
          <w:rFonts w:eastAsiaTheme="minorEastAsia"/>
          <w:color w:val="000000"/>
          <w:sz w:val="24"/>
        </w:rPr>
      </w:pPr>
      <w:r>
        <w:rPr>
          <w:rFonts w:eastAsiaTheme="minorEastAsia"/>
          <w:color w:val="000000"/>
          <w:sz w:val="24"/>
        </w:rPr>
        <w:t>2.上述各项的详细规格（如有），可另页描述。</w:t>
      </w:r>
    </w:p>
    <w:p w14:paraId="0DE5D163">
      <w:pPr>
        <w:tabs>
          <w:tab w:val="left" w:pos="1800"/>
          <w:tab w:val="left" w:pos="5580"/>
        </w:tabs>
        <w:ind w:firstLine="480" w:firstLineChars="200"/>
        <w:jc w:val="left"/>
        <w:rPr>
          <w:color w:val="000000"/>
          <w:sz w:val="24"/>
        </w:rPr>
      </w:pPr>
      <w:r>
        <w:rPr>
          <w:rFonts w:eastAsiaTheme="minorEastAsia"/>
          <w:color w:val="000000"/>
          <w:sz w:val="24"/>
        </w:rPr>
        <w:t>3.制造商规模列应填写</w:t>
      </w:r>
      <w:r>
        <w:rPr>
          <w:rFonts w:hint="eastAsia" w:eastAsiaTheme="minorEastAsia"/>
          <w:color w:val="000000"/>
          <w:sz w:val="24"/>
        </w:rPr>
        <w:t>“大型”、</w:t>
      </w:r>
      <w:r>
        <w:rPr>
          <w:rFonts w:eastAsiaTheme="minorEastAsia"/>
          <w:color w:val="000000"/>
          <w:sz w:val="24"/>
        </w:rPr>
        <w:t>“中型”、“小型”</w:t>
      </w:r>
      <w:r>
        <w:rPr>
          <w:rFonts w:hint="eastAsia" w:eastAsiaTheme="minorEastAsia"/>
          <w:color w:val="000000"/>
          <w:sz w:val="24"/>
        </w:rPr>
        <w:t>、</w:t>
      </w:r>
      <w:r>
        <w:rPr>
          <w:rFonts w:eastAsiaTheme="minorEastAsia"/>
          <w:color w:val="000000"/>
          <w:sz w:val="24"/>
        </w:rPr>
        <w:t>“微型”或“其他”，且不应与《中小企业声明函》或《拟分包情况说明》中内容矛盾。</w:t>
      </w:r>
      <w:r>
        <w:rPr>
          <w:rFonts w:hint="eastAsia" w:eastAsiaTheme="minorEastAsia"/>
          <w:color w:val="000000"/>
          <w:sz w:val="24"/>
        </w:rPr>
        <w:t>制造商所属性别请填写“男”或“女”，</w:t>
      </w:r>
      <w:r>
        <w:rPr>
          <w:rFonts w:hint="eastAsia"/>
          <w:color w:val="000000"/>
          <w:sz w:val="24"/>
        </w:rPr>
        <w:t>指拥有制造商</w:t>
      </w:r>
      <w:r>
        <w:rPr>
          <w:color w:val="000000"/>
          <w:sz w:val="24"/>
        </w:rPr>
        <w:t>51%</w:t>
      </w:r>
      <w:r>
        <w:rPr>
          <w:rFonts w:hint="eastAsia"/>
          <w:color w:val="000000"/>
          <w:sz w:val="24"/>
        </w:rPr>
        <w:t>以上绝对所有权的性别；绝对所有权拥有者可以是一个人，也可以是多人合计计算</w:t>
      </w:r>
      <w:r>
        <w:rPr>
          <w:rFonts w:hint="eastAsia" w:eastAsiaTheme="minorEastAsia"/>
          <w:color w:val="000000"/>
          <w:sz w:val="24"/>
        </w:rPr>
        <w:t>。外商投资类型请填写“外商单独投资”、“外商部分投资”或“内资”。</w:t>
      </w:r>
    </w:p>
    <w:p w14:paraId="68800D79">
      <w:pPr>
        <w:autoSpaceDE w:val="0"/>
        <w:autoSpaceDN w:val="0"/>
        <w:adjustRightInd w:val="0"/>
        <w:snapToGrid w:val="0"/>
        <w:spacing w:before="25" w:after="25" w:line="360" w:lineRule="auto"/>
        <w:ind w:right="360"/>
        <w:jc w:val="left"/>
        <w:rPr>
          <w:rFonts w:eastAsiaTheme="minorEastAsia"/>
          <w:color w:val="000000"/>
          <w:sz w:val="24"/>
        </w:rPr>
      </w:pPr>
    </w:p>
    <w:p w14:paraId="36EEA46C">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421A24B2">
      <w:pPr>
        <w:autoSpaceDE w:val="0"/>
        <w:autoSpaceDN w:val="0"/>
        <w:adjustRightInd w:val="0"/>
        <w:snapToGrid w:val="0"/>
        <w:spacing w:before="25" w:after="25" w:line="360" w:lineRule="auto"/>
        <w:rPr>
          <w:rFonts w:eastAsiaTheme="minorEastAsia"/>
          <w:color w:val="000000"/>
          <w:sz w:val="24"/>
          <w:szCs w:val="20"/>
        </w:rPr>
      </w:pPr>
      <w:r>
        <w:rPr>
          <w:rFonts w:eastAsiaTheme="minorEastAsia"/>
          <w:color w:val="000000"/>
          <w:sz w:val="24"/>
          <w:szCs w:val="20"/>
        </w:rPr>
        <w:t xml:space="preserve">日期：____年____月____日  </w:t>
      </w:r>
    </w:p>
    <w:p w14:paraId="49D1B929">
      <w:pPr>
        <w:rPr>
          <w:rFonts w:eastAsiaTheme="minorEastAsia"/>
          <w:color w:val="000000"/>
          <w:sz w:val="24"/>
          <w:szCs w:val="20"/>
        </w:rPr>
      </w:pPr>
      <w:r>
        <w:rPr>
          <w:rFonts w:eastAsiaTheme="minorEastAsia"/>
          <w:color w:val="000000"/>
          <w:sz w:val="24"/>
          <w:szCs w:val="20"/>
        </w:rPr>
        <w:br w:type="page"/>
      </w:r>
    </w:p>
    <w:p w14:paraId="706C98CE">
      <w:pPr>
        <w:spacing w:line="346" w:lineRule="auto"/>
        <w:jc w:val="center"/>
        <w:rPr>
          <w:rFonts w:hint="eastAsia" w:ascii="宋体" w:hAnsi="宋体" w:cs="宋体"/>
          <w:b/>
          <w:bCs/>
          <w:color w:val="000000"/>
          <w:spacing w:val="-2"/>
          <w:sz w:val="28"/>
          <w:szCs w:val="32"/>
        </w:rPr>
      </w:pPr>
      <w:r>
        <w:rPr>
          <w:rFonts w:hint="eastAsia" w:ascii="宋体" w:hAnsi="宋体" w:cs="宋体"/>
          <w:b/>
          <w:bCs/>
          <w:color w:val="000000"/>
          <w:spacing w:val="-2"/>
          <w:sz w:val="28"/>
          <w:szCs w:val="32"/>
        </w:rPr>
        <w:t>已标价工程量清单</w:t>
      </w:r>
    </w:p>
    <w:p w14:paraId="2015F2FB">
      <w:pPr>
        <w:spacing w:line="360" w:lineRule="auto"/>
        <w:rPr>
          <w:color w:val="000000"/>
          <w:sz w:val="24"/>
        </w:rPr>
      </w:pPr>
    </w:p>
    <w:p w14:paraId="4C7D01C1">
      <w:pPr>
        <w:spacing w:line="360" w:lineRule="auto"/>
        <w:rPr>
          <w:color w:val="000000"/>
          <w:sz w:val="24"/>
        </w:rPr>
      </w:pPr>
    </w:p>
    <w:p w14:paraId="73D20B40">
      <w:pPr>
        <w:spacing w:line="360" w:lineRule="auto"/>
        <w:rPr>
          <w:color w:val="000000"/>
          <w:sz w:val="24"/>
        </w:rPr>
      </w:pPr>
      <w:r>
        <w:rPr>
          <w:rFonts w:hint="eastAsia"/>
          <w:b/>
          <w:bCs/>
          <w:color w:val="000000"/>
          <w:sz w:val="32"/>
          <w:szCs w:val="32"/>
        </w:rPr>
        <w:t xml:space="preserve"> </w:t>
      </w:r>
    </w:p>
    <w:p w14:paraId="58F82248">
      <w:pPr>
        <w:spacing w:line="360" w:lineRule="auto"/>
        <w:rPr>
          <w:color w:val="000000"/>
          <w:sz w:val="24"/>
        </w:rPr>
      </w:pPr>
    </w:p>
    <w:p w14:paraId="582C39D6">
      <w:pPr>
        <w:spacing w:line="360" w:lineRule="auto"/>
        <w:rPr>
          <w:color w:val="000000"/>
          <w:sz w:val="24"/>
        </w:rPr>
      </w:pPr>
    </w:p>
    <w:p w14:paraId="5B38EA3B">
      <w:pPr>
        <w:spacing w:line="360" w:lineRule="auto"/>
        <w:rPr>
          <w:color w:val="000000"/>
          <w:sz w:val="24"/>
        </w:rPr>
      </w:pPr>
    </w:p>
    <w:p w14:paraId="64E56FA2">
      <w:pPr>
        <w:spacing w:line="360" w:lineRule="auto"/>
        <w:rPr>
          <w:color w:val="000000"/>
          <w:sz w:val="24"/>
        </w:rPr>
      </w:pPr>
    </w:p>
    <w:p w14:paraId="75073310">
      <w:pPr>
        <w:spacing w:line="360" w:lineRule="auto"/>
        <w:rPr>
          <w:color w:val="000000"/>
          <w:sz w:val="24"/>
        </w:rPr>
      </w:pPr>
    </w:p>
    <w:p w14:paraId="15A8DEE1">
      <w:pPr>
        <w:spacing w:line="360" w:lineRule="auto"/>
        <w:jc w:val="center"/>
        <w:rPr>
          <w:color w:val="000000"/>
          <w:sz w:val="24"/>
        </w:rPr>
      </w:pPr>
      <w:r>
        <w:rPr>
          <w:rFonts w:hint="eastAsia"/>
          <w:color w:val="000000"/>
          <w:sz w:val="24"/>
        </w:rPr>
        <w:t>（按照清单文件要求签字盖章）</w:t>
      </w:r>
    </w:p>
    <w:p w14:paraId="314991E1">
      <w:pPr>
        <w:spacing w:line="360" w:lineRule="auto"/>
        <w:rPr>
          <w:color w:val="000000"/>
          <w:sz w:val="24"/>
        </w:rPr>
      </w:pPr>
    </w:p>
    <w:p w14:paraId="5E506083">
      <w:pPr>
        <w:spacing w:line="360" w:lineRule="auto"/>
        <w:rPr>
          <w:color w:val="000000"/>
          <w:sz w:val="24"/>
        </w:rPr>
      </w:pPr>
    </w:p>
    <w:p w14:paraId="64D9E4AA">
      <w:pPr>
        <w:spacing w:line="360" w:lineRule="auto"/>
        <w:rPr>
          <w:color w:val="000000"/>
          <w:sz w:val="24"/>
        </w:rPr>
      </w:pPr>
    </w:p>
    <w:p w14:paraId="7151F096">
      <w:pPr>
        <w:spacing w:line="360" w:lineRule="auto"/>
        <w:rPr>
          <w:color w:val="000000"/>
          <w:sz w:val="24"/>
        </w:rPr>
      </w:pPr>
    </w:p>
    <w:p w14:paraId="7F423C5A">
      <w:pPr>
        <w:spacing w:line="360" w:lineRule="auto"/>
        <w:rPr>
          <w:color w:val="000000"/>
          <w:sz w:val="24"/>
        </w:rPr>
      </w:pPr>
    </w:p>
    <w:p w14:paraId="33A9554E">
      <w:pPr>
        <w:spacing w:line="360" w:lineRule="auto"/>
        <w:rPr>
          <w:color w:val="000000"/>
          <w:sz w:val="24"/>
        </w:rPr>
      </w:pPr>
    </w:p>
    <w:p w14:paraId="3BE52D8A">
      <w:pPr>
        <w:spacing w:line="360" w:lineRule="auto"/>
        <w:rPr>
          <w:color w:val="000000"/>
          <w:sz w:val="24"/>
        </w:rPr>
      </w:pPr>
    </w:p>
    <w:p w14:paraId="106B073B">
      <w:pPr>
        <w:spacing w:line="360" w:lineRule="auto"/>
        <w:rPr>
          <w:color w:val="000000"/>
          <w:sz w:val="24"/>
        </w:rPr>
      </w:pPr>
    </w:p>
    <w:p w14:paraId="088855F6">
      <w:pPr>
        <w:spacing w:line="360" w:lineRule="auto"/>
        <w:rPr>
          <w:color w:val="000000"/>
          <w:sz w:val="24"/>
        </w:rPr>
      </w:pPr>
    </w:p>
    <w:p w14:paraId="4CEE15D5">
      <w:pPr>
        <w:spacing w:line="360" w:lineRule="auto"/>
        <w:rPr>
          <w:color w:val="000000"/>
          <w:sz w:val="24"/>
        </w:rPr>
      </w:pPr>
    </w:p>
    <w:p w14:paraId="6CF5C7C7">
      <w:pPr>
        <w:spacing w:line="360" w:lineRule="auto"/>
        <w:rPr>
          <w:color w:val="000000"/>
          <w:sz w:val="24"/>
        </w:rPr>
      </w:pPr>
      <w:r>
        <w:rPr>
          <w:rFonts w:hint="eastAsia"/>
          <w:color w:val="000000"/>
          <w:sz w:val="24"/>
        </w:rPr>
        <w:t>注：</w:t>
      </w:r>
    </w:p>
    <w:p w14:paraId="46F80E2D">
      <w:pPr>
        <w:spacing w:line="360" w:lineRule="auto"/>
        <w:rPr>
          <w:color w:val="000000"/>
          <w:sz w:val="24"/>
        </w:rPr>
      </w:pPr>
      <w:r>
        <w:rPr>
          <w:rFonts w:hint="eastAsia"/>
          <w:color w:val="000000"/>
          <w:sz w:val="24"/>
        </w:rPr>
        <w:t>1.如果不提供已标价工程量清单将视为没有实质性响应磋商文件。</w:t>
      </w:r>
    </w:p>
    <w:p w14:paraId="1F9A1B22">
      <w:pPr>
        <w:autoSpaceDE w:val="0"/>
        <w:autoSpaceDN w:val="0"/>
        <w:adjustRightInd w:val="0"/>
        <w:snapToGrid w:val="0"/>
        <w:spacing w:before="25" w:after="25" w:line="360" w:lineRule="auto"/>
        <w:rPr>
          <w:rFonts w:eastAsiaTheme="minorEastAsia"/>
          <w:color w:val="000000"/>
          <w:sz w:val="24"/>
          <w:lang w:val="zh-CN"/>
        </w:rPr>
      </w:pPr>
      <w:r>
        <w:rPr>
          <w:rFonts w:hint="eastAsia"/>
          <w:color w:val="000000"/>
          <w:sz w:val="24"/>
        </w:rPr>
        <w:t>2.已标价工程量清单按“工程量清单”中的相关清单表格式填写。构成合同文件的已标价工程量清单包括“工程量清单”有关工程量清单及其他说明的内容。</w:t>
      </w:r>
      <w:r>
        <w:rPr>
          <w:rFonts w:eastAsiaTheme="minorEastAsia"/>
          <w:color w:val="000000"/>
          <w:sz w:val="24"/>
          <w:szCs w:val="20"/>
        </w:rPr>
        <w:t xml:space="preserve">  </w:t>
      </w:r>
    </w:p>
    <w:p w14:paraId="3D546B37">
      <w:pPr>
        <w:tabs>
          <w:tab w:val="left" w:pos="360"/>
        </w:tabs>
        <w:snapToGrid w:val="0"/>
        <w:spacing w:line="360" w:lineRule="auto"/>
        <w:outlineLvl w:val="1"/>
        <w:rPr>
          <w:rFonts w:eastAsiaTheme="minorEastAsia"/>
          <w:sz w:val="24"/>
        </w:rPr>
        <w:sectPr>
          <w:pgSz w:w="11907" w:h="16840"/>
          <w:pgMar w:top="1418" w:right="1134" w:bottom="1418" w:left="1701" w:header="851" w:footer="851" w:gutter="0"/>
          <w:cols w:space="720" w:num="1"/>
          <w:docGrid w:linePitch="462" w:charSpace="0"/>
        </w:sectPr>
      </w:pPr>
      <w:bookmarkStart w:id="758" w:name="_Toc264969252"/>
      <w:bookmarkStart w:id="759" w:name="_Toc226965835"/>
      <w:bookmarkStart w:id="760" w:name="_Toc142311062"/>
      <w:bookmarkStart w:id="761" w:name="_Toc226337258"/>
      <w:bookmarkStart w:id="762" w:name="_Toc265228400"/>
      <w:bookmarkStart w:id="763" w:name="_Toc195842927"/>
      <w:bookmarkStart w:id="764" w:name="_Toc226965752"/>
      <w:bookmarkStart w:id="765" w:name="_Toc226309806"/>
      <w:bookmarkStart w:id="766" w:name="_Toc305158904"/>
      <w:bookmarkStart w:id="767" w:name="_Toc305158830"/>
      <w:bookmarkStart w:id="768" w:name="_Toc150480798"/>
      <w:bookmarkStart w:id="769" w:name="_Toc150774765"/>
      <w:bookmarkStart w:id="770" w:name="_Toc127151562"/>
      <w:bookmarkStart w:id="771" w:name="_Toc264969251"/>
      <w:bookmarkStart w:id="772" w:name="_Toc226337257"/>
      <w:bookmarkStart w:id="773" w:name="_Toc127151561"/>
      <w:bookmarkStart w:id="774" w:name="_Toc142311061"/>
      <w:bookmarkStart w:id="775" w:name="_Toc226965751"/>
      <w:bookmarkStart w:id="776" w:name="_Toc265228399"/>
      <w:bookmarkStart w:id="777" w:name="_Toc150774764"/>
      <w:bookmarkStart w:id="778" w:name="_Toc305158903"/>
      <w:bookmarkStart w:id="779" w:name="_Toc150480797"/>
      <w:bookmarkStart w:id="780" w:name="_Toc226965834"/>
      <w:bookmarkStart w:id="781" w:name="_Toc305158829"/>
      <w:bookmarkStart w:id="782" w:name="_Toc226309805"/>
      <w:bookmarkStart w:id="783" w:name="_Toc195842926"/>
    </w:p>
    <w:p w14:paraId="3C0CBC1B">
      <w:pPr>
        <w:tabs>
          <w:tab w:val="left" w:pos="360"/>
        </w:tabs>
        <w:snapToGrid w:val="0"/>
        <w:spacing w:line="360" w:lineRule="auto"/>
        <w:outlineLvl w:val="1"/>
        <w:rPr>
          <w:rFonts w:eastAsiaTheme="minorEastAsia"/>
          <w:color w:val="000000"/>
          <w:sz w:val="24"/>
          <w:szCs w:val="20"/>
        </w:rPr>
      </w:pPr>
      <w:r>
        <w:rPr>
          <w:rFonts w:eastAsiaTheme="minorEastAsia"/>
          <w:sz w:val="24"/>
        </w:rPr>
        <w:t>9  合同条款偏离表</w:t>
      </w:r>
      <w:bookmarkEnd w:id="758"/>
      <w:bookmarkEnd w:id="759"/>
      <w:bookmarkEnd w:id="760"/>
      <w:bookmarkEnd w:id="761"/>
      <w:bookmarkEnd w:id="762"/>
      <w:bookmarkEnd w:id="763"/>
      <w:bookmarkEnd w:id="764"/>
      <w:bookmarkEnd w:id="765"/>
      <w:bookmarkEnd w:id="766"/>
      <w:bookmarkEnd w:id="767"/>
      <w:bookmarkEnd w:id="768"/>
      <w:bookmarkEnd w:id="769"/>
      <w:bookmarkEnd w:id="770"/>
      <w:r>
        <w:rPr>
          <w:rFonts w:eastAsiaTheme="minorEastAsia"/>
          <w:sz w:val="24"/>
        </w:rPr>
        <w:t>（实质性格式）</w:t>
      </w:r>
    </w:p>
    <w:p w14:paraId="6B4DB8C1">
      <w:pPr>
        <w:spacing w:line="360" w:lineRule="auto"/>
        <w:rPr>
          <w:rFonts w:eastAsiaTheme="minorEastAsia"/>
          <w:color w:val="000000"/>
          <w:sz w:val="24"/>
          <w:szCs w:val="20"/>
        </w:rPr>
      </w:pPr>
    </w:p>
    <w:p w14:paraId="652B242F">
      <w:pPr>
        <w:tabs>
          <w:tab w:val="left" w:pos="2775"/>
          <w:tab w:val="center" w:pos="4153"/>
        </w:tabs>
        <w:autoSpaceDE w:val="0"/>
        <w:autoSpaceDN w:val="0"/>
        <w:adjustRightInd w:val="0"/>
        <w:spacing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14:paraId="2AF5BF7F">
      <w:pPr>
        <w:spacing w:line="360" w:lineRule="auto"/>
        <w:rPr>
          <w:rFonts w:eastAsiaTheme="minorEastAsia"/>
          <w:color w:val="000000"/>
          <w:sz w:val="24"/>
          <w:szCs w:val="20"/>
        </w:rPr>
      </w:pPr>
    </w:p>
    <w:p w14:paraId="46FDD89A">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1560"/>
        <w:gridCol w:w="1777"/>
        <w:gridCol w:w="1778"/>
        <w:gridCol w:w="2184"/>
        <w:gridCol w:w="980"/>
      </w:tblGrid>
      <w:tr w14:paraId="000D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0AEFE40">
            <w:pPr>
              <w:adjustRightInd w:val="0"/>
              <w:snapToGrid w:val="0"/>
              <w:jc w:val="center"/>
              <w:rPr>
                <w:rFonts w:eastAsiaTheme="minorEastAsia"/>
                <w:color w:val="000000"/>
                <w:sz w:val="24"/>
              </w:rPr>
            </w:pPr>
            <w:r>
              <w:rPr>
                <w:rFonts w:eastAsiaTheme="minorEastAsia"/>
                <w:color w:val="000000"/>
                <w:sz w:val="24"/>
              </w:rPr>
              <w:t>序号</w:t>
            </w:r>
          </w:p>
        </w:tc>
        <w:tc>
          <w:tcPr>
            <w:tcW w:w="1394" w:type="dxa"/>
            <w:vAlign w:val="center"/>
          </w:tcPr>
          <w:p w14:paraId="336DBED8">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14:paraId="71E1ECD7">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14:paraId="2DD6704D">
            <w:pPr>
              <w:adjustRightInd w:val="0"/>
              <w:snapToGrid w:val="0"/>
              <w:jc w:val="center"/>
              <w:rPr>
                <w:rFonts w:eastAsiaTheme="minorEastAsia"/>
                <w:color w:val="000000"/>
                <w:sz w:val="24"/>
              </w:rPr>
            </w:pPr>
            <w:r>
              <w:rPr>
                <w:rFonts w:eastAsiaTheme="minorEastAsia"/>
                <w:color w:val="000000"/>
                <w:sz w:val="24"/>
              </w:rPr>
              <w:t>响应文件内容</w:t>
            </w:r>
          </w:p>
        </w:tc>
        <w:tc>
          <w:tcPr>
            <w:tcW w:w="2290" w:type="dxa"/>
            <w:vAlign w:val="center"/>
          </w:tcPr>
          <w:p w14:paraId="37BBC168">
            <w:pPr>
              <w:adjustRightInd w:val="0"/>
              <w:snapToGrid w:val="0"/>
              <w:jc w:val="center"/>
              <w:rPr>
                <w:rFonts w:eastAsiaTheme="minorEastAsia"/>
                <w:color w:val="000000"/>
                <w:sz w:val="24"/>
              </w:rPr>
            </w:pPr>
            <w:r>
              <w:rPr>
                <w:rFonts w:eastAsiaTheme="minorEastAsia"/>
                <w:color w:val="000000"/>
                <w:sz w:val="24"/>
              </w:rPr>
              <w:t>偏离情况</w:t>
            </w:r>
          </w:p>
        </w:tc>
        <w:tc>
          <w:tcPr>
            <w:tcW w:w="863" w:type="dxa"/>
            <w:vAlign w:val="center"/>
          </w:tcPr>
          <w:p w14:paraId="19E54BBA">
            <w:pPr>
              <w:adjustRightInd w:val="0"/>
              <w:snapToGrid w:val="0"/>
              <w:jc w:val="center"/>
              <w:rPr>
                <w:rFonts w:eastAsiaTheme="minorEastAsia"/>
                <w:color w:val="000000"/>
                <w:sz w:val="24"/>
              </w:rPr>
            </w:pPr>
            <w:r>
              <w:rPr>
                <w:rFonts w:eastAsiaTheme="minorEastAsia"/>
                <w:color w:val="000000"/>
                <w:sz w:val="24"/>
              </w:rPr>
              <w:t>说明</w:t>
            </w:r>
          </w:p>
        </w:tc>
      </w:tr>
      <w:tr w14:paraId="68C3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5D0E9A66">
            <w:pPr>
              <w:adjustRightInd w:val="0"/>
              <w:snapToGrid w:val="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14:paraId="1C69EDD5">
            <w:pPr>
              <w:adjustRightInd w:val="0"/>
              <w:snapToGrid w:val="0"/>
              <w:jc w:val="left"/>
              <w:rPr>
                <w:rFonts w:eastAsiaTheme="minorEastAsia"/>
                <w:b/>
                <w:color w:val="000000"/>
                <w:sz w:val="24"/>
              </w:rPr>
            </w:pP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14:paraId="59F82236">
            <w:pPr>
              <w:adjustRightInd w:val="0"/>
              <w:snapToGrid w:val="0"/>
              <w:jc w:val="left"/>
              <w:rPr>
                <w:rFonts w:eastAsiaTheme="minorEastAsia"/>
                <w:color w:val="000000"/>
                <w:sz w:val="24"/>
              </w:rPr>
            </w:pP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hint="eastAsia" w:eastAsiaTheme="minor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14:paraId="4C2E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5D78E2A5">
            <w:pPr>
              <w:adjustRightInd w:val="0"/>
              <w:snapToGrid w:val="0"/>
              <w:jc w:val="center"/>
              <w:rPr>
                <w:rFonts w:eastAsiaTheme="minorEastAsia"/>
                <w:color w:val="000000"/>
                <w:sz w:val="24"/>
              </w:rPr>
            </w:pPr>
          </w:p>
        </w:tc>
        <w:tc>
          <w:tcPr>
            <w:tcW w:w="1394" w:type="dxa"/>
            <w:vAlign w:val="center"/>
          </w:tcPr>
          <w:p w14:paraId="4CA3FA69">
            <w:pPr>
              <w:adjustRightInd w:val="0"/>
              <w:snapToGrid w:val="0"/>
              <w:jc w:val="center"/>
              <w:rPr>
                <w:rFonts w:eastAsiaTheme="minorEastAsia"/>
                <w:color w:val="000000"/>
                <w:sz w:val="24"/>
              </w:rPr>
            </w:pPr>
          </w:p>
        </w:tc>
        <w:tc>
          <w:tcPr>
            <w:tcW w:w="1808" w:type="dxa"/>
            <w:vAlign w:val="center"/>
          </w:tcPr>
          <w:p w14:paraId="30B38073">
            <w:pPr>
              <w:adjustRightInd w:val="0"/>
              <w:snapToGrid w:val="0"/>
              <w:jc w:val="center"/>
              <w:rPr>
                <w:rFonts w:eastAsiaTheme="minorEastAsia"/>
                <w:color w:val="000000"/>
                <w:sz w:val="24"/>
              </w:rPr>
            </w:pPr>
          </w:p>
        </w:tc>
        <w:tc>
          <w:tcPr>
            <w:tcW w:w="1809" w:type="dxa"/>
            <w:vAlign w:val="center"/>
          </w:tcPr>
          <w:p w14:paraId="0197AAB6">
            <w:pPr>
              <w:adjustRightInd w:val="0"/>
              <w:snapToGrid w:val="0"/>
              <w:jc w:val="center"/>
              <w:rPr>
                <w:rFonts w:eastAsiaTheme="minorEastAsia"/>
                <w:color w:val="000000"/>
                <w:sz w:val="24"/>
              </w:rPr>
            </w:pPr>
          </w:p>
        </w:tc>
        <w:tc>
          <w:tcPr>
            <w:tcW w:w="2290" w:type="dxa"/>
            <w:vAlign w:val="center"/>
          </w:tcPr>
          <w:p w14:paraId="599AA6E0">
            <w:pPr>
              <w:adjustRightInd w:val="0"/>
              <w:snapToGrid w:val="0"/>
              <w:jc w:val="center"/>
              <w:rPr>
                <w:rFonts w:eastAsiaTheme="minorEastAsia"/>
                <w:color w:val="000000"/>
                <w:sz w:val="24"/>
              </w:rPr>
            </w:pPr>
          </w:p>
        </w:tc>
        <w:tc>
          <w:tcPr>
            <w:tcW w:w="863" w:type="dxa"/>
            <w:vAlign w:val="center"/>
          </w:tcPr>
          <w:p w14:paraId="5354E1F8">
            <w:pPr>
              <w:adjustRightInd w:val="0"/>
              <w:snapToGrid w:val="0"/>
              <w:jc w:val="center"/>
              <w:rPr>
                <w:rFonts w:eastAsiaTheme="minorEastAsia"/>
                <w:color w:val="000000"/>
                <w:sz w:val="24"/>
              </w:rPr>
            </w:pPr>
          </w:p>
        </w:tc>
      </w:tr>
      <w:tr w14:paraId="5B07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5BD162E6">
            <w:pPr>
              <w:adjustRightInd w:val="0"/>
              <w:snapToGrid w:val="0"/>
              <w:jc w:val="center"/>
              <w:rPr>
                <w:rFonts w:eastAsiaTheme="minorEastAsia"/>
                <w:color w:val="000000"/>
                <w:sz w:val="24"/>
              </w:rPr>
            </w:pPr>
          </w:p>
        </w:tc>
        <w:tc>
          <w:tcPr>
            <w:tcW w:w="1394" w:type="dxa"/>
            <w:vAlign w:val="center"/>
          </w:tcPr>
          <w:p w14:paraId="47C003F5">
            <w:pPr>
              <w:adjustRightInd w:val="0"/>
              <w:snapToGrid w:val="0"/>
              <w:jc w:val="center"/>
              <w:rPr>
                <w:rFonts w:eastAsiaTheme="minorEastAsia"/>
                <w:color w:val="000000"/>
                <w:sz w:val="24"/>
              </w:rPr>
            </w:pPr>
          </w:p>
        </w:tc>
        <w:tc>
          <w:tcPr>
            <w:tcW w:w="1808" w:type="dxa"/>
            <w:vAlign w:val="center"/>
          </w:tcPr>
          <w:p w14:paraId="1C5C891A">
            <w:pPr>
              <w:adjustRightInd w:val="0"/>
              <w:snapToGrid w:val="0"/>
              <w:jc w:val="center"/>
              <w:rPr>
                <w:rFonts w:eastAsiaTheme="minorEastAsia"/>
                <w:color w:val="000000"/>
                <w:sz w:val="24"/>
              </w:rPr>
            </w:pPr>
          </w:p>
        </w:tc>
        <w:tc>
          <w:tcPr>
            <w:tcW w:w="1809" w:type="dxa"/>
            <w:vAlign w:val="center"/>
          </w:tcPr>
          <w:p w14:paraId="1F9A9863">
            <w:pPr>
              <w:adjustRightInd w:val="0"/>
              <w:snapToGrid w:val="0"/>
              <w:jc w:val="center"/>
              <w:rPr>
                <w:rFonts w:eastAsiaTheme="minorEastAsia"/>
                <w:color w:val="000000"/>
                <w:sz w:val="24"/>
              </w:rPr>
            </w:pPr>
          </w:p>
        </w:tc>
        <w:tc>
          <w:tcPr>
            <w:tcW w:w="2290" w:type="dxa"/>
            <w:vAlign w:val="center"/>
          </w:tcPr>
          <w:p w14:paraId="4869BABC">
            <w:pPr>
              <w:adjustRightInd w:val="0"/>
              <w:snapToGrid w:val="0"/>
              <w:jc w:val="center"/>
              <w:rPr>
                <w:rFonts w:eastAsiaTheme="minorEastAsia"/>
                <w:color w:val="000000"/>
                <w:sz w:val="24"/>
              </w:rPr>
            </w:pPr>
          </w:p>
        </w:tc>
        <w:tc>
          <w:tcPr>
            <w:tcW w:w="863" w:type="dxa"/>
            <w:vAlign w:val="center"/>
          </w:tcPr>
          <w:p w14:paraId="3EBFA1F1">
            <w:pPr>
              <w:adjustRightInd w:val="0"/>
              <w:snapToGrid w:val="0"/>
              <w:jc w:val="center"/>
              <w:rPr>
                <w:rFonts w:eastAsiaTheme="minorEastAsia"/>
                <w:color w:val="000000"/>
                <w:sz w:val="24"/>
              </w:rPr>
            </w:pPr>
          </w:p>
        </w:tc>
      </w:tr>
      <w:tr w14:paraId="3170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0B741B4C">
            <w:pPr>
              <w:adjustRightInd w:val="0"/>
              <w:snapToGrid w:val="0"/>
              <w:jc w:val="center"/>
              <w:rPr>
                <w:rFonts w:eastAsiaTheme="minorEastAsia"/>
                <w:color w:val="000000"/>
                <w:sz w:val="24"/>
              </w:rPr>
            </w:pPr>
          </w:p>
        </w:tc>
        <w:tc>
          <w:tcPr>
            <w:tcW w:w="1394" w:type="dxa"/>
            <w:vAlign w:val="center"/>
          </w:tcPr>
          <w:p w14:paraId="6DEA5B40">
            <w:pPr>
              <w:adjustRightInd w:val="0"/>
              <w:snapToGrid w:val="0"/>
              <w:jc w:val="center"/>
              <w:rPr>
                <w:rFonts w:eastAsiaTheme="minorEastAsia"/>
                <w:color w:val="000000"/>
                <w:sz w:val="24"/>
              </w:rPr>
            </w:pPr>
          </w:p>
        </w:tc>
        <w:tc>
          <w:tcPr>
            <w:tcW w:w="1808" w:type="dxa"/>
            <w:vAlign w:val="center"/>
          </w:tcPr>
          <w:p w14:paraId="3220E3F1">
            <w:pPr>
              <w:adjustRightInd w:val="0"/>
              <w:snapToGrid w:val="0"/>
              <w:jc w:val="center"/>
              <w:rPr>
                <w:rFonts w:eastAsiaTheme="minorEastAsia"/>
                <w:color w:val="000000"/>
                <w:sz w:val="24"/>
              </w:rPr>
            </w:pPr>
          </w:p>
        </w:tc>
        <w:tc>
          <w:tcPr>
            <w:tcW w:w="1809" w:type="dxa"/>
            <w:vAlign w:val="center"/>
          </w:tcPr>
          <w:p w14:paraId="642B81EF">
            <w:pPr>
              <w:adjustRightInd w:val="0"/>
              <w:snapToGrid w:val="0"/>
              <w:jc w:val="center"/>
              <w:rPr>
                <w:rFonts w:eastAsiaTheme="minorEastAsia"/>
                <w:color w:val="000000"/>
                <w:sz w:val="24"/>
              </w:rPr>
            </w:pPr>
          </w:p>
        </w:tc>
        <w:tc>
          <w:tcPr>
            <w:tcW w:w="2290" w:type="dxa"/>
            <w:vAlign w:val="center"/>
          </w:tcPr>
          <w:p w14:paraId="7862A855">
            <w:pPr>
              <w:adjustRightInd w:val="0"/>
              <w:snapToGrid w:val="0"/>
              <w:jc w:val="center"/>
              <w:rPr>
                <w:rFonts w:eastAsiaTheme="minorEastAsia"/>
                <w:color w:val="000000"/>
                <w:sz w:val="24"/>
              </w:rPr>
            </w:pPr>
          </w:p>
        </w:tc>
        <w:tc>
          <w:tcPr>
            <w:tcW w:w="863" w:type="dxa"/>
            <w:vAlign w:val="center"/>
          </w:tcPr>
          <w:p w14:paraId="0DA06296">
            <w:pPr>
              <w:adjustRightInd w:val="0"/>
              <w:snapToGrid w:val="0"/>
              <w:jc w:val="center"/>
              <w:rPr>
                <w:rFonts w:eastAsiaTheme="minorEastAsia"/>
                <w:color w:val="000000"/>
                <w:sz w:val="24"/>
              </w:rPr>
            </w:pPr>
          </w:p>
        </w:tc>
      </w:tr>
      <w:tr w14:paraId="55B9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701591AA">
            <w:pPr>
              <w:adjustRightInd w:val="0"/>
              <w:snapToGrid w:val="0"/>
              <w:jc w:val="center"/>
              <w:rPr>
                <w:rFonts w:eastAsiaTheme="minorEastAsia"/>
                <w:color w:val="000000"/>
                <w:sz w:val="24"/>
              </w:rPr>
            </w:pPr>
          </w:p>
        </w:tc>
        <w:tc>
          <w:tcPr>
            <w:tcW w:w="1394" w:type="dxa"/>
            <w:vAlign w:val="center"/>
          </w:tcPr>
          <w:p w14:paraId="08E501DE">
            <w:pPr>
              <w:adjustRightInd w:val="0"/>
              <w:snapToGrid w:val="0"/>
              <w:jc w:val="center"/>
              <w:rPr>
                <w:rFonts w:eastAsiaTheme="minorEastAsia"/>
                <w:color w:val="000000"/>
                <w:sz w:val="24"/>
              </w:rPr>
            </w:pPr>
          </w:p>
        </w:tc>
        <w:tc>
          <w:tcPr>
            <w:tcW w:w="1808" w:type="dxa"/>
            <w:vAlign w:val="center"/>
          </w:tcPr>
          <w:p w14:paraId="1BB1CB03">
            <w:pPr>
              <w:adjustRightInd w:val="0"/>
              <w:snapToGrid w:val="0"/>
              <w:jc w:val="center"/>
              <w:rPr>
                <w:rFonts w:eastAsiaTheme="minorEastAsia"/>
                <w:color w:val="000000"/>
                <w:sz w:val="24"/>
              </w:rPr>
            </w:pPr>
          </w:p>
        </w:tc>
        <w:tc>
          <w:tcPr>
            <w:tcW w:w="1809" w:type="dxa"/>
            <w:vAlign w:val="center"/>
          </w:tcPr>
          <w:p w14:paraId="161D6A5A">
            <w:pPr>
              <w:adjustRightInd w:val="0"/>
              <w:snapToGrid w:val="0"/>
              <w:jc w:val="center"/>
              <w:rPr>
                <w:rFonts w:eastAsiaTheme="minorEastAsia"/>
                <w:color w:val="000000"/>
                <w:sz w:val="24"/>
              </w:rPr>
            </w:pPr>
          </w:p>
        </w:tc>
        <w:tc>
          <w:tcPr>
            <w:tcW w:w="2290" w:type="dxa"/>
            <w:vAlign w:val="center"/>
          </w:tcPr>
          <w:p w14:paraId="4884B4AC">
            <w:pPr>
              <w:adjustRightInd w:val="0"/>
              <w:snapToGrid w:val="0"/>
              <w:jc w:val="center"/>
              <w:rPr>
                <w:rFonts w:eastAsiaTheme="minorEastAsia"/>
                <w:color w:val="000000"/>
                <w:sz w:val="24"/>
              </w:rPr>
            </w:pPr>
          </w:p>
        </w:tc>
        <w:tc>
          <w:tcPr>
            <w:tcW w:w="863" w:type="dxa"/>
            <w:vAlign w:val="center"/>
          </w:tcPr>
          <w:p w14:paraId="5696D130">
            <w:pPr>
              <w:adjustRightInd w:val="0"/>
              <w:snapToGrid w:val="0"/>
              <w:jc w:val="center"/>
              <w:rPr>
                <w:rFonts w:eastAsiaTheme="minorEastAsia"/>
                <w:color w:val="000000"/>
                <w:sz w:val="24"/>
              </w:rPr>
            </w:pPr>
          </w:p>
        </w:tc>
      </w:tr>
      <w:tr w14:paraId="13E0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6851AEDF">
            <w:pPr>
              <w:adjustRightInd w:val="0"/>
              <w:snapToGrid w:val="0"/>
              <w:jc w:val="center"/>
              <w:rPr>
                <w:rFonts w:eastAsiaTheme="minorEastAsia"/>
                <w:color w:val="000000"/>
                <w:sz w:val="24"/>
              </w:rPr>
            </w:pPr>
          </w:p>
        </w:tc>
        <w:tc>
          <w:tcPr>
            <w:tcW w:w="1394" w:type="dxa"/>
            <w:vAlign w:val="center"/>
          </w:tcPr>
          <w:p w14:paraId="515D6368">
            <w:pPr>
              <w:adjustRightInd w:val="0"/>
              <w:snapToGrid w:val="0"/>
              <w:jc w:val="center"/>
              <w:rPr>
                <w:rFonts w:eastAsiaTheme="minorEastAsia"/>
                <w:color w:val="000000"/>
                <w:sz w:val="24"/>
              </w:rPr>
            </w:pPr>
          </w:p>
        </w:tc>
        <w:tc>
          <w:tcPr>
            <w:tcW w:w="1808" w:type="dxa"/>
            <w:vAlign w:val="center"/>
          </w:tcPr>
          <w:p w14:paraId="7F185D45">
            <w:pPr>
              <w:adjustRightInd w:val="0"/>
              <w:snapToGrid w:val="0"/>
              <w:jc w:val="center"/>
              <w:rPr>
                <w:rFonts w:eastAsiaTheme="minorEastAsia"/>
                <w:color w:val="000000"/>
                <w:sz w:val="24"/>
              </w:rPr>
            </w:pPr>
          </w:p>
        </w:tc>
        <w:tc>
          <w:tcPr>
            <w:tcW w:w="1809" w:type="dxa"/>
            <w:vAlign w:val="center"/>
          </w:tcPr>
          <w:p w14:paraId="1F4A0106">
            <w:pPr>
              <w:adjustRightInd w:val="0"/>
              <w:snapToGrid w:val="0"/>
              <w:jc w:val="center"/>
              <w:rPr>
                <w:rFonts w:eastAsiaTheme="minorEastAsia"/>
                <w:color w:val="000000"/>
                <w:sz w:val="24"/>
              </w:rPr>
            </w:pPr>
          </w:p>
        </w:tc>
        <w:tc>
          <w:tcPr>
            <w:tcW w:w="2290" w:type="dxa"/>
            <w:vAlign w:val="center"/>
          </w:tcPr>
          <w:p w14:paraId="7DD8173A">
            <w:pPr>
              <w:adjustRightInd w:val="0"/>
              <w:snapToGrid w:val="0"/>
              <w:jc w:val="center"/>
              <w:rPr>
                <w:rFonts w:eastAsiaTheme="minorEastAsia"/>
                <w:color w:val="000000"/>
                <w:sz w:val="24"/>
              </w:rPr>
            </w:pPr>
          </w:p>
        </w:tc>
        <w:tc>
          <w:tcPr>
            <w:tcW w:w="863" w:type="dxa"/>
            <w:vAlign w:val="center"/>
          </w:tcPr>
          <w:p w14:paraId="32975553">
            <w:pPr>
              <w:adjustRightInd w:val="0"/>
              <w:snapToGrid w:val="0"/>
              <w:jc w:val="center"/>
              <w:rPr>
                <w:rFonts w:eastAsiaTheme="minorEastAsia"/>
                <w:color w:val="000000"/>
                <w:sz w:val="24"/>
              </w:rPr>
            </w:pPr>
          </w:p>
        </w:tc>
      </w:tr>
    </w:tbl>
    <w:p w14:paraId="30D48016">
      <w:pPr>
        <w:tabs>
          <w:tab w:val="left" w:pos="1800"/>
          <w:tab w:val="left" w:pos="5580"/>
        </w:tabs>
        <w:jc w:val="left"/>
        <w:rPr>
          <w:rFonts w:eastAsiaTheme="minorEastAsia"/>
          <w:color w:val="000000"/>
          <w:sz w:val="24"/>
        </w:rPr>
      </w:pPr>
    </w:p>
    <w:p w14:paraId="1B8DF790">
      <w:pPr>
        <w:tabs>
          <w:tab w:val="left" w:pos="1800"/>
          <w:tab w:val="left" w:pos="5580"/>
        </w:tabs>
        <w:jc w:val="left"/>
        <w:rPr>
          <w:color w:val="000000"/>
          <w:sz w:val="24"/>
        </w:rPr>
      </w:pPr>
      <w:r>
        <w:rPr>
          <w:color w:val="000000"/>
          <w:sz w:val="24"/>
        </w:rPr>
        <w:t>注：</w:t>
      </w:r>
      <w:r>
        <w:rPr>
          <w:sz w:val="24"/>
        </w:rPr>
        <w:t xml:space="preserve"> “偏离情况”列应</w:t>
      </w:r>
      <w:r>
        <w:rPr>
          <w:color w:val="000000"/>
          <w:sz w:val="24"/>
        </w:rPr>
        <w:t>据实</w:t>
      </w:r>
      <w:r>
        <w:rPr>
          <w:sz w:val="24"/>
        </w:rPr>
        <w:t>填写“正偏离”或“负偏离”。</w:t>
      </w:r>
    </w:p>
    <w:p w14:paraId="58178557">
      <w:pPr>
        <w:spacing w:line="360" w:lineRule="auto"/>
        <w:rPr>
          <w:rFonts w:eastAsiaTheme="minorEastAsia"/>
          <w:color w:val="000000"/>
          <w:sz w:val="24"/>
          <w:szCs w:val="20"/>
        </w:rPr>
      </w:pPr>
    </w:p>
    <w:p w14:paraId="6275B1F9">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14:paraId="60FA752A">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14:paraId="09E0598D">
      <w:pPr>
        <w:tabs>
          <w:tab w:val="left" w:pos="360"/>
        </w:tabs>
        <w:snapToGrid w:val="0"/>
        <w:spacing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t xml:space="preserve">10  </w:t>
      </w:r>
      <w:bookmarkEnd w:id="771"/>
      <w:bookmarkEnd w:id="772"/>
      <w:bookmarkEnd w:id="773"/>
      <w:bookmarkEnd w:id="774"/>
      <w:bookmarkEnd w:id="775"/>
      <w:bookmarkEnd w:id="776"/>
      <w:bookmarkEnd w:id="777"/>
      <w:bookmarkEnd w:id="778"/>
      <w:bookmarkEnd w:id="779"/>
      <w:bookmarkEnd w:id="780"/>
      <w:bookmarkEnd w:id="781"/>
      <w:bookmarkEnd w:id="782"/>
      <w:bookmarkEnd w:id="783"/>
      <w:r>
        <w:rPr>
          <w:rFonts w:eastAsiaTheme="minorEastAsia"/>
          <w:sz w:val="24"/>
        </w:rPr>
        <w:t>采购需求偏离表（实质性格式）</w:t>
      </w:r>
    </w:p>
    <w:p w14:paraId="2005C29C">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采购需求偏离表</w:t>
      </w:r>
    </w:p>
    <w:p w14:paraId="47189EAA">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7F4B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9925DC5">
            <w:pPr>
              <w:adjustRightInd w:val="0"/>
              <w:snapToGrid w:val="0"/>
              <w:jc w:val="center"/>
              <w:rPr>
                <w:rFonts w:eastAsiaTheme="minorEastAsia"/>
                <w:color w:val="000000"/>
                <w:sz w:val="24"/>
              </w:rPr>
            </w:pPr>
            <w:r>
              <w:rPr>
                <w:rFonts w:eastAsiaTheme="minorEastAsia"/>
                <w:color w:val="000000"/>
                <w:sz w:val="24"/>
              </w:rPr>
              <w:t>序号</w:t>
            </w:r>
          </w:p>
        </w:tc>
        <w:tc>
          <w:tcPr>
            <w:tcW w:w="1482" w:type="dxa"/>
            <w:vAlign w:val="center"/>
          </w:tcPr>
          <w:p w14:paraId="1F24B3F5">
            <w:pPr>
              <w:adjustRightInd w:val="0"/>
              <w:snapToGrid w:val="0"/>
              <w:jc w:val="center"/>
              <w:rPr>
                <w:rFonts w:eastAsiaTheme="minorEastAsia"/>
                <w:color w:val="000000"/>
                <w:sz w:val="24"/>
              </w:rPr>
            </w:pPr>
            <w:r>
              <w:rPr>
                <w:rFonts w:eastAsiaTheme="minorEastAsia"/>
                <w:color w:val="000000"/>
                <w:sz w:val="24"/>
              </w:rPr>
              <w:t>竞争性磋商文件条目号(页码)</w:t>
            </w:r>
          </w:p>
        </w:tc>
        <w:tc>
          <w:tcPr>
            <w:tcW w:w="2384" w:type="dxa"/>
            <w:vAlign w:val="center"/>
          </w:tcPr>
          <w:p w14:paraId="6B5270C6">
            <w:pPr>
              <w:adjustRightInd w:val="0"/>
              <w:snapToGrid w:val="0"/>
              <w:jc w:val="center"/>
              <w:rPr>
                <w:rFonts w:eastAsiaTheme="minorEastAsia"/>
                <w:color w:val="000000"/>
                <w:sz w:val="24"/>
              </w:rPr>
            </w:pPr>
            <w:r>
              <w:rPr>
                <w:rFonts w:eastAsiaTheme="minorEastAsia"/>
                <w:color w:val="000000"/>
                <w:sz w:val="24"/>
              </w:rPr>
              <w:t>竞争性磋商文件要求</w:t>
            </w:r>
          </w:p>
        </w:tc>
        <w:tc>
          <w:tcPr>
            <w:tcW w:w="2126" w:type="dxa"/>
            <w:vAlign w:val="center"/>
          </w:tcPr>
          <w:p w14:paraId="0C50D9B1">
            <w:pPr>
              <w:adjustRightInd w:val="0"/>
              <w:snapToGrid w:val="0"/>
              <w:jc w:val="center"/>
              <w:rPr>
                <w:rFonts w:eastAsiaTheme="minorEastAsia"/>
                <w:color w:val="000000"/>
                <w:sz w:val="24"/>
              </w:rPr>
            </w:pPr>
            <w:r>
              <w:rPr>
                <w:rFonts w:eastAsiaTheme="minorEastAsia"/>
                <w:color w:val="000000"/>
                <w:sz w:val="24"/>
              </w:rPr>
              <w:t>响应内容</w:t>
            </w:r>
          </w:p>
        </w:tc>
        <w:tc>
          <w:tcPr>
            <w:tcW w:w="1875" w:type="dxa"/>
            <w:vAlign w:val="center"/>
          </w:tcPr>
          <w:p w14:paraId="023A3870">
            <w:pPr>
              <w:adjustRightInd w:val="0"/>
              <w:snapToGrid w:val="0"/>
              <w:jc w:val="center"/>
              <w:rPr>
                <w:rFonts w:eastAsiaTheme="minorEastAsia"/>
                <w:color w:val="000000"/>
                <w:sz w:val="24"/>
              </w:rPr>
            </w:pPr>
            <w:r>
              <w:rPr>
                <w:rFonts w:eastAsiaTheme="minorEastAsia"/>
                <w:color w:val="000000"/>
                <w:sz w:val="24"/>
              </w:rPr>
              <w:t>偏离情况</w:t>
            </w:r>
          </w:p>
        </w:tc>
        <w:tc>
          <w:tcPr>
            <w:tcW w:w="1009" w:type="dxa"/>
            <w:vAlign w:val="center"/>
          </w:tcPr>
          <w:p w14:paraId="194C2A0B">
            <w:pPr>
              <w:adjustRightInd w:val="0"/>
              <w:snapToGrid w:val="0"/>
              <w:jc w:val="center"/>
              <w:rPr>
                <w:rFonts w:eastAsiaTheme="minorEastAsia"/>
                <w:color w:val="000000"/>
                <w:sz w:val="24"/>
              </w:rPr>
            </w:pPr>
            <w:r>
              <w:rPr>
                <w:rFonts w:eastAsiaTheme="minorEastAsia"/>
                <w:color w:val="000000"/>
                <w:sz w:val="24"/>
              </w:rPr>
              <w:t>说明</w:t>
            </w:r>
          </w:p>
        </w:tc>
      </w:tr>
      <w:tr w14:paraId="1C35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EA19699">
            <w:pPr>
              <w:adjustRightInd w:val="0"/>
              <w:snapToGrid w:val="0"/>
              <w:jc w:val="center"/>
              <w:rPr>
                <w:rFonts w:eastAsiaTheme="minorEastAsia"/>
                <w:color w:val="000000"/>
                <w:sz w:val="24"/>
              </w:rPr>
            </w:pPr>
          </w:p>
        </w:tc>
        <w:tc>
          <w:tcPr>
            <w:tcW w:w="1482" w:type="dxa"/>
            <w:vAlign w:val="center"/>
          </w:tcPr>
          <w:p w14:paraId="220F146F">
            <w:pPr>
              <w:adjustRightInd w:val="0"/>
              <w:snapToGrid w:val="0"/>
              <w:jc w:val="center"/>
              <w:rPr>
                <w:rFonts w:eastAsiaTheme="minorEastAsia"/>
                <w:color w:val="000000"/>
                <w:sz w:val="24"/>
              </w:rPr>
            </w:pPr>
          </w:p>
        </w:tc>
        <w:tc>
          <w:tcPr>
            <w:tcW w:w="2384" w:type="dxa"/>
            <w:vAlign w:val="center"/>
          </w:tcPr>
          <w:p w14:paraId="0EF1CF5C">
            <w:pPr>
              <w:adjustRightInd w:val="0"/>
              <w:snapToGrid w:val="0"/>
              <w:jc w:val="center"/>
              <w:rPr>
                <w:rFonts w:eastAsiaTheme="minorEastAsia"/>
                <w:color w:val="000000"/>
                <w:sz w:val="24"/>
              </w:rPr>
            </w:pPr>
          </w:p>
        </w:tc>
        <w:tc>
          <w:tcPr>
            <w:tcW w:w="2126" w:type="dxa"/>
            <w:vAlign w:val="center"/>
          </w:tcPr>
          <w:p w14:paraId="58060B55">
            <w:pPr>
              <w:adjustRightInd w:val="0"/>
              <w:snapToGrid w:val="0"/>
              <w:jc w:val="center"/>
              <w:rPr>
                <w:rFonts w:eastAsiaTheme="minorEastAsia"/>
                <w:color w:val="000000"/>
                <w:sz w:val="24"/>
              </w:rPr>
            </w:pPr>
          </w:p>
        </w:tc>
        <w:tc>
          <w:tcPr>
            <w:tcW w:w="1875" w:type="dxa"/>
            <w:vAlign w:val="center"/>
          </w:tcPr>
          <w:p w14:paraId="794BBD5A">
            <w:pPr>
              <w:adjustRightInd w:val="0"/>
              <w:snapToGrid w:val="0"/>
              <w:jc w:val="center"/>
              <w:rPr>
                <w:rFonts w:eastAsiaTheme="minorEastAsia"/>
                <w:color w:val="000000"/>
                <w:sz w:val="24"/>
              </w:rPr>
            </w:pPr>
          </w:p>
        </w:tc>
        <w:tc>
          <w:tcPr>
            <w:tcW w:w="1009" w:type="dxa"/>
            <w:vAlign w:val="center"/>
          </w:tcPr>
          <w:p w14:paraId="666F2619">
            <w:pPr>
              <w:adjustRightInd w:val="0"/>
              <w:snapToGrid w:val="0"/>
              <w:jc w:val="center"/>
              <w:rPr>
                <w:rFonts w:eastAsiaTheme="minorEastAsia"/>
                <w:color w:val="000000"/>
                <w:sz w:val="24"/>
              </w:rPr>
            </w:pPr>
          </w:p>
        </w:tc>
      </w:tr>
      <w:tr w14:paraId="1F86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63B170D">
            <w:pPr>
              <w:adjustRightInd w:val="0"/>
              <w:snapToGrid w:val="0"/>
              <w:jc w:val="center"/>
              <w:rPr>
                <w:rFonts w:eastAsiaTheme="minorEastAsia"/>
                <w:color w:val="000000"/>
                <w:sz w:val="24"/>
              </w:rPr>
            </w:pPr>
          </w:p>
        </w:tc>
        <w:tc>
          <w:tcPr>
            <w:tcW w:w="1482" w:type="dxa"/>
            <w:vAlign w:val="center"/>
          </w:tcPr>
          <w:p w14:paraId="0511AD92">
            <w:pPr>
              <w:adjustRightInd w:val="0"/>
              <w:snapToGrid w:val="0"/>
              <w:jc w:val="center"/>
              <w:rPr>
                <w:rFonts w:eastAsiaTheme="minorEastAsia"/>
                <w:color w:val="000000"/>
                <w:sz w:val="24"/>
              </w:rPr>
            </w:pPr>
          </w:p>
        </w:tc>
        <w:tc>
          <w:tcPr>
            <w:tcW w:w="2384" w:type="dxa"/>
            <w:vAlign w:val="center"/>
          </w:tcPr>
          <w:p w14:paraId="27568187">
            <w:pPr>
              <w:adjustRightInd w:val="0"/>
              <w:snapToGrid w:val="0"/>
              <w:jc w:val="center"/>
              <w:rPr>
                <w:rFonts w:eastAsiaTheme="minorEastAsia"/>
                <w:color w:val="000000"/>
                <w:sz w:val="24"/>
              </w:rPr>
            </w:pPr>
          </w:p>
        </w:tc>
        <w:tc>
          <w:tcPr>
            <w:tcW w:w="2126" w:type="dxa"/>
            <w:vAlign w:val="center"/>
          </w:tcPr>
          <w:p w14:paraId="540B9E76">
            <w:pPr>
              <w:adjustRightInd w:val="0"/>
              <w:snapToGrid w:val="0"/>
              <w:jc w:val="center"/>
              <w:rPr>
                <w:rFonts w:eastAsiaTheme="minorEastAsia"/>
                <w:color w:val="000000"/>
                <w:sz w:val="24"/>
              </w:rPr>
            </w:pPr>
          </w:p>
        </w:tc>
        <w:tc>
          <w:tcPr>
            <w:tcW w:w="1875" w:type="dxa"/>
            <w:vAlign w:val="center"/>
          </w:tcPr>
          <w:p w14:paraId="2696DD7F">
            <w:pPr>
              <w:adjustRightInd w:val="0"/>
              <w:snapToGrid w:val="0"/>
              <w:jc w:val="center"/>
              <w:rPr>
                <w:rFonts w:eastAsiaTheme="minorEastAsia"/>
                <w:color w:val="000000"/>
                <w:sz w:val="24"/>
              </w:rPr>
            </w:pPr>
          </w:p>
        </w:tc>
        <w:tc>
          <w:tcPr>
            <w:tcW w:w="1009" w:type="dxa"/>
            <w:vAlign w:val="center"/>
          </w:tcPr>
          <w:p w14:paraId="6F691CB0">
            <w:pPr>
              <w:adjustRightInd w:val="0"/>
              <w:snapToGrid w:val="0"/>
              <w:jc w:val="center"/>
              <w:rPr>
                <w:rFonts w:eastAsiaTheme="minorEastAsia"/>
                <w:color w:val="000000"/>
                <w:sz w:val="24"/>
              </w:rPr>
            </w:pPr>
          </w:p>
        </w:tc>
      </w:tr>
      <w:tr w14:paraId="2B7B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32A8079">
            <w:pPr>
              <w:adjustRightInd w:val="0"/>
              <w:snapToGrid w:val="0"/>
              <w:jc w:val="center"/>
              <w:rPr>
                <w:rFonts w:eastAsiaTheme="minorEastAsia"/>
                <w:color w:val="000000"/>
                <w:sz w:val="24"/>
              </w:rPr>
            </w:pPr>
          </w:p>
        </w:tc>
        <w:tc>
          <w:tcPr>
            <w:tcW w:w="1482" w:type="dxa"/>
            <w:vAlign w:val="center"/>
          </w:tcPr>
          <w:p w14:paraId="1DC1EE44">
            <w:pPr>
              <w:adjustRightInd w:val="0"/>
              <w:snapToGrid w:val="0"/>
              <w:jc w:val="center"/>
              <w:rPr>
                <w:rFonts w:eastAsiaTheme="minorEastAsia"/>
                <w:color w:val="000000"/>
                <w:sz w:val="24"/>
              </w:rPr>
            </w:pPr>
          </w:p>
        </w:tc>
        <w:tc>
          <w:tcPr>
            <w:tcW w:w="2384" w:type="dxa"/>
            <w:vAlign w:val="center"/>
          </w:tcPr>
          <w:p w14:paraId="685E214F">
            <w:pPr>
              <w:adjustRightInd w:val="0"/>
              <w:snapToGrid w:val="0"/>
              <w:jc w:val="center"/>
              <w:rPr>
                <w:rFonts w:eastAsiaTheme="minorEastAsia"/>
                <w:color w:val="000000"/>
                <w:sz w:val="24"/>
              </w:rPr>
            </w:pPr>
          </w:p>
        </w:tc>
        <w:tc>
          <w:tcPr>
            <w:tcW w:w="2126" w:type="dxa"/>
            <w:vAlign w:val="center"/>
          </w:tcPr>
          <w:p w14:paraId="483DF7FC">
            <w:pPr>
              <w:adjustRightInd w:val="0"/>
              <w:snapToGrid w:val="0"/>
              <w:jc w:val="center"/>
              <w:rPr>
                <w:rFonts w:eastAsiaTheme="minorEastAsia"/>
                <w:color w:val="000000"/>
                <w:sz w:val="24"/>
              </w:rPr>
            </w:pPr>
          </w:p>
        </w:tc>
        <w:tc>
          <w:tcPr>
            <w:tcW w:w="1875" w:type="dxa"/>
            <w:vAlign w:val="center"/>
          </w:tcPr>
          <w:p w14:paraId="289A5FA0">
            <w:pPr>
              <w:adjustRightInd w:val="0"/>
              <w:snapToGrid w:val="0"/>
              <w:jc w:val="center"/>
              <w:rPr>
                <w:rFonts w:eastAsiaTheme="minorEastAsia"/>
                <w:color w:val="000000"/>
                <w:sz w:val="24"/>
              </w:rPr>
            </w:pPr>
          </w:p>
        </w:tc>
        <w:tc>
          <w:tcPr>
            <w:tcW w:w="1009" w:type="dxa"/>
            <w:vAlign w:val="center"/>
          </w:tcPr>
          <w:p w14:paraId="7F129E7D">
            <w:pPr>
              <w:adjustRightInd w:val="0"/>
              <w:snapToGrid w:val="0"/>
              <w:jc w:val="center"/>
              <w:rPr>
                <w:rFonts w:eastAsiaTheme="minorEastAsia"/>
                <w:color w:val="000000"/>
                <w:sz w:val="24"/>
              </w:rPr>
            </w:pPr>
          </w:p>
        </w:tc>
      </w:tr>
      <w:tr w14:paraId="6E2F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0CCE4F4">
            <w:pPr>
              <w:adjustRightInd w:val="0"/>
              <w:snapToGrid w:val="0"/>
              <w:jc w:val="center"/>
              <w:rPr>
                <w:rFonts w:eastAsiaTheme="minorEastAsia"/>
                <w:color w:val="000000"/>
                <w:sz w:val="24"/>
              </w:rPr>
            </w:pPr>
          </w:p>
        </w:tc>
        <w:tc>
          <w:tcPr>
            <w:tcW w:w="1482" w:type="dxa"/>
            <w:vAlign w:val="center"/>
          </w:tcPr>
          <w:p w14:paraId="28614C69">
            <w:pPr>
              <w:adjustRightInd w:val="0"/>
              <w:snapToGrid w:val="0"/>
              <w:jc w:val="center"/>
              <w:rPr>
                <w:rFonts w:eastAsiaTheme="minorEastAsia"/>
                <w:color w:val="000000"/>
                <w:sz w:val="24"/>
              </w:rPr>
            </w:pPr>
          </w:p>
        </w:tc>
        <w:tc>
          <w:tcPr>
            <w:tcW w:w="2384" w:type="dxa"/>
            <w:vAlign w:val="center"/>
          </w:tcPr>
          <w:p w14:paraId="0F10194B">
            <w:pPr>
              <w:adjustRightInd w:val="0"/>
              <w:snapToGrid w:val="0"/>
              <w:jc w:val="center"/>
              <w:rPr>
                <w:rFonts w:eastAsiaTheme="minorEastAsia"/>
                <w:color w:val="000000"/>
                <w:sz w:val="24"/>
              </w:rPr>
            </w:pPr>
          </w:p>
        </w:tc>
        <w:tc>
          <w:tcPr>
            <w:tcW w:w="2126" w:type="dxa"/>
            <w:vAlign w:val="center"/>
          </w:tcPr>
          <w:p w14:paraId="27C84AEF">
            <w:pPr>
              <w:adjustRightInd w:val="0"/>
              <w:snapToGrid w:val="0"/>
              <w:jc w:val="center"/>
              <w:rPr>
                <w:rFonts w:eastAsiaTheme="minorEastAsia"/>
                <w:color w:val="000000"/>
                <w:sz w:val="24"/>
              </w:rPr>
            </w:pPr>
          </w:p>
        </w:tc>
        <w:tc>
          <w:tcPr>
            <w:tcW w:w="1875" w:type="dxa"/>
            <w:vAlign w:val="center"/>
          </w:tcPr>
          <w:p w14:paraId="1CD94B6D">
            <w:pPr>
              <w:adjustRightInd w:val="0"/>
              <w:snapToGrid w:val="0"/>
              <w:jc w:val="center"/>
              <w:rPr>
                <w:rFonts w:eastAsiaTheme="minorEastAsia"/>
                <w:color w:val="000000"/>
                <w:sz w:val="24"/>
              </w:rPr>
            </w:pPr>
          </w:p>
        </w:tc>
        <w:tc>
          <w:tcPr>
            <w:tcW w:w="1009" w:type="dxa"/>
            <w:vAlign w:val="center"/>
          </w:tcPr>
          <w:p w14:paraId="21294402">
            <w:pPr>
              <w:adjustRightInd w:val="0"/>
              <w:snapToGrid w:val="0"/>
              <w:jc w:val="center"/>
              <w:rPr>
                <w:rFonts w:eastAsiaTheme="minorEastAsia"/>
                <w:color w:val="000000"/>
                <w:sz w:val="24"/>
              </w:rPr>
            </w:pPr>
          </w:p>
        </w:tc>
      </w:tr>
      <w:tr w14:paraId="1943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5A3745C">
            <w:pPr>
              <w:adjustRightInd w:val="0"/>
              <w:snapToGrid w:val="0"/>
              <w:jc w:val="center"/>
              <w:rPr>
                <w:rFonts w:eastAsiaTheme="minorEastAsia"/>
                <w:color w:val="000000"/>
                <w:sz w:val="24"/>
              </w:rPr>
            </w:pPr>
          </w:p>
        </w:tc>
        <w:tc>
          <w:tcPr>
            <w:tcW w:w="1482" w:type="dxa"/>
            <w:vAlign w:val="center"/>
          </w:tcPr>
          <w:p w14:paraId="1C949E32">
            <w:pPr>
              <w:adjustRightInd w:val="0"/>
              <w:snapToGrid w:val="0"/>
              <w:jc w:val="center"/>
              <w:rPr>
                <w:rFonts w:eastAsiaTheme="minorEastAsia"/>
                <w:color w:val="000000"/>
                <w:sz w:val="24"/>
              </w:rPr>
            </w:pPr>
          </w:p>
        </w:tc>
        <w:tc>
          <w:tcPr>
            <w:tcW w:w="2384" w:type="dxa"/>
            <w:vAlign w:val="center"/>
          </w:tcPr>
          <w:p w14:paraId="1E778921">
            <w:pPr>
              <w:adjustRightInd w:val="0"/>
              <w:snapToGrid w:val="0"/>
              <w:jc w:val="center"/>
              <w:rPr>
                <w:rFonts w:eastAsiaTheme="minorEastAsia"/>
                <w:color w:val="000000"/>
                <w:sz w:val="24"/>
              </w:rPr>
            </w:pPr>
          </w:p>
        </w:tc>
        <w:tc>
          <w:tcPr>
            <w:tcW w:w="2126" w:type="dxa"/>
            <w:vAlign w:val="center"/>
          </w:tcPr>
          <w:p w14:paraId="3E4EE450">
            <w:pPr>
              <w:adjustRightInd w:val="0"/>
              <w:snapToGrid w:val="0"/>
              <w:jc w:val="center"/>
              <w:rPr>
                <w:rFonts w:eastAsiaTheme="minorEastAsia"/>
                <w:color w:val="000000"/>
                <w:sz w:val="24"/>
              </w:rPr>
            </w:pPr>
          </w:p>
        </w:tc>
        <w:tc>
          <w:tcPr>
            <w:tcW w:w="1875" w:type="dxa"/>
            <w:vAlign w:val="center"/>
          </w:tcPr>
          <w:p w14:paraId="3F9B16A8">
            <w:pPr>
              <w:adjustRightInd w:val="0"/>
              <w:snapToGrid w:val="0"/>
              <w:jc w:val="center"/>
              <w:rPr>
                <w:rFonts w:eastAsiaTheme="minorEastAsia"/>
                <w:color w:val="000000"/>
                <w:sz w:val="24"/>
              </w:rPr>
            </w:pPr>
          </w:p>
        </w:tc>
        <w:tc>
          <w:tcPr>
            <w:tcW w:w="1009" w:type="dxa"/>
            <w:vAlign w:val="center"/>
          </w:tcPr>
          <w:p w14:paraId="0CAF3E59">
            <w:pPr>
              <w:adjustRightInd w:val="0"/>
              <w:snapToGrid w:val="0"/>
              <w:jc w:val="center"/>
              <w:rPr>
                <w:rFonts w:eastAsiaTheme="minorEastAsia"/>
                <w:color w:val="000000"/>
                <w:sz w:val="24"/>
              </w:rPr>
            </w:pPr>
          </w:p>
        </w:tc>
      </w:tr>
      <w:tr w14:paraId="0EC1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16DF4A7">
            <w:pPr>
              <w:adjustRightInd w:val="0"/>
              <w:snapToGrid w:val="0"/>
              <w:jc w:val="center"/>
              <w:rPr>
                <w:rFonts w:eastAsiaTheme="minorEastAsia"/>
                <w:color w:val="000000"/>
                <w:sz w:val="24"/>
              </w:rPr>
            </w:pPr>
          </w:p>
        </w:tc>
        <w:tc>
          <w:tcPr>
            <w:tcW w:w="1482" w:type="dxa"/>
            <w:vAlign w:val="center"/>
          </w:tcPr>
          <w:p w14:paraId="1E0379DB">
            <w:pPr>
              <w:adjustRightInd w:val="0"/>
              <w:snapToGrid w:val="0"/>
              <w:jc w:val="center"/>
              <w:rPr>
                <w:rFonts w:eastAsiaTheme="minorEastAsia"/>
                <w:color w:val="000000"/>
                <w:sz w:val="24"/>
              </w:rPr>
            </w:pPr>
          </w:p>
        </w:tc>
        <w:tc>
          <w:tcPr>
            <w:tcW w:w="2384" w:type="dxa"/>
            <w:vAlign w:val="center"/>
          </w:tcPr>
          <w:p w14:paraId="714C4491">
            <w:pPr>
              <w:adjustRightInd w:val="0"/>
              <w:snapToGrid w:val="0"/>
              <w:jc w:val="center"/>
              <w:rPr>
                <w:rFonts w:eastAsiaTheme="minorEastAsia"/>
                <w:color w:val="000000"/>
                <w:sz w:val="24"/>
              </w:rPr>
            </w:pPr>
          </w:p>
        </w:tc>
        <w:tc>
          <w:tcPr>
            <w:tcW w:w="2126" w:type="dxa"/>
            <w:vAlign w:val="center"/>
          </w:tcPr>
          <w:p w14:paraId="0403BB52">
            <w:pPr>
              <w:adjustRightInd w:val="0"/>
              <w:snapToGrid w:val="0"/>
              <w:jc w:val="center"/>
              <w:rPr>
                <w:rFonts w:eastAsiaTheme="minorEastAsia"/>
                <w:color w:val="000000"/>
                <w:sz w:val="24"/>
              </w:rPr>
            </w:pPr>
          </w:p>
        </w:tc>
        <w:tc>
          <w:tcPr>
            <w:tcW w:w="1875" w:type="dxa"/>
            <w:vAlign w:val="center"/>
          </w:tcPr>
          <w:p w14:paraId="484D1ABC">
            <w:pPr>
              <w:adjustRightInd w:val="0"/>
              <w:snapToGrid w:val="0"/>
              <w:jc w:val="center"/>
              <w:rPr>
                <w:rFonts w:eastAsiaTheme="minorEastAsia"/>
                <w:color w:val="000000"/>
                <w:sz w:val="24"/>
              </w:rPr>
            </w:pPr>
          </w:p>
        </w:tc>
        <w:tc>
          <w:tcPr>
            <w:tcW w:w="1009" w:type="dxa"/>
            <w:vAlign w:val="center"/>
          </w:tcPr>
          <w:p w14:paraId="248C4E9E">
            <w:pPr>
              <w:adjustRightInd w:val="0"/>
              <w:snapToGrid w:val="0"/>
              <w:jc w:val="center"/>
              <w:rPr>
                <w:rFonts w:eastAsiaTheme="minorEastAsia"/>
                <w:color w:val="000000"/>
                <w:sz w:val="24"/>
              </w:rPr>
            </w:pPr>
          </w:p>
        </w:tc>
      </w:tr>
    </w:tbl>
    <w:p w14:paraId="589CD6D5">
      <w:pPr>
        <w:tabs>
          <w:tab w:val="left" w:pos="1800"/>
          <w:tab w:val="left" w:pos="5580"/>
        </w:tabs>
        <w:spacing w:line="360" w:lineRule="auto"/>
        <w:ind w:firstLine="360" w:firstLineChars="150"/>
        <w:jc w:val="left"/>
        <w:rPr>
          <w:rFonts w:eastAsiaTheme="minorEastAsia"/>
          <w:color w:val="000000"/>
          <w:sz w:val="24"/>
          <w:u w:val="single"/>
        </w:rPr>
      </w:pPr>
    </w:p>
    <w:p w14:paraId="3E158309">
      <w:pPr>
        <w:tabs>
          <w:tab w:val="left" w:pos="1800"/>
          <w:tab w:val="left" w:pos="5580"/>
        </w:tabs>
        <w:spacing w:line="360" w:lineRule="auto"/>
        <w:ind w:firstLine="360" w:firstLineChars="150"/>
        <w:jc w:val="left"/>
        <w:rPr>
          <w:rFonts w:eastAsiaTheme="minorEastAsia"/>
          <w:color w:val="000000"/>
          <w:sz w:val="24"/>
          <w:u w:val="single"/>
        </w:rPr>
      </w:pPr>
    </w:p>
    <w:p w14:paraId="3C99C19A">
      <w:pPr>
        <w:tabs>
          <w:tab w:val="left" w:pos="1800"/>
          <w:tab w:val="left" w:pos="5580"/>
        </w:tabs>
        <w:jc w:val="left"/>
        <w:rPr>
          <w:rFonts w:eastAsiaTheme="minorEastAsia"/>
          <w:color w:val="000000"/>
          <w:sz w:val="24"/>
        </w:rPr>
      </w:pPr>
      <w:r>
        <w:rPr>
          <w:rFonts w:eastAsiaTheme="minorEastAsia"/>
          <w:color w:val="000000"/>
          <w:sz w:val="24"/>
        </w:rPr>
        <w:t>注：</w:t>
      </w:r>
    </w:p>
    <w:p w14:paraId="0968950B">
      <w:pPr>
        <w:tabs>
          <w:tab w:val="left" w:pos="1800"/>
          <w:tab w:val="left" w:pos="5580"/>
        </w:tabs>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w:t>
      </w:r>
    </w:p>
    <w:p w14:paraId="4247830E">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73440393">
      <w:pPr>
        <w:tabs>
          <w:tab w:val="left" w:pos="1800"/>
          <w:tab w:val="left" w:pos="5580"/>
        </w:tabs>
        <w:jc w:val="left"/>
        <w:rPr>
          <w:rFonts w:eastAsiaTheme="minorEastAsia"/>
          <w:color w:val="000000"/>
          <w:sz w:val="24"/>
        </w:rPr>
      </w:pPr>
    </w:p>
    <w:p w14:paraId="187CCDD9">
      <w:pPr>
        <w:rPr>
          <w:rFonts w:eastAsiaTheme="minorEastAsia"/>
          <w:color w:val="000000"/>
          <w:sz w:val="24"/>
          <w:szCs w:val="20"/>
        </w:rPr>
      </w:pPr>
    </w:p>
    <w:p w14:paraId="796709D0">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01AE28F0">
      <w:pPr>
        <w:autoSpaceDE w:val="0"/>
        <w:autoSpaceDN w:val="0"/>
        <w:adjustRightInd w:val="0"/>
        <w:snapToGrid w:val="0"/>
        <w:spacing w:before="25" w:after="25" w:line="360" w:lineRule="auto"/>
        <w:ind w:right="360"/>
        <w:jc w:val="left"/>
        <w:rPr>
          <w:rFonts w:eastAsiaTheme="minorEastAsia"/>
          <w:color w:val="000000"/>
          <w:sz w:val="24"/>
          <w:szCs w:val="20"/>
        </w:rPr>
      </w:pPr>
      <w:r>
        <w:rPr>
          <w:rFonts w:eastAsiaTheme="minorEastAsia"/>
          <w:color w:val="000000"/>
          <w:sz w:val="24"/>
          <w:szCs w:val="20"/>
        </w:rPr>
        <w:t xml:space="preserve">日期：____年____月____日 </w:t>
      </w:r>
    </w:p>
    <w:p w14:paraId="04BE18DA">
      <w:pPr>
        <w:tabs>
          <w:tab w:val="left" w:pos="360"/>
        </w:tabs>
        <w:snapToGrid w:val="0"/>
        <w:spacing w:line="360" w:lineRule="auto"/>
        <w:outlineLvl w:val="1"/>
        <w:rPr>
          <w:color w:val="000000"/>
          <w:sz w:val="24"/>
          <w:szCs w:val="20"/>
        </w:rPr>
      </w:pPr>
      <w:r>
        <w:rPr>
          <w:rFonts w:eastAsiaTheme="minorEastAsia"/>
          <w:color w:val="000000"/>
          <w:sz w:val="24"/>
          <w:szCs w:val="20"/>
        </w:rPr>
        <w:br w:type="page"/>
      </w:r>
      <w:r>
        <w:rPr>
          <w:rFonts w:eastAsiaTheme="minorEastAsia"/>
          <w:sz w:val="24"/>
        </w:rPr>
        <w:t xml:space="preserve">11  </w:t>
      </w:r>
      <w:r>
        <w:rPr>
          <w:rFonts w:hint="eastAsia"/>
          <w:color w:val="000000"/>
          <w:sz w:val="24"/>
          <w:szCs w:val="20"/>
        </w:rPr>
        <w:t>本国产品标准证明文件</w:t>
      </w:r>
    </w:p>
    <w:p w14:paraId="1CA1C66E">
      <w:pPr>
        <w:pStyle w:val="38"/>
        <w:shd w:val="clear" w:color="auto" w:fill="FFFFFF"/>
        <w:spacing w:before="30" w:beforeAutospacing="0" w:after="30" w:afterAutospacing="0"/>
        <w:jc w:val="center"/>
        <w:rPr>
          <w:rFonts w:hint="eastAsia"/>
          <w:color w:val="333333"/>
          <w:sz w:val="36"/>
          <w:szCs w:val="36"/>
        </w:rPr>
      </w:pPr>
      <w:r>
        <w:rPr>
          <w:rStyle w:val="48"/>
          <w:rFonts w:hint="eastAsia"/>
          <w:color w:val="333333"/>
          <w:sz w:val="36"/>
          <w:szCs w:val="36"/>
          <w:shd w:val="clear" w:color="auto" w:fill="FFFFFF"/>
        </w:rPr>
        <w:t>关于符合本国产品标准的声明函</w:t>
      </w:r>
    </w:p>
    <w:p w14:paraId="665FB00B">
      <w:pPr>
        <w:pStyle w:val="38"/>
        <w:shd w:val="clear" w:color="auto" w:fill="FFFFFF"/>
        <w:spacing w:before="30" w:beforeAutospacing="0" w:after="30" w:afterAutospacing="0"/>
        <w:ind w:firstLine="420"/>
        <w:rPr>
          <w:rFonts w:hint="eastAsia"/>
          <w:color w:val="333333"/>
        </w:rPr>
      </w:pPr>
    </w:p>
    <w:p w14:paraId="3A9B4759">
      <w:pPr>
        <w:pStyle w:val="38"/>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7678C61">
      <w:pPr>
        <w:pStyle w:val="38"/>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1.</w:t>
      </w:r>
      <w:r>
        <w:rPr>
          <w:rStyle w:val="51"/>
          <w:rFonts w:hint="eastAsia"/>
          <w:color w:val="333333"/>
          <w:u w:val="single"/>
          <w:shd w:val="clear" w:color="auto" w:fill="FFFFFF"/>
        </w:rPr>
        <w:t>（产品名称1）</w:t>
      </w:r>
      <w:r>
        <w:rPr>
          <w:rStyle w:val="51"/>
          <w:rFonts w:hint="eastAsia"/>
          <w:color w:val="333333"/>
          <w:shd w:val="clear" w:color="auto" w:fill="FFFFFF"/>
          <w:vertAlign w:val="superscript"/>
        </w:rPr>
        <w:t>1</w:t>
      </w:r>
      <w:r>
        <w:rPr>
          <w:rFonts w:hint="eastAsia"/>
          <w:color w:val="333333"/>
          <w:shd w:val="clear" w:color="auto" w:fill="FFFFFF"/>
        </w:rPr>
        <w:t>，生产厂为</w:t>
      </w:r>
      <w:r>
        <w:rPr>
          <w:rStyle w:val="51"/>
          <w:rFonts w:hint="eastAsia"/>
          <w:color w:val="333333"/>
          <w:u w:val="single"/>
          <w:shd w:val="clear" w:color="auto" w:fill="FFFFFF"/>
        </w:rPr>
        <w:t>（厂名）</w:t>
      </w:r>
      <w:r>
        <w:rPr>
          <w:rStyle w:val="51"/>
          <w:rFonts w:hint="eastAsia"/>
          <w:color w:val="333333"/>
          <w:shd w:val="clear" w:color="auto" w:fill="FFFFFF"/>
          <w:vertAlign w:val="superscript"/>
        </w:rPr>
        <w:t>2</w:t>
      </w:r>
      <w:r>
        <w:rPr>
          <w:rFonts w:hint="eastAsia"/>
          <w:color w:val="333333"/>
          <w:shd w:val="clear" w:color="auto" w:fill="FFFFFF"/>
        </w:rPr>
        <w:t>，厂址为</w:t>
      </w:r>
      <w:r>
        <w:rPr>
          <w:rStyle w:val="51"/>
          <w:rFonts w:hint="eastAsia"/>
          <w:color w:val="333333"/>
          <w:u w:val="single"/>
          <w:shd w:val="clear" w:color="auto" w:fill="FFFFFF"/>
        </w:rPr>
        <w:t>（生产厂址）</w:t>
      </w:r>
      <w:r>
        <w:rPr>
          <w:rFonts w:hint="eastAsia"/>
          <w:color w:val="333333"/>
          <w:shd w:val="clear" w:color="auto" w:fill="FFFFFF"/>
        </w:rPr>
        <w:t>。</w:t>
      </w:r>
      <w:r>
        <w:rPr>
          <w:rStyle w:val="51"/>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1"/>
          <w:rFonts w:hint="eastAsia"/>
          <w:color w:val="333333"/>
          <w:u w:val="single"/>
          <w:shd w:val="clear" w:color="auto" w:fill="FFFFFF"/>
        </w:rPr>
        <w:t>（规定比例）</w:t>
      </w:r>
      <w:r>
        <w:rPr>
          <w:rStyle w:val="51"/>
          <w:rFonts w:hint="eastAsia"/>
          <w:color w:val="333333"/>
          <w:shd w:val="clear" w:color="auto" w:fill="FFFFFF"/>
          <w:vertAlign w:val="superscript"/>
        </w:rPr>
        <w:t>3</w:t>
      </w:r>
      <w:r>
        <w:rPr>
          <w:rFonts w:hint="eastAsia"/>
          <w:color w:val="333333"/>
          <w:shd w:val="clear" w:color="auto" w:fill="FFFFFF"/>
        </w:rPr>
        <w:t>。</w:t>
      </w:r>
      <w:r>
        <w:rPr>
          <w:rStyle w:val="51"/>
          <w:rFonts w:hint="eastAsia"/>
          <w:color w:val="333333"/>
          <w:u w:val="single"/>
          <w:shd w:val="clear" w:color="auto" w:fill="FFFFFF"/>
        </w:rPr>
        <w:t>（产品名称1）</w:t>
      </w:r>
      <w:r>
        <w:rPr>
          <w:rFonts w:hint="eastAsia"/>
          <w:color w:val="333333"/>
          <w:shd w:val="clear" w:color="auto" w:fill="FFFFFF"/>
        </w:rPr>
        <w:t>的</w:t>
      </w:r>
      <w:r>
        <w:rPr>
          <w:rStyle w:val="51"/>
          <w:rFonts w:hint="eastAsia"/>
          <w:color w:val="333333"/>
          <w:u w:val="single"/>
          <w:shd w:val="clear" w:color="auto" w:fill="FFFFFF"/>
        </w:rPr>
        <w:t>（关键组件）</w:t>
      </w:r>
      <w:r>
        <w:rPr>
          <w:rStyle w:val="51"/>
          <w:rFonts w:hint="eastAsia"/>
          <w:color w:val="333333"/>
          <w:shd w:val="clear" w:color="auto" w:fill="FFFFFF"/>
          <w:vertAlign w:val="superscript"/>
        </w:rPr>
        <w:t>4</w:t>
      </w:r>
      <w:r>
        <w:rPr>
          <w:rFonts w:hint="eastAsia"/>
          <w:color w:val="333333"/>
          <w:shd w:val="clear" w:color="auto" w:fill="FFFFFF"/>
        </w:rPr>
        <w:t>在中国境内生产。</w:t>
      </w:r>
      <w:r>
        <w:rPr>
          <w:rStyle w:val="51"/>
          <w:rFonts w:hint="eastAsia"/>
          <w:color w:val="333333"/>
          <w:u w:val="single"/>
          <w:shd w:val="clear" w:color="auto" w:fill="FFFFFF"/>
        </w:rPr>
        <w:t>（产品名称1）</w:t>
      </w:r>
      <w:r>
        <w:rPr>
          <w:rFonts w:hint="eastAsia"/>
          <w:color w:val="333333"/>
          <w:shd w:val="clear" w:color="auto" w:fill="FFFFFF"/>
        </w:rPr>
        <w:t>的</w:t>
      </w:r>
      <w:r>
        <w:rPr>
          <w:rStyle w:val="51"/>
          <w:rFonts w:hint="eastAsia"/>
          <w:color w:val="333333"/>
          <w:u w:val="single"/>
          <w:shd w:val="clear" w:color="auto" w:fill="FFFFFF"/>
        </w:rPr>
        <w:t>（关键工序）</w:t>
      </w:r>
      <w:r>
        <w:rPr>
          <w:rStyle w:val="51"/>
          <w:rFonts w:hint="eastAsia"/>
          <w:color w:val="333333"/>
          <w:shd w:val="clear" w:color="auto" w:fill="FFFFFF"/>
          <w:vertAlign w:val="superscript"/>
        </w:rPr>
        <w:t>5</w:t>
      </w:r>
      <w:r>
        <w:rPr>
          <w:rFonts w:hint="eastAsia"/>
          <w:color w:val="333333"/>
          <w:shd w:val="clear" w:color="auto" w:fill="FFFFFF"/>
        </w:rPr>
        <w:t>在中国境内完成。</w:t>
      </w:r>
    </w:p>
    <w:p w14:paraId="0182F4ED">
      <w:pPr>
        <w:pStyle w:val="38"/>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2.</w:t>
      </w:r>
      <w:r>
        <w:rPr>
          <w:rStyle w:val="51"/>
          <w:rFonts w:hint="eastAsia"/>
          <w:color w:val="333333"/>
          <w:u w:val="single"/>
          <w:shd w:val="clear" w:color="auto" w:fill="FFFFFF"/>
        </w:rPr>
        <w:t>（产品名称2）</w:t>
      </w:r>
      <w:r>
        <w:rPr>
          <w:rFonts w:hint="eastAsia"/>
          <w:color w:val="333333"/>
          <w:shd w:val="clear" w:color="auto" w:fill="FFFFFF"/>
        </w:rPr>
        <w:t>，生产厂为</w:t>
      </w:r>
      <w:r>
        <w:rPr>
          <w:rStyle w:val="51"/>
          <w:rFonts w:hint="eastAsia"/>
          <w:color w:val="333333"/>
          <w:u w:val="single"/>
          <w:shd w:val="clear" w:color="auto" w:fill="FFFFFF"/>
        </w:rPr>
        <w:t>（厂名）</w:t>
      </w:r>
      <w:r>
        <w:rPr>
          <w:rFonts w:hint="eastAsia"/>
          <w:color w:val="333333"/>
          <w:shd w:val="clear" w:color="auto" w:fill="FFFFFF"/>
        </w:rPr>
        <w:t>，厂址为</w:t>
      </w:r>
      <w:r>
        <w:rPr>
          <w:rStyle w:val="51"/>
          <w:rFonts w:hint="eastAsia"/>
          <w:color w:val="333333"/>
          <w:u w:val="single"/>
          <w:shd w:val="clear" w:color="auto" w:fill="FFFFFF"/>
        </w:rPr>
        <w:t>（生产厂址）</w:t>
      </w:r>
      <w:r>
        <w:rPr>
          <w:rFonts w:hint="eastAsia"/>
          <w:color w:val="333333"/>
          <w:shd w:val="clear" w:color="auto" w:fill="FFFFFF"/>
        </w:rPr>
        <w:t>。</w:t>
      </w:r>
      <w:r>
        <w:rPr>
          <w:rStyle w:val="51"/>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1"/>
          <w:rFonts w:hint="eastAsia"/>
          <w:color w:val="333333"/>
          <w:u w:val="single"/>
          <w:shd w:val="clear" w:color="auto" w:fill="FFFFFF"/>
        </w:rPr>
        <w:t>（规定比例）</w:t>
      </w:r>
      <w:r>
        <w:rPr>
          <w:rFonts w:hint="eastAsia"/>
          <w:color w:val="333333"/>
          <w:shd w:val="clear" w:color="auto" w:fill="FFFFFF"/>
        </w:rPr>
        <w:t>。</w:t>
      </w:r>
      <w:r>
        <w:rPr>
          <w:rStyle w:val="51"/>
          <w:rFonts w:hint="eastAsia"/>
          <w:color w:val="333333"/>
          <w:u w:val="single"/>
          <w:shd w:val="clear" w:color="auto" w:fill="FFFFFF"/>
        </w:rPr>
        <w:t>（产品名称2）</w:t>
      </w:r>
      <w:r>
        <w:rPr>
          <w:rFonts w:hint="eastAsia"/>
          <w:color w:val="333333"/>
          <w:shd w:val="clear" w:color="auto" w:fill="FFFFFF"/>
        </w:rPr>
        <w:t>的</w:t>
      </w:r>
      <w:r>
        <w:rPr>
          <w:rStyle w:val="51"/>
          <w:rFonts w:hint="eastAsia"/>
          <w:color w:val="333333"/>
          <w:u w:val="single"/>
          <w:shd w:val="clear" w:color="auto" w:fill="FFFFFF"/>
        </w:rPr>
        <w:t>（关键组件）</w:t>
      </w:r>
      <w:r>
        <w:rPr>
          <w:rFonts w:hint="eastAsia"/>
          <w:color w:val="333333"/>
          <w:shd w:val="clear" w:color="auto" w:fill="FFFFFF"/>
        </w:rPr>
        <w:t>在中国境内生产。</w:t>
      </w:r>
      <w:r>
        <w:rPr>
          <w:rStyle w:val="51"/>
          <w:rFonts w:hint="eastAsia"/>
          <w:color w:val="333333"/>
          <w:u w:val="single"/>
          <w:shd w:val="clear" w:color="auto" w:fill="FFFFFF"/>
        </w:rPr>
        <w:t>（产品名称2）</w:t>
      </w:r>
      <w:r>
        <w:rPr>
          <w:rFonts w:hint="eastAsia"/>
          <w:color w:val="333333"/>
          <w:shd w:val="clear" w:color="auto" w:fill="FFFFFF"/>
        </w:rPr>
        <w:t>的</w:t>
      </w:r>
      <w:r>
        <w:rPr>
          <w:rStyle w:val="51"/>
          <w:rFonts w:hint="eastAsia"/>
          <w:color w:val="333333"/>
          <w:u w:val="single"/>
          <w:shd w:val="clear" w:color="auto" w:fill="FFFFFF"/>
        </w:rPr>
        <w:t>（关键工序）</w:t>
      </w:r>
      <w:r>
        <w:rPr>
          <w:rFonts w:hint="eastAsia"/>
          <w:color w:val="333333"/>
          <w:shd w:val="clear" w:color="auto" w:fill="FFFFFF"/>
        </w:rPr>
        <w:t>在中国境内完成。</w:t>
      </w:r>
    </w:p>
    <w:p w14:paraId="7224EE1B">
      <w:pPr>
        <w:pStyle w:val="38"/>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w:t>
      </w:r>
    </w:p>
    <w:p w14:paraId="231EE3D2">
      <w:pPr>
        <w:pStyle w:val="38"/>
        <w:shd w:val="clear" w:color="auto" w:fill="FFFFFF"/>
        <w:spacing w:before="0" w:beforeAutospacing="0" w:after="0" w:afterAutospacing="0" w:line="360" w:lineRule="auto"/>
        <w:ind w:firstLine="480" w:firstLineChars="200"/>
        <w:rPr>
          <w:rFonts w:hint="eastAsia"/>
          <w:color w:val="333333"/>
        </w:rPr>
      </w:pPr>
      <w:r>
        <w:rPr>
          <w:rFonts w:hint="eastAsia"/>
          <w:color w:val="333333"/>
          <w:shd w:val="clear" w:color="auto" w:fill="FFFFFF"/>
        </w:rPr>
        <w:t>本公司（单位）对上述声明内容的真实性负责。如有虚假，愿承担相应法律责任。</w:t>
      </w:r>
    </w:p>
    <w:p w14:paraId="63DF655D">
      <w:pPr>
        <w:pStyle w:val="38"/>
        <w:shd w:val="clear" w:color="auto" w:fill="FFFFFF"/>
        <w:spacing w:before="0" w:beforeAutospacing="0" w:after="0" w:afterAutospacing="0" w:line="360" w:lineRule="auto"/>
        <w:rPr>
          <w:rFonts w:hint="eastAsia"/>
          <w:color w:val="333333"/>
        </w:rPr>
      </w:pPr>
    </w:p>
    <w:p w14:paraId="6D6AA365">
      <w:pPr>
        <w:pStyle w:val="38"/>
        <w:shd w:val="clear" w:color="auto" w:fill="FFFFFF"/>
        <w:spacing w:before="0" w:beforeAutospacing="0" w:after="0" w:afterAutospacing="0" w:line="360" w:lineRule="auto"/>
        <w:jc w:val="right"/>
        <w:rPr>
          <w:rFonts w:hint="eastAsia"/>
          <w:color w:val="333333"/>
          <w:shd w:val="clear" w:color="auto" w:fill="FFFFFF"/>
        </w:rPr>
      </w:pPr>
    </w:p>
    <w:p w14:paraId="6E3FCAAC">
      <w:pPr>
        <w:pStyle w:val="38"/>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公司（单位）名称（盖章）：　        </w:t>
      </w:r>
    </w:p>
    <w:p w14:paraId="7E8E92F7">
      <w:pPr>
        <w:pStyle w:val="38"/>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日期：　     年　  月　  日         </w:t>
      </w:r>
    </w:p>
    <w:p w14:paraId="7B54929A">
      <w:pPr>
        <w:pStyle w:val="38"/>
        <w:shd w:val="clear" w:color="auto" w:fill="FFFFFF"/>
        <w:spacing w:before="0" w:beforeAutospacing="0" w:after="0" w:afterAutospacing="0" w:line="360" w:lineRule="auto"/>
        <w:rPr>
          <w:rFonts w:hint="eastAsia"/>
          <w:color w:val="333333"/>
          <w:shd w:val="clear" w:color="auto" w:fill="FFFFFF"/>
        </w:rPr>
      </w:pPr>
    </w:p>
    <w:p w14:paraId="430D42FB">
      <w:pPr>
        <w:pStyle w:val="38"/>
        <w:shd w:val="clear" w:color="auto" w:fill="FFFFFF"/>
        <w:spacing w:before="0" w:beforeAutospacing="0" w:after="0" w:afterAutospacing="0" w:line="360" w:lineRule="auto"/>
        <w:rPr>
          <w:rFonts w:hint="eastAsia"/>
          <w:color w:val="333333"/>
          <w:shd w:val="clear" w:color="auto" w:fill="FFFFFF"/>
        </w:rPr>
      </w:pPr>
    </w:p>
    <w:p w14:paraId="45775000">
      <w:pPr>
        <w:spacing w:line="360" w:lineRule="auto"/>
        <w:ind w:left="424" w:leftChars="1" w:hanging="422" w:hangingChars="201"/>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14:paraId="6BD1D34D">
      <w:pPr>
        <w:spacing w:line="360" w:lineRule="auto"/>
        <w:ind w:left="420" w:leftChars="20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14:paraId="31E128A7">
      <w:pPr>
        <w:spacing w:line="360" w:lineRule="auto"/>
        <w:ind w:left="420" w:leftChars="20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14:paraId="16EE9C20">
      <w:pPr>
        <w:spacing w:line="360" w:lineRule="auto"/>
        <w:ind w:left="420" w:leftChars="20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14:paraId="180557C6">
      <w:pPr>
        <w:spacing w:line="360" w:lineRule="auto"/>
        <w:ind w:left="420" w:leftChars="200"/>
        <w:rPr>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14:paraId="48D164F5">
      <w:pPr>
        <w:widowControl/>
        <w:jc w:val="left"/>
        <w:rPr>
          <w:color w:val="333333"/>
          <w:szCs w:val="21"/>
          <w:shd w:val="clear" w:color="auto" w:fill="FFFFFF"/>
        </w:rPr>
      </w:pPr>
      <w:r>
        <w:rPr>
          <w:color w:val="333333"/>
          <w:szCs w:val="21"/>
          <w:shd w:val="clear" w:color="auto" w:fill="FFFFFF"/>
        </w:rPr>
        <w:br w:type="page"/>
      </w:r>
    </w:p>
    <w:p w14:paraId="2D2CBA1B">
      <w:pPr>
        <w:pStyle w:val="38"/>
        <w:shd w:val="clear" w:color="auto" w:fill="FFFFFF"/>
        <w:spacing w:before="30" w:beforeAutospacing="0" w:after="30" w:afterAutospacing="0"/>
        <w:jc w:val="center"/>
        <w:rPr>
          <w:rStyle w:val="48"/>
          <w:rFonts w:hint="eastAsia"/>
          <w:sz w:val="36"/>
          <w:szCs w:val="36"/>
        </w:rPr>
      </w:pPr>
      <w:r>
        <w:rPr>
          <w:rStyle w:val="48"/>
          <w:rFonts w:hint="eastAsia"/>
          <w:sz w:val="36"/>
          <w:szCs w:val="36"/>
        </w:rPr>
        <w:t>产品成本占比承诺函</w:t>
      </w:r>
    </w:p>
    <w:p w14:paraId="57655441">
      <w:pPr>
        <w:pStyle w:val="38"/>
        <w:shd w:val="clear" w:color="auto" w:fill="FFFFFF"/>
        <w:spacing w:before="30" w:beforeAutospacing="0" w:after="30" w:afterAutospacing="0"/>
        <w:rPr>
          <w:rStyle w:val="48"/>
          <w:rFonts w:hint="eastAsia"/>
          <w:sz w:val="36"/>
          <w:szCs w:val="36"/>
        </w:rPr>
      </w:pPr>
    </w:p>
    <w:p w14:paraId="16BD3EA6">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3C74F1B9">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2EFEC3D7">
      <w:pPr>
        <w:widowControl/>
        <w:spacing w:line="360" w:lineRule="auto"/>
        <w:ind w:firstLine="480" w:firstLineChars="200"/>
        <w:jc w:val="left"/>
        <w:rPr>
          <w:color w:val="000000"/>
          <w:sz w:val="24"/>
        </w:rPr>
      </w:pPr>
    </w:p>
    <w:p w14:paraId="0FD0E730">
      <w:pPr>
        <w:pStyle w:val="38"/>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公司（单位）名称（盖章）：　        </w:t>
      </w:r>
    </w:p>
    <w:p w14:paraId="492EF9BD">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5118C79B">
      <w:pPr>
        <w:widowControl/>
        <w:spacing w:line="360" w:lineRule="auto"/>
        <w:jc w:val="left"/>
        <w:rPr>
          <w:color w:val="000000"/>
          <w:sz w:val="24"/>
        </w:rPr>
      </w:pPr>
    </w:p>
    <w:p w14:paraId="34FF9F5D">
      <w:pPr>
        <w:widowControl/>
        <w:spacing w:line="360" w:lineRule="auto"/>
        <w:jc w:val="left"/>
        <w:rPr>
          <w:color w:val="000000"/>
          <w:sz w:val="24"/>
        </w:rPr>
      </w:pPr>
    </w:p>
    <w:p w14:paraId="61F76C23">
      <w:pPr>
        <w:spacing w:line="360" w:lineRule="auto"/>
        <w:rPr>
          <w:color w:val="000000"/>
          <w:sz w:val="22"/>
          <w:szCs w:val="22"/>
        </w:rPr>
      </w:pPr>
      <w:r>
        <w:rPr>
          <w:rFonts w:hint="eastAsia"/>
          <w:color w:val="000000"/>
          <w:sz w:val="22"/>
          <w:szCs w:val="22"/>
        </w:rPr>
        <w:t>注：</w:t>
      </w:r>
    </w:p>
    <w:p w14:paraId="0E6BD96F">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31BB592D">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0BF26F42">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651B72A8">
      <w:pPr>
        <w:spacing w:line="360" w:lineRule="auto"/>
        <w:ind w:left="420" w:leftChars="200"/>
        <w:rPr>
          <w:color w:val="333333"/>
          <w:szCs w:val="21"/>
          <w:shd w:val="clear" w:color="auto" w:fill="FFFFFF"/>
        </w:rPr>
      </w:pPr>
    </w:p>
    <w:p w14:paraId="3E034834">
      <w:pPr>
        <w:widowControl/>
        <w:jc w:val="left"/>
        <w:rPr>
          <w:rFonts w:eastAsiaTheme="minorEastAsia"/>
          <w:sz w:val="24"/>
        </w:rPr>
      </w:pPr>
      <w:r>
        <w:rPr>
          <w:rFonts w:eastAsiaTheme="minorEastAsia"/>
          <w:sz w:val="24"/>
        </w:rPr>
        <w:br w:type="page"/>
      </w:r>
    </w:p>
    <w:p w14:paraId="2985688E">
      <w:pPr>
        <w:tabs>
          <w:tab w:val="left" w:pos="360"/>
        </w:tabs>
        <w:snapToGrid w:val="0"/>
        <w:spacing w:line="360" w:lineRule="auto"/>
        <w:outlineLvl w:val="1"/>
        <w:rPr>
          <w:rFonts w:eastAsiaTheme="minorEastAsia"/>
          <w:color w:val="000000"/>
          <w:sz w:val="24"/>
          <w:szCs w:val="20"/>
        </w:rPr>
      </w:pPr>
      <w:r>
        <w:rPr>
          <w:rFonts w:eastAsiaTheme="minorEastAsia"/>
          <w:sz w:val="24"/>
        </w:rPr>
        <w:t>12  竞争性磋商文件要求提供或供应商认为应附的其他材料</w:t>
      </w:r>
    </w:p>
    <w:p w14:paraId="3B9B115C">
      <w:pPr>
        <w:widowControl/>
        <w:jc w:val="left"/>
        <w:rPr>
          <w:rFonts w:eastAsiaTheme="minorEastAsia"/>
          <w:b/>
          <w:sz w:val="36"/>
          <w:szCs w:val="36"/>
        </w:rPr>
      </w:pPr>
    </w:p>
    <w:p w14:paraId="51BA6C9C">
      <w:pPr>
        <w:widowControl/>
        <w:jc w:val="left"/>
        <w:rPr>
          <w:color w:val="000000"/>
          <w:sz w:val="24"/>
          <w:szCs w:val="20"/>
        </w:rPr>
      </w:pPr>
      <w:bookmarkStart w:id="784" w:name="_Hlk167094858"/>
      <w:r>
        <w:rPr>
          <w:rFonts w:hint="eastAsia"/>
          <w:color w:val="000000"/>
          <w:sz w:val="24"/>
          <w:szCs w:val="20"/>
        </w:rPr>
        <w:t>1</w:t>
      </w:r>
      <w:r>
        <w:rPr>
          <w:color w:val="000000"/>
          <w:sz w:val="24"/>
          <w:szCs w:val="20"/>
        </w:rPr>
        <w:t>2-1</w:t>
      </w:r>
      <w:r>
        <w:rPr>
          <w:rFonts w:hint="eastAsia"/>
          <w:color w:val="000000"/>
          <w:sz w:val="24"/>
          <w:szCs w:val="20"/>
        </w:rPr>
        <w:t>供应商信息采集表</w:t>
      </w:r>
    </w:p>
    <w:tbl>
      <w:tblPr>
        <w:tblStyle w:val="4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12C9C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792FE011">
            <w:pPr>
              <w:rPr>
                <w:sz w:val="24"/>
              </w:rPr>
            </w:pPr>
            <w:r>
              <w:rPr>
                <w:rFonts w:hint="eastAsia"/>
                <w:sz w:val="24"/>
              </w:rPr>
              <w:t>供应商名称</w:t>
            </w:r>
          </w:p>
        </w:tc>
        <w:tc>
          <w:tcPr>
            <w:tcW w:w="1667" w:type="pct"/>
          </w:tcPr>
          <w:p w14:paraId="08B22832">
            <w:pPr>
              <w:rPr>
                <w:sz w:val="24"/>
              </w:rPr>
            </w:pPr>
            <w:r>
              <w:rPr>
                <w:rFonts w:hint="eastAsia"/>
                <w:sz w:val="24"/>
              </w:rPr>
              <w:t>供应商所属性别</w:t>
            </w:r>
          </w:p>
        </w:tc>
        <w:tc>
          <w:tcPr>
            <w:tcW w:w="1667" w:type="pct"/>
          </w:tcPr>
          <w:p w14:paraId="3FE5B72D">
            <w:pPr>
              <w:rPr>
                <w:sz w:val="24"/>
              </w:rPr>
            </w:pPr>
            <w:r>
              <w:rPr>
                <w:rFonts w:hint="eastAsia"/>
                <w:sz w:val="24"/>
              </w:rPr>
              <w:t>外商投资类型</w:t>
            </w:r>
          </w:p>
        </w:tc>
      </w:tr>
      <w:tr w14:paraId="773EA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7A6C71E0">
            <w:pPr>
              <w:rPr>
                <w:sz w:val="24"/>
              </w:rPr>
            </w:pPr>
          </w:p>
        </w:tc>
        <w:tc>
          <w:tcPr>
            <w:tcW w:w="1667" w:type="pct"/>
          </w:tcPr>
          <w:p w14:paraId="59F842AE">
            <w:pPr>
              <w:rPr>
                <w:sz w:val="24"/>
              </w:rPr>
            </w:pPr>
          </w:p>
        </w:tc>
        <w:tc>
          <w:tcPr>
            <w:tcW w:w="1667" w:type="pct"/>
          </w:tcPr>
          <w:p w14:paraId="1EEE8645">
            <w:pPr>
              <w:rPr>
                <w:sz w:val="24"/>
              </w:rPr>
            </w:pPr>
          </w:p>
        </w:tc>
      </w:tr>
      <w:tr w14:paraId="4A274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248D3924"/>
        </w:tc>
        <w:tc>
          <w:tcPr>
            <w:tcW w:w="1667" w:type="pct"/>
          </w:tcPr>
          <w:p w14:paraId="1DEDFACA"/>
        </w:tc>
        <w:tc>
          <w:tcPr>
            <w:tcW w:w="1667" w:type="pct"/>
          </w:tcPr>
          <w:p w14:paraId="74A61F92"/>
        </w:tc>
      </w:tr>
      <w:tr w14:paraId="77CDC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1301239F"/>
        </w:tc>
        <w:tc>
          <w:tcPr>
            <w:tcW w:w="1667" w:type="pct"/>
          </w:tcPr>
          <w:p w14:paraId="3C23D6EF"/>
        </w:tc>
        <w:tc>
          <w:tcPr>
            <w:tcW w:w="1667" w:type="pct"/>
          </w:tcPr>
          <w:p w14:paraId="47DEF94F"/>
        </w:tc>
      </w:tr>
      <w:tr w14:paraId="7D237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79265E74"/>
        </w:tc>
        <w:tc>
          <w:tcPr>
            <w:tcW w:w="1667" w:type="pct"/>
          </w:tcPr>
          <w:p w14:paraId="00D698C7"/>
        </w:tc>
        <w:tc>
          <w:tcPr>
            <w:tcW w:w="1667" w:type="pct"/>
          </w:tcPr>
          <w:p w14:paraId="2217F5AD"/>
        </w:tc>
      </w:tr>
    </w:tbl>
    <w:p w14:paraId="0DA0B91E">
      <w:pPr>
        <w:tabs>
          <w:tab w:val="left" w:pos="1800"/>
          <w:tab w:val="left" w:pos="5580"/>
        </w:tabs>
        <w:jc w:val="left"/>
        <w:rPr>
          <w:color w:val="000000"/>
          <w:sz w:val="24"/>
        </w:rPr>
      </w:pPr>
      <w:r>
        <w:rPr>
          <w:rFonts w:hint="eastAsia"/>
          <w:color w:val="000000"/>
          <w:sz w:val="24"/>
        </w:rPr>
        <w:t>注：1.供应商如为联合体，则应填写联合体各成员信息。</w:t>
      </w:r>
    </w:p>
    <w:p w14:paraId="5AC44A3B">
      <w:pPr>
        <w:tabs>
          <w:tab w:val="left" w:pos="1800"/>
          <w:tab w:val="left" w:pos="5580"/>
        </w:tabs>
        <w:ind w:firstLine="480" w:firstLineChars="200"/>
        <w:jc w:val="left"/>
        <w:rPr>
          <w:color w:val="000000"/>
          <w:sz w:val="24"/>
        </w:rPr>
      </w:pPr>
      <w:r>
        <w:rPr>
          <w:rFonts w:hint="eastAsia"/>
          <w:color w:val="000000"/>
          <w:sz w:val="24"/>
        </w:rPr>
        <w:t>2.供应商所属性别请填写“男”或“女”，指拥有供应商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14:paraId="0B158552">
      <w:pPr>
        <w:tabs>
          <w:tab w:val="left" w:pos="1800"/>
          <w:tab w:val="left" w:pos="5580"/>
        </w:tabs>
        <w:ind w:firstLine="480" w:firstLineChars="200"/>
        <w:jc w:val="left"/>
        <w:rPr>
          <w:color w:val="000000"/>
          <w:sz w:val="24"/>
        </w:rPr>
      </w:pPr>
      <w:r>
        <w:rPr>
          <w:rFonts w:hint="eastAsia"/>
          <w:color w:val="000000"/>
          <w:sz w:val="24"/>
        </w:rPr>
        <w:t>3.外商投资类型请填写“外商单独投资”、“外商部分投资”或“内资”。</w:t>
      </w:r>
    </w:p>
    <w:bookmarkEnd w:id="784"/>
    <w:p w14:paraId="41581AAB">
      <w:pPr>
        <w:widowControl/>
        <w:jc w:val="left"/>
        <w:rPr>
          <w:rFonts w:eastAsiaTheme="minorEastAsia"/>
          <w:b/>
          <w:sz w:val="36"/>
          <w:szCs w:val="36"/>
        </w:rPr>
      </w:pPr>
      <w:r>
        <w:rPr>
          <w:rFonts w:eastAsiaTheme="minorEastAsia"/>
          <w:b/>
          <w:sz w:val="36"/>
          <w:szCs w:val="36"/>
        </w:rPr>
        <w:br w:type="page"/>
      </w:r>
    </w:p>
    <w:p w14:paraId="48D4D648">
      <w:pPr>
        <w:tabs>
          <w:tab w:val="left" w:pos="360"/>
        </w:tabs>
        <w:snapToGrid w:val="0"/>
        <w:spacing w:line="360" w:lineRule="auto"/>
        <w:outlineLvl w:val="1"/>
        <w:rPr>
          <w:rFonts w:eastAsiaTheme="minorEastAsia"/>
          <w:sz w:val="24"/>
        </w:rPr>
      </w:pPr>
      <w:r>
        <w:rPr>
          <w:rFonts w:eastAsiaTheme="minorEastAsia"/>
          <w:sz w:val="24"/>
        </w:rPr>
        <w:t>13  最后报价一览表（实质性格式，磋商后提交）</w:t>
      </w:r>
    </w:p>
    <w:p w14:paraId="1678E157">
      <w:pPr>
        <w:widowControl/>
        <w:jc w:val="left"/>
        <w:rPr>
          <w:rFonts w:eastAsiaTheme="minorEastAsia"/>
          <w:kern w:val="0"/>
          <w:sz w:val="24"/>
          <w:szCs w:val="20"/>
        </w:rPr>
      </w:pPr>
    </w:p>
    <w:p w14:paraId="059CF500">
      <w:pPr>
        <w:spacing w:line="360" w:lineRule="exact"/>
        <w:ind w:firstLine="720"/>
        <w:jc w:val="center"/>
        <w:rPr>
          <w:rFonts w:eastAsiaTheme="minorEastAsia"/>
          <w:b/>
          <w:color w:val="000000"/>
          <w:sz w:val="36"/>
          <w:szCs w:val="36"/>
        </w:rPr>
      </w:pPr>
      <w:r>
        <w:rPr>
          <w:rFonts w:eastAsiaTheme="minorEastAsia"/>
          <w:b/>
          <w:color w:val="000000"/>
          <w:sz w:val="36"/>
          <w:szCs w:val="36"/>
        </w:rPr>
        <w:t>最后报价一览表</w:t>
      </w:r>
    </w:p>
    <w:p w14:paraId="48A39535">
      <w:pPr>
        <w:tabs>
          <w:tab w:val="left" w:pos="1800"/>
          <w:tab w:val="left" w:pos="5580"/>
        </w:tabs>
        <w:spacing w:line="360" w:lineRule="auto"/>
        <w:jc w:val="left"/>
        <w:rPr>
          <w:rFonts w:eastAsiaTheme="minorEastAsia"/>
          <w:color w:val="000000"/>
          <w:sz w:val="24"/>
        </w:rPr>
      </w:pPr>
    </w:p>
    <w:p w14:paraId="7115C9EE">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4"/>
        <w:tblW w:w="4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7"/>
        <w:gridCol w:w="2305"/>
        <w:gridCol w:w="1714"/>
        <w:gridCol w:w="1526"/>
        <w:gridCol w:w="1460"/>
      </w:tblGrid>
      <w:tr w14:paraId="0D19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7" w:type="pct"/>
            <w:vMerge w:val="restart"/>
            <w:vAlign w:val="center"/>
          </w:tcPr>
          <w:p w14:paraId="4A5A216C">
            <w:pPr>
              <w:tabs>
                <w:tab w:val="left" w:pos="5580"/>
              </w:tabs>
              <w:jc w:val="center"/>
              <w:rPr>
                <w:rFonts w:eastAsiaTheme="minorEastAsia"/>
                <w:b/>
                <w:sz w:val="24"/>
              </w:rPr>
            </w:pPr>
            <w:r>
              <w:rPr>
                <w:rFonts w:eastAsiaTheme="minorEastAsia"/>
                <w:b/>
                <w:sz w:val="24"/>
              </w:rPr>
              <w:t>序号</w:t>
            </w:r>
          </w:p>
        </w:tc>
        <w:tc>
          <w:tcPr>
            <w:tcW w:w="1498" w:type="pct"/>
            <w:vMerge w:val="restart"/>
            <w:vAlign w:val="center"/>
          </w:tcPr>
          <w:p w14:paraId="53155DF7">
            <w:pPr>
              <w:tabs>
                <w:tab w:val="left" w:pos="5580"/>
              </w:tabs>
              <w:jc w:val="center"/>
              <w:rPr>
                <w:rFonts w:eastAsiaTheme="minorEastAsia"/>
                <w:b/>
                <w:sz w:val="24"/>
              </w:rPr>
            </w:pPr>
            <w:r>
              <w:rPr>
                <w:rFonts w:eastAsiaTheme="minorEastAsia"/>
                <w:b/>
                <w:sz w:val="24"/>
              </w:rPr>
              <w:t>供应商名称</w:t>
            </w:r>
          </w:p>
        </w:tc>
        <w:tc>
          <w:tcPr>
            <w:tcW w:w="2106" w:type="pct"/>
            <w:gridSpan w:val="2"/>
            <w:vAlign w:val="center"/>
          </w:tcPr>
          <w:p w14:paraId="309CCFC8">
            <w:pPr>
              <w:tabs>
                <w:tab w:val="left" w:pos="5580"/>
              </w:tabs>
              <w:jc w:val="center"/>
              <w:rPr>
                <w:rFonts w:eastAsiaTheme="minorEastAsia"/>
                <w:b/>
                <w:sz w:val="24"/>
              </w:rPr>
            </w:pPr>
            <w:r>
              <w:rPr>
                <w:rFonts w:eastAsiaTheme="minorEastAsia"/>
                <w:b/>
                <w:sz w:val="24"/>
              </w:rPr>
              <w:t>最后报价</w:t>
            </w:r>
          </w:p>
        </w:tc>
        <w:tc>
          <w:tcPr>
            <w:tcW w:w="949" w:type="pct"/>
            <w:vMerge w:val="restart"/>
            <w:vAlign w:val="center"/>
          </w:tcPr>
          <w:p w14:paraId="343756AD">
            <w:pPr>
              <w:tabs>
                <w:tab w:val="left" w:pos="5580"/>
              </w:tabs>
              <w:jc w:val="center"/>
              <w:rPr>
                <w:rFonts w:eastAsiaTheme="minorEastAsia"/>
                <w:b/>
                <w:sz w:val="24"/>
              </w:rPr>
            </w:pPr>
            <w:r>
              <w:rPr>
                <w:rFonts w:eastAsiaTheme="minorEastAsia"/>
                <w:b/>
                <w:sz w:val="24"/>
              </w:rPr>
              <w:t>其他</w:t>
            </w:r>
          </w:p>
          <w:p w14:paraId="67CBEC63">
            <w:pPr>
              <w:tabs>
                <w:tab w:val="left" w:pos="5580"/>
              </w:tabs>
              <w:jc w:val="center"/>
              <w:rPr>
                <w:rFonts w:eastAsiaTheme="minorEastAsia"/>
                <w:b/>
                <w:sz w:val="24"/>
              </w:rPr>
            </w:pPr>
            <w:r>
              <w:rPr>
                <w:rFonts w:eastAsiaTheme="minorEastAsia"/>
                <w:b/>
                <w:sz w:val="24"/>
              </w:rPr>
              <w:t>声明</w:t>
            </w:r>
          </w:p>
        </w:tc>
      </w:tr>
      <w:tr w14:paraId="7656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7" w:type="pct"/>
            <w:vMerge w:val="continue"/>
            <w:vAlign w:val="center"/>
          </w:tcPr>
          <w:p w14:paraId="412D66D4">
            <w:pPr>
              <w:tabs>
                <w:tab w:val="left" w:pos="5580"/>
              </w:tabs>
              <w:jc w:val="center"/>
              <w:rPr>
                <w:rFonts w:eastAsiaTheme="minorEastAsia"/>
                <w:sz w:val="24"/>
              </w:rPr>
            </w:pPr>
          </w:p>
        </w:tc>
        <w:tc>
          <w:tcPr>
            <w:tcW w:w="1498" w:type="pct"/>
            <w:vMerge w:val="continue"/>
            <w:vAlign w:val="center"/>
          </w:tcPr>
          <w:p w14:paraId="1267E7FB">
            <w:pPr>
              <w:tabs>
                <w:tab w:val="left" w:pos="5580"/>
              </w:tabs>
              <w:jc w:val="center"/>
              <w:rPr>
                <w:rFonts w:eastAsiaTheme="minorEastAsia"/>
                <w:sz w:val="24"/>
              </w:rPr>
            </w:pPr>
          </w:p>
        </w:tc>
        <w:tc>
          <w:tcPr>
            <w:tcW w:w="1114" w:type="pct"/>
            <w:vAlign w:val="center"/>
          </w:tcPr>
          <w:p w14:paraId="6AE475E8">
            <w:pPr>
              <w:tabs>
                <w:tab w:val="left" w:pos="5580"/>
              </w:tabs>
              <w:jc w:val="center"/>
              <w:rPr>
                <w:rFonts w:eastAsiaTheme="minorEastAsia"/>
                <w:b/>
                <w:sz w:val="24"/>
              </w:rPr>
            </w:pPr>
            <w:r>
              <w:rPr>
                <w:rFonts w:eastAsiaTheme="minorEastAsia"/>
                <w:b/>
                <w:sz w:val="24"/>
              </w:rPr>
              <w:t>大写</w:t>
            </w:r>
          </w:p>
        </w:tc>
        <w:tc>
          <w:tcPr>
            <w:tcW w:w="992" w:type="pct"/>
            <w:vAlign w:val="center"/>
          </w:tcPr>
          <w:p w14:paraId="06D93F8A">
            <w:pPr>
              <w:tabs>
                <w:tab w:val="left" w:pos="5580"/>
              </w:tabs>
              <w:jc w:val="center"/>
              <w:rPr>
                <w:rFonts w:eastAsiaTheme="minorEastAsia"/>
                <w:b/>
                <w:sz w:val="24"/>
              </w:rPr>
            </w:pPr>
            <w:r>
              <w:rPr>
                <w:rFonts w:eastAsiaTheme="minorEastAsia"/>
                <w:b/>
                <w:sz w:val="24"/>
              </w:rPr>
              <w:t>小写</w:t>
            </w:r>
          </w:p>
        </w:tc>
        <w:tc>
          <w:tcPr>
            <w:tcW w:w="949" w:type="pct"/>
            <w:vMerge w:val="continue"/>
            <w:vAlign w:val="center"/>
          </w:tcPr>
          <w:p w14:paraId="585966B2">
            <w:pPr>
              <w:tabs>
                <w:tab w:val="left" w:pos="5580"/>
              </w:tabs>
              <w:ind w:firstLine="482"/>
              <w:jc w:val="center"/>
              <w:rPr>
                <w:rFonts w:eastAsiaTheme="minorEastAsia"/>
                <w:b/>
                <w:sz w:val="24"/>
              </w:rPr>
            </w:pPr>
          </w:p>
        </w:tc>
      </w:tr>
      <w:tr w14:paraId="3C4D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7" w:type="pct"/>
            <w:vAlign w:val="center"/>
          </w:tcPr>
          <w:p w14:paraId="77A5C1BF">
            <w:pPr>
              <w:tabs>
                <w:tab w:val="left" w:pos="5580"/>
              </w:tabs>
              <w:jc w:val="center"/>
              <w:rPr>
                <w:rFonts w:eastAsiaTheme="minorEastAsia"/>
                <w:sz w:val="24"/>
              </w:rPr>
            </w:pPr>
          </w:p>
        </w:tc>
        <w:tc>
          <w:tcPr>
            <w:tcW w:w="1498" w:type="pct"/>
            <w:vAlign w:val="center"/>
          </w:tcPr>
          <w:p w14:paraId="473859AB">
            <w:pPr>
              <w:tabs>
                <w:tab w:val="left" w:pos="5580"/>
              </w:tabs>
              <w:jc w:val="center"/>
              <w:rPr>
                <w:rFonts w:eastAsiaTheme="minorEastAsia"/>
                <w:sz w:val="24"/>
              </w:rPr>
            </w:pPr>
          </w:p>
        </w:tc>
        <w:tc>
          <w:tcPr>
            <w:tcW w:w="1114" w:type="pct"/>
            <w:vAlign w:val="center"/>
          </w:tcPr>
          <w:p w14:paraId="25B31AB6">
            <w:pPr>
              <w:tabs>
                <w:tab w:val="left" w:pos="5580"/>
              </w:tabs>
              <w:jc w:val="center"/>
              <w:rPr>
                <w:rFonts w:eastAsiaTheme="minorEastAsia"/>
                <w:sz w:val="24"/>
              </w:rPr>
            </w:pPr>
          </w:p>
        </w:tc>
        <w:tc>
          <w:tcPr>
            <w:tcW w:w="992" w:type="pct"/>
            <w:vAlign w:val="center"/>
          </w:tcPr>
          <w:p w14:paraId="40EF0B23">
            <w:pPr>
              <w:tabs>
                <w:tab w:val="left" w:pos="5580"/>
              </w:tabs>
              <w:jc w:val="center"/>
              <w:rPr>
                <w:rFonts w:eastAsiaTheme="minorEastAsia"/>
                <w:sz w:val="24"/>
              </w:rPr>
            </w:pPr>
          </w:p>
        </w:tc>
        <w:tc>
          <w:tcPr>
            <w:tcW w:w="949" w:type="pct"/>
            <w:vAlign w:val="center"/>
          </w:tcPr>
          <w:p w14:paraId="605353DF">
            <w:pPr>
              <w:tabs>
                <w:tab w:val="left" w:pos="5580"/>
              </w:tabs>
              <w:jc w:val="center"/>
              <w:rPr>
                <w:rFonts w:eastAsiaTheme="minorEastAsia"/>
                <w:sz w:val="24"/>
              </w:rPr>
            </w:pPr>
          </w:p>
        </w:tc>
      </w:tr>
    </w:tbl>
    <w:p w14:paraId="22101380">
      <w:pPr>
        <w:autoSpaceDE w:val="0"/>
        <w:autoSpaceDN w:val="0"/>
        <w:adjustRightInd w:val="0"/>
        <w:jc w:val="left"/>
        <w:rPr>
          <w:rFonts w:eastAsiaTheme="minorEastAsia"/>
          <w:color w:val="000000"/>
          <w:kern w:val="0"/>
          <w:sz w:val="24"/>
        </w:rPr>
      </w:pPr>
    </w:p>
    <w:p w14:paraId="1D948555">
      <w:pPr>
        <w:autoSpaceDE w:val="0"/>
        <w:autoSpaceDN w:val="0"/>
        <w:adjustRightInd w:val="0"/>
        <w:jc w:val="left"/>
        <w:rPr>
          <w:rFonts w:eastAsiaTheme="minorEastAsia"/>
          <w:color w:val="000000"/>
          <w:kern w:val="0"/>
          <w:sz w:val="24"/>
        </w:rPr>
      </w:pPr>
    </w:p>
    <w:p w14:paraId="4EB4BE37">
      <w:pPr>
        <w:autoSpaceDE w:val="0"/>
        <w:autoSpaceDN w:val="0"/>
        <w:adjustRightInd w:val="0"/>
        <w:jc w:val="left"/>
        <w:rPr>
          <w:rFonts w:eastAsiaTheme="minorEastAsia"/>
          <w:color w:val="000000"/>
          <w:kern w:val="0"/>
          <w:sz w:val="24"/>
        </w:rPr>
      </w:pPr>
    </w:p>
    <w:p w14:paraId="0999456A">
      <w:pPr>
        <w:autoSpaceDE w:val="0"/>
        <w:autoSpaceDN w:val="0"/>
        <w:adjustRightInd w:val="0"/>
        <w:jc w:val="left"/>
        <w:rPr>
          <w:rFonts w:eastAsiaTheme="minorEastAsia"/>
          <w:color w:val="000000"/>
          <w:kern w:val="0"/>
          <w:sz w:val="24"/>
        </w:rPr>
      </w:pPr>
    </w:p>
    <w:p w14:paraId="0F818603">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w:t>
      </w:r>
      <w:r>
        <w:rPr>
          <w:color w:val="000000"/>
          <w:sz w:val="24"/>
          <w:szCs w:val="20"/>
        </w:rPr>
        <w:t>最后</w:t>
      </w:r>
      <w:r>
        <w:rPr>
          <w:rFonts w:eastAsiaTheme="minorEastAsia"/>
          <w:color w:val="000000"/>
          <w:sz w:val="24"/>
          <w:szCs w:val="20"/>
        </w:rPr>
        <w:t>报价应和《最后分项报价表》中的总价相一致。</w:t>
      </w:r>
    </w:p>
    <w:p w14:paraId="4B29100B">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14:paraId="28138EB0">
      <w:pPr>
        <w:pStyle w:val="179"/>
        <w:ind w:left="642" w:leftChars="227" w:hanging="165" w:hangingChars="69"/>
        <w:rPr>
          <w:rFonts w:ascii="Times New Roman" w:hAnsi="Times New Roman"/>
          <w:sz w:val="24"/>
          <w:szCs w:val="24"/>
        </w:rPr>
      </w:pPr>
      <w:r>
        <w:rPr>
          <w:rFonts w:ascii="Times New Roman" w:hAnsi="Times New Roman"/>
          <w:sz w:val="24"/>
          <w:szCs w:val="24"/>
        </w:rPr>
        <w:t>3.</w:t>
      </w:r>
      <w:bookmarkStart w:id="785" w:name="_Hlk137145809"/>
      <w:r>
        <w:rPr>
          <w:rFonts w:ascii="Times New Roman" w:hAnsi="Times New Roman"/>
          <w:sz w:val="24"/>
          <w:szCs w:val="24"/>
        </w:rPr>
        <w:t>此表无需在响应文件中提交，磋商后供应商按磋商小组要求提交。</w:t>
      </w:r>
      <w:bookmarkEnd w:id="785"/>
    </w:p>
    <w:p w14:paraId="4AF8A6CA">
      <w:pPr>
        <w:tabs>
          <w:tab w:val="left" w:pos="5580"/>
        </w:tabs>
        <w:ind w:firstLine="480" w:firstLineChars="200"/>
        <w:rPr>
          <w:rFonts w:eastAsiaTheme="minorEastAsia"/>
          <w:color w:val="000000"/>
          <w:sz w:val="24"/>
          <w:szCs w:val="20"/>
        </w:rPr>
      </w:pPr>
    </w:p>
    <w:p w14:paraId="7369103B">
      <w:pPr>
        <w:autoSpaceDE w:val="0"/>
        <w:autoSpaceDN w:val="0"/>
        <w:adjustRightInd w:val="0"/>
        <w:snapToGrid w:val="0"/>
        <w:spacing w:before="25" w:after="25" w:line="360" w:lineRule="auto"/>
        <w:rPr>
          <w:rFonts w:eastAsiaTheme="minorEastAsia"/>
          <w:color w:val="000000"/>
          <w:sz w:val="24"/>
          <w:lang w:val="zh-CN"/>
        </w:rPr>
      </w:pPr>
    </w:p>
    <w:p w14:paraId="0570A1D1">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14:paraId="77DBD6A5">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 xml:space="preserve">：___________ </w:t>
      </w:r>
    </w:p>
    <w:p w14:paraId="6F2EE97E">
      <w:pPr>
        <w:widowControl/>
        <w:jc w:val="left"/>
        <w:rPr>
          <w:rFonts w:eastAsiaTheme="minorEastAsia"/>
          <w:color w:val="000000"/>
          <w:sz w:val="24"/>
          <w:szCs w:val="20"/>
        </w:rPr>
      </w:pPr>
      <w:r>
        <w:rPr>
          <w:rFonts w:eastAsiaTheme="minorEastAsia"/>
          <w:color w:val="000000"/>
          <w:sz w:val="24"/>
          <w:szCs w:val="20"/>
        </w:rPr>
        <w:t xml:space="preserve">日期：____年____月____日   </w:t>
      </w:r>
    </w:p>
    <w:p w14:paraId="13076952">
      <w:pPr>
        <w:widowControl/>
        <w:jc w:val="left"/>
        <w:rPr>
          <w:rFonts w:eastAsiaTheme="minorEastAsia"/>
          <w:color w:val="000000"/>
          <w:sz w:val="24"/>
          <w:szCs w:val="20"/>
        </w:rPr>
      </w:pPr>
    </w:p>
    <w:p w14:paraId="489E8FAE">
      <w:pPr>
        <w:tabs>
          <w:tab w:val="left" w:pos="360"/>
        </w:tabs>
        <w:snapToGrid w:val="0"/>
        <w:spacing w:line="360" w:lineRule="auto"/>
        <w:outlineLvl w:val="1"/>
        <w:rPr>
          <w:rFonts w:eastAsiaTheme="minorEastAsia"/>
          <w:sz w:val="24"/>
        </w:rPr>
        <w:sectPr>
          <w:pgSz w:w="11907" w:h="16840"/>
          <w:pgMar w:top="1418" w:right="1134" w:bottom="1418" w:left="1701" w:header="851" w:footer="851" w:gutter="0"/>
          <w:cols w:space="720" w:num="1"/>
          <w:docGrid w:linePitch="462" w:charSpace="0"/>
        </w:sectPr>
      </w:pPr>
    </w:p>
    <w:p w14:paraId="351D5DFE">
      <w:pPr>
        <w:tabs>
          <w:tab w:val="left" w:pos="360"/>
        </w:tabs>
        <w:snapToGrid w:val="0"/>
        <w:spacing w:line="360" w:lineRule="auto"/>
        <w:outlineLvl w:val="1"/>
        <w:rPr>
          <w:rFonts w:eastAsiaTheme="minorEastAsia"/>
          <w:sz w:val="24"/>
        </w:rPr>
      </w:pPr>
      <w:r>
        <w:rPr>
          <w:rFonts w:eastAsiaTheme="minorEastAsia"/>
          <w:sz w:val="24"/>
        </w:rPr>
        <w:t>14  最后分项报价表（实质性格式</w:t>
      </w:r>
      <w:r>
        <w:rPr>
          <w:rFonts w:hint="eastAsia" w:eastAsiaTheme="minorEastAsia"/>
          <w:sz w:val="24"/>
        </w:rPr>
        <w:t>，磋商后提交</w:t>
      </w:r>
      <w:r>
        <w:rPr>
          <w:rFonts w:eastAsiaTheme="minorEastAsia"/>
          <w:sz w:val="24"/>
        </w:rPr>
        <w:t>）</w:t>
      </w:r>
    </w:p>
    <w:p w14:paraId="2C95AB0C">
      <w:pPr>
        <w:spacing w:line="360" w:lineRule="exact"/>
        <w:jc w:val="center"/>
        <w:rPr>
          <w:rFonts w:eastAsiaTheme="minorEastAsia"/>
          <w:color w:val="000000"/>
          <w:sz w:val="36"/>
          <w:szCs w:val="36"/>
        </w:rPr>
      </w:pPr>
      <w:r>
        <w:rPr>
          <w:rFonts w:eastAsiaTheme="minorEastAsia"/>
          <w:color w:val="000000"/>
          <w:sz w:val="36"/>
          <w:szCs w:val="36"/>
        </w:rPr>
        <w:t>最后分项报价表</w:t>
      </w:r>
    </w:p>
    <w:p w14:paraId="1A84E36A">
      <w:pPr>
        <w:spacing w:line="260" w:lineRule="exact"/>
        <w:jc w:val="center"/>
        <w:rPr>
          <w:rFonts w:eastAsiaTheme="minorEastAsia"/>
          <w:color w:val="000000"/>
          <w:sz w:val="36"/>
          <w:szCs w:val="36"/>
        </w:rPr>
      </w:pPr>
    </w:p>
    <w:p w14:paraId="62BE78B0">
      <w:pPr>
        <w:adjustRightInd w:val="0"/>
        <w:snapToGrid w:val="0"/>
        <w:spacing w:before="240" w:beforeLines="100" w:after="240" w:afterLines="100"/>
        <w:jc w:val="left"/>
        <w:rPr>
          <w:rFonts w:eastAsiaTheme="minorEastAsia"/>
          <w:b/>
          <w:i/>
          <w:color w:val="FF0000"/>
          <w:sz w:val="24"/>
        </w:rPr>
      </w:pPr>
      <w:r>
        <w:rPr>
          <w:rFonts w:eastAsiaTheme="minorEastAsia"/>
          <w:b/>
          <w:i/>
          <w:color w:val="FF0000"/>
          <w:sz w:val="24"/>
        </w:rPr>
        <w:t>（格式示例一，适用于设备采购）</w:t>
      </w:r>
    </w:p>
    <w:p w14:paraId="0FFF47B2">
      <w:pPr>
        <w:tabs>
          <w:tab w:val="left" w:pos="1800"/>
          <w:tab w:val="left" w:pos="5580"/>
        </w:tabs>
        <w:rPr>
          <w:rFonts w:eastAsiaTheme="minorEastAsia"/>
          <w:color w:val="000000"/>
          <w:sz w:val="24"/>
        </w:rPr>
      </w:pPr>
      <w:r>
        <w:rPr>
          <w:rFonts w:eastAsiaTheme="minorEastAsia"/>
          <w:color w:val="000000"/>
          <w:sz w:val="24"/>
        </w:rPr>
        <w:t>项目编号/包号：_________ 项目名称：_________报价单位：人民币元</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1052"/>
        <w:gridCol w:w="1325"/>
        <w:gridCol w:w="944"/>
        <w:gridCol w:w="1254"/>
        <w:gridCol w:w="1254"/>
        <w:gridCol w:w="1254"/>
        <w:gridCol w:w="1254"/>
        <w:gridCol w:w="1254"/>
        <w:gridCol w:w="1254"/>
        <w:gridCol w:w="1024"/>
        <w:gridCol w:w="831"/>
        <w:gridCol w:w="1022"/>
      </w:tblGrid>
      <w:tr w14:paraId="4EAB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75" w:type="pct"/>
            <w:vAlign w:val="center"/>
          </w:tcPr>
          <w:p w14:paraId="6BE6C193">
            <w:pPr>
              <w:adjustRightInd w:val="0"/>
              <w:snapToGrid w:val="0"/>
              <w:jc w:val="center"/>
              <w:rPr>
                <w:b/>
                <w:color w:val="000000"/>
                <w:sz w:val="24"/>
              </w:rPr>
            </w:pPr>
            <w:r>
              <w:rPr>
                <w:b/>
                <w:color w:val="000000"/>
                <w:sz w:val="24"/>
              </w:rPr>
              <w:t>序号</w:t>
            </w:r>
          </w:p>
        </w:tc>
        <w:tc>
          <w:tcPr>
            <w:tcW w:w="370" w:type="pct"/>
            <w:vAlign w:val="center"/>
          </w:tcPr>
          <w:p w14:paraId="6B53EA42">
            <w:pPr>
              <w:adjustRightInd w:val="0"/>
              <w:snapToGrid w:val="0"/>
              <w:jc w:val="center"/>
              <w:rPr>
                <w:b/>
                <w:color w:val="000000"/>
                <w:sz w:val="24"/>
              </w:rPr>
            </w:pPr>
            <w:r>
              <w:rPr>
                <w:b/>
                <w:color w:val="000000"/>
                <w:sz w:val="24"/>
              </w:rPr>
              <w:t>分项名称</w:t>
            </w:r>
          </w:p>
        </w:tc>
        <w:tc>
          <w:tcPr>
            <w:tcW w:w="466" w:type="pct"/>
            <w:vAlign w:val="center"/>
          </w:tcPr>
          <w:p w14:paraId="06390D75">
            <w:pPr>
              <w:adjustRightInd w:val="0"/>
              <w:snapToGrid w:val="0"/>
              <w:jc w:val="center"/>
              <w:rPr>
                <w:b/>
                <w:color w:val="000000"/>
                <w:sz w:val="24"/>
              </w:rPr>
            </w:pPr>
            <w:r>
              <w:rPr>
                <w:b/>
                <w:color w:val="000000"/>
                <w:sz w:val="24"/>
              </w:rPr>
              <w:t>制造商/</w:t>
            </w:r>
          </w:p>
          <w:p w14:paraId="3EBEA7C5">
            <w:pPr>
              <w:adjustRightInd w:val="0"/>
              <w:snapToGrid w:val="0"/>
              <w:jc w:val="center"/>
              <w:rPr>
                <w:b/>
                <w:color w:val="000000"/>
                <w:sz w:val="24"/>
              </w:rPr>
            </w:pPr>
            <w:r>
              <w:rPr>
                <w:b/>
                <w:color w:val="000000"/>
                <w:sz w:val="24"/>
              </w:rPr>
              <w:t>生产厂家</w:t>
            </w:r>
          </w:p>
        </w:tc>
        <w:tc>
          <w:tcPr>
            <w:tcW w:w="332" w:type="pct"/>
            <w:vAlign w:val="center"/>
          </w:tcPr>
          <w:p w14:paraId="30DA62E7">
            <w:pPr>
              <w:adjustRightInd w:val="0"/>
              <w:snapToGrid w:val="0"/>
              <w:jc w:val="center"/>
              <w:rPr>
                <w:b/>
                <w:color w:val="000000"/>
                <w:sz w:val="24"/>
              </w:rPr>
            </w:pPr>
            <w:r>
              <w:rPr>
                <w:b/>
                <w:color w:val="000000"/>
                <w:sz w:val="24"/>
              </w:rPr>
              <w:t>产地/国别</w:t>
            </w:r>
          </w:p>
        </w:tc>
        <w:tc>
          <w:tcPr>
            <w:tcW w:w="441" w:type="pct"/>
            <w:vAlign w:val="center"/>
          </w:tcPr>
          <w:p w14:paraId="3253843A">
            <w:pPr>
              <w:jc w:val="center"/>
              <w:rPr>
                <w:b/>
                <w:color w:val="000000"/>
                <w:sz w:val="24"/>
              </w:rPr>
            </w:pPr>
            <w:r>
              <w:rPr>
                <w:b/>
                <w:color w:val="000000"/>
                <w:sz w:val="24"/>
              </w:rPr>
              <w:t>制造商统一</w:t>
            </w:r>
            <w:r>
              <w:rPr>
                <w:rFonts w:hint="eastAsia"/>
                <w:b/>
                <w:color w:val="000000"/>
                <w:sz w:val="24"/>
              </w:rPr>
              <w:t>社会</w:t>
            </w:r>
            <w:r>
              <w:rPr>
                <w:b/>
                <w:color w:val="000000"/>
                <w:sz w:val="24"/>
              </w:rPr>
              <w:t>信用代码</w:t>
            </w:r>
          </w:p>
        </w:tc>
        <w:tc>
          <w:tcPr>
            <w:tcW w:w="441" w:type="pct"/>
            <w:vAlign w:val="center"/>
          </w:tcPr>
          <w:p w14:paraId="0982F31E">
            <w:pPr>
              <w:jc w:val="center"/>
              <w:rPr>
                <w:b/>
                <w:color w:val="000000"/>
                <w:sz w:val="24"/>
              </w:rPr>
            </w:pPr>
            <w:r>
              <w:rPr>
                <w:b/>
                <w:color w:val="000000"/>
                <w:sz w:val="24"/>
              </w:rPr>
              <w:t>制造商</w:t>
            </w:r>
          </w:p>
          <w:p w14:paraId="1E87D676">
            <w:pPr>
              <w:adjustRightInd w:val="0"/>
              <w:snapToGrid w:val="0"/>
              <w:jc w:val="center"/>
              <w:rPr>
                <w:b/>
                <w:color w:val="000000"/>
                <w:sz w:val="24"/>
              </w:rPr>
            </w:pPr>
            <w:r>
              <w:rPr>
                <w:b/>
                <w:color w:val="000000"/>
                <w:sz w:val="24"/>
              </w:rPr>
              <w:t>规模</w:t>
            </w:r>
          </w:p>
        </w:tc>
        <w:tc>
          <w:tcPr>
            <w:tcW w:w="441" w:type="pct"/>
            <w:vAlign w:val="center"/>
          </w:tcPr>
          <w:p w14:paraId="0E34D9DB">
            <w:pPr>
              <w:adjustRightInd w:val="0"/>
              <w:snapToGrid w:val="0"/>
              <w:jc w:val="center"/>
              <w:rPr>
                <w:b/>
                <w:color w:val="000000"/>
                <w:sz w:val="24"/>
              </w:rPr>
            </w:pPr>
            <w:r>
              <w:rPr>
                <w:rFonts w:hint="eastAsia"/>
                <w:b/>
                <w:color w:val="000000"/>
                <w:sz w:val="24"/>
              </w:rPr>
              <w:t>制造商所属性别</w:t>
            </w:r>
          </w:p>
        </w:tc>
        <w:tc>
          <w:tcPr>
            <w:tcW w:w="441" w:type="pct"/>
            <w:vAlign w:val="center"/>
          </w:tcPr>
          <w:p w14:paraId="679F0268">
            <w:pPr>
              <w:adjustRightInd w:val="0"/>
              <w:snapToGrid w:val="0"/>
              <w:jc w:val="center"/>
              <w:rPr>
                <w:b/>
                <w:color w:val="000000"/>
                <w:sz w:val="24"/>
              </w:rPr>
            </w:pPr>
            <w:r>
              <w:rPr>
                <w:rFonts w:hint="eastAsia"/>
                <w:b/>
                <w:color w:val="000000"/>
                <w:sz w:val="24"/>
              </w:rPr>
              <w:t>外商投资类型</w:t>
            </w:r>
          </w:p>
        </w:tc>
        <w:tc>
          <w:tcPr>
            <w:tcW w:w="441" w:type="pct"/>
            <w:vAlign w:val="center"/>
          </w:tcPr>
          <w:p w14:paraId="25A20185">
            <w:pPr>
              <w:adjustRightInd w:val="0"/>
              <w:snapToGrid w:val="0"/>
              <w:jc w:val="center"/>
              <w:rPr>
                <w:b/>
                <w:color w:val="000000"/>
                <w:sz w:val="24"/>
              </w:rPr>
            </w:pPr>
            <w:r>
              <w:rPr>
                <w:b/>
                <w:color w:val="000000"/>
                <w:sz w:val="24"/>
              </w:rPr>
              <w:t>品牌</w:t>
            </w:r>
          </w:p>
        </w:tc>
        <w:tc>
          <w:tcPr>
            <w:tcW w:w="441" w:type="pct"/>
            <w:vAlign w:val="center"/>
          </w:tcPr>
          <w:p w14:paraId="5765AA7B">
            <w:pPr>
              <w:adjustRightInd w:val="0"/>
              <w:snapToGrid w:val="0"/>
              <w:jc w:val="center"/>
              <w:rPr>
                <w:b/>
                <w:color w:val="000000"/>
                <w:sz w:val="24"/>
              </w:rPr>
            </w:pPr>
            <w:r>
              <w:rPr>
                <w:b/>
                <w:color w:val="000000"/>
                <w:sz w:val="24"/>
              </w:rPr>
              <w:t>规格、型号</w:t>
            </w:r>
          </w:p>
        </w:tc>
        <w:tc>
          <w:tcPr>
            <w:tcW w:w="360" w:type="pct"/>
            <w:vAlign w:val="center"/>
          </w:tcPr>
          <w:p w14:paraId="73896102">
            <w:pPr>
              <w:adjustRightInd w:val="0"/>
              <w:snapToGrid w:val="0"/>
              <w:jc w:val="center"/>
              <w:rPr>
                <w:b/>
                <w:color w:val="000000"/>
                <w:sz w:val="24"/>
              </w:rPr>
            </w:pPr>
            <w:r>
              <w:rPr>
                <w:b/>
                <w:color w:val="000000"/>
                <w:sz w:val="24"/>
              </w:rPr>
              <w:t>单价（元）</w:t>
            </w:r>
          </w:p>
        </w:tc>
        <w:tc>
          <w:tcPr>
            <w:tcW w:w="292" w:type="pct"/>
            <w:vAlign w:val="center"/>
          </w:tcPr>
          <w:p w14:paraId="6566B0BD">
            <w:pPr>
              <w:adjustRightInd w:val="0"/>
              <w:snapToGrid w:val="0"/>
              <w:jc w:val="center"/>
              <w:rPr>
                <w:b/>
                <w:color w:val="000000"/>
                <w:sz w:val="24"/>
              </w:rPr>
            </w:pPr>
            <w:r>
              <w:rPr>
                <w:b/>
                <w:color w:val="000000"/>
                <w:sz w:val="24"/>
              </w:rPr>
              <w:t>数量</w:t>
            </w:r>
          </w:p>
        </w:tc>
        <w:tc>
          <w:tcPr>
            <w:tcW w:w="359" w:type="pct"/>
            <w:vAlign w:val="center"/>
          </w:tcPr>
          <w:p w14:paraId="21347052">
            <w:pPr>
              <w:adjustRightInd w:val="0"/>
              <w:snapToGrid w:val="0"/>
              <w:jc w:val="center"/>
              <w:rPr>
                <w:b/>
                <w:color w:val="000000"/>
                <w:sz w:val="24"/>
              </w:rPr>
            </w:pPr>
            <w:r>
              <w:rPr>
                <w:b/>
                <w:color w:val="000000"/>
                <w:sz w:val="24"/>
              </w:rPr>
              <w:t>合价（元）</w:t>
            </w:r>
          </w:p>
        </w:tc>
      </w:tr>
      <w:tr w14:paraId="0210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 w:type="pct"/>
            <w:vAlign w:val="center"/>
          </w:tcPr>
          <w:p w14:paraId="1EB93737">
            <w:pPr>
              <w:adjustRightInd w:val="0"/>
              <w:snapToGrid w:val="0"/>
              <w:jc w:val="left"/>
              <w:rPr>
                <w:color w:val="000000"/>
                <w:sz w:val="24"/>
              </w:rPr>
            </w:pPr>
            <w:r>
              <w:rPr>
                <w:color w:val="000000"/>
                <w:sz w:val="24"/>
              </w:rPr>
              <w:t>1</w:t>
            </w:r>
          </w:p>
        </w:tc>
        <w:tc>
          <w:tcPr>
            <w:tcW w:w="370" w:type="pct"/>
            <w:vAlign w:val="center"/>
          </w:tcPr>
          <w:p w14:paraId="2DDCB734">
            <w:pPr>
              <w:adjustRightInd w:val="0"/>
              <w:snapToGrid w:val="0"/>
              <w:jc w:val="left"/>
              <w:rPr>
                <w:color w:val="000000"/>
                <w:sz w:val="24"/>
              </w:rPr>
            </w:pPr>
          </w:p>
        </w:tc>
        <w:tc>
          <w:tcPr>
            <w:tcW w:w="466" w:type="pct"/>
            <w:vAlign w:val="center"/>
          </w:tcPr>
          <w:p w14:paraId="0000BE71">
            <w:pPr>
              <w:adjustRightInd w:val="0"/>
              <w:snapToGrid w:val="0"/>
              <w:jc w:val="left"/>
              <w:rPr>
                <w:color w:val="000000"/>
                <w:sz w:val="24"/>
              </w:rPr>
            </w:pPr>
          </w:p>
        </w:tc>
        <w:tc>
          <w:tcPr>
            <w:tcW w:w="332" w:type="pct"/>
          </w:tcPr>
          <w:p w14:paraId="7B34D1A8">
            <w:pPr>
              <w:adjustRightInd w:val="0"/>
              <w:snapToGrid w:val="0"/>
              <w:jc w:val="left"/>
              <w:rPr>
                <w:color w:val="000000"/>
                <w:sz w:val="24"/>
              </w:rPr>
            </w:pPr>
          </w:p>
        </w:tc>
        <w:tc>
          <w:tcPr>
            <w:tcW w:w="441" w:type="pct"/>
            <w:vAlign w:val="center"/>
          </w:tcPr>
          <w:p w14:paraId="5A157075">
            <w:pPr>
              <w:adjustRightInd w:val="0"/>
              <w:snapToGrid w:val="0"/>
              <w:jc w:val="center"/>
              <w:rPr>
                <w:color w:val="000000"/>
                <w:sz w:val="24"/>
              </w:rPr>
            </w:pPr>
          </w:p>
        </w:tc>
        <w:tc>
          <w:tcPr>
            <w:tcW w:w="441" w:type="pct"/>
            <w:vAlign w:val="center"/>
          </w:tcPr>
          <w:p w14:paraId="7A76859A">
            <w:pPr>
              <w:adjustRightInd w:val="0"/>
              <w:snapToGrid w:val="0"/>
              <w:jc w:val="center"/>
              <w:rPr>
                <w:color w:val="000000"/>
                <w:sz w:val="24"/>
              </w:rPr>
            </w:pPr>
          </w:p>
        </w:tc>
        <w:tc>
          <w:tcPr>
            <w:tcW w:w="441" w:type="pct"/>
          </w:tcPr>
          <w:p w14:paraId="3186D506">
            <w:pPr>
              <w:adjustRightInd w:val="0"/>
              <w:snapToGrid w:val="0"/>
              <w:jc w:val="center"/>
              <w:rPr>
                <w:color w:val="000000"/>
                <w:sz w:val="24"/>
              </w:rPr>
            </w:pPr>
          </w:p>
        </w:tc>
        <w:tc>
          <w:tcPr>
            <w:tcW w:w="441" w:type="pct"/>
          </w:tcPr>
          <w:p w14:paraId="1C416BB9">
            <w:pPr>
              <w:adjustRightInd w:val="0"/>
              <w:snapToGrid w:val="0"/>
              <w:jc w:val="center"/>
              <w:rPr>
                <w:color w:val="000000"/>
                <w:sz w:val="24"/>
              </w:rPr>
            </w:pPr>
          </w:p>
        </w:tc>
        <w:tc>
          <w:tcPr>
            <w:tcW w:w="441" w:type="pct"/>
            <w:vAlign w:val="center"/>
          </w:tcPr>
          <w:p w14:paraId="67261BE3">
            <w:pPr>
              <w:adjustRightInd w:val="0"/>
              <w:snapToGrid w:val="0"/>
              <w:jc w:val="center"/>
              <w:rPr>
                <w:color w:val="000000"/>
                <w:sz w:val="24"/>
              </w:rPr>
            </w:pPr>
          </w:p>
        </w:tc>
        <w:tc>
          <w:tcPr>
            <w:tcW w:w="441" w:type="pct"/>
            <w:vAlign w:val="center"/>
          </w:tcPr>
          <w:p w14:paraId="7CB063AF">
            <w:pPr>
              <w:adjustRightInd w:val="0"/>
              <w:snapToGrid w:val="0"/>
              <w:jc w:val="left"/>
              <w:rPr>
                <w:color w:val="000000"/>
                <w:sz w:val="24"/>
              </w:rPr>
            </w:pPr>
          </w:p>
        </w:tc>
        <w:tc>
          <w:tcPr>
            <w:tcW w:w="360" w:type="pct"/>
            <w:vAlign w:val="center"/>
          </w:tcPr>
          <w:p w14:paraId="14AD54D9">
            <w:pPr>
              <w:adjustRightInd w:val="0"/>
              <w:snapToGrid w:val="0"/>
              <w:jc w:val="left"/>
              <w:rPr>
                <w:color w:val="000000"/>
                <w:sz w:val="24"/>
              </w:rPr>
            </w:pPr>
          </w:p>
        </w:tc>
        <w:tc>
          <w:tcPr>
            <w:tcW w:w="292" w:type="pct"/>
            <w:vAlign w:val="center"/>
          </w:tcPr>
          <w:p w14:paraId="3A99AAF3">
            <w:pPr>
              <w:adjustRightInd w:val="0"/>
              <w:snapToGrid w:val="0"/>
              <w:jc w:val="left"/>
              <w:rPr>
                <w:color w:val="000000"/>
                <w:sz w:val="24"/>
              </w:rPr>
            </w:pPr>
          </w:p>
        </w:tc>
        <w:tc>
          <w:tcPr>
            <w:tcW w:w="359" w:type="pct"/>
            <w:vAlign w:val="center"/>
          </w:tcPr>
          <w:p w14:paraId="4234699B">
            <w:pPr>
              <w:adjustRightInd w:val="0"/>
              <w:snapToGrid w:val="0"/>
              <w:jc w:val="left"/>
              <w:rPr>
                <w:color w:val="000000"/>
                <w:sz w:val="24"/>
              </w:rPr>
            </w:pPr>
          </w:p>
        </w:tc>
      </w:tr>
      <w:tr w14:paraId="49BF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 w:type="pct"/>
            <w:vAlign w:val="center"/>
          </w:tcPr>
          <w:p w14:paraId="64DF7911">
            <w:pPr>
              <w:adjustRightInd w:val="0"/>
              <w:snapToGrid w:val="0"/>
              <w:jc w:val="left"/>
              <w:rPr>
                <w:color w:val="000000"/>
                <w:sz w:val="24"/>
              </w:rPr>
            </w:pPr>
            <w:r>
              <w:rPr>
                <w:color w:val="000000"/>
                <w:sz w:val="24"/>
              </w:rPr>
              <w:t>2</w:t>
            </w:r>
          </w:p>
        </w:tc>
        <w:tc>
          <w:tcPr>
            <w:tcW w:w="370" w:type="pct"/>
            <w:vAlign w:val="center"/>
          </w:tcPr>
          <w:p w14:paraId="4B6CD579">
            <w:pPr>
              <w:adjustRightInd w:val="0"/>
              <w:snapToGrid w:val="0"/>
              <w:jc w:val="left"/>
              <w:rPr>
                <w:color w:val="000000"/>
                <w:sz w:val="24"/>
              </w:rPr>
            </w:pPr>
          </w:p>
        </w:tc>
        <w:tc>
          <w:tcPr>
            <w:tcW w:w="466" w:type="pct"/>
            <w:vAlign w:val="center"/>
          </w:tcPr>
          <w:p w14:paraId="5343770A">
            <w:pPr>
              <w:adjustRightInd w:val="0"/>
              <w:snapToGrid w:val="0"/>
              <w:jc w:val="left"/>
              <w:rPr>
                <w:color w:val="000000"/>
                <w:sz w:val="24"/>
              </w:rPr>
            </w:pPr>
          </w:p>
        </w:tc>
        <w:tc>
          <w:tcPr>
            <w:tcW w:w="332" w:type="pct"/>
          </w:tcPr>
          <w:p w14:paraId="5BB8F182">
            <w:pPr>
              <w:adjustRightInd w:val="0"/>
              <w:snapToGrid w:val="0"/>
              <w:jc w:val="left"/>
              <w:rPr>
                <w:color w:val="000000"/>
                <w:sz w:val="24"/>
              </w:rPr>
            </w:pPr>
          </w:p>
        </w:tc>
        <w:tc>
          <w:tcPr>
            <w:tcW w:w="441" w:type="pct"/>
            <w:vAlign w:val="center"/>
          </w:tcPr>
          <w:p w14:paraId="5C539A8D">
            <w:pPr>
              <w:adjustRightInd w:val="0"/>
              <w:snapToGrid w:val="0"/>
              <w:jc w:val="center"/>
              <w:rPr>
                <w:color w:val="000000"/>
                <w:sz w:val="24"/>
              </w:rPr>
            </w:pPr>
          </w:p>
        </w:tc>
        <w:tc>
          <w:tcPr>
            <w:tcW w:w="441" w:type="pct"/>
            <w:vAlign w:val="center"/>
          </w:tcPr>
          <w:p w14:paraId="1B062DA4">
            <w:pPr>
              <w:adjustRightInd w:val="0"/>
              <w:snapToGrid w:val="0"/>
              <w:jc w:val="center"/>
              <w:rPr>
                <w:color w:val="000000"/>
                <w:sz w:val="24"/>
              </w:rPr>
            </w:pPr>
          </w:p>
        </w:tc>
        <w:tc>
          <w:tcPr>
            <w:tcW w:w="441" w:type="pct"/>
          </w:tcPr>
          <w:p w14:paraId="7A151C39">
            <w:pPr>
              <w:adjustRightInd w:val="0"/>
              <w:snapToGrid w:val="0"/>
              <w:jc w:val="center"/>
              <w:rPr>
                <w:color w:val="000000"/>
                <w:sz w:val="24"/>
              </w:rPr>
            </w:pPr>
          </w:p>
        </w:tc>
        <w:tc>
          <w:tcPr>
            <w:tcW w:w="441" w:type="pct"/>
          </w:tcPr>
          <w:p w14:paraId="13A1574E">
            <w:pPr>
              <w:adjustRightInd w:val="0"/>
              <w:snapToGrid w:val="0"/>
              <w:jc w:val="center"/>
              <w:rPr>
                <w:color w:val="000000"/>
                <w:sz w:val="24"/>
              </w:rPr>
            </w:pPr>
          </w:p>
        </w:tc>
        <w:tc>
          <w:tcPr>
            <w:tcW w:w="441" w:type="pct"/>
            <w:vAlign w:val="center"/>
          </w:tcPr>
          <w:p w14:paraId="64669FD6">
            <w:pPr>
              <w:adjustRightInd w:val="0"/>
              <w:snapToGrid w:val="0"/>
              <w:jc w:val="center"/>
              <w:rPr>
                <w:color w:val="000000"/>
                <w:sz w:val="24"/>
              </w:rPr>
            </w:pPr>
          </w:p>
        </w:tc>
        <w:tc>
          <w:tcPr>
            <w:tcW w:w="441" w:type="pct"/>
            <w:vAlign w:val="center"/>
          </w:tcPr>
          <w:p w14:paraId="2337D382">
            <w:pPr>
              <w:adjustRightInd w:val="0"/>
              <w:snapToGrid w:val="0"/>
              <w:jc w:val="left"/>
              <w:rPr>
                <w:color w:val="000000"/>
                <w:sz w:val="24"/>
              </w:rPr>
            </w:pPr>
          </w:p>
        </w:tc>
        <w:tc>
          <w:tcPr>
            <w:tcW w:w="360" w:type="pct"/>
            <w:vAlign w:val="center"/>
          </w:tcPr>
          <w:p w14:paraId="7B1B543B">
            <w:pPr>
              <w:adjustRightInd w:val="0"/>
              <w:snapToGrid w:val="0"/>
              <w:jc w:val="left"/>
              <w:rPr>
                <w:color w:val="000000"/>
                <w:sz w:val="24"/>
              </w:rPr>
            </w:pPr>
          </w:p>
        </w:tc>
        <w:tc>
          <w:tcPr>
            <w:tcW w:w="292" w:type="pct"/>
            <w:vAlign w:val="center"/>
          </w:tcPr>
          <w:p w14:paraId="44120F4B">
            <w:pPr>
              <w:adjustRightInd w:val="0"/>
              <w:snapToGrid w:val="0"/>
              <w:jc w:val="left"/>
              <w:rPr>
                <w:color w:val="000000"/>
                <w:sz w:val="24"/>
              </w:rPr>
            </w:pPr>
          </w:p>
        </w:tc>
        <w:tc>
          <w:tcPr>
            <w:tcW w:w="359" w:type="pct"/>
            <w:vAlign w:val="center"/>
          </w:tcPr>
          <w:p w14:paraId="5488FDDC">
            <w:pPr>
              <w:adjustRightInd w:val="0"/>
              <w:snapToGrid w:val="0"/>
              <w:jc w:val="left"/>
              <w:rPr>
                <w:color w:val="000000"/>
                <w:sz w:val="24"/>
              </w:rPr>
            </w:pPr>
          </w:p>
        </w:tc>
      </w:tr>
      <w:tr w14:paraId="68D7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 w:type="pct"/>
            <w:vAlign w:val="center"/>
          </w:tcPr>
          <w:p w14:paraId="13202B17">
            <w:pPr>
              <w:adjustRightInd w:val="0"/>
              <w:snapToGrid w:val="0"/>
              <w:jc w:val="left"/>
              <w:rPr>
                <w:color w:val="000000"/>
                <w:sz w:val="24"/>
              </w:rPr>
            </w:pPr>
            <w:r>
              <w:rPr>
                <w:color w:val="000000"/>
                <w:sz w:val="24"/>
              </w:rPr>
              <w:t>3</w:t>
            </w:r>
          </w:p>
        </w:tc>
        <w:tc>
          <w:tcPr>
            <w:tcW w:w="370" w:type="pct"/>
            <w:vAlign w:val="center"/>
          </w:tcPr>
          <w:p w14:paraId="03D7FD5D">
            <w:pPr>
              <w:adjustRightInd w:val="0"/>
              <w:snapToGrid w:val="0"/>
              <w:jc w:val="left"/>
              <w:rPr>
                <w:color w:val="000000"/>
                <w:sz w:val="24"/>
              </w:rPr>
            </w:pPr>
          </w:p>
        </w:tc>
        <w:tc>
          <w:tcPr>
            <w:tcW w:w="466" w:type="pct"/>
            <w:vAlign w:val="center"/>
          </w:tcPr>
          <w:p w14:paraId="52DFA594">
            <w:pPr>
              <w:adjustRightInd w:val="0"/>
              <w:snapToGrid w:val="0"/>
              <w:jc w:val="left"/>
              <w:rPr>
                <w:color w:val="000000"/>
                <w:sz w:val="24"/>
              </w:rPr>
            </w:pPr>
          </w:p>
        </w:tc>
        <w:tc>
          <w:tcPr>
            <w:tcW w:w="332" w:type="pct"/>
          </w:tcPr>
          <w:p w14:paraId="2C265FEB">
            <w:pPr>
              <w:adjustRightInd w:val="0"/>
              <w:snapToGrid w:val="0"/>
              <w:jc w:val="left"/>
              <w:rPr>
                <w:color w:val="000000"/>
                <w:sz w:val="24"/>
              </w:rPr>
            </w:pPr>
          </w:p>
        </w:tc>
        <w:tc>
          <w:tcPr>
            <w:tcW w:w="441" w:type="pct"/>
            <w:vAlign w:val="center"/>
          </w:tcPr>
          <w:p w14:paraId="7D0D5865">
            <w:pPr>
              <w:adjustRightInd w:val="0"/>
              <w:snapToGrid w:val="0"/>
              <w:jc w:val="center"/>
              <w:rPr>
                <w:color w:val="000000"/>
                <w:sz w:val="24"/>
              </w:rPr>
            </w:pPr>
          </w:p>
        </w:tc>
        <w:tc>
          <w:tcPr>
            <w:tcW w:w="441" w:type="pct"/>
            <w:vAlign w:val="center"/>
          </w:tcPr>
          <w:p w14:paraId="1B95DE44">
            <w:pPr>
              <w:adjustRightInd w:val="0"/>
              <w:snapToGrid w:val="0"/>
              <w:jc w:val="center"/>
              <w:rPr>
                <w:color w:val="000000"/>
                <w:sz w:val="24"/>
              </w:rPr>
            </w:pPr>
          </w:p>
        </w:tc>
        <w:tc>
          <w:tcPr>
            <w:tcW w:w="441" w:type="pct"/>
          </w:tcPr>
          <w:p w14:paraId="5A456C85">
            <w:pPr>
              <w:adjustRightInd w:val="0"/>
              <w:snapToGrid w:val="0"/>
              <w:jc w:val="center"/>
              <w:rPr>
                <w:color w:val="000000"/>
                <w:sz w:val="24"/>
              </w:rPr>
            </w:pPr>
          </w:p>
        </w:tc>
        <w:tc>
          <w:tcPr>
            <w:tcW w:w="441" w:type="pct"/>
          </w:tcPr>
          <w:p w14:paraId="53FCF1D7">
            <w:pPr>
              <w:adjustRightInd w:val="0"/>
              <w:snapToGrid w:val="0"/>
              <w:jc w:val="center"/>
              <w:rPr>
                <w:color w:val="000000"/>
                <w:sz w:val="24"/>
              </w:rPr>
            </w:pPr>
          </w:p>
        </w:tc>
        <w:tc>
          <w:tcPr>
            <w:tcW w:w="441" w:type="pct"/>
            <w:vAlign w:val="center"/>
          </w:tcPr>
          <w:p w14:paraId="6C53C935">
            <w:pPr>
              <w:adjustRightInd w:val="0"/>
              <w:snapToGrid w:val="0"/>
              <w:jc w:val="center"/>
              <w:rPr>
                <w:color w:val="000000"/>
                <w:sz w:val="24"/>
              </w:rPr>
            </w:pPr>
          </w:p>
        </w:tc>
        <w:tc>
          <w:tcPr>
            <w:tcW w:w="441" w:type="pct"/>
            <w:vAlign w:val="center"/>
          </w:tcPr>
          <w:p w14:paraId="5B0E4753">
            <w:pPr>
              <w:adjustRightInd w:val="0"/>
              <w:snapToGrid w:val="0"/>
              <w:jc w:val="left"/>
              <w:rPr>
                <w:color w:val="000000"/>
                <w:sz w:val="24"/>
              </w:rPr>
            </w:pPr>
          </w:p>
        </w:tc>
        <w:tc>
          <w:tcPr>
            <w:tcW w:w="360" w:type="pct"/>
            <w:vAlign w:val="center"/>
          </w:tcPr>
          <w:p w14:paraId="50F17D3F">
            <w:pPr>
              <w:adjustRightInd w:val="0"/>
              <w:snapToGrid w:val="0"/>
              <w:jc w:val="left"/>
              <w:rPr>
                <w:color w:val="000000"/>
                <w:sz w:val="24"/>
              </w:rPr>
            </w:pPr>
          </w:p>
        </w:tc>
        <w:tc>
          <w:tcPr>
            <w:tcW w:w="292" w:type="pct"/>
            <w:vAlign w:val="center"/>
          </w:tcPr>
          <w:p w14:paraId="5BC1D945">
            <w:pPr>
              <w:adjustRightInd w:val="0"/>
              <w:snapToGrid w:val="0"/>
              <w:jc w:val="left"/>
              <w:rPr>
                <w:color w:val="000000"/>
                <w:sz w:val="24"/>
              </w:rPr>
            </w:pPr>
          </w:p>
        </w:tc>
        <w:tc>
          <w:tcPr>
            <w:tcW w:w="359" w:type="pct"/>
            <w:vAlign w:val="center"/>
          </w:tcPr>
          <w:p w14:paraId="775BA4B3">
            <w:pPr>
              <w:adjustRightInd w:val="0"/>
              <w:snapToGrid w:val="0"/>
              <w:jc w:val="left"/>
              <w:rPr>
                <w:color w:val="000000"/>
                <w:sz w:val="24"/>
              </w:rPr>
            </w:pPr>
          </w:p>
        </w:tc>
      </w:tr>
      <w:tr w14:paraId="14AC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 w:type="pct"/>
            <w:vAlign w:val="center"/>
          </w:tcPr>
          <w:p w14:paraId="6F4FC0A6">
            <w:pPr>
              <w:adjustRightInd w:val="0"/>
              <w:snapToGrid w:val="0"/>
              <w:jc w:val="left"/>
              <w:rPr>
                <w:color w:val="000000"/>
                <w:sz w:val="24"/>
              </w:rPr>
            </w:pPr>
            <w:r>
              <w:rPr>
                <w:color w:val="000000"/>
                <w:sz w:val="24"/>
              </w:rPr>
              <w:t>4</w:t>
            </w:r>
          </w:p>
        </w:tc>
        <w:tc>
          <w:tcPr>
            <w:tcW w:w="370" w:type="pct"/>
            <w:vAlign w:val="center"/>
          </w:tcPr>
          <w:p w14:paraId="12702DF6">
            <w:pPr>
              <w:adjustRightInd w:val="0"/>
              <w:snapToGrid w:val="0"/>
              <w:jc w:val="left"/>
              <w:rPr>
                <w:color w:val="000000"/>
                <w:sz w:val="24"/>
              </w:rPr>
            </w:pPr>
          </w:p>
        </w:tc>
        <w:tc>
          <w:tcPr>
            <w:tcW w:w="466" w:type="pct"/>
            <w:vAlign w:val="center"/>
          </w:tcPr>
          <w:p w14:paraId="68B62C2D">
            <w:pPr>
              <w:adjustRightInd w:val="0"/>
              <w:snapToGrid w:val="0"/>
              <w:jc w:val="left"/>
              <w:rPr>
                <w:color w:val="000000"/>
                <w:sz w:val="24"/>
              </w:rPr>
            </w:pPr>
          </w:p>
        </w:tc>
        <w:tc>
          <w:tcPr>
            <w:tcW w:w="332" w:type="pct"/>
          </w:tcPr>
          <w:p w14:paraId="38DA55C7">
            <w:pPr>
              <w:adjustRightInd w:val="0"/>
              <w:snapToGrid w:val="0"/>
              <w:jc w:val="left"/>
              <w:rPr>
                <w:color w:val="000000"/>
                <w:sz w:val="24"/>
              </w:rPr>
            </w:pPr>
          </w:p>
        </w:tc>
        <w:tc>
          <w:tcPr>
            <w:tcW w:w="441" w:type="pct"/>
            <w:vAlign w:val="center"/>
          </w:tcPr>
          <w:p w14:paraId="6B94DB6D">
            <w:pPr>
              <w:adjustRightInd w:val="0"/>
              <w:snapToGrid w:val="0"/>
              <w:jc w:val="center"/>
              <w:rPr>
                <w:color w:val="000000"/>
                <w:sz w:val="24"/>
              </w:rPr>
            </w:pPr>
          </w:p>
        </w:tc>
        <w:tc>
          <w:tcPr>
            <w:tcW w:w="441" w:type="pct"/>
            <w:vAlign w:val="center"/>
          </w:tcPr>
          <w:p w14:paraId="0D77E41E">
            <w:pPr>
              <w:adjustRightInd w:val="0"/>
              <w:snapToGrid w:val="0"/>
              <w:jc w:val="center"/>
              <w:rPr>
                <w:color w:val="000000"/>
                <w:sz w:val="24"/>
              </w:rPr>
            </w:pPr>
          </w:p>
        </w:tc>
        <w:tc>
          <w:tcPr>
            <w:tcW w:w="441" w:type="pct"/>
          </w:tcPr>
          <w:p w14:paraId="47088E1D">
            <w:pPr>
              <w:adjustRightInd w:val="0"/>
              <w:snapToGrid w:val="0"/>
              <w:jc w:val="center"/>
              <w:rPr>
                <w:color w:val="000000"/>
                <w:sz w:val="24"/>
              </w:rPr>
            </w:pPr>
          </w:p>
        </w:tc>
        <w:tc>
          <w:tcPr>
            <w:tcW w:w="441" w:type="pct"/>
          </w:tcPr>
          <w:p w14:paraId="78174739">
            <w:pPr>
              <w:adjustRightInd w:val="0"/>
              <w:snapToGrid w:val="0"/>
              <w:jc w:val="center"/>
              <w:rPr>
                <w:color w:val="000000"/>
                <w:sz w:val="24"/>
              </w:rPr>
            </w:pPr>
          </w:p>
        </w:tc>
        <w:tc>
          <w:tcPr>
            <w:tcW w:w="441" w:type="pct"/>
            <w:vAlign w:val="center"/>
          </w:tcPr>
          <w:p w14:paraId="572EE717">
            <w:pPr>
              <w:adjustRightInd w:val="0"/>
              <w:snapToGrid w:val="0"/>
              <w:jc w:val="center"/>
              <w:rPr>
                <w:color w:val="000000"/>
                <w:sz w:val="24"/>
              </w:rPr>
            </w:pPr>
          </w:p>
        </w:tc>
        <w:tc>
          <w:tcPr>
            <w:tcW w:w="441" w:type="pct"/>
            <w:vAlign w:val="center"/>
          </w:tcPr>
          <w:p w14:paraId="39FFE09F">
            <w:pPr>
              <w:adjustRightInd w:val="0"/>
              <w:snapToGrid w:val="0"/>
              <w:jc w:val="left"/>
              <w:rPr>
                <w:color w:val="000000"/>
                <w:sz w:val="24"/>
              </w:rPr>
            </w:pPr>
          </w:p>
        </w:tc>
        <w:tc>
          <w:tcPr>
            <w:tcW w:w="360" w:type="pct"/>
            <w:vAlign w:val="center"/>
          </w:tcPr>
          <w:p w14:paraId="7C90D3BE">
            <w:pPr>
              <w:adjustRightInd w:val="0"/>
              <w:snapToGrid w:val="0"/>
              <w:jc w:val="left"/>
              <w:rPr>
                <w:color w:val="000000"/>
                <w:sz w:val="24"/>
              </w:rPr>
            </w:pPr>
          </w:p>
        </w:tc>
        <w:tc>
          <w:tcPr>
            <w:tcW w:w="292" w:type="pct"/>
            <w:vAlign w:val="center"/>
          </w:tcPr>
          <w:p w14:paraId="2F76C91F">
            <w:pPr>
              <w:adjustRightInd w:val="0"/>
              <w:snapToGrid w:val="0"/>
              <w:jc w:val="left"/>
              <w:rPr>
                <w:color w:val="000000"/>
                <w:sz w:val="24"/>
              </w:rPr>
            </w:pPr>
          </w:p>
        </w:tc>
        <w:tc>
          <w:tcPr>
            <w:tcW w:w="359" w:type="pct"/>
            <w:vAlign w:val="center"/>
          </w:tcPr>
          <w:p w14:paraId="607D852F">
            <w:pPr>
              <w:adjustRightInd w:val="0"/>
              <w:snapToGrid w:val="0"/>
              <w:jc w:val="left"/>
              <w:rPr>
                <w:color w:val="000000"/>
                <w:sz w:val="24"/>
              </w:rPr>
            </w:pPr>
          </w:p>
        </w:tc>
      </w:tr>
      <w:tr w14:paraId="7ED0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 w:type="pct"/>
            <w:vAlign w:val="center"/>
          </w:tcPr>
          <w:p w14:paraId="547DFD91">
            <w:pPr>
              <w:adjustRightInd w:val="0"/>
              <w:snapToGrid w:val="0"/>
              <w:jc w:val="left"/>
              <w:rPr>
                <w:color w:val="000000"/>
                <w:sz w:val="24"/>
              </w:rPr>
            </w:pPr>
            <w:r>
              <w:rPr>
                <w:color w:val="000000"/>
                <w:sz w:val="24"/>
              </w:rPr>
              <w:t>…</w:t>
            </w:r>
          </w:p>
        </w:tc>
        <w:tc>
          <w:tcPr>
            <w:tcW w:w="370" w:type="pct"/>
            <w:vAlign w:val="center"/>
          </w:tcPr>
          <w:p w14:paraId="4875291E">
            <w:pPr>
              <w:adjustRightInd w:val="0"/>
              <w:snapToGrid w:val="0"/>
              <w:jc w:val="left"/>
              <w:rPr>
                <w:color w:val="000000"/>
                <w:sz w:val="24"/>
              </w:rPr>
            </w:pPr>
          </w:p>
        </w:tc>
        <w:tc>
          <w:tcPr>
            <w:tcW w:w="466" w:type="pct"/>
            <w:vAlign w:val="center"/>
          </w:tcPr>
          <w:p w14:paraId="04B8CFDF">
            <w:pPr>
              <w:adjustRightInd w:val="0"/>
              <w:snapToGrid w:val="0"/>
              <w:jc w:val="left"/>
              <w:rPr>
                <w:color w:val="000000"/>
                <w:sz w:val="24"/>
              </w:rPr>
            </w:pPr>
          </w:p>
        </w:tc>
        <w:tc>
          <w:tcPr>
            <w:tcW w:w="332" w:type="pct"/>
          </w:tcPr>
          <w:p w14:paraId="66DB9389">
            <w:pPr>
              <w:adjustRightInd w:val="0"/>
              <w:snapToGrid w:val="0"/>
              <w:jc w:val="left"/>
              <w:rPr>
                <w:color w:val="000000"/>
                <w:sz w:val="24"/>
              </w:rPr>
            </w:pPr>
          </w:p>
        </w:tc>
        <w:tc>
          <w:tcPr>
            <w:tcW w:w="441" w:type="pct"/>
            <w:vAlign w:val="center"/>
          </w:tcPr>
          <w:p w14:paraId="0EC0A610">
            <w:pPr>
              <w:adjustRightInd w:val="0"/>
              <w:snapToGrid w:val="0"/>
              <w:jc w:val="center"/>
              <w:rPr>
                <w:color w:val="000000"/>
                <w:sz w:val="24"/>
              </w:rPr>
            </w:pPr>
          </w:p>
        </w:tc>
        <w:tc>
          <w:tcPr>
            <w:tcW w:w="441" w:type="pct"/>
            <w:vAlign w:val="center"/>
          </w:tcPr>
          <w:p w14:paraId="7A7D674E">
            <w:pPr>
              <w:adjustRightInd w:val="0"/>
              <w:snapToGrid w:val="0"/>
              <w:jc w:val="center"/>
              <w:rPr>
                <w:color w:val="000000"/>
                <w:sz w:val="24"/>
              </w:rPr>
            </w:pPr>
          </w:p>
        </w:tc>
        <w:tc>
          <w:tcPr>
            <w:tcW w:w="441" w:type="pct"/>
          </w:tcPr>
          <w:p w14:paraId="0BC13ADA">
            <w:pPr>
              <w:adjustRightInd w:val="0"/>
              <w:snapToGrid w:val="0"/>
              <w:jc w:val="center"/>
              <w:rPr>
                <w:color w:val="000000"/>
                <w:sz w:val="24"/>
              </w:rPr>
            </w:pPr>
          </w:p>
        </w:tc>
        <w:tc>
          <w:tcPr>
            <w:tcW w:w="441" w:type="pct"/>
          </w:tcPr>
          <w:p w14:paraId="3651A06F">
            <w:pPr>
              <w:adjustRightInd w:val="0"/>
              <w:snapToGrid w:val="0"/>
              <w:jc w:val="center"/>
              <w:rPr>
                <w:color w:val="000000"/>
                <w:sz w:val="24"/>
              </w:rPr>
            </w:pPr>
          </w:p>
        </w:tc>
        <w:tc>
          <w:tcPr>
            <w:tcW w:w="441" w:type="pct"/>
            <w:vAlign w:val="center"/>
          </w:tcPr>
          <w:p w14:paraId="3ED3AC8C">
            <w:pPr>
              <w:adjustRightInd w:val="0"/>
              <w:snapToGrid w:val="0"/>
              <w:jc w:val="center"/>
              <w:rPr>
                <w:color w:val="000000"/>
                <w:sz w:val="24"/>
              </w:rPr>
            </w:pPr>
          </w:p>
        </w:tc>
        <w:tc>
          <w:tcPr>
            <w:tcW w:w="441" w:type="pct"/>
            <w:vAlign w:val="center"/>
          </w:tcPr>
          <w:p w14:paraId="72C50BB4">
            <w:pPr>
              <w:adjustRightInd w:val="0"/>
              <w:snapToGrid w:val="0"/>
              <w:jc w:val="left"/>
              <w:rPr>
                <w:color w:val="000000"/>
                <w:sz w:val="24"/>
              </w:rPr>
            </w:pPr>
          </w:p>
        </w:tc>
        <w:tc>
          <w:tcPr>
            <w:tcW w:w="360" w:type="pct"/>
            <w:vAlign w:val="center"/>
          </w:tcPr>
          <w:p w14:paraId="2750B5B6">
            <w:pPr>
              <w:adjustRightInd w:val="0"/>
              <w:snapToGrid w:val="0"/>
              <w:jc w:val="left"/>
              <w:rPr>
                <w:color w:val="000000"/>
                <w:sz w:val="24"/>
              </w:rPr>
            </w:pPr>
          </w:p>
        </w:tc>
        <w:tc>
          <w:tcPr>
            <w:tcW w:w="292" w:type="pct"/>
            <w:vAlign w:val="center"/>
          </w:tcPr>
          <w:p w14:paraId="6F94CD6B">
            <w:pPr>
              <w:adjustRightInd w:val="0"/>
              <w:snapToGrid w:val="0"/>
              <w:jc w:val="left"/>
              <w:rPr>
                <w:color w:val="000000"/>
                <w:sz w:val="24"/>
              </w:rPr>
            </w:pPr>
          </w:p>
        </w:tc>
        <w:tc>
          <w:tcPr>
            <w:tcW w:w="359" w:type="pct"/>
            <w:vAlign w:val="center"/>
          </w:tcPr>
          <w:p w14:paraId="72A38E75">
            <w:pPr>
              <w:adjustRightInd w:val="0"/>
              <w:snapToGrid w:val="0"/>
              <w:jc w:val="left"/>
              <w:rPr>
                <w:color w:val="000000"/>
                <w:sz w:val="24"/>
              </w:rPr>
            </w:pPr>
          </w:p>
        </w:tc>
      </w:tr>
      <w:tr w14:paraId="116F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1" w:type="pct"/>
            <w:gridSpan w:val="12"/>
          </w:tcPr>
          <w:p w14:paraId="619A2DC6">
            <w:pPr>
              <w:jc w:val="right"/>
              <w:rPr>
                <w:b/>
                <w:sz w:val="24"/>
              </w:rPr>
            </w:pPr>
            <w:r>
              <w:rPr>
                <w:b/>
                <w:sz w:val="24"/>
              </w:rPr>
              <w:t>总价（元）</w:t>
            </w:r>
          </w:p>
        </w:tc>
        <w:tc>
          <w:tcPr>
            <w:tcW w:w="359" w:type="pct"/>
            <w:vAlign w:val="center"/>
          </w:tcPr>
          <w:p w14:paraId="13698758">
            <w:pPr>
              <w:adjustRightInd w:val="0"/>
              <w:snapToGrid w:val="0"/>
              <w:jc w:val="left"/>
              <w:rPr>
                <w:color w:val="000000"/>
                <w:sz w:val="24"/>
              </w:rPr>
            </w:pPr>
          </w:p>
        </w:tc>
      </w:tr>
    </w:tbl>
    <w:p w14:paraId="331EE040">
      <w:pPr>
        <w:adjustRightInd w:val="0"/>
        <w:snapToGrid w:val="0"/>
        <w:jc w:val="left"/>
        <w:rPr>
          <w:rFonts w:eastAsiaTheme="minorEastAsia"/>
          <w:b/>
          <w:i/>
          <w:color w:val="FF0000"/>
          <w:sz w:val="24"/>
        </w:rPr>
      </w:pPr>
      <w:r>
        <w:rPr>
          <w:b/>
          <w:i/>
          <w:color w:val="FF0000"/>
          <w:sz w:val="24"/>
        </w:rPr>
        <w:t>说明：制造商规模请填写“</w:t>
      </w:r>
      <w:r>
        <w:rPr>
          <w:rFonts w:hint="eastAsia"/>
          <w:b/>
          <w:i/>
          <w:color w:val="FF0000"/>
          <w:sz w:val="24"/>
        </w:rPr>
        <w:t>大</w:t>
      </w:r>
      <w:r>
        <w:rPr>
          <w:b/>
          <w:i/>
          <w:color w:val="FF0000"/>
          <w:sz w:val="24"/>
        </w:rPr>
        <w:t>型”、“中型”、“小型”、“微型”或“其他”，中小企业的定义见第二章《供应商须知》。</w:t>
      </w:r>
    </w:p>
    <w:p w14:paraId="1824A775">
      <w:pPr>
        <w:tabs>
          <w:tab w:val="left" w:pos="1800"/>
          <w:tab w:val="left" w:pos="5580"/>
        </w:tabs>
        <w:ind w:firstLine="723" w:firstLineChars="300"/>
        <w:jc w:val="left"/>
        <w:rPr>
          <w:b/>
          <w:i/>
          <w:color w:val="FF0000"/>
          <w:sz w:val="24"/>
        </w:rPr>
      </w:pPr>
      <w:r>
        <w:rPr>
          <w:rFonts w:hint="eastAsia"/>
          <w:b/>
          <w:i/>
          <w:color w:val="FF0000"/>
          <w:sz w:val="24"/>
        </w:rPr>
        <w:t>制造商所属性别请填写“男”或“女”，</w:t>
      </w:r>
      <w:r>
        <w:rPr>
          <w:rFonts w:hint="eastAsia"/>
          <w:color w:val="000000"/>
          <w:sz w:val="24"/>
        </w:rPr>
        <w:t>指拥有制造商</w:t>
      </w:r>
      <w:r>
        <w:rPr>
          <w:color w:val="000000"/>
          <w:sz w:val="24"/>
        </w:rPr>
        <w:t>51%</w:t>
      </w:r>
      <w:r>
        <w:rPr>
          <w:rFonts w:hint="eastAsia"/>
          <w:color w:val="000000"/>
          <w:sz w:val="24"/>
        </w:rPr>
        <w:t>以上绝对所有权的性别；绝对所有权拥有者可以是一个人，也可以是多人合计计算</w:t>
      </w:r>
      <w:r>
        <w:rPr>
          <w:rFonts w:hint="eastAsia"/>
          <w:bCs/>
          <w:i/>
          <w:sz w:val="24"/>
        </w:rPr>
        <w:t>。</w:t>
      </w:r>
    </w:p>
    <w:p w14:paraId="57A4E135">
      <w:pPr>
        <w:tabs>
          <w:tab w:val="left" w:pos="1800"/>
          <w:tab w:val="left" w:pos="5580"/>
        </w:tabs>
        <w:ind w:firstLine="723" w:firstLineChars="300"/>
        <w:jc w:val="left"/>
        <w:rPr>
          <w:rFonts w:eastAsiaTheme="minorEastAsia"/>
          <w:b/>
          <w:i/>
          <w:color w:val="FF0000"/>
          <w:sz w:val="24"/>
        </w:rPr>
      </w:pPr>
      <w:r>
        <w:rPr>
          <w:rFonts w:hint="eastAsia"/>
          <w:b/>
          <w:i/>
          <w:color w:val="FF0000"/>
          <w:sz w:val="24"/>
        </w:rPr>
        <w:t>外商投资类型请填写“外商单独投资”、“外商部分投资”或“内资”。</w:t>
      </w:r>
    </w:p>
    <w:p w14:paraId="10870F81">
      <w:pPr>
        <w:adjustRightInd w:val="0"/>
        <w:snapToGrid w:val="0"/>
        <w:spacing w:before="240" w:beforeLines="100" w:after="240" w:afterLines="100"/>
        <w:jc w:val="left"/>
        <w:rPr>
          <w:rFonts w:eastAsiaTheme="minorEastAsia"/>
          <w:b/>
          <w:i/>
          <w:color w:val="FF0000"/>
          <w:sz w:val="24"/>
        </w:rPr>
        <w:sectPr>
          <w:pgSz w:w="16840" w:h="11907" w:orient="landscape"/>
          <w:pgMar w:top="1701" w:right="1418" w:bottom="1134" w:left="1418" w:header="851" w:footer="851" w:gutter="0"/>
          <w:cols w:space="720" w:num="1"/>
          <w:docGrid w:linePitch="462" w:charSpace="0"/>
        </w:sectPr>
      </w:pPr>
    </w:p>
    <w:p w14:paraId="089B804D">
      <w:pPr>
        <w:adjustRightInd w:val="0"/>
        <w:snapToGrid w:val="0"/>
        <w:spacing w:before="240" w:beforeLines="100" w:after="240" w:afterLines="100"/>
        <w:jc w:val="left"/>
        <w:rPr>
          <w:rFonts w:eastAsiaTheme="minorEastAsia"/>
          <w:b/>
          <w:i/>
          <w:color w:val="FF0000"/>
          <w:sz w:val="24"/>
        </w:rPr>
      </w:pPr>
      <w:r>
        <w:rPr>
          <w:rFonts w:eastAsiaTheme="minorEastAsia"/>
          <w:b/>
          <w:i/>
          <w:color w:val="FF0000"/>
          <w:sz w:val="24"/>
        </w:rPr>
        <w:t>（格式示例</w:t>
      </w:r>
      <w:r>
        <w:rPr>
          <w:rFonts w:hint="eastAsia" w:eastAsiaTheme="minorEastAsia"/>
          <w:b/>
          <w:i/>
          <w:color w:val="FF0000"/>
          <w:sz w:val="24"/>
        </w:rPr>
        <w:t>二</w:t>
      </w:r>
      <w:r>
        <w:rPr>
          <w:rFonts w:eastAsiaTheme="minorEastAsia"/>
          <w:b/>
          <w:i/>
          <w:color w:val="FF0000"/>
          <w:sz w:val="24"/>
        </w:rPr>
        <w:t>，适用于服务类项目）</w:t>
      </w:r>
    </w:p>
    <w:p w14:paraId="77F992D4">
      <w:pPr>
        <w:tabs>
          <w:tab w:val="left" w:pos="1800"/>
          <w:tab w:val="left" w:pos="5580"/>
        </w:tabs>
        <w:rPr>
          <w:rFonts w:eastAsiaTheme="minorEastAsia"/>
          <w:color w:val="000000"/>
          <w:sz w:val="24"/>
        </w:rPr>
      </w:pPr>
      <w:r>
        <w:rPr>
          <w:rFonts w:eastAsiaTheme="minorEastAsia"/>
          <w:color w:val="000000"/>
          <w:sz w:val="24"/>
        </w:rPr>
        <w:t>项目编号/包号：_________ 项目名称：_________报价单位：人民币元</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2937"/>
        <w:gridCol w:w="1347"/>
        <w:gridCol w:w="1345"/>
        <w:gridCol w:w="1345"/>
        <w:gridCol w:w="1707"/>
      </w:tblGrid>
      <w:tr w14:paraId="7F89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7" w:type="pct"/>
            <w:vAlign w:val="center"/>
          </w:tcPr>
          <w:p w14:paraId="7BAA6C10">
            <w:pPr>
              <w:adjustRightInd w:val="0"/>
              <w:snapToGrid w:val="0"/>
              <w:jc w:val="left"/>
              <w:rPr>
                <w:rFonts w:eastAsiaTheme="minorEastAsia"/>
                <w:b/>
                <w:color w:val="000000"/>
                <w:sz w:val="24"/>
              </w:rPr>
            </w:pPr>
            <w:r>
              <w:rPr>
                <w:rFonts w:eastAsiaTheme="minorEastAsia"/>
                <w:b/>
                <w:color w:val="000000"/>
                <w:sz w:val="24"/>
              </w:rPr>
              <w:t>序号</w:t>
            </w:r>
          </w:p>
        </w:tc>
        <w:tc>
          <w:tcPr>
            <w:tcW w:w="1581" w:type="pct"/>
            <w:vAlign w:val="center"/>
          </w:tcPr>
          <w:p w14:paraId="0E2B8A8A">
            <w:pPr>
              <w:adjustRightInd w:val="0"/>
              <w:snapToGrid w:val="0"/>
              <w:jc w:val="center"/>
              <w:rPr>
                <w:rFonts w:eastAsiaTheme="minorEastAsia"/>
                <w:b/>
                <w:color w:val="000000"/>
                <w:sz w:val="24"/>
              </w:rPr>
            </w:pPr>
            <w:r>
              <w:rPr>
                <w:rFonts w:eastAsiaTheme="minorEastAsia"/>
                <w:b/>
                <w:color w:val="000000"/>
                <w:sz w:val="24"/>
              </w:rPr>
              <w:t>分项名称</w:t>
            </w:r>
          </w:p>
        </w:tc>
        <w:tc>
          <w:tcPr>
            <w:tcW w:w="725" w:type="pct"/>
            <w:vAlign w:val="center"/>
          </w:tcPr>
          <w:p w14:paraId="0FF477EC">
            <w:pPr>
              <w:adjustRightInd w:val="0"/>
              <w:snapToGrid w:val="0"/>
              <w:jc w:val="center"/>
              <w:rPr>
                <w:rFonts w:eastAsiaTheme="minorEastAsia"/>
                <w:b/>
                <w:color w:val="000000"/>
                <w:sz w:val="24"/>
              </w:rPr>
            </w:pPr>
            <w:r>
              <w:rPr>
                <w:rFonts w:eastAsiaTheme="minorEastAsia"/>
                <w:b/>
                <w:color w:val="000000"/>
                <w:sz w:val="24"/>
              </w:rPr>
              <w:t>单价（元）</w:t>
            </w:r>
          </w:p>
        </w:tc>
        <w:tc>
          <w:tcPr>
            <w:tcW w:w="724" w:type="pct"/>
            <w:vAlign w:val="center"/>
          </w:tcPr>
          <w:p w14:paraId="7FF09823">
            <w:pPr>
              <w:adjustRightInd w:val="0"/>
              <w:snapToGrid w:val="0"/>
              <w:jc w:val="center"/>
              <w:rPr>
                <w:rFonts w:eastAsiaTheme="minorEastAsia"/>
                <w:b/>
                <w:color w:val="000000"/>
                <w:sz w:val="24"/>
              </w:rPr>
            </w:pPr>
            <w:r>
              <w:rPr>
                <w:rFonts w:eastAsiaTheme="minorEastAsia"/>
                <w:b/>
                <w:color w:val="000000"/>
                <w:sz w:val="24"/>
              </w:rPr>
              <w:t>数量</w:t>
            </w:r>
          </w:p>
        </w:tc>
        <w:tc>
          <w:tcPr>
            <w:tcW w:w="724" w:type="pct"/>
            <w:vAlign w:val="center"/>
          </w:tcPr>
          <w:p w14:paraId="5D94FF3D">
            <w:pPr>
              <w:adjustRightInd w:val="0"/>
              <w:snapToGrid w:val="0"/>
              <w:jc w:val="center"/>
              <w:rPr>
                <w:rFonts w:eastAsiaTheme="minorEastAsia"/>
                <w:b/>
                <w:color w:val="000000"/>
                <w:sz w:val="24"/>
              </w:rPr>
            </w:pPr>
            <w:r>
              <w:rPr>
                <w:rFonts w:eastAsiaTheme="minorEastAsia"/>
                <w:b/>
                <w:color w:val="000000"/>
                <w:sz w:val="24"/>
              </w:rPr>
              <w:t>合价（元）</w:t>
            </w:r>
          </w:p>
        </w:tc>
        <w:tc>
          <w:tcPr>
            <w:tcW w:w="919" w:type="pct"/>
            <w:vAlign w:val="center"/>
          </w:tcPr>
          <w:p w14:paraId="37D9AF40">
            <w:pPr>
              <w:adjustRightInd w:val="0"/>
              <w:snapToGrid w:val="0"/>
              <w:jc w:val="center"/>
              <w:rPr>
                <w:rFonts w:eastAsiaTheme="minorEastAsia"/>
                <w:b/>
                <w:color w:val="000000"/>
                <w:sz w:val="24"/>
              </w:rPr>
            </w:pPr>
            <w:r>
              <w:rPr>
                <w:rFonts w:eastAsiaTheme="minorEastAsia"/>
                <w:b/>
                <w:color w:val="000000"/>
                <w:sz w:val="24"/>
              </w:rPr>
              <w:t>备注/说明</w:t>
            </w:r>
          </w:p>
        </w:tc>
      </w:tr>
      <w:tr w14:paraId="4F81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7" w:type="pct"/>
            <w:vAlign w:val="center"/>
          </w:tcPr>
          <w:p w14:paraId="68F98925">
            <w:pPr>
              <w:adjustRightInd w:val="0"/>
              <w:snapToGrid w:val="0"/>
              <w:jc w:val="center"/>
              <w:rPr>
                <w:rFonts w:eastAsiaTheme="minorEastAsia"/>
                <w:color w:val="000000"/>
                <w:sz w:val="24"/>
              </w:rPr>
            </w:pPr>
            <w:r>
              <w:rPr>
                <w:rFonts w:eastAsiaTheme="minorEastAsia"/>
                <w:color w:val="000000"/>
                <w:sz w:val="24"/>
              </w:rPr>
              <w:t>1</w:t>
            </w:r>
          </w:p>
        </w:tc>
        <w:tc>
          <w:tcPr>
            <w:tcW w:w="1581" w:type="pct"/>
            <w:vAlign w:val="center"/>
          </w:tcPr>
          <w:p w14:paraId="5A85222D">
            <w:pPr>
              <w:adjustRightInd w:val="0"/>
              <w:snapToGrid w:val="0"/>
              <w:jc w:val="left"/>
              <w:rPr>
                <w:rFonts w:eastAsiaTheme="minorEastAsia"/>
                <w:color w:val="000000"/>
                <w:sz w:val="24"/>
              </w:rPr>
            </w:pPr>
          </w:p>
        </w:tc>
        <w:tc>
          <w:tcPr>
            <w:tcW w:w="725" w:type="pct"/>
            <w:vAlign w:val="center"/>
          </w:tcPr>
          <w:p w14:paraId="7B5D58F8">
            <w:pPr>
              <w:adjustRightInd w:val="0"/>
              <w:snapToGrid w:val="0"/>
              <w:jc w:val="left"/>
              <w:rPr>
                <w:rFonts w:eastAsiaTheme="minorEastAsia"/>
                <w:color w:val="000000"/>
                <w:sz w:val="24"/>
              </w:rPr>
            </w:pPr>
          </w:p>
        </w:tc>
        <w:tc>
          <w:tcPr>
            <w:tcW w:w="724" w:type="pct"/>
            <w:vAlign w:val="center"/>
          </w:tcPr>
          <w:p w14:paraId="38BD1D54">
            <w:pPr>
              <w:adjustRightInd w:val="0"/>
              <w:snapToGrid w:val="0"/>
              <w:jc w:val="center"/>
              <w:rPr>
                <w:rFonts w:eastAsiaTheme="minorEastAsia"/>
                <w:color w:val="000000"/>
                <w:sz w:val="24"/>
              </w:rPr>
            </w:pPr>
          </w:p>
        </w:tc>
        <w:tc>
          <w:tcPr>
            <w:tcW w:w="724" w:type="pct"/>
            <w:vAlign w:val="center"/>
          </w:tcPr>
          <w:p w14:paraId="5B2564C9">
            <w:pPr>
              <w:adjustRightInd w:val="0"/>
              <w:snapToGrid w:val="0"/>
              <w:jc w:val="left"/>
              <w:rPr>
                <w:rFonts w:eastAsiaTheme="minorEastAsia"/>
                <w:color w:val="000000"/>
                <w:sz w:val="24"/>
              </w:rPr>
            </w:pPr>
          </w:p>
        </w:tc>
        <w:tc>
          <w:tcPr>
            <w:tcW w:w="919" w:type="pct"/>
            <w:vAlign w:val="center"/>
          </w:tcPr>
          <w:p w14:paraId="1CEA4DC4">
            <w:pPr>
              <w:adjustRightInd w:val="0"/>
              <w:snapToGrid w:val="0"/>
              <w:jc w:val="left"/>
              <w:rPr>
                <w:rFonts w:eastAsiaTheme="minorEastAsia"/>
                <w:color w:val="000000"/>
                <w:sz w:val="24"/>
              </w:rPr>
            </w:pPr>
          </w:p>
        </w:tc>
      </w:tr>
      <w:tr w14:paraId="067C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7" w:type="pct"/>
            <w:vAlign w:val="center"/>
          </w:tcPr>
          <w:p w14:paraId="745B71E8">
            <w:pPr>
              <w:adjustRightInd w:val="0"/>
              <w:snapToGrid w:val="0"/>
              <w:jc w:val="center"/>
              <w:rPr>
                <w:rFonts w:eastAsiaTheme="minorEastAsia"/>
                <w:color w:val="000000"/>
                <w:sz w:val="24"/>
              </w:rPr>
            </w:pPr>
            <w:r>
              <w:rPr>
                <w:rFonts w:eastAsiaTheme="minorEastAsia"/>
                <w:color w:val="000000"/>
                <w:sz w:val="24"/>
              </w:rPr>
              <w:t>2</w:t>
            </w:r>
          </w:p>
        </w:tc>
        <w:tc>
          <w:tcPr>
            <w:tcW w:w="1581" w:type="pct"/>
            <w:vAlign w:val="center"/>
          </w:tcPr>
          <w:p w14:paraId="40C4AE0A">
            <w:pPr>
              <w:adjustRightInd w:val="0"/>
              <w:snapToGrid w:val="0"/>
              <w:jc w:val="left"/>
              <w:rPr>
                <w:rFonts w:eastAsiaTheme="minorEastAsia"/>
                <w:color w:val="000000"/>
                <w:sz w:val="24"/>
              </w:rPr>
            </w:pPr>
          </w:p>
        </w:tc>
        <w:tc>
          <w:tcPr>
            <w:tcW w:w="725" w:type="pct"/>
            <w:vAlign w:val="center"/>
          </w:tcPr>
          <w:p w14:paraId="36F45CB8">
            <w:pPr>
              <w:adjustRightInd w:val="0"/>
              <w:snapToGrid w:val="0"/>
              <w:jc w:val="left"/>
              <w:rPr>
                <w:rFonts w:eastAsiaTheme="minorEastAsia"/>
                <w:color w:val="000000"/>
                <w:sz w:val="24"/>
              </w:rPr>
            </w:pPr>
          </w:p>
        </w:tc>
        <w:tc>
          <w:tcPr>
            <w:tcW w:w="724" w:type="pct"/>
            <w:vAlign w:val="center"/>
          </w:tcPr>
          <w:p w14:paraId="03A71661">
            <w:pPr>
              <w:adjustRightInd w:val="0"/>
              <w:snapToGrid w:val="0"/>
              <w:jc w:val="center"/>
              <w:rPr>
                <w:rFonts w:eastAsiaTheme="minorEastAsia"/>
                <w:color w:val="000000"/>
                <w:sz w:val="24"/>
              </w:rPr>
            </w:pPr>
          </w:p>
        </w:tc>
        <w:tc>
          <w:tcPr>
            <w:tcW w:w="724" w:type="pct"/>
            <w:vAlign w:val="center"/>
          </w:tcPr>
          <w:p w14:paraId="35EC08E7">
            <w:pPr>
              <w:adjustRightInd w:val="0"/>
              <w:snapToGrid w:val="0"/>
              <w:jc w:val="left"/>
              <w:rPr>
                <w:rFonts w:eastAsiaTheme="minorEastAsia"/>
                <w:color w:val="000000"/>
                <w:sz w:val="24"/>
              </w:rPr>
            </w:pPr>
          </w:p>
        </w:tc>
        <w:tc>
          <w:tcPr>
            <w:tcW w:w="919" w:type="pct"/>
            <w:vAlign w:val="center"/>
          </w:tcPr>
          <w:p w14:paraId="7226AB48">
            <w:pPr>
              <w:adjustRightInd w:val="0"/>
              <w:snapToGrid w:val="0"/>
              <w:jc w:val="left"/>
              <w:rPr>
                <w:rFonts w:eastAsiaTheme="minorEastAsia"/>
                <w:color w:val="000000"/>
                <w:sz w:val="24"/>
              </w:rPr>
            </w:pPr>
          </w:p>
        </w:tc>
      </w:tr>
      <w:tr w14:paraId="2010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7" w:type="pct"/>
            <w:vAlign w:val="center"/>
          </w:tcPr>
          <w:p w14:paraId="42650E8D">
            <w:pPr>
              <w:adjustRightInd w:val="0"/>
              <w:snapToGrid w:val="0"/>
              <w:jc w:val="center"/>
              <w:rPr>
                <w:rFonts w:eastAsiaTheme="minorEastAsia"/>
                <w:color w:val="000000"/>
                <w:sz w:val="24"/>
              </w:rPr>
            </w:pPr>
            <w:r>
              <w:rPr>
                <w:rFonts w:eastAsiaTheme="minorEastAsia"/>
                <w:color w:val="000000"/>
                <w:sz w:val="24"/>
              </w:rPr>
              <w:t>3</w:t>
            </w:r>
          </w:p>
        </w:tc>
        <w:tc>
          <w:tcPr>
            <w:tcW w:w="1581" w:type="pct"/>
            <w:vAlign w:val="center"/>
          </w:tcPr>
          <w:p w14:paraId="07BF07EA">
            <w:pPr>
              <w:adjustRightInd w:val="0"/>
              <w:snapToGrid w:val="0"/>
              <w:jc w:val="left"/>
              <w:rPr>
                <w:rFonts w:eastAsiaTheme="minorEastAsia"/>
                <w:color w:val="000000"/>
                <w:sz w:val="24"/>
              </w:rPr>
            </w:pPr>
            <w:r>
              <w:rPr>
                <w:rFonts w:eastAsiaTheme="minorEastAsia"/>
                <w:color w:val="000000"/>
                <w:sz w:val="24"/>
              </w:rPr>
              <w:t>…</w:t>
            </w:r>
          </w:p>
        </w:tc>
        <w:tc>
          <w:tcPr>
            <w:tcW w:w="725" w:type="pct"/>
            <w:vAlign w:val="center"/>
          </w:tcPr>
          <w:p w14:paraId="790D0A73">
            <w:pPr>
              <w:adjustRightInd w:val="0"/>
              <w:snapToGrid w:val="0"/>
              <w:jc w:val="left"/>
              <w:rPr>
                <w:rFonts w:eastAsiaTheme="minorEastAsia"/>
                <w:color w:val="000000"/>
                <w:sz w:val="24"/>
              </w:rPr>
            </w:pPr>
          </w:p>
        </w:tc>
        <w:tc>
          <w:tcPr>
            <w:tcW w:w="724" w:type="pct"/>
            <w:vAlign w:val="center"/>
          </w:tcPr>
          <w:p w14:paraId="796391FB">
            <w:pPr>
              <w:adjustRightInd w:val="0"/>
              <w:snapToGrid w:val="0"/>
              <w:jc w:val="center"/>
              <w:rPr>
                <w:rFonts w:eastAsiaTheme="minorEastAsia"/>
                <w:color w:val="000000"/>
                <w:sz w:val="24"/>
              </w:rPr>
            </w:pPr>
          </w:p>
        </w:tc>
        <w:tc>
          <w:tcPr>
            <w:tcW w:w="724" w:type="pct"/>
            <w:vAlign w:val="center"/>
          </w:tcPr>
          <w:p w14:paraId="46A2A1CC">
            <w:pPr>
              <w:adjustRightInd w:val="0"/>
              <w:snapToGrid w:val="0"/>
              <w:jc w:val="left"/>
              <w:rPr>
                <w:rFonts w:eastAsiaTheme="minorEastAsia"/>
                <w:color w:val="000000"/>
                <w:sz w:val="24"/>
              </w:rPr>
            </w:pPr>
          </w:p>
        </w:tc>
        <w:tc>
          <w:tcPr>
            <w:tcW w:w="919" w:type="pct"/>
            <w:vAlign w:val="center"/>
          </w:tcPr>
          <w:p w14:paraId="34FB705C">
            <w:pPr>
              <w:adjustRightInd w:val="0"/>
              <w:snapToGrid w:val="0"/>
              <w:jc w:val="left"/>
              <w:rPr>
                <w:rFonts w:eastAsiaTheme="minorEastAsia"/>
                <w:color w:val="000000"/>
                <w:sz w:val="24"/>
              </w:rPr>
            </w:pPr>
          </w:p>
        </w:tc>
      </w:tr>
      <w:tr w14:paraId="08F8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7" w:type="pct"/>
            <w:gridSpan w:val="4"/>
            <w:vAlign w:val="center"/>
          </w:tcPr>
          <w:p w14:paraId="22529BF5">
            <w:pPr>
              <w:adjustRightInd w:val="0"/>
              <w:snapToGrid w:val="0"/>
              <w:jc w:val="right"/>
              <w:rPr>
                <w:rFonts w:eastAsiaTheme="minorEastAsia"/>
                <w:color w:val="000000"/>
                <w:sz w:val="24"/>
              </w:rPr>
            </w:pPr>
            <w:r>
              <w:rPr>
                <w:rFonts w:eastAsiaTheme="minorEastAsia"/>
                <w:b/>
                <w:bCs/>
                <w:color w:val="000000"/>
                <w:sz w:val="24"/>
              </w:rPr>
              <w:t>总价（元）</w:t>
            </w:r>
          </w:p>
        </w:tc>
        <w:tc>
          <w:tcPr>
            <w:tcW w:w="724" w:type="pct"/>
            <w:vAlign w:val="center"/>
          </w:tcPr>
          <w:p w14:paraId="7854C259">
            <w:pPr>
              <w:adjustRightInd w:val="0"/>
              <w:snapToGrid w:val="0"/>
              <w:jc w:val="left"/>
              <w:rPr>
                <w:rFonts w:eastAsiaTheme="minorEastAsia"/>
                <w:color w:val="000000"/>
                <w:sz w:val="24"/>
              </w:rPr>
            </w:pPr>
          </w:p>
        </w:tc>
        <w:tc>
          <w:tcPr>
            <w:tcW w:w="919" w:type="pct"/>
            <w:vAlign w:val="center"/>
          </w:tcPr>
          <w:p w14:paraId="572C832B">
            <w:pPr>
              <w:adjustRightInd w:val="0"/>
              <w:snapToGrid w:val="0"/>
              <w:jc w:val="left"/>
              <w:rPr>
                <w:rFonts w:eastAsiaTheme="minorEastAsia"/>
                <w:color w:val="000000"/>
                <w:sz w:val="24"/>
              </w:rPr>
            </w:pPr>
          </w:p>
        </w:tc>
      </w:tr>
    </w:tbl>
    <w:p w14:paraId="20025261">
      <w:pPr>
        <w:tabs>
          <w:tab w:val="left" w:pos="1800"/>
          <w:tab w:val="left" w:pos="5580"/>
        </w:tabs>
        <w:jc w:val="left"/>
        <w:rPr>
          <w:rFonts w:eastAsiaTheme="minorEastAsia"/>
          <w:color w:val="000000"/>
          <w:sz w:val="24"/>
        </w:rPr>
      </w:pPr>
    </w:p>
    <w:p w14:paraId="05BCBF34">
      <w:pPr>
        <w:tabs>
          <w:tab w:val="left" w:pos="1800"/>
          <w:tab w:val="left" w:pos="5580"/>
        </w:tabs>
        <w:jc w:val="left"/>
        <w:rPr>
          <w:rFonts w:eastAsiaTheme="minorEastAsia"/>
          <w:color w:val="000000"/>
          <w:sz w:val="24"/>
        </w:rPr>
      </w:pPr>
      <w:r>
        <w:rPr>
          <w:rFonts w:eastAsiaTheme="minorEastAsia"/>
          <w:b/>
          <w:i/>
          <w:color w:val="FF0000"/>
          <w:sz w:val="24"/>
        </w:rPr>
        <w:t>（格式示例</w:t>
      </w:r>
      <w:r>
        <w:rPr>
          <w:rFonts w:hint="eastAsia" w:eastAsiaTheme="minorEastAsia"/>
          <w:b/>
          <w:i/>
          <w:color w:val="FF0000"/>
          <w:sz w:val="24"/>
        </w:rPr>
        <w:t>三</w:t>
      </w:r>
      <w:r>
        <w:rPr>
          <w:rFonts w:eastAsiaTheme="minorEastAsia"/>
          <w:b/>
          <w:i/>
          <w:color w:val="FF0000"/>
          <w:sz w:val="24"/>
        </w:rPr>
        <w:t>，适用于工程类项目，且现场难以重新按工程量清单提供报价的）</w:t>
      </w:r>
    </w:p>
    <w:p w14:paraId="4EA30063">
      <w:pPr>
        <w:tabs>
          <w:tab w:val="left" w:pos="1800"/>
          <w:tab w:val="left" w:pos="5580"/>
        </w:tabs>
        <w:jc w:val="left"/>
        <w:rPr>
          <w:rFonts w:eastAsiaTheme="minorEastAsia"/>
          <w:color w:val="000000"/>
          <w:sz w:val="24"/>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536"/>
        <w:gridCol w:w="1418"/>
        <w:gridCol w:w="1559"/>
      </w:tblGrid>
      <w:tr w14:paraId="485C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00" w:type="dxa"/>
            <w:vAlign w:val="center"/>
          </w:tcPr>
          <w:p w14:paraId="54E2AAD1">
            <w:pPr>
              <w:adjustRightInd w:val="0"/>
              <w:jc w:val="center"/>
              <w:textAlignment w:val="baseline"/>
              <w:rPr>
                <w:kern w:val="0"/>
                <w:sz w:val="24"/>
                <w:szCs w:val="20"/>
              </w:rPr>
            </w:pPr>
            <w:r>
              <w:rPr>
                <w:kern w:val="0"/>
                <w:sz w:val="24"/>
                <w:szCs w:val="20"/>
              </w:rPr>
              <w:t>序号</w:t>
            </w:r>
          </w:p>
        </w:tc>
        <w:tc>
          <w:tcPr>
            <w:tcW w:w="4536" w:type="dxa"/>
            <w:vAlign w:val="center"/>
          </w:tcPr>
          <w:p w14:paraId="616A5FB6">
            <w:pPr>
              <w:adjustRightInd w:val="0"/>
              <w:jc w:val="center"/>
              <w:textAlignment w:val="baseline"/>
              <w:rPr>
                <w:kern w:val="0"/>
                <w:sz w:val="24"/>
                <w:szCs w:val="20"/>
              </w:rPr>
            </w:pPr>
            <w:r>
              <w:rPr>
                <w:kern w:val="0"/>
                <w:sz w:val="24"/>
                <w:szCs w:val="20"/>
              </w:rPr>
              <w:t>最后报价计算过程或说明（</w:t>
            </w:r>
            <w:r>
              <w:rPr>
                <w:color w:val="000000"/>
                <w:sz w:val="24"/>
              </w:rPr>
              <w:t>可以填写按第一次报价下浮/上浮比例，也可以填写相对第一次报价某部分价格变化情况</w:t>
            </w:r>
            <w:r>
              <w:rPr>
                <w:kern w:val="0"/>
                <w:sz w:val="24"/>
                <w:szCs w:val="20"/>
              </w:rPr>
              <w:t>）</w:t>
            </w:r>
          </w:p>
        </w:tc>
        <w:tc>
          <w:tcPr>
            <w:tcW w:w="1418" w:type="dxa"/>
            <w:vAlign w:val="center"/>
          </w:tcPr>
          <w:p w14:paraId="001B0A2F">
            <w:pPr>
              <w:adjustRightInd w:val="0"/>
              <w:jc w:val="center"/>
              <w:textAlignment w:val="baseline"/>
              <w:rPr>
                <w:kern w:val="0"/>
                <w:sz w:val="24"/>
                <w:szCs w:val="20"/>
              </w:rPr>
            </w:pPr>
            <w:r>
              <w:rPr>
                <w:kern w:val="0"/>
                <w:sz w:val="24"/>
                <w:szCs w:val="20"/>
              </w:rPr>
              <w:t>总价（元）</w:t>
            </w:r>
          </w:p>
        </w:tc>
        <w:tc>
          <w:tcPr>
            <w:tcW w:w="1559" w:type="dxa"/>
            <w:vAlign w:val="center"/>
          </w:tcPr>
          <w:p w14:paraId="673C5D6D">
            <w:pPr>
              <w:adjustRightInd w:val="0"/>
              <w:jc w:val="center"/>
              <w:textAlignment w:val="baseline"/>
              <w:rPr>
                <w:kern w:val="0"/>
                <w:sz w:val="24"/>
                <w:szCs w:val="20"/>
              </w:rPr>
            </w:pPr>
            <w:r>
              <w:rPr>
                <w:kern w:val="0"/>
                <w:sz w:val="24"/>
                <w:szCs w:val="20"/>
              </w:rPr>
              <w:t>备注</w:t>
            </w:r>
          </w:p>
        </w:tc>
      </w:tr>
      <w:tr w14:paraId="3C01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900" w:type="dxa"/>
            <w:vAlign w:val="center"/>
          </w:tcPr>
          <w:p w14:paraId="6A2E72D2">
            <w:pPr>
              <w:adjustRightInd w:val="0"/>
              <w:jc w:val="center"/>
              <w:textAlignment w:val="baseline"/>
              <w:rPr>
                <w:kern w:val="0"/>
                <w:sz w:val="24"/>
                <w:szCs w:val="20"/>
              </w:rPr>
            </w:pPr>
            <w:r>
              <w:rPr>
                <w:kern w:val="0"/>
                <w:sz w:val="24"/>
                <w:szCs w:val="20"/>
              </w:rPr>
              <w:t>1</w:t>
            </w:r>
          </w:p>
        </w:tc>
        <w:tc>
          <w:tcPr>
            <w:tcW w:w="4536" w:type="dxa"/>
            <w:vAlign w:val="center"/>
          </w:tcPr>
          <w:p w14:paraId="0383F698">
            <w:pPr>
              <w:adjustRightInd w:val="0"/>
              <w:jc w:val="center"/>
              <w:textAlignment w:val="baseline"/>
              <w:rPr>
                <w:kern w:val="0"/>
                <w:sz w:val="24"/>
                <w:szCs w:val="20"/>
              </w:rPr>
            </w:pPr>
          </w:p>
        </w:tc>
        <w:tc>
          <w:tcPr>
            <w:tcW w:w="1418" w:type="dxa"/>
            <w:vAlign w:val="center"/>
          </w:tcPr>
          <w:p w14:paraId="7E944879">
            <w:pPr>
              <w:adjustRightInd w:val="0"/>
              <w:jc w:val="center"/>
              <w:textAlignment w:val="baseline"/>
              <w:rPr>
                <w:kern w:val="0"/>
                <w:sz w:val="24"/>
                <w:szCs w:val="20"/>
              </w:rPr>
            </w:pPr>
          </w:p>
        </w:tc>
        <w:tc>
          <w:tcPr>
            <w:tcW w:w="1559" w:type="dxa"/>
            <w:vAlign w:val="center"/>
          </w:tcPr>
          <w:p w14:paraId="7A4FD712">
            <w:pPr>
              <w:adjustRightInd w:val="0"/>
              <w:jc w:val="center"/>
              <w:textAlignment w:val="baseline"/>
              <w:rPr>
                <w:kern w:val="0"/>
                <w:sz w:val="24"/>
                <w:szCs w:val="20"/>
              </w:rPr>
            </w:pPr>
          </w:p>
        </w:tc>
      </w:tr>
      <w:tr w14:paraId="6285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36" w:type="dxa"/>
            <w:gridSpan w:val="2"/>
            <w:vAlign w:val="center"/>
          </w:tcPr>
          <w:p w14:paraId="3016A096">
            <w:pPr>
              <w:adjustRightInd w:val="0"/>
              <w:jc w:val="right"/>
              <w:textAlignment w:val="baseline"/>
              <w:rPr>
                <w:kern w:val="0"/>
                <w:sz w:val="24"/>
                <w:szCs w:val="20"/>
              </w:rPr>
            </w:pPr>
            <w:r>
              <w:rPr>
                <w:kern w:val="0"/>
                <w:sz w:val="24"/>
                <w:szCs w:val="20"/>
              </w:rPr>
              <w:t>合计（元）</w:t>
            </w:r>
          </w:p>
        </w:tc>
        <w:tc>
          <w:tcPr>
            <w:tcW w:w="1418" w:type="dxa"/>
            <w:vAlign w:val="center"/>
          </w:tcPr>
          <w:p w14:paraId="6C9A7C97">
            <w:pPr>
              <w:adjustRightInd w:val="0"/>
              <w:jc w:val="center"/>
              <w:textAlignment w:val="baseline"/>
              <w:rPr>
                <w:kern w:val="0"/>
                <w:sz w:val="24"/>
                <w:szCs w:val="20"/>
              </w:rPr>
            </w:pPr>
          </w:p>
        </w:tc>
        <w:tc>
          <w:tcPr>
            <w:tcW w:w="1559" w:type="dxa"/>
            <w:vAlign w:val="center"/>
          </w:tcPr>
          <w:p w14:paraId="706A87CA">
            <w:pPr>
              <w:adjustRightInd w:val="0"/>
              <w:jc w:val="center"/>
              <w:textAlignment w:val="baseline"/>
              <w:rPr>
                <w:kern w:val="0"/>
                <w:sz w:val="24"/>
                <w:szCs w:val="20"/>
              </w:rPr>
            </w:pPr>
          </w:p>
        </w:tc>
      </w:tr>
    </w:tbl>
    <w:p w14:paraId="6A39E29D">
      <w:pPr>
        <w:tabs>
          <w:tab w:val="left" w:pos="1800"/>
          <w:tab w:val="left" w:pos="5580"/>
        </w:tabs>
        <w:jc w:val="left"/>
        <w:rPr>
          <w:rFonts w:eastAsiaTheme="minorEastAsia"/>
          <w:color w:val="000000"/>
          <w:sz w:val="24"/>
        </w:rPr>
      </w:pPr>
    </w:p>
    <w:p w14:paraId="3F4CDFB8">
      <w:pPr>
        <w:tabs>
          <w:tab w:val="left" w:pos="1800"/>
          <w:tab w:val="left" w:pos="5580"/>
        </w:tabs>
        <w:jc w:val="left"/>
        <w:rPr>
          <w:rFonts w:eastAsiaTheme="minorEastAsia"/>
          <w:color w:val="000000"/>
          <w:sz w:val="24"/>
        </w:rPr>
      </w:pPr>
    </w:p>
    <w:p w14:paraId="3C4185A3">
      <w:pPr>
        <w:tabs>
          <w:tab w:val="left" w:pos="1800"/>
          <w:tab w:val="left" w:pos="5580"/>
        </w:tabs>
        <w:jc w:val="left"/>
        <w:rPr>
          <w:rFonts w:eastAsiaTheme="minorEastAsia"/>
          <w:color w:val="000000"/>
          <w:sz w:val="24"/>
        </w:rPr>
      </w:pPr>
    </w:p>
    <w:p w14:paraId="018DFA29">
      <w:pPr>
        <w:tabs>
          <w:tab w:val="left" w:pos="1800"/>
          <w:tab w:val="left" w:pos="5580"/>
        </w:tabs>
        <w:jc w:val="left"/>
        <w:rPr>
          <w:rFonts w:eastAsiaTheme="minorEastAsia"/>
          <w:color w:val="000000"/>
          <w:sz w:val="24"/>
        </w:rPr>
      </w:pPr>
      <w:r>
        <w:rPr>
          <w:rFonts w:eastAsiaTheme="minorEastAsia"/>
          <w:color w:val="000000"/>
          <w:sz w:val="24"/>
        </w:rPr>
        <w:t>注：1.本表应按包分别填写。</w:t>
      </w:r>
    </w:p>
    <w:p w14:paraId="76FCF64E">
      <w:pPr>
        <w:tabs>
          <w:tab w:val="left" w:pos="1800"/>
          <w:tab w:val="left" w:pos="5580"/>
        </w:tabs>
        <w:ind w:firstLine="480" w:firstLineChars="200"/>
        <w:jc w:val="left"/>
        <w:rPr>
          <w:rFonts w:eastAsiaTheme="minorEastAsia"/>
          <w:color w:val="000000"/>
          <w:sz w:val="24"/>
        </w:rPr>
      </w:pPr>
      <w:r>
        <w:rPr>
          <w:rFonts w:eastAsiaTheme="minorEastAsia"/>
          <w:color w:val="000000"/>
          <w:sz w:val="24"/>
        </w:rPr>
        <w:t>2.上述各项的详细规格（如有），可另页描述。</w:t>
      </w:r>
    </w:p>
    <w:p w14:paraId="2C2540DD">
      <w:pPr>
        <w:tabs>
          <w:tab w:val="left" w:pos="1800"/>
          <w:tab w:val="left" w:pos="5580"/>
        </w:tabs>
        <w:ind w:firstLine="480" w:firstLineChars="200"/>
        <w:jc w:val="left"/>
        <w:rPr>
          <w:sz w:val="24"/>
        </w:rPr>
      </w:pPr>
      <w:r>
        <w:rPr>
          <w:sz w:val="24"/>
        </w:rPr>
        <w:t>3.此表无需在响应文件中提交，磋商后供应商按磋商小组要求提交。</w:t>
      </w:r>
    </w:p>
    <w:p w14:paraId="096E4BF2">
      <w:pPr>
        <w:tabs>
          <w:tab w:val="left" w:pos="1800"/>
          <w:tab w:val="left" w:pos="5580"/>
        </w:tabs>
        <w:ind w:firstLine="480" w:firstLineChars="200"/>
        <w:jc w:val="left"/>
        <w:rPr>
          <w:color w:val="000000"/>
          <w:sz w:val="24"/>
        </w:rPr>
      </w:pPr>
      <w:r>
        <w:rPr>
          <w:rFonts w:eastAsiaTheme="minorEastAsia"/>
          <w:color w:val="000000"/>
          <w:sz w:val="24"/>
        </w:rPr>
        <w:t>4.制造商规模列应填写</w:t>
      </w:r>
      <w:bookmarkStart w:id="786" w:name="_Hlk168431865"/>
      <w:r>
        <w:rPr>
          <w:rFonts w:hint="eastAsia" w:eastAsiaTheme="minorEastAsia"/>
          <w:color w:val="000000"/>
          <w:sz w:val="24"/>
        </w:rPr>
        <w:t>“大型”、</w:t>
      </w:r>
      <w:bookmarkEnd w:id="786"/>
      <w:r>
        <w:rPr>
          <w:rFonts w:eastAsiaTheme="minorEastAsia"/>
          <w:color w:val="000000"/>
          <w:sz w:val="24"/>
        </w:rPr>
        <w:t>“中型”、“小型”</w:t>
      </w:r>
      <w:r>
        <w:rPr>
          <w:rFonts w:hint="eastAsia" w:eastAsiaTheme="minorEastAsia"/>
          <w:color w:val="000000"/>
          <w:sz w:val="24"/>
        </w:rPr>
        <w:t>、</w:t>
      </w:r>
      <w:r>
        <w:rPr>
          <w:rFonts w:eastAsiaTheme="minorEastAsia"/>
          <w:color w:val="000000"/>
          <w:sz w:val="24"/>
        </w:rPr>
        <w:t>“微型”或“其他”，且不应与《中小企业声明函》或《拟分包情况说明》中内容矛盾。</w:t>
      </w:r>
      <w:r>
        <w:rPr>
          <w:rFonts w:hint="eastAsia" w:eastAsiaTheme="minorEastAsia"/>
          <w:color w:val="000000"/>
          <w:sz w:val="24"/>
        </w:rPr>
        <w:t>制造商所属性别请填写“男”或“女”，</w:t>
      </w:r>
      <w:r>
        <w:rPr>
          <w:rFonts w:hint="eastAsia"/>
          <w:color w:val="000000"/>
          <w:sz w:val="24"/>
        </w:rPr>
        <w:t>指拥有制造商</w:t>
      </w:r>
      <w:r>
        <w:rPr>
          <w:color w:val="000000"/>
          <w:sz w:val="24"/>
        </w:rPr>
        <w:t>51%</w:t>
      </w:r>
      <w:r>
        <w:rPr>
          <w:rFonts w:hint="eastAsia"/>
          <w:color w:val="000000"/>
          <w:sz w:val="24"/>
        </w:rPr>
        <w:t>以上绝对所有权的性别；绝对所有权拥有者可以是一个人，也可以是多人合计计算</w:t>
      </w:r>
      <w:r>
        <w:rPr>
          <w:rFonts w:hint="eastAsia" w:eastAsiaTheme="minorEastAsia"/>
          <w:color w:val="000000"/>
          <w:sz w:val="24"/>
        </w:rPr>
        <w:t>。外商投资类型请填写“外商单独投资”、“外商部分投资”或“内资”。</w:t>
      </w:r>
    </w:p>
    <w:p w14:paraId="62515163">
      <w:pPr>
        <w:tabs>
          <w:tab w:val="left" w:pos="1800"/>
          <w:tab w:val="left" w:pos="5580"/>
        </w:tabs>
        <w:ind w:firstLine="480" w:firstLineChars="200"/>
        <w:jc w:val="left"/>
        <w:rPr>
          <w:rFonts w:eastAsiaTheme="minorEastAsia"/>
          <w:color w:val="000000"/>
          <w:sz w:val="24"/>
        </w:rPr>
      </w:pPr>
    </w:p>
    <w:p w14:paraId="6C6DBCC2">
      <w:pPr>
        <w:autoSpaceDE w:val="0"/>
        <w:autoSpaceDN w:val="0"/>
        <w:adjustRightInd w:val="0"/>
        <w:snapToGrid w:val="0"/>
        <w:spacing w:before="25" w:after="25" w:line="360" w:lineRule="auto"/>
        <w:rPr>
          <w:rFonts w:eastAsiaTheme="minorEastAsia"/>
          <w:color w:val="000000"/>
          <w:sz w:val="24"/>
          <w:lang w:val="zh-CN"/>
        </w:rPr>
      </w:pPr>
    </w:p>
    <w:p w14:paraId="7C91B596">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14:paraId="7316E46B">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14:paraId="29B3D43F">
      <w:pPr>
        <w:widowControl/>
        <w:jc w:val="left"/>
        <w:rPr>
          <w:rFonts w:eastAsiaTheme="minorEastAsia"/>
          <w:b/>
          <w:sz w:val="36"/>
          <w:szCs w:val="36"/>
        </w:rPr>
      </w:pPr>
      <w:r>
        <w:rPr>
          <w:rFonts w:eastAsiaTheme="minorEastAsia"/>
          <w:b/>
          <w:sz w:val="36"/>
          <w:szCs w:val="36"/>
        </w:rPr>
        <w:br w:type="page"/>
      </w:r>
    </w:p>
    <w:p w14:paraId="2E40FEDA">
      <w:pPr>
        <w:tabs>
          <w:tab w:val="left" w:pos="360"/>
        </w:tabs>
        <w:snapToGrid w:val="0"/>
        <w:spacing w:line="360" w:lineRule="auto"/>
        <w:outlineLvl w:val="1"/>
        <w:rPr>
          <w:rFonts w:eastAsiaTheme="minorEastAsia"/>
          <w:sz w:val="24"/>
        </w:rPr>
      </w:pPr>
      <w:r>
        <w:rPr>
          <w:rFonts w:eastAsiaTheme="minorEastAsia"/>
          <w:sz w:val="24"/>
        </w:rPr>
        <w:t>15  最后报价构成表（</w:t>
      </w:r>
      <w:r>
        <w:rPr>
          <w:rFonts w:hint="eastAsia" w:eastAsiaTheme="minorEastAsia"/>
          <w:sz w:val="24"/>
        </w:rPr>
        <w:t>如有，磋商后提交</w:t>
      </w:r>
      <w:r>
        <w:rPr>
          <w:rFonts w:eastAsiaTheme="minorEastAsia"/>
          <w:sz w:val="24"/>
        </w:rPr>
        <w:t>）</w:t>
      </w:r>
    </w:p>
    <w:p w14:paraId="1F5AE8D2">
      <w:pPr>
        <w:tabs>
          <w:tab w:val="left" w:pos="1800"/>
          <w:tab w:val="left" w:pos="5580"/>
        </w:tabs>
        <w:jc w:val="left"/>
        <w:rPr>
          <w:rFonts w:eastAsiaTheme="minorEastAsia"/>
          <w:color w:val="000000"/>
          <w:sz w:val="24"/>
        </w:rPr>
      </w:pPr>
      <w:r>
        <w:rPr>
          <w:rFonts w:eastAsiaTheme="minorEastAsia"/>
          <w:color w:val="000000"/>
          <w:sz w:val="24"/>
        </w:rPr>
        <w:t>15-1 最终报价中分包情况说明</w:t>
      </w:r>
    </w:p>
    <w:tbl>
      <w:tblPr>
        <w:tblStyle w:val="249"/>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14:paraId="7AD72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6C8EAA2">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14:paraId="4E14D0A8">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分包承担主体名称</w:t>
            </w:r>
          </w:p>
        </w:tc>
        <w:tc>
          <w:tcPr>
            <w:tcW w:w="2163" w:type="dxa"/>
            <w:tcBorders>
              <w:top w:val="single" w:color="000000" w:sz="4" w:space="0"/>
              <w:left w:val="single" w:color="000000" w:sz="4" w:space="0"/>
              <w:bottom w:val="single" w:color="000000" w:sz="4" w:space="0"/>
              <w:right w:val="single" w:color="000000" w:sz="4" w:space="0"/>
            </w:tcBorders>
            <w:vAlign w:val="center"/>
          </w:tcPr>
          <w:p w14:paraId="3B15BF59">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分包承担主体类型</w:t>
            </w:r>
          </w:p>
          <w:p w14:paraId="5E611B21">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14:paraId="44F0384F">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拟分包合同金额</w:t>
            </w:r>
          </w:p>
          <w:p w14:paraId="75243FDB">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14:paraId="3D40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CCB0F47">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14:paraId="05CD631F">
            <w:pPr>
              <w:pStyle w:val="248"/>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48B29875">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577469C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7C6B1930">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07C32C0E">
            <w:pPr>
              <w:pStyle w:val="248"/>
              <w:jc w:val="center"/>
              <w:rPr>
                <w:rFonts w:ascii="Times New Roman" w:hAnsi="Times New Roman" w:cs="Times New Roman" w:eastAsiaTheme="minorEastAsia"/>
                <w:sz w:val="30"/>
                <w:lang w:eastAsia="zh-CN"/>
              </w:rPr>
            </w:pPr>
          </w:p>
        </w:tc>
      </w:tr>
      <w:tr w14:paraId="4519B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CD5AB6C">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14:paraId="7A33C564">
            <w:pPr>
              <w:pStyle w:val="248"/>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0E62F51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5D9F56D">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3DBC5C8">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3A137004">
            <w:pPr>
              <w:pStyle w:val="248"/>
              <w:jc w:val="center"/>
              <w:rPr>
                <w:rFonts w:ascii="Times New Roman" w:hAnsi="Times New Roman" w:cs="Times New Roman" w:eastAsiaTheme="minorEastAsia"/>
                <w:sz w:val="30"/>
                <w:lang w:eastAsia="zh-CN"/>
              </w:rPr>
            </w:pPr>
          </w:p>
        </w:tc>
      </w:tr>
      <w:tr w14:paraId="34C8B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1A4A7E96">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14:paraId="484659E1">
            <w:pPr>
              <w:pStyle w:val="248"/>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3299BBF4">
            <w:pPr>
              <w:pStyle w:val="248"/>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14:paraId="504A9C5A">
            <w:pPr>
              <w:pStyle w:val="248"/>
              <w:jc w:val="center"/>
              <w:rPr>
                <w:rFonts w:ascii="Times New Roman" w:hAnsi="Times New Roman" w:cs="Times New Roman" w:eastAsiaTheme="minorEastAsia"/>
                <w:sz w:val="30"/>
              </w:rPr>
            </w:pPr>
          </w:p>
        </w:tc>
      </w:tr>
      <w:tr w14:paraId="24D46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14:paraId="2BD1639E">
            <w:pPr>
              <w:pStyle w:val="248"/>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14:paraId="3E5E5F5C">
            <w:pPr>
              <w:pStyle w:val="248"/>
              <w:jc w:val="center"/>
              <w:rPr>
                <w:rFonts w:ascii="Times New Roman" w:hAnsi="Times New Roman" w:cs="Times New Roman" w:eastAsiaTheme="minorEastAsia"/>
                <w:sz w:val="30"/>
              </w:rPr>
            </w:pPr>
          </w:p>
        </w:tc>
      </w:tr>
    </w:tbl>
    <w:p w14:paraId="45BF97F5">
      <w:pPr>
        <w:tabs>
          <w:tab w:val="left" w:pos="1800"/>
          <w:tab w:val="left" w:pos="5580"/>
        </w:tabs>
        <w:jc w:val="left"/>
        <w:rPr>
          <w:rFonts w:eastAsiaTheme="minorEastAsia"/>
          <w:color w:val="000000"/>
          <w:sz w:val="24"/>
        </w:rPr>
      </w:pPr>
    </w:p>
    <w:p w14:paraId="08003911">
      <w:pPr>
        <w:tabs>
          <w:tab w:val="left" w:pos="1800"/>
          <w:tab w:val="left" w:pos="5580"/>
        </w:tabs>
        <w:jc w:val="left"/>
        <w:rPr>
          <w:rFonts w:eastAsiaTheme="minorEastAsia"/>
          <w:color w:val="000000"/>
          <w:sz w:val="24"/>
        </w:rPr>
      </w:pPr>
      <w:r>
        <w:rPr>
          <w:rFonts w:eastAsiaTheme="minorEastAsia"/>
          <w:color w:val="000000"/>
          <w:sz w:val="24"/>
        </w:rPr>
        <w:t>15-2 联合体最终报价情况说明</w:t>
      </w:r>
    </w:p>
    <w:tbl>
      <w:tblPr>
        <w:tblStyle w:val="249"/>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14:paraId="2556E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18016416">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14:paraId="01A26617">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lang w:eastAsia="zh-CN"/>
              </w:rPr>
              <w:t>联合体成员</w:t>
            </w:r>
            <w:r>
              <w:rPr>
                <w:rFonts w:ascii="Times New Roman" w:hAnsi="Times New Roman" w:cs="Times New Roman" w:eastAsiaTheme="minorEastAsia"/>
                <w:sz w:val="24"/>
              </w:rPr>
              <w:t>名称</w:t>
            </w:r>
          </w:p>
        </w:tc>
        <w:tc>
          <w:tcPr>
            <w:tcW w:w="2163" w:type="dxa"/>
            <w:tcBorders>
              <w:top w:val="single" w:color="000000" w:sz="4" w:space="0"/>
              <w:left w:val="single" w:color="000000" w:sz="4" w:space="0"/>
              <w:bottom w:val="single" w:color="000000" w:sz="4" w:space="0"/>
              <w:right w:val="single" w:color="000000" w:sz="4" w:space="0"/>
            </w:tcBorders>
            <w:vAlign w:val="center"/>
          </w:tcPr>
          <w:p w14:paraId="70EE2CCC">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联合体成员类型</w:t>
            </w:r>
          </w:p>
          <w:p w14:paraId="55909B6C">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14:paraId="36FCDFA9">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22A1F823">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14:paraId="2BF1E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94ED12C">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14:paraId="7DFD63C7">
            <w:pPr>
              <w:pStyle w:val="248"/>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231E98E3">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73E0468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7D8E0B16">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57467C9E">
            <w:pPr>
              <w:pStyle w:val="248"/>
              <w:jc w:val="center"/>
              <w:rPr>
                <w:rFonts w:ascii="Times New Roman" w:hAnsi="Times New Roman" w:cs="Times New Roman" w:eastAsiaTheme="minorEastAsia"/>
                <w:sz w:val="30"/>
                <w:lang w:eastAsia="zh-CN"/>
              </w:rPr>
            </w:pPr>
          </w:p>
        </w:tc>
      </w:tr>
      <w:tr w14:paraId="1A59A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EA572C5">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14:paraId="55115844">
            <w:pPr>
              <w:pStyle w:val="248"/>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378E1012">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7A82F654">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D6E6327">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740313A0">
            <w:pPr>
              <w:pStyle w:val="248"/>
              <w:jc w:val="center"/>
              <w:rPr>
                <w:rFonts w:ascii="Times New Roman" w:hAnsi="Times New Roman" w:cs="Times New Roman" w:eastAsiaTheme="minorEastAsia"/>
                <w:sz w:val="30"/>
                <w:lang w:eastAsia="zh-CN"/>
              </w:rPr>
            </w:pPr>
          </w:p>
        </w:tc>
      </w:tr>
      <w:tr w14:paraId="44489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6CA2977">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14:paraId="17ECA56E">
            <w:pPr>
              <w:pStyle w:val="248"/>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28CBE7D8">
            <w:pPr>
              <w:pStyle w:val="248"/>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14:paraId="16371DEF">
            <w:pPr>
              <w:pStyle w:val="248"/>
              <w:jc w:val="center"/>
              <w:rPr>
                <w:rFonts w:ascii="Times New Roman" w:hAnsi="Times New Roman" w:cs="Times New Roman" w:eastAsiaTheme="minorEastAsia"/>
                <w:sz w:val="30"/>
              </w:rPr>
            </w:pPr>
          </w:p>
        </w:tc>
      </w:tr>
      <w:tr w14:paraId="588E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14:paraId="15DF94FA">
            <w:pPr>
              <w:pStyle w:val="248"/>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14:paraId="3A164600">
            <w:pPr>
              <w:pStyle w:val="248"/>
              <w:jc w:val="center"/>
              <w:rPr>
                <w:rFonts w:ascii="Times New Roman" w:hAnsi="Times New Roman" w:cs="Times New Roman" w:eastAsiaTheme="minorEastAsia"/>
                <w:sz w:val="30"/>
              </w:rPr>
            </w:pPr>
          </w:p>
        </w:tc>
      </w:tr>
    </w:tbl>
    <w:p w14:paraId="10037503">
      <w:pPr>
        <w:tabs>
          <w:tab w:val="left" w:pos="1800"/>
          <w:tab w:val="left" w:pos="5580"/>
        </w:tabs>
        <w:jc w:val="left"/>
        <w:rPr>
          <w:rFonts w:eastAsiaTheme="minorEastAsia"/>
          <w:color w:val="000000"/>
          <w:sz w:val="24"/>
        </w:rPr>
      </w:pPr>
    </w:p>
    <w:p w14:paraId="522E98AE">
      <w:pPr>
        <w:tabs>
          <w:tab w:val="left" w:pos="1800"/>
          <w:tab w:val="left" w:pos="5580"/>
        </w:tabs>
        <w:jc w:val="left"/>
        <w:rPr>
          <w:rFonts w:eastAsiaTheme="minorEastAsia"/>
          <w:color w:val="000000"/>
          <w:sz w:val="24"/>
        </w:rPr>
      </w:pPr>
    </w:p>
    <w:p w14:paraId="3321078E">
      <w:pPr>
        <w:tabs>
          <w:tab w:val="left" w:pos="1800"/>
          <w:tab w:val="left" w:pos="5580"/>
        </w:tabs>
        <w:jc w:val="left"/>
        <w:rPr>
          <w:sz w:val="24"/>
        </w:rPr>
      </w:pPr>
      <w:r>
        <w:rPr>
          <w:rFonts w:eastAsiaTheme="minorEastAsia"/>
          <w:color w:val="000000"/>
          <w:sz w:val="24"/>
        </w:rPr>
        <w:t xml:space="preserve">注： </w:t>
      </w:r>
    </w:p>
    <w:p w14:paraId="20E0DAF9">
      <w:pPr>
        <w:tabs>
          <w:tab w:val="left" w:pos="1800"/>
          <w:tab w:val="left" w:pos="5580"/>
        </w:tabs>
        <w:jc w:val="left"/>
        <w:rPr>
          <w:rFonts w:eastAsiaTheme="minorEastAsia"/>
          <w:color w:val="000000"/>
          <w:sz w:val="24"/>
        </w:rPr>
      </w:pPr>
      <w:r>
        <w:rPr>
          <w:sz w:val="24"/>
        </w:rPr>
        <w:t>1.</w:t>
      </w:r>
      <w:r>
        <w:rPr>
          <w:rFonts w:hint="eastAsia"/>
          <w:sz w:val="24"/>
        </w:rPr>
        <w:t xml:space="preserve"> </w:t>
      </w:r>
      <w:bookmarkStart w:id="787" w:name="_Hlk176775226"/>
      <w:r>
        <w:rPr>
          <w:rFonts w:hint="eastAsia"/>
          <w:sz w:val="24"/>
        </w:rPr>
        <w:t>如供应商为联合体或拟进行合同分包，则必须选择一种表格填报，否则</w:t>
      </w:r>
      <w:r>
        <w:rPr>
          <w:rFonts w:hint="eastAsia"/>
          <w:b/>
          <w:bCs/>
          <w:sz w:val="24"/>
        </w:rPr>
        <w:t>响应无效</w:t>
      </w:r>
      <w:bookmarkEnd w:id="787"/>
      <w:r>
        <w:rPr>
          <w:rFonts w:hint="eastAsia"/>
          <w:sz w:val="24"/>
        </w:rPr>
        <w:t>。</w:t>
      </w:r>
    </w:p>
    <w:p w14:paraId="37C6ACE8">
      <w:pPr>
        <w:tabs>
          <w:tab w:val="left" w:pos="1800"/>
          <w:tab w:val="left" w:pos="5580"/>
        </w:tabs>
        <w:ind w:firstLine="480" w:firstLineChars="200"/>
        <w:jc w:val="left"/>
        <w:rPr>
          <w:rFonts w:eastAsiaTheme="minorEastAsia"/>
          <w:color w:val="000000"/>
          <w:sz w:val="24"/>
        </w:rPr>
      </w:pPr>
      <w:r>
        <w:rPr>
          <w:rFonts w:eastAsiaTheme="minorEastAsia"/>
          <w:color w:val="000000"/>
          <w:sz w:val="24"/>
        </w:rPr>
        <w:t>2.本表应按包分别填写。</w:t>
      </w:r>
    </w:p>
    <w:p w14:paraId="1FD4B4A6">
      <w:pPr>
        <w:tabs>
          <w:tab w:val="left" w:pos="1800"/>
          <w:tab w:val="left" w:pos="5580"/>
        </w:tabs>
        <w:ind w:firstLine="480" w:firstLineChars="200"/>
        <w:jc w:val="left"/>
        <w:rPr>
          <w:sz w:val="24"/>
        </w:rPr>
      </w:pPr>
      <w:r>
        <w:rPr>
          <w:rFonts w:eastAsiaTheme="minorEastAsia"/>
          <w:color w:val="000000"/>
          <w:sz w:val="24"/>
        </w:rPr>
        <w:t>3</w:t>
      </w:r>
      <w:r>
        <w:rPr>
          <w:sz w:val="24"/>
        </w:rPr>
        <w:t>.此表无需在响应文件中提交，磋商后供应商按磋商小组要求提交。</w:t>
      </w:r>
    </w:p>
    <w:p w14:paraId="3DC8537D">
      <w:pPr>
        <w:tabs>
          <w:tab w:val="left" w:pos="1800"/>
          <w:tab w:val="left" w:pos="5580"/>
        </w:tabs>
        <w:jc w:val="left"/>
        <w:rPr>
          <w:rFonts w:eastAsiaTheme="minorEastAsia"/>
          <w:color w:val="000000"/>
          <w:sz w:val="24"/>
        </w:rPr>
      </w:pPr>
    </w:p>
    <w:p w14:paraId="34163176">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14:paraId="63810018">
      <w:pPr>
        <w:autoSpaceDE w:val="0"/>
        <w:autoSpaceDN w:val="0"/>
        <w:adjustRightInd w:val="0"/>
        <w:snapToGrid w:val="0"/>
        <w:spacing w:before="25" w:after="25" w:line="360" w:lineRule="auto"/>
        <w:rPr>
          <w:rFonts w:eastAsiaTheme="minorEastAsia"/>
          <w:color w:val="000000"/>
          <w:sz w:val="24"/>
        </w:rPr>
      </w:pPr>
      <w:r>
        <w:rPr>
          <w:rFonts w:eastAsiaTheme="minorEastAsia"/>
          <w:color w:val="000000"/>
          <w:sz w:val="24"/>
          <w:szCs w:val="20"/>
        </w:rPr>
        <w:t xml:space="preserve">日期：____年____月____日   </w:t>
      </w:r>
    </w:p>
    <w:p w14:paraId="245E1686">
      <w:pPr>
        <w:tabs>
          <w:tab w:val="left" w:pos="1800"/>
          <w:tab w:val="left" w:pos="5580"/>
        </w:tabs>
        <w:jc w:val="left"/>
        <w:rPr>
          <w:rFonts w:hint="eastAsia" w:eastAsiaTheme="minorEastAsia"/>
          <w:color w:val="000000"/>
          <w:sz w:val="24"/>
        </w:rPr>
      </w:pPr>
      <w:r>
        <w:rPr>
          <w:rFonts w:hint="eastAsia" w:eastAsiaTheme="minorEastAsia"/>
          <w:color w:val="000000"/>
          <w:sz w:val="24"/>
        </w:rPr>
        <w:fldChar w:fldCharType="begin"/>
      </w:r>
      <w:r>
        <w:rPr>
          <w:rFonts w:hint="eastAsia" w:eastAsiaTheme="minorEastAsia"/>
          <w:color w:val="000000"/>
          <w:sz w:val="24"/>
        </w:rPr>
        <w:instrText xml:space="preserve"> HYPERLINK "http://www.ccgp-beijing.gov.cn/xxgg/qjxxgg/qjzbgg/2026/6/7a745911fa7e45b4852cbb2ec780abb7.htm" </w:instrText>
      </w:r>
      <w:r>
        <w:rPr>
          <w:rFonts w:hint="eastAsia" w:eastAsiaTheme="minorEastAsia"/>
          <w:color w:val="000000"/>
          <w:sz w:val="24"/>
        </w:rPr>
        <w:fldChar w:fldCharType="separate"/>
      </w:r>
      <w:r>
        <w:rPr>
          <w:rStyle w:val="52"/>
          <w:rFonts w:hint="eastAsia" w:eastAsiaTheme="minorEastAsia"/>
          <w:sz w:val="24"/>
        </w:rPr>
        <w:t>http://www.ccgp-beijing.gov.cn/xxgg/qjxxgg/qjzbgg/2026/6/7a745911fa7e45b4852cbb2ec780abb7.htm</w:t>
      </w:r>
      <w:r>
        <w:rPr>
          <w:rFonts w:hint="eastAsia" w:eastAsiaTheme="minorEastAsia"/>
          <w:color w:val="000000"/>
          <w:sz w:val="24"/>
        </w:rPr>
        <w:fldChar w:fldCharType="end"/>
      </w:r>
    </w:p>
    <w:p w14:paraId="3E727470">
      <w:pPr>
        <w:tabs>
          <w:tab w:val="left" w:pos="1800"/>
          <w:tab w:val="left" w:pos="5580"/>
        </w:tabs>
        <w:jc w:val="left"/>
        <w:rPr>
          <w:rFonts w:hint="eastAsia" w:eastAsiaTheme="minorEastAsia"/>
          <w:color w:val="000000"/>
          <w:sz w:val="24"/>
        </w:rPr>
      </w:pPr>
      <w:r>
        <w:rPr>
          <w:rFonts w:hint="eastAsia" w:eastAsiaTheme="minorEastAsia"/>
          <w:color w:val="000000"/>
          <w:sz w:val="24"/>
        </w:rPr>
        <w:t xml:space="preserve">北京市丰台区南四环西路188号（总部基地）六区16号楼6层 </w:t>
      </w:r>
      <w:bookmarkStart w:id="788" w:name="_GoBack"/>
      <w:bookmarkEnd w:id="788"/>
    </w:p>
    <w:sectPr>
      <w:pgSz w:w="11907" w:h="16840"/>
      <w:pgMar w:top="1418" w:right="1134" w:bottom="1418" w:left="1701" w:header="851" w:footer="851" w:gutter="0"/>
      <w:cols w:space="720" w:num="1"/>
      <w:docGrid w:linePitch="46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 w:date="2026-06-17T12:18:00Z" w:initials="a">
    <w:p w14:paraId="2FD43E5E">
      <w:pPr>
        <w:pStyle w:val="15"/>
      </w:pPr>
      <w:r>
        <w:rPr>
          <w:rFonts w:hint="eastAsia"/>
        </w:rPr>
        <w:t>请确认</w:t>
      </w:r>
    </w:p>
  </w:comment>
  <w:comment w:id="1" w:author="admin" w:date="2026-06-17T12:21:00Z" w:initials="a">
    <w:p w14:paraId="1B779C04">
      <w:pPr>
        <w:pStyle w:val="15"/>
      </w:pPr>
      <w:r>
        <w:rPr>
          <w:rFonts w:hint="eastAsia"/>
        </w:rPr>
        <w:t>请确认或修改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FD43E5E" w15:done="0"/>
  <w15:commentEx w15:paraId="1B779C0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altName w:val="宋体"/>
    <w:panose1 w:val="02010600040101010101"/>
    <w:charset w:val="86"/>
    <w:family w:val="auto"/>
    <w:pitch w:val="default"/>
    <w:sig w:usb0="00000000" w:usb1="00000000" w:usb2="00000010" w:usb3="00000000" w:csb0="000400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0000009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DDJLFQ+·ÂËÎ">
    <w:altName w:val="微软雅黑"/>
    <w:panose1 w:val="00000000000000000000"/>
    <w:charset w:val="01"/>
    <w:family w:val="modern"/>
    <w:pitch w:val="default"/>
    <w:sig w:usb0="00000000" w:usb1="00000000" w:usb2="00000016" w:usb3="00000000" w:csb0="00040001" w:csb1="00000000"/>
  </w:font>
  <w:font w:name="RQODRS+·ÂËÎ">
    <w:altName w:val="微软雅黑"/>
    <w:panose1 w:val="00000000000000000000"/>
    <w:charset w:val="01"/>
    <w:family w:val="modern"/>
    <w:pitch w:val="default"/>
    <w:sig w:usb0="00000000" w:usb1="00000000" w:usb2="00000016" w:usb3="00000000" w:csb0="00040001" w:csb1="00000000"/>
  </w:font>
  <w:font w:name="MS Mincho">
    <w:altName w:val="Yu Gothic UI"/>
    <w:panose1 w:val="02020609040205080304"/>
    <w:charset w:val="80"/>
    <w:family w:val="modern"/>
    <w:pitch w:val="default"/>
    <w:sig w:usb0="00000000" w:usb1="00000000" w:usb2="08000012" w:usb3="00000000" w:csb0="0002009F" w:csb1="00000000"/>
  </w:font>
  <w:font w:name="方正小标宋_GBK">
    <w:altName w:val="宋体"/>
    <w:panose1 w:val="00000000000000000000"/>
    <w:charset w:val="86"/>
    <w:family w:val="script"/>
    <w:pitch w:val="default"/>
    <w:sig w:usb0="00000000" w:usb1="00000000" w:usb2="00082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0C029">
    <w:pPr>
      <w:pStyle w:val="2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B7EB3C3">
        <w:pPr>
          <w:pStyle w:val="28"/>
          <w:ind w:firstLine="360"/>
          <w:jc w:val="center"/>
        </w:pPr>
        <w:r>
          <w:fldChar w:fldCharType="begin"/>
        </w:r>
        <w:r>
          <w:instrText xml:space="preserve">PAGE   \* MERGEFORMAT</w:instrText>
        </w:r>
        <w:r>
          <w:fldChar w:fldCharType="separate"/>
        </w:r>
        <w:r>
          <w:rPr>
            <w:lang w:val="zh-CN"/>
          </w:rPr>
          <w:t>2</w:t>
        </w:r>
        <w:r>
          <w:fldChar w:fldCharType="end"/>
        </w:r>
      </w:p>
    </w:sdtContent>
  </w:sdt>
  <w:p w14:paraId="51A61E88">
    <w:pPr>
      <w:pStyle w:val="28"/>
      <w:ind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AA639">
    <w:pPr>
      <w:pStyle w:val="28"/>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3DC49">
    <w:pPr>
      <w:pStyle w:val="28"/>
      <w:ind w:firstLine="360"/>
    </w:pPr>
    <w:r>
      <w:fldChar w:fldCharType="begin"/>
    </w:r>
    <w:r>
      <w:instrText xml:space="preserve"> PAGE   \* MERGEFORMAT </w:instrText>
    </w:r>
    <w:r>
      <w:fldChar w:fldCharType="separate"/>
    </w:r>
    <w:r>
      <w:rPr>
        <w:lang w:val="zh-CN"/>
      </w:rPr>
      <w:t>76</w:t>
    </w:r>
    <w:r>
      <w:rPr>
        <w:lang w:val="zh-CN"/>
      </w:rPr>
      <w:fldChar w:fldCharType="end"/>
    </w:r>
  </w:p>
  <w:p w14:paraId="0DAB19AA">
    <w:pPr>
      <w:pStyle w:val="28"/>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1CD3F">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5E940B00">
    <w:pPr>
      <w:pStyle w:val="28"/>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E50C6">
    <w:pPr>
      <w:pStyle w:val="28"/>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10356">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7A45310B">
    <w:pPr>
      <w:pStyle w:val="28"/>
      <w:ind w:right="360"/>
    </w:pPr>
  </w:p>
  <w:p w14:paraId="7641E1DE"/>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86908">
    <w:pPr>
      <w:pStyle w:val="28"/>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96B29">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12B83C71">
    <w:pPr>
      <w:pStyle w:val="28"/>
      <w:ind w:right="360"/>
    </w:pPr>
  </w:p>
  <w:p w14:paraId="0038622F"/>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CAB16">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4FF5">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340AB">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7CE92">
    <w:pPr>
      <w:pStyle w:val="28"/>
      <w:jc w:val="center"/>
      <w:rPr>
        <w:rFonts w:asci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69F59">
    <w:pPr>
      <w:pStyle w:val="28"/>
      <w:framePr w:wrap="around" w:vAnchor="text" w:hAnchor="margin" w:xAlign="center" w:y="1"/>
      <w:rPr>
        <w:rStyle w:val="49"/>
      </w:rPr>
    </w:pPr>
    <w:r>
      <w:fldChar w:fldCharType="begin"/>
    </w:r>
    <w:r>
      <w:rPr>
        <w:rStyle w:val="49"/>
      </w:rPr>
      <w:instrText xml:space="preserve">PAGE  </w:instrText>
    </w:r>
    <w:r>
      <w:fldChar w:fldCharType="end"/>
    </w:r>
  </w:p>
  <w:p w14:paraId="67833AD7">
    <w:pPr>
      <w:pStyle w:val="28"/>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1050">
    <w:pPr>
      <w:pStyle w:val="28"/>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740931"/>
    </w:sdtPr>
    <w:sdtEndPr>
      <w:rPr>
        <w:rFonts w:ascii="Times New Roman"/>
      </w:rPr>
    </w:sdtEndPr>
    <w:sdtContent>
      <w:p w14:paraId="67D51D20">
        <w:pPr>
          <w:pStyle w:val="28"/>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26</w:t>
        </w:r>
        <w:r>
          <w:rPr>
            <w:rFonts w:ascii="Times New Roman"/>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8440998"/>
    </w:sdtPr>
    <w:sdtContent>
      <w:p w14:paraId="02E30DFD">
        <w:pPr>
          <w:pStyle w:val="28"/>
          <w:jc w:val="center"/>
        </w:pPr>
        <w:r>
          <w:fldChar w:fldCharType="begin"/>
        </w:r>
        <w:r>
          <w:instrText xml:space="preserve">PAGE   \* MERGEFORMAT</w:instrText>
        </w:r>
        <w:r>
          <w:fldChar w:fldCharType="separate"/>
        </w:r>
        <w:r>
          <w:rPr>
            <w:lang w:val="zh-CN"/>
          </w:rPr>
          <w:t>1</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0151560"/>
      <w:docPartObj>
        <w:docPartGallery w:val="AutoText"/>
      </w:docPartObj>
    </w:sdtPr>
    <w:sdtContent>
      <w:p w14:paraId="40B7DE81">
        <w:pPr>
          <w:pStyle w:val="28"/>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57F55635">
    <w:pPr>
      <w:pStyle w:val="2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E2B40">
    <w:pPr>
      <w:pStyle w:val="29"/>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3B8C3">
    <w:pPr>
      <w:pStyle w:val="2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11533">
    <w:pPr>
      <w:pStyle w:val="29"/>
    </w:pPr>
  </w:p>
  <w:p w14:paraId="2EFCA050"/>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5509A">
    <w:pPr>
      <w:pStyle w:val="2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9FCFF">
    <w:pPr>
      <w:pStyle w:val="29"/>
    </w:pPr>
  </w:p>
  <w:p w14:paraId="0E2EF10D"/>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C997F">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180FE">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39C5">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A0889">
    <w:pPr>
      <w:pStyle w:val="29"/>
      <w:jc w:val="right"/>
    </w:pPr>
    <w:r>
      <w:rPr>
        <w:rFonts w:hint="eastAsia"/>
      </w:rPr>
      <w:t xml:space="preserve">北京市政府采购项目竞争性磋商文件示范文本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85BD2">
    <w:pPr>
      <w:pStyle w:val="29"/>
      <w:pBdr>
        <w:bottom w:val="single" w:color="auto" w:sz="4" w:space="1"/>
      </w:pBdr>
      <w:jc w:val="right"/>
    </w:pPr>
    <w:r>
      <w:rPr>
        <w:rFonts w:hint="eastAsia"/>
      </w:rPr>
      <w:t>北京市政府采购项目竞争性磋商文件示范文本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98190">
    <w:pPr>
      <w:pStyle w:val="2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E8D97">
    <w:pPr>
      <w:pStyle w:val="2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42DE1">
    <w:pPr>
      <w:pStyle w:val="2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7D6A6">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4"/>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4"/>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9"/>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8"/>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7"/>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3"/>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1"/>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192"/>
      <w:lvlText w:val="%1"/>
      <w:lvlJc w:val="left"/>
      <w:pPr>
        <w:ind w:left="680" w:hanging="680"/>
      </w:pPr>
      <w:rPr>
        <w:rFonts w:hint="eastAsia" w:ascii="宋体" w:hAnsi="宋体" w:eastAsia="宋体"/>
      </w:rPr>
    </w:lvl>
    <w:lvl w:ilvl="1" w:tentative="0">
      <w:start w:val="1"/>
      <w:numFmt w:val="decimal"/>
      <w:pStyle w:val="193"/>
      <w:lvlText w:val="%1.%2"/>
      <w:lvlJc w:val="left"/>
      <w:pPr>
        <w:ind w:left="851" w:hanging="851"/>
      </w:pPr>
      <w:rPr>
        <w:rFonts w:hint="eastAsia" w:ascii="宋体" w:hAnsi="宋体" w:eastAsia="宋体"/>
        <w:color w:val="auto"/>
      </w:rPr>
    </w:lvl>
    <w:lvl w:ilvl="2" w:tentative="0">
      <w:start w:val="1"/>
      <w:numFmt w:val="decimal"/>
      <w:pStyle w:val="194"/>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2">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3">
    <w:nsid w:val="5ADE46B4"/>
    <w:multiLevelType w:val="singleLevel"/>
    <w:tmpl w:val="5ADE46B4"/>
    <w:lvl w:ilvl="0" w:tentative="0">
      <w:start w:val="4"/>
      <w:numFmt w:val="decimal"/>
      <w:suff w:val="nothing"/>
      <w:lvlText w:val="（%1）"/>
      <w:lvlJc w:val="left"/>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6"/>
  </w:num>
  <w:num w:numId="9">
    <w:abstractNumId w:val="0"/>
  </w:num>
  <w:num w:numId="10">
    <w:abstractNumId w:val="9"/>
  </w:num>
  <w:num w:numId="11">
    <w:abstractNumId w:val="10"/>
  </w:num>
  <w:num w:numId="12">
    <w:abstractNumId w:val="13"/>
  </w:num>
  <w:num w:numId="13">
    <w:abstractNumId w:val="11"/>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C4"/>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43"/>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1F1F"/>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E55"/>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24"/>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5E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837"/>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1E"/>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67"/>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418"/>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5BF"/>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6F3F"/>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1E3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8CB"/>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A14"/>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3E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DC6"/>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3C9"/>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C2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309"/>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17"/>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0EAF"/>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0FC"/>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1CAD"/>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2A2"/>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53C"/>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73E"/>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153"/>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3C4"/>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5E11870"/>
    <w:rsid w:val="08D46E2C"/>
    <w:rsid w:val="0B660C1A"/>
    <w:rsid w:val="12244F80"/>
    <w:rsid w:val="17F93E0B"/>
    <w:rsid w:val="1C455CA5"/>
    <w:rsid w:val="1D2C69D2"/>
    <w:rsid w:val="239E00B4"/>
    <w:rsid w:val="243674C1"/>
    <w:rsid w:val="251E74A4"/>
    <w:rsid w:val="27843CE5"/>
    <w:rsid w:val="27B611C3"/>
    <w:rsid w:val="2E8B0409"/>
    <w:rsid w:val="2EA003E4"/>
    <w:rsid w:val="32EB653A"/>
    <w:rsid w:val="344F6AC4"/>
    <w:rsid w:val="3BCB6780"/>
    <w:rsid w:val="3C5D68FB"/>
    <w:rsid w:val="3F9651BD"/>
    <w:rsid w:val="42CD0A98"/>
    <w:rsid w:val="42E34CED"/>
    <w:rsid w:val="431A0C09"/>
    <w:rsid w:val="480E2158"/>
    <w:rsid w:val="49F64737"/>
    <w:rsid w:val="4B65373A"/>
    <w:rsid w:val="4B7E5C88"/>
    <w:rsid w:val="4D00163A"/>
    <w:rsid w:val="4D01171A"/>
    <w:rsid w:val="4F0F5BE3"/>
    <w:rsid w:val="52422029"/>
    <w:rsid w:val="5353326F"/>
    <w:rsid w:val="55040901"/>
    <w:rsid w:val="56402A2A"/>
    <w:rsid w:val="56DF05DE"/>
    <w:rsid w:val="57FC6189"/>
    <w:rsid w:val="5F073306"/>
    <w:rsid w:val="5F5F73B9"/>
    <w:rsid w:val="6838144E"/>
    <w:rsid w:val="68AA7398"/>
    <w:rsid w:val="742C597A"/>
    <w:rsid w:val="74404DBF"/>
    <w:rsid w:val="7DB23E37"/>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0"/>
    <w:qFormat/>
    <w:uiPriority w:val="0"/>
    <w:pPr>
      <w:keepNext/>
      <w:keepLines/>
      <w:autoSpaceDE w:val="0"/>
      <w:autoSpaceDN w:val="0"/>
      <w:adjustRightInd w:val="0"/>
      <w:spacing w:line="300" w:lineRule="auto"/>
      <w:jc w:val="center"/>
      <w:outlineLvl w:val="0"/>
    </w:pPr>
    <w:rPr>
      <w:rFonts w:ascii="宋体" w:hAnsi="宋体"/>
      <w:b/>
      <w:kern w:val="44"/>
      <w:sz w:val="32"/>
      <w:szCs w:val="20"/>
    </w:rPr>
  </w:style>
  <w:style w:type="paragraph" w:styleId="3">
    <w:name w:val="heading 2"/>
    <w:basedOn w:val="1"/>
    <w:next w:val="4"/>
    <w:link w:val="5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6"/>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32"/>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3"/>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4"/>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5"/>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6"/>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uiPriority w:val="1"/>
  </w:style>
  <w:style w:type="table" w:default="1" w:styleId="44">
    <w:name w:val="Normal Table"/>
    <w:semiHidden/>
    <w:unhideWhenUsed/>
    <w:uiPriority w:val="99"/>
    <w:tblPr>
      <w:tblCellMar>
        <w:top w:w="0" w:type="dxa"/>
        <w:left w:w="108" w:type="dxa"/>
        <w:bottom w:w="0" w:type="dxa"/>
        <w:right w:w="108" w:type="dxa"/>
      </w:tblCellMar>
    </w:tblPr>
  </w:style>
  <w:style w:type="paragraph" w:styleId="4">
    <w:name w:val="Normal Indent"/>
    <w:basedOn w:val="1"/>
    <w:link w:val="63"/>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7"/>
    <w:qFormat/>
    <w:uiPriority w:val="0"/>
    <w:pPr>
      <w:shd w:val="clear" w:color="auto" w:fill="000080"/>
    </w:pPr>
  </w:style>
  <w:style w:type="paragraph" w:styleId="15">
    <w:name w:val="annotation text"/>
    <w:basedOn w:val="1"/>
    <w:link w:val="183"/>
    <w:qFormat/>
    <w:uiPriority w:val="99"/>
    <w:pPr>
      <w:jc w:val="left"/>
    </w:pPr>
  </w:style>
  <w:style w:type="paragraph" w:styleId="16">
    <w:name w:val="Body Text 3"/>
    <w:basedOn w:val="1"/>
    <w:link w:val="238"/>
    <w:qFormat/>
    <w:uiPriority w:val="0"/>
    <w:pPr>
      <w:spacing w:after="120"/>
    </w:pPr>
    <w:rPr>
      <w:sz w:val="16"/>
      <w:szCs w:val="16"/>
    </w:rPr>
  </w:style>
  <w:style w:type="paragraph" w:styleId="17">
    <w:name w:val="Body Text"/>
    <w:basedOn w:val="1"/>
    <w:link w:val="239"/>
    <w:qFormat/>
    <w:uiPriority w:val="0"/>
    <w:pPr>
      <w:tabs>
        <w:tab w:val="left" w:pos="567"/>
      </w:tabs>
      <w:spacing w:before="120" w:line="22" w:lineRule="atLeast"/>
    </w:pPr>
    <w:rPr>
      <w:rFonts w:ascii="宋体" w:hAnsi="宋体"/>
      <w:sz w:val="24"/>
    </w:rPr>
  </w:style>
  <w:style w:type="paragraph" w:styleId="18">
    <w:name w:val="Body Text Indent"/>
    <w:basedOn w:val="1"/>
    <w:link w:val="68"/>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3"/>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40"/>
    <w:qFormat/>
    <w:uiPriority w:val="0"/>
    <w:pPr>
      <w:ind w:left="100" w:leftChars="2500"/>
    </w:pPr>
    <w:rPr>
      <w:rFonts w:ascii="仿宋_GB2312" w:hAnsi="宋体" w:eastAsia="仿宋_GB2312"/>
      <w:color w:val="000000"/>
      <w:sz w:val="24"/>
    </w:rPr>
  </w:style>
  <w:style w:type="paragraph" w:styleId="26">
    <w:name w:val="Body Text Indent 2"/>
    <w:basedOn w:val="1"/>
    <w:link w:val="241"/>
    <w:qFormat/>
    <w:uiPriority w:val="0"/>
    <w:pPr>
      <w:ind w:firstLine="480" w:firstLineChars="200"/>
    </w:pPr>
    <w:rPr>
      <w:rFonts w:ascii="仿宋_GB2312" w:eastAsia="仿宋_GB2312"/>
      <w:sz w:val="24"/>
    </w:rPr>
  </w:style>
  <w:style w:type="paragraph" w:styleId="27">
    <w:name w:val="Balloon Text"/>
    <w:basedOn w:val="1"/>
    <w:link w:val="242"/>
    <w:qFormat/>
    <w:uiPriority w:val="0"/>
    <w:rPr>
      <w:sz w:val="18"/>
      <w:szCs w:val="18"/>
    </w:rPr>
  </w:style>
  <w:style w:type="paragraph" w:styleId="28">
    <w:name w:val="footer"/>
    <w:basedOn w:val="1"/>
    <w:link w:val="17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7"/>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Subtitle"/>
    <w:basedOn w:val="1"/>
    <w:next w:val="1"/>
    <w:qFormat/>
    <w:uiPriority w:val="11"/>
    <w:pPr>
      <w:spacing w:before="240" w:after="60"/>
      <w:jc w:val="center"/>
      <w:outlineLvl w:val="1"/>
    </w:pPr>
    <w:rPr>
      <w:b/>
      <w:bCs/>
      <w:kern w:val="28"/>
      <w:sz w:val="32"/>
      <w:szCs w:val="32"/>
    </w:rPr>
  </w:style>
  <w:style w:type="paragraph" w:styleId="33">
    <w:name w:val="toc 6"/>
    <w:basedOn w:val="1"/>
    <w:next w:val="1"/>
    <w:qFormat/>
    <w:uiPriority w:val="0"/>
    <w:pPr>
      <w:ind w:left="2100" w:leftChars="1000"/>
    </w:pPr>
  </w:style>
  <w:style w:type="paragraph" w:styleId="34">
    <w:name w:val="Body Text Indent 3"/>
    <w:basedOn w:val="1"/>
    <w:link w:val="24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24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89"/>
    <w:qFormat/>
    <w:uiPriority w:val="0"/>
    <w:pPr>
      <w:jc w:val="center"/>
      <w:outlineLvl w:val="0"/>
    </w:pPr>
    <w:rPr>
      <w:b/>
      <w:sz w:val="32"/>
      <w:szCs w:val="20"/>
    </w:rPr>
  </w:style>
  <w:style w:type="paragraph" w:styleId="41">
    <w:name w:val="annotation subject"/>
    <w:basedOn w:val="15"/>
    <w:next w:val="15"/>
    <w:link w:val="245"/>
    <w:qFormat/>
    <w:uiPriority w:val="0"/>
    <w:rPr>
      <w:b/>
      <w:bCs/>
    </w:rPr>
  </w:style>
  <w:style w:type="paragraph" w:styleId="42">
    <w:name w:val="Body Text First Indent"/>
    <w:basedOn w:val="1"/>
    <w:qFormat/>
    <w:uiPriority w:val="0"/>
    <w:pPr>
      <w:ind w:firstLine="100" w:firstLineChars="100"/>
    </w:pPr>
  </w:style>
  <w:style w:type="paragraph" w:styleId="43">
    <w:name w:val="Body Text First Indent 2"/>
    <w:basedOn w:val="18"/>
    <w:link w:val="246"/>
    <w:qFormat/>
    <w:uiPriority w:val="0"/>
    <w:pPr>
      <w:spacing w:after="120" w:line="480" w:lineRule="exact"/>
      <w:ind w:left="420" w:leftChars="200" w:firstLine="420" w:firstLineChars="200"/>
    </w:pPr>
    <w:rPr>
      <w:szCs w:val="20"/>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character" w:customStyle="1" w:styleId="55">
    <w:name w:val="标题 2 字符"/>
    <w:link w:val="3"/>
    <w:qFormat/>
    <w:uiPriority w:val="0"/>
    <w:rPr>
      <w:rFonts w:ascii="Arial" w:hAnsi="Arial" w:eastAsia="黑体"/>
      <w:b/>
      <w:sz w:val="30"/>
      <w:lang w:val="en-US" w:eastAsia="zh-CN" w:bidi="ar-SA"/>
    </w:rPr>
  </w:style>
  <w:style w:type="character" w:customStyle="1" w:styleId="56">
    <w:name w:val="标题 3 字符"/>
    <w:link w:val="5"/>
    <w:qFormat/>
    <w:uiPriority w:val="0"/>
    <w:rPr>
      <w:rFonts w:ascii="宋体" w:eastAsia="宋体"/>
      <w:b/>
      <w:sz w:val="24"/>
      <w:u w:val="single"/>
      <w:lang w:val="en-US" w:eastAsia="zh-CN" w:bidi="ar-SA"/>
    </w:rPr>
  </w:style>
  <w:style w:type="character" w:customStyle="1" w:styleId="57">
    <w:name w:val="c21"/>
    <w:qFormat/>
    <w:uiPriority w:val="0"/>
    <w:rPr>
      <w:rFonts w:hint="default" w:ascii="ˎ̥" w:hAnsi="ˎ̥"/>
      <w:color w:val="000000"/>
      <w:sz w:val="20"/>
      <w:szCs w:val="20"/>
      <w:u w:val="none"/>
    </w:rPr>
  </w:style>
  <w:style w:type="character" w:customStyle="1" w:styleId="58">
    <w:name w:val="title4"/>
    <w:qFormat/>
    <w:uiPriority w:val="0"/>
    <w:rPr>
      <w:b/>
      <w:bCs/>
      <w:color w:val="1D87B3"/>
      <w:sz w:val="15"/>
      <w:szCs w:val="15"/>
    </w:rPr>
  </w:style>
  <w:style w:type="character" w:customStyle="1" w:styleId="59">
    <w:name w:val="标题 2 Char Char"/>
    <w:qFormat/>
    <w:uiPriority w:val="0"/>
    <w:rPr>
      <w:rFonts w:ascii="Arial" w:hAnsi="Arial" w:eastAsia="黑体"/>
      <w:b/>
      <w:bCs/>
      <w:kern w:val="2"/>
      <w:sz w:val="32"/>
      <w:szCs w:val="32"/>
      <w:lang w:val="en-US" w:eastAsia="zh-CN" w:bidi="ar-SA"/>
    </w:rPr>
  </w:style>
  <w:style w:type="character" w:customStyle="1" w:styleId="60">
    <w:name w:val="black1"/>
    <w:qFormat/>
    <w:uiPriority w:val="0"/>
    <w:rPr>
      <w:color w:val="000000"/>
    </w:rPr>
  </w:style>
  <w:style w:type="character" w:customStyle="1" w:styleId="61">
    <w:name w:val="street-address"/>
    <w:basedOn w:val="47"/>
    <w:qFormat/>
    <w:uiPriority w:val="0"/>
  </w:style>
  <w:style w:type="character" w:customStyle="1" w:styleId="62">
    <w:name w:val="locality"/>
    <w:basedOn w:val="47"/>
    <w:qFormat/>
    <w:uiPriority w:val="0"/>
  </w:style>
  <w:style w:type="character" w:customStyle="1" w:styleId="63">
    <w:name w:val="正文缩进 字符"/>
    <w:link w:val="4"/>
    <w:qFormat/>
    <w:uiPriority w:val="0"/>
    <w:rPr>
      <w:rFonts w:ascii="宋体" w:eastAsia="宋体"/>
      <w:kern w:val="2"/>
      <w:sz w:val="24"/>
      <w:szCs w:val="24"/>
      <w:lang w:val="en-US" w:eastAsia="zh-CN" w:bidi="ar-SA"/>
    </w:rPr>
  </w:style>
  <w:style w:type="character" w:customStyle="1" w:styleId="64">
    <w:name w:val="正文文本缩进 Char1"/>
    <w:link w:val="65"/>
    <w:qFormat/>
    <w:uiPriority w:val="0"/>
    <w:rPr>
      <w:rFonts w:ascii="宋体" w:hAnsi="宋体" w:eastAsia="宋体"/>
      <w:sz w:val="24"/>
      <w:szCs w:val="24"/>
      <w:lang w:bidi="ar-SA"/>
    </w:rPr>
  </w:style>
  <w:style w:type="paragraph" w:customStyle="1" w:styleId="65">
    <w:name w:val="正文文本缩进1"/>
    <w:basedOn w:val="1"/>
    <w:link w:val="64"/>
    <w:qFormat/>
    <w:uiPriority w:val="0"/>
    <w:pPr>
      <w:spacing w:line="480" w:lineRule="exact"/>
      <w:ind w:firstLine="480" w:firstLineChars="200"/>
    </w:pPr>
    <w:rPr>
      <w:rFonts w:ascii="宋体" w:hAnsi="宋体"/>
      <w:kern w:val="0"/>
      <w:sz w:val="24"/>
    </w:rPr>
  </w:style>
  <w:style w:type="character" w:customStyle="1" w:styleId="66">
    <w:name w:val="Char Char11"/>
    <w:qFormat/>
    <w:uiPriority w:val="0"/>
    <w:rPr>
      <w:rFonts w:ascii="宋体" w:eastAsia="宋体"/>
      <w:b/>
      <w:sz w:val="24"/>
      <w:u w:val="single"/>
      <w:lang w:val="en-US" w:eastAsia="zh-CN" w:bidi="ar-SA"/>
    </w:rPr>
  </w:style>
  <w:style w:type="character" w:customStyle="1" w:styleId="67">
    <w:name w:val="txt"/>
    <w:basedOn w:val="47"/>
    <w:qFormat/>
    <w:uiPriority w:val="0"/>
  </w:style>
  <w:style w:type="character" w:customStyle="1" w:styleId="68">
    <w:name w:val="正文文本缩进 字符"/>
    <w:link w:val="18"/>
    <w:qFormat/>
    <w:uiPriority w:val="0"/>
    <w:rPr>
      <w:rFonts w:eastAsia="宋体"/>
      <w:kern w:val="2"/>
      <w:sz w:val="24"/>
      <w:szCs w:val="24"/>
      <w:lang w:val="en-US" w:eastAsia="zh-CN" w:bidi="ar-SA"/>
    </w:rPr>
  </w:style>
  <w:style w:type="character" w:customStyle="1" w:styleId="69">
    <w:name w:val="正文缩进 Char Char"/>
    <w:link w:val="70"/>
    <w:qFormat/>
    <w:uiPriority w:val="0"/>
    <w:rPr>
      <w:rFonts w:ascii="宋体" w:eastAsia="宋体"/>
      <w:snapToGrid w:val="0"/>
      <w:color w:val="000000"/>
      <w:kern w:val="28"/>
      <w:sz w:val="28"/>
      <w:lang w:bidi="ar-SA"/>
    </w:rPr>
  </w:style>
  <w:style w:type="paragraph" w:customStyle="1" w:styleId="70">
    <w:name w:val="正文缩进1"/>
    <w:basedOn w:val="1"/>
    <w:link w:val="6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1">
    <w:name w:val="普通文字1 Char1"/>
    <w:qFormat/>
    <w:uiPriority w:val="0"/>
    <w:rPr>
      <w:rFonts w:ascii="宋体" w:hAnsi="Courier New" w:eastAsia="宋体"/>
      <w:kern w:val="2"/>
      <w:sz w:val="21"/>
      <w:lang w:val="en-US" w:eastAsia="zh-CN" w:bidi="ar-SA"/>
    </w:rPr>
  </w:style>
  <w:style w:type="character" w:customStyle="1" w:styleId="72">
    <w:name w:val="chanpin1"/>
    <w:qFormat/>
    <w:uiPriority w:val="0"/>
    <w:rPr>
      <w:rFonts w:hint="default" w:ascii="ˎ̥" w:hAnsi="ˎ̥"/>
      <w:color w:val="000000"/>
      <w:sz w:val="20"/>
      <w:szCs w:val="20"/>
      <w:u w:val="none"/>
    </w:rPr>
  </w:style>
  <w:style w:type="character" w:customStyle="1" w:styleId="73">
    <w:name w:val="列表段落 字符"/>
    <w:link w:val="74"/>
    <w:qFormat/>
    <w:uiPriority w:val="34"/>
    <w:rPr>
      <w:rFonts w:ascii="Calibri" w:hAnsi="Calibri" w:eastAsia="宋体"/>
      <w:kern w:val="2"/>
      <w:sz w:val="21"/>
      <w:szCs w:val="22"/>
      <w:lang w:val="en-US" w:eastAsia="zh-CN" w:bidi="ar-SA"/>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标题 3 Char Char"/>
    <w:qFormat/>
    <w:uiPriority w:val="0"/>
    <w:rPr>
      <w:rFonts w:eastAsia="宋体"/>
      <w:b/>
      <w:bCs/>
      <w:kern w:val="2"/>
      <w:sz w:val="32"/>
      <w:szCs w:val="32"/>
      <w:lang w:val="en-US" w:eastAsia="zh-CN" w:bidi="ar-SA"/>
    </w:rPr>
  </w:style>
  <w:style w:type="character" w:customStyle="1" w:styleId="76">
    <w:name w:val="段1 Char"/>
    <w:qFormat/>
    <w:uiPriority w:val="0"/>
    <w:rPr>
      <w:rFonts w:ascii="宋体" w:eastAsia="宋体"/>
      <w:sz w:val="24"/>
      <w:lang w:val="en-US" w:eastAsia="zh-CN" w:bidi="ar-SA"/>
    </w:rPr>
  </w:style>
  <w:style w:type="character" w:customStyle="1" w:styleId="77">
    <w:name w:val="页眉 字符"/>
    <w:link w:val="29"/>
    <w:qFormat/>
    <w:uiPriority w:val="99"/>
    <w:rPr>
      <w:rFonts w:eastAsia="宋体"/>
      <w:kern w:val="2"/>
      <w:sz w:val="18"/>
      <w:szCs w:val="18"/>
      <w:lang w:val="en-US" w:eastAsia="zh-CN" w:bidi="ar-SA"/>
    </w:rPr>
  </w:style>
  <w:style w:type="character" w:customStyle="1" w:styleId="78">
    <w:name w:val="chanpin拷贝"/>
    <w:basedOn w:val="47"/>
    <w:qFormat/>
    <w:uiPriority w:val="0"/>
  </w:style>
  <w:style w:type="character" w:customStyle="1" w:styleId="79">
    <w:name w:val="纯文本 Char1"/>
    <w:qFormat/>
    <w:uiPriority w:val="0"/>
    <w:rPr>
      <w:rFonts w:ascii="宋体" w:hAnsi="Courier New" w:eastAsia="宋体"/>
      <w:kern w:val="2"/>
      <w:sz w:val="21"/>
      <w:lang w:val="en-US" w:eastAsia="zh-CN" w:bidi="ar-SA"/>
    </w:rPr>
  </w:style>
  <w:style w:type="character" w:customStyle="1" w:styleId="80">
    <w:name w:val="apple-style-span"/>
    <w:qFormat/>
    <w:uiPriority w:val="0"/>
    <w:rPr>
      <w:rFonts w:cs="Times New Roman"/>
    </w:rPr>
  </w:style>
  <w:style w:type="paragraph" w:customStyle="1" w:styleId="81">
    <w:name w:val="二级条标题"/>
    <w:basedOn w:val="82"/>
    <w:next w:val="1"/>
    <w:qFormat/>
    <w:uiPriority w:val="0"/>
    <w:pPr>
      <w:numPr>
        <w:numId w:val="0"/>
      </w:numPr>
      <w:tabs>
        <w:tab w:val="left" w:pos="360"/>
        <w:tab w:val="left" w:pos="840"/>
      </w:tabs>
      <w:ind w:hanging="840"/>
      <w:outlineLvl w:val="2"/>
    </w:pPr>
    <w:rPr>
      <w:rFonts w:ascii="宋体" w:eastAsia="宋体"/>
      <w:b w:val="0"/>
    </w:rPr>
  </w:style>
  <w:style w:type="paragraph" w:customStyle="1" w:styleId="82">
    <w:name w:val="一级条标题"/>
    <w:basedOn w:val="83"/>
    <w:next w:val="1"/>
    <w:qFormat/>
    <w:uiPriority w:val="0"/>
    <w:pPr>
      <w:numPr>
        <w:ilvl w:val="1"/>
      </w:numPr>
      <w:tabs>
        <w:tab w:val="left" w:pos="360"/>
        <w:tab w:val="left" w:pos="840"/>
      </w:tabs>
      <w:ind w:left="0" w:hanging="840"/>
      <w:outlineLvl w:val="1"/>
    </w:p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5">
    <w:name w:val="字元 字元"/>
    <w:basedOn w:val="1"/>
    <w:qFormat/>
    <w:uiPriority w:val="0"/>
    <w:rPr>
      <w:rFonts w:ascii="Tahoma" w:hAnsi="Tahoma"/>
      <w:sz w:val="24"/>
      <w:szCs w:val="20"/>
    </w:rPr>
  </w:style>
  <w:style w:type="paragraph" w:customStyle="1" w:styleId="86">
    <w:name w:val="Char3 Char Char Char"/>
    <w:basedOn w:val="1"/>
    <w:qFormat/>
    <w:uiPriority w:val="0"/>
    <w:rPr>
      <w:rFonts w:ascii="Tahoma" w:hAnsi="Tahoma"/>
      <w:sz w:val="24"/>
      <w:szCs w:val="20"/>
    </w:rPr>
  </w:style>
  <w:style w:type="paragraph" w:customStyle="1" w:styleId="87">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8">
    <w:name w:val="项目编号2"/>
    <w:basedOn w:val="89"/>
    <w:qFormat/>
    <w:uiPriority w:val="0"/>
    <w:pPr>
      <w:numPr>
        <w:numId w:val="2"/>
      </w:numPr>
    </w:pPr>
  </w:style>
  <w:style w:type="paragraph" w:customStyle="1" w:styleId="8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0">
    <w:name w:val="图中文字"/>
    <w:basedOn w:val="1"/>
    <w:qFormat/>
    <w:uiPriority w:val="0"/>
    <w:pPr>
      <w:adjustRightInd w:val="0"/>
      <w:snapToGrid w:val="0"/>
      <w:spacing w:line="0" w:lineRule="atLeast"/>
      <w:jc w:val="center"/>
    </w:pPr>
    <w:rPr>
      <w:sz w:val="24"/>
      <w:szCs w:val="20"/>
    </w:rPr>
  </w:style>
  <w:style w:type="paragraph" w:customStyle="1" w:styleId="91">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3">
    <w:name w:val="Char2"/>
    <w:basedOn w:val="1"/>
    <w:qFormat/>
    <w:uiPriority w:val="0"/>
    <w:rPr>
      <w:rFonts w:ascii="Tahoma" w:hAnsi="Tahoma"/>
      <w:sz w:val="24"/>
      <w:szCs w:val="20"/>
    </w:rPr>
  </w:style>
  <w:style w:type="paragraph" w:customStyle="1" w:styleId="94">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7">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1">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2">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3">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5">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7">
    <w:name w:val="font8"/>
    <w:basedOn w:val="1"/>
    <w:qFormat/>
    <w:uiPriority w:val="0"/>
    <w:pPr>
      <w:widowControl/>
      <w:spacing w:before="100" w:beforeAutospacing="1" w:after="100" w:afterAutospacing="1"/>
      <w:jc w:val="left"/>
    </w:pPr>
    <w:rPr>
      <w:kern w:val="0"/>
      <w:sz w:val="36"/>
      <w:szCs w:val="36"/>
    </w:rPr>
  </w:style>
  <w:style w:type="paragraph" w:customStyle="1" w:styleId="108">
    <w:name w:val="Char"/>
    <w:basedOn w:val="1"/>
    <w:qFormat/>
    <w:uiPriority w:val="0"/>
    <w:pPr>
      <w:tabs>
        <w:tab w:val="left" w:pos="360"/>
      </w:tabs>
    </w:pPr>
    <w:rPr>
      <w:sz w:val="24"/>
    </w:rPr>
  </w:style>
  <w:style w:type="paragraph" w:customStyle="1" w:styleId="109">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0">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2">
    <w:name w:val="Char Char1"/>
    <w:basedOn w:val="14"/>
    <w:qFormat/>
    <w:uiPriority w:val="0"/>
    <w:rPr>
      <w:rFonts w:ascii="Tahoma" w:hAnsi="Tahoma"/>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6">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7">
    <w:name w:val="Char1 Char Char Char1"/>
    <w:basedOn w:val="1"/>
    <w:qFormat/>
    <w:uiPriority w:val="0"/>
    <w:rPr>
      <w:rFonts w:ascii="Tahoma" w:hAnsi="Tahoma" w:cs="仿宋_GB2312"/>
      <w:sz w:val="24"/>
      <w:szCs w:val="28"/>
    </w:rPr>
  </w:style>
  <w:style w:type="paragraph" w:customStyle="1" w:styleId="118">
    <w:name w:val="四级条标题"/>
    <w:basedOn w:val="119"/>
    <w:next w:val="1"/>
    <w:qFormat/>
    <w:uiPriority w:val="0"/>
    <w:pPr>
      <w:numPr>
        <w:ilvl w:val="4"/>
      </w:numPr>
      <w:tabs>
        <w:tab w:val="left" w:pos="360"/>
        <w:tab w:val="left" w:pos="840"/>
      </w:tabs>
      <w:ind w:left="0" w:hanging="840"/>
      <w:outlineLvl w:val="4"/>
    </w:pPr>
  </w:style>
  <w:style w:type="paragraph" w:customStyle="1" w:styleId="119">
    <w:name w:val="三级条标题"/>
    <w:basedOn w:val="81"/>
    <w:next w:val="1"/>
    <w:qFormat/>
    <w:uiPriority w:val="0"/>
    <w:pPr>
      <w:numPr>
        <w:ilvl w:val="3"/>
        <w:numId w:val="1"/>
      </w:numPr>
      <w:ind w:left="0" w:hanging="840"/>
      <w:outlineLvl w:val="3"/>
    </w:pPr>
  </w:style>
  <w:style w:type="paragraph" w:customStyle="1" w:styleId="120">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1">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2">
    <w:name w:val="List Paragraph1"/>
    <w:basedOn w:val="1"/>
    <w:qFormat/>
    <w:uiPriority w:val="0"/>
    <w:pPr>
      <w:ind w:firstLine="420" w:firstLineChars="200"/>
    </w:pPr>
    <w:rPr>
      <w:rFonts w:ascii="Calibri" w:hAnsi="Calibri"/>
      <w:szCs w:val="22"/>
    </w:rPr>
  </w:style>
  <w:style w:type="paragraph" w:customStyle="1" w:styleId="123">
    <w:name w:val="项目符号1"/>
    <w:basedOn w:val="124"/>
    <w:qFormat/>
    <w:uiPriority w:val="0"/>
    <w:pPr>
      <w:ind w:left="-25" w:firstLine="0"/>
    </w:pPr>
  </w:style>
  <w:style w:type="paragraph" w:customStyle="1" w:styleId="124">
    <w:name w:val="正文文本样式"/>
    <w:basedOn w:val="1"/>
    <w:qFormat/>
    <w:uiPriority w:val="0"/>
    <w:pPr>
      <w:spacing w:line="360" w:lineRule="auto"/>
      <w:ind w:firstLine="482"/>
    </w:pPr>
    <w:rPr>
      <w:rFonts w:cs="宋体"/>
      <w:sz w:val="24"/>
      <w:szCs w:val="20"/>
    </w:rPr>
  </w:style>
  <w:style w:type="paragraph" w:customStyle="1" w:styleId="12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7">
    <w:name w:val="五级条标题"/>
    <w:basedOn w:val="118"/>
    <w:next w:val="1"/>
    <w:qFormat/>
    <w:uiPriority w:val="0"/>
    <w:pPr>
      <w:numPr>
        <w:ilvl w:val="5"/>
      </w:numPr>
      <w:ind w:left="0" w:hanging="840"/>
      <w:outlineLvl w:val="5"/>
    </w:pPr>
  </w:style>
  <w:style w:type="paragraph" w:customStyle="1" w:styleId="12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9">
    <w:name w:val="文档正文"/>
    <w:basedOn w:val="1"/>
    <w:qFormat/>
    <w:uiPriority w:val="0"/>
    <w:pPr>
      <w:snapToGrid w:val="0"/>
      <w:spacing w:before="120" w:after="120" w:line="180" w:lineRule="auto"/>
    </w:pPr>
    <w:rPr>
      <w:rFonts w:ascii="Arial" w:hAnsi="Arial"/>
      <w:szCs w:val="20"/>
    </w:rPr>
  </w:style>
  <w:style w:type="paragraph" w:customStyle="1" w:styleId="13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2">
    <w:name w:val="Char Char Char1 Char"/>
    <w:basedOn w:val="1"/>
    <w:qFormat/>
    <w:uiPriority w:val="0"/>
    <w:rPr>
      <w:rFonts w:ascii="Tahoma" w:hAnsi="Tahoma"/>
      <w:sz w:val="24"/>
      <w:szCs w:val="20"/>
    </w:rPr>
  </w:style>
  <w:style w:type="paragraph" w:customStyle="1" w:styleId="13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4">
    <w:name w:val="1名"/>
    <w:basedOn w:val="1"/>
    <w:qFormat/>
    <w:uiPriority w:val="0"/>
    <w:pPr>
      <w:numPr>
        <w:ilvl w:val="0"/>
        <w:numId w:val="5"/>
      </w:numPr>
      <w:spacing w:before="120"/>
    </w:pPr>
    <w:rPr>
      <w:rFonts w:ascii="宋体"/>
      <w:sz w:val="28"/>
      <w:szCs w:val="20"/>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6">
    <w:name w:val="Char Char Char1 Char1"/>
    <w:basedOn w:val="1"/>
    <w:qFormat/>
    <w:uiPriority w:val="0"/>
    <w:rPr>
      <w:rFonts w:ascii="Tahoma" w:hAnsi="Tahoma"/>
      <w:sz w:val="24"/>
      <w:szCs w:val="20"/>
    </w:rPr>
  </w:style>
  <w:style w:type="paragraph" w:customStyle="1" w:styleId="137">
    <w:name w:val="Char Char Char Char Char Char Char Char Char Char"/>
    <w:basedOn w:val="1"/>
    <w:qFormat/>
    <w:uiPriority w:val="0"/>
  </w:style>
  <w:style w:type="paragraph" w:customStyle="1" w:styleId="138">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9">
    <w:name w:val="Char1"/>
    <w:basedOn w:val="1"/>
    <w:qFormat/>
    <w:uiPriority w:val="0"/>
    <w:pPr>
      <w:tabs>
        <w:tab w:val="left" w:pos="360"/>
      </w:tabs>
    </w:pPr>
    <w:rPr>
      <w:sz w:val="24"/>
    </w:rPr>
  </w:style>
  <w:style w:type="paragraph" w:customStyle="1" w:styleId="140">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2">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3">
    <w:name w:val="默认段落字体 Para Char Char Char Char"/>
    <w:basedOn w:val="1"/>
    <w:qFormat/>
    <w:uiPriority w:val="0"/>
    <w:rPr>
      <w:rFonts w:ascii="Arial" w:hAnsi="Arial" w:cs="Arial"/>
      <w:szCs w:val="21"/>
    </w:rPr>
  </w:style>
  <w:style w:type="paragraph" w:customStyle="1" w:styleId="144">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6">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7">
    <w:name w:val="Char Char Char"/>
    <w:basedOn w:val="1"/>
    <w:qFormat/>
    <w:uiPriority w:val="0"/>
    <w:rPr>
      <w:rFonts w:ascii="Tahoma" w:hAnsi="Tahoma"/>
      <w:sz w:val="24"/>
      <w:szCs w:val="20"/>
    </w:rPr>
  </w:style>
  <w:style w:type="paragraph" w:customStyle="1" w:styleId="14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Char Char Char1"/>
    <w:basedOn w:val="1"/>
    <w:qFormat/>
    <w:uiPriority w:val="0"/>
    <w:rPr>
      <w:rFonts w:ascii="Tahoma" w:hAnsi="Tahoma"/>
      <w:sz w:val="24"/>
      <w:szCs w:val="20"/>
    </w:rPr>
  </w:style>
  <w:style w:type="paragraph" w:customStyle="1" w:styleId="15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2">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3">
    <w:name w:val="样式2"/>
    <w:basedOn w:val="39"/>
    <w:qFormat/>
    <w:uiPriority w:val="0"/>
    <w:pPr>
      <w:spacing w:line="360" w:lineRule="auto"/>
      <w:jc w:val="center"/>
    </w:pPr>
    <w:rPr>
      <w:sz w:val="24"/>
    </w:rPr>
  </w:style>
  <w:style w:type="paragraph" w:customStyle="1" w:styleId="15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6">
    <w:name w:val="正文 + 楷体_GB2312"/>
    <w:basedOn w:val="1"/>
    <w:qFormat/>
    <w:uiPriority w:val="0"/>
    <w:pPr>
      <w:widowControl/>
      <w:jc w:val="left"/>
    </w:pPr>
    <w:rPr>
      <w:rFonts w:ascii="楷体_GB2312" w:eastAsia="楷体_GB2312" w:cs="Arial"/>
      <w:kern w:val="0"/>
      <w:sz w:val="24"/>
    </w:rPr>
  </w:style>
  <w:style w:type="paragraph" w:customStyle="1" w:styleId="15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8">
    <w:name w:val="1 Char Char Char Char"/>
    <w:basedOn w:val="1"/>
    <w:qFormat/>
    <w:uiPriority w:val="0"/>
    <w:rPr>
      <w:rFonts w:ascii="Tahoma" w:hAnsi="Tahoma"/>
      <w:sz w:val="24"/>
      <w:szCs w:val="20"/>
    </w:rPr>
  </w:style>
  <w:style w:type="paragraph" w:customStyle="1" w:styleId="159">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列出段落1"/>
    <w:basedOn w:val="1"/>
    <w:qFormat/>
    <w:uiPriority w:val="0"/>
    <w:pPr>
      <w:ind w:firstLine="420" w:firstLineChars="200"/>
    </w:pPr>
    <w:rPr>
      <w:rFonts w:ascii="Calibri" w:hAnsi="Calibri"/>
      <w:szCs w:val="22"/>
    </w:rPr>
  </w:style>
  <w:style w:type="paragraph" w:customStyle="1" w:styleId="16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字元 字元1"/>
    <w:basedOn w:val="1"/>
    <w:qFormat/>
    <w:uiPriority w:val="0"/>
    <w:rPr>
      <w:rFonts w:ascii="Tahoma" w:hAnsi="Tahoma"/>
      <w:sz w:val="24"/>
      <w:szCs w:val="20"/>
    </w:rPr>
  </w:style>
  <w:style w:type="paragraph" w:customStyle="1" w:styleId="163">
    <w:name w:val="_Style 160"/>
    <w:qFormat/>
    <w:uiPriority w:val="0"/>
    <w:rPr>
      <w:rFonts w:ascii="Times New Roman" w:hAnsi="Times New Roman" w:eastAsia="宋体" w:cs="Times New Roman"/>
      <w:kern w:val="2"/>
      <w:sz w:val="21"/>
      <w:szCs w:val="24"/>
      <w:lang w:val="en-US" w:eastAsia="zh-CN" w:bidi="ar-SA"/>
    </w:rPr>
  </w:style>
  <w:style w:type="paragraph" w:customStyle="1" w:styleId="164">
    <w:name w:val="项目编号3"/>
    <w:basedOn w:val="124"/>
    <w:qFormat/>
    <w:uiPriority w:val="0"/>
    <w:pPr>
      <w:numPr>
        <w:ilvl w:val="0"/>
        <w:numId w:val="6"/>
      </w:numPr>
    </w:pPr>
  </w:style>
  <w:style w:type="paragraph" w:customStyle="1" w:styleId="165">
    <w:name w:val="Char21"/>
    <w:basedOn w:val="1"/>
    <w:qFormat/>
    <w:uiPriority w:val="0"/>
    <w:rPr>
      <w:rFonts w:ascii="Tahoma" w:hAnsi="Tahoma"/>
      <w:sz w:val="24"/>
      <w:szCs w:val="20"/>
    </w:rPr>
  </w:style>
  <w:style w:type="paragraph" w:customStyle="1" w:styleId="166">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7">
    <w:name w:val="Char Char Char Char Char Char Char Char Char Char1"/>
    <w:basedOn w:val="1"/>
    <w:qFormat/>
    <w:uiPriority w:val="0"/>
    <w:rPr>
      <w:rFonts w:ascii="宋体" w:hAnsi="宋体" w:cs="Courier New"/>
      <w:sz w:val="32"/>
      <w:szCs w:val="32"/>
    </w:rPr>
  </w:style>
  <w:style w:type="paragraph" w:customStyle="1" w:styleId="168">
    <w:name w:val="正文文本样式 加粗"/>
    <w:basedOn w:val="124"/>
    <w:qFormat/>
    <w:uiPriority w:val="0"/>
    <w:rPr>
      <w:b/>
    </w:rPr>
  </w:style>
  <w:style w:type="paragraph" w:customStyle="1" w:styleId="169">
    <w:name w:val="Char2 Char Char Char Char Char Char"/>
    <w:basedOn w:val="1"/>
    <w:qFormat/>
    <w:uiPriority w:val="0"/>
    <w:pPr>
      <w:widowControl/>
      <w:spacing w:line="400" w:lineRule="exact"/>
      <w:jc w:val="center"/>
    </w:pPr>
  </w:style>
  <w:style w:type="character" w:customStyle="1" w:styleId="170">
    <w:name w:val="页脚 字符"/>
    <w:link w:val="28"/>
    <w:qFormat/>
    <w:uiPriority w:val="99"/>
    <w:rPr>
      <w:rFonts w:ascii="宋体" w:eastAsia="宋体"/>
      <w:sz w:val="18"/>
      <w:lang w:val="en-US" w:eastAsia="zh-CN" w:bidi="ar-SA"/>
    </w:rPr>
  </w:style>
  <w:style w:type="paragraph" w:customStyle="1" w:styleId="171">
    <w:name w:val="Char Char4"/>
    <w:basedOn w:val="1"/>
    <w:qFormat/>
    <w:uiPriority w:val="0"/>
    <w:pPr>
      <w:widowControl/>
      <w:spacing w:line="400" w:lineRule="exact"/>
      <w:jc w:val="center"/>
    </w:pPr>
  </w:style>
  <w:style w:type="paragraph" w:customStyle="1" w:styleId="172">
    <w:name w:val="Char3 Char Char Char1"/>
    <w:basedOn w:val="1"/>
    <w:qFormat/>
    <w:uiPriority w:val="0"/>
    <w:rPr>
      <w:rFonts w:ascii="Tahoma" w:hAnsi="Tahoma"/>
      <w:sz w:val="24"/>
      <w:szCs w:val="20"/>
    </w:rPr>
  </w:style>
  <w:style w:type="paragraph" w:styleId="1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5">
    <w:name w:val="中等深浅网格 1 - 强调文字颜色 2 Char"/>
    <w:link w:val="176"/>
    <w:qFormat/>
    <w:uiPriority w:val="0"/>
    <w:rPr>
      <w:kern w:val="2"/>
      <w:sz w:val="21"/>
      <w:szCs w:val="24"/>
      <w:lang w:val="zh-CN" w:eastAsia="zh-CN"/>
    </w:rPr>
  </w:style>
  <w:style w:type="paragraph" w:customStyle="1" w:styleId="176">
    <w:name w:val="1"/>
    <w:link w:val="175"/>
    <w:qFormat/>
    <w:uiPriority w:val="0"/>
    <w:rPr>
      <w:rFonts w:ascii="Times New Roman" w:hAnsi="Times New Roman" w:eastAsia="宋体" w:cs="Times New Roman"/>
      <w:kern w:val="2"/>
      <w:sz w:val="21"/>
      <w:szCs w:val="24"/>
      <w:lang w:val="zh-CN" w:eastAsia="zh-CN" w:bidi="ar-SA"/>
    </w:rPr>
  </w:style>
  <w:style w:type="paragraph" w:customStyle="1" w:styleId="177">
    <w:name w:val="图文"/>
    <w:basedOn w:val="1"/>
    <w:qFormat/>
    <w:uiPriority w:val="0"/>
    <w:pPr>
      <w:adjustRightInd w:val="0"/>
      <w:snapToGrid w:val="0"/>
      <w:spacing w:after="50" w:line="360" w:lineRule="auto"/>
    </w:pPr>
    <w:rPr>
      <w:sz w:val="24"/>
    </w:rPr>
  </w:style>
  <w:style w:type="paragraph" w:customStyle="1" w:styleId="17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9">
    <w:name w:val="正文表格"/>
    <w:basedOn w:val="1"/>
    <w:link w:val="180"/>
    <w:qFormat/>
    <w:uiPriority w:val="0"/>
    <w:pPr>
      <w:adjustRightInd w:val="0"/>
      <w:snapToGrid w:val="0"/>
      <w:jc w:val="left"/>
    </w:pPr>
    <w:rPr>
      <w:rFonts w:ascii="宋体" w:hAnsi="宋体"/>
      <w:color w:val="000000"/>
      <w:szCs w:val="21"/>
    </w:rPr>
  </w:style>
  <w:style w:type="character" w:customStyle="1" w:styleId="180">
    <w:name w:val="正文表格 Char"/>
    <w:link w:val="179"/>
    <w:qFormat/>
    <w:uiPriority w:val="0"/>
    <w:rPr>
      <w:rFonts w:ascii="宋体" w:hAnsi="宋体"/>
      <w:color w:val="000000"/>
      <w:kern w:val="2"/>
      <w:sz w:val="21"/>
      <w:szCs w:val="21"/>
    </w:rPr>
  </w:style>
  <w:style w:type="paragraph" w:customStyle="1" w:styleId="181">
    <w:name w:val="正文重点"/>
    <w:basedOn w:val="1"/>
    <w:link w:val="182"/>
    <w:qFormat/>
    <w:uiPriority w:val="0"/>
    <w:pPr>
      <w:adjustRightInd w:val="0"/>
      <w:spacing w:line="360" w:lineRule="auto"/>
      <w:ind w:firstLine="482" w:firstLineChars="200"/>
      <w:jc w:val="left"/>
      <w:textAlignment w:val="baseline"/>
    </w:pPr>
    <w:rPr>
      <w:b/>
      <w:kern w:val="0"/>
      <w:sz w:val="24"/>
      <w:szCs w:val="20"/>
    </w:rPr>
  </w:style>
  <w:style w:type="character" w:customStyle="1" w:styleId="182">
    <w:name w:val="正文重点 Char"/>
    <w:link w:val="181"/>
    <w:qFormat/>
    <w:uiPriority w:val="0"/>
    <w:rPr>
      <w:b/>
      <w:sz w:val="24"/>
    </w:rPr>
  </w:style>
  <w:style w:type="character" w:customStyle="1" w:styleId="183">
    <w:name w:val="批注文字 字符1"/>
    <w:link w:val="15"/>
    <w:qFormat/>
    <w:uiPriority w:val="99"/>
    <w:rPr>
      <w:kern w:val="2"/>
      <w:sz w:val="21"/>
      <w:szCs w:val="24"/>
    </w:rPr>
  </w:style>
  <w:style w:type="paragraph" w:customStyle="1" w:styleId="184">
    <w:name w:val="标题1-附件"/>
    <w:basedOn w:val="2"/>
    <w:qFormat/>
    <w:uiPriority w:val="0"/>
    <w:pPr>
      <w:jc w:val="left"/>
    </w:pPr>
    <w:rPr>
      <w:sz w:val="24"/>
      <w:szCs w:val="24"/>
    </w:rPr>
  </w:style>
  <w:style w:type="paragraph" w:customStyle="1" w:styleId="185">
    <w:name w:val="正文小标题"/>
    <w:basedOn w:val="1"/>
    <w:next w:val="4"/>
    <w:link w:val="186"/>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6">
    <w:name w:val="正文小标题 Char"/>
    <w:link w:val="185"/>
    <w:qFormat/>
    <w:uiPriority w:val="0"/>
    <w:rPr>
      <w:rFonts w:ascii="宋体" w:hAnsi="宋体"/>
      <w:b/>
      <w:i/>
      <w:color w:val="FF0000"/>
      <w:kern w:val="2"/>
      <w:sz w:val="24"/>
    </w:rPr>
  </w:style>
  <w:style w:type="paragraph" w:customStyle="1" w:styleId="187">
    <w:name w:val="正文大标题"/>
    <w:basedOn w:val="185"/>
    <w:next w:val="4"/>
    <w:link w:val="188"/>
    <w:qFormat/>
    <w:uiPriority w:val="0"/>
    <w:pPr>
      <w:jc w:val="center"/>
    </w:pPr>
    <w:rPr>
      <w:i w:val="0"/>
      <w:color w:val="000000"/>
      <w:sz w:val="28"/>
      <w:szCs w:val="21"/>
    </w:rPr>
  </w:style>
  <w:style w:type="character" w:customStyle="1" w:styleId="188">
    <w:name w:val="正文大标题 Char"/>
    <w:link w:val="187"/>
    <w:qFormat/>
    <w:uiPriority w:val="0"/>
    <w:rPr>
      <w:rFonts w:ascii="宋体" w:hAnsi="宋体"/>
      <w:b/>
      <w:color w:val="000000"/>
      <w:kern w:val="2"/>
      <w:sz w:val="28"/>
      <w:szCs w:val="21"/>
    </w:rPr>
  </w:style>
  <w:style w:type="character" w:customStyle="1" w:styleId="189">
    <w:name w:val="标题 字符"/>
    <w:link w:val="40"/>
    <w:qFormat/>
    <w:uiPriority w:val="0"/>
    <w:rPr>
      <w:b/>
      <w:kern w:val="2"/>
      <w:sz w:val="32"/>
    </w:rPr>
  </w:style>
  <w:style w:type="paragraph" w:customStyle="1" w:styleId="190">
    <w:name w:val="注释"/>
    <w:basedOn w:val="1"/>
    <w:link w:val="191"/>
    <w:qFormat/>
    <w:uiPriority w:val="0"/>
    <w:pPr>
      <w:adjustRightInd w:val="0"/>
      <w:snapToGrid w:val="0"/>
      <w:ind w:left="420" w:hanging="420" w:hangingChars="200"/>
      <w:jc w:val="left"/>
    </w:pPr>
    <w:rPr>
      <w:rFonts w:ascii="宋体" w:hAnsi="宋体"/>
      <w:szCs w:val="21"/>
    </w:rPr>
  </w:style>
  <w:style w:type="character" w:customStyle="1" w:styleId="191">
    <w:name w:val="注释 Char"/>
    <w:link w:val="190"/>
    <w:qFormat/>
    <w:uiPriority w:val="0"/>
    <w:rPr>
      <w:rFonts w:ascii="宋体" w:hAnsi="宋体"/>
      <w:kern w:val="2"/>
      <w:sz w:val="21"/>
      <w:szCs w:val="21"/>
    </w:rPr>
  </w:style>
  <w:style w:type="paragraph" w:customStyle="1" w:styleId="192">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3">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4">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5">
    <w:name w:val="批注文字 字符"/>
    <w:qFormat/>
    <w:uiPriority w:val="99"/>
    <w:rPr>
      <w:rFonts w:ascii="Times New Roman" w:hAnsi="Times New Roman" w:eastAsia="宋体" w:cs="Times New Roman"/>
      <w:sz w:val="24"/>
      <w:lang w:val="en-US" w:eastAsia="zh-CN" w:bidi="ar-SA"/>
    </w:rPr>
  </w:style>
  <w:style w:type="character" w:customStyle="1" w:styleId="196">
    <w:name w:val="纯文本 字符"/>
    <w:qFormat/>
    <w:uiPriority w:val="99"/>
    <w:rPr>
      <w:rFonts w:ascii="宋体" w:hAnsi="Courier New" w:eastAsia="宋体" w:cs="Times New Roman"/>
      <w:kern w:val="2"/>
      <w:sz w:val="21"/>
      <w:szCs w:val="21"/>
      <w:lang w:val="en-US" w:eastAsia="zh-CN" w:bidi="ar-SA"/>
    </w:rPr>
  </w:style>
  <w:style w:type="paragraph" w:customStyle="1" w:styleId="197">
    <w:name w:val="表格1"/>
    <w:basedOn w:val="1"/>
    <w:qFormat/>
    <w:uiPriority w:val="0"/>
    <w:pPr>
      <w:ind w:firstLine="480" w:firstLineChars="200"/>
      <w:jc w:val="center"/>
    </w:pPr>
    <w:rPr>
      <w:sz w:val="24"/>
      <w:szCs w:val="20"/>
    </w:rPr>
  </w:style>
  <w:style w:type="character" w:customStyle="1" w:styleId="198">
    <w:name w:val="纯文本 字符1"/>
    <w:qFormat/>
    <w:uiPriority w:val="0"/>
    <w:rPr>
      <w:rFonts w:ascii="宋体" w:hAnsi="Courier New"/>
    </w:rPr>
  </w:style>
  <w:style w:type="character" w:customStyle="1" w:styleId="199">
    <w:name w:val="bjh-p"/>
    <w:qFormat/>
    <w:uiPriority w:val="0"/>
  </w:style>
  <w:style w:type="paragraph" w:customStyle="1" w:styleId="20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1">
    <w:name w:val="正文格式 Char"/>
    <w:link w:val="202"/>
    <w:qFormat/>
    <w:locked/>
    <w:uiPriority w:val="0"/>
    <w:rPr>
      <w:rFonts w:ascii="宋体" w:hAnsi="宋体"/>
      <w:sz w:val="24"/>
      <w:szCs w:val="24"/>
      <w:lang w:val="en-GB"/>
    </w:rPr>
  </w:style>
  <w:style w:type="paragraph" w:customStyle="1" w:styleId="202">
    <w:name w:val="正文格式"/>
    <w:basedOn w:val="1"/>
    <w:link w:val="201"/>
    <w:qFormat/>
    <w:uiPriority w:val="0"/>
    <w:pPr>
      <w:spacing w:beforeLines="50" w:line="360" w:lineRule="auto"/>
      <w:ind w:firstLine="480" w:firstLineChars="200"/>
    </w:pPr>
    <w:rPr>
      <w:rFonts w:ascii="宋体" w:hAnsi="宋体"/>
      <w:kern w:val="0"/>
      <w:sz w:val="24"/>
      <w:lang w:val="en-GB"/>
    </w:rPr>
  </w:style>
  <w:style w:type="character" w:customStyle="1" w:styleId="203">
    <w:name w:val="纯文本 字符2"/>
    <w:basedOn w:val="47"/>
    <w:link w:val="23"/>
    <w:qFormat/>
    <w:uiPriority w:val="0"/>
    <w:rPr>
      <w:rFonts w:hint="eastAsia" w:ascii="宋体" w:hAnsi="Courier New" w:eastAsia="宋体" w:cs="宋体"/>
      <w:kern w:val="2"/>
      <w:sz w:val="21"/>
    </w:rPr>
  </w:style>
  <w:style w:type="character" w:customStyle="1" w:styleId="204">
    <w:name w:val="标题 3 Char"/>
    <w:qFormat/>
    <w:uiPriority w:val="0"/>
    <w:rPr>
      <w:rFonts w:ascii="宋体" w:eastAsia="宋体"/>
      <w:b/>
      <w:sz w:val="24"/>
      <w:u w:val="single"/>
      <w:lang w:val="en-US" w:eastAsia="zh-CN" w:bidi="ar-SA"/>
    </w:rPr>
  </w:style>
  <w:style w:type="character" w:customStyle="1" w:styleId="205">
    <w:name w:val="正文缩进 Char"/>
    <w:qFormat/>
    <w:uiPriority w:val="0"/>
    <w:rPr>
      <w:rFonts w:ascii="宋体" w:eastAsia="宋体"/>
      <w:kern w:val="2"/>
      <w:sz w:val="24"/>
      <w:szCs w:val="24"/>
      <w:lang w:val="en-US" w:eastAsia="zh-CN" w:bidi="ar-SA"/>
    </w:rPr>
  </w:style>
  <w:style w:type="character" w:customStyle="1" w:styleId="206">
    <w:name w:val="Char Char111"/>
    <w:qFormat/>
    <w:uiPriority w:val="0"/>
    <w:rPr>
      <w:rFonts w:ascii="宋体" w:eastAsia="宋体"/>
      <w:b/>
      <w:sz w:val="24"/>
      <w:u w:val="single"/>
      <w:lang w:val="en-US" w:eastAsia="zh-CN" w:bidi="ar-SA"/>
    </w:rPr>
  </w:style>
  <w:style w:type="character" w:customStyle="1" w:styleId="207">
    <w:name w:val="正文文本缩进 Char"/>
    <w:qFormat/>
    <w:uiPriority w:val="0"/>
    <w:rPr>
      <w:rFonts w:eastAsia="宋体"/>
      <w:kern w:val="2"/>
      <w:sz w:val="24"/>
      <w:szCs w:val="24"/>
      <w:lang w:val="en-US" w:eastAsia="zh-CN" w:bidi="ar-SA"/>
    </w:rPr>
  </w:style>
  <w:style w:type="character" w:customStyle="1" w:styleId="208">
    <w:name w:val="列出段落 Char"/>
    <w:qFormat/>
    <w:uiPriority w:val="0"/>
    <w:rPr>
      <w:rFonts w:ascii="Calibri" w:hAnsi="Calibri" w:eastAsia="宋体"/>
      <w:kern w:val="2"/>
      <w:sz w:val="21"/>
      <w:szCs w:val="22"/>
      <w:lang w:val="en-US" w:eastAsia="zh-CN" w:bidi="ar-SA"/>
    </w:rPr>
  </w:style>
  <w:style w:type="character" w:customStyle="1" w:styleId="209">
    <w:name w:val="页眉 Char"/>
    <w:qFormat/>
    <w:uiPriority w:val="0"/>
    <w:rPr>
      <w:rFonts w:eastAsia="宋体"/>
      <w:kern w:val="2"/>
      <w:sz w:val="18"/>
      <w:szCs w:val="18"/>
      <w:lang w:val="en-US" w:eastAsia="zh-CN" w:bidi="ar-SA"/>
    </w:rPr>
  </w:style>
  <w:style w:type="character" w:customStyle="1" w:styleId="210">
    <w:name w:val="标题 2 Char"/>
    <w:qFormat/>
    <w:uiPriority w:val="0"/>
    <w:rPr>
      <w:rFonts w:ascii="Arial" w:hAnsi="Arial" w:eastAsia="黑体"/>
      <w:b/>
      <w:sz w:val="30"/>
      <w:lang w:val="en-US" w:eastAsia="zh-CN" w:bidi="ar-SA"/>
    </w:rPr>
  </w:style>
  <w:style w:type="paragraph" w:customStyle="1" w:styleId="211">
    <w:name w:val="字元 字元2"/>
    <w:basedOn w:val="1"/>
    <w:qFormat/>
    <w:uiPriority w:val="0"/>
    <w:rPr>
      <w:rFonts w:ascii="Tahoma" w:hAnsi="Tahoma"/>
      <w:sz w:val="24"/>
      <w:szCs w:val="20"/>
    </w:rPr>
  </w:style>
  <w:style w:type="paragraph" w:customStyle="1" w:styleId="212">
    <w:name w:val="Char3 Char Char Char2"/>
    <w:basedOn w:val="1"/>
    <w:qFormat/>
    <w:uiPriority w:val="0"/>
    <w:rPr>
      <w:rFonts w:ascii="Tahoma" w:hAnsi="Tahoma"/>
      <w:sz w:val="24"/>
      <w:szCs w:val="20"/>
    </w:rPr>
  </w:style>
  <w:style w:type="paragraph" w:customStyle="1" w:styleId="21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4">
    <w:name w:val="Char3"/>
    <w:basedOn w:val="1"/>
    <w:qFormat/>
    <w:uiPriority w:val="0"/>
    <w:pPr>
      <w:tabs>
        <w:tab w:val="left" w:pos="360"/>
      </w:tabs>
    </w:pPr>
    <w:rPr>
      <w:sz w:val="24"/>
    </w:rPr>
  </w:style>
  <w:style w:type="paragraph" w:customStyle="1" w:styleId="215">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7">
    <w:name w:val="列出段落2"/>
    <w:basedOn w:val="1"/>
    <w:qFormat/>
    <w:uiPriority w:val="0"/>
    <w:pPr>
      <w:ind w:firstLine="420" w:firstLineChars="200"/>
    </w:pPr>
    <w:rPr>
      <w:rFonts w:ascii="Calibri" w:hAnsi="Calibri"/>
      <w:szCs w:val="22"/>
    </w:rPr>
  </w:style>
  <w:style w:type="paragraph" w:customStyle="1" w:styleId="218">
    <w:name w:val="Char Char Char1 Char2"/>
    <w:basedOn w:val="1"/>
    <w:qFormat/>
    <w:uiPriority w:val="0"/>
    <w:rPr>
      <w:rFonts w:ascii="Tahoma" w:hAnsi="Tahoma"/>
      <w:sz w:val="24"/>
      <w:szCs w:val="20"/>
    </w:rPr>
  </w:style>
  <w:style w:type="paragraph" w:customStyle="1" w:styleId="219">
    <w:name w:val="Char Char Char2"/>
    <w:basedOn w:val="1"/>
    <w:qFormat/>
    <w:uiPriority w:val="0"/>
    <w:rPr>
      <w:rFonts w:ascii="Tahoma" w:hAnsi="Tahoma"/>
      <w:sz w:val="24"/>
      <w:szCs w:val="20"/>
    </w:rPr>
  </w:style>
  <w:style w:type="paragraph" w:customStyle="1" w:styleId="220">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1">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2">
    <w:name w:val="修订1"/>
    <w:qFormat/>
    <w:uiPriority w:val="0"/>
    <w:rPr>
      <w:rFonts w:ascii="Times New Roman" w:hAnsi="Times New Roman" w:eastAsia="宋体" w:cs="Times New Roman"/>
      <w:kern w:val="2"/>
      <w:sz w:val="21"/>
      <w:szCs w:val="24"/>
      <w:lang w:val="en-US" w:eastAsia="zh-CN" w:bidi="ar-SA"/>
    </w:rPr>
  </w:style>
  <w:style w:type="paragraph" w:customStyle="1" w:styleId="223">
    <w:name w:val="Char22"/>
    <w:basedOn w:val="1"/>
    <w:qFormat/>
    <w:uiPriority w:val="0"/>
    <w:rPr>
      <w:rFonts w:ascii="Tahoma" w:hAnsi="Tahoma"/>
      <w:sz w:val="24"/>
      <w:szCs w:val="20"/>
    </w:rPr>
  </w:style>
  <w:style w:type="paragraph" w:customStyle="1" w:styleId="224">
    <w:name w:val="Char Char Char Char Char Char Char Char Char Char2"/>
    <w:basedOn w:val="1"/>
    <w:qFormat/>
    <w:uiPriority w:val="0"/>
    <w:rPr>
      <w:rFonts w:ascii="宋体" w:hAnsi="宋体" w:cs="Courier New"/>
      <w:sz w:val="32"/>
      <w:szCs w:val="32"/>
    </w:rPr>
  </w:style>
  <w:style w:type="paragraph" w:customStyle="1" w:styleId="225">
    <w:name w:val="Char2 Char Char Char Char Char Char1"/>
    <w:basedOn w:val="1"/>
    <w:qFormat/>
    <w:uiPriority w:val="0"/>
    <w:pPr>
      <w:widowControl/>
      <w:spacing w:line="400" w:lineRule="exact"/>
      <w:jc w:val="center"/>
    </w:pPr>
  </w:style>
  <w:style w:type="character" w:customStyle="1" w:styleId="226">
    <w:name w:val="页脚 Char"/>
    <w:qFormat/>
    <w:uiPriority w:val="0"/>
    <w:rPr>
      <w:rFonts w:ascii="宋体" w:eastAsia="宋体"/>
      <w:sz w:val="18"/>
      <w:lang w:val="en-US" w:eastAsia="zh-CN" w:bidi="ar-SA"/>
    </w:rPr>
  </w:style>
  <w:style w:type="paragraph" w:customStyle="1" w:styleId="227">
    <w:name w:val="Char Char41"/>
    <w:basedOn w:val="1"/>
    <w:qFormat/>
    <w:uiPriority w:val="0"/>
    <w:pPr>
      <w:widowControl/>
      <w:spacing w:line="400" w:lineRule="exact"/>
      <w:jc w:val="center"/>
    </w:pPr>
  </w:style>
  <w:style w:type="character" w:customStyle="1" w:styleId="228">
    <w:name w:val="批注文字 Char"/>
    <w:qFormat/>
    <w:uiPriority w:val="99"/>
    <w:rPr>
      <w:kern w:val="2"/>
      <w:sz w:val="21"/>
      <w:szCs w:val="24"/>
    </w:rPr>
  </w:style>
  <w:style w:type="character" w:customStyle="1" w:styleId="229">
    <w:name w:val="标题 Char"/>
    <w:qFormat/>
    <w:uiPriority w:val="0"/>
    <w:rPr>
      <w:b/>
      <w:kern w:val="2"/>
      <w:sz w:val="32"/>
    </w:rPr>
  </w:style>
  <w:style w:type="character" w:customStyle="1" w:styleId="230">
    <w:name w:val="标题 1 字符"/>
    <w:basedOn w:val="47"/>
    <w:link w:val="2"/>
    <w:qFormat/>
    <w:uiPriority w:val="0"/>
    <w:rPr>
      <w:rFonts w:ascii="宋体" w:hAnsi="宋体" w:eastAsia="宋体"/>
      <w:b/>
      <w:kern w:val="44"/>
      <w:sz w:val="32"/>
    </w:rPr>
  </w:style>
  <w:style w:type="character" w:customStyle="1" w:styleId="231">
    <w:name w:val="标题 4 字符"/>
    <w:basedOn w:val="47"/>
    <w:link w:val="6"/>
    <w:qFormat/>
    <w:uiPriority w:val="0"/>
    <w:rPr>
      <w:rFonts w:ascii="Arial" w:hAnsi="Arial" w:eastAsia="黑体"/>
      <w:b/>
      <w:sz w:val="28"/>
    </w:rPr>
  </w:style>
  <w:style w:type="character" w:customStyle="1" w:styleId="232">
    <w:name w:val="标题 5 字符"/>
    <w:basedOn w:val="47"/>
    <w:link w:val="7"/>
    <w:qFormat/>
    <w:uiPriority w:val="0"/>
    <w:rPr>
      <w:b/>
      <w:sz w:val="28"/>
    </w:rPr>
  </w:style>
  <w:style w:type="character" w:customStyle="1" w:styleId="233">
    <w:name w:val="标题 6 字符"/>
    <w:basedOn w:val="47"/>
    <w:link w:val="8"/>
    <w:qFormat/>
    <w:uiPriority w:val="0"/>
    <w:rPr>
      <w:rFonts w:ascii="Arial" w:hAnsi="Arial" w:eastAsia="黑体"/>
      <w:b/>
      <w:sz w:val="24"/>
    </w:rPr>
  </w:style>
  <w:style w:type="character" w:customStyle="1" w:styleId="234">
    <w:name w:val="标题 7 字符"/>
    <w:basedOn w:val="47"/>
    <w:link w:val="9"/>
    <w:qFormat/>
    <w:uiPriority w:val="0"/>
    <w:rPr>
      <w:b/>
      <w:sz w:val="24"/>
    </w:rPr>
  </w:style>
  <w:style w:type="character" w:customStyle="1" w:styleId="235">
    <w:name w:val="标题 8 字符"/>
    <w:basedOn w:val="47"/>
    <w:link w:val="10"/>
    <w:qFormat/>
    <w:uiPriority w:val="0"/>
    <w:rPr>
      <w:rFonts w:ascii="Arial" w:hAnsi="Arial" w:eastAsia="黑体"/>
      <w:sz w:val="24"/>
    </w:rPr>
  </w:style>
  <w:style w:type="character" w:customStyle="1" w:styleId="236">
    <w:name w:val="标题 9 字符"/>
    <w:basedOn w:val="47"/>
    <w:link w:val="11"/>
    <w:qFormat/>
    <w:uiPriority w:val="0"/>
    <w:rPr>
      <w:rFonts w:ascii="Arial" w:hAnsi="Arial" w:eastAsia="黑体"/>
      <w:sz w:val="21"/>
    </w:rPr>
  </w:style>
  <w:style w:type="character" w:customStyle="1" w:styleId="237">
    <w:name w:val="文档结构图 字符"/>
    <w:basedOn w:val="47"/>
    <w:link w:val="14"/>
    <w:qFormat/>
    <w:uiPriority w:val="0"/>
    <w:rPr>
      <w:kern w:val="2"/>
      <w:sz w:val="21"/>
      <w:szCs w:val="24"/>
      <w:shd w:val="clear" w:color="auto" w:fill="000080"/>
    </w:rPr>
  </w:style>
  <w:style w:type="character" w:customStyle="1" w:styleId="238">
    <w:name w:val="正文文本 3 字符"/>
    <w:basedOn w:val="47"/>
    <w:link w:val="16"/>
    <w:qFormat/>
    <w:uiPriority w:val="0"/>
    <w:rPr>
      <w:kern w:val="2"/>
      <w:sz w:val="16"/>
      <w:szCs w:val="16"/>
    </w:rPr>
  </w:style>
  <w:style w:type="character" w:customStyle="1" w:styleId="239">
    <w:name w:val="正文文本 字符"/>
    <w:basedOn w:val="47"/>
    <w:link w:val="17"/>
    <w:qFormat/>
    <w:uiPriority w:val="0"/>
    <w:rPr>
      <w:rFonts w:ascii="宋体" w:hAnsi="宋体"/>
      <w:kern w:val="2"/>
      <w:sz w:val="24"/>
      <w:szCs w:val="24"/>
    </w:rPr>
  </w:style>
  <w:style w:type="character" w:customStyle="1" w:styleId="240">
    <w:name w:val="日期 字符"/>
    <w:basedOn w:val="47"/>
    <w:link w:val="25"/>
    <w:qFormat/>
    <w:uiPriority w:val="0"/>
    <w:rPr>
      <w:rFonts w:ascii="仿宋_GB2312" w:hAnsi="宋体" w:eastAsia="仿宋_GB2312"/>
      <w:color w:val="000000"/>
      <w:kern w:val="2"/>
      <w:sz w:val="24"/>
      <w:szCs w:val="24"/>
    </w:rPr>
  </w:style>
  <w:style w:type="character" w:customStyle="1" w:styleId="241">
    <w:name w:val="正文文本缩进 2 字符"/>
    <w:basedOn w:val="47"/>
    <w:link w:val="26"/>
    <w:qFormat/>
    <w:uiPriority w:val="0"/>
    <w:rPr>
      <w:rFonts w:ascii="仿宋_GB2312" w:eastAsia="仿宋_GB2312"/>
      <w:kern w:val="2"/>
      <w:sz w:val="24"/>
      <w:szCs w:val="24"/>
    </w:rPr>
  </w:style>
  <w:style w:type="character" w:customStyle="1" w:styleId="242">
    <w:name w:val="批注框文本 字符"/>
    <w:basedOn w:val="47"/>
    <w:link w:val="27"/>
    <w:qFormat/>
    <w:uiPriority w:val="0"/>
    <w:rPr>
      <w:kern w:val="2"/>
      <w:sz w:val="18"/>
      <w:szCs w:val="18"/>
    </w:rPr>
  </w:style>
  <w:style w:type="character" w:customStyle="1" w:styleId="243">
    <w:name w:val="正文文本缩进 3 字符"/>
    <w:basedOn w:val="47"/>
    <w:link w:val="34"/>
    <w:qFormat/>
    <w:uiPriority w:val="0"/>
    <w:rPr>
      <w:rFonts w:ascii="宋体"/>
      <w:sz w:val="24"/>
    </w:rPr>
  </w:style>
  <w:style w:type="character" w:customStyle="1" w:styleId="244">
    <w:name w:val="HTML 预设格式 字符"/>
    <w:basedOn w:val="47"/>
    <w:link w:val="37"/>
    <w:qFormat/>
    <w:uiPriority w:val="0"/>
    <w:rPr>
      <w:rFonts w:ascii="宋体" w:hAnsi="宋体" w:cs="宋体"/>
      <w:sz w:val="24"/>
      <w:szCs w:val="24"/>
    </w:rPr>
  </w:style>
  <w:style w:type="character" w:customStyle="1" w:styleId="245">
    <w:name w:val="批注主题 字符"/>
    <w:basedOn w:val="195"/>
    <w:link w:val="41"/>
    <w:qFormat/>
    <w:uiPriority w:val="0"/>
    <w:rPr>
      <w:rFonts w:ascii="Times New Roman" w:hAnsi="Times New Roman" w:eastAsia="宋体" w:cs="Times New Roman"/>
      <w:b/>
      <w:bCs/>
      <w:kern w:val="2"/>
      <w:sz w:val="21"/>
      <w:szCs w:val="24"/>
      <w:lang w:val="en-US" w:eastAsia="zh-CN" w:bidi="ar-SA"/>
    </w:rPr>
  </w:style>
  <w:style w:type="character" w:customStyle="1" w:styleId="246">
    <w:name w:val="正文文本首行缩进 2 字符"/>
    <w:basedOn w:val="68"/>
    <w:link w:val="43"/>
    <w:qFormat/>
    <w:uiPriority w:val="0"/>
    <w:rPr>
      <w:rFonts w:eastAsia="宋体"/>
      <w:kern w:val="2"/>
      <w:sz w:val="24"/>
      <w:szCs w:val="24"/>
      <w:lang w:val="en-US" w:eastAsia="zh-CN" w:bidi="ar-SA"/>
    </w:rPr>
  </w:style>
  <w:style w:type="paragraph" w:customStyle="1" w:styleId="247">
    <w:name w:val="图例"/>
    <w:basedOn w:val="1"/>
    <w:qFormat/>
    <w:uiPriority w:val="0"/>
    <w:pPr>
      <w:spacing w:before="120" w:after="120" w:line="360" w:lineRule="auto"/>
      <w:jc w:val="center"/>
    </w:pPr>
    <w:rPr>
      <w:rFonts w:eastAsia="仿宋_GB2312"/>
      <w:b/>
      <w:sz w:val="24"/>
      <w:szCs w:val="20"/>
    </w:r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9">
    <w:name w:val="Table Normal"/>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0">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1">
    <w:name w:val="无间隔1"/>
    <w:next w:val="1"/>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252">
    <w:name w:val="标题 2 字符1"/>
    <w:autoRedefine/>
    <w:qFormat/>
    <w:uiPriority w:val="99"/>
    <w:rPr>
      <w:rFonts w:ascii="Cambria" w:hAnsi="Cambria" w:eastAsia="宋体"/>
      <w:b/>
      <w:bCs/>
      <w:kern w:val="2"/>
      <w:sz w:val="32"/>
      <w:szCs w:val="32"/>
      <w:lang w:val="en-US" w:eastAsia="zh-CN" w:bidi="ar-SA"/>
    </w:rPr>
  </w:style>
  <w:style w:type="paragraph" w:customStyle="1" w:styleId="253">
    <w:name w:val="样式9 正文首行缩进"/>
    <w:basedOn w:val="17"/>
    <w:next w:val="1"/>
    <w:qFormat/>
    <w:uiPriority w:val="0"/>
    <w:pPr>
      <w:tabs>
        <w:tab w:val="left" w:pos="1254"/>
        <w:tab w:val="clear" w:pos="567"/>
      </w:tabs>
    </w:pPr>
    <w:rPr>
      <w:rFonts w:cs="仿宋_GB2312"/>
      <w:snapToGrid w:val="0"/>
      <w:kern w:val="0"/>
    </w:rPr>
  </w:style>
  <w:style w:type="paragraph" w:customStyle="1" w:styleId="254">
    <w:name w:val="Normal_0"/>
    <w:qFormat/>
    <w:uiPriority w:val="99"/>
    <w:pPr>
      <w:spacing w:before="120" w:after="240"/>
      <w:jc w:val="both"/>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5" Type="http://schemas.microsoft.com/office/2011/relationships/people" Target="people.xml"/><Relationship Id="rId84" Type="http://schemas.openxmlformats.org/officeDocument/2006/relationships/fontTable" Target="fontTable.xml"/><Relationship Id="rId83" Type="http://schemas.openxmlformats.org/officeDocument/2006/relationships/numbering" Target="numbering.xml"/><Relationship Id="rId82" Type="http://schemas.openxmlformats.org/officeDocument/2006/relationships/customXml" Target="../customXml/item1.xml"/><Relationship Id="rId81" Type="http://schemas.openxmlformats.org/officeDocument/2006/relationships/image" Target="media/image44.png"/><Relationship Id="rId80" Type="http://schemas.openxmlformats.org/officeDocument/2006/relationships/image" Target="media/image43.png"/><Relationship Id="rId8" Type="http://schemas.openxmlformats.org/officeDocument/2006/relationships/footer" Target="footer1.xml"/><Relationship Id="rId79" Type="http://schemas.openxmlformats.org/officeDocument/2006/relationships/image" Target="media/image42.png"/><Relationship Id="rId78" Type="http://schemas.openxmlformats.org/officeDocument/2006/relationships/image" Target="media/image41.png"/><Relationship Id="rId77" Type="http://schemas.openxmlformats.org/officeDocument/2006/relationships/image" Target="media/image40.png"/><Relationship Id="rId76" Type="http://schemas.openxmlformats.org/officeDocument/2006/relationships/image" Target="media/image39.png"/><Relationship Id="rId75" Type="http://schemas.openxmlformats.org/officeDocument/2006/relationships/image" Target="media/image38.png"/><Relationship Id="rId74" Type="http://schemas.openxmlformats.org/officeDocument/2006/relationships/image" Target="media/image37.png"/><Relationship Id="rId73" Type="http://schemas.openxmlformats.org/officeDocument/2006/relationships/image" Target="media/image36.png"/><Relationship Id="rId72" Type="http://schemas.openxmlformats.org/officeDocument/2006/relationships/image" Target="media/image35.png"/><Relationship Id="rId71" Type="http://schemas.openxmlformats.org/officeDocument/2006/relationships/image" Target="media/image34.png"/><Relationship Id="rId70" Type="http://schemas.openxmlformats.org/officeDocument/2006/relationships/image" Target="media/image33.png"/><Relationship Id="rId7" Type="http://schemas.openxmlformats.org/officeDocument/2006/relationships/header" Target="header3.xml"/><Relationship Id="rId69" Type="http://schemas.openxmlformats.org/officeDocument/2006/relationships/image" Target="media/image32.png"/><Relationship Id="rId68" Type="http://schemas.openxmlformats.org/officeDocument/2006/relationships/image" Target="media/image31.png"/><Relationship Id="rId67" Type="http://schemas.openxmlformats.org/officeDocument/2006/relationships/image" Target="media/image30.png"/><Relationship Id="rId66" Type="http://schemas.openxmlformats.org/officeDocument/2006/relationships/image" Target="media/image29.png"/><Relationship Id="rId65" Type="http://schemas.openxmlformats.org/officeDocument/2006/relationships/image" Target="media/image28.png"/><Relationship Id="rId64" Type="http://schemas.openxmlformats.org/officeDocument/2006/relationships/image" Target="media/image27.png"/><Relationship Id="rId63" Type="http://schemas.openxmlformats.org/officeDocument/2006/relationships/image" Target="media/image26.png"/><Relationship Id="rId62" Type="http://schemas.openxmlformats.org/officeDocument/2006/relationships/image" Target="media/image25.png"/><Relationship Id="rId61" Type="http://schemas.openxmlformats.org/officeDocument/2006/relationships/image" Target="media/image24.png"/><Relationship Id="rId60" Type="http://schemas.openxmlformats.org/officeDocument/2006/relationships/image" Target="media/image23.png"/><Relationship Id="rId6" Type="http://schemas.openxmlformats.org/officeDocument/2006/relationships/header" Target="header2.xml"/><Relationship Id="rId59" Type="http://schemas.openxmlformats.org/officeDocument/2006/relationships/image" Target="media/image22.png"/><Relationship Id="rId58" Type="http://schemas.openxmlformats.org/officeDocument/2006/relationships/image" Target="media/image21.png"/><Relationship Id="rId57" Type="http://schemas.openxmlformats.org/officeDocument/2006/relationships/image" Target="media/image20.png"/><Relationship Id="rId56" Type="http://schemas.openxmlformats.org/officeDocument/2006/relationships/image" Target="media/image19.png"/><Relationship Id="rId55" Type="http://schemas.openxmlformats.org/officeDocument/2006/relationships/image" Target="media/image18.png"/><Relationship Id="rId54" Type="http://schemas.openxmlformats.org/officeDocument/2006/relationships/image" Target="media/image17.png"/><Relationship Id="rId53" Type="http://schemas.openxmlformats.org/officeDocument/2006/relationships/image" Target="media/image16.pn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png"/><Relationship Id="rId5" Type="http://schemas.openxmlformats.org/officeDocument/2006/relationships/header" Target="header1.xml"/><Relationship Id="rId49" Type="http://schemas.openxmlformats.org/officeDocument/2006/relationships/image" Target="media/image12.png"/><Relationship Id="rId48" Type="http://schemas.openxmlformats.org/officeDocument/2006/relationships/image" Target="media/image11.png"/><Relationship Id="rId47" Type="http://schemas.openxmlformats.org/officeDocument/2006/relationships/image" Target="media/image10.png"/><Relationship Id="rId46" Type="http://schemas.openxmlformats.org/officeDocument/2006/relationships/image" Target="media/image9.png"/><Relationship Id="rId45" Type="http://schemas.openxmlformats.org/officeDocument/2006/relationships/image" Target="media/image8.png"/><Relationship Id="rId44" Type="http://schemas.openxmlformats.org/officeDocument/2006/relationships/image" Target="media/image7.png"/><Relationship Id="rId43" Type="http://schemas.openxmlformats.org/officeDocument/2006/relationships/image" Target="media/image6.png"/><Relationship Id="rId42" Type="http://schemas.openxmlformats.org/officeDocument/2006/relationships/image" Target="media/image5.png"/><Relationship Id="rId41" Type="http://schemas.openxmlformats.org/officeDocument/2006/relationships/image" Target="media/image4.png"/><Relationship Id="rId40" Type="http://schemas.openxmlformats.org/officeDocument/2006/relationships/image" Target="media/image3.png"/><Relationship Id="rId4" Type="http://schemas.microsoft.com/office/2011/relationships/commentsExtended" Target="commentsExtended.xml"/><Relationship Id="rId39" Type="http://schemas.openxmlformats.org/officeDocument/2006/relationships/image" Target="media/image2.png"/><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comments" Target="comment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224</Pages>
  <Words>4071</Words>
  <Characters>4517</Characters>
  <Lines>72866</Lines>
  <Paragraphs>16114</Paragraphs>
  <TotalTime>139</TotalTime>
  <ScaleCrop>false</ScaleCrop>
  <LinksUpToDate>false</LinksUpToDate>
  <CharactersWithSpaces>4620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Administrator</cp:lastModifiedBy>
  <cp:lastPrinted>2026-01-30T09:20:00Z</cp:lastPrinted>
  <dcterms:modified xsi:type="dcterms:W3CDTF">2026-07-07T01:20:56Z</dcterms:modified>
  <dc:title>政府采购示范文本（2023）</dc:title>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B196972313054D4789BB25DBD05B5736</vt:lpwstr>
  </property>
  <property fmtid="{D5CDD505-2E9C-101B-9397-08002B2CF9AE}" pid="4" name="KSOTemplateDocerSaveRecord">
    <vt:lpwstr>eyJoZGlkIjoiYWIxODAwZjc3MTA1ZDM0OGM0YjBhY2U4NTUyNjRiZWUifQ==</vt:lpwstr>
  </property>
</Properties>
</file>