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EA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中标结果公告</w:t>
      </w:r>
    </w:p>
    <w:p w14:paraId="34617CC6">
      <w:pPr>
        <w:rPr>
          <w:rFonts w:hint="eastAsia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28"/>
        </w:rPr>
        <w:t>一、项目编号</w:t>
      </w:r>
      <w:r>
        <w:rPr>
          <w:rFonts w:hint="eastAsia" w:ascii="仿宋" w:hAnsi="仿宋" w:eastAsia="仿宋"/>
          <w:sz w:val="28"/>
          <w:szCs w:val="28"/>
          <w:lang w:eastAsia="zh-CN"/>
        </w:rPr>
        <w:t>：11011526210200033867-XM001</w:t>
      </w:r>
    </w:p>
    <w:p w14:paraId="38DEB0E1">
      <w:pPr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二、项目名称</w:t>
      </w:r>
      <w:r>
        <w:rPr>
          <w:rFonts w:hint="eastAsia" w:ascii="仿宋" w:hAnsi="仿宋" w:eastAsia="仿宋"/>
          <w:sz w:val="28"/>
          <w:szCs w:val="28"/>
          <w:lang w:eastAsia="zh-CN"/>
        </w:rPr>
        <w:t>：大兴区中小学校办学装备提升项目（第一批）fwzx-交互式触控一体机（含黑板）</w:t>
      </w:r>
    </w:p>
    <w:p w14:paraId="437E2B16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三、中标信息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</w:p>
    <w:p w14:paraId="04439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第一包：</w:t>
      </w:r>
    </w:p>
    <w:p w14:paraId="6CD91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供应商名称：北京开拓永创科技发展有限公司</w:t>
      </w:r>
    </w:p>
    <w:p w14:paraId="6EDB4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供应商地址：北京市石景山区实兴大街30号院11号楼7层802</w:t>
      </w:r>
    </w:p>
    <w:p w14:paraId="3CA3BB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金额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3258405</w:t>
      </w:r>
      <w:r>
        <w:rPr>
          <w:rFonts w:hint="eastAsia" w:ascii="仿宋" w:hAnsi="仿宋" w:eastAsia="仿宋"/>
          <w:sz w:val="28"/>
          <w:szCs w:val="28"/>
        </w:rPr>
        <w:t>元</w:t>
      </w:r>
    </w:p>
    <w:p w14:paraId="6266F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第二包：</w:t>
      </w:r>
    </w:p>
    <w:p w14:paraId="262450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供应商名称：宏鑫致远（北京）科技有限公司</w:t>
      </w:r>
    </w:p>
    <w:p w14:paraId="48523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供应商地址：北京市昌平区科技园区超前路23号院C区2层211号</w:t>
      </w:r>
    </w:p>
    <w:p w14:paraId="0F0014B9">
      <w:pPr>
        <w:numPr>
          <w:ilvl w:val="0"/>
          <w:numId w:val="0"/>
        </w:num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金额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3252740</w:t>
      </w:r>
      <w:r>
        <w:rPr>
          <w:rFonts w:hint="eastAsia" w:ascii="仿宋" w:hAnsi="仿宋" w:eastAsia="仿宋"/>
          <w:sz w:val="28"/>
          <w:szCs w:val="28"/>
        </w:rPr>
        <w:t>元</w:t>
      </w:r>
    </w:p>
    <w:p w14:paraId="5E81F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第三包：</w:t>
      </w:r>
    </w:p>
    <w:p w14:paraId="09660C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供应商名称：北京中科国培阳光科技有限公司</w:t>
      </w:r>
    </w:p>
    <w:p w14:paraId="2075A6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供应商地址：北京市大兴区兴华大街三段67号院2号楼2至3层226</w:t>
      </w:r>
    </w:p>
    <w:p w14:paraId="2CBDC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中标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金额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3278080</w:t>
      </w:r>
      <w:r>
        <w:rPr>
          <w:rFonts w:hint="eastAsia" w:ascii="仿宋" w:hAnsi="仿宋" w:eastAsia="仿宋"/>
          <w:sz w:val="28"/>
          <w:szCs w:val="28"/>
        </w:rPr>
        <w:t>元</w:t>
      </w:r>
      <w:r>
        <w:rPr>
          <w:rFonts w:hint="eastAsia" w:ascii="仿宋" w:hAnsi="仿宋" w:eastAsia="仿宋"/>
          <w:sz w:val="28"/>
          <w:szCs w:val="28"/>
        </w:rPr>
        <w:br w:type="textWrapping"/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第四包：</w:t>
      </w:r>
    </w:p>
    <w:p w14:paraId="09E4EF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供应商名称：北京中汇荣华科技有限公司</w:t>
      </w:r>
    </w:p>
    <w:p w14:paraId="0BE26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供应商地址：北京市海淀区碧桐园5号楼1层113</w:t>
      </w:r>
    </w:p>
    <w:p w14:paraId="3034E5A0">
      <w:pPr>
        <w:numPr>
          <w:ilvl w:val="0"/>
          <w:numId w:val="0"/>
        </w:num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金额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3227790</w:t>
      </w:r>
      <w:r>
        <w:rPr>
          <w:rFonts w:hint="eastAsia" w:ascii="仿宋" w:hAnsi="仿宋" w:eastAsia="仿宋"/>
          <w:sz w:val="28"/>
          <w:szCs w:val="28"/>
        </w:rPr>
        <w:t>元</w:t>
      </w:r>
    </w:p>
    <w:p w14:paraId="63217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第五包：</w:t>
      </w:r>
    </w:p>
    <w:p w14:paraId="13104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供应商名称：北京凝瑞敬贤科技发展有限公司</w:t>
      </w:r>
    </w:p>
    <w:p w14:paraId="4B1DD0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供应商地址：北京市大兴区礼贤镇大礼路2号一层0058室（集群注册）</w:t>
      </w:r>
    </w:p>
    <w:p w14:paraId="70FC06D9">
      <w:pPr>
        <w:pStyle w:val="2"/>
        <w:ind w:left="0" w:leftChars="0" w:firstLine="0"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金额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3286400</w:t>
      </w:r>
      <w:r>
        <w:rPr>
          <w:rFonts w:hint="eastAsia" w:ascii="仿宋" w:hAnsi="仿宋" w:eastAsia="仿宋"/>
          <w:sz w:val="28"/>
          <w:szCs w:val="28"/>
        </w:rPr>
        <w:t>元</w:t>
      </w:r>
    </w:p>
    <w:p w14:paraId="25AD6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第六包：</w:t>
      </w:r>
    </w:p>
    <w:p w14:paraId="721BE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供应商名称：北京新兴雪松科技发展有限公司</w:t>
      </w:r>
    </w:p>
    <w:p w14:paraId="1823EC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供应商地址：北京市大兴区丽园B区12号楼一层108</w:t>
      </w:r>
    </w:p>
    <w:p w14:paraId="043F6AB6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金额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3254800</w:t>
      </w:r>
      <w:r>
        <w:rPr>
          <w:rFonts w:hint="eastAsia" w:ascii="仿宋" w:hAnsi="仿宋" w:eastAsia="仿宋"/>
          <w:sz w:val="28"/>
          <w:szCs w:val="28"/>
        </w:rPr>
        <w:t>元</w:t>
      </w:r>
    </w:p>
    <w:p w14:paraId="0B1FB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第七包：</w:t>
      </w:r>
    </w:p>
    <w:p w14:paraId="7FC75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供应商名称：北京盛达屏业科技有限公司</w:t>
      </w:r>
    </w:p>
    <w:p w14:paraId="78A83B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供应商地址：北京市大兴区新源大街29号院1号楼14层1408</w:t>
      </w:r>
    </w:p>
    <w:p w14:paraId="13986A51">
      <w:pPr>
        <w:pStyle w:val="2"/>
        <w:ind w:left="0" w:leftChars="0" w:firstLine="0"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金额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3254800</w:t>
      </w:r>
      <w:r>
        <w:rPr>
          <w:rFonts w:hint="eastAsia" w:ascii="仿宋" w:hAnsi="仿宋" w:eastAsia="仿宋"/>
          <w:sz w:val="28"/>
          <w:szCs w:val="28"/>
        </w:rPr>
        <w:t>元</w:t>
      </w:r>
    </w:p>
    <w:p w14:paraId="22DE8A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第八包：</w:t>
      </w:r>
    </w:p>
    <w:p w14:paraId="14503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供应商名称：北京康邦科技有限公司</w:t>
      </w:r>
    </w:p>
    <w:p w14:paraId="4562E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供应商地址：北京市海淀区东北旺西路8号院25号楼4层435室</w:t>
      </w:r>
    </w:p>
    <w:p w14:paraId="0373E6EE">
      <w:pPr>
        <w:pStyle w:val="2"/>
        <w:ind w:left="0" w:leftChars="0" w:firstLine="0"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金额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3288600</w:t>
      </w:r>
      <w:r>
        <w:rPr>
          <w:rFonts w:hint="eastAsia" w:ascii="仿宋" w:hAnsi="仿宋" w:eastAsia="仿宋"/>
          <w:sz w:val="28"/>
          <w:szCs w:val="28"/>
        </w:rPr>
        <w:t>元</w:t>
      </w:r>
    </w:p>
    <w:p w14:paraId="2131B7FD">
      <w:pPr>
        <w:numPr>
          <w:ilvl w:val="0"/>
          <w:numId w:val="1"/>
        </w:num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主要标的信息</w:t>
      </w:r>
    </w:p>
    <w:p w14:paraId="0794B627">
      <w:pPr>
        <w:pStyle w:val="2"/>
        <w:widowControl w:val="0"/>
        <w:numPr>
          <w:ilvl w:val="0"/>
          <w:numId w:val="0"/>
        </w:numPr>
        <w:jc w:val="both"/>
        <w:rPr>
          <w:rFonts w:hint="eastAsia"/>
        </w:rPr>
      </w:pPr>
    </w:p>
    <w:p w14:paraId="29334EF2">
      <w:pPr>
        <w:rPr>
          <w:rFonts w:hint="eastAsia"/>
        </w:rPr>
      </w:pPr>
    </w:p>
    <w:p w14:paraId="6EE3E60B">
      <w:pPr>
        <w:pStyle w:val="2"/>
        <w:rPr>
          <w:rFonts w:hint="eastAsia"/>
        </w:rPr>
      </w:pPr>
    </w:p>
    <w:p w14:paraId="3F18B01C">
      <w:pPr>
        <w:rPr>
          <w:rFonts w:hint="eastAsia"/>
        </w:rPr>
      </w:pPr>
    </w:p>
    <w:p w14:paraId="0AF8007A">
      <w:pPr>
        <w:pStyle w:val="2"/>
        <w:rPr>
          <w:rFonts w:hint="eastAsia"/>
        </w:rPr>
      </w:pPr>
    </w:p>
    <w:p w14:paraId="6DC8AF64">
      <w:pPr>
        <w:rPr>
          <w:rFonts w:hint="eastAsia"/>
        </w:rPr>
      </w:pPr>
    </w:p>
    <w:p w14:paraId="24B51ED1">
      <w:pPr>
        <w:pStyle w:val="2"/>
        <w:rPr>
          <w:rFonts w:hint="eastAsia"/>
        </w:rPr>
      </w:pPr>
    </w:p>
    <w:tbl>
      <w:tblPr>
        <w:tblStyle w:val="7"/>
        <w:tblpPr w:leftFromText="180" w:rightFromText="180" w:vertAnchor="text" w:horzAnchor="page" w:tblpX="1315" w:tblpY="251"/>
        <w:tblOverlap w:val="never"/>
        <w:tblW w:w="577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2"/>
        <w:gridCol w:w="2442"/>
        <w:gridCol w:w="2444"/>
        <w:gridCol w:w="2402"/>
      </w:tblGrid>
      <w:tr w14:paraId="3E1ED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300" w:type="pct"/>
          </w:tcPr>
          <w:p w14:paraId="59D88417"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第一包</w:t>
            </w:r>
          </w:p>
        </w:tc>
        <w:tc>
          <w:tcPr>
            <w:tcW w:w="1239" w:type="pct"/>
            <w:vAlign w:val="top"/>
          </w:tcPr>
          <w:p w14:paraId="143B8FB4">
            <w:pPr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第二包</w:t>
            </w:r>
          </w:p>
        </w:tc>
        <w:tc>
          <w:tcPr>
            <w:tcW w:w="1240" w:type="pct"/>
            <w:vAlign w:val="top"/>
          </w:tcPr>
          <w:p w14:paraId="1869038D">
            <w:pPr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第三包</w:t>
            </w:r>
          </w:p>
        </w:tc>
        <w:tc>
          <w:tcPr>
            <w:tcW w:w="1219" w:type="pct"/>
            <w:vAlign w:val="top"/>
          </w:tcPr>
          <w:p w14:paraId="2D043C41">
            <w:pPr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第四包</w:t>
            </w:r>
          </w:p>
        </w:tc>
      </w:tr>
      <w:tr w14:paraId="0244C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1" w:hRule="atLeast"/>
        </w:trPr>
        <w:tc>
          <w:tcPr>
            <w:tcW w:w="1300" w:type="pct"/>
            <w:vAlign w:val="center"/>
          </w:tcPr>
          <w:p w14:paraId="2C64A060">
            <w:pPr>
              <w:jc w:val="both"/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名称：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交互式触控一体机</w:t>
            </w:r>
          </w:p>
          <w:p w14:paraId="32DD9226">
            <w:pPr>
              <w:jc w:val="both"/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单价：28655元</w:t>
            </w:r>
          </w:p>
          <w:p w14:paraId="7A25311A">
            <w:pPr>
              <w:pStyle w:val="2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数量：103台</w:t>
            </w:r>
          </w:p>
          <w:p w14:paraId="76F90064">
            <w:pPr>
              <w:jc w:val="both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总价：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2951465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元</w:t>
            </w:r>
          </w:p>
        </w:tc>
        <w:tc>
          <w:tcPr>
            <w:tcW w:w="1239" w:type="pct"/>
            <w:vAlign w:val="center"/>
          </w:tcPr>
          <w:p w14:paraId="6AFFD3DE">
            <w:pPr>
              <w:jc w:val="both"/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名称：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交互式触控一体机</w:t>
            </w:r>
          </w:p>
          <w:p w14:paraId="027AAFEE">
            <w:pPr>
              <w:jc w:val="both"/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单价：25800元</w:t>
            </w:r>
          </w:p>
          <w:p w14:paraId="1C5AEAEB">
            <w:pPr>
              <w:pStyle w:val="2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数量：103台</w:t>
            </w:r>
          </w:p>
          <w:p w14:paraId="6B776F8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总价：2657400元</w:t>
            </w:r>
          </w:p>
        </w:tc>
        <w:tc>
          <w:tcPr>
            <w:tcW w:w="1240" w:type="pct"/>
            <w:vAlign w:val="center"/>
          </w:tcPr>
          <w:p w14:paraId="796131C1">
            <w:pPr>
              <w:jc w:val="both"/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名称：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交互式触控一体机</w:t>
            </w:r>
          </w:p>
          <w:p w14:paraId="5CF2D2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单价：28120元</w:t>
            </w:r>
          </w:p>
          <w:p w14:paraId="57BD27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数量：104台</w:t>
            </w:r>
          </w:p>
          <w:p w14:paraId="18B4B77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总价：2924480元</w:t>
            </w:r>
          </w:p>
        </w:tc>
        <w:tc>
          <w:tcPr>
            <w:tcW w:w="1219" w:type="pct"/>
            <w:vAlign w:val="center"/>
          </w:tcPr>
          <w:p w14:paraId="0979383E">
            <w:pPr>
              <w:jc w:val="both"/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名称：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交互式触控一体机</w:t>
            </w:r>
          </w:p>
          <w:p w14:paraId="7DC4C5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单价：26520元</w:t>
            </w:r>
          </w:p>
          <w:p w14:paraId="29DF759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数量：102台</w:t>
            </w:r>
          </w:p>
          <w:p w14:paraId="4AFFA22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总价：2705040元</w:t>
            </w:r>
          </w:p>
        </w:tc>
      </w:tr>
      <w:tr w14:paraId="536C0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300" w:type="pct"/>
            <w:vAlign w:val="center"/>
          </w:tcPr>
          <w:p w14:paraId="7D5E7E72">
            <w:pPr>
              <w:ind w:firstLine="280" w:firstLineChars="100"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第五包</w:t>
            </w:r>
          </w:p>
        </w:tc>
        <w:tc>
          <w:tcPr>
            <w:tcW w:w="1239" w:type="pct"/>
            <w:vAlign w:val="center"/>
          </w:tcPr>
          <w:p w14:paraId="3A381332">
            <w:pPr>
              <w:ind w:firstLine="280" w:firstLineChars="100"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第六包</w:t>
            </w:r>
          </w:p>
        </w:tc>
        <w:tc>
          <w:tcPr>
            <w:tcW w:w="1240" w:type="pct"/>
            <w:vAlign w:val="center"/>
          </w:tcPr>
          <w:p w14:paraId="4F91051F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第七包</w:t>
            </w:r>
          </w:p>
        </w:tc>
        <w:tc>
          <w:tcPr>
            <w:tcW w:w="1219" w:type="pct"/>
            <w:vAlign w:val="center"/>
          </w:tcPr>
          <w:p w14:paraId="21D8CD4C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第八包</w:t>
            </w:r>
          </w:p>
        </w:tc>
      </w:tr>
      <w:tr w14:paraId="7F7EE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</w:trPr>
        <w:tc>
          <w:tcPr>
            <w:tcW w:w="1300" w:type="pct"/>
            <w:vAlign w:val="center"/>
          </w:tcPr>
          <w:p w14:paraId="30C59054">
            <w:pPr>
              <w:jc w:val="both"/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名称：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交互式触控一体机</w:t>
            </w:r>
          </w:p>
          <w:p w14:paraId="330BC0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单价：28100元</w:t>
            </w:r>
          </w:p>
          <w:p w14:paraId="6B612006">
            <w:pPr>
              <w:pStyle w:val="2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数量：104台</w:t>
            </w:r>
          </w:p>
          <w:p w14:paraId="01F85EB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总价：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2922400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元</w:t>
            </w:r>
          </w:p>
        </w:tc>
        <w:tc>
          <w:tcPr>
            <w:tcW w:w="1239" w:type="pct"/>
            <w:vAlign w:val="center"/>
          </w:tcPr>
          <w:p w14:paraId="3F6744B3">
            <w:pPr>
              <w:jc w:val="both"/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名称：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交互式触控一体机</w:t>
            </w:r>
          </w:p>
          <w:p w14:paraId="51A8D948">
            <w:pPr>
              <w:pStyle w:val="2"/>
              <w:ind w:left="0" w:leftChars="0" w:firstLine="0" w:firstLineChars="0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单价：28000元</w:t>
            </w:r>
          </w:p>
          <w:p w14:paraId="7C368BE4">
            <w:pPr>
              <w:pStyle w:val="2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数量：103台</w:t>
            </w:r>
          </w:p>
          <w:p w14:paraId="0821C17A">
            <w:pPr>
              <w:pStyle w:val="2"/>
              <w:ind w:left="0" w:leftChars="0" w:firstLine="0" w:firstLineChars="0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总价：2884000 元</w:t>
            </w:r>
          </w:p>
        </w:tc>
        <w:tc>
          <w:tcPr>
            <w:tcW w:w="1240" w:type="pct"/>
            <w:vAlign w:val="center"/>
          </w:tcPr>
          <w:p w14:paraId="14621840">
            <w:pPr>
              <w:jc w:val="both"/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名称：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交互式触控一体机</w:t>
            </w:r>
          </w:p>
          <w:p w14:paraId="3D70D52A">
            <w:pPr>
              <w:pStyle w:val="2"/>
              <w:ind w:left="0" w:leftChars="0" w:firstLine="0" w:firstLineChars="0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单价：27600元</w:t>
            </w:r>
          </w:p>
          <w:p w14:paraId="4B7EC74E">
            <w:pPr>
              <w:pStyle w:val="2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数量：103台</w:t>
            </w:r>
          </w:p>
          <w:p w14:paraId="1C7DD348">
            <w:pPr>
              <w:pStyle w:val="2"/>
              <w:ind w:left="0" w:leftChars="0" w:firstLine="0" w:firstLineChars="0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总价：2842800元</w:t>
            </w:r>
          </w:p>
        </w:tc>
        <w:tc>
          <w:tcPr>
            <w:tcW w:w="1219" w:type="pct"/>
            <w:vAlign w:val="center"/>
          </w:tcPr>
          <w:p w14:paraId="5C7C5A2D">
            <w:pPr>
              <w:jc w:val="both"/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名称：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交互式触控一体机</w:t>
            </w:r>
          </w:p>
          <w:p w14:paraId="7578F47E">
            <w:pPr>
              <w:pStyle w:val="2"/>
              <w:ind w:left="0" w:leftChars="0" w:firstLine="0" w:firstLineChars="0"/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单价：28520元</w:t>
            </w:r>
          </w:p>
          <w:p w14:paraId="1FB3A8A9">
            <w:pPr>
              <w:pStyle w:val="2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数量：105台</w:t>
            </w:r>
          </w:p>
          <w:p w14:paraId="4CC452BB">
            <w:pPr>
              <w:pStyle w:val="2"/>
              <w:ind w:left="0" w:leftChars="0" w:firstLine="0" w:firstLineChars="0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总价：2994600元</w:t>
            </w:r>
          </w:p>
        </w:tc>
      </w:tr>
    </w:tbl>
    <w:p w14:paraId="3B7F4677">
      <w:pPr>
        <w:rPr>
          <w:rFonts w:hint="eastAsia" w:ascii="黑体" w:hAnsi="黑体" w:eastAsia="黑体" w:cs="黑体"/>
          <w:sz w:val="28"/>
          <w:szCs w:val="28"/>
        </w:rPr>
      </w:pPr>
    </w:p>
    <w:p w14:paraId="32D6ACE6">
      <w:pPr>
        <w:rPr>
          <w:rFonts w:hint="eastAsia"/>
        </w:rPr>
      </w:pPr>
      <w:r>
        <w:rPr>
          <w:rFonts w:hint="eastAsia" w:ascii="黑体" w:hAnsi="黑体" w:eastAsia="黑体" w:cs="黑体"/>
          <w:sz w:val="28"/>
          <w:szCs w:val="28"/>
        </w:rPr>
        <w:t>五、评审专家名单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</w:p>
    <w:p w14:paraId="74A53C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周水波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、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袁津生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、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葛金环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、赵兴、何晶、乔征、杨文起</w:t>
      </w:r>
    </w:p>
    <w:p w14:paraId="26EA8529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六、代理服务收费标准及金额：</w:t>
      </w:r>
    </w:p>
    <w:p w14:paraId="1E82F58E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不收取代理服务费</w:t>
      </w:r>
    </w:p>
    <w:p w14:paraId="3EEB87FF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七、公告期限</w:t>
      </w:r>
    </w:p>
    <w:p w14:paraId="37D24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自本公告发布之日起1个工作日</w:t>
      </w:r>
    </w:p>
    <w:p w14:paraId="2BE72306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八、其他补充事宜</w:t>
      </w:r>
    </w:p>
    <w:p w14:paraId="2CD25C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经评标小组评审，采购人确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定，</w:t>
      </w:r>
      <w:r>
        <w:rPr>
          <w:rFonts w:hint="eastAsia" w:ascii="仿宋" w:hAnsi="仿宋" w:eastAsia="仿宋"/>
          <w:sz w:val="28"/>
          <w:szCs w:val="28"/>
        </w:rPr>
        <w:t>北京开拓永创科技发展有限公司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被确定为本项目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第一包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中标供应商，评审总得分：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84.89分；</w:t>
      </w:r>
      <w:r>
        <w:rPr>
          <w:rFonts w:hint="eastAsia" w:ascii="仿宋" w:hAnsi="仿宋" w:eastAsia="仿宋"/>
          <w:sz w:val="28"/>
          <w:szCs w:val="28"/>
        </w:rPr>
        <w:t>宏鑫致远（北京）科技有限公司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被确定为本项目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第二包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中标供应商，评审总得分：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85.3分。</w:t>
      </w:r>
      <w:r>
        <w:rPr>
          <w:rFonts w:hint="eastAsia" w:ascii="仿宋" w:hAnsi="仿宋" w:eastAsia="仿宋"/>
          <w:sz w:val="28"/>
          <w:szCs w:val="28"/>
        </w:rPr>
        <w:t>北京中科国培阳光科技有限公司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被确定为本项目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第三包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中标供应商，评审总得分：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81.99分；</w:t>
      </w:r>
      <w:r>
        <w:rPr>
          <w:rFonts w:hint="eastAsia" w:ascii="仿宋" w:hAnsi="仿宋" w:eastAsia="仿宋"/>
          <w:sz w:val="28"/>
          <w:szCs w:val="28"/>
        </w:rPr>
        <w:t>北京中汇荣华科技有限公司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被确定为本项目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第四包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中标供应商，评审总得分：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86.09分；</w:t>
      </w:r>
      <w:r>
        <w:rPr>
          <w:rFonts w:hint="eastAsia" w:ascii="仿宋" w:hAnsi="仿宋" w:eastAsia="仿宋"/>
          <w:sz w:val="28"/>
          <w:szCs w:val="28"/>
        </w:rPr>
        <w:t>北京凝瑞敬贤科技发展有限公司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被确定为本项目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第五包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中标供应商，评审总得分：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91.64分；</w:t>
      </w:r>
      <w:r>
        <w:rPr>
          <w:rFonts w:hint="eastAsia" w:ascii="仿宋" w:hAnsi="仿宋" w:eastAsia="仿宋"/>
          <w:sz w:val="28"/>
          <w:szCs w:val="28"/>
        </w:rPr>
        <w:t>北京新兴雪松科技发展有限公司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被确定为本项目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第六包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中标供应商，评审总得分：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87.74分；</w:t>
      </w:r>
      <w:r>
        <w:rPr>
          <w:rFonts w:hint="eastAsia" w:ascii="仿宋" w:hAnsi="仿宋" w:eastAsia="仿宋"/>
          <w:sz w:val="28"/>
          <w:szCs w:val="28"/>
        </w:rPr>
        <w:t>北京盛达屏业科技有限公司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被确定为本项目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第七包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中标供应商，评审总得分：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80.26分；</w:t>
      </w:r>
      <w:r>
        <w:rPr>
          <w:rFonts w:hint="eastAsia" w:ascii="仿宋" w:hAnsi="仿宋" w:eastAsia="仿宋"/>
          <w:sz w:val="28"/>
          <w:szCs w:val="28"/>
        </w:rPr>
        <w:t>北京康邦科技有限公司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被确定为本项目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第八包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中标供应商，评审总得分：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84.94分。</w:t>
      </w:r>
    </w:p>
    <w:p w14:paraId="16CB2F43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九、凡对本次公告内容提出询问，请按以下方式联系。</w:t>
      </w:r>
    </w:p>
    <w:p w14:paraId="589B9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1.采购人信息</w:t>
      </w:r>
    </w:p>
    <w:p w14:paraId="47E8059C">
      <w:pPr>
        <w:pStyle w:val="10"/>
        <w:widowControl w:val="0"/>
        <w:autoSpaceDE w:val="0"/>
        <w:autoSpaceDN w:val="0"/>
        <w:adjustRightInd w:val="0"/>
        <w:spacing w:before="0" w:after="0"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名    称：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北京市大兴区教育综合服务中心</w:t>
      </w:r>
    </w:p>
    <w:p w14:paraId="26DA738C">
      <w:pPr>
        <w:pStyle w:val="10"/>
        <w:widowControl w:val="0"/>
        <w:autoSpaceDE w:val="0"/>
        <w:autoSpaceDN w:val="0"/>
        <w:adjustRightInd w:val="0"/>
        <w:spacing w:before="0" w:after="0" w:line="360" w:lineRule="auto"/>
        <w:ind w:firstLine="560" w:firstLineChars="200"/>
        <w:rPr>
          <w:rFonts w:hint="eastAsia" w:ascii="仿宋_GB2312" w:eastAsia="仿宋_GB2312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地    址：</w:t>
      </w:r>
      <w:bookmarkStart w:id="0" w:name="_Hlk44403296"/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大兴区黄村镇龙河路东侧</w:t>
      </w:r>
    </w:p>
    <w:bookmarkEnd w:id="0"/>
    <w:p w14:paraId="3BAE3323">
      <w:pPr>
        <w:pStyle w:val="10"/>
        <w:widowControl w:val="0"/>
        <w:autoSpaceDE w:val="0"/>
        <w:autoSpaceDN w:val="0"/>
        <w:adjustRightInd w:val="0"/>
        <w:spacing w:before="0" w:after="0" w:line="360" w:lineRule="auto"/>
        <w:ind w:firstLine="560" w:firstLineChars="200"/>
        <w:rPr>
          <w:rFonts w:hint="eastAsia" w:ascii="仿宋" w:hAnsi="仿宋" w:eastAsia="仿宋" w:cs="Times New Roman"/>
          <w:color w:val="auto"/>
          <w:kern w:val="2"/>
          <w:sz w:val="24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z w:val="28"/>
          <w:szCs w:val="28"/>
        </w:rPr>
        <w:t>联系方式：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69256371</w:t>
      </w:r>
      <w:bookmarkStart w:id="1" w:name="_GoBack"/>
      <w:bookmarkEnd w:id="1"/>
    </w:p>
    <w:p w14:paraId="213471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2.采购代理机构信息</w:t>
      </w:r>
    </w:p>
    <w:p w14:paraId="14B8F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名    称：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北京市大兴区政府采购中心</w:t>
      </w:r>
    </w:p>
    <w:p w14:paraId="3392C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地　  址：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北京市大兴区公共资源交易分中心三层</w:t>
      </w:r>
    </w:p>
    <w:p w14:paraId="50260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联系方式：</w:t>
      </w:r>
      <w:r>
        <w:rPr>
          <w:rFonts w:hint="eastAsia" w:ascii="仿宋" w:hAnsi="仿宋" w:eastAsia="仿宋" w:cs="仿宋"/>
          <w:sz w:val="28"/>
          <w:szCs w:val="28"/>
          <w:u w:val="none"/>
        </w:rPr>
        <w:t>010-69231333、69231339</w:t>
      </w:r>
    </w:p>
    <w:p w14:paraId="7CBE1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3.项目联系方式</w:t>
      </w:r>
    </w:p>
    <w:p w14:paraId="644F3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项目联系人：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王老师</w:t>
      </w:r>
    </w:p>
    <w:p w14:paraId="794E1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电　  话：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010-69231333转201</w:t>
      </w:r>
    </w:p>
    <w:p w14:paraId="2ECD2E4E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十、附件</w:t>
      </w:r>
    </w:p>
    <w:p w14:paraId="08DC6CEE">
      <w:pPr>
        <w:ind w:firstLine="560" w:firstLineChars="200"/>
      </w:pPr>
      <w:r>
        <w:rPr>
          <w:rFonts w:hint="eastAsia" w:ascii="仿宋" w:hAnsi="仿宋" w:eastAsia="仿宋" w:cs="仿宋"/>
          <w:sz w:val="28"/>
          <w:szCs w:val="28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EB5EE1"/>
    <w:multiLevelType w:val="singleLevel"/>
    <w:tmpl w:val="47EB5EE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wZTUxNTQzMmNmODY4OThmZjFmNWVhMTU1NGJmYjgifQ=="/>
  </w:docVars>
  <w:rsids>
    <w:rsidRoot w:val="00172A27"/>
    <w:rsid w:val="005D4603"/>
    <w:rsid w:val="0080131C"/>
    <w:rsid w:val="00EA5D5C"/>
    <w:rsid w:val="00FC3B51"/>
    <w:rsid w:val="017902ED"/>
    <w:rsid w:val="01BA5B62"/>
    <w:rsid w:val="01F47824"/>
    <w:rsid w:val="03163071"/>
    <w:rsid w:val="03A9796F"/>
    <w:rsid w:val="086929DB"/>
    <w:rsid w:val="0A4C4224"/>
    <w:rsid w:val="0C25278A"/>
    <w:rsid w:val="0F754385"/>
    <w:rsid w:val="0F7B0065"/>
    <w:rsid w:val="0F896F6F"/>
    <w:rsid w:val="0F960D6F"/>
    <w:rsid w:val="17E67B60"/>
    <w:rsid w:val="1865390F"/>
    <w:rsid w:val="1892622F"/>
    <w:rsid w:val="1906611A"/>
    <w:rsid w:val="1A6F2A31"/>
    <w:rsid w:val="1D102A74"/>
    <w:rsid w:val="1D940DB0"/>
    <w:rsid w:val="1EA566F2"/>
    <w:rsid w:val="2011428E"/>
    <w:rsid w:val="232079C4"/>
    <w:rsid w:val="23576273"/>
    <w:rsid w:val="23E72442"/>
    <w:rsid w:val="263373EC"/>
    <w:rsid w:val="264048FF"/>
    <w:rsid w:val="27AF5446"/>
    <w:rsid w:val="299A0E04"/>
    <w:rsid w:val="2A4F17B1"/>
    <w:rsid w:val="2D3F3E44"/>
    <w:rsid w:val="2DD55BC4"/>
    <w:rsid w:val="2EA47FAC"/>
    <w:rsid w:val="2F4479AE"/>
    <w:rsid w:val="2FE9188B"/>
    <w:rsid w:val="309F161A"/>
    <w:rsid w:val="31684A32"/>
    <w:rsid w:val="32255F11"/>
    <w:rsid w:val="32660391"/>
    <w:rsid w:val="328F6BFC"/>
    <w:rsid w:val="33212FBC"/>
    <w:rsid w:val="35BA1CC4"/>
    <w:rsid w:val="36F0533F"/>
    <w:rsid w:val="373943B7"/>
    <w:rsid w:val="379D6BDA"/>
    <w:rsid w:val="37B06E27"/>
    <w:rsid w:val="38257918"/>
    <w:rsid w:val="38914439"/>
    <w:rsid w:val="38A04411"/>
    <w:rsid w:val="39561614"/>
    <w:rsid w:val="39C857AC"/>
    <w:rsid w:val="39E505CC"/>
    <w:rsid w:val="3A0A068D"/>
    <w:rsid w:val="3A302D0B"/>
    <w:rsid w:val="3AD752B8"/>
    <w:rsid w:val="3B2B58C8"/>
    <w:rsid w:val="3BB06F14"/>
    <w:rsid w:val="3DB80AEF"/>
    <w:rsid w:val="3DC52B58"/>
    <w:rsid w:val="3EF87FD9"/>
    <w:rsid w:val="41695227"/>
    <w:rsid w:val="43864E1C"/>
    <w:rsid w:val="43CB69AE"/>
    <w:rsid w:val="450612DE"/>
    <w:rsid w:val="466F7606"/>
    <w:rsid w:val="47464504"/>
    <w:rsid w:val="475455D0"/>
    <w:rsid w:val="494A752C"/>
    <w:rsid w:val="49A07481"/>
    <w:rsid w:val="4C165825"/>
    <w:rsid w:val="4C303F46"/>
    <w:rsid w:val="4C5A46E9"/>
    <w:rsid w:val="4CEA4248"/>
    <w:rsid w:val="4D4917A1"/>
    <w:rsid w:val="4EAE256E"/>
    <w:rsid w:val="50882CA2"/>
    <w:rsid w:val="5198235F"/>
    <w:rsid w:val="52A801C5"/>
    <w:rsid w:val="555D5DAC"/>
    <w:rsid w:val="55D829CA"/>
    <w:rsid w:val="56D36FB6"/>
    <w:rsid w:val="56DA167E"/>
    <w:rsid w:val="574370F4"/>
    <w:rsid w:val="57E16165"/>
    <w:rsid w:val="584C035A"/>
    <w:rsid w:val="586820F4"/>
    <w:rsid w:val="58E01CDD"/>
    <w:rsid w:val="592E476E"/>
    <w:rsid w:val="5996453D"/>
    <w:rsid w:val="5C0C4C8E"/>
    <w:rsid w:val="5D6600AF"/>
    <w:rsid w:val="5E005E6E"/>
    <w:rsid w:val="6091109A"/>
    <w:rsid w:val="619A7D90"/>
    <w:rsid w:val="62F561DC"/>
    <w:rsid w:val="64351C30"/>
    <w:rsid w:val="657607C4"/>
    <w:rsid w:val="65B21C8D"/>
    <w:rsid w:val="65F54E11"/>
    <w:rsid w:val="67E1286C"/>
    <w:rsid w:val="68391051"/>
    <w:rsid w:val="68B402F8"/>
    <w:rsid w:val="68B5463E"/>
    <w:rsid w:val="6AC447F1"/>
    <w:rsid w:val="6BB54295"/>
    <w:rsid w:val="6BCD3CBC"/>
    <w:rsid w:val="6D9558E8"/>
    <w:rsid w:val="6F10348F"/>
    <w:rsid w:val="6FE238B2"/>
    <w:rsid w:val="716E3E59"/>
    <w:rsid w:val="717A6734"/>
    <w:rsid w:val="71EE5130"/>
    <w:rsid w:val="72A23AA5"/>
    <w:rsid w:val="73CE33F5"/>
    <w:rsid w:val="740E1D63"/>
    <w:rsid w:val="7581743D"/>
    <w:rsid w:val="769073C2"/>
    <w:rsid w:val="78B505D9"/>
    <w:rsid w:val="78C42189"/>
    <w:rsid w:val="794656AE"/>
    <w:rsid w:val="7B1304F0"/>
    <w:rsid w:val="7C9F2269"/>
    <w:rsid w:val="7CDF0B9E"/>
    <w:rsid w:val="7D1C3F4A"/>
    <w:rsid w:val="7D546AB8"/>
    <w:rsid w:val="7FA7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autoRedefine/>
    <w:qFormat/>
    <w:uiPriority w:val="0"/>
    <w:pPr>
      <w:ind w:left="840" w:leftChars="400"/>
    </w:pPr>
  </w:style>
  <w:style w:type="paragraph" w:styleId="4">
    <w:name w:val="Body Text"/>
    <w:basedOn w:val="1"/>
    <w:next w:val="5"/>
    <w:autoRedefine/>
    <w:unhideWhenUsed/>
    <w:qFormat/>
    <w:uiPriority w:val="99"/>
    <w:pPr>
      <w:spacing w:after="120"/>
    </w:pPr>
  </w:style>
  <w:style w:type="paragraph" w:customStyle="1" w:styleId="5">
    <w:name w:val="目录 11"/>
    <w:next w:val="1"/>
    <w:autoRedefine/>
    <w:qFormat/>
    <w:uiPriority w:val="0"/>
    <w:pPr>
      <w:wordWrap w:val="0"/>
      <w:jc w:val="both"/>
    </w:pPr>
    <w:rPr>
      <w:rFonts w:ascii="Calibri" w:hAnsi="Calibri" w:eastAsia="宋体" w:cs="Calibri"/>
      <w:sz w:val="21"/>
      <w:szCs w:val="22"/>
      <w:lang w:val="en-US" w:eastAsia="zh-CN" w:bidi="ar-SA"/>
    </w:rPr>
  </w:style>
  <w:style w:type="table" w:styleId="7">
    <w:name w:val="Table Grid"/>
    <w:basedOn w:val="6"/>
    <w:autoRedefine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Normal_0"/>
    <w:autoRedefine/>
    <w:qFormat/>
    <w:uiPriority w:val="0"/>
    <w:pPr>
      <w:spacing w:before="120" w:after="240"/>
      <w:jc w:val="both"/>
    </w:pPr>
    <w:rPr>
      <w:rFonts w:ascii="Calibri" w:hAnsi="Calibri" w:eastAsia="Calibri" w:cs="Times New Roman"/>
      <w:kern w:val="0"/>
      <w:sz w:val="22"/>
      <w:szCs w:val="22"/>
      <w:lang w:val="en-US" w:eastAsia="en-US" w:bidi="ar-SA"/>
    </w:rPr>
  </w:style>
  <w:style w:type="character" w:customStyle="1" w:styleId="11">
    <w:name w:val="not([class*=suffix])"/>
    <w:basedOn w:val="8"/>
    <w:autoRedefine/>
    <w:qFormat/>
    <w:uiPriority w:val="0"/>
    <w:rPr>
      <w:sz w:val="15"/>
      <w:szCs w:val="1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628</Words>
  <Characters>779</Characters>
  <Lines>0</Lines>
  <Paragraphs>0</Paragraphs>
  <TotalTime>0</TotalTime>
  <ScaleCrop>false</ScaleCrop>
  <LinksUpToDate>false</LinksUpToDate>
  <CharactersWithSpaces>779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2022-02-18T08:25:00Z</dcterms:created>
  <dc:creator>解艳侠</dc:creator>
  <cp:lastModifiedBy>洛上忘川</cp:lastModifiedBy>
  <dcterms:modified xsi:type="dcterms:W3CDTF">2026-08-27T08:07:42Z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478B6311511E4D599053C48ED304B6DF_13</vt:lpwstr>
  </property>
  <property fmtid="{D5CDD505-2E9C-101B-9397-08002B2CF9AE}" pid="4" name="KSOTemplateDocerSaveRecord">
    <vt:lpwstr>eyJoZGlkIjoiYzhkM2YyZTY0MjRkOGZhZjI0MTA3MGNiNGFlMWFiYmEiLCJ1c2VySWQiOiI4MDQyNTMyMjMifQ==</vt:lpwstr>
  </property>
</Properties>
</file>