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240"/>
          <w:tab w:val="left" w:pos="3420"/>
        </w:tabs>
        <w:spacing w:line="360" w:lineRule="auto"/>
        <w:rPr>
          <w:rFonts w:ascii="宋体" w:hAnsi="宋体"/>
          <w:bCs/>
          <w:color w:val="auto"/>
          <w:sz w:val="38"/>
          <w:szCs w:val="38"/>
          <w:highlight w:val="none"/>
        </w:rPr>
      </w:pPr>
      <w:bookmarkStart w:id="0" w:name="_Toc99301418"/>
      <w:bookmarkStart w:id="1047" w:name="_GoBack"/>
    </w:p>
    <w:p>
      <w:pPr>
        <w:spacing w:before="16" w:line="364" w:lineRule="auto"/>
        <w:ind w:left="3430" w:hanging="3430"/>
        <w:jc w:val="center"/>
        <w:rPr>
          <w:b/>
          <w:color w:val="auto"/>
          <w:sz w:val="60"/>
          <w:highlight w:val="none"/>
        </w:rPr>
      </w:pPr>
    </w:p>
    <w:p>
      <w:pPr>
        <w:spacing w:before="16" w:line="364" w:lineRule="auto"/>
        <w:ind w:left="3430" w:hanging="3430"/>
        <w:jc w:val="center"/>
        <w:rPr>
          <w:b/>
          <w:color w:val="auto"/>
          <w:sz w:val="60"/>
          <w:highlight w:val="none"/>
        </w:rPr>
      </w:pPr>
    </w:p>
    <w:p>
      <w:pPr>
        <w:spacing w:before="16" w:line="364" w:lineRule="auto"/>
        <w:ind w:left="3430" w:hanging="3430"/>
        <w:jc w:val="center"/>
        <w:rPr>
          <w:b/>
          <w:color w:val="auto"/>
          <w:sz w:val="60"/>
          <w:highlight w:val="none"/>
        </w:rPr>
      </w:pPr>
      <w:r>
        <w:rPr>
          <w:b/>
          <w:color w:val="auto"/>
          <w:sz w:val="60"/>
          <w:highlight w:val="none"/>
        </w:rPr>
        <w:t>北京市政府采购项目</w:t>
      </w:r>
    </w:p>
    <w:p>
      <w:pPr>
        <w:spacing w:before="16" w:line="364" w:lineRule="auto"/>
        <w:ind w:left="3430" w:hanging="3430"/>
        <w:jc w:val="center"/>
        <w:rPr>
          <w:rFonts w:hint="eastAsia"/>
          <w:b/>
          <w:color w:val="auto"/>
          <w:sz w:val="60"/>
          <w:highlight w:val="none"/>
        </w:rPr>
      </w:pPr>
      <w:r>
        <w:rPr>
          <w:b/>
          <w:color w:val="auto"/>
          <w:sz w:val="60"/>
          <w:highlight w:val="none"/>
        </w:rPr>
        <w:t>公开招标文件</w:t>
      </w:r>
    </w:p>
    <w:p>
      <w:pPr>
        <w:pStyle w:val="17"/>
        <w:rPr>
          <w:rFonts w:hint="eastAsia"/>
          <w:b/>
          <w:color w:val="auto"/>
          <w:sz w:val="60"/>
          <w:highlight w:val="none"/>
        </w:rPr>
      </w:pPr>
    </w:p>
    <w:p>
      <w:pPr>
        <w:pStyle w:val="17"/>
        <w:rPr>
          <w:rFonts w:hint="eastAsia"/>
          <w:b/>
          <w:color w:val="auto"/>
          <w:sz w:val="60"/>
          <w:highlight w:val="none"/>
        </w:rPr>
      </w:pPr>
    </w:p>
    <w:p>
      <w:pPr>
        <w:spacing w:line="360" w:lineRule="auto"/>
        <w:rPr>
          <w:rFonts w:hint="eastAsia" w:ascii="宋体" w:hAnsi="宋体" w:eastAsia="宋体"/>
          <w:color w:val="auto"/>
          <w:sz w:val="32"/>
          <w:szCs w:val="32"/>
          <w:highlight w:val="none"/>
          <w:u w:val="single"/>
          <w:lang w:val="en" w:eastAsia="zh-CN"/>
        </w:rPr>
      </w:pPr>
      <w:r>
        <w:rPr>
          <w:rFonts w:ascii="宋体" w:hAnsi="宋体"/>
          <w:color w:val="auto"/>
          <w:sz w:val="32"/>
          <w:szCs w:val="32"/>
          <w:highlight w:val="none"/>
        </w:rPr>
        <w:t>项目名称：</w:t>
      </w:r>
      <w:r>
        <w:rPr>
          <w:rFonts w:hint="eastAsia" w:ascii="宋体" w:hAnsi="宋体"/>
          <w:color w:val="auto"/>
          <w:sz w:val="32"/>
          <w:szCs w:val="32"/>
          <w:highlight w:val="none"/>
          <w:u w:val="single"/>
          <w:lang w:eastAsia="zh-CN"/>
        </w:rPr>
        <w:t>平谷区中小学校办学装备提升项目交互式触控一体机购置</w:t>
      </w:r>
    </w:p>
    <w:p>
      <w:pPr>
        <w:spacing w:line="360" w:lineRule="auto"/>
        <w:rPr>
          <w:rFonts w:hint="default" w:ascii="宋体" w:hAnsi="宋体"/>
          <w:color w:val="auto"/>
          <w:sz w:val="32"/>
          <w:szCs w:val="32"/>
          <w:highlight w:val="none"/>
          <w:u w:val="single"/>
          <w:lang w:val="en-US"/>
        </w:rPr>
      </w:pPr>
      <w:r>
        <w:rPr>
          <w:rFonts w:ascii="宋体" w:hAnsi="宋体"/>
          <w:color w:val="auto"/>
          <w:sz w:val="32"/>
          <w:szCs w:val="32"/>
          <w:highlight w:val="none"/>
        </w:rPr>
        <w:t>项目编号：</w:t>
      </w:r>
      <w:r>
        <w:rPr>
          <w:color w:val="auto"/>
          <w:sz w:val="32"/>
          <w:highlight w:val="none"/>
          <w:u w:val="single"/>
        </w:rPr>
        <w:t>PGCGZX--</w:t>
      </w:r>
      <w:r>
        <w:rPr>
          <w:rFonts w:hint="eastAsia"/>
          <w:color w:val="auto"/>
          <w:sz w:val="32"/>
          <w:highlight w:val="none"/>
          <w:u w:val="single"/>
          <w:lang w:val="en-US" w:eastAsia="zh-CN"/>
        </w:rPr>
        <w:t>26010</w:t>
      </w:r>
    </w:p>
    <w:p>
      <w:pPr>
        <w:spacing w:line="360" w:lineRule="auto"/>
        <w:rPr>
          <w:rFonts w:ascii="宋体" w:hAnsi="宋体"/>
          <w:color w:val="auto"/>
          <w:sz w:val="32"/>
          <w:szCs w:val="32"/>
          <w:highlight w:val="none"/>
          <w:u w:val="single"/>
        </w:rPr>
      </w:pPr>
      <w:r>
        <w:rPr>
          <w:rFonts w:ascii="宋体" w:hAnsi="宋体"/>
          <w:color w:val="auto"/>
          <w:sz w:val="32"/>
          <w:szCs w:val="32"/>
          <w:highlight w:val="none"/>
        </w:rPr>
        <w:t>采 购 人：</w:t>
      </w:r>
      <w:r>
        <w:rPr>
          <w:rFonts w:hint="eastAsia" w:ascii="宋体" w:hAnsi="宋体"/>
          <w:color w:val="auto"/>
          <w:sz w:val="32"/>
          <w:szCs w:val="32"/>
          <w:highlight w:val="none"/>
          <w:u w:val="single"/>
        </w:rPr>
        <w:t>北京市平谷区学校后勤事务中心</w:t>
      </w:r>
    </w:p>
    <w:p>
      <w:pPr>
        <w:spacing w:line="360" w:lineRule="auto"/>
        <w:rPr>
          <w:rFonts w:ascii="宋体" w:hAnsi="宋体"/>
          <w:color w:val="auto"/>
          <w:sz w:val="32"/>
          <w:szCs w:val="32"/>
          <w:highlight w:val="none"/>
          <w:u w:val="single"/>
        </w:rPr>
      </w:pPr>
      <w:r>
        <w:rPr>
          <w:rFonts w:ascii="宋体" w:hAnsi="宋体"/>
          <w:color w:val="auto"/>
          <w:sz w:val="32"/>
          <w:szCs w:val="32"/>
          <w:highlight w:val="none"/>
        </w:rPr>
        <w:t>采购代理机构：</w:t>
      </w:r>
      <w:r>
        <w:rPr>
          <w:rFonts w:hint="eastAsia"/>
          <w:color w:val="auto"/>
          <w:sz w:val="32"/>
          <w:highlight w:val="none"/>
          <w:u w:val="single"/>
        </w:rPr>
        <w:t>北京市平谷区政府采购中心</w:t>
      </w:r>
    </w:p>
    <w:p>
      <w:pPr>
        <w:widowControl/>
        <w:jc w:val="left"/>
        <w:rPr>
          <w:b/>
          <w:bCs/>
          <w:color w:val="auto"/>
          <w:sz w:val="44"/>
          <w:highlight w:val="none"/>
        </w:rPr>
      </w:pPr>
      <w:r>
        <w:rPr>
          <w:b/>
          <w:bCs/>
          <w:color w:val="auto"/>
          <w:sz w:val="44"/>
          <w:highlight w:val="none"/>
        </w:rPr>
        <w:br w:type="page"/>
      </w:r>
    </w:p>
    <w:p>
      <w:pPr>
        <w:tabs>
          <w:tab w:val="left" w:pos="3240"/>
          <w:tab w:val="left" w:pos="3420"/>
        </w:tabs>
        <w:spacing w:line="360" w:lineRule="auto"/>
        <w:rPr>
          <w:rFonts w:ascii="宋体" w:hAnsi="宋体"/>
          <w:bCs/>
          <w:color w:val="auto"/>
          <w:sz w:val="38"/>
          <w:szCs w:val="38"/>
          <w:highlight w:val="none"/>
        </w:rPr>
      </w:pPr>
    </w:p>
    <w:sdt>
      <w:sdtPr>
        <w:rPr>
          <w:rFonts w:ascii="宋体" w:hAnsi="宋体" w:eastAsia="宋体" w:cs="Times New Roman"/>
          <w:color w:val="auto"/>
          <w:kern w:val="2"/>
          <w:sz w:val="21"/>
          <w:szCs w:val="24"/>
          <w:highlight w:val="none"/>
          <w:lang w:val="zh-CN"/>
        </w:rPr>
        <w:id w:val="1831558726"/>
        <w:docPartObj>
          <w:docPartGallery w:val="Table of Contents"/>
          <w:docPartUnique/>
        </w:docPartObj>
      </w:sdtPr>
      <w:sdtEndPr>
        <w:rPr>
          <w:rFonts w:ascii="宋体" w:hAnsi="宋体" w:eastAsia="宋体" w:cs="Times New Roman"/>
          <w:b/>
          <w:bCs/>
          <w:color w:val="auto"/>
          <w:kern w:val="2"/>
          <w:sz w:val="21"/>
          <w:szCs w:val="24"/>
          <w:highlight w:val="none"/>
          <w:lang w:val="zh-CN"/>
        </w:rPr>
      </w:sdtEndPr>
      <w:sdtContent>
        <w:p>
          <w:pPr>
            <w:pStyle w:val="255"/>
            <w:jc w:val="center"/>
            <w:rPr>
              <w:rFonts w:hint="eastAsia" w:ascii="宋体" w:hAnsi="宋体" w:eastAsia="宋体"/>
              <w:b/>
              <w:bCs/>
              <w:color w:val="auto"/>
              <w:highlight w:val="none"/>
            </w:rPr>
          </w:pPr>
          <w:r>
            <w:rPr>
              <w:rFonts w:ascii="宋体" w:hAnsi="宋体" w:eastAsia="宋体"/>
              <w:b/>
              <w:bCs/>
              <w:color w:val="auto"/>
              <w:highlight w:val="none"/>
              <w:lang w:val="zh-CN"/>
            </w:rPr>
            <w:t>目</w:t>
          </w:r>
          <w:r>
            <w:rPr>
              <w:rFonts w:hint="eastAsia" w:ascii="宋体" w:hAnsi="宋体" w:eastAsia="宋体"/>
              <w:b/>
              <w:bCs/>
              <w:color w:val="auto"/>
              <w:highlight w:val="none"/>
              <w:lang w:val="zh-CN"/>
            </w:rPr>
            <w:t xml:space="preserve"> </w:t>
          </w:r>
          <w:r>
            <w:rPr>
              <w:rFonts w:ascii="宋体" w:hAnsi="宋体" w:eastAsia="宋体"/>
              <w:b/>
              <w:bCs/>
              <w:color w:val="auto"/>
              <w:highlight w:val="none"/>
              <w:lang w:val="zh-CN"/>
            </w:rPr>
            <w:t>录</w:t>
          </w:r>
        </w:p>
        <w:p>
          <w:pPr>
            <w:pStyle w:val="32"/>
            <w:rPr>
              <w:rFonts w:hint="eastAsia" w:cstheme="minorBidi"/>
              <w:b w:val="0"/>
              <w:color w:val="auto"/>
              <w:sz w:val="21"/>
              <w:szCs w:val="22"/>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p>
        <w:p>
          <w:pPr>
            <w:pStyle w:val="32"/>
            <w:spacing w:line="360" w:lineRule="auto"/>
            <w:rPr>
              <w:rFonts w:hint="eastAsia" w:cstheme="minorBidi"/>
              <w:b w:val="0"/>
              <w:color w:val="auto"/>
              <w:sz w:val="21"/>
              <w:szCs w:val="22"/>
              <w:highlight w:val="none"/>
            </w:rPr>
          </w:pPr>
          <w:r>
            <w:rPr>
              <w:color w:val="auto"/>
              <w:highlight w:val="none"/>
            </w:rPr>
            <w:fldChar w:fldCharType="begin"/>
          </w:r>
          <w:r>
            <w:rPr>
              <w:color w:val="auto"/>
              <w:highlight w:val="none"/>
            </w:rPr>
            <w:instrText xml:space="preserve"> HYPERLINK \l "_Toc162978979" </w:instrText>
          </w:r>
          <w:r>
            <w:rPr>
              <w:color w:val="auto"/>
              <w:highlight w:val="none"/>
            </w:rPr>
            <w:fldChar w:fldCharType="separate"/>
          </w:r>
          <w:r>
            <w:rPr>
              <w:rStyle w:val="52"/>
              <w:color w:val="auto"/>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_Toc162978979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pPr>
            <w:pStyle w:val="32"/>
            <w:spacing w:line="360" w:lineRule="auto"/>
            <w:rPr>
              <w:rFonts w:hint="eastAsia" w:cstheme="minorBidi"/>
              <w:b w:val="0"/>
              <w:color w:val="auto"/>
              <w:sz w:val="21"/>
              <w:szCs w:val="22"/>
              <w:highlight w:val="none"/>
            </w:rPr>
          </w:pPr>
          <w:r>
            <w:rPr>
              <w:color w:val="auto"/>
              <w:highlight w:val="none"/>
            </w:rPr>
            <w:fldChar w:fldCharType="begin"/>
          </w:r>
          <w:r>
            <w:rPr>
              <w:color w:val="auto"/>
              <w:highlight w:val="none"/>
            </w:rPr>
            <w:instrText xml:space="preserve"> HYPERLINK \l "_Toc162978987" </w:instrText>
          </w:r>
          <w:r>
            <w:rPr>
              <w:color w:val="auto"/>
              <w:highlight w:val="none"/>
            </w:rPr>
            <w:fldChar w:fldCharType="separate"/>
          </w:r>
          <w:r>
            <w:rPr>
              <w:rStyle w:val="52"/>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_Toc162978987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32"/>
            <w:spacing w:line="360" w:lineRule="auto"/>
            <w:rPr>
              <w:rFonts w:hint="eastAsia" w:cstheme="minorBidi"/>
              <w:b w:val="0"/>
              <w:color w:val="auto"/>
              <w:sz w:val="21"/>
              <w:szCs w:val="22"/>
              <w:highlight w:val="none"/>
            </w:rPr>
          </w:pPr>
          <w:r>
            <w:rPr>
              <w:color w:val="auto"/>
              <w:highlight w:val="none"/>
            </w:rPr>
            <w:fldChar w:fldCharType="begin"/>
          </w:r>
          <w:r>
            <w:rPr>
              <w:color w:val="auto"/>
              <w:highlight w:val="none"/>
            </w:rPr>
            <w:instrText xml:space="preserve"> HYPERLINK \l "_Toc162979022" </w:instrText>
          </w:r>
          <w:r>
            <w:rPr>
              <w:color w:val="auto"/>
              <w:highlight w:val="none"/>
            </w:rPr>
            <w:fldChar w:fldCharType="separate"/>
          </w:r>
          <w:r>
            <w:rPr>
              <w:rStyle w:val="52"/>
              <w:color w:val="auto"/>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_Toc162979022 \h </w:instrText>
          </w:r>
          <w:r>
            <w:rPr>
              <w:color w:val="auto"/>
              <w:highlight w:val="none"/>
            </w:rPr>
            <w:fldChar w:fldCharType="separate"/>
          </w:r>
          <w:r>
            <w:rPr>
              <w:color w:val="auto"/>
              <w:highlight w:val="none"/>
            </w:rPr>
            <w:t>2</w:t>
          </w:r>
          <w:r>
            <w:rPr>
              <w:rFonts w:hint="eastAsia"/>
              <w:color w:val="auto"/>
              <w:highlight w:val="none"/>
              <w:lang w:val="en-US" w:eastAsia="zh-CN"/>
            </w:rPr>
            <w:t>5</w:t>
          </w:r>
          <w:r>
            <w:rPr>
              <w:color w:val="auto"/>
              <w:highlight w:val="none"/>
            </w:rPr>
            <w:fldChar w:fldCharType="end"/>
          </w:r>
          <w:r>
            <w:rPr>
              <w:color w:val="auto"/>
              <w:highlight w:val="none"/>
            </w:rPr>
            <w:fldChar w:fldCharType="end"/>
          </w:r>
        </w:p>
        <w:p>
          <w:pPr>
            <w:pStyle w:val="32"/>
            <w:spacing w:line="360" w:lineRule="auto"/>
            <w:rPr>
              <w:rFonts w:hint="default" w:eastAsia="宋体" w:cstheme="minorBidi"/>
              <w:b w:val="0"/>
              <w:color w:val="auto"/>
              <w:sz w:val="21"/>
              <w:szCs w:val="22"/>
              <w:highlight w:val="none"/>
              <w:lang w:val="en-US" w:eastAsia="zh-CN"/>
            </w:rPr>
          </w:pPr>
          <w:r>
            <w:rPr>
              <w:color w:val="auto"/>
              <w:highlight w:val="none"/>
            </w:rPr>
            <w:fldChar w:fldCharType="begin"/>
          </w:r>
          <w:r>
            <w:rPr>
              <w:color w:val="auto"/>
              <w:highlight w:val="none"/>
            </w:rPr>
            <w:instrText xml:space="preserve"> HYPERLINK \l "_Toc162979029" </w:instrText>
          </w:r>
          <w:r>
            <w:rPr>
              <w:color w:val="auto"/>
              <w:highlight w:val="none"/>
            </w:rPr>
            <w:fldChar w:fldCharType="separate"/>
          </w:r>
          <w:r>
            <w:rPr>
              <w:rStyle w:val="52"/>
              <w:color w:val="auto"/>
              <w:highlight w:val="none"/>
            </w:rPr>
            <w:t>第四章   评标程序、评标方法和评标标准</w:t>
          </w:r>
          <w:r>
            <w:rPr>
              <w:color w:val="auto"/>
              <w:highlight w:val="none"/>
            </w:rPr>
            <w:tab/>
          </w:r>
          <w:r>
            <w:rPr>
              <w:color w:val="auto"/>
              <w:highlight w:val="none"/>
            </w:rPr>
            <w:fldChar w:fldCharType="end"/>
          </w:r>
          <w:r>
            <w:rPr>
              <w:rFonts w:hint="eastAsia"/>
              <w:color w:val="auto"/>
              <w:highlight w:val="none"/>
              <w:lang w:val="en-US" w:eastAsia="zh-CN"/>
            </w:rPr>
            <w:t>28</w:t>
          </w:r>
        </w:p>
        <w:p>
          <w:pPr>
            <w:pStyle w:val="32"/>
            <w:spacing w:line="360" w:lineRule="auto"/>
            <w:rPr>
              <w:rFonts w:hint="default" w:eastAsia="宋体" w:cstheme="minorBidi"/>
              <w:b w:val="0"/>
              <w:color w:val="auto"/>
              <w:sz w:val="21"/>
              <w:szCs w:val="22"/>
              <w:highlight w:val="none"/>
              <w:lang w:val="en-US" w:eastAsia="zh-CN"/>
            </w:rPr>
          </w:pPr>
          <w:r>
            <w:rPr>
              <w:color w:val="auto"/>
              <w:highlight w:val="none"/>
            </w:rPr>
            <w:fldChar w:fldCharType="begin"/>
          </w:r>
          <w:r>
            <w:rPr>
              <w:color w:val="auto"/>
              <w:highlight w:val="none"/>
            </w:rPr>
            <w:instrText xml:space="preserve"> HYPERLINK \l "_Toc162979036" </w:instrText>
          </w:r>
          <w:r>
            <w:rPr>
              <w:color w:val="auto"/>
              <w:highlight w:val="none"/>
            </w:rPr>
            <w:fldChar w:fldCharType="separate"/>
          </w:r>
          <w:r>
            <w:rPr>
              <w:rStyle w:val="52"/>
              <w:color w:val="auto"/>
              <w:highlight w:val="none"/>
            </w:rPr>
            <w:t>第五章   采购需求</w:t>
          </w:r>
          <w:r>
            <w:rPr>
              <w:color w:val="auto"/>
              <w:highlight w:val="none"/>
            </w:rPr>
            <w:tab/>
          </w:r>
          <w:r>
            <w:rPr>
              <w:color w:val="auto"/>
              <w:highlight w:val="none"/>
            </w:rPr>
            <w:fldChar w:fldCharType="end"/>
          </w:r>
          <w:r>
            <w:rPr>
              <w:rFonts w:hint="eastAsia"/>
              <w:color w:val="auto"/>
              <w:highlight w:val="none"/>
              <w:lang w:val="en-US" w:eastAsia="zh-CN"/>
            </w:rPr>
            <w:t>39</w:t>
          </w:r>
        </w:p>
        <w:p>
          <w:pPr>
            <w:pStyle w:val="32"/>
            <w:spacing w:line="360" w:lineRule="auto"/>
            <w:rPr>
              <w:rFonts w:hint="default" w:eastAsia="宋体" w:cstheme="minorBidi"/>
              <w:b w:val="0"/>
              <w:color w:val="auto"/>
              <w:sz w:val="21"/>
              <w:szCs w:val="22"/>
              <w:highlight w:val="none"/>
              <w:lang w:val="en-US" w:eastAsia="zh-CN"/>
            </w:rPr>
          </w:pPr>
          <w:r>
            <w:rPr>
              <w:color w:val="auto"/>
              <w:highlight w:val="none"/>
            </w:rPr>
            <w:fldChar w:fldCharType="begin"/>
          </w:r>
          <w:r>
            <w:rPr>
              <w:color w:val="auto"/>
              <w:highlight w:val="none"/>
            </w:rPr>
            <w:instrText xml:space="preserve"> HYPERLINK \l "_Toc162979037" </w:instrText>
          </w:r>
          <w:r>
            <w:rPr>
              <w:color w:val="auto"/>
              <w:highlight w:val="none"/>
            </w:rPr>
            <w:fldChar w:fldCharType="separate"/>
          </w:r>
          <w:r>
            <w:rPr>
              <w:rStyle w:val="52"/>
              <w:color w:val="auto"/>
              <w:highlight w:val="none"/>
            </w:rPr>
            <w:t>第六章   拟签订的合同文本</w:t>
          </w:r>
          <w:r>
            <w:rPr>
              <w:color w:val="auto"/>
              <w:highlight w:val="none"/>
            </w:rPr>
            <w:tab/>
          </w:r>
          <w:r>
            <w:rPr>
              <w:color w:val="auto"/>
              <w:highlight w:val="none"/>
            </w:rPr>
            <w:fldChar w:fldCharType="end"/>
          </w:r>
          <w:r>
            <w:rPr>
              <w:rFonts w:hint="eastAsia"/>
              <w:color w:val="auto"/>
              <w:highlight w:val="none"/>
              <w:lang w:val="en-US" w:eastAsia="zh-CN"/>
            </w:rPr>
            <w:t>54</w:t>
          </w:r>
        </w:p>
        <w:p>
          <w:pPr>
            <w:pStyle w:val="32"/>
            <w:spacing w:line="360" w:lineRule="auto"/>
            <w:rPr>
              <w:rFonts w:hint="default" w:eastAsia="宋体" w:cstheme="minorBidi"/>
              <w:b w:val="0"/>
              <w:color w:val="auto"/>
              <w:sz w:val="21"/>
              <w:szCs w:val="22"/>
              <w:highlight w:val="none"/>
              <w:lang w:val="en-US" w:eastAsia="zh-CN"/>
            </w:rPr>
          </w:pPr>
          <w:r>
            <w:rPr>
              <w:color w:val="auto"/>
              <w:highlight w:val="none"/>
            </w:rPr>
            <w:fldChar w:fldCharType="begin"/>
          </w:r>
          <w:r>
            <w:rPr>
              <w:color w:val="auto"/>
              <w:highlight w:val="none"/>
            </w:rPr>
            <w:instrText xml:space="preserve"> HYPERLINK \l "_Toc162979038" </w:instrText>
          </w:r>
          <w:r>
            <w:rPr>
              <w:color w:val="auto"/>
              <w:highlight w:val="none"/>
            </w:rPr>
            <w:fldChar w:fldCharType="separate"/>
          </w:r>
          <w:r>
            <w:rPr>
              <w:rStyle w:val="52"/>
              <w:color w:val="auto"/>
              <w:highlight w:val="none"/>
            </w:rPr>
            <w:t>第七章   投标文件格式</w:t>
          </w:r>
          <w:r>
            <w:rPr>
              <w:color w:val="auto"/>
              <w:highlight w:val="none"/>
            </w:rPr>
            <w:tab/>
          </w:r>
          <w:r>
            <w:rPr>
              <w:color w:val="auto"/>
              <w:highlight w:val="none"/>
            </w:rPr>
            <w:fldChar w:fldCharType="end"/>
          </w:r>
          <w:r>
            <w:rPr>
              <w:rFonts w:hint="eastAsia"/>
              <w:color w:val="auto"/>
              <w:highlight w:val="none"/>
              <w:lang w:val="en-US" w:eastAsia="zh-CN"/>
            </w:rPr>
            <w:t>68</w:t>
          </w:r>
        </w:p>
        <w:p>
          <w:pPr>
            <w:rPr>
              <w:rFonts w:hint="eastAsia" w:ascii="宋体" w:hAnsi="宋体"/>
              <w:color w:val="auto"/>
              <w:highlight w:val="none"/>
            </w:rPr>
          </w:pPr>
          <w:r>
            <w:rPr>
              <w:rFonts w:ascii="宋体" w:hAnsi="宋体"/>
              <w:b/>
              <w:bCs/>
              <w:color w:val="auto"/>
              <w:highlight w:val="none"/>
              <w:lang w:val="zh-CN"/>
            </w:rPr>
            <w:fldChar w:fldCharType="end"/>
          </w:r>
        </w:p>
      </w:sdtContent>
    </w:sdt>
    <w:bookmarkEnd w:id="0"/>
    <w:p>
      <w:pPr>
        <w:pStyle w:val="32"/>
        <w:rPr>
          <w:rFonts w:hint="eastAsia"/>
          <w:b w:val="0"/>
          <w:color w:val="auto"/>
          <w:sz w:val="21"/>
          <w:szCs w:val="22"/>
          <w:highlight w:val="none"/>
        </w:rPr>
      </w:pPr>
      <w:r>
        <w:rPr>
          <w:b w:val="0"/>
          <w:color w:val="auto"/>
          <w:highlight w:val="none"/>
        </w:rPr>
        <w:fldChar w:fldCharType="begin"/>
      </w:r>
      <w:r>
        <w:rPr>
          <w:b w:val="0"/>
          <w:color w:val="auto"/>
          <w:highlight w:val="none"/>
        </w:rPr>
        <w:instrText xml:space="preserve"> TOC \o "1-1" \h \z \u </w:instrText>
      </w:r>
      <w:r>
        <w:rPr>
          <w:b w:val="0"/>
          <w:color w:val="auto"/>
          <w:highlight w:val="none"/>
        </w:rPr>
        <w:fldChar w:fldCharType="separate"/>
      </w:r>
    </w:p>
    <w:p>
      <w:pPr>
        <w:pStyle w:val="17"/>
        <w:rPr>
          <w:color w:val="auto"/>
          <w:highlight w:val="none"/>
        </w:rPr>
      </w:pPr>
      <w:r>
        <w:rPr>
          <w:b w:val="0"/>
          <w:color w:val="auto"/>
          <w:highlight w:val="none"/>
        </w:rPr>
        <w:fldChar w:fldCharType="end"/>
      </w:r>
      <w:r>
        <w:rPr>
          <w:rFonts w:hint="eastAsia"/>
          <w:color w:val="auto"/>
          <w:highlight w:val="none"/>
        </w:rPr>
        <w:t>注：采购文件条款中以“</w:t>
      </w:r>
      <w:r>
        <w:rPr>
          <w:rFonts w:hint="eastAsia" w:ascii="宋体" w:hAnsi="宋体"/>
          <w:color w:val="auto"/>
          <w:sz w:val="24"/>
          <w:highlight w:val="none"/>
        </w:rPr>
        <w:t>■</w:t>
      </w:r>
      <w:r>
        <w:rPr>
          <w:rFonts w:hint="eastAsia"/>
          <w:color w:val="auto"/>
          <w:highlight w:val="none"/>
        </w:rPr>
        <w:t>”形式标记的内容适用于本项目，以“□”形式标记的内容不适用于本项目。</w:t>
      </w:r>
    </w:p>
    <w:p>
      <w:pPr>
        <w:pStyle w:val="32"/>
        <w:spacing w:line="360" w:lineRule="auto"/>
        <w:rPr>
          <w:rFonts w:hint="eastAsia"/>
          <w:b w:val="0"/>
          <w:color w:val="auto"/>
          <w:highlight w:val="none"/>
        </w:rPr>
      </w:pPr>
    </w:p>
    <w:p>
      <w:pPr>
        <w:snapToGrid w:val="0"/>
        <w:spacing w:line="360" w:lineRule="auto"/>
        <w:jc w:val="center"/>
        <w:outlineLvl w:val="0"/>
        <w:rPr>
          <w:rFonts w:hint="eastAsia" w:ascii="宋体" w:hAnsi="宋体"/>
          <w:b/>
          <w:color w:val="auto"/>
          <w:sz w:val="36"/>
          <w:szCs w:val="36"/>
          <w:highlight w:val="none"/>
        </w:rPr>
      </w:pPr>
      <w:r>
        <w:rPr>
          <w:rFonts w:ascii="宋体" w:hAnsi="宋体"/>
          <w:color w:val="auto"/>
          <w:sz w:val="24"/>
          <w:highlight w:val="none"/>
        </w:rPr>
        <w:br w:type="page"/>
      </w:r>
      <w:bookmarkStart w:id="1" w:name="_Toc99301419"/>
      <w:bookmarkStart w:id="2" w:name="_Toc162978979"/>
      <w:r>
        <w:rPr>
          <w:rFonts w:ascii="宋体" w:hAnsi="宋体"/>
          <w:b/>
          <w:color w:val="auto"/>
          <w:sz w:val="36"/>
          <w:szCs w:val="36"/>
          <w:highlight w:val="none"/>
        </w:rPr>
        <w:t>第一章   投标邀请</w:t>
      </w:r>
      <w:bookmarkEnd w:id="1"/>
      <w:bookmarkEnd w:id="2"/>
    </w:p>
    <w:p>
      <w:pPr>
        <w:pStyle w:val="3"/>
        <w:snapToGrid w:val="0"/>
        <w:spacing w:before="0" w:line="360" w:lineRule="auto"/>
        <w:jc w:val="left"/>
        <w:rPr>
          <w:rFonts w:hint="eastAsia" w:ascii="宋体" w:hAnsi="宋体" w:eastAsia="宋体"/>
          <w:color w:val="auto"/>
          <w:sz w:val="24"/>
          <w:szCs w:val="24"/>
          <w:highlight w:val="none"/>
        </w:rPr>
      </w:pPr>
      <w:bookmarkStart w:id="3" w:name="_Toc35393790"/>
      <w:bookmarkStart w:id="4" w:name="_Toc35393621"/>
      <w:bookmarkStart w:id="5" w:name="_Toc162978907"/>
      <w:bookmarkStart w:id="6" w:name="_Toc28359002"/>
      <w:bookmarkStart w:id="7" w:name="_Toc162978980"/>
      <w:bookmarkStart w:id="8" w:name="_Toc28359079"/>
      <w:bookmarkStart w:id="9" w:name="_Hlk24379207"/>
      <w:r>
        <w:rPr>
          <w:rFonts w:ascii="宋体" w:hAnsi="宋体" w:eastAsia="宋体"/>
          <w:color w:val="auto"/>
          <w:sz w:val="24"/>
          <w:szCs w:val="24"/>
          <w:highlight w:val="none"/>
        </w:rPr>
        <w:t>一、项目基本情况</w:t>
      </w:r>
      <w:bookmarkEnd w:id="3"/>
      <w:bookmarkEnd w:id="4"/>
      <w:bookmarkEnd w:id="5"/>
      <w:bookmarkEnd w:id="6"/>
      <w:bookmarkEnd w:id="7"/>
      <w:bookmarkEnd w:id="8"/>
    </w:p>
    <w:p>
      <w:pPr>
        <w:snapToGrid w:val="0"/>
        <w:spacing w:line="360" w:lineRule="auto"/>
        <w:ind w:firstLine="480" w:firstLineChars="200"/>
        <w:rPr>
          <w:rFonts w:hint="eastAsia" w:ascii="宋体" w:hAnsi="宋体" w:cs="Times New Roman"/>
          <w:color w:val="auto"/>
          <w:sz w:val="24"/>
          <w:highlight w:val="none"/>
          <w:u w:val="single"/>
          <w:lang w:val="en-US" w:eastAsia="zh-CN"/>
        </w:rPr>
      </w:pPr>
      <w:r>
        <w:rPr>
          <w:rFonts w:ascii="宋体" w:hAnsi="宋体"/>
          <w:color w:val="auto"/>
          <w:sz w:val="24"/>
          <w:highlight w:val="none"/>
        </w:rPr>
        <w:t>1.项目编号：</w:t>
      </w:r>
      <w:r>
        <w:rPr>
          <w:rFonts w:ascii="宋体" w:hAnsi="宋体" w:eastAsia="宋体" w:cs="Times New Roman"/>
          <w:color w:val="auto"/>
          <w:sz w:val="24"/>
          <w:highlight w:val="none"/>
          <w:u w:val="single"/>
        </w:rPr>
        <w:t>PGCGZX--</w:t>
      </w:r>
      <w:r>
        <w:rPr>
          <w:rFonts w:hint="eastAsia" w:ascii="宋体" w:hAnsi="宋体" w:eastAsia="宋体" w:cs="Times New Roman"/>
          <w:color w:val="auto"/>
          <w:sz w:val="24"/>
          <w:highlight w:val="none"/>
          <w:u w:val="single"/>
          <w:lang w:val="en-US" w:eastAsia="zh-CN"/>
        </w:rPr>
        <w:t>260</w:t>
      </w:r>
      <w:r>
        <w:rPr>
          <w:rFonts w:hint="eastAsia" w:ascii="宋体" w:hAnsi="宋体" w:cs="Times New Roman"/>
          <w:color w:val="auto"/>
          <w:sz w:val="24"/>
          <w:highlight w:val="none"/>
          <w:u w:val="single"/>
          <w:lang w:val="en-US" w:eastAsia="zh-CN"/>
        </w:rPr>
        <w:t>10</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2.项目名称：</w:t>
      </w:r>
      <w:r>
        <w:rPr>
          <w:rFonts w:hint="eastAsia" w:ascii="宋体" w:hAnsi="宋体"/>
          <w:color w:val="auto"/>
          <w:sz w:val="24"/>
          <w:highlight w:val="none"/>
          <w:u w:val="single"/>
        </w:rPr>
        <w:t>平谷区中小学校办学装备提升项目交互式触控一体机购置</w:t>
      </w:r>
    </w:p>
    <w:bookmarkEnd w:id="9"/>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3.项目预算金额：</w:t>
      </w:r>
      <w:r>
        <w:rPr>
          <w:rFonts w:hint="eastAsia" w:ascii="宋体" w:hAnsi="宋体"/>
          <w:color w:val="auto"/>
          <w:sz w:val="24"/>
          <w:highlight w:val="none"/>
          <w:u w:val="single"/>
          <w:lang w:val="en-US" w:eastAsia="zh-CN"/>
        </w:rPr>
        <w:t>2187.5</w:t>
      </w:r>
      <w:r>
        <w:rPr>
          <w:rFonts w:ascii="宋体" w:hAnsi="宋体"/>
          <w:color w:val="auto"/>
          <w:sz w:val="24"/>
          <w:highlight w:val="none"/>
          <w:u w:val="single"/>
        </w:rPr>
        <w:t xml:space="preserve">  </w:t>
      </w:r>
      <w:r>
        <w:rPr>
          <w:rFonts w:ascii="宋体" w:hAnsi="宋体"/>
          <w:color w:val="auto"/>
          <w:sz w:val="24"/>
          <w:highlight w:val="none"/>
        </w:rPr>
        <w:t>万元、项目最高限价：</w:t>
      </w:r>
      <w:r>
        <w:rPr>
          <w:rFonts w:hint="default" w:ascii="宋体" w:hAnsi="宋体"/>
          <w:color w:val="auto"/>
          <w:sz w:val="24"/>
          <w:highlight w:val="none"/>
          <w:u w:val="single"/>
          <w:lang w:val="en"/>
        </w:rPr>
        <w:t xml:space="preserve">    /   </w:t>
      </w:r>
      <w:r>
        <w:rPr>
          <w:rFonts w:ascii="宋体" w:hAnsi="宋体"/>
          <w:color w:val="auto"/>
          <w:sz w:val="24"/>
          <w:highlight w:val="none"/>
        </w:rPr>
        <w:t>万元</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4.采购需求：</w:t>
      </w:r>
    </w:p>
    <w:tbl>
      <w:tblPr>
        <w:tblStyle w:val="44"/>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607"/>
        <w:gridCol w:w="953"/>
        <w:gridCol w:w="1381"/>
        <w:gridCol w:w="1443"/>
        <w:gridCol w:w="3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exact"/>
        </w:trPr>
        <w:tc>
          <w:tcPr>
            <w:tcW w:w="873" w:type="dxa"/>
            <w:vAlign w:val="center"/>
          </w:tcPr>
          <w:p>
            <w:pPr>
              <w:snapToGrid w:val="0"/>
              <w:spacing w:line="360" w:lineRule="auto"/>
              <w:jc w:val="center"/>
              <w:rPr>
                <w:rFonts w:hint="eastAsia" w:ascii="宋体" w:hAnsi="宋体" w:eastAsia="宋体"/>
                <w:b/>
                <w:color w:val="auto"/>
                <w:sz w:val="24"/>
                <w:highlight w:val="none"/>
                <w:lang w:val="en" w:eastAsia="zh-CN"/>
              </w:rPr>
            </w:pPr>
            <w:r>
              <w:rPr>
                <w:rFonts w:hint="eastAsia" w:ascii="宋体" w:hAnsi="宋体"/>
                <w:b/>
                <w:color w:val="auto"/>
                <w:sz w:val="24"/>
                <w:highlight w:val="none"/>
                <w:lang w:val="en" w:eastAsia="zh-CN"/>
              </w:rPr>
              <w:t>包号</w:t>
            </w:r>
          </w:p>
        </w:tc>
        <w:tc>
          <w:tcPr>
            <w:tcW w:w="1607" w:type="dxa"/>
            <w:vAlign w:val="center"/>
          </w:tcPr>
          <w:p>
            <w:pPr>
              <w:snapToGrid w:val="0"/>
              <w:spacing w:line="360" w:lineRule="auto"/>
              <w:jc w:val="center"/>
              <w:rPr>
                <w:rFonts w:hint="eastAsia" w:ascii="宋体" w:hAnsi="宋体"/>
                <w:b/>
                <w:color w:val="auto"/>
                <w:sz w:val="24"/>
                <w:highlight w:val="none"/>
              </w:rPr>
            </w:pPr>
            <w:r>
              <w:rPr>
                <w:rFonts w:hint="eastAsia" w:ascii="宋体" w:hAnsi="宋体"/>
                <w:b/>
                <w:color w:val="auto"/>
                <w:sz w:val="24"/>
                <w:highlight w:val="none"/>
              </w:rPr>
              <w:t>标的名称</w:t>
            </w:r>
          </w:p>
        </w:tc>
        <w:tc>
          <w:tcPr>
            <w:tcW w:w="953" w:type="dxa"/>
            <w:vAlign w:val="center"/>
          </w:tcPr>
          <w:p>
            <w:pPr>
              <w:snapToGrid w:val="0"/>
              <w:spacing w:line="360" w:lineRule="auto"/>
              <w:jc w:val="center"/>
              <w:rPr>
                <w:rFonts w:hint="eastAsia" w:ascii="宋体" w:hAnsi="宋体"/>
                <w:b/>
                <w:color w:val="auto"/>
                <w:sz w:val="24"/>
                <w:highlight w:val="none"/>
              </w:rPr>
            </w:pPr>
            <w:r>
              <w:rPr>
                <w:rFonts w:ascii="宋体" w:hAnsi="宋体"/>
                <w:b/>
                <w:color w:val="auto"/>
                <w:sz w:val="24"/>
                <w:highlight w:val="none"/>
              </w:rPr>
              <w:t>数量</w:t>
            </w:r>
          </w:p>
        </w:tc>
        <w:tc>
          <w:tcPr>
            <w:tcW w:w="1381" w:type="dxa"/>
            <w:vAlign w:val="center"/>
          </w:tcPr>
          <w:p>
            <w:pPr>
              <w:snapToGrid w:val="0"/>
              <w:spacing w:line="360" w:lineRule="auto"/>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采购包</w:t>
            </w:r>
          </w:p>
          <w:p>
            <w:pPr>
              <w:snapToGrid w:val="0"/>
              <w:spacing w:line="360" w:lineRule="auto"/>
              <w:jc w:val="center"/>
              <w:rPr>
                <w:rFonts w:ascii="宋体" w:hAnsi="宋体"/>
                <w:b/>
                <w:color w:val="auto"/>
                <w:sz w:val="24"/>
                <w:highlight w:val="none"/>
              </w:rPr>
            </w:pPr>
            <w:r>
              <w:rPr>
                <w:rFonts w:ascii="宋体" w:hAnsi="宋体"/>
                <w:b/>
                <w:color w:val="auto"/>
                <w:sz w:val="24"/>
                <w:highlight w:val="none"/>
              </w:rPr>
              <w:t>预算金额</w:t>
            </w:r>
          </w:p>
          <w:p>
            <w:pPr>
              <w:snapToGrid w:val="0"/>
              <w:spacing w:line="360" w:lineRule="auto"/>
              <w:jc w:val="center"/>
              <w:rPr>
                <w:rFonts w:hint="eastAsia" w:ascii="宋体" w:hAnsi="宋体"/>
                <w:b/>
                <w:color w:val="auto"/>
                <w:sz w:val="24"/>
                <w:highlight w:val="none"/>
              </w:rPr>
            </w:pPr>
            <w:r>
              <w:rPr>
                <w:rFonts w:ascii="宋体" w:hAnsi="宋体"/>
                <w:b/>
                <w:color w:val="auto"/>
                <w:sz w:val="24"/>
                <w:highlight w:val="none"/>
              </w:rPr>
              <w:t>（万元）</w:t>
            </w:r>
          </w:p>
        </w:tc>
        <w:tc>
          <w:tcPr>
            <w:tcW w:w="1443" w:type="dxa"/>
            <w:vAlign w:val="center"/>
          </w:tcPr>
          <w:p>
            <w:pPr>
              <w:snapToGrid w:val="0"/>
              <w:spacing w:line="360" w:lineRule="auto"/>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采购包</w:t>
            </w:r>
          </w:p>
          <w:p>
            <w:pPr>
              <w:snapToGrid w:val="0"/>
              <w:spacing w:line="360" w:lineRule="auto"/>
              <w:jc w:val="center"/>
              <w:rPr>
                <w:rFonts w:hint="eastAsia" w:ascii="宋体" w:hAnsi="宋体" w:eastAsia="宋体"/>
                <w:b/>
                <w:color w:val="auto"/>
                <w:sz w:val="24"/>
                <w:highlight w:val="none"/>
                <w:lang w:eastAsia="zh-CN"/>
              </w:rPr>
            </w:pPr>
            <w:r>
              <w:rPr>
                <w:rFonts w:hint="eastAsia" w:ascii="宋体" w:hAnsi="宋体"/>
                <w:b/>
                <w:color w:val="auto"/>
                <w:sz w:val="24"/>
                <w:highlight w:val="none"/>
                <w:lang w:eastAsia="zh-CN"/>
              </w:rPr>
              <w:t>最高限价（万元）</w:t>
            </w:r>
          </w:p>
        </w:tc>
        <w:tc>
          <w:tcPr>
            <w:tcW w:w="3800" w:type="dxa"/>
            <w:vAlign w:val="center"/>
          </w:tcPr>
          <w:p>
            <w:pPr>
              <w:snapToGrid w:val="0"/>
              <w:spacing w:line="360" w:lineRule="auto"/>
              <w:jc w:val="center"/>
              <w:rPr>
                <w:rFonts w:hint="eastAsia" w:ascii="宋体" w:hAnsi="宋体"/>
                <w:b/>
                <w:color w:val="auto"/>
                <w:sz w:val="24"/>
                <w:highlight w:val="none"/>
              </w:rPr>
            </w:pPr>
            <w:r>
              <w:rPr>
                <w:rFonts w:ascii="宋体" w:hAnsi="宋体"/>
                <w:b/>
                <w:color w:val="auto"/>
                <w:sz w:val="24"/>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exact"/>
        </w:trPr>
        <w:tc>
          <w:tcPr>
            <w:tcW w:w="873"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w:t>
            </w:r>
          </w:p>
        </w:tc>
        <w:tc>
          <w:tcPr>
            <w:tcW w:w="1607" w:type="dxa"/>
            <w:vAlign w:val="center"/>
          </w:tcPr>
          <w:p>
            <w:pPr>
              <w:widowControl/>
              <w:jc w:val="center"/>
              <w:rPr>
                <w:rFonts w:hint="eastAsia" w:ascii="宋体" w:hAnsi="宋体"/>
                <w:color w:val="auto"/>
                <w:sz w:val="24"/>
                <w:highlight w:val="none"/>
              </w:rPr>
            </w:pPr>
            <w:r>
              <w:rPr>
                <w:rFonts w:hint="eastAsia" w:ascii="宋体" w:hAnsi="宋体"/>
                <w:color w:val="auto"/>
                <w:sz w:val="24"/>
                <w:highlight w:val="none"/>
              </w:rPr>
              <w:t>交互式触控一体机（含配套黑板）</w:t>
            </w:r>
          </w:p>
        </w:tc>
        <w:tc>
          <w:tcPr>
            <w:tcW w:w="953" w:type="dxa"/>
            <w:vAlign w:val="center"/>
          </w:tcPr>
          <w:p>
            <w:pPr>
              <w:widowControl/>
              <w:jc w:val="center"/>
              <w:rPr>
                <w:rFonts w:hint="default" w:ascii="宋体" w:hAnsi="宋体" w:eastAsia="宋体"/>
                <w:color w:val="auto"/>
                <w:sz w:val="24"/>
                <w:highlight w:val="none"/>
                <w:lang w:val="en-US" w:eastAsia="zh-CN"/>
              </w:rPr>
            </w:pPr>
            <w:r>
              <w:rPr>
                <w:rFonts w:hint="eastAsia" w:ascii="宋体" w:hAnsi="宋体" w:cs="宋体"/>
                <w:color w:val="auto"/>
                <w:kern w:val="0"/>
                <w:sz w:val="24"/>
                <w:highlight w:val="none"/>
                <w:lang w:val="en-US" w:eastAsia="zh-CN"/>
              </w:rPr>
              <w:t>233</w:t>
            </w:r>
          </w:p>
        </w:tc>
        <w:tc>
          <w:tcPr>
            <w:tcW w:w="1381"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815.5</w:t>
            </w:r>
          </w:p>
        </w:tc>
        <w:tc>
          <w:tcPr>
            <w:tcW w:w="1443" w:type="dxa"/>
            <w:vAlign w:val="center"/>
          </w:tcPr>
          <w:p>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815.5</w:t>
            </w:r>
          </w:p>
        </w:tc>
        <w:tc>
          <w:tcPr>
            <w:tcW w:w="3800" w:type="dxa"/>
            <w:vAlign w:val="center"/>
          </w:tcPr>
          <w:p>
            <w:pPr>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exact"/>
        </w:trPr>
        <w:tc>
          <w:tcPr>
            <w:tcW w:w="873"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c>
          <w:tcPr>
            <w:tcW w:w="1607" w:type="dxa"/>
            <w:vAlign w:val="center"/>
          </w:tcPr>
          <w:p>
            <w:pPr>
              <w:widowControl/>
              <w:jc w:val="center"/>
              <w:rPr>
                <w:rFonts w:ascii="宋体" w:hAnsi="宋体" w:cs="宋体"/>
                <w:color w:val="auto"/>
                <w:kern w:val="0"/>
                <w:sz w:val="24"/>
                <w:highlight w:val="none"/>
              </w:rPr>
            </w:pPr>
            <w:r>
              <w:rPr>
                <w:rFonts w:hint="eastAsia" w:ascii="宋体" w:hAnsi="宋体"/>
                <w:color w:val="auto"/>
                <w:sz w:val="24"/>
                <w:highlight w:val="none"/>
              </w:rPr>
              <w:t>交互式触控一体机（含配套黑板）</w:t>
            </w:r>
          </w:p>
        </w:tc>
        <w:tc>
          <w:tcPr>
            <w:tcW w:w="953" w:type="dxa"/>
            <w:vAlign w:val="center"/>
          </w:tcPr>
          <w:p>
            <w:pPr>
              <w:widowControl/>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195</w:t>
            </w:r>
          </w:p>
        </w:tc>
        <w:tc>
          <w:tcPr>
            <w:tcW w:w="1381"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682.5</w:t>
            </w:r>
          </w:p>
        </w:tc>
        <w:tc>
          <w:tcPr>
            <w:tcW w:w="1443"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682.5</w:t>
            </w:r>
          </w:p>
        </w:tc>
        <w:tc>
          <w:tcPr>
            <w:tcW w:w="3800" w:type="dxa"/>
            <w:vAlign w:val="center"/>
          </w:tcPr>
          <w:p>
            <w:pPr>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exact"/>
        </w:trPr>
        <w:tc>
          <w:tcPr>
            <w:tcW w:w="873"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p>
        </w:tc>
        <w:tc>
          <w:tcPr>
            <w:tcW w:w="1607" w:type="dxa"/>
            <w:vAlign w:val="center"/>
          </w:tcPr>
          <w:p>
            <w:pPr>
              <w:widowControl/>
              <w:jc w:val="center"/>
              <w:rPr>
                <w:rFonts w:ascii="宋体" w:hAnsi="宋体" w:cs="宋体"/>
                <w:color w:val="auto"/>
                <w:kern w:val="0"/>
                <w:sz w:val="24"/>
                <w:highlight w:val="none"/>
              </w:rPr>
            </w:pPr>
            <w:r>
              <w:rPr>
                <w:rFonts w:hint="eastAsia" w:ascii="宋体" w:hAnsi="宋体"/>
                <w:color w:val="auto"/>
                <w:sz w:val="24"/>
                <w:highlight w:val="none"/>
              </w:rPr>
              <w:t>交互式触控一体机（含配套黑板）</w:t>
            </w:r>
          </w:p>
        </w:tc>
        <w:tc>
          <w:tcPr>
            <w:tcW w:w="953" w:type="dxa"/>
            <w:vAlign w:val="center"/>
          </w:tcPr>
          <w:p>
            <w:pPr>
              <w:widowControl/>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197</w:t>
            </w:r>
          </w:p>
        </w:tc>
        <w:tc>
          <w:tcPr>
            <w:tcW w:w="1381"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689.5</w:t>
            </w:r>
          </w:p>
        </w:tc>
        <w:tc>
          <w:tcPr>
            <w:tcW w:w="1443"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689.5</w:t>
            </w:r>
          </w:p>
        </w:tc>
        <w:tc>
          <w:tcPr>
            <w:tcW w:w="3800" w:type="dxa"/>
            <w:vAlign w:val="center"/>
          </w:tcPr>
          <w:p>
            <w:pPr>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详见《采购需求》</w:t>
            </w:r>
          </w:p>
        </w:tc>
      </w:tr>
    </w:tbl>
    <w:p>
      <w:pPr>
        <w:snapToGrid w:val="0"/>
        <w:spacing w:line="360" w:lineRule="auto"/>
        <w:ind w:firstLine="480" w:firstLineChars="200"/>
        <w:rPr>
          <w:rFonts w:hint="eastAsia" w:ascii="宋体" w:hAnsi="宋体"/>
          <w:color w:val="auto"/>
          <w:sz w:val="24"/>
          <w:highlight w:val="none"/>
          <w:u w:val="single"/>
        </w:rPr>
      </w:pPr>
      <w:r>
        <w:rPr>
          <w:rFonts w:ascii="宋体" w:hAnsi="宋体"/>
          <w:color w:val="auto"/>
          <w:sz w:val="24"/>
          <w:highlight w:val="none"/>
        </w:rPr>
        <w:t>5.合同履行期限：</w:t>
      </w:r>
      <w:bookmarkStart w:id="10" w:name="_Hlk145600230"/>
      <w:r>
        <w:rPr>
          <w:rFonts w:hint="eastAsia" w:ascii="宋体" w:hAnsi="宋体"/>
          <w:color w:val="auto"/>
          <w:sz w:val="24"/>
          <w:highlight w:val="none"/>
          <w:u w:val="single"/>
          <w:lang w:eastAsia="zh-CN"/>
        </w:rPr>
        <w:t>第</w:t>
      </w:r>
      <w:r>
        <w:rPr>
          <w:rFonts w:hint="eastAsia" w:ascii="宋体" w:hAnsi="宋体"/>
          <w:color w:val="auto"/>
          <w:sz w:val="24"/>
          <w:highlight w:val="none"/>
          <w:u w:val="single"/>
          <w:lang w:val="en-US" w:eastAsia="zh-CN"/>
        </w:rPr>
        <w:t>1包-第3包：</w:t>
      </w:r>
      <w:r>
        <w:rPr>
          <w:rFonts w:hint="eastAsia" w:ascii="宋体" w:hAnsi="宋体"/>
          <w:color w:val="auto"/>
          <w:sz w:val="24"/>
          <w:highlight w:val="none"/>
          <w:u w:val="single"/>
        </w:rPr>
        <w:t>自合同签订之日起至2026年</w:t>
      </w:r>
      <w:r>
        <w:rPr>
          <w:rFonts w:hint="eastAsia" w:ascii="宋体" w:hAnsi="宋体"/>
          <w:color w:val="auto"/>
          <w:sz w:val="24"/>
          <w:highlight w:val="none"/>
          <w:u w:val="single"/>
          <w:lang w:val="en-US" w:eastAsia="zh-CN"/>
        </w:rPr>
        <w:t>9</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10</w:t>
      </w:r>
      <w:r>
        <w:rPr>
          <w:rFonts w:hint="eastAsia" w:ascii="宋体" w:hAnsi="宋体"/>
          <w:color w:val="auto"/>
          <w:sz w:val="24"/>
          <w:highlight w:val="none"/>
          <w:u w:val="single"/>
        </w:rPr>
        <w:t>日前完成供货、安装、及验收合格。</w:t>
      </w:r>
    </w:p>
    <w:bookmarkEnd w:id="10"/>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6.本项目是否接受联合体投标：</w:t>
      </w:r>
      <w:r>
        <w:rPr>
          <w:rFonts w:hint="eastAsia" w:ascii="宋体" w:hAnsi="宋体"/>
          <w:color w:val="auto"/>
          <w:sz w:val="24"/>
          <w:highlight w:val="none"/>
        </w:rPr>
        <w:t>第1包-第3包：</w:t>
      </w:r>
      <w:r>
        <w:rPr>
          <w:rFonts w:ascii="Wingdings 2" w:hAnsi="Wingdings 2"/>
          <w:color w:val="auto"/>
          <w:sz w:val="24"/>
          <w:highlight w:val="none"/>
        </w:rPr>
        <w:sym w:font="Wingdings 2" w:char="0052"/>
      </w:r>
      <w:r>
        <w:rPr>
          <w:rFonts w:ascii="宋体" w:hAnsi="宋体"/>
          <w:color w:val="auto"/>
          <w:sz w:val="24"/>
          <w:highlight w:val="none"/>
        </w:rPr>
        <w:t xml:space="preserve">是  </w:t>
      </w:r>
      <w:r>
        <w:rPr>
          <w:rFonts w:hint="eastAsia" w:ascii="宋体" w:hAnsi="宋体"/>
          <w:color w:val="auto"/>
          <w:sz w:val="24"/>
          <w:highlight w:val="none"/>
        </w:rPr>
        <w:t>■</w:t>
      </w:r>
      <w:r>
        <w:rPr>
          <w:rFonts w:ascii="宋体" w:hAnsi="宋体"/>
          <w:color w:val="auto"/>
          <w:sz w:val="24"/>
          <w:highlight w:val="none"/>
        </w:rPr>
        <w:t>否。</w:t>
      </w:r>
    </w:p>
    <w:p>
      <w:pPr>
        <w:pStyle w:val="3"/>
        <w:snapToGrid w:val="0"/>
        <w:spacing w:before="0" w:line="360" w:lineRule="auto"/>
        <w:jc w:val="left"/>
        <w:rPr>
          <w:rFonts w:hint="eastAsia" w:ascii="宋体" w:hAnsi="宋体" w:eastAsia="宋体"/>
          <w:color w:val="auto"/>
          <w:sz w:val="24"/>
          <w:szCs w:val="24"/>
          <w:highlight w:val="none"/>
        </w:rPr>
      </w:pPr>
      <w:bookmarkStart w:id="11" w:name="_Toc28359080"/>
      <w:bookmarkStart w:id="12" w:name="_Toc35393622"/>
      <w:bookmarkStart w:id="13" w:name="_Toc162978981"/>
      <w:bookmarkStart w:id="14" w:name="_Toc28359003"/>
      <w:bookmarkStart w:id="15" w:name="_Toc162978908"/>
      <w:bookmarkStart w:id="16" w:name="_Toc35393791"/>
      <w:r>
        <w:rPr>
          <w:rFonts w:ascii="宋体" w:hAnsi="宋体" w:eastAsia="宋体"/>
          <w:color w:val="auto"/>
          <w:sz w:val="24"/>
          <w:szCs w:val="24"/>
          <w:highlight w:val="none"/>
        </w:rPr>
        <w:t>二、申请人的资格要求（须同时满足）</w:t>
      </w:r>
      <w:bookmarkEnd w:id="11"/>
      <w:bookmarkEnd w:id="12"/>
      <w:bookmarkEnd w:id="13"/>
      <w:bookmarkEnd w:id="14"/>
      <w:bookmarkEnd w:id="15"/>
      <w:bookmarkEnd w:id="16"/>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1.满足《中华人民共和国政府采购法》第二十二条规定；</w:t>
      </w:r>
    </w:p>
    <w:p>
      <w:pPr>
        <w:snapToGrid w:val="0"/>
        <w:spacing w:line="360" w:lineRule="auto"/>
        <w:ind w:firstLine="480" w:firstLineChars="200"/>
        <w:rPr>
          <w:rFonts w:hint="eastAsia" w:ascii="宋体" w:hAnsi="宋体"/>
          <w:color w:val="auto"/>
          <w:sz w:val="24"/>
          <w:highlight w:val="none"/>
        </w:rPr>
      </w:pPr>
      <w:bookmarkStart w:id="17" w:name="_Toc28359081"/>
      <w:bookmarkStart w:id="18" w:name="_Toc28359004"/>
      <w:r>
        <w:rPr>
          <w:rFonts w:ascii="宋体" w:hAnsi="宋体"/>
          <w:color w:val="auto"/>
          <w:sz w:val="24"/>
          <w:highlight w:val="none"/>
        </w:rPr>
        <w:t>2.落实政府采购政策需满足的资格要求：</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2.1 中小企业政策</w:t>
      </w:r>
    </w:p>
    <w:p>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本项目不专门面向中小企业预留采购份额。</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□本项目专门面向  □中小 □小微企业  采购。即：提供的货物全部由符合政策要求的中小/小微企业制造、服务全部由符合政策要求的中小/小微企业承接。</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□本项目预留部分采购项目预算专门面向中小企业采购。对于预留份额，提供的货物由符合政策要求的中小企业制造、服务由符合政策要求的中小企业承接。预留份额通过以下措施进行：__________</w:t>
      </w:r>
      <w:r>
        <w:rPr>
          <w:rFonts w:hint="default" w:ascii="宋体" w:hAnsi="宋体"/>
          <w:color w:val="auto"/>
          <w:sz w:val="24"/>
          <w:highlight w:val="none"/>
          <w:lang w:val="en"/>
        </w:rPr>
        <w:t>/</w:t>
      </w:r>
      <w:r>
        <w:rPr>
          <w:rFonts w:ascii="宋体" w:hAnsi="宋体"/>
          <w:color w:val="auto"/>
          <w:sz w:val="24"/>
          <w:highlight w:val="none"/>
        </w:rPr>
        <w:t>________</w:t>
      </w:r>
      <w:r>
        <w:rPr>
          <w:rFonts w:hint="eastAsia" w:ascii="宋体" w:hAnsi="宋体"/>
          <w:color w:val="auto"/>
          <w:sz w:val="24"/>
          <w:highlight w:val="none"/>
        </w:rPr>
        <w:t>。</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2.2 其它落实政府采购政策的资格要求：</w:t>
      </w:r>
      <w:bookmarkStart w:id="19" w:name="OLE_LINK4"/>
      <w:r>
        <w:rPr>
          <w:rFonts w:hint="eastAsia" w:ascii="宋体" w:hAnsi="宋体"/>
          <w:color w:val="auto"/>
          <w:sz w:val="24"/>
          <w:highlight w:val="none"/>
          <w:u w:val="single"/>
        </w:rPr>
        <w:t>被“信用中国”网站（www.creditchina.gov.cn）列入失信被执行人、重大税收违法失信主体和</w:t>
      </w:r>
      <w:bookmarkStart w:id="20" w:name="OLE_LINK1"/>
      <w:r>
        <w:rPr>
          <w:rFonts w:hint="eastAsia" w:ascii="宋体" w:hAnsi="宋体"/>
          <w:color w:val="auto"/>
          <w:sz w:val="24"/>
          <w:highlight w:val="none"/>
          <w:u w:val="single"/>
        </w:rPr>
        <w:t>严重失信主体名单</w:t>
      </w:r>
      <w:bookmarkEnd w:id="20"/>
      <w:r>
        <w:rPr>
          <w:rFonts w:hint="eastAsia" w:ascii="宋体" w:hAnsi="宋体"/>
          <w:color w:val="auto"/>
          <w:sz w:val="24"/>
          <w:highlight w:val="none"/>
          <w:u w:val="single"/>
        </w:rPr>
        <w:t>、被“中国政府采购网”（www.ccgp.gov.cn）网站列入政府采购严重违法失信行为信息记录的供应商，拒绝其参与本次政府采购活动</w:t>
      </w:r>
      <w:r>
        <w:rPr>
          <w:rFonts w:ascii="宋体" w:hAnsi="宋体"/>
          <w:color w:val="auto"/>
          <w:sz w:val="24"/>
          <w:highlight w:val="none"/>
        </w:rPr>
        <w:t>__</w:t>
      </w:r>
      <w:r>
        <w:rPr>
          <w:rFonts w:hint="eastAsia" w:ascii="宋体" w:hAnsi="宋体"/>
          <w:color w:val="auto"/>
          <w:sz w:val="24"/>
          <w:highlight w:val="none"/>
        </w:rPr>
        <w:t>。</w:t>
      </w:r>
    </w:p>
    <w:bookmarkEnd w:id="19"/>
    <w:p>
      <w:pPr>
        <w:snapToGrid w:val="0"/>
        <w:spacing w:line="360" w:lineRule="auto"/>
        <w:ind w:firstLine="480" w:firstLineChars="200"/>
        <w:rPr>
          <w:rFonts w:hint="eastAsia" w:ascii="宋体" w:hAnsi="宋体"/>
          <w:i/>
          <w:iCs/>
          <w:color w:val="auto"/>
          <w:sz w:val="24"/>
          <w:highlight w:val="none"/>
          <w:u w:val="single"/>
        </w:rPr>
      </w:pPr>
      <w:r>
        <w:rPr>
          <w:rFonts w:ascii="宋体" w:hAnsi="宋体"/>
          <w:color w:val="auto"/>
          <w:sz w:val="24"/>
          <w:highlight w:val="none"/>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3.1本项目是否属于政府购买服务：</w:t>
      </w:r>
    </w:p>
    <w:p>
      <w:pPr>
        <w:tabs>
          <w:tab w:val="left" w:pos="900"/>
          <w:tab w:val="left" w:pos="1134"/>
          <w:tab w:val="left" w:pos="1589"/>
          <w:tab w:val="left" w:pos="5521"/>
        </w:tabs>
        <w:snapToGrid w:val="0"/>
        <w:spacing w:line="360" w:lineRule="auto"/>
        <w:ind w:left="991" w:leftChars="472" w:firstLine="2"/>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否</w:t>
      </w:r>
    </w:p>
    <w:p>
      <w:pPr>
        <w:tabs>
          <w:tab w:val="left" w:pos="900"/>
          <w:tab w:val="left" w:pos="1134"/>
          <w:tab w:val="left" w:pos="1589"/>
          <w:tab w:val="left" w:pos="5521"/>
        </w:tabs>
        <w:snapToGrid w:val="0"/>
        <w:spacing w:line="360" w:lineRule="auto"/>
        <w:ind w:left="991" w:leftChars="472" w:firstLine="2"/>
        <w:rPr>
          <w:rFonts w:hint="eastAsia" w:ascii="宋体" w:hAnsi="宋体"/>
          <w:color w:val="auto"/>
          <w:sz w:val="24"/>
          <w:highlight w:val="none"/>
        </w:rPr>
      </w:pPr>
      <w:r>
        <w:rPr>
          <w:rFonts w:ascii="宋体" w:hAnsi="宋体"/>
          <w:color w:val="auto"/>
          <w:sz w:val="24"/>
          <w:highlight w:val="none"/>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default" w:ascii="宋体" w:hAnsi="宋体"/>
          <w:color w:val="auto"/>
          <w:sz w:val="24"/>
          <w:highlight w:val="none"/>
          <w:lang w:val="en"/>
        </w:rPr>
      </w:pPr>
      <w:r>
        <w:rPr>
          <w:rFonts w:ascii="宋体" w:hAnsi="宋体"/>
          <w:color w:val="auto"/>
          <w:sz w:val="24"/>
          <w:highlight w:val="none"/>
        </w:rPr>
        <w:t>3.2其他特定资格要求：</w:t>
      </w:r>
      <w:r>
        <w:rPr>
          <w:rFonts w:hint="default" w:ascii="宋体" w:hAnsi="宋体"/>
          <w:color w:val="auto"/>
          <w:sz w:val="24"/>
          <w:highlight w:val="none"/>
          <w:u w:val="single"/>
          <w:lang w:val="en"/>
        </w:rPr>
        <w:t xml:space="preserve">     /     </w:t>
      </w:r>
    </w:p>
    <w:bookmarkEnd w:id="17"/>
    <w:bookmarkEnd w:id="18"/>
    <w:p>
      <w:pPr>
        <w:pStyle w:val="3"/>
        <w:widowControl/>
        <w:snapToGrid w:val="0"/>
        <w:spacing w:before="0" w:line="360" w:lineRule="auto"/>
        <w:jc w:val="left"/>
        <w:rPr>
          <w:rFonts w:hint="eastAsia" w:ascii="宋体" w:hAnsi="宋体" w:eastAsia="宋体"/>
          <w:color w:val="auto"/>
          <w:sz w:val="24"/>
          <w:szCs w:val="24"/>
          <w:highlight w:val="none"/>
        </w:rPr>
      </w:pPr>
      <w:bookmarkStart w:id="21" w:name="_Toc35393792"/>
      <w:bookmarkStart w:id="22" w:name="_Toc35393623"/>
      <w:bookmarkStart w:id="23" w:name="_Toc162978982"/>
      <w:bookmarkStart w:id="24" w:name="_Toc162978909"/>
      <w:r>
        <w:rPr>
          <w:rFonts w:ascii="宋体" w:hAnsi="宋体" w:eastAsia="宋体"/>
          <w:color w:val="auto"/>
          <w:sz w:val="24"/>
          <w:szCs w:val="24"/>
          <w:highlight w:val="none"/>
        </w:rPr>
        <w:t>三、获取招标文件</w:t>
      </w:r>
      <w:bookmarkEnd w:id="21"/>
      <w:bookmarkEnd w:id="22"/>
      <w:bookmarkEnd w:id="23"/>
      <w:bookmarkEnd w:id="24"/>
    </w:p>
    <w:p>
      <w:pPr>
        <w:adjustRightInd w:val="0"/>
        <w:snapToGrid w:val="0"/>
        <w:spacing w:line="360" w:lineRule="auto"/>
        <w:ind w:firstLine="480" w:firstLineChars="200"/>
        <w:rPr>
          <w:rFonts w:hint="eastAsia" w:ascii="宋体" w:hAnsi="宋体"/>
          <w:color w:val="auto"/>
          <w:sz w:val="24"/>
          <w:highlight w:val="none"/>
          <w:lang w:bidi="ar"/>
        </w:rPr>
      </w:pPr>
      <w:r>
        <w:rPr>
          <w:rFonts w:ascii="宋体" w:hAnsi="宋体"/>
          <w:color w:val="auto"/>
          <w:sz w:val="24"/>
          <w:highlight w:val="none"/>
          <w:lang w:bidi="ar"/>
        </w:rPr>
        <w:t>1.时间：</w:t>
      </w:r>
      <w:r>
        <w:rPr>
          <w:rFonts w:hint="eastAsia" w:ascii="宋体" w:hAnsi="宋体"/>
          <w:color w:val="auto"/>
          <w:sz w:val="24"/>
          <w:highlight w:val="none"/>
          <w:u w:val="single"/>
          <w:lang w:bidi="ar"/>
        </w:rPr>
        <w:t>2026</w:t>
      </w:r>
      <w:r>
        <w:rPr>
          <w:rFonts w:ascii="宋体" w:hAnsi="宋体"/>
          <w:color w:val="auto"/>
          <w:sz w:val="24"/>
          <w:highlight w:val="none"/>
          <w:lang w:bidi="ar"/>
        </w:rPr>
        <w:t>年</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7</w:t>
      </w:r>
      <w:r>
        <w:rPr>
          <w:rFonts w:hint="eastAsia" w:ascii="宋体" w:hAnsi="宋体"/>
          <w:color w:val="auto"/>
          <w:sz w:val="24"/>
          <w:highlight w:val="none"/>
          <w:u w:val="single"/>
          <w:lang w:bidi="ar"/>
        </w:rPr>
        <w:t xml:space="preserve"> </w:t>
      </w:r>
      <w:r>
        <w:rPr>
          <w:rFonts w:ascii="宋体" w:hAnsi="宋体"/>
          <w:color w:val="auto"/>
          <w:sz w:val="24"/>
          <w:highlight w:val="none"/>
          <w:lang w:bidi="ar"/>
        </w:rPr>
        <w:t>月</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24</w:t>
      </w:r>
      <w:r>
        <w:rPr>
          <w:rFonts w:hint="eastAsia" w:ascii="宋体" w:hAnsi="宋体"/>
          <w:color w:val="auto"/>
          <w:sz w:val="24"/>
          <w:highlight w:val="none"/>
          <w:u w:val="single"/>
          <w:lang w:bidi="ar"/>
        </w:rPr>
        <w:t xml:space="preserve">  </w:t>
      </w:r>
      <w:r>
        <w:rPr>
          <w:rFonts w:ascii="宋体" w:hAnsi="宋体"/>
          <w:color w:val="auto"/>
          <w:sz w:val="24"/>
          <w:highlight w:val="none"/>
          <w:lang w:bidi="ar"/>
        </w:rPr>
        <w:t>日至</w:t>
      </w:r>
      <w:r>
        <w:rPr>
          <w:rFonts w:hint="eastAsia" w:ascii="宋体" w:hAnsi="宋体"/>
          <w:color w:val="auto"/>
          <w:sz w:val="24"/>
          <w:highlight w:val="none"/>
          <w:u w:val="single"/>
          <w:lang w:bidi="ar"/>
        </w:rPr>
        <w:t>2026</w:t>
      </w:r>
      <w:r>
        <w:rPr>
          <w:rFonts w:ascii="宋体" w:hAnsi="宋体"/>
          <w:color w:val="auto"/>
          <w:sz w:val="24"/>
          <w:highlight w:val="none"/>
          <w:lang w:bidi="ar"/>
        </w:rPr>
        <w:t>年</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7</w:t>
      </w:r>
      <w:r>
        <w:rPr>
          <w:rFonts w:hint="eastAsia" w:ascii="宋体" w:hAnsi="宋体"/>
          <w:color w:val="auto"/>
          <w:sz w:val="24"/>
          <w:highlight w:val="none"/>
          <w:u w:val="single"/>
          <w:lang w:bidi="ar"/>
        </w:rPr>
        <w:t xml:space="preserve"> </w:t>
      </w:r>
      <w:r>
        <w:rPr>
          <w:rFonts w:ascii="宋体" w:hAnsi="宋体"/>
          <w:color w:val="auto"/>
          <w:sz w:val="24"/>
          <w:highlight w:val="none"/>
          <w:lang w:bidi="ar"/>
        </w:rPr>
        <w:t>月</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30</w:t>
      </w:r>
      <w:r>
        <w:rPr>
          <w:rFonts w:hint="eastAsia" w:ascii="宋体" w:hAnsi="宋体"/>
          <w:color w:val="auto"/>
          <w:sz w:val="24"/>
          <w:highlight w:val="none"/>
          <w:u w:val="single"/>
          <w:lang w:bidi="ar"/>
        </w:rPr>
        <w:t xml:space="preserve">  </w:t>
      </w:r>
      <w:r>
        <w:rPr>
          <w:rFonts w:ascii="宋体" w:hAnsi="宋体"/>
          <w:color w:val="auto"/>
          <w:sz w:val="24"/>
          <w:highlight w:val="none"/>
          <w:lang w:bidi="ar"/>
        </w:rPr>
        <w:t>日，每天上午</w:t>
      </w:r>
      <w:r>
        <w:rPr>
          <w:rFonts w:ascii="宋体" w:hAnsi="宋体"/>
          <w:color w:val="auto"/>
          <w:sz w:val="24"/>
          <w:highlight w:val="none"/>
          <w:u w:val="single"/>
          <w:lang w:bidi="ar"/>
        </w:rPr>
        <w:t>_8</w:t>
      </w:r>
      <w:r>
        <w:rPr>
          <w:rFonts w:hint="eastAsia" w:ascii="宋体" w:hAnsi="宋体"/>
          <w:color w:val="auto"/>
          <w:sz w:val="24"/>
          <w:highlight w:val="none"/>
          <w:u w:val="single"/>
          <w:lang w:bidi="ar"/>
        </w:rPr>
        <w:t>:</w:t>
      </w:r>
      <w:r>
        <w:rPr>
          <w:rFonts w:ascii="宋体" w:hAnsi="宋体"/>
          <w:color w:val="auto"/>
          <w:sz w:val="24"/>
          <w:highlight w:val="none"/>
          <w:u w:val="single"/>
          <w:lang w:bidi="ar"/>
        </w:rPr>
        <w:t>30</w:t>
      </w:r>
      <w:r>
        <w:rPr>
          <w:rFonts w:ascii="宋体" w:hAnsi="宋体"/>
          <w:color w:val="auto"/>
          <w:sz w:val="24"/>
          <w:highlight w:val="none"/>
          <w:lang w:bidi="ar"/>
        </w:rPr>
        <w:t>_至_</w:t>
      </w:r>
      <w:r>
        <w:rPr>
          <w:rFonts w:ascii="宋体" w:hAnsi="宋体"/>
          <w:color w:val="auto"/>
          <w:sz w:val="24"/>
          <w:highlight w:val="none"/>
          <w:u w:val="single"/>
          <w:lang w:bidi="ar"/>
        </w:rPr>
        <w:t>1</w:t>
      </w:r>
      <w:r>
        <w:rPr>
          <w:rFonts w:hint="eastAsia" w:ascii="宋体" w:hAnsi="宋体"/>
          <w:color w:val="auto"/>
          <w:sz w:val="24"/>
          <w:highlight w:val="none"/>
          <w:u w:val="single"/>
          <w:lang w:val="en-US" w:eastAsia="zh-CN" w:bidi="ar"/>
        </w:rPr>
        <w:t>1</w:t>
      </w:r>
      <w:r>
        <w:rPr>
          <w:rFonts w:hint="eastAsia" w:ascii="宋体" w:hAnsi="宋体"/>
          <w:color w:val="auto"/>
          <w:sz w:val="24"/>
          <w:highlight w:val="none"/>
          <w:u w:val="single"/>
          <w:lang w:bidi="ar"/>
        </w:rPr>
        <w:t>:0</w:t>
      </w:r>
      <w:r>
        <w:rPr>
          <w:rFonts w:ascii="宋体" w:hAnsi="宋体"/>
          <w:color w:val="auto"/>
          <w:sz w:val="24"/>
          <w:highlight w:val="none"/>
          <w:u w:val="single"/>
          <w:lang w:bidi="ar"/>
        </w:rPr>
        <w:t>0</w:t>
      </w:r>
      <w:r>
        <w:rPr>
          <w:rFonts w:ascii="宋体" w:hAnsi="宋体"/>
          <w:color w:val="auto"/>
          <w:sz w:val="24"/>
          <w:highlight w:val="none"/>
          <w:lang w:bidi="ar"/>
        </w:rPr>
        <w:t>_，下午_</w:t>
      </w:r>
      <w:r>
        <w:rPr>
          <w:rFonts w:hint="eastAsia" w:ascii="宋体" w:hAnsi="宋体"/>
          <w:color w:val="auto"/>
          <w:sz w:val="24"/>
          <w:highlight w:val="none"/>
          <w:u w:val="single"/>
          <w:lang w:bidi="ar"/>
        </w:rPr>
        <w:t>1</w:t>
      </w:r>
      <w:r>
        <w:rPr>
          <w:rFonts w:hint="eastAsia" w:ascii="宋体" w:hAnsi="宋体"/>
          <w:color w:val="auto"/>
          <w:sz w:val="24"/>
          <w:highlight w:val="none"/>
          <w:u w:val="single"/>
          <w:lang w:val="en-US" w:eastAsia="zh-CN" w:bidi="ar"/>
        </w:rPr>
        <w:t>4</w:t>
      </w:r>
      <w:r>
        <w:rPr>
          <w:rFonts w:hint="eastAsia" w:ascii="宋体" w:hAnsi="宋体"/>
          <w:color w:val="auto"/>
          <w:sz w:val="24"/>
          <w:highlight w:val="none"/>
          <w:u w:val="single"/>
          <w:lang w:bidi="ar"/>
        </w:rPr>
        <w:t>:0</w:t>
      </w:r>
      <w:r>
        <w:rPr>
          <w:rFonts w:ascii="宋体" w:hAnsi="宋体"/>
          <w:color w:val="auto"/>
          <w:sz w:val="24"/>
          <w:highlight w:val="none"/>
          <w:u w:val="single"/>
          <w:lang w:bidi="ar"/>
        </w:rPr>
        <w:t>0</w:t>
      </w:r>
      <w:r>
        <w:rPr>
          <w:rFonts w:ascii="宋体" w:hAnsi="宋体"/>
          <w:color w:val="auto"/>
          <w:sz w:val="24"/>
          <w:highlight w:val="none"/>
          <w:lang w:bidi="ar"/>
        </w:rPr>
        <w:t>_至_</w:t>
      </w:r>
      <w:r>
        <w:rPr>
          <w:rFonts w:ascii="宋体" w:hAnsi="宋体"/>
          <w:color w:val="auto"/>
          <w:sz w:val="24"/>
          <w:highlight w:val="none"/>
          <w:u w:val="single"/>
          <w:lang w:bidi="ar"/>
        </w:rPr>
        <w:t>17</w:t>
      </w:r>
      <w:r>
        <w:rPr>
          <w:rFonts w:hint="eastAsia" w:ascii="宋体" w:hAnsi="宋体"/>
          <w:color w:val="auto"/>
          <w:sz w:val="24"/>
          <w:highlight w:val="none"/>
          <w:u w:val="single"/>
          <w:lang w:bidi="ar"/>
        </w:rPr>
        <w:t>:</w:t>
      </w:r>
      <w:r>
        <w:rPr>
          <w:rFonts w:hint="eastAsia" w:ascii="宋体" w:hAnsi="宋体"/>
          <w:color w:val="auto"/>
          <w:sz w:val="24"/>
          <w:highlight w:val="none"/>
          <w:u w:val="single"/>
          <w:lang w:val="en-US" w:eastAsia="zh-CN" w:bidi="ar"/>
        </w:rPr>
        <w:t>0</w:t>
      </w:r>
      <w:r>
        <w:rPr>
          <w:rFonts w:ascii="宋体" w:hAnsi="宋体"/>
          <w:color w:val="auto"/>
          <w:sz w:val="24"/>
          <w:highlight w:val="none"/>
          <w:u w:val="single"/>
          <w:lang w:bidi="ar"/>
        </w:rPr>
        <w:t>0</w:t>
      </w:r>
      <w:r>
        <w:rPr>
          <w:rFonts w:ascii="宋体" w:hAnsi="宋体"/>
          <w:color w:val="auto"/>
          <w:sz w:val="24"/>
          <w:highlight w:val="none"/>
          <w:lang w:bidi="ar"/>
        </w:rPr>
        <w:t>（北京时间，法定节假日除外）。</w:t>
      </w:r>
    </w:p>
    <w:p>
      <w:pPr>
        <w:adjustRightInd w:val="0"/>
        <w:snapToGrid w:val="0"/>
        <w:spacing w:line="360" w:lineRule="auto"/>
        <w:ind w:firstLine="480" w:firstLineChars="200"/>
        <w:rPr>
          <w:rFonts w:hint="eastAsia" w:ascii="宋体" w:hAnsi="宋体"/>
          <w:color w:val="auto"/>
          <w:sz w:val="24"/>
          <w:highlight w:val="none"/>
          <w:lang w:bidi="ar"/>
        </w:rPr>
      </w:pPr>
      <w:r>
        <w:rPr>
          <w:rFonts w:ascii="宋体" w:hAnsi="宋体"/>
          <w:color w:val="auto"/>
          <w:sz w:val="24"/>
          <w:highlight w:val="none"/>
          <w:lang w:bidi="ar"/>
        </w:rPr>
        <w:t>2.地点：</w:t>
      </w:r>
      <w:r>
        <w:rPr>
          <w:rFonts w:hint="eastAsia" w:ascii="宋体" w:hAnsi="宋体"/>
          <w:color w:val="auto"/>
          <w:sz w:val="24"/>
          <w:highlight w:val="none"/>
          <w:lang w:bidi="ar"/>
        </w:rPr>
        <w:t>北京市政府采购电子交易平台</w:t>
      </w:r>
    </w:p>
    <w:p>
      <w:pPr>
        <w:adjustRightInd w:val="0"/>
        <w:snapToGrid w:val="0"/>
        <w:spacing w:line="360" w:lineRule="auto"/>
        <w:ind w:firstLine="480" w:firstLineChars="200"/>
        <w:rPr>
          <w:rFonts w:hint="eastAsia" w:ascii="宋体" w:hAnsi="宋体"/>
          <w:color w:val="auto"/>
          <w:sz w:val="24"/>
          <w:highlight w:val="none"/>
          <w:lang w:bidi="ar"/>
        </w:rPr>
      </w:pPr>
      <w:r>
        <w:rPr>
          <w:rFonts w:ascii="宋体" w:hAnsi="宋体"/>
          <w:color w:val="auto"/>
          <w:sz w:val="24"/>
          <w:highlight w:val="none"/>
          <w:lang w:bidi="ar"/>
        </w:rPr>
        <w:t>3.方式：</w:t>
      </w:r>
      <w:r>
        <w:rPr>
          <w:rFonts w:hint="eastAsia" w:ascii="宋体" w:hAnsi="宋体"/>
          <w:color w:val="auto"/>
          <w:sz w:val="24"/>
          <w:highlight w:val="none"/>
          <w:lang w:bidi="ar"/>
        </w:rPr>
        <w:t>投标人使用CA数字证书或电子营业执照登录北京市政府采购电子交易平台（http://zbcg-bjzc.zhongcy.com/bjczj-portal-site/index.html#/home）获取电子版招标文件。</w:t>
      </w:r>
    </w:p>
    <w:p>
      <w:pPr>
        <w:adjustRightInd w:val="0"/>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lang w:bidi="ar"/>
        </w:rPr>
        <w:t>4.售价：0元。</w:t>
      </w:r>
    </w:p>
    <w:p>
      <w:pPr>
        <w:pStyle w:val="3"/>
        <w:widowControl/>
        <w:snapToGrid w:val="0"/>
        <w:spacing w:before="0" w:line="360" w:lineRule="auto"/>
        <w:jc w:val="left"/>
        <w:rPr>
          <w:rFonts w:hint="eastAsia" w:ascii="宋体" w:hAnsi="宋体" w:eastAsia="宋体"/>
          <w:color w:val="auto"/>
          <w:sz w:val="24"/>
          <w:szCs w:val="24"/>
          <w:highlight w:val="none"/>
        </w:rPr>
      </w:pPr>
      <w:bookmarkStart w:id="25" w:name="_Toc28359082"/>
      <w:bookmarkStart w:id="26" w:name="_Toc28359005"/>
      <w:bookmarkStart w:id="27" w:name="_Toc35393624"/>
      <w:bookmarkStart w:id="28" w:name="_Toc162978983"/>
      <w:bookmarkStart w:id="29" w:name="_Toc35393793"/>
      <w:bookmarkStart w:id="30" w:name="_Toc162978910"/>
      <w:r>
        <w:rPr>
          <w:rFonts w:ascii="宋体" w:hAnsi="宋体" w:eastAsia="宋体"/>
          <w:color w:val="auto"/>
          <w:sz w:val="24"/>
          <w:szCs w:val="24"/>
          <w:highlight w:val="none"/>
        </w:rPr>
        <w:t>四、提交投标文件</w:t>
      </w:r>
      <w:bookmarkEnd w:id="25"/>
      <w:bookmarkEnd w:id="26"/>
      <w:r>
        <w:rPr>
          <w:rFonts w:ascii="宋体" w:hAnsi="宋体" w:eastAsia="宋体"/>
          <w:color w:val="auto"/>
          <w:sz w:val="24"/>
          <w:szCs w:val="24"/>
          <w:highlight w:val="none"/>
        </w:rPr>
        <w:t>截止时间、开标时间和地点</w:t>
      </w:r>
      <w:bookmarkEnd w:id="27"/>
      <w:bookmarkEnd w:id="28"/>
      <w:bookmarkEnd w:id="29"/>
      <w:bookmarkEnd w:id="30"/>
    </w:p>
    <w:p>
      <w:pPr>
        <w:snapToGrid w:val="0"/>
        <w:spacing w:line="360" w:lineRule="auto"/>
        <w:ind w:firstLine="480" w:firstLineChars="200"/>
        <w:rPr>
          <w:rFonts w:hint="eastAsia" w:ascii="宋体" w:hAnsi="宋体" w:eastAsia="宋体"/>
          <w:bCs/>
          <w:color w:val="auto"/>
          <w:sz w:val="24"/>
          <w:highlight w:val="none"/>
          <w:u w:val="single"/>
          <w:lang w:eastAsia="zh-CN"/>
        </w:rPr>
      </w:pPr>
      <w:r>
        <w:rPr>
          <w:rFonts w:ascii="宋体" w:hAnsi="宋体"/>
          <w:color w:val="auto"/>
          <w:sz w:val="24"/>
          <w:highlight w:val="none"/>
          <w:lang w:bidi="ar"/>
        </w:rPr>
        <w:t>投标截止时间、开标时间</w:t>
      </w:r>
      <w:bookmarkStart w:id="31" w:name="_Hlk198813689"/>
      <w:r>
        <w:rPr>
          <w:rFonts w:ascii="宋体" w:hAnsi="宋体"/>
          <w:color w:val="auto"/>
          <w:sz w:val="24"/>
          <w:highlight w:val="none"/>
          <w:lang w:bidi="ar"/>
        </w:rPr>
        <w:t>：</w:t>
      </w:r>
      <w:r>
        <w:rPr>
          <w:rFonts w:hint="eastAsia" w:ascii="宋体" w:hAnsi="宋体"/>
          <w:color w:val="auto"/>
          <w:sz w:val="24"/>
          <w:highlight w:val="none"/>
          <w:u w:val="single"/>
          <w:lang w:bidi="ar"/>
        </w:rPr>
        <w:t>2026</w:t>
      </w:r>
      <w:r>
        <w:rPr>
          <w:rFonts w:ascii="宋体" w:hAnsi="宋体"/>
          <w:color w:val="auto"/>
          <w:sz w:val="24"/>
          <w:highlight w:val="none"/>
          <w:lang w:bidi="ar"/>
        </w:rPr>
        <w:t>年</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8</w:t>
      </w:r>
      <w:r>
        <w:rPr>
          <w:rFonts w:hint="eastAsia" w:ascii="宋体" w:hAnsi="宋体"/>
          <w:color w:val="auto"/>
          <w:sz w:val="24"/>
          <w:highlight w:val="none"/>
          <w:u w:val="single"/>
          <w:lang w:bidi="ar"/>
        </w:rPr>
        <w:t xml:space="preserve"> </w:t>
      </w:r>
      <w:r>
        <w:rPr>
          <w:rFonts w:ascii="宋体" w:hAnsi="宋体"/>
          <w:color w:val="auto"/>
          <w:sz w:val="24"/>
          <w:highlight w:val="none"/>
          <w:lang w:bidi="ar"/>
        </w:rPr>
        <w:t>月</w:t>
      </w:r>
      <w:r>
        <w:rPr>
          <w:rFonts w:hint="eastAsia" w:ascii="宋体" w:hAnsi="宋体"/>
          <w:color w:val="auto"/>
          <w:sz w:val="24"/>
          <w:highlight w:val="none"/>
          <w:u w:val="single"/>
          <w:lang w:bidi="ar"/>
        </w:rPr>
        <w:t xml:space="preserve">  </w:t>
      </w:r>
      <w:r>
        <w:rPr>
          <w:rFonts w:hint="eastAsia" w:ascii="宋体" w:hAnsi="宋体"/>
          <w:color w:val="auto"/>
          <w:sz w:val="24"/>
          <w:highlight w:val="none"/>
          <w:u w:val="single"/>
          <w:lang w:val="en-US" w:eastAsia="zh-CN" w:bidi="ar"/>
        </w:rPr>
        <w:t>17</w:t>
      </w:r>
      <w:r>
        <w:rPr>
          <w:rFonts w:hint="eastAsia" w:ascii="宋体" w:hAnsi="宋体"/>
          <w:color w:val="auto"/>
          <w:sz w:val="24"/>
          <w:highlight w:val="none"/>
          <w:u w:val="single"/>
          <w:lang w:bidi="ar"/>
        </w:rPr>
        <w:t xml:space="preserve">  </w:t>
      </w:r>
      <w:r>
        <w:rPr>
          <w:rFonts w:ascii="宋体" w:hAnsi="宋体"/>
          <w:color w:val="auto"/>
          <w:sz w:val="24"/>
          <w:highlight w:val="none"/>
          <w:lang w:bidi="ar"/>
        </w:rPr>
        <w:t>日</w:t>
      </w:r>
      <w:r>
        <w:rPr>
          <w:rFonts w:hint="eastAsia" w:ascii="宋体" w:hAnsi="宋体"/>
          <w:color w:val="auto"/>
          <w:sz w:val="24"/>
          <w:highlight w:val="none"/>
          <w:u w:val="single"/>
          <w:lang w:bidi="ar"/>
        </w:rPr>
        <w:t>09</w:t>
      </w:r>
      <w:r>
        <w:rPr>
          <w:rFonts w:ascii="宋体" w:hAnsi="宋体"/>
          <w:color w:val="auto"/>
          <w:sz w:val="24"/>
          <w:highlight w:val="none"/>
          <w:lang w:bidi="ar"/>
        </w:rPr>
        <w:t>点</w:t>
      </w:r>
      <w:r>
        <w:rPr>
          <w:rFonts w:hint="eastAsia" w:ascii="宋体" w:hAnsi="宋体"/>
          <w:color w:val="auto"/>
          <w:sz w:val="24"/>
          <w:highlight w:val="none"/>
          <w:u w:val="single"/>
          <w:lang w:val="en-US" w:eastAsia="zh-CN" w:bidi="ar"/>
        </w:rPr>
        <w:t>0</w:t>
      </w:r>
      <w:r>
        <w:rPr>
          <w:rFonts w:ascii="宋体" w:hAnsi="宋体"/>
          <w:color w:val="auto"/>
          <w:sz w:val="24"/>
          <w:highlight w:val="none"/>
          <w:u w:val="single"/>
          <w:lang w:bidi="ar"/>
        </w:rPr>
        <w:t>0</w:t>
      </w:r>
      <w:r>
        <w:rPr>
          <w:rFonts w:ascii="宋体" w:hAnsi="宋体"/>
          <w:color w:val="auto"/>
          <w:sz w:val="24"/>
          <w:highlight w:val="none"/>
          <w:lang w:bidi="ar"/>
        </w:rPr>
        <w:t>分</w:t>
      </w:r>
      <w:bookmarkEnd w:id="31"/>
      <w:r>
        <w:rPr>
          <w:rFonts w:ascii="宋体" w:hAnsi="宋体"/>
          <w:bCs/>
          <w:color w:val="auto"/>
          <w:sz w:val="24"/>
          <w:highlight w:val="none"/>
          <w:lang w:bidi="ar"/>
        </w:rPr>
        <w:t>（北京时间）</w:t>
      </w:r>
      <w:r>
        <w:rPr>
          <w:rFonts w:ascii="宋体" w:hAnsi="宋体"/>
          <w:iCs/>
          <w:color w:val="auto"/>
          <w:sz w:val="24"/>
          <w:highlight w:val="none"/>
          <w:lang w:bidi="ar"/>
        </w:rPr>
        <w:t>。</w:t>
      </w:r>
      <w:r>
        <w:rPr>
          <w:rFonts w:hint="eastAsia" w:ascii="宋体" w:hAnsi="宋体"/>
          <w:iCs/>
          <w:color w:val="auto"/>
          <w:sz w:val="24"/>
          <w:highlight w:val="none"/>
          <w:lang w:eastAsia="zh-CN" w:bidi="ar"/>
        </w:rPr>
        <w:t>（按照第</w:t>
      </w:r>
      <w:r>
        <w:rPr>
          <w:rFonts w:hint="eastAsia" w:ascii="宋体" w:hAnsi="宋体"/>
          <w:iCs/>
          <w:color w:val="auto"/>
          <w:sz w:val="24"/>
          <w:highlight w:val="none"/>
          <w:lang w:val="en-US" w:eastAsia="zh-CN" w:bidi="ar"/>
        </w:rPr>
        <w:t>1包-第3包顺序依次开标</w:t>
      </w:r>
      <w:r>
        <w:rPr>
          <w:rFonts w:hint="eastAsia" w:ascii="宋体" w:hAnsi="宋体"/>
          <w:iCs/>
          <w:color w:val="auto"/>
          <w:sz w:val="24"/>
          <w:highlight w:val="none"/>
          <w:lang w:eastAsia="zh-CN" w:bidi="ar"/>
        </w:rPr>
        <w:t>）</w:t>
      </w:r>
    </w:p>
    <w:p>
      <w:pPr>
        <w:snapToGrid w:val="0"/>
        <w:spacing w:line="360" w:lineRule="auto"/>
        <w:ind w:firstLine="480" w:firstLineChars="200"/>
        <w:jc w:val="left"/>
        <w:rPr>
          <w:rFonts w:hint="eastAsia" w:ascii="宋体" w:hAnsi="宋体"/>
          <w:color w:val="auto"/>
          <w:sz w:val="24"/>
          <w:highlight w:val="none"/>
          <w:u w:val="single"/>
          <w:lang w:bidi="ar"/>
        </w:rPr>
      </w:pPr>
      <w:r>
        <w:rPr>
          <w:rFonts w:hint="eastAsia" w:ascii="宋体" w:hAnsi="宋体"/>
          <w:color w:val="auto"/>
          <w:sz w:val="24"/>
          <w:highlight w:val="none"/>
          <w:lang w:bidi="ar"/>
        </w:rPr>
        <w:t>投标文件递交</w:t>
      </w:r>
      <w:r>
        <w:rPr>
          <w:rFonts w:ascii="宋体" w:hAnsi="宋体"/>
          <w:color w:val="auto"/>
          <w:sz w:val="24"/>
          <w:highlight w:val="none"/>
          <w:lang w:bidi="ar"/>
        </w:rPr>
        <w:t>地点：</w:t>
      </w:r>
      <w:r>
        <w:rPr>
          <w:rFonts w:hint="eastAsia" w:ascii="宋体" w:hAnsi="宋体"/>
          <w:color w:val="auto"/>
          <w:sz w:val="24"/>
          <w:highlight w:val="none"/>
          <w:u w:val="single"/>
          <w:lang w:bidi="ar"/>
        </w:rPr>
        <w:t>北京市政府采购电子交易平台</w:t>
      </w:r>
    </w:p>
    <w:p>
      <w:pPr>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开标地点：北京市政府采购电子交易平台。</w:t>
      </w:r>
      <w:bookmarkStart w:id="32" w:name="_Toc28359084"/>
      <w:bookmarkStart w:id="33" w:name="_Toc35393794"/>
      <w:bookmarkStart w:id="34" w:name="_Toc162978911"/>
      <w:bookmarkStart w:id="35" w:name="_Toc35393625"/>
      <w:bookmarkStart w:id="36" w:name="_Toc162978984"/>
      <w:bookmarkStart w:id="37" w:name="_Toc28359007"/>
      <w:r>
        <w:rPr>
          <w:rFonts w:hint="eastAsia" w:ascii="宋体" w:hAnsi="宋体"/>
          <w:color w:val="auto"/>
          <w:sz w:val="24"/>
          <w:highlight w:val="none"/>
          <w:lang w:bidi="ar"/>
        </w:rPr>
        <w:t>（供应商可自主选择是否前往北京市平谷区社会服务中心后配楼4层现场开启</w:t>
      </w:r>
      <w:r>
        <w:rPr>
          <w:rFonts w:hint="eastAsia" w:ascii="宋体" w:hAnsi="宋体"/>
          <w:color w:val="auto"/>
          <w:sz w:val="24"/>
          <w:highlight w:val="none"/>
          <w:lang w:eastAsia="zh-CN" w:bidi="ar"/>
        </w:rPr>
        <w:t>，</w:t>
      </w:r>
      <w:r>
        <w:rPr>
          <w:rFonts w:hint="eastAsia" w:ascii="宋体" w:hAnsi="宋体"/>
          <w:color w:val="auto"/>
          <w:sz w:val="24"/>
          <w:highlight w:val="none"/>
          <w:lang w:bidi="ar"/>
        </w:rPr>
        <w:t>现场开启地点不提供解密设备，供应商如选择现场开启，应在招标文件规定的时间内携带计算机设备及CA数字证书或电子营业执照登录北京市政府采购电子交易平台解密并开启响应文件。）</w:t>
      </w:r>
    </w:p>
    <w:p>
      <w:pPr>
        <w:pStyle w:val="3"/>
        <w:snapToGrid w:val="0"/>
        <w:spacing w:before="0" w:line="360" w:lineRule="auto"/>
        <w:jc w:val="left"/>
        <w:rPr>
          <w:rFonts w:hint="eastAsia" w:ascii="宋体" w:hAnsi="宋体" w:eastAsia="宋体"/>
          <w:color w:val="auto"/>
          <w:sz w:val="24"/>
          <w:szCs w:val="24"/>
          <w:highlight w:val="none"/>
        </w:rPr>
      </w:pPr>
      <w:r>
        <w:rPr>
          <w:rFonts w:ascii="宋体" w:hAnsi="宋体" w:eastAsia="宋体"/>
          <w:color w:val="auto"/>
          <w:sz w:val="24"/>
          <w:szCs w:val="24"/>
          <w:highlight w:val="none"/>
        </w:rPr>
        <w:t>五、公告期限</w:t>
      </w:r>
      <w:bookmarkEnd w:id="32"/>
      <w:bookmarkEnd w:id="33"/>
      <w:bookmarkEnd w:id="34"/>
      <w:bookmarkEnd w:id="35"/>
      <w:bookmarkEnd w:id="36"/>
      <w:bookmarkEnd w:id="37"/>
    </w:p>
    <w:p>
      <w:pPr>
        <w:snapToGrid w:val="0"/>
        <w:spacing w:line="360" w:lineRule="auto"/>
        <w:ind w:firstLine="480" w:firstLineChars="200"/>
        <w:rPr>
          <w:rFonts w:hint="eastAsia" w:ascii="宋体" w:hAnsi="宋体"/>
          <w:color w:val="auto"/>
          <w:kern w:val="0"/>
          <w:sz w:val="24"/>
          <w:highlight w:val="none"/>
        </w:rPr>
      </w:pPr>
      <w:r>
        <w:rPr>
          <w:rFonts w:ascii="宋体" w:hAnsi="宋体"/>
          <w:color w:val="auto"/>
          <w:kern w:val="0"/>
          <w:sz w:val="24"/>
          <w:highlight w:val="none"/>
        </w:rPr>
        <w:t>自本公告发布之日起5个工作日。</w:t>
      </w:r>
    </w:p>
    <w:p>
      <w:pPr>
        <w:pStyle w:val="3"/>
        <w:snapToGrid w:val="0"/>
        <w:spacing w:before="0" w:line="360" w:lineRule="auto"/>
        <w:jc w:val="left"/>
        <w:rPr>
          <w:rFonts w:hint="eastAsia" w:ascii="宋体" w:hAnsi="宋体" w:eastAsia="宋体"/>
          <w:color w:val="auto"/>
          <w:sz w:val="24"/>
          <w:szCs w:val="24"/>
          <w:highlight w:val="none"/>
        </w:rPr>
      </w:pPr>
      <w:bookmarkStart w:id="38" w:name="_Toc35393795"/>
      <w:bookmarkStart w:id="39" w:name="_Toc35393626"/>
      <w:bookmarkStart w:id="40" w:name="_Toc162978985"/>
      <w:bookmarkStart w:id="41" w:name="_Toc162978912"/>
      <w:r>
        <w:rPr>
          <w:rFonts w:ascii="宋体" w:hAnsi="宋体" w:eastAsia="宋体"/>
          <w:color w:val="auto"/>
          <w:sz w:val="24"/>
          <w:szCs w:val="24"/>
          <w:highlight w:val="none"/>
        </w:rPr>
        <w:t>六、其他补充事宜</w:t>
      </w:r>
      <w:bookmarkEnd w:id="38"/>
      <w:bookmarkEnd w:id="39"/>
      <w:bookmarkEnd w:id="40"/>
      <w:bookmarkEnd w:id="41"/>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1.本项目需要落实的政府采购政策：</w:t>
      </w:r>
      <w:r>
        <w:rPr>
          <w:rFonts w:hint="eastAsia" w:ascii="宋体" w:hAnsi="宋体"/>
          <w:color w:val="auto"/>
          <w:sz w:val="24"/>
          <w:highlight w:val="none"/>
        </w:rPr>
        <w:t>（1）执行节能产品政府优先采购和强制采购制度；（2）执行环境标志产品政府优先采购制度；（3）执行《政府采购促进中小企业发展管理办法》；（</w:t>
      </w:r>
      <w:r>
        <w:rPr>
          <w:rFonts w:ascii="宋体" w:hAnsi="宋体"/>
          <w:color w:val="auto"/>
          <w:sz w:val="24"/>
          <w:highlight w:val="none"/>
        </w:rPr>
        <w:t>4</w:t>
      </w:r>
      <w:r>
        <w:rPr>
          <w:rFonts w:hint="eastAsia" w:ascii="宋体" w:hAnsi="宋体"/>
          <w:color w:val="auto"/>
          <w:sz w:val="24"/>
          <w:highlight w:val="none"/>
        </w:rPr>
        <w:t>）执行《财政部关于进一步加大政府采购支持中小企业力度的通知》；（</w:t>
      </w:r>
      <w:r>
        <w:rPr>
          <w:rFonts w:ascii="宋体" w:hAnsi="宋体"/>
          <w:color w:val="auto"/>
          <w:sz w:val="24"/>
          <w:highlight w:val="none"/>
        </w:rPr>
        <w:t>5</w:t>
      </w:r>
      <w:r>
        <w:rPr>
          <w:rFonts w:hint="eastAsia" w:ascii="宋体" w:hAnsi="宋体"/>
          <w:color w:val="auto"/>
          <w:sz w:val="24"/>
          <w:highlight w:val="none"/>
        </w:rPr>
        <w:t>）执行《关于政府采购支持监狱企业发展有关问题的通知》；（</w:t>
      </w:r>
      <w:r>
        <w:rPr>
          <w:rFonts w:ascii="宋体" w:hAnsi="宋体"/>
          <w:color w:val="auto"/>
          <w:sz w:val="24"/>
          <w:highlight w:val="none"/>
        </w:rPr>
        <w:t>6</w:t>
      </w:r>
      <w:r>
        <w:rPr>
          <w:rFonts w:hint="eastAsia" w:ascii="宋体" w:hAnsi="宋体"/>
          <w:color w:val="auto"/>
          <w:sz w:val="24"/>
          <w:highlight w:val="none"/>
        </w:rPr>
        <w:t>）执行《关于促进残疾人就业政府采购政策的通知》</w:t>
      </w:r>
      <w:r>
        <w:rPr>
          <w:rFonts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2.按照《关于平谷区政府采购全流程电子化系统上线运行的通知》的要求，本项目采购活动实行电子化。</w:t>
      </w:r>
    </w:p>
    <w:p>
      <w:pPr>
        <w:widowControl/>
        <w:snapToGrid w:val="0"/>
        <w:spacing w:line="360" w:lineRule="auto"/>
        <w:ind w:firstLine="480" w:firstLineChars="200"/>
        <w:jc w:val="left"/>
        <w:rPr>
          <w:rFonts w:hint="eastAsia" w:ascii="宋体" w:hAnsi="宋体"/>
          <w:color w:val="auto"/>
          <w:sz w:val="24"/>
          <w:highlight w:val="none"/>
          <w:lang w:bidi="ar"/>
        </w:rPr>
      </w:pPr>
      <w:r>
        <w:rPr>
          <w:rFonts w:hint="eastAsia" w:ascii="宋体" w:hAnsi="宋体"/>
          <w:color w:val="auto"/>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CA数字证书服务热线 010-58511086</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bidi="ar"/>
        </w:rPr>
        <w:t>电子营业执照服务热线 400-699-7000</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bidi="ar"/>
        </w:rPr>
        <w:t>技术支持服务热线    010-86483801</w:t>
      </w:r>
    </w:p>
    <w:p>
      <w:pPr>
        <w:widowControl/>
        <w:snapToGrid w:val="0"/>
        <w:spacing w:line="360" w:lineRule="auto"/>
        <w:ind w:firstLine="480" w:firstLineChars="200"/>
        <w:jc w:val="left"/>
        <w:rPr>
          <w:rFonts w:hint="eastAsia" w:ascii="宋体" w:hAnsi="宋体"/>
          <w:color w:val="auto"/>
          <w:sz w:val="24"/>
          <w:highlight w:val="none"/>
          <w:lang w:bidi="ar"/>
        </w:rPr>
      </w:pPr>
      <w:r>
        <w:rPr>
          <w:rFonts w:hint="eastAsia" w:ascii="宋体" w:hAnsi="宋体"/>
          <w:color w:val="auto"/>
          <w:sz w:val="24"/>
          <w:highlight w:val="none"/>
          <w:lang w:bidi="ar"/>
        </w:rPr>
        <w:t>3.1办理CA数字证书或电子营业执照</w:t>
      </w:r>
    </w:p>
    <w:p>
      <w:pPr>
        <w:widowControl/>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lang w:bidi="ar"/>
        </w:rPr>
        <w:t>供应商登录北京市政府采购电子交易平台查阅 “用户指南”—“操作指南”—“市场主体CA办理操作流程指引”/“电子营业执照使用指南”，按照程序要求办理。</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3.2注册</w:t>
      </w:r>
    </w:p>
    <w:p>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bidi="ar"/>
        </w:rPr>
        <w:t>供应商登录北京市政府采购电子交易平台“用户指南”—“操作指南”—“市场主体注册入库操作流程指引”进行自助注册绑定。</w:t>
      </w:r>
    </w:p>
    <w:p>
      <w:pPr>
        <w:widowControl/>
        <w:snapToGrid w:val="0"/>
        <w:spacing w:line="360" w:lineRule="auto"/>
        <w:ind w:firstLine="480" w:firstLineChars="200"/>
        <w:jc w:val="left"/>
        <w:rPr>
          <w:rFonts w:hint="eastAsia" w:ascii="宋体" w:hAnsi="宋体"/>
          <w:color w:val="auto"/>
          <w:sz w:val="24"/>
          <w:highlight w:val="none"/>
          <w:lang w:bidi="ar"/>
        </w:rPr>
      </w:pPr>
      <w:r>
        <w:rPr>
          <w:rFonts w:hint="eastAsia" w:ascii="宋体" w:hAnsi="宋体"/>
          <w:color w:val="auto"/>
          <w:sz w:val="24"/>
          <w:highlight w:val="none"/>
          <w:lang w:bidi="ar"/>
        </w:rPr>
        <w:t>3.3驱动、客户端下载</w:t>
      </w:r>
    </w:p>
    <w:p>
      <w:pPr>
        <w:widowControl/>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供应商登录北京市政府采购电子交易平台“用户指南”—“工具下载”—“投标文件编制工具”下载相关客户端。</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3.4 获取电子招标文件</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供应商使用CA数字证书或电子营业执照登录北京市政府采购电子交易平台获取电子招标文件。</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3.5编制电子投标文件</w:t>
      </w:r>
    </w:p>
    <w:p>
      <w:pPr>
        <w:adjustRightInd w:val="0"/>
        <w:snapToGrid w:val="0"/>
        <w:spacing w:line="360" w:lineRule="auto"/>
        <w:ind w:firstLine="480" w:firstLineChars="200"/>
        <w:rPr>
          <w:rFonts w:hint="eastAsia" w:ascii="宋体" w:hAnsi="宋体"/>
          <w:color w:val="auto"/>
          <w:sz w:val="24"/>
          <w:highlight w:val="none"/>
          <w:lang w:bidi="ar"/>
        </w:rPr>
      </w:pPr>
      <w:r>
        <w:rPr>
          <w:rFonts w:hint="eastAsia" w:ascii="宋体" w:hAnsi="宋体"/>
          <w:color w:val="auto"/>
          <w:sz w:val="24"/>
          <w:highlight w:val="none"/>
          <w:lang w:bidi="ar"/>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widowControl/>
        <w:snapToGrid w:val="0"/>
        <w:spacing w:line="360" w:lineRule="auto"/>
        <w:ind w:firstLine="480" w:firstLineChars="200"/>
        <w:jc w:val="left"/>
        <w:rPr>
          <w:rFonts w:hint="eastAsia" w:ascii="宋体" w:hAnsi="宋体"/>
          <w:color w:val="auto"/>
          <w:sz w:val="24"/>
          <w:highlight w:val="none"/>
          <w:lang w:val="zh-TW" w:bidi="ar"/>
        </w:rPr>
      </w:pPr>
      <w:r>
        <w:rPr>
          <w:rFonts w:hint="eastAsia" w:ascii="宋体" w:hAnsi="宋体"/>
          <w:color w:val="auto"/>
          <w:sz w:val="24"/>
          <w:highlight w:val="none"/>
          <w:lang w:val="zh-TW" w:eastAsia="zh-TW" w:bidi="ar"/>
        </w:rPr>
        <w:t>3.6</w:t>
      </w:r>
      <w:r>
        <w:rPr>
          <w:rFonts w:hint="eastAsia" w:ascii="宋体" w:hAnsi="宋体"/>
          <w:color w:val="auto"/>
          <w:sz w:val="24"/>
          <w:highlight w:val="none"/>
          <w:lang w:val="zh-TW" w:bidi="ar"/>
        </w:rPr>
        <w:t>提交电子投标文件</w:t>
      </w:r>
    </w:p>
    <w:p>
      <w:pPr>
        <w:widowControl/>
        <w:snapToGrid w:val="0"/>
        <w:spacing w:line="360" w:lineRule="auto"/>
        <w:ind w:firstLine="480" w:firstLineChars="200"/>
        <w:jc w:val="left"/>
        <w:rPr>
          <w:rFonts w:hint="eastAsia" w:ascii="宋体" w:hAnsi="宋体"/>
          <w:color w:val="auto"/>
          <w:sz w:val="24"/>
          <w:highlight w:val="none"/>
          <w:lang w:bidi="ar"/>
        </w:rPr>
      </w:pPr>
      <w:r>
        <w:rPr>
          <w:rFonts w:hint="eastAsia" w:ascii="宋体" w:hAnsi="宋体"/>
          <w:color w:val="auto"/>
          <w:sz w:val="24"/>
          <w:highlight w:val="none"/>
          <w:lang w:bidi="ar"/>
        </w:rPr>
        <w:t>供应商应于投标截止时间前在北京市政府采购电子交易平台提交电子投标文件，上传电子投标文件过程中请保持与互联网的连接畅通。</w:t>
      </w:r>
    </w:p>
    <w:p>
      <w:pPr>
        <w:widowControl/>
        <w:snapToGrid w:val="0"/>
        <w:spacing w:line="360" w:lineRule="auto"/>
        <w:ind w:firstLine="480" w:firstLineChars="200"/>
        <w:jc w:val="left"/>
        <w:rPr>
          <w:rFonts w:hint="eastAsia" w:ascii="宋体" w:hAnsi="宋体"/>
          <w:color w:val="auto"/>
          <w:sz w:val="24"/>
          <w:highlight w:val="none"/>
          <w:lang w:eastAsia="zh-TW" w:bidi="ar"/>
        </w:rPr>
      </w:pPr>
      <w:r>
        <w:rPr>
          <w:rFonts w:hint="eastAsia" w:ascii="宋体" w:hAnsi="宋体"/>
          <w:color w:val="auto"/>
          <w:sz w:val="24"/>
          <w:highlight w:val="none"/>
          <w:lang w:val="zh-TW" w:bidi="ar"/>
        </w:rPr>
        <w:t>3.</w:t>
      </w:r>
      <w:r>
        <w:rPr>
          <w:rFonts w:hint="eastAsia" w:ascii="宋体" w:hAnsi="宋体"/>
          <w:color w:val="auto"/>
          <w:sz w:val="24"/>
          <w:highlight w:val="none"/>
          <w:lang w:val="zh-TW" w:eastAsia="zh-TW" w:bidi="ar"/>
        </w:rPr>
        <w:t>7</w:t>
      </w:r>
      <w:r>
        <w:rPr>
          <w:rFonts w:hint="eastAsia" w:ascii="宋体" w:hAnsi="宋体"/>
          <w:color w:val="auto"/>
          <w:sz w:val="24"/>
          <w:highlight w:val="none"/>
          <w:lang w:val="zh-TW" w:bidi="ar"/>
        </w:rPr>
        <w:t>电子开标</w:t>
      </w:r>
    </w:p>
    <w:p>
      <w:pPr>
        <w:spacing w:line="360" w:lineRule="auto"/>
        <w:ind w:firstLine="480" w:firstLineChars="200"/>
        <w:rPr>
          <w:rFonts w:hint="eastAsia" w:ascii="宋体" w:hAnsi="宋体"/>
          <w:color w:val="auto"/>
          <w:sz w:val="24"/>
          <w:highlight w:val="none"/>
          <w:lang w:eastAsia="zh-TW"/>
        </w:rPr>
      </w:pPr>
      <w:r>
        <w:rPr>
          <w:rFonts w:hint="eastAsia" w:ascii="宋体" w:hAnsi="宋体"/>
          <w:color w:val="auto"/>
          <w:sz w:val="24"/>
          <w:highlight w:val="none"/>
          <w:lang w:val="zh-TW" w:bidi="ar"/>
        </w:rPr>
        <w:t>供应商在开标地点使用</w:t>
      </w:r>
      <w:r>
        <w:rPr>
          <w:rFonts w:hint="eastAsia" w:ascii="宋体" w:hAnsi="宋体"/>
          <w:color w:val="auto"/>
          <w:sz w:val="24"/>
          <w:highlight w:val="none"/>
          <w:lang w:bidi="ar"/>
        </w:rPr>
        <w:t>CA数字证书或电子营业执照</w:t>
      </w:r>
      <w:r>
        <w:rPr>
          <w:rFonts w:hint="eastAsia" w:ascii="宋体" w:hAnsi="宋体"/>
          <w:color w:val="auto"/>
          <w:sz w:val="24"/>
          <w:highlight w:val="none"/>
          <w:lang w:val="zh-TW" w:bidi="ar"/>
        </w:rPr>
        <w:t>登录</w:t>
      </w:r>
      <w:r>
        <w:rPr>
          <w:rFonts w:hint="eastAsia" w:ascii="宋体" w:hAnsi="宋体"/>
          <w:color w:val="auto"/>
          <w:sz w:val="24"/>
          <w:highlight w:val="none"/>
          <w:lang w:bidi="ar"/>
        </w:rPr>
        <w:t>北京市政府采购电子交易平台进行电子开标</w:t>
      </w:r>
      <w:r>
        <w:rPr>
          <w:rFonts w:hint="eastAsia" w:ascii="宋体" w:hAnsi="宋体"/>
          <w:color w:val="auto"/>
          <w:sz w:val="24"/>
          <w:highlight w:val="none"/>
          <w:lang w:val="zh-TW" w:bidi="ar"/>
        </w:rPr>
        <w:t>。</w:t>
      </w:r>
    </w:p>
    <w:p>
      <w:pPr>
        <w:pStyle w:val="3"/>
        <w:snapToGrid w:val="0"/>
        <w:spacing w:before="0" w:line="360" w:lineRule="auto"/>
        <w:jc w:val="left"/>
        <w:rPr>
          <w:rFonts w:hint="eastAsia" w:ascii="宋体" w:hAnsi="宋体" w:eastAsia="宋体"/>
          <w:color w:val="auto"/>
          <w:sz w:val="24"/>
          <w:szCs w:val="24"/>
          <w:highlight w:val="none"/>
        </w:rPr>
      </w:pPr>
      <w:bookmarkStart w:id="42" w:name="_Toc162978986"/>
      <w:bookmarkStart w:id="43" w:name="_Toc162978913"/>
      <w:bookmarkStart w:id="44" w:name="_Toc35393796"/>
      <w:bookmarkStart w:id="45" w:name="_Toc28359008"/>
      <w:bookmarkStart w:id="46" w:name="_Toc35393627"/>
      <w:bookmarkStart w:id="47" w:name="_Toc28359085"/>
      <w:r>
        <w:rPr>
          <w:rFonts w:ascii="宋体" w:hAnsi="宋体" w:eastAsia="宋体"/>
          <w:color w:val="auto"/>
          <w:sz w:val="24"/>
          <w:szCs w:val="24"/>
          <w:highlight w:val="none"/>
        </w:rPr>
        <w:t>七、对本次招标提出询问，请按以下方式联系。</w:t>
      </w:r>
      <w:bookmarkEnd w:id="42"/>
      <w:bookmarkEnd w:id="43"/>
      <w:bookmarkEnd w:id="44"/>
      <w:bookmarkEnd w:id="45"/>
      <w:bookmarkEnd w:id="46"/>
      <w:bookmarkEnd w:id="47"/>
    </w:p>
    <w:p>
      <w:pPr>
        <w:widowControl/>
        <w:snapToGrid w:val="0"/>
        <w:spacing w:line="360" w:lineRule="auto"/>
        <w:ind w:firstLine="722" w:firstLineChars="300"/>
        <w:jc w:val="left"/>
        <w:rPr>
          <w:rFonts w:hint="eastAsia" w:ascii="宋体" w:hAnsi="宋体"/>
          <w:b/>
          <w:color w:val="auto"/>
          <w:sz w:val="24"/>
          <w:highlight w:val="none"/>
        </w:rPr>
      </w:pPr>
      <w:r>
        <w:rPr>
          <w:rFonts w:ascii="宋体" w:hAnsi="宋体"/>
          <w:b/>
          <w:color w:val="auto"/>
          <w:sz w:val="24"/>
          <w:highlight w:val="none"/>
        </w:rPr>
        <w:t>1.采购人信息</w:t>
      </w:r>
    </w:p>
    <w:p>
      <w:pPr>
        <w:snapToGrid w:val="0"/>
        <w:spacing w:line="360" w:lineRule="auto"/>
        <w:ind w:left="1079" w:leftChars="371" w:hanging="300" w:hangingChars="125"/>
        <w:jc w:val="left"/>
        <w:rPr>
          <w:rFonts w:hint="eastAsia" w:ascii="宋体" w:hAnsi="宋体"/>
          <w:color w:val="auto"/>
          <w:sz w:val="24"/>
          <w:highlight w:val="none"/>
          <w:u w:val="single"/>
        </w:rPr>
      </w:pPr>
      <w:bookmarkStart w:id="48" w:name="_Toc28359086"/>
      <w:bookmarkStart w:id="49" w:name="_Toc28359009"/>
      <w:r>
        <w:rPr>
          <w:rFonts w:ascii="宋体" w:hAnsi="宋体"/>
          <w:color w:val="auto"/>
          <w:sz w:val="24"/>
          <w:highlight w:val="none"/>
        </w:rPr>
        <w:t>名    称：</w:t>
      </w:r>
      <w:r>
        <w:rPr>
          <w:rFonts w:hint="eastAsia" w:ascii="宋体" w:hAnsi="宋体"/>
          <w:color w:val="auto"/>
          <w:sz w:val="24"/>
          <w:highlight w:val="none"/>
          <w:u w:val="single"/>
        </w:rPr>
        <w:t>北京市平谷区学校后勤事务中心</w:t>
      </w:r>
      <w:r>
        <w:rPr>
          <w:rFonts w:ascii="宋体" w:hAnsi="宋体"/>
          <w:color w:val="auto"/>
          <w:sz w:val="24"/>
          <w:highlight w:val="none"/>
          <w:u w:val="single"/>
        </w:rPr>
        <w:t>_</w:t>
      </w:r>
    </w:p>
    <w:p>
      <w:pPr>
        <w:snapToGrid w:val="0"/>
        <w:spacing w:line="360" w:lineRule="auto"/>
        <w:ind w:left="1079" w:leftChars="371" w:hanging="300" w:hangingChars="125"/>
        <w:jc w:val="left"/>
        <w:rPr>
          <w:rFonts w:hint="eastAsia" w:ascii="宋体" w:hAnsi="宋体"/>
          <w:color w:val="auto"/>
          <w:sz w:val="24"/>
          <w:highlight w:val="none"/>
        </w:rPr>
      </w:pPr>
      <w:r>
        <w:rPr>
          <w:rFonts w:ascii="宋体" w:hAnsi="宋体"/>
          <w:color w:val="auto"/>
          <w:sz w:val="24"/>
          <w:highlight w:val="none"/>
        </w:rPr>
        <w:t>地    址：</w:t>
      </w:r>
      <w:r>
        <w:rPr>
          <w:rFonts w:hint="eastAsia" w:ascii="宋体" w:hAnsi="宋体"/>
          <w:color w:val="auto"/>
          <w:sz w:val="24"/>
          <w:highlight w:val="none"/>
          <w:u w:val="single"/>
        </w:rPr>
        <w:t>北京市平谷区东南路与平安路交叉路口往西南约 180 米</w:t>
      </w:r>
    </w:p>
    <w:p>
      <w:pPr>
        <w:snapToGrid w:val="0"/>
        <w:spacing w:line="360" w:lineRule="auto"/>
        <w:ind w:left="1079" w:leftChars="371" w:hanging="300" w:hangingChars="125"/>
        <w:jc w:val="left"/>
        <w:rPr>
          <w:rFonts w:hint="eastAsia" w:ascii="宋体" w:hAnsi="宋体"/>
          <w:color w:val="auto"/>
          <w:sz w:val="24"/>
          <w:highlight w:val="none"/>
          <w:u w:val="single"/>
        </w:rPr>
      </w:pPr>
      <w:r>
        <w:rPr>
          <w:rFonts w:ascii="宋体" w:hAnsi="宋体"/>
          <w:color w:val="auto"/>
          <w:sz w:val="24"/>
          <w:highlight w:val="none"/>
        </w:rPr>
        <w:t>联系方式：</w:t>
      </w:r>
      <w:r>
        <w:rPr>
          <w:rFonts w:hint="eastAsia" w:ascii="宋体" w:hAnsi="宋体"/>
          <w:color w:val="auto"/>
          <w:sz w:val="24"/>
          <w:highlight w:val="none"/>
          <w:u w:val="single"/>
        </w:rPr>
        <w:t>郭建华</w:t>
      </w:r>
      <w:r>
        <w:rPr>
          <w:rFonts w:hint="eastAsia" w:ascii="宋体" w:hAnsi="宋体"/>
          <w:color w:val="auto"/>
          <w:sz w:val="24"/>
          <w:highlight w:val="none"/>
          <w:u w:val="single"/>
          <w:lang w:eastAsia="zh-CN"/>
        </w:rPr>
        <w:t>，</w:t>
      </w:r>
      <w:r>
        <w:rPr>
          <w:rFonts w:hint="eastAsia" w:ascii="宋体" w:hAnsi="宋体"/>
          <w:color w:val="auto"/>
          <w:sz w:val="24"/>
          <w:highlight w:val="none"/>
          <w:u w:val="single"/>
        </w:rPr>
        <w:t>010-89981597</w:t>
      </w:r>
    </w:p>
    <w:p>
      <w:pPr>
        <w:snapToGrid w:val="0"/>
        <w:spacing w:line="360" w:lineRule="auto"/>
        <w:ind w:left="1080" w:leftChars="371" w:hanging="301" w:hangingChars="125"/>
        <w:jc w:val="left"/>
        <w:rPr>
          <w:rFonts w:hint="eastAsia" w:ascii="宋体" w:hAnsi="宋体"/>
          <w:b/>
          <w:color w:val="auto"/>
          <w:sz w:val="24"/>
          <w:highlight w:val="none"/>
        </w:rPr>
      </w:pPr>
      <w:r>
        <w:rPr>
          <w:rFonts w:ascii="宋体" w:hAnsi="宋体"/>
          <w:b/>
          <w:color w:val="auto"/>
          <w:sz w:val="24"/>
          <w:highlight w:val="none"/>
        </w:rPr>
        <w:t>2.采购代理机构信息</w:t>
      </w:r>
      <w:bookmarkEnd w:id="48"/>
      <w:bookmarkEnd w:id="49"/>
    </w:p>
    <w:p>
      <w:pPr>
        <w:snapToGrid w:val="0"/>
        <w:spacing w:line="360" w:lineRule="auto"/>
        <w:ind w:left="1079" w:leftChars="371" w:hanging="300" w:hangingChars="125"/>
        <w:jc w:val="left"/>
        <w:rPr>
          <w:rFonts w:hint="eastAsia" w:ascii="宋体" w:hAnsi="宋体" w:eastAsia="宋体" w:cs="Times New Roman"/>
          <w:color w:val="auto"/>
          <w:sz w:val="24"/>
          <w:highlight w:val="none"/>
        </w:rPr>
      </w:pPr>
      <w:bookmarkStart w:id="50" w:name="_Toc28359087"/>
      <w:bookmarkStart w:id="51" w:name="_Toc28359010"/>
      <w:r>
        <w:rPr>
          <w:rFonts w:ascii="宋体" w:hAnsi="宋体"/>
          <w:color w:val="auto"/>
          <w:sz w:val="24"/>
          <w:highlight w:val="none"/>
        </w:rPr>
        <w:t>名    称：</w:t>
      </w:r>
      <w:bookmarkStart w:id="52" w:name="OLE_LINK3"/>
      <w:r>
        <w:rPr>
          <w:rFonts w:hint="eastAsia" w:ascii="宋体" w:hAnsi="宋体" w:eastAsia="宋体" w:cs="Times New Roman"/>
          <w:color w:val="auto"/>
          <w:sz w:val="24"/>
          <w:highlight w:val="none"/>
          <w:u w:val="single"/>
        </w:rPr>
        <w:t>北京市平谷区政府采购中心</w:t>
      </w:r>
      <w:bookmarkEnd w:id="52"/>
    </w:p>
    <w:p>
      <w:pPr>
        <w:snapToGrid w:val="0"/>
        <w:spacing w:line="360" w:lineRule="auto"/>
        <w:ind w:left="1079" w:leftChars="371" w:hanging="300" w:hangingChars="125"/>
        <w:jc w:val="left"/>
        <w:rPr>
          <w:rFonts w:hint="default" w:ascii="宋体" w:hAnsi="宋体" w:eastAsia="宋体"/>
          <w:color w:val="auto"/>
          <w:sz w:val="24"/>
          <w:highlight w:val="none"/>
          <w:lang w:val="en-US" w:eastAsia="zh-CN"/>
        </w:rPr>
      </w:pPr>
      <w:r>
        <w:rPr>
          <w:rFonts w:ascii="宋体" w:hAnsi="宋体"/>
          <w:color w:val="auto"/>
          <w:sz w:val="24"/>
          <w:highlight w:val="none"/>
        </w:rPr>
        <w:t>地    址：</w:t>
      </w:r>
      <w:r>
        <w:rPr>
          <w:rFonts w:hint="eastAsia" w:ascii="宋体" w:hAnsi="宋体"/>
          <w:color w:val="auto"/>
          <w:sz w:val="24"/>
          <w:highlight w:val="none"/>
          <w:u w:val="single"/>
        </w:rPr>
        <w:t>北京市平谷区府前西街17号社会服务中心</w:t>
      </w:r>
      <w:r>
        <w:rPr>
          <w:rFonts w:hint="eastAsia" w:ascii="宋体" w:hAnsi="宋体"/>
          <w:color w:val="auto"/>
          <w:sz w:val="24"/>
          <w:highlight w:val="none"/>
          <w:u w:val="single"/>
          <w:lang w:eastAsia="zh-CN"/>
        </w:rPr>
        <w:t>后配楼</w:t>
      </w:r>
      <w:r>
        <w:rPr>
          <w:rFonts w:hint="eastAsia" w:ascii="宋体" w:hAnsi="宋体"/>
          <w:color w:val="auto"/>
          <w:sz w:val="24"/>
          <w:highlight w:val="none"/>
          <w:u w:val="single"/>
          <w:lang w:val="en-US" w:eastAsia="zh-CN"/>
        </w:rPr>
        <w:t>4层</w:t>
      </w:r>
    </w:p>
    <w:p>
      <w:pPr>
        <w:snapToGrid w:val="0"/>
        <w:spacing w:line="360" w:lineRule="auto"/>
        <w:ind w:left="1079" w:leftChars="371" w:hanging="300" w:hangingChars="125"/>
        <w:jc w:val="left"/>
        <w:rPr>
          <w:rFonts w:hint="default" w:ascii="宋体" w:hAnsi="宋体" w:eastAsia="宋体"/>
          <w:color w:val="auto"/>
          <w:sz w:val="24"/>
          <w:highlight w:val="none"/>
          <w:u w:val="single"/>
          <w:lang w:val="en-US" w:eastAsia="zh-CN"/>
        </w:rPr>
      </w:pPr>
      <w:r>
        <w:rPr>
          <w:rFonts w:ascii="宋体" w:hAnsi="宋体"/>
          <w:color w:val="auto"/>
          <w:sz w:val="24"/>
          <w:highlight w:val="none"/>
        </w:rPr>
        <w:t>联系方式：</w:t>
      </w:r>
      <w:bookmarkStart w:id="53" w:name="OLE_LINK6"/>
      <w:r>
        <w:rPr>
          <w:rFonts w:hint="eastAsia" w:ascii="宋体" w:hAnsi="宋体"/>
          <w:color w:val="auto"/>
          <w:sz w:val="24"/>
          <w:highlight w:val="none"/>
          <w:u w:val="single"/>
          <w:lang w:val="en-US" w:eastAsia="zh-CN"/>
        </w:rPr>
        <w:t>010-89991119</w:t>
      </w:r>
      <w:bookmarkEnd w:id="53"/>
    </w:p>
    <w:p>
      <w:pPr>
        <w:snapToGrid w:val="0"/>
        <w:spacing w:line="360" w:lineRule="auto"/>
        <w:ind w:firstLine="722" w:firstLineChars="300"/>
        <w:rPr>
          <w:rFonts w:hint="eastAsia" w:ascii="宋体" w:hAnsi="宋体"/>
          <w:b/>
          <w:color w:val="auto"/>
          <w:sz w:val="24"/>
          <w:highlight w:val="none"/>
          <w:u w:val="single"/>
        </w:rPr>
      </w:pPr>
      <w:r>
        <w:rPr>
          <w:rFonts w:ascii="宋体" w:hAnsi="宋体"/>
          <w:b/>
          <w:color w:val="auto"/>
          <w:sz w:val="24"/>
          <w:highlight w:val="none"/>
        </w:rPr>
        <w:t>3.项目联系方式</w:t>
      </w:r>
      <w:bookmarkEnd w:id="50"/>
      <w:bookmarkEnd w:id="51"/>
    </w:p>
    <w:p>
      <w:pPr>
        <w:pStyle w:val="23"/>
        <w:snapToGrid w:val="0"/>
        <w:spacing w:line="360" w:lineRule="auto"/>
        <w:ind w:firstLine="720" w:firstLineChars="300"/>
        <w:rPr>
          <w:rFonts w:hint="eastAsia" w:hAnsi="宋体"/>
          <w:color w:val="auto"/>
          <w:sz w:val="24"/>
          <w:szCs w:val="24"/>
          <w:highlight w:val="none"/>
        </w:rPr>
      </w:pPr>
      <w:r>
        <w:rPr>
          <w:rFonts w:hAnsi="宋体"/>
          <w:color w:val="auto"/>
          <w:sz w:val="24"/>
          <w:szCs w:val="24"/>
          <w:highlight w:val="none"/>
        </w:rPr>
        <w:t>项目联系人：</w:t>
      </w:r>
      <w:r>
        <w:rPr>
          <w:rFonts w:hint="eastAsia" w:hAnsi="宋体"/>
          <w:color w:val="auto"/>
          <w:sz w:val="24"/>
          <w:highlight w:val="none"/>
          <w:u w:val="single"/>
          <w:lang w:val="en-US" w:eastAsia="zh-CN"/>
        </w:rPr>
        <w:t>闫潇</w:t>
      </w:r>
      <w:r>
        <w:rPr>
          <w:rFonts w:hAnsi="宋体"/>
          <w:color w:val="auto"/>
          <w:sz w:val="24"/>
          <w:highlight w:val="none"/>
        </w:rPr>
        <w:t xml:space="preserve"> </w:t>
      </w:r>
    </w:p>
    <w:p>
      <w:pPr>
        <w:pStyle w:val="23"/>
        <w:snapToGrid w:val="0"/>
        <w:spacing w:line="360" w:lineRule="auto"/>
        <w:ind w:firstLine="720" w:firstLineChars="300"/>
        <w:rPr>
          <w:rFonts w:hint="eastAsia" w:hAnsi="宋体"/>
          <w:color w:val="auto"/>
          <w:sz w:val="24"/>
          <w:highlight w:val="none"/>
          <w:u w:val="single"/>
        </w:rPr>
      </w:pPr>
      <w:r>
        <w:rPr>
          <w:rFonts w:hAnsi="宋体"/>
          <w:color w:val="auto"/>
          <w:sz w:val="24"/>
          <w:highlight w:val="none"/>
        </w:rPr>
        <w:t>电      话：</w:t>
      </w:r>
      <w:r>
        <w:rPr>
          <w:rFonts w:hint="eastAsia" w:ascii="宋体" w:hAnsi="宋体"/>
          <w:color w:val="auto"/>
          <w:sz w:val="24"/>
          <w:highlight w:val="none"/>
          <w:u w:val="single"/>
          <w:lang w:val="en-US" w:eastAsia="zh-CN"/>
        </w:rPr>
        <w:t>010-89991119</w:t>
      </w:r>
    </w:p>
    <w:p>
      <w:pPr>
        <w:jc w:val="left"/>
        <w:rPr>
          <w:rFonts w:hint="eastAsia" w:ascii="宋体" w:hAnsi="宋体" w:eastAsia="宋体"/>
          <w:b/>
          <w:color w:val="auto"/>
          <w:sz w:val="36"/>
          <w:szCs w:val="36"/>
          <w:highlight w:val="none"/>
          <w:lang w:val="en-US" w:eastAsia="zh-CN"/>
        </w:rPr>
      </w:pPr>
      <w:bookmarkStart w:id="54" w:name="_Toc512937850"/>
      <w:bookmarkStart w:id="55" w:name="_Toc127161488"/>
      <w:bookmarkStart w:id="56" w:name="_Toc353873938"/>
      <w:bookmarkStart w:id="57" w:name="_Toc99301420"/>
      <w:bookmarkStart w:id="58" w:name="_Toc305158928"/>
      <w:bookmarkStart w:id="59" w:name="_Toc226965856"/>
      <w:bookmarkStart w:id="60" w:name="_Toc127151777"/>
      <w:bookmarkStart w:id="61" w:name="_Toc305158854"/>
      <w:bookmarkStart w:id="62" w:name="_Toc195842950"/>
      <w:bookmarkStart w:id="63" w:name="_Toc353825548"/>
      <w:bookmarkStart w:id="64" w:name="_Toc150774783"/>
      <w:bookmarkStart w:id="65" w:name="_Toc264969275"/>
      <w:bookmarkStart w:id="66" w:name="_Toc265228423"/>
      <w:bookmarkStart w:id="67" w:name="_Toc162978987"/>
      <w:r>
        <w:rPr>
          <w:rFonts w:ascii="宋体" w:hAnsi="宋体"/>
          <w:b/>
          <w:color w:val="auto"/>
          <w:sz w:val="36"/>
          <w:szCs w:val="36"/>
          <w:highlight w:val="none"/>
        </w:rPr>
        <w:br w:type="page"/>
      </w:r>
      <w:r>
        <w:rPr>
          <w:rFonts w:hint="eastAsia" w:ascii="宋体" w:hAnsi="宋体"/>
          <w:b/>
          <w:color w:val="auto"/>
          <w:sz w:val="36"/>
          <w:szCs w:val="36"/>
          <w:highlight w:val="none"/>
          <w:lang w:val="en-US" w:eastAsia="zh-CN"/>
        </w:rPr>
        <w:t xml:space="preserve"> </w:t>
      </w:r>
    </w:p>
    <w:p>
      <w:pPr>
        <w:snapToGrid w:val="0"/>
        <w:spacing w:line="360" w:lineRule="auto"/>
        <w:jc w:val="center"/>
        <w:outlineLvl w:val="0"/>
        <w:rPr>
          <w:rFonts w:hint="eastAsia" w:ascii="宋体" w:hAnsi="宋体"/>
          <w:b/>
          <w:color w:val="auto"/>
          <w:sz w:val="32"/>
          <w:szCs w:val="32"/>
          <w:highlight w:val="none"/>
        </w:rPr>
      </w:pPr>
      <w:r>
        <w:rPr>
          <w:rFonts w:ascii="宋体" w:hAnsi="宋体"/>
          <w:b/>
          <w:color w:val="auto"/>
          <w:sz w:val="36"/>
          <w:szCs w:val="36"/>
          <w:highlight w:val="none"/>
        </w:rPr>
        <w:t>第二章   投标人须知</w:t>
      </w:r>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3"/>
        <w:tabs>
          <w:tab w:val="center" w:pos="4592"/>
          <w:tab w:val="left" w:pos="7860"/>
        </w:tabs>
        <w:snapToGrid w:val="0"/>
        <w:spacing w:before="0" w:line="360" w:lineRule="auto"/>
        <w:rPr>
          <w:rFonts w:hint="eastAsia" w:ascii="宋体" w:hAnsi="宋体" w:eastAsia="宋体"/>
          <w:color w:val="auto"/>
          <w:sz w:val="28"/>
          <w:highlight w:val="none"/>
        </w:rPr>
      </w:pPr>
      <w:bookmarkStart w:id="68" w:name="_Toc162978915"/>
      <w:bookmarkStart w:id="69" w:name="_Toc162978988"/>
      <w:bookmarkStart w:id="70" w:name="_Toc195842884"/>
      <w:bookmarkStart w:id="71" w:name="_Toc226965709"/>
      <w:bookmarkStart w:id="72" w:name="_Toc164608633"/>
      <w:bookmarkStart w:id="73" w:name="_Toc127161433"/>
      <w:bookmarkStart w:id="74" w:name="_Toc142311021"/>
      <w:bookmarkStart w:id="75" w:name="_Toc164351613"/>
      <w:bookmarkStart w:id="76" w:name="_Toc150509270"/>
      <w:bookmarkStart w:id="77" w:name="_Toc520356144"/>
      <w:bookmarkStart w:id="78" w:name="_Toc150774619"/>
      <w:bookmarkStart w:id="79" w:name="_Toc127151519"/>
      <w:bookmarkStart w:id="80" w:name="_Toc150774724"/>
      <w:bookmarkStart w:id="81" w:name="_Toc150480757"/>
      <w:bookmarkStart w:id="82" w:name="_Toc164229214"/>
      <w:bookmarkStart w:id="83" w:name="_Toc164608788"/>
      <w:bookmarkStart w:id="84" w:name="_Toc226309763"/>
      <w:bookmarkStart w:id="85" w:name="_Toc151193761"/>
      <w:bookmarkStart w:id="86" w:name="_Toc149720812"/>
      <w:bookmarkStart w:id="87" w:name="_Toc127151720"/>
      <w:bookmarkStart w:id="88" w:name="_Toc226337215"/>
      <w:bookmarkStart w:id="89" w:name="_Toc151193617"/>
      <w:bookmarkStart w:id="90" w:name="_Toc151190146"/>
      <w:bookmarkStart w:id="91" w:name="_Toc151193833"/>
      <w:bookmarkStart w:id="92" w:name="_Toc164229360"/>
      <w:bookmarkStart w:id="93" w:name="_Toc226965792"/>
      <w:bookmarkStart w:id="94" w:name="_Toc151193689"/>
      <w:bookmarkStart w:id="95" w:name="_Toc151193907"/>
      <w:r>
        <w:rPr>
          <w:rFonts w:ascii="宋体" w:hAnsi="宋体" w:eastAsia="宋体"/>
          <w:color w:val="auto"/>
          <w:sz w:val="28"/>
          <w:highlight w:val="none"/>
        </w:rPr>
        <w:t>投标人须知资料表</w:t>
      </w:r>
      <w:bookmarkEnd w:id="68"/>
      <w:bookmarkEnd w:id="69"/>
    </w:p>
    <w:p>
      <w:pPr>
        <w:snapToGrid w:val="0"/>
        <w:spacing w:line="360" w:lineRule="auto"/>
        <w:jc w:val="center"/>
        <w:rPr>
          <w:rFonts w:hint="eastAsia" w:ascii="宋体" w:hAnsi="宋体"/>
          <w:b/>
          <w:color w:val="auto"/>
          <w:sz w:val="28"/>
          <w:szCs w:val="28"/>
          <w:highlight w:val="none"/>
        </w:rPr>
      </w:pPr>
    </w:p>
    <w:p>
      <w:pPr>
        <w:snapToGrid w:val="0"/>
        <w:spacing w:line="360" w:lineRule="auto"/>
        <w:ind w:firstLine="480"/>
        <w:rPr>
          <w:rFonts w:hint="eastAsia" w:ascii="宋体" w:hAnsi="宋体"/>
          <w:color w:val="auto"/>
          <w:sz w:val="24"/>
          <w:highlight w:val="none"/>
        </w:rPr>
      </w:pPr>
      <w:r>
        <w:rPr>
          <w:rFonts w:ascii="宋体" w:hAnsi="宋体"/>
          <w:color w:val="auto"/>
          <w:sz w:val="24"/>
          <w:highlight w:val="none"/>
        </w:rPr>
        <w:t>本表是对投标人须知的具体补充和修改，如有矛盾，均以本资料表为准。标记“</w:t>
      </w:r>
      <w:r>
        <w:rPr>
          <w:rFonts w:ascii="宋体" w:hAnsi="宋体"/>
          <w:b/>
          <w:color w:val="auto"/>
          <w:sz w:val="24"/>
          <w:highlight w:val="none"/>
        </w:rPr>
        <w:t>■</w:t>
      </w:r>
      <w:r>
        <w:rPr>
          <w:rFonts w:ascii="宋体" w:hAnsi="宋体"/>
          <w:color w:val="auto"/>
          <w:sz w:val="24"/>
          <w:highlight w:val="none"/>
        </w:rPr>
        <w:t>”的选项意为适用于本项目，标记“□”的选项意为不适用于本项目。</w:t>
      </w:r>
    </w:p>
    <w:tbl>
      <w:tblPr>
        <w:tblStyle w:val="4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521"/>
        <w:gridCol w:w="6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37" w:type="dxa"/>
            <w:vAlign w:val="center"/>
          </w:tcPr>
          <w:p>
            <w:pPr>
              <w:snapToGrid w:val="0"/>
              <w:spacing w:line="360" w:lineRule="auto"/>
              <w:jc w:val="center"/>
              <w:rPr>
                <w:rFonts w:hint="eastAsia" w:ascii="宋体" w:hAnsi="宋体"/>
                <w:b/>
                <w:bCs/>
                <w:color w:val="auto"/>
                <w:sz w:val="24"/>
                <w:highlight w:val="none"/>
              </w:rPr>
            </w:pPr>
            <w:r>
              <w:rPr>
                <w:rFonts w:ascii="宋体" w:hAnsi="宋体"/>
                <w:b/>
                <w:color w:val="auto"/>
                <w:sz w:val="24"/>
                <w:highlight w:val="none"/>
              </w:rPr>
              <w:t>条款号</w:t>
            </w:r>
          </w:p>
        </w:tc>
        <w:tc>
          <w:tcPr>
            <w:tcW w:w="1521" w:type="dxa"/>
            <w:vAlign w:val="center"/>
          </w:tcPr>
          <w:p>
            <w:pPr>
              <w:snapToGrid w:val="0"/>
              <w:spacing w:line="360" w:lineRule="auto"/>
              <w:jc w:val="center"/>
              <w:rPr>
                <w:rFonts w:hint="eastAsia" w:ascii="宋体" w:hAnsi="宋体"/>
                <w:b/>
                <w:bCs/>
                <w:color w:val="auto"/>
                <w:sz w:val="24"/>
                <w:highlight w:val="none"/>
              </w:rPr>
            </w:pPr>
            <w:r>
              <w:rPr>
                <w:rFonts w:ascii="宋体" w:hAnsi="宋体"/>
                <w:b/>
                <w:bCs/>
                <w:color w:val="auto"/>
                <w:sz w:val="24"/>
                <w:highlight w:val="none"/>
              </w:rPr>
              <w:t>条目</w:t>
            </w:r>
          </w:p>
        </w:tc>
        <w:tc>
          <w:tcPr>
            <w:tcW w:w="6830" w:type="dxa"/>
            <w:vAlign w:val="center"/>
          </w:tcPr>
          <w:p>
            <w:pPr>
              <w:snapToGrid w:val="0"/>
              <w:spacing w:line="360" w:lineRule="auto"/>
              <w:jc w:val="center"/>
              <w:rPr>
                <w:rFonts w:hint="eastAsia" w:ascii="宋体" w:hAnsi="宋体"/>
                <w:b/>
                <w:bCs/>
                <w:color w:val="auto"/>
                <w:sz w:val="24"/>
                <w:highlight w:val="none"/>
              </w:rPr>
            </w:pPr>
            <w:r>
              <w:rPr>
                <w:rFonts w:ascii="宋体" w:hAnsi="宋体"/>
                <w:b/>
                <w:bCs/>
                <w:color w:val="auto"/>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2.2</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项目属性</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项目属性：</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□服务</w:t>
            </w:r>
          </w:p>
          <w:p>
            <w:pPr>
              <w:snapToGrid w:val="0"/>
              <w:spacing w:line="360" w:lineRule="auto"/>
              <w:jc w:val="left"/>
              <w:rPr>
                <w:rFonts w:hint="eastAsia" w:ascii="宋体" w:hAnsi="宋体"/>
                <w:color w:val="auto"/>
                <w:sz w:val="24"/>
                <w:highlight w:val="none"/>
                <w:u w:val="single"/>
              </w:rPr>
            </w:pPr>
            <w:r>
              <w:rPr>
                <w:rFonts w:ascii="宋体" w:hAnsi="宋体"/>
                <w:b/>
                <w:color w:val="auto"/>
                <w:sz w:val="24"/>
                <w:highlight w:val="none"/>
              </w:rPr>
              <w:t>■</w:t>
            </w:r>
            <w:r>
              <w:rPr>
                <w:rFonts w:ascii="宋体" w:hAnsi="宋体"/>
                <w:color w:val="auto"/>
                <w:sz w:val="24"/>
                <w:highlight w:val="none"/>
              </w:rPr>
              <w:t>货物</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2.3</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科研仪器设备</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是否属于科研仪器设备采购项目：</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□是</w:t>
            </w:r>
          </w:p>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否</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2.4</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核心产品</w:t>
            </w:r>
          </w:p>
        </w:tc>
        <w:tc>
          <w:tcPr>
            <w:tcW w:w="6830" w:type="dxa"/>
            <w:vAlign w:val="center"/>
          </w:tcPr>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□关于核心产品本项目_</w:t>
            </w:r>
            <w:r>
              <w:rPr>
                <w:rFonts w:ascii="宋体" w:hAnsi="宋体"/>
                <w:color w:val="auto"/>
                <w:sz w:val="24"/>
                <w:highlight w:val="none"/>
                <w:u w:val="single"/>
              </w:rPr>
              <w:t>/</w:t>
            </w:r>
            <w:r>
              <w:rPr>
                <w:rFonts w:hint="eastAsia" w:ascii="宋体" w:hAnsi="宋体"/>
                <w:color w:val="auto"/>
                <w:sz w:val="24"/>
                <w:highlight w:val="none"/>
              </w:rPr>
              <w:t>_包不适用。</w:t>
            </w:r>
          </w:p>
          <w:p>
            <w:pPr>
              <w:snapToGrid w:val="0"/>
              <w:spacing w:line="360" w:lineRule="auto"/>
              <w:jc w:val="left"/>
              <w:rPr>
                <w:rFonts w:hint="eastAsia" w:ascii="宋体" w:hAnsi="宋体"/>
                <w:color w:val="auto"/>
                <w:sz w:val="24"/>
                <w:highlight w:val="none"/>
              </w:rPr>
            </w:pPr>
            <w:r>
              <w:rPr>
                <w:rFonts w:hint="eastAsia" w:ascii="宋体" w:hAnsi="宋体"/>
                <w:b/>
                <w:color w:val="auto"/>
                <w:sz w:val="24"/>
                <w:highlight w:val="none"/>
              </w:rPr>
              <w:t>■</w:t>
            </w:r>
            <w:r>
              <w:rPr>
                <w:rFonts w:hint="eastAsia" w:ascii="宋体" w:hAnsi="宋体"/>
                <w:color w:val="auto"/>
                <w:sz w:val="24"/>
                <w:highlight w:val="none"/>
              </w:rPr>
              <w:t>本项目为单一产品采购项目。</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□本项目为非单一产品采购项目，核心产品为：/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Merge w:val="restart"/>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3.1</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现场考察</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不组织</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snapToGrid w:val="0"/>
              <w:spacing w:line="360" w:lineRule="auto"/>
              <w:jc w:val="left"/>
              <w:rPr>
                <w:rFonts w:hint="eastAsia" w:ascii="宋体" w:hAnsi="宋体"/>
                <w:bCs/>
                <w:color w:val="auto"/>
                <w:sz w:val="24"/>
                <w:highlight w:val="none"/>
              </w:rPr>
            </w:pPr>
            <w:r>
              <w:rPr>
                <w:rFonts w:ascii="宋体" w:hAnsi="宋体"/>
                <w:color w:val="auto"/>
                <w:sz w:val="24"/>
                <w:highlight w:val="none"/>
              </w:rPr>
              <w:t>□组织，考察时间：__年_月_日_</w:t>
            </w:r>
            <w:r>
              <w:rPr>
                <w:rFonts w:ascii="宋体" w:hAnsi="宋体"/>
                <w:bCs/>
                <w:color w:val="auto"/>
                <w:sz w:val="24"/>
                <w:highlight w:val="none"/>
              </w:rPr>
              <w:t>点</w:t>
            </w:r>
            <w:r>
              <w:rPr>
                <w:rFonts w:ascii="宋体" w:hAnsi="宋体"/>
                <w:color w:val="auto"/>
                <w:sz w:val="24"/>
                <w:highlight w:val="none"/>
              </w:rPr>
              <w:t>_</w:t>
            </w:r>
            <w:r>
              <w:rPr>
                <w:rFonts w:ascii="宋体" w:hAnsi="宋体"/>
                <w:bCs/>
                <w:color w:val="auto"/>
                <w:sz w:val="24"/>
                <w:highlight w:val="none"/>
              </w:rPr>
              <w:t>分</w:t>
            </w:r>
          </w:p>
          <w:p>
            <w:pPr>
              <w:pStyle w:val="23"/>
              <w:adjustRightInd w:val="0"/>
              <w:snapToGrid w:val="0"/>
              <w:spacing w:line="360" w:lineRule="auto"/>
              <w:rPr>
                <w:rFonts w:hint="eastAsia" w:hAnsi="宋体"/>
                <w:color w:val="auto"/>
                <w:sz w:val="24"/>
                <w:szCs w:val="24"/>
                <w:highlight w:val="none"/>
              </w:rPr>
            </w:pPr>
            <w:r>
              <w:rPr>
                <w:rFonts w:hAnsi="宋体"/>
                <w:color w:val="auto"/>
                <w:sz w:val="24"/>
                <w:highlight w:val="none"/>
              </w:rPr>
              <w:t>考察地点：____________。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Merge w:val="continue"/>
            <w:vAlign w:val="center"/>
          </w:tcPr>
          <w:p>
            <w:pPr>
              <w:pStyle w:val="23"/>
              <w:adjustRightInd w:val="0"/>
              <w:snapToGrid w:val="0"/>
              <w:spacing w:line="360" w:lineRule="auto"/>
              <w:jc w:val="center"/>
              <w:rPr>
                <w:rFonts w:hint="eastAsia" w:hAnsi="宋体"/>
                <w:color w:val="auto"/>
                <w:sz w:val="24"/>
                <w:szCs w:val="24"/>
                <w:highlight w:val="none"/>
              </w:rPr>
            </w:pP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开标前答疑会</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不召开</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□召开，召开时间：__年_月_日_</w:t>
            </w:r>
            <w:r>
              <w:rPr>
                <w:rFonts w:ascii="宋体" w:hAnsi="宋体"/>
                <w:bCs/>
                <w:color w:val="auto"/>
                <w:sz w:val="24"/>
                <w:highlight w:val="none"/>
              </w:rPr>
              <w:t>点</w:t>
            </w:r>
            <w:r>
              <w:rPr>
                <w:rFonts w:ascii="宋体" w:hAnsi="宋体"/>
                <w:color w:val="auto"/>
                <w:sz w:val="24"/>
                <w:highlight w:val="none"/>
              </w:rPr>
              <w:t>_</w:t>
            </w:r>
            <w:r>
              <w:rPr>
                <w:rFonts w:ascii="宋体" w:hAnsi="宋体"/>
                <w:bCs/>
                <w:color w:val="auto"/>
                <w:sz w:val="24"/>
                <w:highlight w:val="none"/>
              </w:rPr>
              <w:t>分</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召开地点：____________</w:t>
            </w: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4.1</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样品</w:t>
            </w:r>
          </w:p>
        </w:tc>
        <w:tc>
          <w:tcPr>
            <w:tcW w:w="6830" w:type="dxa"/>
            <w:vAlign w:val="center"/>
          </w:tcPr>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投标样品递交：</w:t>
            </w:r>
          </w:p>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hint="eastAsia" w:ascii="宋体" w:hAnsi="宋体"/>
                <w:color w:val="auto"/>
                <w:sz w:val="24"/>
                <w:highlight w:val="none"/>
              </w:rPr>
              <w:t>不需要</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□需要，具体要求如下：</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（1）样品制作的标准和要求：_________；</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）是否需要随样品</w:t>
            </w:r>
            <w:r>
              <w:rPr>
                <w:rFonts w:hint="eastAsia" w:ascii="宋体" w:hAnsi="宋体" w:cs="Leelawadee UI"/>
                <w:color w:val="auto"/>
                <w:sz w:val="24"/>
                <w:highlight w:val="none"/>
              </w:rPr>
              <w:t>提</w:t>
            </w:r>
            <w:r>
              <w:rPr>
                <w:rFonts w:hint="eastAsia" w:ascii="宋体" w:hAnsi="宋体"/>
                <w:color w:val="auto"/>
                <w:sz w:val="24"/>
                <w:highlight w:val="none"/>
              </w:rPr>
              <w:t>交相关检测报告：</w:t>
            </w:r>
          </w:p>
          <w:p>
            <w:pPr>
              <w:snapToGrid w:val="0"/>
              <w:spacing w:line="360" w:lineRule="auto"/>
              <w:ind w:firstLine="720" w:firstLineChars="300"/>
              <w:jc w:val="left"/>
              <w:rPr>
                <w:rFonts w:hint="eastAsia" w:ascii="宋体" w:hAnsi="宋体"/>
                <w:color w:val="auto"/>
                <w:sz w:val="24"/>
                <w:highlight w:val="none"/>
              </w:rPr>
            </w:pPr>
            <w:r>
              <w:rPr>
                <w:rFonts w:hint="eastAsia" w:ascii="宋体" w:hAnsi="宋体"/>
                <w:color w:val="auto"/>
                <w:sz w:val="24"/>
                <w:highlight w:val="none"/>
              </w:rPr>
              <w:t>□不需要</w:t>
            </w:r>
          </w:p>
          <w:p>
            <w:pPr>
              <w:snapToGrid w:val="0"/>
              <w:spacing w:line="360" w:lineRule="auto"/>
              <w:ind w:firstLine="720" w:firstLineChars="300"/>
              <w:jc w:val="left"/>
              <w:rPr>
                <w:rFonts w:hint="eastAsia" w:ascii="宋体" w:hAnsi="宋体"/>
                <w:color w:val="auto"/>
                <w:sz w:val="24"/>
                <w:highlight w:val="none"/>
              </w:rPr>
            </w:pPr>
            <w:r>
              <w:rPr>
                <w:rFonts w:hint="eastAsia" w:ascii="宋体" w:hAnsi="宋体"/>
                <w:color w:val="auto"/>
                <w:sz w:val="24"/>
                <w:highlight w:val="none"/>
              </w:rPr>
              <w:t>□需要</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（3）样品递交要求：_________；</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（4）未中标人样品退还：_________；</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（5）中标人样品保管、封存及退还：_________；</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（6）其他要求（如有）：_________。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5.2.5</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标的所属行业</w:t>
            </w:r>
          </w:p>
        </w:tc>
        <w:tc>
          <w:tcPr>
            <w:tcW w:w="6830" w:type="dxa"/>
            <w:vAlign w:val="center"/>
          </w:tcPr>
          <w:p>
            <w:pPr>
              <w:snapToGrid w:val="0"/>
              <w:spacing w:line="360" w:lineRule="auto"/>
              <w:jc w:val="left"/>
              <w:rPr>
                <w:rFonts w:hint="eastAsia" w:ascii="宋体" w:hAnsi="宋体"/>
                <w:b/>
                <w:bCs/>
                <w:color w:val="auto"/>
                <w:sz w:val="24"/>
                <w:highlight w:val="none"/>
              </w:rPr>
            </w:pPr>
            <w:r>
              <w:rPr>
                <w:rFonts w:ascii="宋体" w:hAnsi="宋体"/>
                <w:color w:val="auto"/>
                <w:sz w:val="24"/>
                <w:highlight w:val="none"/>
              </w:rPr>
              <w:t>本项目采购标的对应的中小企业划分标准所属行业：</w:t>
            </w:r>
          </w:p>
          <w:tbl>
            <w:tblPr>
              <w:tblStyle w:val="45"/>
              <w:tblW w:w="66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2"/>
              <w:gridCol w:w="3186"/>
              <w:gridCol w:w="21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1302" w:type="dxa"/>
                  <w:vAlign w:val="center"/>
                </w:tcPr>
                <w:p>
                  <w:pPr>
                    <w:snapToGrid w:val="0"/>
                    <w:spacing w:line="360" w:lineRule="auto"/>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包号</w:t>
                  </w:r>
                </w:p>
              </w:tc>
              <w:tc>
                <w:tcPr>
                  <w:tcW w:w="3186"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标的名称</w:t>
                  </w:r>
                </w:p>
              </w:tc>
              <w:tc>
                <w:tcPr>
                  <w:tcW w:w="217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中小企业划分标准所属行业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 w:hRule="atLeast"/>
              </w:trPr>
              <w:tc>
                <w:tcPr>
                  <w:tcW w:w="1302"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w:t>
                  </w:r>
                </w:p>
              </w:tc>
              <w:tc>
                <w:tcPr>
                  <w:tcW w:w="3186" w:type="dxa"/>
                  <w:vAlign w:val="center"/>
                </w:tcPr>
                <w:p>
                  <w:pPr>
                    <w:widowControl/>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交互式触控一体机（含配套黑板）</w:t>
                  </w:r>
                </w:p>
              </w:tc>
              <w:tc>
                <w:tcPr>
                  <w:tcW w:w="217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 w:hRule="atLeast"/>
              </w:trPr>
              <w:tc>
                <w:tcPr>
                  <w:tcW w:w="1302"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c>
                <w:tcPr>
                  <w:tcW w:w="3186" w:type="dxa"/>
                  <w:vAlign w:val="center"/>
                </w:tcPr>
                <w:p>
                  <w:pPr>
                    <w:widowControl/>
                    <w:jc w:val="center"/>
                    <w:rPr>
                      <w:rFonts w:hint="eastAsia" w:ascii="宋体" w:hAnsi="宋体" w:cs="宋体"/>
                      <w:color w:val="auto"/>
                      <w:kern w:val="0"/>
                      <w:sz w:val="24"/>
                      <w:highlight w:val="none"/>
                    </w:rPr>
                  </w:pPr>
                  <w:r>
                    <w:rPr>
                      <w:rFonts w:hint="eastAsia" w:ascii="宋体" w:hAnsi="宋体"/>
                      <w:color w:val="auto"/>
                      <w:sz w:val="24"/>
                      <w:highlight w:val="none"/>
                    </w:rPr>
                    <w:t>交互式触控一体机（含配套黑板）</w:t>
                  </w:r>
                </w:p>
              </w:tc>
              <w:tc>
                <w:tcPr>
                  <w:tcW w:w="217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工业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 w:hRule="atLeast"/>
              </w:trPr>
              <w:tc>
                <w:tcPr>
                  <w:tcW w:w="1302" w:type="dxa"/>
                  <w:vAlign w:val="center"/>
                </w:tcPr>
                <w:p>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p>
              </w:tc>
              <w:tc>
                <w:tcPr>
                  <w:tcW w:w="3186" w:type="dxa"/>
                  <w:vAlign w:val="center"/>
                </w:tcPr>
                <w:p>
                  <w:pPr>
                    <w:widowControl/>
                    <w:jc w:val="center"/>
                    <w:rPr>
                      <w:rFonts w:hint="eastAsia" w:ascii="宋体" w:hAnsi="宋体" w:cs="宋体"/>
                      <w:color w:val="auto"/>
                      <w:kern w:val="0"/>
                      <w:sz w:val="24"/>
                      <w:highlight w:val="none"/>
                    </w:rPr>
                  </w:pPr>
                  <w:r>
                    <w:rPr>
                      <w:rFonts w:hint="eastAsia" w:ascii="宋体" w:hAnsi="宋体"/>
                      <w:color w:val="auto"/>
                      <w:sz w:val="24"/>
                      <w:highlight w:val="none"/>
                    </w:rPr>
                    <w:t>交互式触控一体机（含配套黑板）</w:t>
                  </w:r>
                </w:p>
              </w:tc>
              <w:tc>
                <w:tcPr>
                  <w:tcW w:w="217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工业</w:t>
                  </w:r>
                </w:p>
              </w:tc>
            </w:tr>
          </w:tbl>
          <w:p>
            <w:pPr>
              <w:snapToGrid w:val="0"/>
              <w:spacing w:line="360" w:lineRule="auto"/>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highlight w:val="none"/>
              </w:rPr>
              <w:br w:type="page"/>
            </w:r>
            <w:r>
              <w:rPr>
                <w:rFonts w:hAnsi="宋体"/>
                <w:color w:val="auto"/>
                <w:sz w:val="24"/>
                <w:szCs w:val="24"/>
                <w:highlight w:val="none"/>
              </w:rPr>
              <w:t>11.2</w:t>
            </w:r>
          </w:p>
        </w:tc>
        <w:tc>
          <w:tcPr>
            <w:tcW w:w="152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投标报价</w:t>
            </w:r>
          </w:p>
        </w:tc>
        <w:tc>
          <w:tcPr>
            <w:tcW w:w="6830" w:type="dxa"/>
            <w:vAlign w:val="center"/>
          </w:tcPr>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投标报价的特殊规定：</w:t>
            </w:r>
          </w:p>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无</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12.1</w:t>
            </w:r>
          </w:p>
        </w:tc>
        <w:tc>
          <w:tcPr>
            <w:tcW w:w="1521" w:type="dxa"/>
            <w:vMerge w:val="restart"/>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投标保证金</w:t>
            </w:r>
          </w:p>
        </w:tc>
        <w:tc>
          <w:tcPr>
            <w:tcW w:w="6830" w:type="dxa"/>
            <w:vAlign w:val="center"/>
          </w:tcPr>
          <w:p>
            <w:pPr>
              <w:pStyle w:val="23"/>
              <w:adjustRightInd w:val="0"/>
              <w:snapToGrid w:val="0"/>
              <w:spacing w:line="360" w:lineRule="auto"/>
              <w:rPr>
                <w:rFonts w:hint="eastAsia" w:hAnsi="宋体"/>
                <w:color w:val="auto"/>
                <w:sz w:val="24"/>
                <w:szCs w:val="24"/>
                <w:highlight w:val="none"/>
              </w:rPr>
            </w:pPr>
            <w:r>
              <w:rPr>
                <w:rFonts w:hAnsi="宋体"/>
                <w:color w:val="auto"/>
                <w:sz w:val="24"/>
                <w:szCs w:val="24"/>
                <w:highlight w:val="none"/>
              </w:rPr>
              <w:t>投标保证金金额：</w:t>
            </w:r>
            <w:r>
              <w:rPr>
                <w:color w:val="auto"/>
                <w:sz w:val="24"/>
                <w:highlight w:val="none"/>
                <w:lang w:eastAsia="zh-CN"/>
              </w:rPr>
              <w:t>/</w:t>
            </w:r>
            <w:r>
              <w:rPr>
                <w:rFonts w:hAnsi="宋体"/>
                <w:color w:val="auto"/>
                <w:sz w:val="24"/>
                <w:szCs w:val="24"/>
                <w:highlight w:val="none"/>
              </w:rPr>
              <w:t>；</w:t>
            </w:r>
          </w:p>
          <w:p>
            <w:pPr>
              <w:pStyle w:val="23"/>
              <w:adjustRightInd w:val="0"/>
              <w:snapToGrid w:val="0"/>
              <w:spacing w:line="360" w:lineRule="auto"/>
              <w:rPr>
                <w:rFonts w:hint="eastAsia" w:hAnsi="宋体"/>
                <w:color w:val="auto"/>
                <w:sz w:val="24"/>
                <w:highlight w:val="none"/>
              </w:rPr>
            </w:pPr>
            <w:r>
              <w:rPr>
                <w:rFonts w:hAnsi="宋体"/>
                <w:color w:val="auto"/>
                <w:sz w:val="24"/>
                <w:highlight w:val="none"/>
              </w:rPr>
              <w:t>投标保证金收受人信息：</w:t>
            </w:r>
            <w:r>
              <w:rPr>
                <w:color w:val="auto"/>
                <w:sz w:val="24"/>
                <w:highlight w:val="none"/>
                <w:lang w:eastAsia="zh-CN"/>
              </w:rPr>
              <w:t>/</w:t>
            </w:r>
          </w:p>
          <w:p>
            <w:pPr>
              <w:pStyle w:val="23"/>
              <w:adjustRightInd w:val="0"/>
              <w:snapToGrid w:val="0"/>
              <w:spacing w:line="360" w:lineRule="auto"/>
              <w:rPr>
                <w:rFonts w:hint="eastAsia" w:hAnsi="宋体"/>
                <w:color w:val="auto"/>
                <w:sz w:val="24"/>
                <w:highlight w:val="none"/>
              </w:rPr>
            </w:pPr>
            <w:r>
              <w:rPr>
                <w:rFonts w:hAnsi="宋体"/>
                <w:color w:val="auto"/>
                <w:sz w:val="24"/>
                <w:highlight w:val="none"/>
              </w:rPr>
              <w:t>账户名称：</w:t>
            </w:r>
            <w:r>
              <w:rPr>
                <w:color w:val="auto"/>
                <w:sz w:val="24"/>
                <w:highlight w:val="none"/>
                <w:lang w:eastAsia="zh-CN"/>
              </w:rPr>
              <w:t>/</w:t>
            </w:r>
          </w:p>
          <w:p>
            <w:pPr>
              <w:snapToGrid w:val="0"/>
              <w:spacing w:line="360" w:lineRule="auto"/>
              <w:jc w:val="left"/>
              <w:rPr>
                <w:rFonts w:hAnsi="宋体"/>
                <w:color w:val="auto"/>
                <w:sz w:val="24"/>
                <w:highlight w:val="none"/>
                <w:u w:val="single"/>
              </w:rPr>
            </w:pPr>
            <w:r>
              <w:rPr>
                <w:rFonts w:hAnsi="宋体"/>
                <w:color w:val="auto"/>
                <w:sz w:val="24"/>
                <w:highlight w:val="none"/>
              </w:rPr>
              <w:t>开户行：</w:t>
            </w:r>
            <w:r>
              <w:rPr>
                <w:color w:val="auto"/>
                <w:sz w:val="24"/>
                <w:highlight w:val="none"/>
                <w:lang w:eastAsia="zh-CN"/>
              </w:rPr>
              <w:t>/</w:t>
            </w:r>
          </w:p>
          <w:p>
            <w:pPr>
              <w:snapToGrid w:val="0"/>
              <w:spacing w:line="360" w:lineRule="auto"/>
              <w:jc w:val="left"/>
              <w:rPr>
                <w:rFonts w:hint="eastAsia" w:ascii="宋体" w:hAnsi="宋体"/>
                <w:color w:val="auto"/>
                <w:sz w:val="24"/>
                <w:highlight w:val="none"/>
                <w:u w:val="single"/>
              </w:rPr>
            </w:pPr>
            <w:r>
              <w:rPr>
                <w:rFonts w:ascii="宋体" w:hAnsi="宋体"/>
                <w:color w:val="auto"/>
                <w:sz w:val="24"/>
                <w:highlight w:val="none"/>
              </w:rPr>
              <w:t>账号：</w:t>
            </w:r>
            <w:r>
              <w:rPr>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12.7.2</w:t>
            </w:r>
          </w:p>
        </w:tc>
        <w:tc>
          <w:tcPr>
            <w:tcW w:w="1521" w:type="dxa"/>
            <w:vMerge w:val="continue"/>
            <w:vAlign w:val="center"/>
          </w:tcPr>
          <w:p>
            <w:pPr>
              <w:snapToGrid w:val="0"/>
              <w:spacing w:line="360" w:lineRule="auto"/>
              <w:jc w:val="center"/>
              <w:rPr>
                <w:rFonts w:hint="eastAsia" w:ascii="宋体" w:hAnsi="宋体"/>
                <w:color w:val="auto"/>
                <w:sz w:val="24"/>
                <w:highlight w:val="none"/>
              </w:rPr>
            </w:pP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投标保证金可以不予退还的其他情形：</w:t>
            </w:r>
          </w:p>
          <w:p>
            <w:pPr>
              <w:snapToGrid w:val="0"/>
              <w:spacing w:line="360" w:lineRule="auto"/>
              <w:jc w:val="left"/>
              <w:rPr>
                <w:rFonts w:hint="eastAsia" w:ascii="宋体" w:hAnsi="宋体"/>
                <w:color w:val="auto"/>
                <w:sz w:val="24"/>
                <w:highlight w:val="none"/>
              </w:rPr>
            </w:pPr>
            <w:r>
              <w:rPr>
                <w:b/>
                <w:color w:val="auto"/>
                <w:sz w:val="24"/>
                <w:highlight w:val="none"/>
                <w:lang w:eastAsia="zh-CN"/>
              </w:rPr>
              <w:t>■</w:t>
            </w:r>
            <w:r>
              <w:rPr>
                <w:rFonts w:ascii="宋体" w:hAnsi="宋体"/>
                <w:color w:val="auto"/>
                <w:sz w:val="24"/>
                <w:highlight w:val="none"/>
              </w:rPr>
              <w:t>无</w:t>
            </w:r>
            <w:r>
              <w:rPr>
                <w:rFonts w:hint="eastAsia"/>
                <w:color w:val="auto"/>
                <w:sz w:val="24"/>
                <w:highlight w:val="none"/>
                <w:lang w:eastAsia="zh-CN"/>
              </w:rPr>
              <w:t>（第1包——第</w:t>
            </w:r>
            <w:r>
              <w:rPr>
                <w:rFonts w:hint="eastAsia"/>
                <w:color w:val="auto"/>
                <w:sz w:val="24"/>
                <w:highlight w:val="none"/>
                <w:lang w:val="en-US" w:eastAsia="zh-CN"/>
              </w:rPr>
              <w:t>3</w:t>
            </w:r>
            <w:r>
              <w:rPr>
                <w:rFonts w:hint="eastAsia"/>
                <w:color w:val="auto"/>
                <w:sz w:val="24"/>
                <w:highlight w:val="none"/>
                <w:lang w:eastAsia="zh-CN"/>
              </w:rPr>
              <w:t>包）</w:t>
            </w:r>
          </w:p>
          <w:p>
            <w:pPr>
              <w:pStyle w:val="23"/>
              <w:adjustRightInd w:val="0"/>
              <w:snapToGrid w:val="0"/>
              <w:spacing w:line="360" w:lineRule="auto"/>
              <w:rPr>
                <w:rFonts w:hint="eastAsia" w:hAnsi="宋体"/>
                <w:color w:val="auto"/>
                <w:sz w:val="24"/>
                <w:highlight w:val="none"/>
              </w:rPr>
            </w:pPr>
            <w:r>
              <w:rPr>
                <w:color w:val="auto"/>
                <w:sz w:val="24"/>
                <w:highlight w:val="none"/>
                <w:lang w:eastAsia="zh-CN"/>
              </w:rPr>
              <w:t>□</w:t>
            </w:r>
            <w:r>
              <w:rPr>
                <w:rFonts w:hAnsi="宋体"/>
                <w:color w:val="auto"/>
                <w:sz w:val="24"/>
                <w:highlight w:val="none"/>
              </w:rPr>
              <w:t>有，具体情形：</w:t>
            </w:r>
          </w:p>
          <w:p>
            <w:pPr>
              <w:pStyle w:val="23"/>
              <w:adjustRightInd w:val="0"/>
              <w:snapToGrid w:val="0"/>
              <w:spacing w:line="360" w:lineRule="auto"/>
              <w:rPr>
                <w:rFonts w:hint="eastAsia" w:hAnsi="宋体"/>
                <w:color w:val="auto"/>
                <w:sz w:val="24"/>
                <w:highlight w:val="none"/>
              </w:rPr>
            </w:pPr>
            <w:r>
              <w:rPr>
                <w:rFonts w:hint="eastAsia" w:hAnsi="宋体"/>
                <w:color w:val="auto"/>
                <w:sz w:val="24"/>
                <w:highlight w:val="none"/>
              </w:rPr>
              <w:t>（1）投标人在招标文件中规定的投标有效期内撤销其投标；</w:t>
            </w:r>
          </w:p>
          <w:p>
            <w:pPr>
              <w:pStyle w:val="23"/>
              <w:adjustRightInd w:val="0"/>
              <w:snapToGrid w:val="0"/>
              <w:spacing w:line="360" w:lineRule="auto"/>
              <w:rPr>
                <w:rFonts w:hint="eastAsia" w:hAnsi="宋体"/>
                <w:color w:val="auto"/>
                <w:sz w:val="24"/>
                <w:highlight w:val="none"/>
              </w:rPr>
            </w:pPr>
            <w:r>
              <w:rPr>
                <w:rFonts w:hint="eastAsia" w:hAnsi="宋体"/>
                <w:color w:val="auto"/>
                <w:sz w:val="24"/>
                <w:highlight w:val="none"/>
              </w:rPr>
              <w:t>（2）投标人提供虚假材料；</w:t>
            </w:r>
          </w:p>
          <w:p>
            <w:pPr>
              <w:pStyle w:val="23"/>
              <w:adjustRightInd w:val="0"/>
              <w:snapToGrid w:val="0"/>
              <w:spacing w:line="360" w:lineRule="auto"/>
              <w:rPr>
                <w:rFonts w:hint="eastAsia" w:hAnsi="宋体"/>
                <w:color w:val="auto"/>
                <w:sz w:val="24"/>
                <w:highlight w:val="none"/>
              </w:rPr>
            </w:pPr>
            <w:r>
              <w:rPr>
                <w:rFonts w:hint="eastAsia" w:hAnsi="宋体"/>
                <w:color w:val="auto"/>
                <w:sz w:val="24"/>
                <w:highlight w:val="none"/>
              </w:rPr>
              <w:t>（3）投标人存在恶意串通行为；</w:t>
            </w:r>
          </w:p>
          <w:p>
            <w:pPr>
              <w:pStyle w:val="23"/>
              <w:adjustRightInd w:val="0"/>
              <w:snapToGrid w:val="0"/>
              <w:spacing w:line="360" w:lineRule="auto"/>
              <w:rPr>
                <w:rFonts w:hint="eastAsia" w:hAnsi="宋体"/>
                <w:color w:val="auto"/>
                <w:sz w:val="24"/>
                <w:szCs w:val="24"/>
                <w:highlight w:val="none"/>
              </w:rPr>
            </w:pPr>
            <w:r>
              <w:rPr>
                <w:rFonts w:hint="eastAsia" w:hAnsi="宋体"/>
                <w:color w:val="auto"/>
                <w:sz w:val="24"/>
                <w:highlight w:val="none"/>
              </w:rPr>
              <w:t>（4）中标人在规定期限内未能根据投标人须知第25条规定签订合同</w:t>
            </w:r>
            <w:r>
              <w:rPr>
                <w:rFonts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13.1</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投标有效期</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自提交投标文件的截止之日起算__</w:t>
            </w:r>
            <w:r>
              <w:rPr>
                <w:rFonts w:ascii="宋体" w:hAnsi="宋体"/>
                <w:color w:val="auto"/>
                <w:sz w:val="24"/>
                <w:highlight w:val="none"/>
                <w:u w:val="single"/>
              </w:rPr>
              <w:t>90_</w:t>
            </w:r>
            <w:r>
              <w:rPr>
                <w:rFonts w:ascii="宋体" w:hAnsi="宋体"/>
                <w:color w:val="auto"/>
                <w:sz w:val="24"/>
                <w:highlight w:val="none"/>
              </w:rPr>
              <w:t>_日历天。</w:t>
            </w:r>
            <w:r>
              <w:rPr>
                <w:rFonts w:hint="eastAsia" w:ascii="宋体" w:hAnsi="宋体"/>
                <w:color w:val="auto"/>
                <w:sz w:val="24"/>
                <w:highlight w:val="none"/>
              </w:rPr>
              <w:t>（第1包——第</w:t>
            </w:r>
            <w:r>
              <w:rPr>
                <w:rFonts w:hint="eastAsia" w:ascii="宋体" w:hAnsi="宋体"/>
                <w:color w:val="auto"/>
                <w:sz w:val="24"/>
                <w:highlight w:val="none"/>
                <w:lang w:val="en-US" w:eastAsia="zh-CN"/>
              </w:rPr>
              <w:t>3</w:t>
            </w:r>
            <w:r>
              <w:rPr>
                <w:rFonts w:hint="eastAsia" w:ascii="宋体" w:hAnsi="宋体"/>
                <w:color w:val="auto"/>
                <w:sz w:val="24"/>
                <w:highlight w:val="none"/>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18.2</w:t>
            </w:r>
          </w:p>
        </w:tc>
        <w:tc>
          <w:tcPr>
            <w:tcW w:w="152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解密时间</w:t>
            </w:r>
          </w:p>
        </w:tc>
        <w:tc>
          <w:tcPr>
            <w:tcW w:w="6830" w:type="dxa"/>
            <w:vAlign w:val="center"/>
          </w:tcPr>
          <w:p>
            <w:pPr>
              <w:snapToGrid w:val="0"/>
              <w:spacing w:line="360" w:lineRule="auto"/>
              <w:jc w:val="left"/>
              <w:rPr>
                <w:rFonts w:hint="default" w:ascii="宋体" w:hAnsi="宋体" w:eastAsia="宋体"/>
                <w:color w:val="auto"/>
                <w:sz w:val="24"/>
                <w:highlight w:val="none"/>
                <w:lang w:val="en-US" w:eastAsia="zh-CN"/>
              </w:rPr>
            </w:pPr>
            <w:r>
              <w:rPr>
                <w:rFonts w:hint="eastAsia" w:ascii="宋体" w:hAnsi="宋体"/>
                <w:color w:val="auto"/>
                <w:sz w:val="24"/>
                <w:highlight w:val="none"/>
              </w:rPr>
              <w:t>解密时间：</w:t>
            </w:r>
            <w:r>
              <w:rPr>
                <w:rFonts w:hint="eastAsia" w:ascii="宋体" w:hAnsi="宋体"/>
                <w:color w:val="auto"/>
                <w:sz w:val="24"/>
                <w:highlight w:val="none"/>
                <w:u w:val="single"/>
              </w:rPr>
              <w:t xml:space="preserve">   30   分钟</w:t>
            </w:r>
            <w:r>
              <w:rPr>
                <w:rFonts w:hint="eastAsia" w:ascii="宋体" w:hAnsi="宋体"/>
                <w:color w:val="auto"/>
                <w:sz w:val="24"/>
                <w:highlight w:val="none"/>
              </w:rPr>
              <w:t>（第1包——第</w:t>
            </w:r>
            <w:r>
              <w:rPr>
                <w:rFonts w:hint="eastAsia" w:ascii="宋体" w:hAnsi="宋体"/>
                <w:color w:val="auto"/>
                <w:sz w:val="24"/>
                <w:highlight w:val="none"/>
                <w:lang w:val="en-US" w:eastAsia="zh-CN"/>
              </w:rPr>
              <w:t>3</w:t>
            </w:r>
            <w:r>
              <w:rPr>
                <w:rFonts w:hint="eastAsia" w:ascii="宋体" w:hAnsi="宋体"/>
                <w:color w:val="auto"/>
                <w:sz w:val="24"/>
                <w:highlight w:val="none"/>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22.1</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确定中标人</w:t>
            </w:r>
          </w:p>
        </w:tc>
        <w:tc>
          <w:tcPr>
            <w:tcW w:w="6830" w:type="dxa"/>
            <w:vAlign w:val="center"/>
          </w:tcPr>
          <w:p>
            <w:pPr>
              <w:pStyle w:val="23"/>
              <w:adjustRightInd w:val="0"/>
              <w:snapToGrid w:val="0"/>
              <w:spacing w:line="360" w:lineRule="auto"/>
              <w:rPr>
                <w:rFonts w:hint="eastAsia" w:hAnsi="宋体"/>
                <w:color w:val="auto"/>
                <w:sz w:val="24"/>
                <w:highlight w:val="none"/>
              </w:rPr>
            </w:pPr>
            <w:r>
              <w:rPr>
                <w:rFonts w:hAnsi="宋体"/>
                <w:color w:val="auto"/>
                <w:sz w:val="24"/>
                <w:highlight w:val="none"/>
              </w:rPr>
              <w:t>中标候选人并列的，采购人是否委托评标委员会确定中标人：</w:t>
            </w:r>
          </w:p>
          <w:p>
            <w:pPr>
              <w:pStyle w:val="23"/>
              <w:adjustRightInd w:val="0"/>
              <w:snapToGrid w:val="0"/>
              <w:spacing w:line="360" w:lineRule="auto"/>
              <w:rPr>
                <w:rFonts w:hint="eastAsia" w:hAnsi="宋体"/>
                <w:color w:val="auto"/>
                <w:sz w:val="24"/>
                <w:highlight w:val="none"/>
              </w:rPr>
            </w:pPr>
            <w:r>
              <w:rPr>
                <w:rFonts w:hAnsi="宋体"/>
                <w:b/>
                <w:color w:val="auto"/>
                <w:sz w:val="24"/>
                <w:highlight w:val="none"/>
              </w:rPr>
              <w:t>■</w:t>
            </w:r>
            <w:r>
              <w:rPr>
                <w:rFonts w:hAnsi="宋体"/>
                <w:color w:val="auto"/>
                <w:sz w:val="24"/>
                <w:highlight w:val="none"/>
              </w:rPr>
              <w:t>否</w:t>
            </w:r>
            <w:r>
              <w:rPr>
                <w:rFonts w:hint="eastAsia" w:ascii="宋体" w:hAnsi="宋体"/>
                <w:color w:val="auto"/>
                <w:sz w:val="24"/>
                <w:highlight w:val="none"/>
              </w:rPr>
              <w:t>（第1包——第</w:t>
            </w:r>
            <w:r>
              <w:rPr>
                <w:rFonts w:hint="eastAsia" w:ascii="宋体" w:hAnsi="宋体"/>
                <w:color w:val="auto"/>
                <w:sz w:val="24"/>
                <w:highlight w:val="none"/>
                <w:lang w:val="en-US" w:eastAsia="zh-CN"/>
              </w:rPr>
              <w:t>3</w:t>
            </w:r>
            <w:r>
              <w:rPr>
                <w:rFonts w:hint="eastAsia" w:ascii="宋体" w:hAnsi="宋体"/>
                <w:color w:val="auto"/>
                <w:sz w:val="24"/>
                <w:highlight w:val="none"/>
              </w:rPr>
              <w:t>包）</w:t>
            </w:r>
          </w:p>
          <w:p>
            <w:pPr>
              <w:pStyle w:val="23"/>
              <w:adjustRightInd w:val="0"/>
              <w:snapToGrid w:val="0"/>
              <w:spacing w:line="360" w:lineRule="auto"/>
              <w:rPr>
                <w:rFonts w:hint="eastAsia" w:hAnsi="宋体"/>
                <w:color w:val="auto"/>
                <w:sz w:val="24"/>
                <w:highlight w:val="none"/>
              </w:rPr>
            </w:pPr>
            <w:r>
              <w:rPr>
                <w:rFonts w:hAnsi="宋体"/>
                <w:color w:val="auto"/>
                <w:sz w:val="24"/>
                <w:highlight w:val="none"/>
              </w:rPr>
              <w:t>□是</w:t>
            </w:r>
          </w:p>
          <w:p>
            <w:pPr>
              <w:pStyle w:val="23"/>
              <w:adjustRightInd w:val="0"/>
              <w:snapToGrid w:val="0"/>
              <w:spacing w:line="360" w:lineRule="auto"/>
              <w:rPr>
                <w:rFonts w:hint="eastAsia" w:hAnsi="宋体"/>
                <w:color w:val="auto"/>
                <w:highlight w:val="none"/>
              </w:rPr>
            </w:pPr>
            <w:r>
              <w:rPr>
                <w:rFonts w:hAnsi="宋体"/>
                <w:color w:val="auto"/>
                <w:sz w:val="24"/>
                <w:highlight w:val="none"/>
              </w:rPr>
              <w:t>中标候选人并列的，按照以下方式确定中标人：</w:t>
            </w:r>
            <w:r>
              <w:rPr>
                <w:rFonts w:hAnsi="宋体"/>
                <w:color w:val="auto"/>
                <w:highlight w:val="none"/>
              </w:rPr>
              <w:t xml:space="preserve"> </w:t>
            </w:r>
          </w:p>
          <w:p>
            <w:pPr>
              <w:pStyle w:val="23"/>
              <w:adjustRightInd w:val="0"/>
              <w:snapToGrid w:val="0"/>
              <w:spacing w:line="360" w:lineRule="auto"/>
              <w:rPr>
                <w:rFonts w:hint="eastAsia" w:hAnsi="宋体"/>
                <w:color w:val="auto"/>
                <w:sz w:val="24"/>
                <w:highlight w:val="none"/>
              </w:rPr>
            </w:pPr>
            <w:r>
              <w:rPr>
                <w:rFonts w:hAnsi="宋体"/>
                <w:b/>
                <w:color w:val="auto"/>
                <w:sz w:val="24"/>
                <w:highlight w:val="none"/>
              </w:rPr>
              <w:t>■</w:t>
            </w:r>
            <w:r>
              <w:rPr>
                <w:rFonts w:hAnsi="宋体"/>
                <w:color w:val="auto"/>
                <w:sz w:val="24"/>
                <w:highlight w:val="none"/>
              </w:rPr>
              <w:t>得分且投标报价均相同的，以</w:t>
            </w:r>
            <w:r>
              <w:rPr>
                <w:rFonts w:hAnsi="宋体"/>
                <w:color w:val="auto"/>
                <w:sz w:val="24"/>
                <w:highlight w:val="none"/>
                <w:u w:val="single"/>
              </w:rPr>
              <w:t>_</w:t>
            </w:r>
            <w:r>
              <w:rPr>
                <w:rFonts w:hint="eastAsia" w:hAnsi="宋体"/>
                <w:color w:val="auto"/>
                <w:sz w:val="24"/>
                <w:highlight w:val="none"/>
                <w:u w:val="single"/>
              </w:rPr>
              <w:t xml:space="preserve">对招标文件技术参数的响应 </w:t>
            </w:r>
            <w:r>
              <w:rPr>
                <w:rFonts w:hAnsi="宋体"/>
                <w:color w:val="auto"/>
                <w:sz w:val="24"/>
                <w:highlight w:val="none"/>
              </w:rPr>
              <w:t>得分高者为中标人</w:t>
            </w:r>
            <w:r>
              <w:rPr>
                <w:rFonts w:hint="eastAsia" w:hAnsi="宋体"/>
                <w:color w:val="auto"/>
                <w:sz w:val="24"/>
                <w:highlight w:val="none"/>
              </w:rPr>
              <w:t>。</w:t>
            </w:r>
            <w:r>
              <w:rPr>
                <w:rFonts w:hint="eastAsia" w:ascii="宋体" w:hAnsi="宋体"/>
                <w:color w:val="auto"/>
                <w:sz w:val="24"/>
                <w:highlight w:val="none"/>
              </w:rPr>
              <w:t>（第1包——第</w:t>
            </w:r>
            <w:r>
              <w:rPr>
                <w:rFonts w:hint="eastAsia" w:ascii="宋体" w:hAnsi="宋体"/>
                <w:color w:val="auto"/>
                <w:sz w:val="24"/>
                <w:highlight w:val="none"/>
                <w:lang w:val="en-US" w:eastAsia="zh-CN"/>
              </w:rPr>
              <w:t>3</w:t>
            </w:r>
            <w:r>
              <w:rPr>
                <w:rFonts w:hint="eastAsia" w:ascii="宋体" w:hAnsi="宋体"/>
                <w:color w:val="auto"/>
                <w:sz w:val="24"/>
                <w:highlight w:val="none"/>
              </w:rPr>
              <w:t>包）</w:t>
            </w:r>
          </w:p>
          <w:p>
            <w:pPr>
              <w:snapToGrid w:val="0"/>
              <w:spacing w:line="360" w:lineRule="auto"/>
              <w:jc w:val="left"/>
              <w:rPr>
                <w:rFonts w:hint="eastAsia" w:ascii="宋体" w:hAnsi="宋体"/>
                <w:color w:val="auto"/>
                <w:sz w:val="24"/>
                <w:highlight w:val="none"/>
                <w:u w:val="single"/>
              </w:rPr>
            </w:pPr>
            <w:r>
              <w:rPr>
                <w:rFonts w:ascii="宋体" w:hAnsi="宋体"/>
                <w:color w:val="auto"/>
                <w:sz w:val="24"/>
                <w:highlight w:val="none"/>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25.5</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分包</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 xml:space="preserve">本项目的非主体、非关键性工作是否允许分包： </w:t>
            </w:r>
          </w:p>
          <w:p>
            <w:pPr>
              <w:snapToGrid w:val="0"/>
              <w:spacing w:line="360" w:lineRule="auto"/>
              <w:jc w:val="left"/>
              <w:rPr>
                <w:rFonts w:hint="eastAsia" w:ascii="宋体" w:hAnsi="宋体"/>
                <w:color w:val="auto"/>
                <w:sz w:val="24"/>
                <w:highlight w:val="none"/>
              </w:rPr>
            </w:pPr>
            <w:r>
              <w:rPr>
                <w:rFonts w:ascii="宋体" w:hAnsi="宋体"/>
                <w:b/>
                <w:color w:val="auto"/>
                <w:sz w:val="24"/>
                <w:highlight w:val="none"/>
              </w:rPr>
              <w:t>■</w:t>
            </w:r>
            <w:r>
              <w:rPr>
                <w:rFonts w:ascii="宋体" w:hAnsi="宋体"/>
                <w:color w:val="auto"/>
                <w:sz w:val="24"/>
                <w:highlight w:val="none"/>
              </w:rPr>
              <w:t>不允许</w:t>
            </w:r>
            <w:r>
              <w:rPr>
                <w:rFonts w:hint="eastAsia" w:ascii="宋体" w:hAnsi="宋体"/>
                <w:color w:val="auto"/>
                <w:sz w:val="24"/>
                <w:highlight w:val="none"/>
              </w:rPr>
              <w:t>（第1包——第</w:t>
            </w:r>
            <w:r>
              <w:rPr>
                <w:rFonts w:hint="eastAsia" w:ascii="宋体" w:hAnsi="宋体"/>
                <w:color w:val="auto"/>
                <w:sz w:val="24"/>
                <w:highlight w:val="none"/>
                <w:lang w:val="en-US" w:eastAsia="zh-CN"/>
              </w:rPr>
              <w:t>3</w:t>
            </w:r>
            <w:r>
              <w:rPr>
                <w:rFonts w:hint="eastAsia" w:ascii="宋体" w:hAnsi="宋体"/>
                <w:color w:val="auto"/>
                <w:sz w:val="24"/>
                <w:highlight w:val="none"/>
              </w:rPr>
              <w:t>包）</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□允许，具体要求：</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（1）可以分包履行的具体内容：_____；</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（2）允许分包的金额或者比例：_____；</w:t>
            </w:r>
          </w:p>
          <w:p>
            <w:pPr>
              <w:snapToGrid w:val="0"/>
              <w:spacing w:line="360" w:lineRule="auto"/>
              <w:jc w:val="left"/>
              <w:rPr>
                <w:rFonts w:hint="eastAsia" w:ascii="宋体" w:hAnsi="宋体"/>
                <w:color w:val="auto"/>
                <w:sz w:val="24"/>
                <w:highlight w:val="none"/>
                <w:u w:val="single"/>
              </w:rPr>
            </w:pPr>
            <w:r>
              <w:rPr>
                <w:rFonts w:ascii="宋体" w:hAnsi="宋体"/>
                <w:color w:val="auto"/>
                <w:sz w:val="24"/>
                <w:highlight w:val="none"/>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w:t>
            </w:r>
            <w:r>
              <w:rPr>
                <w:rFonts w:hint="eastAsia" w:hAnsi="宋体"/>
                <w:color w:val="auto"/>
                <w:sz w:val="24"/>
                <w:szCs w:val="24"/>
                <w:highlight w:val="none"/>
              </w:rPr>
              <w:t>5</w:t>
            </w:r>
            <w:r>
              <w:rPr>
                <w:rFonts w:hAnsi="宋体"/>
                <w:color w:val="auto"/>
                <w:sz w:val="24"/>
                <w:szCs w:val="24"/>
                <w:highlight w:val="none"/>
              </w:rPr>
              <w:t>.6</w:t>
            </w:r>
          </w:p>
        </w:tc>
        <w:tc>
          <w:tcPr>
            <w:tcW w:w="1521" w:type="dxa"/>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政采贷</w:t>
            </w:r>
          </w:p>
        </w:tc>
        <w:tc>
          <w:tcPr>
            <w:tcW w:w="6830" w:type="dxa"/>
            <w:vAlign w:val="center"/>
          </w:tcPr>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为更大力度激发市场活力和社会创造力，增强发展动力，按照《北京市全面优化营商环境助力企业高质量发展实施方案》（京政办发〔2023〕8 号）部署，进一步加强政府采购合同线上融资“一站式”服务（以下简称“政采贷”），北京市财政局、中国人民银行营业管理部联合发布《关于推进政府采购合同线上融资有关工作的通知》（京财采购〔2023〕637 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26.1.1</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询问</w:t>
            </w:r>
          </w:p>
        </w:tc>
        <w:tc>
          <w:tcPr>
            <w:tcW w:w="6830" w:type="dxa"/>
            <w:vAlign w:val="center"/>
          </w:tcPr>
          <w:p>
            <w:pPr>
              <w:snapToGrid w:val="0"/>
              <w:spacing w:line="360" w:lineRule="auto"/>
              <w:jc w:val="left"/>
              <w:rPr>
                <w:rFonts w:hint="eastAsia" w:ascii="宋体" w:hAnsi="宋体"/>
                <w:color w:val="auto"/>
                <w:sz w:val="24"/>
                <w:highlight w:val="none"/>
                <w:u w:val="single"/>
              </w:rPr>
            </w:pPr>
            <w:r>
              <w:rPr>
                <w:rFonts w:ascii="宋体" w:hAnsi="宋体"/>
                <w:color w:val="auto"/>
                <w:sz w:val="24"/>
                <w:highlight w:val="none"/>
              </w:rPr>
              <w:t>询问送达形式：</w:t>
            </w:r>
            <w:r>
              <w:rPr>
                <w:rFonts w:hint="eastAsia" w:ascii="宋体" w:hAnsi="宋体"/>
                <w:color w:val="auto"/>
                <w:sz w:val="24"/>
                <w:highlight w:val="none"/>
                <w:u w:val="single"/>
              </w:rPr>
              <w:t>书面送达或电话联系项目联系人后电子邮件送达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26.3</w:t>
            </w:r>
          </w:p>
        </w:tc>
        <w:tc>
          <w:tcPr>
            <w:tcW w:w="1521" w:type="dxa"/>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联系方式</w:t>
            </w:r>
          </w:p>
        </w:tc>
        <w:tc>
          <w:tcPr>
            <w:tcW w:w="6830" w:type="dxa"/>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接收询问和质疑的联系方式</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联系部门：</w:t>
            </w:r>
            <w:r>
              <w:rPr>
                <w:rFonts w:hint="eastAsia" w:ascii="宋体" w:hAnsi="宋体"/>
                <w:color w:val="auto"/>
                <w:sz w:val="24"/>
                <w:highlight w:val="none"/>
                <w:u w:val="single"/>
              </w:rPr>
              <w:t>北京市平谷区政府采购中心</w:t>
            </w:r>
            <w:r>
              <w:rPr>
                <w:rFonts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联系电话：</w:t>
            </w:r>
            <w:r>
              <w:rPr>
                <w:rFonts w:hint="eastAsia" w:ascii="宋体" w:hAnsi="宋体"/>
                <w:color w:val="auto"/>
                <w:sz w:val="24"/>
                <w:highlight w:val="none"/>
                <w:u w:val="single"/>
                <w:lang w:val="en-US" w:eastAsia="zh-CN"/>
              </w:rPr>
              <w:t>010-89991119</w:t>
            </w:r>
            <w:r>
              <w:rPr>
                <w:rFonts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通讯地址：</w:t>
            </w:r>
            <w:r>
              <w:rPr>
                <w:rFonts w:hint="eastAsia" w:ascii="宋体" w:hAnsi="宋体"/>
                <w:color w:val="auto"/>
                <w:sz w:val="24"/>
                <w:highlight w:val="none"/>
                <w:u w:val="single"/>
              </w:rPr>
              <w:t xml:space="preserve">北京市平谷区府前西街17号社会服务中心后配楼4层 </w:t>
            </w:r>
            <w:r>
              <w:rPr>
                <w:rFonts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联系部门：</w:t>
            </w:r>
            <w:r>
              <w:rPr>
                <w:rFonts w:hint="eastAsia" w:ascii="宋体" w:hAnsi="宋体"/>
                <w:color w:val="auto"/>
                <w:sz w:val="24"/>
                <w:highlight w:val="none"/>
                <w:u w:val="single"/>
              </w:rPr>
              <w:t>北京市平谷区学校后勤事务中心</w:t>
            </w:r>
            <w:r>
              <w:rPr>
                <w:rFonts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联系电话：</w:t>
            </w:r>
            <w:r>
              <w:rPr>
                <w:rFonts w:hint="eastAsia" w:ascii="宋体" w:hAnsi="宋体"/>
                <w:color w:val="auto"/>
                <w:sz w:val="24"/>
                <w:highlight w:val="none"/>
                <w:u w:val="single"/>
              </w:rPr>
              <w:t xml:space="preserve"> 010-89981597</w:t>
            </w:r>
            <w:r>
              <w:rPr>
                <w:rFonts w:ascii="宋体" w:hAnsi="宋体"/>
                <w:color w:val="auto"/>
                <w:sz w:val="24"/>
                <w:highlight w:val="none"/>
              </w:rPr>
              <w:t xml:space="preserve"> </w:t>
            </w:r>
            <w:r>
              <w:rPr>
                <w:rFonts w:hint="eastAsia"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通讯地址：</w:t>
            </w:r>
            <w:r>
              <w:rPr>
                <w:rFonts w:hint="eastAsia" w:ascii="宋体" w:hAnsi="宋体"/>
                <w:color w:val="auto"/>
                <w:sz w:val="24"/>
                <w:highlight w:val="none"/>
                <w:u w:val="single"/>
              </w:rPr>
              <w:t>北京市平谷区东南路与平安路交叉路口往西南约 180 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27</w:t>
            </w: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olor w:val="auto"/>
                <w:sz w:val="24"/>
                <w:highlight w:val="none"/>
              </w:rPr>
            </w:pPr>
            <w:r>
              <w:rPr>
                <w:rFonts w:ascii="宋体" w:hAnsi="宋体"/>
                <w:color w:val="auto"/>
                <w:sz w:val="24"/>
                <w:highlight w:val="none"/>
              </w:rPr>
              <w:t>代理费</w:t>
            </w:r>
          </w:p>
        </w:tc>
        <w:tc>
          <w:tcPr>
            <w:tcW w:w="683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不收取费用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补充1</w:t>
            </w: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投标人信用记录</w:t>
            </w:r>
          </w:p>
        </w:tc>
        <w:tc>
          <w:tcPr>
            <w:tcW w:w="683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olor w:val="auto"/>
                <w:sz w:val="24"/>
                <w:highlight w:val="none"/>
              </w:rPr>
            </w:pPr>
            <w:r>
              <w:rPr>
                <w:rFonts w:ascii="宋体" w:hAnsi="宋体"/>
                <w:color w:val="auto"/>
                <w:sz w:val="24"/>
                <w:highlight w:val="none"/>
              </w:rPr>
              <w:t>查询渠道：信用中国网站和中国政府采购网（www.creditchina.gov.cn、www.ccgp.gov.cn）；</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截止时点：</w:t>
            </w:r>
            <w:r>
              <w:rPr>
                <w:rFonts w:hint="eastAsia" w:ascii="宋体" w:hAnsi="宋体"/>
                <w:color w:val="auto"/>
                <w:sz w:val="24"/>
                <w:highlight w:val="none"/>
              </w:rPr>
              <w:t>投标截止时间以后、资格审查阶段采购人或采购代理机构的实际查询时间。</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信用信息查询记录和证据留存具体方式：</w:t>
            </w:r>
            <w:r>
              <w:rPr>
                <w:rFonts w:hint="eastAsia" w:ascii="宋体" w:hAnsi="宋体"/>
                <w:color w:val="auto"/>
                <w:sz w:val="24"/>
                <w:highlight w:val="none"/>
              </w:rPr>
              <w:t>经采购人或采购代理机构查询的查询结果网页截图作为查询记录和证据，与其他评标记录一并保存。</w:t>
            </w:r>
          </w:p>
          <w:p>
            <w:pPr>
              <w:snapToGrid w:val="0"/>
              <w:spacing w:line="360" w:lineRule="auto"/>
              <w:jc w:val="left"/>
              <w:rPr>
                <w:rFonts w:hint="eastAsia" w:ascii="宋体" w:hAnsi="宋体"/>
                <w:color w:val="auto"/>
                <w:sz w:val="24"/>
                <w:highlight w:val="none"/>
              </w:rPr>
            </w:pPr>
            <w:r>
              <w:rPr>
                <w:rFonts w:ascii="宋体" w:hAnsi="宋体"/>
                <w:color w:val="auto"/>
                <w:sz w:val="24"/>
                <w:highlight w:val="none"/>
              </w:rPr>
              <w:t>信用信息的使用原则：</w:t>
            </w:r>
            <w:r>
              <w:rPr>
                <w:rFonts w:hint="eastAsia" w:ascii="宋体" w:hAnsi="宋体"/>
                <w:color w:val="auto"/>
                <w:sz w:val="24"/>
                <w:highlight w:val="none"/>
              </w:rPr>
              <w:t>采购人或者采购代理机构应当对投标人信用记录进行甄别，对列入失信被执行人、重大税收违法案件当事人名单、严重失信主体名单及其他不符合《中华人民共和国政府采购法》第二十二条的投标人，拒绝其参与政府采购活动，其</w:t>
            </w:r>
            <w:r>
              <w:rPr>
                <w:rFonts w:hint="eastAsia" w:ascii="宋体" w:hAnsi="宋体"/>
                <w:b/>
                <w:bCs/>
                <w:color w:val="auto"/>
                <w:sz w:val="24"/>
                <w:highlight w:val="none"/>
              </w:rPr>
              <w:t>投标无效</w:t>
            </w:r>
            <w:r>
              <w:rPr>
                <w:rFonts w:hint="eastAsia"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补充2</w:t>
            </w: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响应无效</w:t>
            </w:r>
          </w:p>
        </w:tc>
        <w:tc>
          <w:tcPr>
            <w:tcW w:w="683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olor w:val="auto"/>
                <w:sz w:val="24"/>
                <w:highlight w:val="none"/>
              </w:rPr>
            </w:pPr>
            <w:r>
              <w:rPr>
                <w:rFonts w:hint="eastAsia" w:ascii="宋体" w:hAnsi="宋体"/>
                <w:b/>
                <w:color w:val="auto"/>
                <w:sz w:val="24"/>
                <w:highlight w:val="none"/>
              </w:rPr>
              <w:t>一、 投标人存在下列情况之一的，响应无效</w:t>
            </w:r>
            <w:r>
              <w:rPr>
                <w:rFonts w:hint="eastAsia" w:ascii="宋体" w:hAnsi="宋体"/>
                <w:color w:val="auto"/>
                <w:sz w:val="24"/>
                <w:highlight w:val="none"/>
              </w:rPr>
              <w:t xml:space="preserve">：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（1）未按照招标文件的规定提交投标保证金的；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（2）投标文件未按招标文件要求签署、盖章的；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（3）不具备招标文件中规定的资格要求的；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（4）报价超过招标文件中规定的预算金额或者最高限价的；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（5）投标文件含有采购人不能接受的附加条件的；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（6）法律、法规和招标文件规定的其他无效情形。 </w:t>
            </w:r>
          </w:p>
          <w:p>
            <w:pPr>
              <w:snapToGrid w:val="0"/>
              <w:spacing w:line="360" w:lineRule="auto"/>
              <w:jc w:val="left"/>
              <w:rPr>
                <w:rFonts w:hint="eastAsia" w:ascii="宋体" w:hAnsi="宋体"/>
                <w:b/>
                <w:bCs/>
                <w:color w:val="auto"/>
                <w:sz w:val="24"/>
                <w:highlight w:val="none"/>
              </w:rPr>
            </w:pPr>
            <w:r>
              <w:rPr>
                <w:rFonts w:hint="eastAsia" w:ascii="宋体" w:hAnsi="宋体"/>
                <w:b/>
                <w:bCs/>
                <w:color w:val="auto"/>
                <w:sz w:val="24"/>
                <w:highlight w:val="none"/>
              </w:rPr>
              <w:t>二、有下列情形之一的，属于供应商相互串通投标：</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（一）投标人之间协商投标报价等投标文件的实质性内容；</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（二）投标人之间约定中标人；</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（三）投标人之间约定部分投标人放弃投标或者中标；</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（四）属于同一集团、协会、商会等组织成员的投标人按照该组织要求协同投标；</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（五）投标人之间为谋取中标或者排斥特定投标人而采取的其他联合行动。</w:t>
            </w:r>
          </w:p>
          <w:p>
            <w:pPr>
              <w:snapToGrid w:val="0"/>
              <w:spacing w:line="360" w:lineRule="auto"/>
              <w:jc w:val="left"/>
              <w:rPr>
                <w:rFonts w:hint="eastAsia" w:ascii="宋体" w:hAnsi="宋体"/>
                <w:color w:val="auto"/>
                <w:sz w:val="24"/>
                <w:highlight w:val="none"/>
              </w:rPr>
            </w:pPr>
            <w:r>
              <w:rPr>
                <w:rFonts w:hint="eastAsia" w:ascii="宋体" w:hAnsi="宋体"/>
                <w:b/>
                <w:color w:val="auto"/>
                <w:sz w:val="24"/>
                <w:highlight w:val="none"/>
              </w:rPr>
              <w:t>三、 有下列情形之一的，视为投标人串通，其响应无效</w:t>
            </w:r>
            <w:r>
              <w:rPr>
                <w:rFonts w:hint="eastAsia" w:ascii="宋体" w:hAnsi="宋体"/>
                <w:color w:val="auto"/>
                <w:sz w:val="24"/>
                <w:highlight w:val="none"/>
              </w:rPr>
              <w:t xml:space="preserve">：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（2）不同投标人委托同一单位或者个人办理投标事宜；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（3）不同投标人的投标文件载明的项目管理成员或者联系人员为同一人；</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（5）不同投标人的投标文件相互混装；</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（6）不同投标人的投标保证金从同一单位或者个人的账户转出。</w:t>
            </w:r>
          </w:p>
          <w:p>
            <w:pPr>
              <w:snapToGrid w:val="0"/>
              <w:spacing w:line="360" w:lineRule="auto"/>
              <w:jc w:val="left"/>
              <w:rPr>
                <w:rFonts w:hint="eastAsia" w:ascii="宋体" w:hAnsi="宋体"/>
                <w:color w:val="auto"/>
                <w:sz w:val="24"/>
                <w:highlight w:val="none"/>
              </w:rPr>
            </w:pPr>
            <w:r>
              <w:rPr>
                <w:rFonts w:hint="eastAsia" w:ascii="宋体" w:hAnsi="宋体"/>
                <w:b/>
                <w:color w:val="auto"/>
                <w:sz w:val="24"/>
                <w:highlight w:val="none"/>
              </w:rPr>
              <w:t>四、其他投标无效情形</w:t>
            </w:r>
            <w:r>
              <w:rPr>
                <w:rFonts w:hint="eastAsia" w:ascii="宋体" w:hAnsi="宋体"/>
                <w:color w:val="auto"/>
                <w:sz w:val="24"/>
                <w:highlight w:val="none"/>
              </w:rPr>
              <w:t>：</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（1）为本次采购项目提供整体设计、规范编制或者项目管理、监理、检测等服务的投标人参加投标的；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（2）单位负责人为同一人或者存在直接控股、管理关系的不同投标人， 参加同一合同项下政府采购投标的，相关投标均无效；</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（3）任何选择性报价（或多个方案）的投标；</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（4）任何包含价格调整要求的投标；</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（5）投标有效期不满足要求的投标；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（6）评标委员会认为投标人的报价明显低于其他通过符合性审查投标人的报价，有可能影响产品质量或者不能诚信履约的，投标人不能证明其报价合理性的；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（7）投标文件报价出现前后不一致，投标人不确认修正后的报价的；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（8）不满足招标文件“★”条款要求或不允许偏离的实质性要求和条件的。</w:t>
            </w:r>
          </w:p>
          <w:p>
            <w:pPr>
              <w:snapToGrid w:val="0"/>
              <w:spacing w:line="360" w:lineRule="auto"/>
              <w:jc w:val="left"/>
              <w:rPr>
                <w:rFonts w:hint="eastAsia" w:ascii="宋体" w:hAnsi="宋体"/>
                <w:color w:val="auto"/>
                <w:sz w:val="24"/>
                <w:highlight w:val="none"/>
              </w:rPr>
            </w:pPr>
            <w:r>
              <w:rPr>
                <w:rFonts w:hint="eastAsia" w:ascii="宋体" w:hAnsi="宋体"/>
                <w:b/>
                <w:color w:val="auto"/>
                <w:sz w:val="24"/>
                <w:highlight w:val="none"/>
              </w:rPr>
              <w:t>五、在采购中，出现下列情形之一的，应予废标</w:t>
            </w:r>
            <w:r>
              <w:rPr>
                <w:rFonts w:hint="eastAsia" w:ascii="宋体" w:hAnsi="宋体"/>
                <w:color w:val="auto"/>
                <w:sz w:val="24"/>
                <w:highlight w:val="none"/>
              </w:rPr>
              <w:t xml:space="preserve">： </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（1）符合专业条件的投标人或者对招标文件作实质响应的投标人不足三家；</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（2）出现影响采购公正的违法、违规行为的；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（3）投标人的报价均超过了采购预算，采购人不能支付的；</w:t>
            </w:r>
          </w:p>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（4）因重大变故，采购任务取消的。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37"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spacing w:line="360" w:lineRule="auto"/>
              <w:jc w:val="center"/>
              <w:rPr>
                <w:rFonts w:hint="eastAsia" w:hAnsi="宋体"/>
                <w:color w:val="auto"/>
                <w:sz w:val="24"/>
                <w:szCs w:val="24"/>
                <w:highlight w:val="none"/>
              </w:rPr>
            </w:pPr>
            <w:r>
              <w:rPr>
                <w:rFonts w:hAnsi="宋体"/>
                <w:color w:val="auto"/>
                <w:sz w:val="24"/>
                <w:szCs w:val="24"/>
                <w:highlight w:val="none"/>
              </w:rPr>
              <w:t>补充3</w:t>
            </w: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其他</w:t>
            </w:r>
          </w:p>
        </w:tc>
        <w:tc>
          <w:tcPr>
            <w:tcW w:w="683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中标后，中标人须向采购人提供纸质投标文件正本 1 份，副本2 份。</w:t>
            </w:r>
          </w:p>
        </w:tc>
      </w:tr>
    </w:tbl>
    <w:p>
      <w:pPr>
        <w:tabs>
          <w:tab w:val="left" w:pos="5580"/>
        </w:tabs>
        <w:adjustRightInd w:val="0"/>
        <w:spacing w:line="360" w:lineRule="auto"/>
        <w:jc w:val="distribute"/>
        <w:rPr>
          <w:rFonts w:hint="eastAsia" w:ascii="宋体" w:hAnsi="宋体"/>
          <w:color w:val="auto"/>
          <w:sz w:val="24"/>
          <w:highlight w:val="none"/>
        </w:rPr>
        <w:sectPr>
          <w:footerReference r:id="rId3" w:type="default"/>
          <w:pgSz w:w="11907" w:h="16840"/>
          <w:pgMar w:top="1418" w:right="1134" w:bottom="1418" w:left="1701" w:header="851" w:footer="851" w:gutter="0"/>
          <w:pgNumType w:start="0"/>
          <w:cols w:space="720" w:num="1"/>
          <w:titlePg/>
          <w:docGrid w:linePitch="462" w:charSpace="0"/>
        </w:sectPr>
      </w:pPr>
    </w:p>
    <w:p>
      <w:pPr>
        <w:snapToGrid w:val="0"/>
        <w:spacing w:line="360" w:lineRule="auto"/>
        <w:jc w:val="center"/>
        <w:rPr>
          <w:rFonts w:hint="eastAsia" w:ascii="宋体" w:hAnsi="宋体"/>
          <w:b/>
          <w:color w:val="auto"/>
          <w:sz w:val="28"/>
          <w:szCs w:val="28"/>
          <w:highlight w:val="none"/>
        </w:rPr>
      </w:pPr>
      <w:bookmarkStart w:id="96" w:name="_Toc353825542"/>
      <w:bookmarkStart w:id="97" w:name="_Toc142311019"/>
      <w:bookmarkStart w:id="98" w:name="_Toc265228355"/>
      <w:bookmarkStart w:id="99" w:name="_Toc150480755"/>
      <w:bookmarkStart w:id="100" w:name="_Toc353873932"/>
      <w:bookmarkStart w:id="101" w:name="_Toc305158785"/>
      <w:bookmarkStart w:id="102" w:name="_Toc195842882"/>
      <w:bookmarkStart w:id="103" w:name="_Toc264969207"/>
      <w:bookmarkStart w:id="104" w:name="_Toc226337213"/>
      <w:bookmarkStart w:id="105" w:name="_Toc353873662"/>
      <w:bookmarkStart w:id="106" w:name="_Toc150774722"/>
      <w:bookmarkStart w:id="107" w:name="_Toc226965790"/>
      <w:bookmarkStart w:id="108" w:name="_Toc305158859"/>
      <w:bookmarkStart w:id="109" w:name="_Toc127151517"/>
      <w:r>
        <w:rPr>
          <w:rFonts w:ascii="宋体" w:hAnsi="宋体"/>
          <w:b/>
          <w:color w:val="auto"/>
          <w:sz w:val="28"/>
          <w:szCs w:val="28"/>
          <w:highlight w:val="none"/>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3"/>
        <w:tabs>
          <w:tab w:val="center" w:pos="4592"/>
          <w:tab w:val="left" w:pos="7860"/>
        </w:tabs>
        <w:snapToGrid w:val="0"/>
        <w:spacing w:before="0" w:line="360" w:lineRule="auto"/>
        <w:jc w:val="left"/>
        <w:rPr>
          <w:rFonts w:hint="eastAsia" w:ascii="宋体" w:hAnsi="宋体" w:eastAsia="宋体"/>
          <w:color w:val="auto"/>
          <w:sz w:val="28"/>
          <w:highlight w:val="none"/>
        </w:rPr>
      </w:pPr>
      <w:bookmarkStart w:id="110" w:name="_Toc127151518"/>
      <w:bookmarkStart w:id="111" w:name="_Toc520356143"/>
      <w:r>
        <w:rPr>
          <w:rFonts w:ascii="宋体" w:hAnsi="宋体" w:eastAsia="宋体"/>
          <w:color w:val="auto"/>
          <w:sz w:val="28"/>
          <w:highlight w:val="none"/>
        </w:rPr>
        <w:tab/>
      </w:r>
      <w:bookmarkStart w:id="112" w:name="_Toc150774723"/>
      <w:bookmarkStart w:id="113" w:name="_Toc151193760"/>
      <w:bookmarkStart w:id="114" w:name="_Toc226965791"/>
      <w:bookmarkStart w:id="115" w:name="_Toc305158860"/>
      <w:bookmarkStart w:id="116" w:name="_Toc226337214"/>
      <w:bookmarkStart w:id="117" w:name="_Toc226965708"/>
      <w:bookmarkStart w:id="118" w:name="_Toc151193832"/>
      <w:bookmarkStart w:id="119" w:name="_Toc195842883"/>
      <w:bookmarkStart w:id="120" w:name="_Toc151193616"/>
      <w:bookmarkStart w:id="121" w:name="_Toc142311020"/>
      <w:bookmarkStart w:id="122" w:name="_Toc264969208"/>
      <w:bookmarkStart w:id="123" w:name="_Toc151193688"/>
      <w:bookmarkStart w:id="124" w:name="_Toc265228356"/>
      <w:bookmarkStart w:id="125" w:name="_Toc305158786"/>
      <w:bookmarkStart w:id="126" w:name="_Toc226309762"/>
      <w:bookmarkStart w:id="127" w:name="_Toc162978916"/>
      <w:bookmarkStart w:id="128" w:name="_Toc150480756"/>
      <w:bookmarkStart w:id="129" w:name="_Toc150774618"/>
      <w:bookmarkStart w:id="130" w:name="_Toc151193906"/>
      <w:bookmarkStart w:id="131" w:name="_Toc150509269"/>
      <w:bookmarkStart w:id="132" w:name="_Toc151190145"/>
      <w:bookmarkStart w:id="133" w:name="_Toc162978989"/>
      <w:r>
        <w:rPr>
          <w:rFonts w:ascii="宋体" w:hAnsi="宋体" w:eastAsia="宋体"/>
          <w:color w:val="auto"/>
          <w:sz w:val="28"/>
          <w:highlight w:val="none"/>
        </w:rPr>
        <w:t>一   说  明</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宋体" w:hAnsi="宋体" w:eastAsia="宋体"/>
          <w:color w:val="auto"/>
          <w:sz w:val="28"/>
          <w:highlight w:val="none"/>
        </w:rPr>
        <w:tab/>
      </w:r>
    </w:p>
    <w:p>
      <w:pPr>
        <w:numPr>
          <w:ilvl w:val="0"/>
          <w:numId w:val="8"/>
        </w:numPr>
        <w:tabs>
          <w:tab w:val="left" w:pos="360"/>
          <w:tab w:val="clear" w:pos="900"/>
        </w:tabs>
        <w:snapToGrid w:val="0"/>
        <w:spacing w:line="360" w:lineRule="auto"/>
        <w:ind w:left="357" w:hanging="357"/>
        <w:outlineLvl w:val="1"/>
        <w:rPr>
          <w:rFonts w:hint="eastAsia" w:ascii="宋体" w:hAnsi="宋体"/>
          <w:color w:val="auto"/>
          <w:sz w:val="24"/>
          <w:highlight w:val="none"/>
        </w:rPr>
      </w:pPr>
      <w:bookmarkStart w:id="134" w:name="_Toc305158861"/>
      <w:bookmarkStart w:id="135" w:name="_Toc264969209"/>
      <w:bookmarkStart w:id="136" w:name="_Toc265228357"/>
      <w:bookmarkStart w:id="137" w:name="_Toc305158787"/>
      <w:bookmarkStart w:id="138" w:name="_Toc162978917"/>
      <w:bookmarkStart w:id="139" w:name="_Toc162978990"/>
      <w:r>
        <w:rPr>
          <w:rFonts w:ascii="宋体" w:hAnsi="宋体"/>
          <w:color w:val="auto"/>
          <w:sz w:val="24"/>
          <w:highlight w:val="none"/>
        </w:rPr>
        <w:t>采购人、采购代理机构、投标人</w:t>
      </w:r>
      <w:bookmarkEnd w:id="134"/>
      <w:bookmarkEnd w:id="135"/>
      <w:bookmarkEnd w:id="136"/>
      <w:bookmarkEnd w:id="137"/>
      <w:r>
        <w:rPr>
          <w:rFonts w:hint="eastAsia" w:ascii="宋体" w:hAnsi="宋体"/>
          <w:color w:val="auto"/>
          <w:sz w:val="24"/>
          <w:highlight w:val="none"/>
        </w:rPr>
        <w:t>、联合体</w:t>
      </w:r>
      <w:bookmarkEnd w:id="138"/>
      <w:bookmarkEnd w:id="139"/>
    </w:p>
    <w:p>
      <w:pPr>
        <w:numPr>
          <w:ilvl w:val="1"/>
          <w:numId w:val="8"/>
        </w:numPr>
        <w:tabs>
          <w:tab w:val="left" w:pos="1080"/>
          <w:tab w:val="left" w:pos="2014"/>
          <w:tab w:val="left" w:pos="5521"/>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采购人、采购代理机构：指依法进行政府采购的国家机关、事业单位、团体组织，及其委托的采购代理机构。本项目采购人、采购代理机构见第一章《投标邀请》。</w:t>
      </w:r>
    </w:p>
    <w:p>
      <w:pPr>
        <w:numPr>
          <w:ilvl w:val="1"/>
          <w:numId w:val="8"/>
        </w:numPr>
        <w:tabs>
          <w:tab w:val="left" w:pos="1080"/>
          <w:tab w:val="left" w:pos="2014"/>
          <w:tab w:val="left" w:pos="5521"/>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投标人（也称</w:t>
      </w:r>
      <w:r>
        <w:rPr>
          <w:rFonts w:hint="eastAsia" w:ascii="宋体" w:hAnsi="宋体"/>
          <w:color w:val="auto"/>
          <w:sz w:val="24"/>
          <w:highlight w:val="none"/>
        </w:rPr>
        <w:t>“供应商”、“</w:t>
      </w:r>
      <w:r>
        <w:rPr>
          <w:rFonts w:ascii="宋体" w:hAnsi="宋体"/>
          <w:color w:val="auto"/>
          <w:sz w:val="24"/>
          <w:highlight w:val="none"/>
        </w:rPr>
        <w:t>申请人</w:t>
      </w:r>
      <w:r>
        <w:rPr>
          <w:rFonts w:hint="eastAsia" w:ascii="宋体" w:hAnsi="宋体"/>
          <w:color w:val="auto"/>
          <w:sz w:val="24"/>
          <w:highlight w:val="none"/>
        </w:rPr>
        <w:t>”</w:t>
      </w:r>
      <w:r>
        <w:rPr>
          <w:rFonts w:ascii="宋体" w:hAnsi="宋体"/>
          <w:color w:val="auto"/>
          <w:sz w:val="24"/>
          <w:highlight w:val="none"/>
        </w:rPr>
        <w:t>）：指向采购人提供货物、工程或者服务的法人、其他组织或者自然人。</w:t>
      </w:r>
    </w:p>
    <w:p>
      <w:pPr>
        <w:numPr>
          <w:ilvl w:val="1"/>
          <w:numId w:val="8"/>
        </w:numPr>
        <w:tabs>
          <w:tab w:val="left" w:pos="1080"/>
          <w:tab w:val="left" w:pos="2014"/>
          <w:tab w:val="left" w:pos="5521"/>
        </w:tabs>
        <w:snapToGrid w:val="0"/>
        <w:spacing w:line="360" w:lineRule="auto"/>
        <w:ind w:left="1080" w:hanging="720"/>
        <w:rPr>
          <w:rFonts w:hint="eastAsia" w:ascii="宋体" w:hAnsi="宋体"/>
          <w:color w:val="auto"/>
          <w:sz w:val="24"/>
          <w:highlight w:val="none"/>
        </w:rPr>
      </w:pPr>
      <w:r>
        <w:rPr>
          <w:rFonts w:hint="eastAsia" w:ascii="宋体" w:hAnsi="宋体"/>
          <w:color w:val="auto"/>
          <w:sz w:val="24"/>
          <w:highlight w:val="none"/>
        </w:rPr>
        <w:t>联合体：指两个以上的自然人、法人或者其他组织组成一个联合体，以一个供应商的身份共同参加政府采购。</w:t>
      </w:r>
    </w:p>
    <w:p>
      <w:pPr>
        <w:numPr>
          <w:ilvl w:val="0"/>
          <w:numId w:val="8"/>
        </w:numPr>
        <w:tabs>
          <w:tab w:val="left" w:pos="360"/>
          <w:tab w:val="clear" w:pos="900"/>
        </w:tabs>
        <w:snapToGrid w:val="0"/>
        <w:spacing w:line="360" w:lineRule="auto"/>
        <w:ind w:left="357" w:hanging="357"/>
        <w:outlineLvl w:val="1"/>
        <w:rPr>
          <w:rFonts w:hint="eastAsia" w:ascii="宋体" w:hAnsi="宋体"/>
          <w:color w:val="auto"/>
          <w:sz w:val="24"/>
          <w:highlight w:val="none"/>
        </w:rPr>
      </w:pPr>
      <w:bookmarkStart w:id="140" w:name="_Toc226965793"/>
      <w:bookmarkStart w:id="141" w:name="_Toc150774725"/>
      <w:bookmarkStart w:id="142" w:name="_Toc127151721"/>
      <w:bookmarkStart w:id="143" w:name="_Toc150509271"/>
      <w:bookmarkStart w:id="144" w:name="_Toc151190147"/>
      <w:bookmarkStart w:id="145" w:name="_Toc151193690"/>
      <w:bookmarkStart w:id="146" w:name="_Toc264969210"/>
      <w:bookmarkStart w:id="147" w:name="_Toc265228358"/>
      <w:bookmarkStart w:id="148" w:name="_Toc195842885"/>
      <w:bookmarkStart w:id="149" w:name="_Toc164608634"/>
      <w:bookmarkStart w:id="150" w:name="_Toc142311022"/>
      <w:bookmarkStart w:id="151" w:name="_Toc127161434"/>
      <w:bookmarkStart w:id="152" w:name="_Toc164351614"/>
      <w:bookmarkStart w:id="153" w:name="_Toc164608789"/>
      <w:bookmarkStart w:id="154" w:name="_Toc151193834"/>
      <w:bookmarkStart w:id="155" w:name="_Toc226337216"/>
      <w:bookmarkStart w:id="156" w:name="_Toc150774620"/>
      <w:bookmarkStart w:id="157" w:name="_Toc226965710"/>
      <w:bookmarkStart w:id="158" w:name="_Toc150480758"/>
      <w:bookmarkStart w:id="159" w:name="_Toc149720813"/>
      <w:bookmarkStart w:id="160" w:name="_Toc164229361"/>
      <w:bookmarkStart w:id="161" w:name="_Toc305158788"/>
      <w:bookmarkStart w:id="162" w:name="_Toc151193908"/>
      <w:bookmarkStart w:id="163" w:name="_Toc151193618"/>
      <w:bookmarkStart w:id="164" w:name="_Toc305158862"/>
      <w:bookmarkStart w:id="165" w:name="_Toc151193762"/>
      <w:bookmarkStart w:id="166" w:name="_Toc127151520"/>
      <w:bookmarkStart w:id="167" w:name="_Toc226309764"/>
      <w:bookmarkStart w:id="168" w:name="_Toc164229215"/>
      <w:bookmarkStart w:id="169" w:name="_Toc162978918"/>
      <w:bookmarkStart w:id="170" w:name="_Toc162978991"/>
      <w:r>
        <w:rPr>
          <w:rFonts w:ascii="宋体" w:hAnsi="宋体"/>
          <w:color w:val="auto"/>
          <w:sz w:val="24"/>
          <w:highlight w:val="none"/>
        </w:rPr>
        <w:t>资金来源</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Fonts w:ascii="宋体" w:hAnsi="宋体"/>
          <w:color w:val="auto"/>
          <w:sz w:val="24"/>
          <w:highlight w:val="none"/>
        </w:rPr>
        <w:t>、项目属性、科研仪器设备采购、核心产品</w:t>
      </w:r>
      <w:bookmarkEnd w:id="169"/>
      <w:bookmarkEnd w:id="170"/>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资金来源</w:t>
      </w:r>
      <w:r>
        <w:rPr>
          <w:rFonts w:hint="eastAsia" w:ascii="宋体" w:hAnsi="宋体"/>
          <w:color w:val="auto"/>
          <w:sz w:val="24"/>
          <w:highlight w:val="none"/>
        </w:rPr>
        <w:t>为财政性资金和/或本项目采购中无法与财政性资金分割的非财政性资金</w:t>
      </w:r>
      <w:r>
        <w:rPr>
          <w:rFonts w:ascii="宋体" w:hAnsi="宋体"/>
          <w:color w:val="auto"/>
          <w:sz w:val="24"/>
          <w:highlight w:val="none"/>
        </w:rPr>
        <w:t>。</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项目属性见《投标人须知资料表》。</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是否属于科研仪器设备采购见《投标人须知资料表》。</w:t>
      </w:r>
    </w:p>
    <w:p>
      <w:pPr>
        <w:numPr>
          <w:ilvl w:val="1"/>
          <w:numId w:val="8"/>
        </w:numPr>
        <w:tabs>
          <w:tab w:val="left" w:pos="1080"/>
          <w:tab w:val="left" w:pos="2014"/>
          <w:tab w:val="left" w:pos="5521"/>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核心产品见《投标人须知资料表》。</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171" w:name="_Toc162978919"/>
      <w:bookmarkStart w:id="172" w:name="_Toc162978992"/>
      <w:r>
        <w:rPr>
          <w:rFonts w:ascii="宋体" w:hAnsi="宋体"/>
          <w:color w:val="auto"/>
          <w:sz w:val="24"/>
          <w:highlight w:val="none"/>
        </w:rPr>
        <w:t>现场考察、开标前答疑会</w:t>
      </w:r>
      <w:bookmarkEnd w:id="171"/>
      <w:bookmarkEnd w:id="172"/>
    </w:p>
    <w:p>
      <w:pPr>
        <w:numPr>
          <w:ilvl w:val="1"/>
          <w:numId w:val="8"/>
        </w:numPr>
        <w:tabs>
          <w:tab w:val="left" w:pos="1080"/>
          <w:tab w:val="left" w:pos="2014"/>
        </w:tabs>
        <w:snapToGrid w:val="0"/>
        <w:spacing w:line="360" w:lineRule="auto"/>
        <w:ind w:left="1080" w:hanging="720"/>
        <w:rPr>
          <w:rFonts w:hint="eastAsia" w:ascii="宋体" w:hAnsi="宋体"/>
          <w:color w:val="auto"/>
          <w:sz w:val="28"/>
          <w:highlight w:val="none"/>
        </w:rPr>
      </w:pPr>
      <w:r>
        <w:rPr>
          <w:rFonts w:ascii="宋体" w:hAnsi="宋体"/>
          <w:color w:val="auto"/>
          <w:sz w:val="24"/>
          <w:highlight w:val="none"/>
        </w:rPr>
        <w:t>若《投标人须知资料表》中规定了组织现场考察、召开开标前答疑会，则投标人应按要求在规定的时间和地点参加。</w:t>
      </w:r>
      <w:bookmarkStart w:id="173" w:name="_Toc150480760"/>
      <w:bookmarkStart w:id="174" w:name="_Toc265228360"/>
      <w:bookmarkStart w:id="175" w:name="_Toc305158864"/>
      <w:bookmarkStart w:id="176" w:name="_Toc150509273"/>
      <w:bookmarkStart w:id="177" w:name="_Toc305158790"/>
      <w:bookmarkStart w:id="178" w:name="_Toc226337218"/>
      <w:bookmarkStart w:id="179" w:name="_Toc150774727"/>
      <w:bookmarkStart w:id="180" w:name="_Toc195842887"/>
      <w:bookmarkStart w:id="181" w:name="_Toc226965712"/>
      <w:bookmarkStart w:id="182" w:name="_Toc142311024"/>
      <w:bookmarkStart w:id="183" w:name="_Toc264969212"/>
      <w:bookmarkStart w:id="184" w:name="_Toc151193836"/>
      <w:bookmarkStart w:id="185" w:name="_Toc151193910"/>
      <w:bookmarkStart w:id="186" w:name="_Toc151193692"/>
      <w:bookmarkStart w:id="187" w:name="_Toc151190149"/>
      <w:bookmarkStart w:id="188" w:name="_Toc151193764"/>
      <w:bookmarkStart w:id="189" w:name="_Toc226309766"/>
      <w:bookmarkStart w:id="190" w:name="_Toc127151522"/>
      <w:bookmarkStart w:id="191" w:name="_Toc151193620"/>
      <w:bookmarkStart w:id="192" w:name="_Toc520356146"/>
      <w:bookmarkStart w:id="193" w:name="_Toc150774622"/>
      <w:bookmarkStart w:id="194" w:name="_Toc226965795"/>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由于未参加现场考察或开标前答疑会而导致对项目实际情况不了解，影响投标文件编制、投标报价准确性、综合因素响应不全面等问题的，由投标人自行承担不利评审后果。</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195" w:name="_Toc162978993"/>
      <w:bookmarkStart w:id="196" w:name="_Toc162978920"/>
      <w:r>
        <w:rPr>
          <w:rFonts w:ascii="宋体" w:hAnsi="宋体"/>
          <w:color w:val="auto"/>
          <w:sz w:val="24"/>
          <w:highlight w:val="none"/>
        </w:rPr>
        <w:t>样品</w:t>
      </w:r>
      <w:bookmarkEnd w:id="195"/>
      <w:bookmarkEnd w:id="196"/>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本项目是否要求投标人提供样品，以及样品制作的标准和要求、是否需要随样品提交相关检测报告、样品的递交与退还等要求见《投标人须知资料表》</w:t>
      </w:r>
      <w:r>
        <w:rPr>
          <w:rFonts w:hint="eastAsia" w:ascii="宋体" w:hAnsi="宋体"/>
          <w:color w:val="auto"/>
          <w:sz w:val="24"/>
          <w:highlight w:val="none"/>
        </w:rPr>
        <w:t>。</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样品的评审方法以及评审标准等内容见第四章《评标方法和评标标准》。</w:t>
      </w:r>
    </w:p>
    <w:p>
      <w:pPr>
        <w:numPr>
          <w:ilvl w:val="0"/>
          <w:numId w:val="8"/>
        </w:numPr>
        <w:tabs>
          <w:tab w:val="left" w:pos="360"/>
          <w:tab w:val="clear" w:pos="900"/>
        </w:tabs>
        <w:snapToGrid w:val="0"/>
        <w:spacing w:line="360" w:lineRule="auto"/>
        <w:ind w:left="357" w:hanging="357"/>
        <w:outlineLvl w:val="1"/>
        <w:rPr>
          <w:rFonts w:hint="eastAsia" w:ascii="宋体" w:hAnsi="宋体"/>
          <w:color w:val="auto"/>
          <w:sz w:val="24"/>
          <w:highlight w:val="none"/>
        </w:rPr>
      </w:pPr>
      <w:bookmarkStart w:id="197" w:name="_Toc162978994"/>
      <w:bookmarkStart w:id="198" w:name="_Toc162978921"/>
      <w:r>
        <w:rPr>
          <w:rFonts w:ascii="宋体" w:hAnsi="宋体"/>
          <w:color w:val="auto"/>
          <w:sz w:val="24"/>
          <w:highlight w:val="none"/>
        </w:rPr>
        <w:t>政府采购政策（包括但不限于下列具体政策要求）</w:t>
      </w:r>
      <w:bookmarkEnd w:id="197"/>
      <w:bookmarkEnd w:id="198"/>
    </w:p>
    <w:p>
      <w:pPr>
        <w:numPr>
          <w:ilvl w:val="1"/>
          <w:numId w:val="8"/>
        </w:numPr>
        <w:tabs>
          <w:tab w:val="left" w:pos="1080"/>
          <w:tab w:val="left" w:pos="1304"/>
          <w:tab w:val="left" w:pos="2014"/>
        </w:tabs>
        <w:snapToGrid w:val="0"/>
        <w:spacing w:line="360" w:lineRule="auto"/>
        <w:ind w:left="1080" w:hanging="720"/>
        <w:rPr>
          <w:rFonts w:hint="eastAsia" w:ascii="宋体" w:hAnsi="宋体"/>
          <w:color w:val="auto"/>
          <w:sz w:val="24"/>
          <w:highlight w:val="none"/>
        </w:rPr>
      </w:pPr>
      <w:r>
        <w:rPr>
          <w:rFonts w:hint="eastAsia" w:ascii="宋体" w:hAnsi="宋体"/>
          <w:color w:val="auto"/>
          <w:sz w:val="24"/>
          <w:highlight w:val="none"/>
        </w:rPr>
        <w:t>采购本国货物、工程和服务</w:t>
      </w:r>
    </w:p>
    <w:p>
      <w:pPr>
        <w:numPr>
          <w:ilvl w:val="2"/>
          <w:numId w:val="8"/>
        </w:numPr>
        <w:tabs>
          <w:tab w:val="left" w:pos="2014"/>
        </w:tabs>
        <w:snapToGrid w:val="0"/>
        <w:spacing w:line="360" w:lineRule="auto"/>
        <w:rPr>
          <w:rFonts w:hint="eastAsia" w:ascii="宋体" w:hAnsi="宋体"/>
          <w:color w:val="auto"/>
          <w:sz w:val="24"/>
          <w:highlight w:val="none"/>
        </w:rPr>
      </w:pPr>
      <w:r>
        <w:rPr>
          <w:rFonts w:hint="eastAsia" w:ascii="宋体" w:hAnsi="宋体"/>
          <w:color w:val="auto"/>
          <w:sz w:val="24"/>
          <w:highlight w:val="none"/>
        </w:rPr>
        <w:t>政府采购应当采购本国货物、工程和服务。但有</w:t>
      </w:r>
      <w:r>
        <w:rPr>
          <w:rFonts w:hint="eastAsia" w:ascii="宋体" w:hAnsi="宋体"/>
          <w:b/>
          <w:bCs/>
          <w:color w:val="auto"/>
          <w:sz w:val="24"/>
          <w:highlight w:val="none"/>
        </w:rPr>
        <w:t>《中华人民共和国政府采购法》</w:t>
      </w:r>
      <w:r>
        <w:rPr>
          <w:rFonts w:hint="eastAsia" w:ascii="宋体" w:hAnsi="宋体"/>
          <w:color w:val="auto"/>
          <w:sz w:val="24"/>
          <w:highlight w:val="none"/>
        </w:rPr>
        <w:t>第十条规定情形的除外。</w:t>
      </w:r>
    </w:p>
    <w:p>
      <w:pPr>
        <w:numPr>
          <w:ilvl w:val="2"/>
          <w:numId w:val="8"/>
        </w:numPr>
        <w:tabs>
          <w:tab w:val="left" w:pos="2014"/>
        </w:tabs>
        <w:snapToGrid w:val="0"/>
        <w:spacing w:line="360" w:lineRule="auto"/>
        <w:rPr>
          <w:rFonts w:hint="eastAsia" w:ascii="宋体" w:hAnsi="宋体"/>
          <w:color w:val="auto"/>
          <w:sz w:val="24"/>
          <w:highlight w:val="none"/>
        </w:rPr>
      </w:pPr>
      <w:r>
        <w:rPr>
          <w:rFonts w:hint="eastAsia" w:ascii="宋体" w:hAnsi="宋体"/>
          <w:color w:val="auto"/>
          <w:sz w:val="24"/>
          <w:highlight w:val="none"/>
        </w:rPr>
        <w:t>本项目如接受非本国货物、工程、服务参与投标，则具体要求见第四</w:t>
      </w:r>
    </w:p>
    <w:p>
      <w:pPr>
        <w:tabs>
          <w:tab w:val="left" w:pos="900"/>
          <w:tab w:val="left" w:pos="1980"/>
          <w:tab w:val="left" w:pos="2014"/>
        </w:tabs>
        <w:snapToGrid w:val="0"/>
        <w:spacing w:line="360" w:lineRule="auto"/>
        <w:ind w:left="1980"/>
        <w:rPr>
          <w:rFonts w:hint="eastAsia" w:ascii="宋体" w:hAnsi="宋体"/>
          <w:color w:val="auto"/>
          <w:sz w:val="24"/>
          <w:highlight w:val="none"/>
        </w:rPr>
      </w:pPr>
      <w:r>
        <w:rPr>
          <w:rFonts w:hint="eastAsia" w:ascii="宋体" w:hAnsi="宋体"/>
          <w:color w:val="auto"/>
          <w:sz w:val="24"/>
          <w:highlight w:val="none"/>
        </w:rPr>
        <w:t>章《采购需求》。</w:t>
      </w:r>
    </w:p>
    <w:p>
      <w:pPr>
        <w:tabs>
          <w:tab w:val="left" w:pos="1080"/>
          <w:tab w:val="left" w:pos="1304"/>
          <w:tab w:val="left" w:pos="2014"/>
        </w:tabs>
        <w:snapToGrid w:val="0"/>
        <w:spacing w:line="360" w:lineRule="auto"/>
        <w:ind w:left="1920" w:hanging="1920" w:hangingChars="800"/>
        <w:rPr>
          <w:rFonts w:hint="eastAsia"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 xml:space="preserve">5.1.3 </w:t>
      </w:r>
      <w:r>
        <w:rPr>
          <w:rFonts w:ascii="宋体" w:hAnsi="宋体"/>
          <w:color w:val="auto"/>
          <w:sz w:val="24"/>
          <w:highlight w:val="none"/>
        </w:rPr>
        <w:t xml:space="preserve"> </w:t>
      </w:r>
      <w:r>
        <w:rPr>
          <w:rFonts w:hint="eastAsia" w:ascii="宋体" w:hAnsi="宋体"/>
          <w:color w:val="auto"/>
          <w:sz w:val="24"/>
          <w:highlight w:val="none"/>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pPr>
        <w:numPr>
          <w:ilvl w:val="1"/>
          <w:numId w:val="8"/>
        </w:numPr>
        <w:tabs>
          <w:tab w:val="left" w:pos="1080"/>
          <w:tab w:val="left" w:pos="2014"/>
        </w:tabs>
        <w:snapToGrid w:val="0"/>
        <w:spacing w:line="360" w:lineRule="auto"/>
        <w:ind w:left="1080" w:hanging="720"/>
        <w:rPr>
          <w:color w:val="auto"/>
          <w:sz w:val="24"/>
          <w:highlight w:val="none"/>
        </w:rPr>
      </w:pPr>
      <w:r>
        <w:rPr>
          <w:rFonts w:hint="eastAsia"/>
          <w:color w:val="auto"/>
          <w:sz w:val="24"/>
          <w:highlight w:val="none"/>
        </w:rPr>
        <w:t>本国产品</w:t>
      </w:r>
    </w:p>
    <w:p>
      <w:pPr>
        <w:tabs>
          <w:tab w:val="left" w:pos="900"/>
          <w:tab w:val="left" w:pos="1080"/>
          <w:tab w:val="left" w:pos="1589"/>
        </w:tabs>
        <w:snapToGrid w:val="0"/>
        <w:spacing w:line="360" w:lineRule="auto"/>
        <w:ind w:left="1080"/>
        <w:rPr>
          <w:color w:val="auto"/>
          <w:sz w:val="24"/>
          <w:highlight w:val="none"/>
        </w:rPr>
      </w:pPr>
      <w:bookmarkStart w:id="199" w:name="_Hlk217316762"/>
      <w:r>
        <w:rPr>
          <w:rFonts w:hint="eastAsia"/>
          <w:color w:val="auto"/>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99"/>
      <w:r>
        <w:rPr>
          <w:rFonts w:hint="eastAsia"/>
          <w:color w:val="auto"/>
          <w:sz w:val="24"/>
          <w:highlight w:val="none"/>
        </w:rPr>
        <w:t>，落实本国产品标准。</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中小企业、监狱企业及残疾人福利性单位</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中小企业定义：</w:t>
      </w:r>
    </w:p>
    <w:p>
      <w:pPr>
        <w:pStyle w:val="101"/>
        <w:tabs>
          <w:tab w:val="left" w:pos="1980"/>
          <w:tab w:val="left" w:pos="2035"/>
          <w:tab w:val="left" w:pos="2977"/>
        </w:tabs>
        <w:snapToGrid w:val="0"/>
        <w:spacing w:line="360" w:lineRule="auto"/>
        <w:ind w:left="900" w:hanging="900" w:firstLineChars="0"/>
        <w:rPr>
          <w:rFonts w:hint="eastAsia" w:ascii="宋体" w:hAnsi="宋体"/>
          <w:vanish/>
          <w:color w:val="auto"/>
          <w:sz w:val="24"/>
          <w:szCs w:val="24"/>
          <w:highlight w:val="none"/>
        </w:rPr>
      </w:pPr>
      <w:r>
        <w:rPr>
          <w:rFonts w:hint="eastAsia" w:ascii="宋体" w:hAnsi="宋体"/>
          <w:vanish/>
          <w:color w:val="auto"/>
          <w:sz w:val="24"/>
          <w:szCs w:val="24"/>
          <w:highlight w:val="none"/>
        </w:rPr>
        <w:t>1</w:t>
      </w:r>
    </w:p>
    <w:p>
      <w:pPr>
        <w:pStyle w:val="101"/>
        <w:tabs>
          <w:tab w:val="left" w:pos="1980"/>
          <w:tab w:val="left" w:pos="2035"/>
          <w:tab w:val="left" w:pos="2977"/>
        </w:tabs>
        <w:snapToGrid w:val="0"/>
        <w:spacing w:line="360" w:lineRule="auto"/>
        <w:ind w:left="900" w:hanging="900" w:firstLineChars="0"/>
        <w:rPr>
          <w:rFonts w:hint="eastAsia" w:ascii="宋体" w:hAnsi="宋体"/>
          <w:vanish/>
          <w:color w:val="auto"/>
          <w:sz w:val="24"/>
          <w:szCs w:val="24"/>
          <w:highlight w:val="none"/>
        </w:rPr>
      </w:pPr>
      <w:r>
        <w:rPr>
          <w:rFonts w:hint="eastAsia" w:ascii="宋体" w:hAnsi="宋体"/>
          <w:vanish/>
          <w:color w:val="auto"/>
          <w:sz w:val="24"/>
          <w:szCs w:val="24"/>
          <w:highlight w:val="none"/>
        </w:rPr>
        <w:t>2</w:t>
      </w:r>
    </w:p>
    <w:p>
      <w:pPr>
        <w:pStyle w:val="101"/>
        <w:tabs>
          <w:tab w:val="left" w:pos="1980"/>
          <w:tab w:val="left" w:pos="2035"/>
          <w:tab w:val="left" w:pos="2977"/>
        </w:tabs>
        <w:snapToGrid w:val="0"/>
        <w:spacing w:line="360" w:lineRule="auto"/>
        <w:ind w:left="900" w:hanging="900" w:firstLineChars="0"/>
        <w:rPr>
          <w:rFonts w:hint="eastAsia" w:ascii="宋体" w:hAnsi="宋体"/>
          <w:vanish/>
          <w:color w:val="auto"/>
          <w:sz w:val="24"/>
          <w:szCs w:val="24"/>
          <w:highlight w:val="none"/>
        </w:rPr>
      </w:pPr>
      <w:r>
        <w:rPr>
          <w:rFonts w:hint="eastAsia" w:ascii="宋体" w:hAnsi="宋体"/>
          <w:vanish/>
          <w:color w:val="auto"/>
          <w:sz w:val="24"/>
          <w:szCs w:val="24"/>
          <w:highlight w:val="none"/>
        </w:rPr>
        <w:t>3</w:t>
      </w:r>
    </w:p>
    <w:p>
      <w:pPr>
        <w:pStyle w:val="101"/>
        <w:tabs>
          <w:tab w:val="left" w:pos="1980"/>
          <w:tab w:val="left" w:pos="2035"/>
          <w:tab w:val="left" w:pos="2977"/>
        </w:tabs>
        <w:snapToGrid w:val="0"/>
        <w:spacing w:line="360" w:lineRule="auto"/>
        <w:ind w:left="900" w:hanging="900" w:firstLineChars="0"/>
        <w:rPr>
          <w:rFonts w:hint="eastAsia" w:ascii="宋体" w:hAnsi="宋体"/>
          <w:vanish/>
          <w:color w:val="auto"/>
          <w:sz w:val="24"/>
          <w:szCs w:val="24"/>
          <w:highlight w:val="none"/>
        </w:rPr>
      </w:pPr>
      <w:r>
        <w:rPr>
          <w:rFonts w:hint="eastAsia" w:ascii="宋体" w:hAnsi="宋体"/>
          <w:vanish/>
          <w:color w:val="auto"/>
          <w:sz w:val="24"/>
          <w:szCs w:val="24"/>
          <w:highlight w:val="none"/>
        </w:rPr>
        <w:t>4</w:t>
      </w:r>
    </w:p>
    <w:p>
      <w:pPr>
        <w:pStyle w:val="101"/>
        <w:tabs>
          <w:tab w:val="left" w:pos="1980"/>
          <w:tab w:val="left" w:pos="2035"/>
          <w:tab w:val="left" w:pos="2977"/>
        </w:tabs>
        <w:snapToGrid w:val="0"/>
        <w:spacing w:line="360" w:lineRule="auto"/>
        <w:ind w:left="900" w:hanging="900" w:firstLineChars="0"/>
        <w:rPr>
          <w:rFonts w:hint="eastAsia" w:ascii="宋体" w:hAnsi="宋体"/>
          <w:vanish/>
          <w:color w:val="auto"/>
          <w:sz w:val="24"/>
          <w:szCs w:val="24"/>
          <w:highlight w:val="none"/>
        </w:rPr>
      </w:pPr>
      <w:r>
        <w:rPr>
          <w:rFonts w:hint="eastAsia" w:ascii="宋体" w:hAnsi="宋体"/>
          <w:vanish/>
          <w:color w:val="auto"/>
          <w:sz w:val="24"/>
          <w:szCs w:val="24"/>
          <w:highlight w:val="none"/>
        </w:rPr>
        <w:t>5</w:t>
      </w:r>
    </w:p>
    <w:p>
      <w:pPr>
        <w:pStyle w:val="101"/>
        <w:numPr>
          <w:ilvl w:val="1"/>
          <w:numId w:val="0"/>
        </w:numPr>
        <w:tabs>
          <w:tab w:val="left" w:pos="1980"/>
          <w:tab w:val="left" w:pos="2035"/>
          <w:tab w:val="left" w:pos="2977"/>
        </w:tabs>
        <w:snapToGrid w:val="0"/>
        <w:spacing w:line="360" w:lineRule="auto"/>
        <w:ind w:left="1468" w:hanging="900"/>
        <w:rPr>
          <w:rFonts w:hint="eastAsia" w:ascii="宋体" w:hAnsi="宋体"/>
          <w:vanish/>
          <w:color w:val="auto"/>
          <w:sz w:val="24"/>
          <w:szCs w:val="24"/>
          <w:highlight w:val="none"/>
        </w:rPr>
      </w:pPr>
      <w:r>
        <w:rPr>
          <w:rFonts w:ascii="Times New Roman" w:hAnsi="Times New Roman" w:cs="Times New Roman"/>
          <w:vanish/>
          <w:color w:val="auto"/>
          <w:sz w:val="24"/>
          <w:szCs w:val="24"/>
          <w:highlight w:val="none"/>
        </w:rPr>
        <w:t>5.1</w:t>
      </w:r>
    </w:p>
    <w:p>
      <w:pPr>
        <w:pStyle w:val="101"/>
        <w:numPr>
          <w:ilvl w:val="1"/>
          <w:numId w:val="0"/>
        </w:numPr>
        <w:tabs>
          <w:tab w:val="left" w:pos="1980"/>
          <w:tab w:val="left" w:pos="2035"/>
          <w:tab w:val="left" w:pos="2977"/>
        </w:tabs>
        <w:snapToGrid w:val="0"/>
        <w:spacing w:line="360" w:lineRule="auto"/>
        <w:ind w:left="1468" w:hanging="900"/>
        <w:rPr>
          <w:rFonts w:hint="eastAsia" w:ascii="宋体" w:hAnsi="宋体"/>
          <w:vanish/>
          <w:color w:val="auto"/>
          <w:sz w:val="24"/>
          <w:szCs w:val="24"/>
          <w:highlight w:val="none"/>
        </w:rPr>
      </w:pPr>
      <w:r>
        <w:rPr>
          <w:rFonts w:ascii="Times New Roman" w:hAnsi="Times New Roman" w:cs="Times New Roman"/>
          <w:vanish/>
          <w:color w:val="auto"/>
          <w:sz w:val="24"/>
          <w:szCs w:val="24"/>
          <w:highlight w:val="none"/>
        </w:rPr>
        <w:t>5.2</w:t>
      </w:r>
    </w:p>
    <w:p>
      <w:pPr>
        <w:pStyle w:val="101"/>
        <w:numPr>
          <w:ilvl w:val="2"/>
          <w:numId w:val="0"/>
        </w:numPr>
        <w:tabs>
          <w:tab w:val="left" w:pos="2035"/>
          <w:tab w:val="left" w:pos="2977"/>
        </w:tabs>
        <w:snapToGrid w:val="0"/>
        <w:spacing w:line="360" w:lineRule="auto"/>
        <w:ind w:left="1980" w:hanging="900"/>
        <w:rPr>
          <w:rFonts w:hint="eastAsia" w:ascii="宋体" w:hAnsi="宋体"/>
          <w:vanish/>
          <w:color w:val="auto"/>
          <w:sz w:val="24"/>
          <w:szCs w:val="24"/>
          <w:highlight w:val="none"/>
        </w:rPr>
      </w:pPr>
      <w:r>
        <w:rPr>
          <w:rFonts w:hint="eastAsia" w:ascii="宋体" w:hAnsi="宋体"/>
          <w:vanish/>
          <w:color w:val="auto"/>
          <w:sz w:val="24"/>
          <w:szCs w:val="24"/>
          <w:highlight w:val="none"/>
        </w:rPr>
        <w:t>5.2.1</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 号）、《关于印发中小企业划型标准规定的通知》（工信部联企业〔2011〕300 号）、《金融业企业划型标准规定》（〔2015〕309 号）等国务院批准的中小企业划分标准执行。</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5.3.1.2</w:t>
      </w:r>
      <w:r>
        <w:rPr>
          <w:rFonts w:ascii="宋体" w:hAnsi="宋体"/>
          <w:color w:val="auto"/>
          <w:sz w:val="24"/>
          <w:highlight w:val="none"/>
        </w:rPr>
        <w:t>供应商提供的货物、工程或者服务符合下列情形的，享受中小企业扶持政策：</w:t>
      </w:r>
    </w:p>
    <w:p>
      <w:pPr>
        <w:tabs>
          <w:tab w:val="left" w:pos="1980"/>
        </w:tabs>
        <w:snapToGrid w:val="0"/>
        <w:spacing w:line="360" w:lineRule="auto"/>
        <w:ind w:left="2835" w:leftChars="1350"/>
        <w:rPr>
          <w:rFonts w:hint="eastAsia" w:ascii="宋体" w:hAnsi="宋体"/>
          <w:color w:val="auto"/>
          <w:sz w:val="24"/>
          <w:highlight w:val="none"/>
        </w:rPr>
      </w:pPr>
      <w:r>
        <w:rPr>
          <w:rFonts w:ascii="宋体" w:hAnsi="宋体"/>
          <w:color w:val="auto"/>
          <w:sz w:val="24"/>
          <w:highlight w:val="none"/>
        </w:rPr>
        <w:t>（1）在货物采购项目中，货物由中小企业制造，即货物由中小企业生产且使用该中小企业商号或者注册商标；</w:t>
      </w:r>
    </w:p>
    <w:p>
      <w:pPr>
        <w:tabs>
          <w:tab w:val="left" w:pos="1980"/>
        </w:tabs>
        <w:snapToGrid w:val="0"/>
        <w:spacing w:line="360" w:lineRule="auto"/>
        <w:ind w:left="2835" w:leftChars="1350"/>
        <w:rPr>
          <w:rFonts w:hint="eastAsia" w:ascii="宋体" w:hAnsi="宋体"/>
          <w:color w:val="auto"/>
          <w:sz w:val="24"/>
          <w:highlight w:val="none"/>
        </w:rPr>
      </w:pPr>
      <w:r>
        <w:rPr>
          <w:rFonts w:ascii="宋体" w:hAnsi="宋体"/>
          <w:color w:val="auto"/>
          <w:sz w:val="24"/>
          <w:highlight w:val="none"/>
        </w:rPr>
        <w:t>（2）在工程采购项目中，工程由中小企业承建，即工程施工单位为中小企业；</w:t>
      </w:r>
    </w:p>
    <w:p>
      <w:pPr>
        <w:tabs>
          <w:tab w:val="left" w:pos="1980"/>
        </w:tabs>
        <w:snapToGrid w:val="0"/>
        <w:spacing w:line="360" w:lineRule="auto"/>
        <w:ind w:left="2835" w:leftChars="1350"/>
        <w:rPr>
          <w:rFonts w:hint="eastAsia" w:ascii="宋体" w:hAnsi="宋体"/>
          <w:color w:val="auto"/>
          <w:sz w:val="24"/>
          <w:highlight w:val="none"/>
        </w:rPr>
      </w:pPr>
      <w:r>
        <w:rPr>
          <w:rFonts w:ascii="宋体" w:hAnsi="宋体"/>
          <w:color w:val="auto"/>
          <w:sz w:val="24"/>
          <w:highlight w:val="none"/>
        </w:rPr>
        <w:t>（3）在服务采购项目中，服务由中小企业承接，即提供服务的人员为中小企业依照《中华人民共和国劳动</w:t>
      </w:r>
      <w:r>
        <w:rPr>
          <w:rFonts w:hint="eastAsia" w:ascii="宋体" w:hAnsi="宋体"/>
          <w:color w:val="auto"/>
          <w:sz w:val="24"/>
          <w:highlight w:val="none"/>
        </w:rPr>
        <w:t>合同法</w:t>
      </w:r>
      <w:r>
        <w:rPr>
          <w:rFonts w:ascii="宋体" w:hAnsi="宋体"/>
          <w:color w:val="auto"/>
          <w:sz w:val="24"/>
          <w:highlight w:val="none"/>
        </w:rPr>
        <w:t>》订立劳动合同的从业人员。</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5.3.1.3</w:t>
      </w:r>
      <w:r>
        <w:rPr>
          <w:rFonts w:ascii="宋体" w:hAnsi="宋体"/>
          <w:color w:val="auto"/>
          <w:sz w:val="24"/>
          <w:highlight w:val="none"/>
        </w:rPr>
        <w:t>在货物采购项目中，供应商提供的货物既有中小企业制造货物，也有大型企业制造货物的，不享受中小企业扶持政策。</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5.3.1.4</w:t>
      </w:r>
      <w:r>
        <w:rPr>
          <w:rFonts w:ascii="宋体" w:hAnsi="宋体"/>
          <w:color w:val="auto"/>
          <w:sz w:val="24"/>
          <w:highlight w:val="none"/>
        </w:rPr>
        <w:t>以联合体形式参加政府采购活动，联合体各方均为中小企业的，联合体视同中小企业。其中，联合体各方均为小微企业的，联合体视同小微企业。</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在政府采购活动中，监狱企业视同小型、微型企业，享受预留份额、 评审中价格扣除等政府采购促进中小企业发展的政府采购政策。监狱 企业定义：是指由司法部认定的为罪犯、戒毒人员</w:t>
      </w:r>
      <w:r>
        <w:rPr>
          <w:rFonts w:hint="eastAsia" w:ascii="宋体" w:hAnsi="宋体" w:cs="Leelawadee UI"/>
          <w:color w:val="auto"/>
          <w:sz w:val="24"/>
          <w:highlight w:val="none"/>
        </w:rPr>
        <w:t>提</w:t>
      </w:r>
      <w:r>
        <w:rPr>
          <w:rFonts w:ascii="宋体" w:hAnsi="宋体"/>
          <w:color w:val="auto"/>
          <w:sz w:val="24"/>
          <w:highlight w:val="none"/>
        </w:rPr>
        <w:t>供生产项目和劳 动对象，且全部产权属于司法部监狱管理局、戒毒管理局、直属煤矿 管理局，各省、自治区、直辖市监狱管理局、戒毒管理局，各地（设 区的市）监狱、强制隔离戒毒所、戒毒康复所，以及新疆生产建设兵 团监狱管理局、戒毒管理局的企业。</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在政府采购活动中，残疾人福利性单位视同小型、微型企业，享受预 留份额、评审中价格扣除等促进中小企业发展的政府采购政策。残疾 人福利性单位定义：享受政府采购支持政策的残疾人福利性单位应当 同时满足以下条件：</w:t>
      </w:r>
    </w:p>
    <w:p>
      <w:pPr>
        <w:pStyle w:val="101"/>
        <w:tabs>
          <w:tab w:val="left" w:pos="1980"/>
          <w:tab w:val="left" w:pos="2035"/>
          <w:tab w:val="left" w:pos="2885"/>
          <w:tab w:val="left" w:pos="2977"/>
        </w:tabs>
        <w:snapToGrid w:val="0"/>
        <w:spacing w:line="360" w:lineRule="auto"/>
        <w:ind w:left="900" w:hanging="900" w:firstLineChars="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1</w:t>
      </w:r>
    </w:p>
    <w:p>
      <w:pPr>
        <w:pStyle w:val="101"/>
        <w:tabs>
          <w:tab w:val="left" w:pos="1980"/>
          <w:tab w:val="left" w:pos="2035"/>
          <w:tab w:val="left" w:pos="2885"/>
          <w:tab w:val="left" w:pos="2977"/>
        </w:tabs>
        <w:snapToGrid w:val="0"/>
        <w:spacing w:line="360" w:lineRule="auto"/>
        <w:ind w:left="900" w:hanging="900" w:firstLineChars="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2</w:t>
      </w:r>
    </w:p>
    <w:p>
      <w:pPr>
        <w:pStyle w:val="101"/>
        <w:tabs>
          <w:tab w:val="left" w:pos="1980"/>
          <w:tab w:val="left" w:pos="2035"/>
          <w:tab w:val="left" w:pos="2885"/>
          <w:tab w:val="left" w:pos="2977"/>
        </w:tabs>
        <w:snapToGrid w:val="0"/>
        <w:spacing w:line="360" w:lineRule="auto"/>
        <w:ind w:left="900" w:hanging="900" w:firstLineChars="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3</w:t>
      </w:r>
    </w:p>
    <w:p>
      <w:pPr>
        <w:pStyle w:val="101"/>
        <w:tabs>
          <w:tab w:val="left" w:pos="1980"/>
          <w:tab w:val="left" w:pos="2035"/>
          <w:tab w:val="left" w:pos="2885"/>
          <w:tab w:val="left" w:pos="2977"/>
        </w:tabs>
        <w:snapToGrid w:val="0"/>
        <w:spacing w:line="360" w:lineRule="auto"/>
        <w:ind w:left="900" w:hanging="900" w:firstLineChars="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4</w:t>
      </w:r>
    </w:p>
    <w:p>
      <w:pPr>
        <w:pStyle w:val="101"/>
        <w:tabs>
          <w:tab w:val="left" w:pos="1980"/>
          <w:tab w:val="left" w:pos="2035"/>
          <w:tab w:val="left" w:pos="2885"/>
          <w:tab w:val="left" w:pos="2977"/>
        </w:tabs>
        <w:snapToGrid w:val="0"/>
        <w:spacing w:line="360" w:lineRule="auto"/>
        <w:ind w:left="900" w:hanging="900" w:firstLineChars="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5</w:t>
      </w:r>
    </w:p>
    <w:p>
      <w:pPr>
        <w:pStyle w:val="101"/>
        <w:numPr>
          <w:ilvl w:val="1"/>
          <w:numId w:val="0"/>
        </w:numPr>
        <w:tabs>
          <w:tab w:val="left" w:pos="1980"/>
          <w:tab w:val="left" w:pos="2035"/>
          <w:tab w:val="left" w:pos="2885"/>
          <w:tab w:val="left" w:pos="2977"/>
        </w:tabs>
        <w:snapToGrid w:val="0"/>
        <w:spacing w:line="360" w:lineRule="auto"/>
        <w:ind w:left="1468" w:hanging="900"/>
        <w:rPr>
          <w:rFonts w:hint="eastAsia" w:ascii="宋体" w:hAnsi="宋体" w:cs="Times New Roman"/>
          <w:vanish/>
          <w:color w:val="auto"/>
          <w:sz w:val="24"/>
          <w:szCs w:val="24"/>
          <w:highlight w:val="none"/>
        </w:rPr>
      </w:pPr>
      <w:r>
        <w:rPr>
          <w:rFonts w:ascii="Times New Roman" w:hAnsi="Times New Roman" w:cs="Times New Roman"/>
          <w:vanish/>
          <w:color w:val="auto"/>
          <w:sz w:val="24"/>
          <w:szCs w:val="24"/>
          <w:highlight w:val="none"/>
        </w:rPr>
        <w:t>5.1</w:t>
      </w:r>
    </w:p>
    <w:p>
      <w:pPr>
        <w:pStyle w:val="101"/>
        <w:numPr>
          <w:ilvl w:val="1"/>
          <w:numId w:val="0"/>
        </w:numPr>
        <w:tabs>
          <w:tab w:val="left" w:pos="1980"/>
          <w:tab w:val="left" w:pos="2035"/>
          <w:tab w:val="left" w:pos="2885"/>
          <w:tab w:val="left" w:pos="2977"/>
        </w:tabs>
        <w:snapToGrid w:val="0"/>
        <w:spacing w:line="360" w:lineRule="auto"/>
        <w:ind w:left="1468" w:hanging="900"/>
        <w:rPr>
          <w:rFonts w:hint="eastAsia" w:ascii="宋体" w:hAnsi="宋体" w:cs="Times New Roman"/>
          <w:vanish/>
          <w:color w:val="auto"/>
          <w:sz w:val="24"/>
          <w:szCs w:val="24"/>
          <w:highlight w:val="none"/>
        </w:rPr>
      </w:pPr>
      <w:r>
        <w:rPr>
          <w:rFonts w:ascii="Times New Roman" w:hAnsi="Times New Roman" w:cs="Times New Roman"/>
          <w:vanish/>
          <w:color w:val="auto"/>
          <w:sz w:val="24"/>
          <w:szCs w:val="24"/>
          <w:highlight w:val="none"/>
        </w:rPr>
        <w:t>5.2</w:t>
      </w:r>
    </w:p>
    <w:p>
      <w:pPr>
        <w:pStyle w:val="101"/>
        <w:numPr>
          <w:ilvl w:val="2"/>
          <w:numId w:val="0"/>
        </w:numPr>
        <w:tabs>
          <w:tab w:val="left" w:pos="2035"/>
          <w:tab w:val="left" w:pos="2885"/>
          <w:tab w:val="left" w:pos="2977"/>
        </w:tabs>
        <w:snapToGrid w:val="0"/>
        <w:spacing w:line="360" w:lineRule="auto"/>
        <w:ind w:left="1980" w:hanging="90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5.2.1</w:t>
      </w:r>
    </w:p>
    <w:p>
      <w:pPr>
        <w:pStyle w:val="101"/>
        <w:numPr>
          <w:ilvl w:val="2"/>
          <w:numId w:val="0"/>
        </w:numPr>
        <w:tabs>
          <w:tab w:val="left" w:pos="2035"/>
          <w:tab w:val="left" w:pos="2885"/>
          <w:tab w:val="left" w:pos="2977"/>
        </w:tabs>
        <w:snapToGrid w:val="0"/>
        <w:spacing w:line="360" w:lineRule="auto"/>
        <w:ind w:left="1980" w:hanging="90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5.2.2</w:t>
      </w:r>
    </w:p>
    <w:p>
      <w:pPr>
        <w:pStyle w:val="101"/>
        <w:numPr>
          <w:ilvl w:val="2"/>
          <w:numId w:val="0"/>
        </w:numPr>
        <w:tabs>
          <w:tab w:val="left" w:pos="2035"/>
          <w:tab w:val="left" w:pos="2885"/>
          <w:tab w:val="left" w:pos="2977"/>
        </w:tabs>
        <w:snapToGrid w:val="0"/>
        <w:spacing w:line="360" w:lineRule="auto"/>
        <w:ind w:left="1980" w:hanging="900"/>
        <w:rPr>
          <w:rFonts w:hint="eastAsia" w:ascii="宋体" w:hAnsi="宋体" w:cs="Times New Roman"/>
          <w:vanish/>
          <w:color w:val="auto"/>
          <w:sz w:val="24"/>
          <w:szCs w:val="24"/>
          <w:highlight w:val="none"/>
        </w:rPr>
      </w:pPr>
      <w:r>
        <w:rPr>
          <w:rFonts w:hint="eastAsia" w:ascii="宋体" w:hAnsi="宋体" w:cs="Times New Roman"/>
          <w:vanish/>
          <w:color w:val="auto"/>
          <w:sz w:val="24"/>
          <w:szCs w:val="24"/>
          <w:highlight w:val="none"/>
        </w:rPr>
        <w:t>5.2.3</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 xml:space="preserve">5.3.3.1 </w:t>
      </w:r>
      <w:r>
        <w:rPr>
          <w:rFonts w:ascii="宋体" w:hAnsi="宋体"/>
          <w:color w:val="auto"/>
          <w:sz w:val="24"/>
          <w:highlight w:val="none"/>
        </w:rPr>
        <w:t>安置的残疾人占本单位在职职工人数的比例不低于25%（含25%），并且安置的残疾人人数不少于10 人（含10 人）；</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5.3.3.2</w:t>
      </w:r>
      <w:r>
        <w:rPr>
          <w:rFonts w:ascii="宋体" w:hAnsi="宋体"/>
          <w:color w:val="auto"/>
          <w:sz w:val="24"/>
          <w:highlight w:val="none"/>
        </w:rPr>
        <w:t>依法与安置的每位残疾人签订了一年以上（含一年）的劳动合同或服务协议；</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5.3.3.3</w:t>
      </w:r>
      <w:r>
        <w:rPr>
          <w:rFonts w:ascii="宋体" w:hAnsi="宋体"/>
          <w:color w:val="auto"/>
          <w:sz w:val="24"/>
          <w:highlight w:val="none"/>
        </w:rPr>
        <w:t>为安置的每位残疾人按月足额缴纳了基本养老保险、基本医疗保险、失业保险、工伤保险和生育保险等社会保险费；</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5.3.3.4</w:t>
      </w:r>
      <w:r>
        <w:rPr>
          <w:rFonts w:ascii="宋体" w:hAnsi="宋体"/>
          <w:color w:val="auto"/>
          <w:sz w:val="24"/>
          <w:highlight w:val="none"/>
        </w:rPr>
        <w:t>通过银行等金融机构向安置的每位残疾人，按月支付了不低于单位所在区县适用的经省级人民政府批准的月最低工资标准的工资；</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5.3.3.5</w:t>
      </w:r>
      <w:r>
        <w:rPr>
          <w:rFonts w:ascii="宋体" w:hAnsi="宋体"/>
          <w:color w:val="auto"/>
          <w:sz w:val="24"/>
          <w:highlight w:val="none"/>
        </w:rPr>
        <w:t>提供本单位制造的货物、承担的工程或者服务（以下简称产品），或者提供其他残疾人福利性单位制造的货物（不包括使用非残疾人福利性单位注册商标的货物）；</w:t>
      </w:r>
    </w:p>
    <w:p>
      <w:pPr>
        <w:numPr>
          <w:ilvl w:val="3"/>
          <w:numId w:val="0"/>
        </w:numPr>
        <w:tabs>
          <w:tab w:val="left" w:pos="1980"/>
          <w:tab w:val="left" w:pos="2035"/>
          <w:tab w:val="left" w:pos="2885"/>
          <w:tab w:val="left" w:pos="2977"/>
        </w:tabs>
        <w:snapToGrid w:val="0"/>
        <w:spacing w:line="360" w:lineRule="auto"/>
        <w:ind w:left="2885" w:hanging="900"/>
        <w:rPr>
          <w:rFonts w:hint="eastAsia" w:ascii="宋体" w:hAnsi="宋体"/>
          <w:color w:val="auto"/>
          <w:sz w:val="24"/>
          <w:highlight w:val="none"/>
        </w:rPr>
      </w:pPr>
      <w:r>
        <w:rPr>
          <w:rFonts w:hint="eastAsia" w:ascii="宋体" w:hAnsi="宋体"/>
          <w:color w:val="auto"/>
          <w:sz w:val="24"/>
          <w:highlight w:val="none"/>
        </w:rPr>
        <w:t>5.3.3.6</w:t>
      </w:r>
      <w:r>
        <w:rPr>
          <w:rFonts w:ascii="宋体" w:hAnsi="宋体"/>
          <w:color w:val="auto"/>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本项目是否专门面向中小企业预留采购份额见第一章《投标邀请》。</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采购标的对应的中小企业划分标准所属行业见《投标人须知资料表》。</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小微企业价格评审优惠的政策调整：见第四章《评标方法和评标标准》。</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政府采购节能产品、环境标志产品</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如本项目采购产品属于实施政府强制采购品目清单范围的节能产品，则投标人所报产品必须获得国家确定的认证机构出具的、处于有效期之内的节能产品认证证书，</w:t>
      </w:r>
      <w:r>
        <w:rPr>
          <w:rFonts w:ascii="宋体" w:hAnsi="宋体"/>
          <w:color w:val="auto"/>
          <w:kern w:val="0"/>
          <w:sz w:val="24"/>
          <w:highlight w:val="none"/>
        </w:rPr>
        <w:t>否则</w:t>
      </w:r>
      <w:r>
        <w:rPr>
          <w:rFonts w:ascii="宋体" w:hAnsi="宋体"/>
          <w:b/>
          <w:color w:val="auto"/>
          <w:kern w:val="0"/>
          <w:sz w:val="24"/>
          <w:highlight w:val="none"/>
        </w:rPr>
        <w:t>投标无效</w:t>
      </w:r>
      <w:r>
        <w:rPr>
          <w:rFonts w:ascii="宋体" w:hAnsi="宋体"/>
          <w:color w:val="auto"/>
          <w:sz w:val="24"/>
          <w:highlight w:val="none"/>
        </w:rPr>
        <w:t>；</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非政府强制采购的节能产品或环境标志产品，依据品目清单和认证证书实施政府优先采购。优先采购的具体规定见第四章《评标方法和评标标准》（如涉及）。</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正版软件</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 号）、《财政部关于进一步做好政府机关使用正版软件工作的通知》（财预〔2010〕536 号）</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hint="eastAsia" w:ascii="宋体" w:hAnsi="宋体"/>
          <w:color w:val="auto"/>
          <w:sz w:val="24"/>
          <w:highlight w:val="none"/>
        </w:rPr>
        <w:t>网络安全专用产品</w:t>
      </w:r>
    </w:p>
    <w:p>
      <w:pPr>
        <w:numPr>
          <w:ilvl w:val="2"/>
          <w:numId w:val="8"/>
        </w:numPr>
        <w:tabs>
          <w:tab w:val="left" w:pos="2014"/>
        </w:tabs>
        <w:snapToGrid w:val="0"/>
        <w:spacing w:line="360" w:lineRule="auto"/>
        <w:rPr>
          <w:rFonts w:hint="eastAsia" w:ascii="宋体" w:hAnsi="宋体"/>
          <w:color w:val="auto"/>
          <w:sz w:val="24"/>
          <w:highlight w:val="none"/>
        </w:rPr>
      </w:pPr>
      <w:r>
        <w:rPr>
          <w:rFonts w:hint="eastAsia" w:ascii="宋体" w:hAnsi="宋体"/>
          <w:color w:val="auto"/>
          <w:sz w:val="24"/>
          <w:highlight w:val="none"/>
        </w:rPr>
        <w:t>根据《关于调整网络安全专用产品安全管理有关事项的公告》（2023年第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推广使用低挥发性有机化合物（VOCs）</w:t>
      </w:r>
    </w:p>
    <w:p>
      <w:pPr>
        <w:numPr>
          <w:ilvl w:val="2"/>
          <w:numId w:val="8"/>
        </w:numPr>
        <w:tabs>
          <w:tab w:val="left" w:pos="2014"/>
        </w:tabs>
        <w:snapToGrid w:val="0"/>
        <w:spacing w:line="360" w:lineRule="auto"/>
        <w:rPr>
          <w:rFonts w:hint="eastAsia" w:ascii="宋体" w:hAnsi="宋体"/>
          <w:color w:val="auto"/>
          <w:sz w:val="24"/>
          <w:highlight w:val="none"/>
        </w:rPr>
      </w:pPr>
      <w:r>
        <w:rPr>
          <w:rFonts w:ascii="宋体" w:hAnsi="宋体"/>
          <w:color w:val="auto"/>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ascii="宋体" w:hAnsi="宋体"/>
          <w:color w:val="auto"/>
          <w:kern w:val="0"/>
          <w:sz w:val="24"/>
          <w:highlight w:val="none"/>
        </w:rPr>
        <w:t>否则</w:t>
      </w:r>
      <w:r>
        <w:rPr>
          <w:rFonts w:ascii="宋体" w:hAnsi="宋体"/>
          <w:b/>
          <w:color w:val="auto"/>
          <w:kern w:val="0"/>
          <w:sz w:val="24"/>
          <w:highlight w:val="none"/>
        </w:rPr>
        <w:t>投标无效</w:t>
      </w:r>
      <w:r>
        <w:rPr>
          <w:rFonts w:ascii="宋体" w:hAnsi="宋体"/>
          <w:color w:val="auto"/>
          <w:sz w:val="24"/>
          <w:highlight w:val="none"/>
        </w:rPr>
        <w:t>；属于推荐性标准的，优先采购，具体见第四章《评标方法和评标标准》。</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hint="eastAsia" w:ascii="宋体" w:hAnsi="宋体"/>
          <w:color w:val="auto"/>
          <w:sz w:val="24"/>
          <w:highlight w:val="none"/>
        </w:rPr>
        <w:t>采购需求标准</w:t>
      </w:r>
    </w:p>
    <w:p>
      <w:pPr>
        <w:numPr>
          <w:ilvl w:val="2"/>
          <w:numId w:val="8"/>
        </w:numPr>
        <w:tabs>
          <w:tab w:val="left" w:pos="2014"/>
          <w:tab w:val="clear" w:pos="1980"/>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商品包装、快递包装政府采购需求标准（试行） </w:t>
      </w:r>
    </w:p>
    <w:p>
      <w:pPr>
        <w:tabs>
          <w:tab w:val="left" w:pos="900"/>
          <w:tab w:val="left" w:pos="2014"/>
        </w:tabs>
        <w:snapToGrid w:val="0"/>
        <w:spacing w:line="360" w:lineRule="auto"/>
        <w:ind w:left="1980"/>
        <w:rPr>
          <w:rFonts w:hint="eastAsia" w:ascii="宋体" w:hAnsi="宋体"/>
          <w:color w:val="auto"/>
          <w:sz w:val="24"/>
          <w:highlight w:val="none"/>
        </w:rPr>
      </w:pPr>
      <w:r>
        <w:rPr>
          <w:rFonts w:ascii="宋体" w:hAnsi="宋体"/>
          <w:color w:val="auto"/>
          <w:sz w:val="24"/>
          <w:highlight w:val="none"/>
        </w:rPr>
        <w:t>为助力打好污染防治攻坚战，推广使用绿色包装，根据财政部关于印 发《商品包装政府采购需求标准（试行）》、《快递包装政府采购需求 标准（试行）》的通知（财办库〔2020〕123 号），本项目如涉及商 品包装和快递包装的，则其具体要求见第五章《采购需求》。</w:t>
      </w:r>
    </w:p>
    <w:p>
      <w:pPr>
        <w:numPr>
          <w:ilvl w:val="2"/>
          <w:numId w:val="8"/>
        </w:numPr>
        <w:tabs>
          <w:tab w:val="left" w:pos="2014"/>
          <w:tab w:val="clear" w:pos="19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其他政府采购需求标准</w:t>
      </w:r>
    </w:p>
    <w:p>
      <w:pPr>
        <w:tabs>
          <w:tab w:val="left" w:pos="900"/>
          <w:tab w:val="left" w:pos="2014"/>
        </w:tabs>
        <w:snapToGrid w:val="0"/>
        <w:spacing w:line="360" w:lineRule="auto"/>
        <w:ind w:left="1980"/>
        <w:rPr>
          <w:rFonts w:hint="eastAsia" w:ascii="宋体" w:hAnsi="宋体"/>
          <w:color w:val="auto"/>
          <w:sz w:val="24"/>
          <w:highlight w:val="none"/>
        </w:rPr>
      </w:pPr>
      <w:r>
        <w:rPr>
          <w:rFonts w:hint="eastAsia" w:ascii="宋体" w:hAnsi="宋体"/>
          <w:color w:val="auto"/>
          <w:sz w:val="24"/>
          <w:highlight w:val="none"/>
        </w:rPr>
        <w:t>为贯彻落实《深化政府采购制度改革方案》有关要求，推动政府采购需求标准建设，财政部门会同有关部门制定发布的其他政府采购需求标准，本项目如涉及，则具体要求见第五章《采购需求》。</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200" w:name="_Toc162978995"/>
      <w:bookmarkStart w:id="201" w:name="_Toc162978922"/>
      <w:r>
        <w:rPr>
          <w:rFonts w:ascii="宋体" w:hAnsi="宋体"/>
          <w:color w:val="auto"/>
          <w:sz w:val="24"/>
          <w:highlight w:val="none"/>
        </w:rPr>
        <w:t>投标费用</w:t>
      </w:r>
      <w:bookmarkEnd w:id="200"/>
      <w:bookmarkEnd w:id="201"/>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rFonts w:hint="eastAsia" w:ascii="宋体" w:hAnsi="宋体"/>
          <w:color w:val="auto"/>
          <w:sz w:val="28"/>
          <w:highlight w:val="none"/>
        </w:rPr>
      </w:pPr>
      <w:bookmarkStart w:id="202" w:name="_1.8_计量单位"/>
      <w:bookmarkEnd w:id="202"/>
    </w:p>
    <w:p>
      <w:pPr>
        <w:pStyle w:val="3"/>
        <w:snapToGrid w:val="0"/>
        <w:spacing w:before="0" w:line="360" w:lineRule="auto"/>
        <w:rPr>
          <w:rFonts w:hint="eastAsia" w:ascii="宋体" w:hAnsi="宋体" w:eastAsia="宋体"/>
          <w:color w:val="auto"/>
          <w:sz w:val="28"/>
          <w:highlight w:val="none"/>
        </w:rPr>
      </w:pPr>
      <w:bookmarkStart w:id="203" w:name="_Toc162978996"/>
      <w:bookmarkStart w:id="204" w:name="_Toc162978923"/>
      <w:r>
        <w:rPr>
          <w:rFonts w:ascii="宋体" w:hAnsi="宋体" w:eastAsia="宋体"/>
          <w:color w:val="auto"/>
          <w:sz w:val="28"/>
          <w:highlight w:val="none"/>
        </w:rPr>
        <w:t>二   招标文件</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203"/>
      <w:bookmarkEnd w:id="204"/>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205" w:name="_Toc151193621"/>
      <w:bookmarkStart w:id="206" w:name="_Toc150509274"/>
      <w:bookmarkStart w:id="207" w:name="_Toc226965713"/>
      <w:bookmarkStart w:id="208" w:name="_Toc264969213"/>
      <w:bookmarkStart w:id="209" w:name="_Toc142311025"/>
      <w:bookmarkStart w:id="210" w:name="_Toc150480761"/>
      <w:bookmarkStart w:id="211" w:name="_Toc164351617"/>
      <w:bookmarkStart w:id="212" w:name="_Toc164229364"/>
      <w:bookmarkStart w:id="213" w:name="_Toc151193765"/>
      <w:bookmarkStart w:id="214" w:name="_Toc150774728"/>
      <w:bookmarkStart w:id="215" w:name="_Toc151193911"/>
      <w:bookmarkStart w:id="216" w:name="_Toc127161437"/>
      <w:bookmarkStart w:id="217" w:name="_Toc265228361"/>
      <w:bookmarkStart w:id="218" w:name="_Toc151193693"/>
      <w:bookmarkStart w:id="219" w:name="_Toc164608792"/>
      <w:bookmarkStart w:id="220" w:name="_Toc149720816"/>
      <w:bookmarkStart w:id="221" w:name="_Toc127151523"/>
      <w:bookmarkStart w:id="222" w:name="_Toc305158791"/>
      <w:bookmarkStart w:id="223" w:name="_Toc151190150"/>
      <w:bookmarkStart w:id="224" w:name="_Toc164608637"/>
      <w:bookmarkStart w:id="225" w:name="_Toc150774623"/>
      <w:bookmarkStart w:id="226" w:name="_Toc164229218"/>
      <w:bookmarkStart w:id="227" w:name="_Toc151193837"/>
      <w:bookmarkStart w:id="228" w:name="_Toc226309767"/>
      <w:bookmarkStart w:id="229" w:name="_Toc226337219"/>
      <w:bookmarkStart w:id="230" w:name="_Toc127151724"/>
      <w:bookmarkStart w:id="231" w:name="_Toc305158865"/>
      <w:bookmarkStart w:id="232" w:name="_Toc520356147"/>
      <w:bookmarkStart w:id="233" w:name="_Toc195842888"/>
      <w:bookmarkStart w:id="234" w:name="_Toc226965796"/>
      <w:bookmarkStart w:id="235" w:name="_Toc162978924"/>
      <w:bookmarkStart w:id="236" w:name="_Toc162978997"/>
      <w:r>
        <w:rPr>
          <w:rFonts w:ascii="宋体" w:hAnsi="宋体"/>
          <w:color w:val="auto"/>
          <w:sz w:val="24"/>
          <w:highlight w:val="none"/>
        </w:rPr>
        <w:t>招标文件构</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ascii="宋体" w:hAnsi="宋体"/>
          <w:color w:val="auto"/>
          <w:sz w:val="24"/>
          <w:highlight w:val="none"/>
        </w:rPr>
        <w:t>成</w:t>
      </w:r>
      <w:bookmarkEnd w:id="235"/>
      <w:bookmarkEnd w:id="236"/>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招标文件包括以下部分：</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投标邀请</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投标人须知</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资格审查</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评标程序、评标方法和评标标准</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采购需求</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拟签订的合同文本</w:t>
      </w:r>
    </w:p>
    <w:p>
      <w:pPr>
        <w:numPr>
          <w:ilvl w:val="0"/>
          <w:numId w:val="9"/>
        </w:numPr>
        <w:tabs>
          <w:tab w:val="left" w:pos="1980"/>
          <w:tab w:val="left" w:pos="2520"/>
        </w:tabs>
        <w:snapToGrid w:val="0"/>
        <w:spacing w:line="360" w:lineRule="auto"/>
        <w:ind w:left="1440" w:firstLine="5"/>
        <w:rPr>
          <w:rFonts w:hint="eastAsia" w:ascii="宋体" w:hAnsi="宋体"/>
          <w:color w:val="auto"/>
          <w:sz w:val="24"/>
          <w:highlight w:val="none"/>
        </w:rPr>
      </w:pPr>
      <w:r>
        <w:rPr>
          <w:rFonts w:ascii="宋体" w:hAnsi="宋体"/>
          <w:color w:val="auto"/>
          <w:sz w:val="24"/>
          <w:highlight w:val="none"/>
        </w:rPr>
        <w:t>投标文件格式</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投标人应认真阅读招标文件的全部内容。投标人应按照招标文件要求提交投标文件并保证所提供的全部资料的真实性，并对招标文件做出实质性响应，否则</w:t>
      </w:r>
      <w:r>
        <w:rPr>
          <w:rFonts w:ascii="宋体" w:hAnsi="宋体"/>
          <w:b/>
          <w:color w:val="auto"/>
          <w:sz w:val="24"/>
          <w:highlight w:val="none"/>
        </w:rPr>
        <w:t>投标无效</w:t>
      </w:r>
      <w:r>
        <w:rPr>
          <w:rFonts w:ascii="宋体" w:hAnsi="宋体"/>
          <w:color w:val="auto"/>
          <w:sz w:val="24"/>
          <w:highlight w:val="none"/>
        </w:rPr>
        <w:t>。</w:t>
      </w:r>
    </w:p>
    <w:p>
      <w:pPr>
        <w:numPr>
          <w:ilvl w:val="0"/>
          <w:numId w:val="8"/>
        </w:numPr>
        <w:tabs>
          <w:tab w:val="left" w:pos="1080"/>
          <w:tab w:val="left" w:pos="2014"/>
        </w:tabs>
        <w:snapToGrid w:val="0"/>
        <w:spacing w:line="360" w:lineRule="auto"/>
        <w:ind w:left="357" w:hanging="357"/>
        <w:outlineLvl w:val="1"/>
        <w:rPr>
          <w:rFonts w:hint="eastAsia" w:ascii="宋体" w:hAnsi="宋体"/>
          <w:color w:val="auto"/>
          <w:sz w:val="24"/>
          <w:highlight w:val="none"/>
        </w:rPr>
      </w:pPr>
      <w:bookmarkStart w:id="237" w:name="_Toc162978998"/>
      <w:bookmarkStart w:id="238" w:name="_Toc162978925"/>
      <w:r>
        <w:rPr>
          <w:rFonts w:ascii="宋体" w:hAnsi="宋体"/>
          <w:color w:val="auto"/>
          <w:sz w:val="24"/>
          <w:highlight w:val="none"/>
        </w:rPr>
        <w:t>对招标文件的澄清或修改</w:t>
      </w:r>
      <w:bookmarkEnd w:id="237"/>
      <w:bookmarkEnd w:id="238"/>
    </w:p>
    <w:p>
      <w:pPr>
        <w:numPr>
          <w:ilvl w:val="1"/>
          <w:numId w:val="8"/>
        </w:numPr>
        <w:tabs>
          <w:tab w:val="left" w:pos="1080"/>
          <w:tab w:val="left" w:pos="1561"/>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采购人或采购代理机构对已发出的招标文件进行必要澄清或者修改的，将在原公告发布媒体上发布更正公告，并以书面形式通知所有获取招标文件的潜在投标人。</w:t>
      </w:r>
    </w:p>
    <w:p>
      <w:pPr>
        <w:numPr>
          <w:ilvl w:val="1"/>
          <w:numId w:val="8"/>
        </w:numPr>
        <w:tabs>
          <w:tab w:val="left" w:pos="1080"/>
          <w:tab w:val="left" w:pos="1561"/>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上述书面通知，按照获取招标文件的潜在投标人提供的联系方式发出，因提供的信息有误导致通知延迟或无法通知的，采购人或采购代理机构不承担责任。</w:t>
      </w:r>
    </w:p>
    <w:p>
      <w:pPr>
        <w:numPr>
          <w:ilvl w:val="1"/>
          <w:numId w:val="8"/>
        </w:numPr>
        <w:tabs>
          <w:tab w:val="left" w:pos="1080"/>
          <w:tab w:val="left" w:pos="1561"/>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rFonts w:hint="eastAsia" w:ascii="宋体" w:hAnsi="宋体"/>
          <w:color w:val="auto"/>
          <w:sz w:val="28"/>
          <w:highlight w:val="none"/>
        </w:rPr>
      </w:pPr>
      <w:bookmarkStart w:id="239" w:name="_Toc516367020"/>
      <w:bookmarkStart w:id="240" w:name="_Toc151193624"/>
      <w:bookmarkStart w:id="241" w:name="_Toc151193768"/>
      <w:bookmarkStart w:id="242" w:name="_Toc226965716"/>
      <w:bookmarkStart w:id="243" w:name="_Toc150774731"/>
      <w:bookmarkStart w:id="244" w:name="_Toc127151526"/>
      <w:bookmarkStart w:id="245" w:name="_Toc520356150"/>
      <w:bookmarkStart w:id="246" w:name="_Toc151193914"/>
      <w:bookmarkStart w:id="247" w:name="_Toc226337222"/>
      <w:bookmarkStart w:id="248" w:name="_Toc151193840"/>
      <w:bookmarkStart w:id="249" w:name="_Toc226309770"/>
      <w:bookmarkStart w:id="250" w:name="_Toc264969216"/>
      <w:bookmarkStart w:id="251" w:name="_Toc142311028"/>
      <w:bookmarkStart w:id="252" w:name="_Toc226965799"/>
      <w:bookmarkStart w:id="253" w:name="_Toc150509277"/>
      <w:bookmarkStart w:id="254" w:name="_Toc265228364"/>
      <w:bookmarkStart w:id="255" w:name="_Toc150774626"/>
      <w:bookmarkStart w:id="256" w:name="_Toc305158868"/>
      <w:bookmarkStart w:id="257" w:name="_Toc150480764"/>
      <w:bookmarkStart w:id="258" w:name="_Toc151190153"/>
      <w:bookmarkStart w:id="259" w:name="_Toc151193696"/>
      <w:bookmarkStart w:id="260" w:name="_Toc305158794"/>
      <w:bookmarkStart w:id="261" w:name="_Toc195842891"/>
    </w:p>
    <w:p>
      <w:pPr>
        <w:pStyle w:val="3"/>
        <w:snapToGrid w:val="0"/>
        <w:spacing w:before="0" w:line="360" w:lineRule="auto"/>
        <w:rPr>
          <w:rFonts w:hint="eastAsia" w:ascii="宋体" w:hAnsi="宋体" w:eastAsia="宋体"/>
          <w:color w:val="auto"/>
          <w:sz w:val="28"/>
          <w:highlight w:val="none"/>
        </w:rPr>
      </w:pPr>
      <w:bookmarkStart w:id="262" w:name="_Toc162978999"/>
      <w:bookmarkStart w:id="263" w:name="_Toc162978926"/>
      <w:r>
        <w:rPr>
          <w:rFonts w:ascii="宋体" w:hAnsi="宋体" w:eastAsia="宋体"/>
          <w:color w:val="auto"/>
          <w:sz w:val="28"/>
          <w:highlight w:val="none"/>
        </w:rPr>
        <w:t>三   投标文件</w:t>
      </w:r>
      <w:bookmarkEnd w:id="239"/>
      <w:r>
        <w:rPr>
          <w:rFonts w:ascii="宋体" w:hAnsi="宋体" w:eastAsia="宋体"/>
          <w:color w:val="auto"/>
          <w:sz w:val="28"/>
          <w:highlight w:val="none"/>
        </w:rPr>
        <w:t>的编制</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264" w:name="_Toc151190154"/>
      <w:bookmarkStart w:id="265" w:name="_Toc520356151"/>
      <w:bookmarkStart w:id="266" w:name="_Toc305158869"/>
      <w:bookmarkStart w:id="267" w:name="_Toc151193697"/>
      <w:bookmarkStart w:id="268" w:name="_Toc226309771"/>
      <w:bookmarkStart w:id="269" w:name="_Toc150509278"/>
      <w:bookmarkStart w:id="270" w:name="_Toc150774627"/>
      <w:bookmarkStart w:id="271" w:name="_Toc226965717"/>
      <w:bookmarkStart w:id="272" w:name="_Toc226965800"/>
      <w:bookmarkStart w:id="273" w:name="_Toc150774732"/>
      <w:bookmarkStart w:id="274" w:name="_Toc516367021"/>
      <w:bookmarkStart w:id="275" w:name="_Toc127161441"/>
      <w:bookmarkStart w:id="276" w:name="_Toc164608641"/>
      <w:bookmarkStart w:id="277" w:name="_Toc151193769"/>
      <w:bookmarkStart w:id="278" w:name="_Toc142311029"/>
      <w:bookmarkStart w:id="279" w:name="_Toc151193915"/>
      <w:bookmarkStart w:id="280" w:name="_Toc264969217"/>
      <w:bookmarkStart w:id="281" w:name="_Toc305158795"/>
      <w:bookmarkStart w:id="282" w:name="_Toc151193625"/>
      <w:bookmarkStart w:id="283" w:name="_Toc127151728"/>
      <w:bookmarkStart w:id="284" w:name="_Toc164608796"/>
      <w:bookmarkStart w:id="285" w:name="_Toc164229368"/>
      <w:bookmarkStart w:id="286" w:name="_Toc265228365"/>
      <w:bookmarkStart w:id="287" w:name="_Toc149720820"/>
      <w:bookmarkStart w:id="288" w:name="_Toc164229222"/>
      <w:bookmarkStart w:id="289" w:name="_Toc226337223"/>
      <w:bookmarkStart w:id="290" w:name="_Toc151193841"/>
      <w:bookmarkStart w:id="291" w:name="_Toc195842892"/>
      <w:bookmarkStart w:id="292" w:name="_Toc150480765"/>
      <w:bookmarkStart w:id="293" w:name="_Toc164351621"/>
      <w:bookmarkStart w:id="294" w:name="_Toc127151527"/>
      <w:bookmarkStart w:id="295" w:name="_Toc162979000"/>
      <w:bookmarkStart w:id="296" w:name="_Toc162978927"/>
      <w:r>
        <w:rPr>
          <w:rFonts w:ascii="宋体" w:hAnsi="宋体"/>
          <w:color w:val="auto"/>
          <w:sz w:val="24"/>
          <w:highlight w:val="none"/>
        </w:rPr>
        <w:t>投标范围、投标文件中计量单位的使用</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Fonts w:ascii="宋体" w:hAnsi="宋体"/>
          <w:color w:val="auto"/>
          <w:sz w:val="24"/>
          <w:highlight w:val="none"/>
        </w:rPr>
        <w:t>及投标语言</w:t>
      </w:r>
      <w:bookmarkEnd w:id="295"/>
      <w:bookmarkEnd w:id="296"/>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rFonts w:ascii="宋体" w:hAnsi="宋体"/>
          <w:b/>
          <w:color w:val="auto"/>
          <w:sz w:val="24"/>
          <w:highlight w:val="none"/>
        </w:rPr>
        <w:t>无效投标</w:t>
      </w:r>
      <w:r>
        <w:rPr>
          <w:rFonts w:ascii="宋体" w:hAnsi="宋体"/>
          <w:color w:val="auto"/>
          <w:sz w:val="24"/>
          <w:highlight w:val="none"/>
        </w:rPr>
        <w:t>。</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除招标文件有特殊要求外，本项目投标所使用的计量单位，应采用中华人民共和国法定计量单位。</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297" w:name="_Ref467306676"/>
      <w:bookmarkStart w:id="298" w:name="_Ref467306195"/>
      <w:bookmarkStart w:id="299" w:name="_Toc516367022"/>
      <w:bookmarkStart w:id="300" w:name="_Toc264969218"/>
      <w:bookmarkStart w:id="301" w:name="_Toc149720821"/>
      <w:bookmarkStart w:id="302" w:name="_Toc162979001"/>
      <w:bookmarkStart w:id="303" w:name="_Toc226337224"/>
      <w:bookmarkStart w:id="304" w:name="_Toc151193698"/>
      <w:bookmarkStart w:id="305" w:name="_Toc164229369"/>
      <w:bookmarkStart w:id="306" w:name="_Toc265228366"/>
      <w:bookmarkStart w:id="307" w:name="_Toc150774628"/>
      <w:bookmarkStart w:id="308" w:name="_Toc305158870"/>
      <w:bookmarkStart w:id="309" w:name="_Toc151190155"/>
      <w:bookmarkStart w:id="310" w:name="_Toc226309772"/>
      <w:bookmarkStart w:id="311" w:name="_Toc127151528"/>
      <w:bookmarkStart w:id="312" w:name="_Toc142311030"/>
      <w:bookmarkStart w:id="313" w:name="_Toc520356152"/>
      <w:bookmarkStart w:id="314" w:name="_Toc151193916"/>
      <w:bookmarkStart w:id="315" w:name="_Toc226965718"/>
      <w:bookmarkStart w:id="316" w:name="_Toc162978928"/>
      <w:bookmarkStart w:id="317" w:name="_Toc164229223"/>
      <w:bookmarkStart w:id="318" w:name="_Toc195842893"/>
      <w:bookmarkStart w:id="319" w:name="_Toc164608642"/>
      <w:bookmarkStart w:id="320" w:name="_Toc151193626"/>
      <w:bookmarkStart w:id="321" w:name="_Toc150509279"/>
      <w:bookmarkStart w:id="322" w:name="_Toc127161442"/>
      <w:bookmarkStart w:id="323" w:name="_Toc150774733"/>
      <w:bookmarkStart w:id="324" w:name="_Toc305158796"/>
      <w:bookmarkStart w:id="325" w:name="_Toc127151729"/>
      <w:bookmarkStart w:id="326" w:name="_Toc150480766"/>
      <w:bookmarkStart w:id="327" w:name="_Toc164351622"/>
      <w:bookmarkStart w:id="328" w:name="_Toc164608797"/>
      <w:bookmarkStart w:id="329" w:name="_Toc226965801"/>
      <w:bookmarkStart w:id="330" w:name="_Toc151193842"/>
      <w:bookmarkStart w:id="331" w:name="_Toc151193770"/>
      <w:r>
        <w:rPr>
          <w:rFonts w:ascii="宋体" w:hAnsi="宋体"/>
          <w:color w:val="auto"/>
          <w:sz w:val="24"/>
          <w:highlight w:val="none"/>
        </w:rPr>
        <w:t>投标文件</w:t>
      </w:r>
      <w:bookmarkEnd w:id="297"/>
      <w:bookmarkEnd w:id="298"/>
      <w:bookmarkEnd w:id="299"/>
      <w:r>
        <w:rPr>
          <w:rFonts w:ascii="宋体" w:hAnsi="宋体"/>
          <w:color w:val="auto"/>
          <w:sz w:val="24"/>
          <w:highlight w:val="none"/>
        </w:rPr>
        <w:t>构成</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332" w:name="_Ref467052588"/>
      <w:r>
        <w:rPr>
          <w:rFonts w:ascii="宋体" w:hAnsi="宋体"/>
          <w:color w:val="auto"/>
          <w:sz w:val="24"/>
          <w:highlight w:val="none"/>
        </w:rPr>
        <w:t>投标人应当按照招标文件的要求编制投标文件。投标文件应由《资格证明文件》、《商务技术文件》两部分构成。投标文件的部分格式要求，见第七章《投标文件格式》。</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kern w:val="0"/>
          <w:sz w:val="24"/>
          <w:highlight w:val="none"/>
        </w:rPr>
        <w:t>对于招标文件中标记了“实质性格式”文件的，</w:t>
      </w:r>
      <w:r>
        <w:rPr>
          <w:rFonts w:ascii="宋体" w:hAnsi="宋体"/>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ascii="宋体" w:hAnsi="宋体"/>
          <w:color w:val="auto"/>
          <w:kern w:val="0"/>
          <w:sz w:val="24"/>
          <w:highlight w:val="none"/>
        </w:rPr>
        <w:t>否则</w:t>
      </w:r>
      <w:r>
        <w:rPr>
          <w:rFonts w:ascii="宋体" w:hAnsi="宋体"/>
          <w:b/>
          <w:color w:val="auto"/>
          <w:kern w:val="0"/>
          <w:sz w:val="24"/>
          <w:highlight w:val="none"/>
        </w:rPr>
        <w:t>投标无效</w:t>
      </w:r>
      <w:r>
        <w:rPr>
          <w:rFonts w:ascii="宋体" w:hAnsi="宋体"/>
          <w:color w:val="auto"/>
          <w:kern w:val="0"/>
          <w:sz w:val="24"/>
          <w:highlight w:val="none"/>
        </w:rPr>
        <w:t>。未标记“实质性格式”的文件和招标文件未提供格式的内容，可由投标人自行编写。</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第四章《评标程序、评标方法和评标标准》中涉及的证明文件。</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投标人认为应附的其他材料。</w:t>
      </w:r>
      <w:bookmarkEnd w:id="332"/>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333" w:name="_Toc127161444"/>
      <w:bookmarkStart w:id="334" w:name="_Toc142311032"/>
      <w:bookmarkStart w:id="335" w:name="_Toc151193772"/>
      <w:bookmarkStart w:id="336" w:name="_Toc195842895"/>
      <w:bookmarkStart w:id="337" w:name="_Toc164608644"/>
      <w:bookmarkStart w:id="338" w:name="_Toc150774735"/>
      <w:bookmarkStart w:id="339" w:name="_Toc149720823"/>
      <w:bookmarkStart w:id="340" w:name="_Toc151193700"/>
      <w:bookmarkStart w:id="341" w:name="_Toc164229225"/>
      <w:bookmarkStart w:id="342" w:name="_Toc164229371"/>
      <w:bookmarkStart w:id="343" w:name="_Toc162979002"/>
      <w:bookmarkStart w:id="344" w:name="_Toc162978929"/>
      <w:bookmarkStart w:id="345" w:name="_Toc151193844"/>
      <w:bookmarkStart w:id="346" w:name="_Toc150480768"/>
      <w:bookmarkStart w:id="347" w:name="_Toc127151530"/>
      <w:bookmarkStart w:id="348" w:name="_Toc164608799"/>
      <w:bookmarkStart w:id="349" w:name="_Toc151190157"/>
      <w:bookmarkStart w:id="350" w:name="_Toc127151731"/>
      <w:bookmarkStart w:id="351" w:name="_Toc151193918"/>
      <w:bookmarkStart w:id="352" w:name="_Toc151193628"/>
      <w:bookmarkStart w:id="353" w:name="_Toc520356155"/>
      <w:bookmarkStart w:id="354" w:name="_Toc150774630"/>
      <w:bookmarkStart w:id="355" w:name="_Toc150509281"/>
      <w:bookmarkStart w:id="356" w:name="_Toc164351624"/>
      <w:r>
        <w:rPr>
          <w:rFonts w:ascii="宋体" w:hAnsi="宋体"/>
          <w:color w:val="auto"/>
          <w:sz w:val="24"/>
          <w:highlight w:val="none"/>
        </w:rPr>
        <w:t>投标报价</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所有投标均以人民币报价。</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投标人的报价应包括为完成本项目所发生的一切费用和税费，采购人将不再支付报价以外的任何费用。</w:t>
      </w:r>
      <w:r>
        <w:rPr>
          <w:rFonts w:hint="eastAsia" w:ascii="宋体" w:hAnsi="宋体"/>
          <w:color w:val="auto"/>
          <w:sz w:val="24"/>
          <w:highlight w:val="none"/>
        </w:rPr>
        <w:t>投标人的报价应包括但不限于下列内容，《投标人须知资料表》中有特殊规定的，从其规定。</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招标文件要求完成本项目的全部相关服务费用；</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 xml:space="preserve">按照招标文件要求完成本项目的全部相关服务费用。 </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采购人不得向供应商索要或者接受其给予的赠品、回扣或者与采购无关的其他商品、服务。</w:t>
      </w:r>
    </w:p>
    <w:p>
      <w:pPr>
        <w:numPr>
          <w:ilvl w:val="1"/>
          <w:numId w:val="8"/>
        </w:numPr>
        <w:tabs>
          <w:tab w:val="left" w:pos="1080"/>
          <w:tab w:val="left" w:pos="2014"/>
        </w:tabs>
        <w:snapToGrid w:val="0"/>
        <w:spacing w:line="360" w:lineRule="auto"/>
        <w:ind w:left="1080" w:hanging="720"/>
        <w:rPr>
          <w:rFonts w:hint="eastAsia" w:ascii="宋体" w:hAnsi="宋体"/>
          <w:color w:val="auto"/>
          <w:sz w:val="24"/>
          <w:highlight w:val="none"/>
        </w:rPr>
      </w:pPr>
      <w:r>
        <w:rPr>
          <w:rFonts w:ascii="宋体" w:hAnsi="宋体"/>
          <w:color w:val="auto"/>
          <w:sz w:val="24"/>
          <w:highlight w:val="none"/>
        </w:rPr>
        <w:t>投标人不能提供任何有选择性或可调整的报价，否则其</w:t>
      </w:r>
      <w:r>
        <w:rPr>
          <w:rFonts w:ascii="宋体" w:hAnsi="宋体"/>
          <w:b/>
          <w:color w:val="auto"/>
          <w:sz w:val="24"/>
          <w:highlight w:val="none"/>
        </w:rPr>
        <w:t>投标无效</w:t>
      </w:r>
      <w:r>
        <w:rPr>
          <w:rFonts w:ascii="宋体" w:hAnsi="宋体"/>
          <w:color w:val="auto"/>
          <w:sz w:val="24"/>
          <w:highlight w:val="none"/>
        </w:rPr>
        <w:t>。</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357" w:name="_Toc226965804"/>
      <w:bookmarkStart w:id="358" w:name="_Toc150774736"/>
      <w:bookmarkStart w:id="359" w:name="_Toc195842896"/>
      <w:bookmarkStart w:id="360" w:name="_Toc150509282"/>
      <w:bookmarkStart w:id="361" w:name="_Toc127151531"/>
      <w:bookmarkStart w:id="362" w:name="_Toc265228369"/>
      <w:bookmarkStart w:id="363" w:name="_Toc164229226"/>
      <w:bookmarkStart w:id="364" w:name="_Toc164608645"/>
      <w:bookmarkStart w:id="365" w:name="_Toc150480769"/>
      <w:bookmarkStart w:id="366" w:name="_Toc305158799"/>
      <w:bookmarkStart w:id="367" w:name="_Toc226309775"/>
      <w:bookmarkStart w:id="368" w:name="_Toc164229372"/>
      <w:bookmarkStart w:id="369" w:name="_Toc149720824"/>
      <w:bookmarkStart w:id="370" w:name="_Toc164351625"/>
      <w:bookmarkStart w:id="371" w:name="_Toc151190158"/>
      <w:bookmarkStart w:id="372" w:name="_Ref467306513"/>
      <w:bookmarkStart w:id="373" w:name="_Toc164608800"/>
      <w:bookmarkStart w:id="374" w:name="_Toc226965721"/>
      <w:bookmarkStart w:id="375" w:name="_Toc151193773"/>
      <w:bookmarkStart w:id="376" w:name="_Toc305158873"/>
      <w:bookmarkStart w:id="377" w:name="_Toc162979003"/>
      <w:bookmarkStart w:id="378" w:name="_Toc162978930"/>
      <w:bookmarkStart w:id="379" w:name="_Toc151193701"/>
      <w:bookmarkStart w:id="380" w:name="_Toc150774631"/>
      <w:bookmarkStart w:id="381" w:name="_Toc264969221"/>
      <w:bookmarkStart w:id="382" w:name="_Toc142311033"/>
      <w:bookmarkStart w:id="383" w:name="_Toc226337227"/>
      <w:bookmarkStart w:id="384" w:name="_Toc520356156"/>
      <w:bookmarkStart w:id="385" w:name="_Toc151193629"/>
      <w:bookmarkStart w:id="386" w:name="_Toc127151732"/>
      <w:bookmarkStart w:id="387" w:name="_Toc127161445"/>
      <w:bookmarkStart w:id="388" w:name="_Toc151193919"/>
      <w:bookmarkStart w:id="389" w:name="_Toc151193845"/>
      <w:r>
        <w:rPr>
          <w:rFonts w:ascii="宋体" w:hAnsi="宋体"/>
          <w:color w:val="auto"/>
          <w:sz w:val="24"/>
          <w:highlight w:val="none"/>
        </w:rPr>
        <w:t>投标保证金</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390" w:name="_Ref467306302"/>
      <w:r>
        <w:rPr>
          <w:rFonts w:ascii="宋体" w:hAnsi="宋体"/>
          <w:color w:val="auto"/>
          <w:sz w:val="24"/>
          <w:highlight w:val="none"/>
        </w:rPr>
        <w:t>投标人应按《投标人须知资料表》中规定的金额及要求交纳投标保证金</w:t>
      </w:r>
      <w:bookmarkEnd w:id="390"/>
      <w:r>
        <w:rPr>
          <w:rFonts w:ascii="宋体" w:hAnsi="宋体"/>
          <w:color w:val="auto"/>
          <w:sz w:val="24"/>
          <w:highlight w:val="none"/>
        </w:rPr>
        <w:t>。</w:t>
      </w:r>
      <w:r>
        <w:rPr>
          <w:rFonts w:hint="eastAsia" w:ascii="宋体" w:hAnsi="宋体"/>
          <w:color w:val="auto"/>
          <w:sz w:val="24"/>
          <w:highlight w:val="none"/>
        </w:rPr>
        <w:t>投标人自愿超额缴纳投标保证金的，投标文件不做无效处理。</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交纳投标保证金可采用的形式：政府采购法律法规接受的支票、汇票、本票、网上银行支付或者金融机构、担保机构出具的保函等非现金形式。</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投标保证金到账（保函提交）截止时间同投标截止时间。以支票、汇票、本票、网上银行支付等形式提交投标保证金的，应在投标截止时间前</w:t>
      </w:r>
      <w:r>
        <w:rPr>
          <w:rFonts w:hint="eastAsia" w:ascii="宋体" w:hAnsi="宋体"/>
          <w:color w:val="auto"/>
          <w:sz w:val="24"/>
          <w:highlight w:val="none"/>
        </w:rPr>
        <w:t>到账</w:t>
      </w:r>
      <w:r>
        <w:rPr>
          <w:rFonts w:ascii="宋体" w:hAnsi="宋体"/>
          <w:color w:val="auto"/>
          <w:sz w:val="24"/>
          <w:highlight w:val="none"/>
        </w:rPr>
        <w:t>；</w:t>
      </w:r>
      <w:r>
        <w:rPr>
          <w:rFonts w:hint="eastAsia" w:ascii="宋体" w:hAnsi="宋体"/>
          <w:color w:val="auto"/>
          <w:sz w:val="24"/>
          <w:highlight w:val="none"/>
        </w:rPr>
        <w:t>以</w:t>
      </w:r>
      <w:r>
        <w:rPr>
          <w:rFonts w:ascii="宋体" w:hAnsi="宋体"/>
          <w:color w:val="auto"/>
          <w:sz w:val="24"/>
          <w:highlight w:val="none"/>
        </w:rPr>
        <w:t>金融机构、担保机构出具的</w:t>
      </w:r>
      <w:r>
        <w:rPr>
          <w:color w:val="auto"/>
          <w:sz w:val="24"/>
          <w:highlight w:val="none"/>
        </w:rPr>
        <w:t>纸质</w:t>
      </w:r>
      <w:r>
        <w:rPr>
          <w:rFonts w:ascii="宋体" w:hAnsi="宋体"/>
          <w:color w:val="auto"/>
          <w:sz w:val="24"/>
          <w:highlight w:val="none"/>
        </w:rPr>
        <w:t>保函等形式提交投标保证金的，应在投标截止时间前将原件提交至</w:t>
      </w:r>
      <w:r>
        <w:rPr>
          <w:rFonts w:hint="eastAsia" w:ascii="宋体" w:hAnsi="宋体"/>
          <w:color w:val="auto"/>
          <w:sz w:val="24"/>
          <w:highlight w:val="none"/>
        </w:rPr>
        <w:t>采购代理机构</w:t>
      </w:r>
      <w:r>
        <w:rPr>
          <w:color w:val="auto"/>
          <w:sz w:val="24"/>
          <w:highlight w:val="none"/>
        </w:rPr>
        <w:t>；</w:t>
      </w:r>
      <w:bookmarkStart w:id="391" w:name="_Hlk164959831"/>
      <w:r>
        <w:rPr>
          <w:color w:val="auto"/>
          <w:sz w:val="24"/>
          <w:highlight w:val="none"/>
        </w:rPr>
        <w:t>以电子保函形式提交投标保证金的，应在投标截止时间前通过</w:t>
      </w:r>
      <w:r>
        <w:rPr>
          <w:color w:val="auto"/>
          <w:sz w:val="24"/>
          <w:highlight w:val="none"/>
          <w:lang w:bidi="ar"/>
        </w:rPr>
        <w:t>北京市政府采购电子交易平台完成电子保函在线办理。</w:t>
      </w:r>
      <w:bookmarkEnd w:id="391"/>
      <w:r>
        <w:rPr>
          <w:rFonts w:hint="eastAsia"/>
          <w:color w:val="auto"/>
          <w:sz w:val="24"/>
          <w:highlight w:val="none"/>
        </w:rPr>
        <w:t>未按上述要求缴纳投标保证金</w:t>
      </w:r>
      <w:r>
        <w:rPr>
          <w:color w:val="auto"/>
          <w:sz w:val="24"/>
          <w:highlight w:val="none"/>
        </w:rPr>
        <w:t>的，其</w:t>
      </w:r>
      <w:r>
        <w:rPr>
          <w:b/>
          <w:color w:val="auto"/>
          <w:sz w:val="24"/>
          <w:highlight w:val="none"/>
        </w:rPr>
        <w:t>投标无效</w:t>
      </w:r>
      <w:r>
        <w:rPr>
          <w:color w:val="auto"/>
          <w:sz w:val="24"/>
          <w:highlight w:val="none"/>
        </w:rPr>
        <w:t>。</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投标人除需在投标文件中提供“投标保证金凭证/交款单据电子件”，还需在投标截止时间前，通过电子交易平台上传“投标保证金凭证/交款单据电子件”。</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投标保证金有效期同投标有效期。</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投标人为联合体的，可以由联合体中的一方或者多方共同交纳投标保证金，其交纳的投标保证金对联合体各方均具有约束力。</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采购人、采购代理机构将及时退还投标人的投标保证金，采用银行保函、担保机构担保函等形式递交的</w:t>
      </w:r>
      <w:r>
        <w:rPr>
          <w:rFonts w:hint="eastAsia" w:ascii="宋体" w:hAnsi="宋体"/>
          <w:color w:val="auto"/>
          <w:sz w:val="24"/>
          <w:highlight w:val="none"/>
        </w:rPr>
        <w:t>投标</w:t>
      </w:r>
      <w:r>
        <w:rPr>
          <w:rFonts w:ascii="宋体" w:hAnsi="宋体"/>
          <w:color w:val="auto"/>
          <w:sz w:val="24"/>
          <w:highlight w:val="none"/>
        </w:rPr>
        <w:t>保证金，经供应商同意后采购人、采购代理机构可以不再退还，但因投标人自身原因导致无法及时退还的除外：</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投标人在投标截止时间前撤回已提交的投标文件的，自收到投标人书面撤回通知之日起5个工作日内退还已收取的投标保证金；</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中标人的投标保证金，自采购合同签订之日起5个工作日内退还中标人；</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未中标投标人的投标保证金，自中标通知书发出之日起5个工作日内退还未中标人；</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终止招标项目已经收取投标保证金的，自终止采购活动后5个工作日内退还已收取的投标保证金及其在银行产生的孳息。</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有下列情形之一的，采购人或采购代理机构可以不予退还投标保证金：</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投标有效期内投标人撤销投标文件的；</w:t>
      </w:r>
    </w:p>
    <w:p>
      <w:pPr>
        <w:numPr>
          <w:ilvl w:val="2"/>
          <w:numId w:val="8"/>
        </w:numPr>
        <w:tabs>
          <w:tab w:val="left" w:pos="900"/>
          <w:tab w:val="left" w:pos="1080"/>
          <w:tab w:val="left" w:pos="2014"/>
        </w:tabs>
        <w:snapToGrid w:val="0"/>
        <w:spacing w:line="360" w:lineRule="auto"/>
        <w:rPr>
          <w:rFonts w:hint="eastAsia" w:ascii="宋体" w:hAnsi="宋体"/>
          <w:color w:val="auto"/>
          <w:sz w:val="24"/>
          <w:highlight w:val="none"/>
        </w:rPr>
      </w:pPr>
      <w:r>
        <w:rPr>
          <w:rFonts w:ascii="宋体" w:hAnsi="宋体"/>
          <w:color w:val="auto"/>
          <w:sz w:val="24"/>
          <w:highlight w:val="none"/>
        </w:rPr>
        <w:t>《投标人须知资料表》中规定的其他情形。</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392" w:name="_Toc150480770"/>
      <w:bookmarkStart w:id="393" w:name="_Toc226309776"/>
      <w:bookmarkStart w:id="394" w:name="_Toc151193920"/>
      <w:bookmarkStart w:id="395" w:name="_Toc151193702"/>
      <w:bookmarkStart w:id="396" w:name="_Toc127161446"/>
      <w:bookmarkStart w:id="397" w:name="_Toc150774632"/>
      <w:bookmarkStart w:id="398" w:name="_Toc150774737"/>
      <w:bookmarkStart w:id="399" w:name="_Toc164608646"/>
      <w:bookmarkStart w:id="400" w:name="_Toc151190159"/>
      <w:bookmarkStart w:id="401" w:name="_Toc265228370"/>
      <w:bookmarkStart w:id="402" w:name="_Toc164229373"/>
      <w:bookmarkStart w:id="403" w:name="_Toc142311034"/>
      <w:bookmarkStart w:id="404" w:name="_Toc149720825"/>
      <w:bookmarkStart w:id="405" w:name="_Toc164229227"/>
      <w:bookmarkStart w:id="406" w:name="_Toc164351626"/>
      <w:bookmarkStart w:id="407" w:name="_Toc520356157"/>
      <w:bookmarkStart w:id="408" w:name="_Toc162978931"/>
      <w:bookmarkStart w:id="409" w:name="_Toc305158874"/>
      <w:bookmarkStart w:id="410" w:name="_Toc226965722"/>
      <w:bookmarkStart w:id="411" w:name="_Toc226337228"/>
      <w:bookmarkStart w:id="412" w:name="_Toc151193774"/>
      <w:bookmarkStart w:id="413" w:name="_Toc305158800"/>
      <w:bookmarkStart w:id="414" w:name="_Toc127151733"/>
      <w:bookmarkStart w:id="415" w:name="_Toc264969222"/>
      <w:bookmarkStart w:id="416" w:name="_Toc195842897"/>
      <w:bookmarkStart w:id="417" w:name="_Toc127151532"/>
      <w:bookmarkStart w:id="418" w:name="_Toc164608801"/>
      <w:bookmarkStart w:id="419" w:name="_Toc226965805"/>
      <w:bookmarkStart w:id="420" w:name="_Toc162979004"/>
      <w:bookmarkStart w:id="421" w:name="_Toc151193846"/>
      <w:bookmarkStart w:id="422" w:name="_Toc151193630"/>
      <w:bookmarkStart w:id="423" w:name="_Toc150509283"/>
      <w:r>
        <w:rPr>
          <w:rFonts w:ascii="宋体" w:hAnsi="宋体"/>
          <w:color w:val="auto"/>
          <w:sz w:val="24"/>
          <w:highlight w:val="none"/>
        </w:rPr>
        <w:t>投标有效期</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w:t>
      </w:r>
      <w:r>
        <w:rPr>
          <w:rFonts w:hint="eastAsia" w:ascii="宋体" w:hAnsi="宋体"/>
          <w:color w:val="auto"/>
          <w:sz w:val="24"/>
          <w:highlight w:val="none"/>
        </w:rPr>
        <w:t>文件</w:t>
      </w:r>
      <w:r>
        <w:rPr>
          <w:rFonts w:ascii="宋体" w:hAnsi="宋体"/>
          <w:color w:val="auto"/>
          <w:sz w:val="24"/>
          <w:highlight w:val="none"/>
        </w:rPr>
        <w:t>应在本招标文件《投标人须知资料表》中规定的投标有效期内保持有效，投标有效期少于招标文件规定期限的，其</w:t>
      </w:r>
      <w:r>
        <w:rPr>
          <w:rFonts w:ascii="宋体" w:hAnsi="宋体"/>
          <w:b/>
          <w:color w:val="auto"/>
          <w:sz w:val="24"/>
          <w:highlight w:val="none"/>
        </w:rPr>
        <w:t>投标无效</w:t>
      </w:r>
      <w:r>
        <w:rPr>
          <w:rFonts w:ascii="宋体" w:hAnsi="宋体"/>
          <w:color w:val="auto"/>
          <w:sz w:val="24"/>
          <w:highlight w:val="none"/>
        </w:rPr>
        <w:t>。</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424" w:name="_Toc226965806"/>
      <w:bookmarkStart w:id="425" w:name="_Toc151193847"/>
      <w:bookmarkStart w:id="426" w:name="_Toc305158801"/>
      <w:bookmarkStart w:id="427" w:name="_Toc164229228"/>
      <w:bookmarkStart w:id="428" w:name="_Toc226337229"/>
      <w:bookmarkStart w:id="429" w:name="_Toc127151533"/>
      <w:bookmarkStart w:id="430" w:name="_Toc127161447"/>
      <w:bookmarkStart w:id="431" w:name="_Toc520356158"/>
      <w:bookmarkStart w:id="432" w:name="_Toc151193703"/>
      <w:bookmarkStart w:id="433" w:name="_Toc305158875"/>
      <w:bookmarkStart w:id="434" w:name="_Toc150480771"/>
      <w:bookmarkStart w:id="435" w:name="_Toc150774738"/>
      <w:bookmarkStart w:id="436" w:name="_Toc151193775"/>
      <w:bookmarkStart w:id="437" w:name="_Toc151193631"/>
      <w:bookmarkStart w:id="438" w:name="_Toc127151734"/>
      <w:bookmarkStart w:id="439" w:name="_Toc164608802"/>
      <w:bookmarkStart w:id="440" w:name="_Toc226309777"/>
      <w:bookmarkStart w:id="441" w:name="_Toc164229374"/>
      <w:bookmarkStart w:id="442" w:name="_Toc164351627"/>
      <w:bookmarkStart w:id="443" w:name="_Toc151193921"/>
      <w:bookmarkStart w:id="444" w:name="_Toc142311035"/>
      <w:bookmarkStart w:id="445" w:name="_Toc151190160"/>
      <w:bookmarkStart w:id="446" w:name="_Toc149720826"/>
      <w:bookmarkStart w:id="447" w:name="_Toc150774633"/>
      <w:bookmarkStart w:id="448" w:name="_Toc164608647"/>
      <w:bookmarkStart w:id="449" w:name="_Toc150509284"/>
      <w:bookmarkStart w:id="450" w:name="_Toc264969223"/>
      <w:bookmarkStart w:id="451" w:name="_Toc195842898"/>
      <w:bookmarkStart w:id="452" w:name="_Toc265228371"/>
      <w:bookmarkStart w:id="453" w:name="_Toc226965723"/>
      <w:bookmarkStart w:id="454" w:name="_Toc162979005"/>
      <w:bookmarkStart w:id="455" w:name="_Toc162978932"/>
      <w:r>
        <w:rPr>
          <w:rFonts w:ascii="宋体" w:hAnsi="宋体"/>
          <w:color w:val="auto"/>
          <w:sz w:val="24"/>
          <w:highlight w:val="none"/>
        </w:rPr>
        <w:t>投标文件的签署</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Fonts w:ascii="宋体" w:hAnsi="宋体"/>
          <w:color w:val="auto"/>
          <w:sz w:val="24"/>
          <w:highlight w:val="none"/>
        </w:rPr>
        <w:t>、盖章</w:t>
      </w:r>
      <w:bookmarkEnd w:id="454"/>
      <w:bookmarkEnd w:id="455"/>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456" w:name="_Toc150774634"/>
      <w:bookmarkStart w:id="457" w:name="_Toc264969224"/>
      <w:bookmarkStart w:id="458" w:name="_Toc520356159"/>
      <w:bookmarkStart w:id="459" w:name="_Toc195842899"/>
      <w:bookmarkStart w:id="460" w:name="_Toc226965724"/>
      <w:bookmarkStart w:id="461" w:name="_Toc151193704"/>
      <w:bookmarkStart w:id="462" w:name="_Toc150480772"/>
      <w:bookmarkStart w:id="463" w:name="_Toc151193632"/>
      <w:bookmarkStart w:id="464" w:name="_Toc142311036"/>
      <w:bookmarkStart w:id="465" w:name="_Toc150509285"/>
      <w:bookmarkStart w:id="466" w:name="_Toc226337230"/>
      <w:bookmarkStart w:id="467" w:name="_Toc127151534"/>
      <w:bookmarkStart w:id="468" w:name="_Toc151190161"/>
      <w:bookmarkStart w:id="469" w:name="_Toc305158876"/>
      <w:bookmarkStart w:id="470" w:name="_Toc150774739"/>
      <w:bookmarkStart w:id="471" w:name="_Toc151193922"/>
      <w:bookmarkStart w:id="472" w:name="_Toc151193848"/>
      <w:bookmarkStart w:id="473" w:name="_Toc305158802"/>
      <w:bookmarkStart w:id="474" w:name="_Toc226965807"/>
      <w:bookmarkStart w:id="475" w:name="_Toc226309778"/>
      <w:bookmarkStart w:id="476" w:name="_Toc151193776"/>
      <w:bookmarkStart w:id="477" w:name="_Toc265228372"/>
      <w:r>
        <w:rPr>
          <w:rFonts w:ascii="宋体" w:hAnsi="宋体"/>
          <w:color w:val="auto"/>
          <w:sz w:val="24"/>
          <w:highlight w:val="none"/>
        </w:rPr>
        <w:t>招标文件要求签字的内容（如授权委托书等），</w:t>
      </w:r>
      <w:r>
        <w:rPr>
          <w:rFonts w:hint="eastAsia" w:ascii="宋体" w:hAnsi="宋体"/>
          <w:color w:val="auto"/>
          <w:sz w:val="24"/>
          <w:highlight w:val="none"/>
        </w:rPr>
        <w:t>可以使用电子签章或使用原件的电子件（电子件指扫描件、照片等形式电子文件）；要求</w:t>
      </w:r>
      <w:r>
        <w:rPr>
          <w:rFonts w:ascii="宋体" w:hAnsi="宋体"/>
          <w:color w:val="auto"/>
          <w:sz w:val="24"/>
          <w:highlight w:val="none"/>
        </w:rPr>
        <w:t>第三方出具的盖章件原件（如联合协议、分包意向协议、制造商授权书等），投标文件中应使用原件的电子件。</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招标文件要求盖章的内容，</w:t>
      </w:r>
      <w:r>
        <w:rPr>
          <w:rFonts w:hint="eastAsia" w:ascii="宋体" w:hAnsi="宋体"/>
          <w:color w:val="auto"/>
          <w:sz w:val="24"/>
          <w:highlight w:val="none"/>
        </w:rPr>
        <w:t>一般</w:t>
      </w:r>
      <w:r>
        <w:rPr>
          <w:rFonts w:ascii="宋体" w:hAnsi="宋体"/>
          <w:color w:val="auto"/>
          <w:sz w:val="24"/>
          <w:highlight w:val="none"/>
        </w:rPr>
        <w:t>通过投标文件编制工具加盖电子签章。</w:t>
      </w:r>
    </w:p>
    <w:p>
      <w:pPr>
        <w:tabs>
          <w:tab w:val="left" w:pos="900"/>
          <w:tab w:val="left" w:pos="1080"/>
        </w:tabs>
        <w:snapToGrid w:val="0"/>
        <w:spacing w:line="360" w:lineRule="auto"/>
        <w:ind w:left="357"/>
        <w:rPr>
          <w:rFonts w:hint="eastAsia" w:ascii="宋体" w:hAnsi="宋体"/>
          <w:color w:val="auto"/>
          <w:highlight w:val="none"/>
        </w:rPr>
      </w:pPr>
    </w:p>
    <w:p>
      <w:pPr>
        <w:pStyle w:val="3"/>
        <w:snapToGrid w:val="0"/>
        <w:spacing w:before="0" w:line="360" w:lineRule="auto"/>
        <w:rPr>
          <w:rFonts w:hint="eastAsia" w:ascii="宋体" w:hAnsi="宋体" w:eastAsia="宋体"/>
          <w:color w:val="auto"/>
          <w:sz w:val="28"/>
          <w:highlight w:val="none"/>
        </w:rPr>
      </w:pPr>
      <w:bookmarkStart w:id="478" w:name="_Toc162978933"/>
      <w:bookmarkStart w:id="479" w:name="_Toc162979006"/>
      <w:r>
        <w:rPr>
          <w:rFonts w:ascii="宋体" w:hAnsi="宋体" w:eastAsia="宋体"/>
          <w:color w:val="auto"/>
          <w:sz w:val="28"/>
          <w:highlight w:val="none"/>
        </w:rPr>
        <w:t>四   投标文件的提交</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480" w:name="_Toc150480773"/>
      <w:bookmarkStart w:id="481" w:name="_Toc226309779"/>
      <w:bookmarkStart w:id="482" w:name="_Toc520356160"/>
      <w:bookmarkStart w:id="483" w:name="_Toc142311037"/>
      <w:bookmarkStart w:id="484" w:name="_Toc164229230"/>
      <w:bookmarkStart w:id="485" w:name="_Toc151193633"/>
      <w:bookmarkStart w:id="486" w:name="_Toc164351629"/>
      <w:bookmarkStart w:id="487" w:name="_Toc127151736"/>
      <w:bookmarkStart w:id="488" w:name="_Toc151190162"/>
      <w:bookmarkStart w:id="489" w:name="_Toc226965808"/>
      <w:bookmarkStart w:id="490" w:name="_Toc149720828"/>
      <w:bookmarkStart w:id="491" w:name="_Toc226337231"/>
      <w:bookmarkStart w:id="492" w:name="_Toc265228373"/>
      <w:bookmarkStart w:id="493" w:name="_Toc226965725"/>
      <w:bookmarkStart w:id="494" w:name="_Toc151193923"/>
      <w:bookmarkStart w:id="495" w:name="_Toc264969225"/>
      <w:bookmarkStart w:id="496" w:name="_Toc164229376"/>
      <w:bookmarkStart w:id="497" w:name="_Toc150774740"/>
      <w:bookmarkStart w:id="498" w:name="_Toc305158877"/>
      <w:bookmarkStart w:id="499" w:name="_Toc151193849"/>
      <w:bookmarkStart w:id="500" w:name="_Toc151193705"/>
      <w:bookmarkStart w:id="501" w:name="_Toc150774635"/>
      <w:bookmarkStart w:id="502" w:name="_Toc164608649"/>
      <w:bookmarkStart w:id="503" w:name="_Toc127161449"/>
      <w:bookmarkStart w:id="504" w:name="_Toc150509286"/>
      <w:bookmarkStart w:id="505" w:name="_Toc164608804"/>
      <w:bookmarkStart w:id="506" w:name="_Toc195842900"/>
      <w:bookmarkStart w:id="507" w:name="_Toc305158803"/>
      <w:bookmarkStart w:id="508" w:name="_Toc127151535"/>
      <w:bookmarkStart w:id="509" w:name="_Toc151193777"/>
      <w:bookmarkStart w:id="510" w:name="_Toc162978934"/>
      <w:bookmarkStart w:id="511" w:name="_Toc162979007"/>
      <w:r>
        <w:rPr>
          <w:rFonts w:ascii="宋体" w:hAnsi="宋体"/>
          <w:color w:val="auto"/>
          <w:sz w:val="24"/>
          <w:highlight w:val="none"/>
        </w:rPr>
        <w:t>投标文件的</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Fonts w:ascii="宋体" w:hAnsi="宋体"/>
          <w:color w:val="auto"/>
          <w:sz w:val="24"/>
          <w:highlight w:val="none"/>
        </w:rPr>
        <w:t>提交</w:t>
      </w:r>
      <w:bookmarkEnd w:id="510"/>
      <w:bookmarkEnd w:id="511"/>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color w:val="auto"/>
          <w:sz w:val="24"/>
          <w:highlight w:val="none"/>
        </w:rPr>
        <w:t>本项目使用</w:t>
      </w:r>
      <w:r>
        <w:rPr>
          <w:rFonts w:eastAsiaTheme="minorEastAsia"/>
          <w:color w:val="auto"/>
          <w:sz w:val="24"/>
          <w:highlight w:val="none"/>
        </w:rPr>
        <w:t>北京市政府采购</w:t>
      </w:r>
      <w:r>
        <w:rPr>
          <w:color w:val="auto"/>
          <w:sz w:val="24"/>
          <w:highlight w:val="none"/>
        </w:rPr>
        <w:t>电子交易平台。投标人根据招标文件及电子交易平台供应商操作手册要求编制、生成并提交电子投标文件。</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采购人及采购代理机构拒绝接受通过电子交易平台以外任何形式提交的投标文件，投标保证金除外。</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512" w:name="_Toc142311038"/>
      <w:bookmarkStart w:id="513" w:name="_Toc195842901"/>
      <w:bookmarkStart w:id="514" w:name="_Toc226337232"/>
      <w:bookmarkStart w:id="515" w:name="_Toc305158804"/>
      <w:bookmarkStart w:id="516" w:name="_Toc151190163"/>
      <w:bookmarkStart w:id="517" w:name="_Toc150480774"/>
      <w:bookmarkStart w:id="518" w:name="_Toc520356161"/>
      <w:bookmarkStart w:id="519" w:name="_Toc127161450"/>
      <w:bookmarkStart w:id="520" w:name="_Toc264969226"/>
      <w:bookmarkStart w:id="521" w:name="_Toc226965809"/>
      <w:bookmarkStart w:id="522" w:name="_Toc151193706"/>
      <w:bookmarkStart w:id="523" w:name="_Toc164608805"/>
      <w:bookmarkStart w:id="524" w:name="_Toc151193778"/>
      <w:bookmarkStart w:id="525" w:name="_Toc150774741"/>
      <w:bookmarkStart w:id="526" w:name="_Toc164351630"/>
      <w:bookmarkStart w:id="527" w:name="_Toc226309780"/>
      <w:bookmarkStart w:id="528" w:name="_Toc164608650"/>
      <w:bookmarkStart w:id="529" w:name="_Toc127151536"/>
      <w:bookmarkStart w:id="530" w:name="_Toc151193924"/>
      <w:bookmarkStart w:id="531" w:name="_Toc151193850"/>
      <w:bookmarkStart w:id="532" w:name="_Toc164229377"/>
      <w:bookmarkStart w:id="533" w:name="_Toc305158878"/>
      <w:bookmarkStart w:id="534" w:name="_Toc149720829"/>
      <w:bookmarkStart w:id="535" w:name="_Toc164229231"/>
      <w:bookmarkStart w:id="536" w:name="_Toc150509287"/>
      <w:bookmarkStart w:id="537" w:name="_Toc150774636"/>
      <w:bookmarkStart w:id="538" w:name="_Toc265228374"/>
      <w:bookmarkStart w:id="539" w:name="_Toc226965726"/>
      <w:bookmarkStart w:id="540" w:name="_Toc127151737"/>
      <w:bookmarkStart w:id="541" w:name="_Toc151193634"/>
      <w:bookmarkStart w:id="542" w:name="_Toc162978935"/>
      <w:bookmarkStart w:id="543" w:name="_Toc162979008"/>
      <w:r>
        <w:rPr>
          <w:rFonts w:ascii="宋体" w:hAnsi="宋体"/>
          <w:color w:val="auto"/>
          <w:sz w:val="24"/>
          <w:highlight w:val="none"/>
        </w:rPr>
        <w:t>投标截止</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Fonts w:ascii="宋体" w:hAnsi="宋体"/>
          <w:color w:val="auto"/>
          <w:sz w:val="24"/>
          <w:highlight w:val="none"/>
        </w:rPr>
        <w:t>时间</w:t>
      </w:r>
      <w:bookmarkEnd w:id="542"/>
      <w:bookmarkEnd w:id="543"/>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投标人应在招标文件要求提交投标文件截止时间前，将电子投标文件提交至电子交易平台。</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544" w:name="_Toc151193635"/>
      <w:bookmarkStart w:id="545" w:name="_Toc226965727"/>
      <w:bookmarkStart w:id="546" w:name="_Toc164229232"/>
      <w:bookmarkStart w:id="547" w:name="_Toc164608651"/>
      <w:bookmarkStart w:id="548" w:name="_Toc149720830"/>
      <w:bookmarkStart w:id="549" w:name="_Toc195842902"/>
      <w:bookmarkStart w:id="550" w:name="_Toc162978936"/>
      <w:bookmarkStart w:id="551" w:name="_Toc150774637"/>
      <w:bookmarkStart w:id="552" w:name="_Toc127161451"/>
      <w:bookmarkStart w:id="553" w:name="_Toc305158879"/>
      <w:bookmarkStart w:id="554" w:name="_Toc127151738"/>
      <w:bookmarkStart w:id="555" w:name="_Toc164229378"/>
      <w:bookmarkStart w:id="556" w:name="_Toc151193851"/>
      <w:bookmarkStart w:id="557" w:name="_Toc151193925"/>
      <w:bookmarkStart w:id="558" w:name="_Toc264969227"/>
      <w:bookmarkStart w:id="559" w:name="_Toc226965810"/>
      <w:bookmarkStart w:id="560" w:name="_Toc164351631"/>
      <w:bookmarkStart w:id="561" w:name="_Toc162979009"/>
      <w:bookmarkStart w:id="562" w:name="_Toc127151537"/>
      <w:bookmarkStart w:id="563" w:name="_Toc164608806"/>
      <w:bookmarkStart w:id="564" w:name="_Toc150774742"/>
      <w:bookmarkStart w:id="565" w:name="_Toc151190164"/>
      <w:bookmarkStart w:id="566" w:name="_Toc150480775"/>
      <w:bookmarkStart w:id="567" w:name="_Toc142311039"/>
      <w:bookmarkStart w:id="568" w:name="_Toc150509288"/>
      <w:bookmarkStart w:id="569" w:name="_Toc520356162"/>
      <w:bookmarkStart w:id="570" w:name="_Toc151193779"/>
      <w:bookmarkStart w:id="571" w:name="_Toc226337233"/>
      <w:bookmarkStart w:id="572" w:name="_Toc265228375"/>
      <w:bookmarkStart w:id="573" w:name="_Toc305158805"/>
      <w:bookmarkStart w:id="574" w:name="_Toc151193707"/>
      <w:bookmarkStart w:id="575" w:name="_Toc226309781"/>
      <w:r>
        <w:rPr>
          <w:rFonts w:ascii="宋体" w:hAnsi="宋体"/>
          <w:color w:val="auto"/>
          <w:sz w:val="24"/>
          <w:highlight w:val="none"/>
        </w:rPr>
        <w:t>投标文件的修改与撤回</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投标截止时间前，投标人可以通过</w:t>
      </w:r>
      <w:r>
        <w:rPr>
          <w:color w:val="auto"/>
          <w:sz w:val="24"/>
          <w:highlight w:val="none"/>
        </w:rPr>
        <w:t>电子交易平台</w:t>
      </w:r>
      <w:r>
        <w:rPr>
          <w:rFonts w:hint="eastAsia" w:ascii="宋体" w:hAnsi="宋体"/>
          <w:color w:val="auto"/>
          <w:sz w:val="24"/>
          <w:highlight w:val="none"/>
        </w:rPr>
        <w:t>对所提交的投标文件进行补充、修改或者撤回。投标保证金的补充、修改或者撤回无需通过电子交易平台，但应就其补充、修改或者撤回通知采购人或采购代理机构。</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投标人对投标文件的补充、修改的内容应当按照招标文件要求签署、盖章，作为投标文件的组成部分。</w:t>
      </w:r>
    </w:p>
    <w:p>
      <w:pPr>
        <w:snapToGrid w:val="0"/>
        <w:spacing w:line="360" w:lineRule="auto"/>
        <w:rPr>
          <w:rFonts w:hint="eastAsia" w:ascii="宋体" w:hAnsi="宋体"/>
          <w:color w:val="auto"/>
          <w:sz w:val="24"/>
          <w:highlight w:val="none"/>
        </w:rPr>
      </w:pPr>
    </w:p>
    <w:p>
      <w:pPr>
        <w:pStyle w:val="3"/>
        <w:snapToGrid w:val="0"/>
        <w:spacing w:before="0" w:line="360" w:lineRule="auto"/>
        <w:rPr>
          <w:rFonts w:hint="eastAsia" w:ascii="宋体" w:hAnsi="宋体" w:eastAsia="宋体"/>
          <w:color w:val="auto"/>
          <w:sz w:val="28"/>
          <w:highlight w:val="none"/>
        </w:rPr>
      </w:pPr>
      <w:bookmarkStart w:id="576" w:name="_Toc226309782"/>
      <w:bookmarkStart w:id="577" w:name="_Toc520356163"/>
      <w:bookmarkStart w:id="578" w:name="_Toc264969228"/>
      <w:bookmarkStart w:id="579" w:name="_Toc127151538"/>
      <w:bookmarkStart w:id="580" w:name="_Toc151190165"/>
      <w:bookmarkStart w:id="581" w:name="_Toc305158806"/>
      <w:bookmarkStart w:id="582" w:name="_Toc151193780"/>
      <w:bookmarkStart w:id="583" w:name="_Toc150480776"/>
      <w:bookmarkStart w:id="584" w:name="_Toc150774638"/>
      <w:bookmarkStart w:id="585" w:name="_Toc142311040"/>
      <w:bookmarkStart w:id="586" w:name="_Toc226965728"/>
      <w:bookmarkStart w:id="587" w:name="_Toc226965811"/>
      <w:bookmarkStart w:id="588" w:name="_Toc151193926"/>
      <w:bookmarkStart w:id="589" w:name="_Toc305158880"/>
      <w:bookmarkStart w:id="590" w:name="_Toc151193636"/>
      <w:bookmarkStart w:id="591" w:name="_Toc265228376"/>
      <w:bookmarkStart w:id="592" w:name="_Toc150509289"/>
      <w:bookmarkStart w:id="593" w:name="_Toc150774743"/>
      <w:bookmarkStart w:id="594" w:name="_Toc151193708"/>
      <w:bookmarkStart w:id="595" w:name="_Toc226337234"/>
      <w:bookmarkStart w:id="596" w:name="_Toc162979010"/>
      <w:bookmarkStart w:id="597" w:name="_Toc162978937"/>
      <w:bookmarkStart w:id="598" w:name="_Toc195842903"/>
      <w:bookmarkStart w:id="599" w:name="_Toc151193852"/>
      <w:r>
        <w:rPr>
          <w:rFonts w:ascii="宋体" w:hAnsi="宋体" w:eastAsia="宋体"/>
          <w:color w:val="auto"/>
          <w:sz w:val="28"/>
          <w:highlight w:val="none"/>
        </w:rPr>
        <w:t>五   开标、资格审查及评标</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600" w:name="_Toc195842904"/>
      <w:bookmarkStart w:id="601" w:name="_Toc162978938"/>
      <w:bookmarkStart w:id="602" w:name="_Toc226965729"/>
      <w:bookmarkStart w:id="603" w:name="_Toc150480777"/>
      <w:bookmarkStart w:id="604" w:name="_Toc264969229"/>
      <w:bookmarkStart w:id="605" w:name="_Toc127151740"/>
      <w:bookmarkStart w:id="606" w:name="_Toc164229234"/>
      <w:bookmarkStart w:id="607" w:name="_Toc151193709"/>
      <w:bookmarkStart w:id="608" w:name="_Toc127161453"/>
      <w:bookmarkStart w:id="609" w:name="_Toc127151539"/>
      <w:bookmarkStart w:id="610" w:name="_Toc149720832"/>
      <w:bookmarkStart w:id="611" w:name="_Toc265228377"/>
      <w:bookmarkStart w:id="612" w:name="_Toc151193781"/>
      <w:bookmarkStart w:id="613" w:name="_Toc150774639"/>
      <w:bookmarkStart w:id="614" w:name="_Toc226337235"/>
      <w:bookmarkStart w:id="615" w:name="_Toc226965812"/>
      <w:bookmarkStart w:id="616" w:name="_Toc142311041"/>
      <w:bookmarkStart w:id="617" w:name="_Toc150774744"/>
      <w:bookmarkStart w:id="618" w:name="_Toc164608653"/>
      <w:bookmarkStart w:id="619" w:name="_Toc164229380"/>
      <w:bookmarkStart w:id="620" w:name="_Toc164351633"/>
      <w:bookmarkStart w:id="621" w:name="_Toc305158881"/>
      <w:bookmarkStart w:id="622" w:name="_Toc151193853"/>
      <w:bookmarkStart w:id="623" w:name="_Toc151190166"/>
      <w:bookmarkStart w:id="624" w:name="_Toc162979011"/>
      <w:bookmarkStart w:id="625" w:name="_Toc226309783"/>
      <w:bookmarkStart w:id="626" w:name="_Toc151193637"/>
      <w:bookmarkStart w:id="627" w:name="_Toc151193927"/>
      <w:bookmarkStart w:id="628" w:name="_Toc520356164"/>
      <w:bookmarkStart w:id="629" w:name="_Toc305158807"/>
      <w:bookmarkStart w:id="630" w:name="_Toc150509290"/>
      <w:bookmarkStart w:id="631" w:name="_Toc164608808"/>
      <w:r>
        <w:rPr>
          <w:rFonts w:ascii="宋体" w:hAnsi="宋体"/>
          <w:color w:val="auto"/>
          <w:sz w:val="24"/>
          <w:highlight w:val="none"/>
        </w:rPr>
        <w:t>开标</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采购人或采购代理机构将按招标文件的规定，在投标截止时间的同一时间和招标文件预先确定的地点组织开标。</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法定代表人或其委托代理人应当作为投标人代表按时参加开标会，在递交投标文件截止时间前向采购代理机构提交法定代表人身份证明文件或法定代表人授权委托书，出示本人有效身份证明文件原件并签到。因未出示上述文件而导致无法签到，投标人自行承担风险。</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本项目开标使用</w:t>
      </w:r>
      <w:r>
        <w:rPr>
          <w:rFonts w:eastAsiaTheme="minorEastAsia"/>
          <w:color w:val="auto"/>
          <w:sz w:val="24"/>
          <w:highlight w:val="none"/>
        </w:rPr>
        <w:t>北京市政府采购</w:t>
      </w:r>
      <w:r>
        <w:rPr>
          <w:color w:val="auto"/>
          <w:sz w:val="24"/>
          <w:highlight w:val="none"/>
        </w:rPr>
        <w:t>电子交易平台</w:t>
      </w:r>
      <w:r>
        <w:rPr>
          <w:rFonts w:hint="eastAsia" w:ascii="宋体" w:hAnsi="宋体"/>
          <w:color w:val="auto"/>
          <w:sz w:val="24"/>
          <w:highlight w:val="none"/>
        </w:rPr>
        <w:t>。投标人应在《投标人须知资料表》规定的时间内对投标文件进行解密，因非系统原因导致的解密失败，视为</w:t>
      </w:r>
      <w:r>
        <w:rPr>
          <w:rFonts w:hint="eastAsia" w:ascii="宋体" w:hAnsi="宋体"/>
          <w:b/>
          <w:bCs/>
          <w:color w:val="auto"/>
          <w:sz w:val="24"/>
          <w:highlight w:val="none"/>
        </w:rPr>
        <w:t>投标无效</w:t>
      </w:r>
      <w:r>
        <w:rPr>
          <w:rFonts w:hint="eastAsia" w:ascii="宋体" w:hAnsi="宋体"/>
          <w:color w:val="auto"/>
          <w:sz w:val="24"/>
          <w:highlight w:val="none"/>
        </w:rPr>
        <w:t>。</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632" w:name="_Toc520356165"/>
      <w:r>
        <w:rPr>
          <w:rFonts w:hint="eastAsia" w:ascii="宋体" w:hAnsi="宋体"/>
          <w:color w:val="auto"/>
          <w:sz w:val="24"/>
          <w:highlight w:val="none"/>
        </w:rPr>
        <w:t>开标过程将使用</w:t>
      </w:r>
      <w:r>
        <w:rPr>
          <w:color w:val="auto"/>
          <w:sz w:val="24"/>
          <w:highlight w:val="none"/>
        </w:rPr>
        <w:t>电子交易平台</w:t>
      </w:r>
      <w:r>
        <w:rPr>
          <w:rFonts w:hint="eastAsia" w:ascii="宋体" w:hAnsi="宋体"/>
          <w:color w:val="auto"/>
          <w:sz w:val="24"/>
          <w:highlight w:val="none"/>
        </w:rPr>
        <w:t>宣布投标人名称、投标价格和招标文件规定的需要宣布的其他内容并进行记录，并由参加开标的各投标人确认。投标人未在规定时间内提出疑义或确认一览表的，视同认可开标结果。</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投标人不足 3 家的，不予开标。</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633" w:name="_Toc162979012"/>
      <w:bookmarkStart w:id="634" w:name="_Toc162978939"/>
      <w:r>
        <w:rPr>
          <w:rFonts w:ascii="宋体" w:hAnsi="宋体"/>
          <w:color w:val="auto"/>
          <w:sz w:val="24"/>
          <w:highlight w:val="none"/>
        </w:rPr>
        <w:t>资格审查</w:t>
      </w:r>
      <w:bookmarkEnd w:id="633"/>
      <w:bookmarkEnd w:id="634"/>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见第三章《资格审查》。</w:t>
      </w:r>
    </w:p>
    <w:bookmarkEnd w:id="632"/>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635" w:name="_Toc149720833"/>
      <w:bookmarkStart w:id="636" w:name="_Toc151193710"/>
      <w:bookmarkStart w:id="637" w:name="_Toc305158882"/>
      <w:bookmarkStart w:id="638" w:name="_Toc142311042"/>
      <w:bookmarkStart w:id="639" w:name="_Toc195842905"/>
      <w:bookmarkStart w:id="640" w:name="_Toc127161454"/>
      <w:bookmarkStart w:id="641" w:name="_Toc150774745"/>
      <w:bookmarkStart w:id="642" w:name="_Toc151193854"/>
      <w:bookmarkStart w:id="643" w:name="_Toc164229381"/>
      <w:bookmarkStart w:id="644" w:name="_Toc226965730"/>
      <w:bookmarkStart w:id="645" w:name="_Toc151193782"/>
      <w:bookmarkStart w:id="646" w:name="_Toc162979013"/>
      <w:bookmarkStart w:id="647" w:name="_Toc264969230"/>
      <w:bookmarkStart w:id="648" w:name="_Toc226965813"/>
      <w:bookmarkStart w:id="649" w:name="_Toc151193638"/>
      <w:bookmarkStart w:id="650" w:name="_Toc127151540"/>
      <w:bookmarkStart w:id="651" w:name="_Toc162978940"/>
      <w:bookmarkStart w:id="652" w:name="_Toc164229235"/>
      <w:bookmarkStart w:id="653" w:name="_Toc226337236"/>
      <w:bookmarkStart w:id="654" w:name="_Toc150509291"/>
      <w:bookmarkStart w:id="655" w:name="_Toc151190167"/>
      <w:bookmarkStart w:id="656" w:name="_Toc265228378"/>
      <w:bookmarkStart w:id="657" w:name="_Toc305158808"/>
      <w:bookmarkStart w:id="658" w:name="_Toc164608809"/>
      <w:bookmarkStart w:id="659" w:name="_Toc164608654"/>
      <w:bookmarkStart w:id="660" w:name="_Toc127151741"/>
      <w:bookmarkStart w:id="661" w:name="_Toc150774640"/>
      <w:bookmarkStart w:id="662" w:name="_Toc164351634"/>
      <w:bookmarkStart w:id="663" w:name="_Toc150480778"/>
      <w:bookmarkStart w:id="664" w:name="_Toc151193928"/>
      <w:bookmarkStart w:id="665" w:name="_Toc226309784"/>
      <w:r>
        <w:rPr>
          <w:rFonts w:ascii="宋体" w:hAnsi="宋体"/>
          <w:color w:val="auto"/>
          <w:sz w:val="24"/>
          <w:highlight w:val="none"/>
        </w:rPr>
        <w:t>评标委员会</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666" w:name="_Toc520356166"/>
      <w:r>
        <w:rPr>
          <w:rFonts w:hint="eastAsia" w:ascii="宋体" w:hAnsi="宋体"/>
          <w:color w:val="auto"/>
          <w:sz w:val="24"/>
          <w:highlight w:val="none"/>
        </w:rPr>
        <w:t>评标委员会根据政府采购有关规定和本次采购项目的特点进行组建，并负责具体评标事务，独立履行职责。</w:t>
      </w:r>
    </w:p>
    <w:bookmarkEnd w:id="666"/>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bookmarkStart w:id="667" w:name="_Toc520356169"/>
      <w:r>
        <w:rPr>
          <w:rFonts w:hint="eastAsia" w:ascii="宋体" w:hAnsi="宋体"/>
          <w:color w:val="auto"/>
          <w:sz w:val="24"/>
          <w:highlight w:val="none"/>
        </w:rPr>
        <w:t>评审专家须符合《财政部关于在政府采购活动中查询及使用信用记录有关问题的通知》（财库〔2016〕125 号）的规定。依法自行选定评审专家的，采购人和采购代理机构将查询有关信用记录，对具有行贿、受贿、欺诈等不良信用记录的人员，拒绝其参与政府采购活动。</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668" w:name="_Toc162978941"/>
      <w:bookmarkStart w:id="669" w:name="_Toc162979014"/>
      <w:r>
        <w:rPr>
          <w:rFonts w:ascii="宋体" w:hAnsi="宋体"/>
          <w:color w:val="auto"/>
          <w:sz w:val="24"/>
          <w:highlight w:val="none"/>
        </w:rPr>
        <w:t>评标程序、评标方法和评标标准</w:t>
      </w:r>
      <w:bookmarkEnd w:id="668"/>
      <w:bookmarkEnd w:id="669"/>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见第四章《评标程序、评标方法和评标标准》。</w:t>
      </w:r>
    </w:p>
    <w:p>
      <w:pPr>
        <w:tabs>
          <w:tab w:val="left" w:pos="360"/>
          <w:tab w:val="left" w:pos="1080"/>
        </w:tabs>
        <w:snapToGrid w:val="0"/>
        <w:spacing w:line="360" w:lineRule="auto"/>
        <w:ind w:left="1080"/>
        <w:rPr>
          <w:rFonts w:hint="eastAsia" w:ascii="宋体" w:hAnsi="宋体"/>
          <w:color w:val="auto"/>
          <w:sz w:val="24"/>
          <w:highlight w:val="none"/>
        </w:rPr>
      </w:pPr>
    </w:p>
    <w:p>
      <w:pPr>
        <w:pStyle w:val="3"/>
        <w:snapToGrid w:val="0"/>
        <w:spacing w:before="0" w:line="360" w:lineRule="auto"/>
        <w:rPr>
          <w:rFonts w:hint="eastAsia" w:ascii="宋体" w:hAnsi="宋体" w:eastAsia="宋体"/>
          <w:color w:val="auto"/>
          <w:sz w:val="28"/>
          <w:highlight w:val="none"/>
        </w:rPr>
      </w:pPr>
      <w:bookmarkStart w:id="670" w:name="_Toc151193859"/>
      <w:bookmarkStart w:id="671" w:name="_Toc226965818"/>
      <w:bookmarkStart w:id="672" w:name="_Toc150480783"/>
      <w:bookmarkStart w:id="673" w:name="_Toc226337241"/>
      <w:bookmarkStart w:id="674" w:name="_Toc305158887"/>
      <w:bookmarkStart w:id="675" w:name="_Toc305158813"/>
      <w:bookmarkStart w:id="676" w:name="_Toc150509296"/>
      <w:bookmarkStart w:id="677" w:name="_Toc150774750"/>
      <w:bookmarkStart w:id="678" w:name="_Toc151190172"/>
      <w:bookmarkStart w:id="679" w:name="_Toc151193933"/>
      <w:bookmarkStart w:id="680" w:name="_Toc151193643"/>
      <w:bookmarkStart w:id="681" w:name="_Toc162979015"/>
      <w:bookmarkStart w:id="682" w:name="_Toc226965735"/>
      <w:bookmarkStart w:id="683" w:name="_Toc150774645"/>
      <w:bookmarkStart w:id="684" w:name="_Toc226309789"/>
      <w:bookmarkStart w:id="685" w:name="_Toc151193787"/>
      <w:bookmarkStart w:id="686" w:name="_Toc162978942"/>
      <w:bookmarkStart w:id="687" w:name="_Toc127151545"/>
      <w:bookmarkStart w:id="688" w:name="_Toc195842910"/>
      <w:bookmarkStart w:id="689" w:name="_Toc265228383"/>
      <w:bookmarkStart w:id="690" w:name="_Toc264969235"/>
      <w:bookmarkStart w:id="691" w:name="_Toc151193715"/>
      <w:bookmarkStart w:id="692" w:name="_Toc142311047"/>
      <w:r>
        <w:rPr>
          <w:rFonts w:ascii="宋体" w:hAnsi="宋体" w:eastAsia="宋体"/>
          <w:color w:val="auto"/>
          <w:sz w:val="28"/>
          <w:highlight w:val="none"/>
        </w:rPr>
        <w:t xml:space="preserve">六   </w:t>
      </w:r>
      <w:bookmarkEnd w:id="667"/>
      <w:r>
        <w:rPr>
          <w:rFonts w:ascii="宋体" w:hAnsi="宋体" w:eastAsia="宋体"/>
          <w:color w:val="auto"/>
          <w:sz w:val="28"/>
          <w:highlight w:val="none"/>
        </w:rPr>
        <w:t>确定中标</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Start w:id="693" w:name="_Toc151193645"/>
      <w:bookmarkStart w:id="694" w:name="_Toc151193789"/>
      <w:bookmarkStart w:id="695" w:name="_Toc164608816"/>
      <w:bookmarkStart w:id="696" w:name="_Toc151190174"/>
      <w:bookmarkStart w:id="697" w:name="_Toc305158815"/>
      <w:bookmarkStart w:id="698" w:name="_Toc150509298"/>
      <w:bookmarkStart w:id="699" w:name="_Toc127161461"/>
      <w:bookmarkStart w:id="700" w:name="_Toc164229242"/>
      <w:bookmarkStart w:id="701" w:name="_Toc164229388"/>
      <w:bookmarkStart w:id="702" w:name="_Toc150774752"/>
      <w:bookmarkStart w:id="703" w:name="_Toc164351641"/>
      <w:bookmarkStart w:id="704" w:name="_Toc264969237"/>
      <w:bookmarkStart w:id="705" w:name="_Toc265228385"/>
      <w:bookmarkStart w:id="706" w:name="_Toc151193717"/>
      <w:bookmarkStart w:id="707" w:name="_Toc226337243"/>
      <w:bookmarkStart w:id="708" w:name="_Toc149720840"/>
      <w:bookmarkStart w:id="709" w:name="_Toc151193861"/>
      <w:bookmarkStart w:id="710" w:name="_Toc151193935"/>
      <w:bookmarkStart w:id="711" w:name="_Toc226965737"/>
      <w:bookmarkStart w:id="712" w:name="_Toc164608661"/>
      <w:bookmarkStart w:id="713" w:name="_Toc305158889"/>
      <w:bookmarkStart w:id="714" w:name="_Toc142311049"/>
      <w:bookmarkStart w:id="715" w:name="_Toc150480785"/>
      <w:bookmarkStart w:id="716" w:name="_Toc127151748"/>
      <w:bookmarkStart w:id="717" w:name="_Toc226309791"/>
      <w:bookmarkStart w:id="718" w:name="_Toc195842912"/>
      <w:bookmarkStart w:id="719" w:name="_Toc127151547"/>
      <w:bookmarkStart w:id="720" w:name="_Toc150774647"/>
      <w:bookmarkStart w:id="721" w:name="_Toc226965820"/>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22" w:name="_Toc162978943"/>
      <w:bookmarkStart w:id="723" w:name="_Toc162979016"/>
      <w:r>
        <w:rPr>
          <w:rFonts w:ascii="宋体" w:hAnsi="宋体"/>
          <w:color w:val="auto"/>
          <w:sz w:val="24"/>
          <w:highlight w:val="none"/>
        </w:rPr>
        <w:t>确定中标人</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24" w:name="_Toc162979017"/>
      <w:bookmarkStart w:id="725" w:name="_Toc305158891"/>
      <w:bookmarkStart w:id="726" w:name="_Toc305158817"/>
      <w:bookmarkStart w:id="727" w:name="_Toc162978944"/>
      <w:bookmarkStart w:id="728" w:name="_Toc264969239"/>
      <w:bookmarkStart w:id="729" w:name="_Toc150774649"/>
      <w:bookmarkStart w:id="730" w:name="_Toc151193647"/>
      <w:bookmarkStart w:id="731" w:name="_Toc127161463"/>
      <w:bookmarkStart w:id="732" w:name="_Toc226965822"/>
      <w:bookmarkStart w:id="733" w:name="_Toc164351643"/>
      <w:bookmarkStart w:id="734" w:name="_Toc195842914"/>
      <w:bookmarkStart w:id="735" w:name="_Toc164229244"/>
      <w:bookmarkStart w:id="736" w:name="_Toc150774754"/>
      <w:bookmarkStart w:id="737" w:name="_Toc149720842"/>
      <w:bookmarkStart w:id="738" w:name="_Toc151193863"/>
      <w:bookmarkStart w:id="739" w:name="_Toc164229390"/>
      <w:bookmarkStart w:id="740" w:name="_Toc151193719"/>
      <w:bookmarkStart w:id="741" w:name="_Toc127151549"/>
      <w:bookmarkStart w:id="742" w:name="_Toc151193937"/>
      <w:bookmarkStart w:id="743" w:name="_Toc150509300"/>
      <w:bookmarkStart w:id="744" w:name="_Toc226309793"/>
      <w:bookmarkStart w:id="745" w:name="_Toc164608663"/>
      <w:bookmarkStart w:id="746" w:name="_Toc265228387"/>
      <w:bookmarkStart w:id="747" w:name="_Toc164608818"/>
      <w:bookmarkStart w:id="748" w:name="_Toc142311051"/>
      <w:bookmarkStart w:id="749" w:name="_Toc151190176"/>
      <w:bookmarkStart w:id="750" w:name="_Toc226337245"/>
      <w:bookmarkStart w:id="751" w:name="_Toc226965739"/>
      <w:bookmarkStart w:id="752" w:name="_Toc151193791"/>
      <w:bookmarkStart w:id="753" w:name="_Toc127151750"/>
      <w:bookmarkStart w:id="754" w:name="_Toc150480787"/>
      <w:bookmarkStart w:id="755" w:name="_Ref467306425"/>
      <w:bookmarkStart w:id="756" w:name="_Toc520356176"/>
      <w:bookmarkStart w:id="757" w:name="_Ref467307090"/>
      <w:r>
        <w:rPr>
          <w:rFonts w:ascii="宋体" w:hAnsi="宋体"/>
          <w:color w:val="auto"/>
          <w:sz w:val="24"/>
          <w:highlight w:val="none"/>
        </w:rPr>
        <w:t>中标公告与中标通知书</w:t>
      </w:r>
      <w:bookmarkEnd w:id="724"/>
      <w:bookmarkEnd w:id="725"/>
      <w:bookmarkEnd w:id="726"/>
      <w:bookmarkEnd w:id="727"/>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采购人或采购代理机构自中标人确定之日起2 个工作日内，在北京市政府采购网公告中标结果，同时向中标人发出中标通知书，中标公告期限为1个工作日。</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hint="eastAsia" w:ascii="宋体" w:hAnsi="宋体"/>
          <w:color w:val="auto"/>
          <w:sz w:val="24"/>
          <w:highlight w:val="none"/>
        </w:rPr>
        <w:t>中标通知书对采购人和中标人均具有法律效力。中标通知书发出后，采购人改变中标结果的，或者中标人放弃中标项目的，应当依法承担法律责任。</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58" w:name="_Toc162978945"/>
      <w:bookmarkStart w:id="759" w:name="_Toc162979018"/>
      <w:r>
        <w:rPr>
          <w:rFonts w:ascii="宋体" w:hAnsi="宋体"/>
          <w:color w:val="auto"/>
          <w:sz w:val="24"/>
          <w:highlight w:val="none"/>
        </w:rPr>
        <w:t>废标</w:t>
      </w:r>
      <w:bookmarkEnd w:id="758"/>
      <w:bookmarkEnd w:id="759"/>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在招标采购中，出现下列情形之一的，应予废标：</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符合专业条件的供应商或者对招标文件作实质响应的供应商不足三家的；</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出现影响采购公正的违法、违规行为的；</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投标人的报价均超过了采购预算，采购人不能支付的；</w:t>
      </w:r>
    </w:p>
    <w:p>
      <w:pPr>
        <w:numPr>
          <w:ilvl w:val="2"/>
          <w:numId w:val="8"/>
        </w:numPr>
        <w:snapToGrid w:val="0"/>
        <w:spacing w:line="360" w:lineRule="auto"/>
        <w:rPr>
          <w:rFonts w:hint="eastAsia" w:ascii="宋体" w:hAnsi="宋体"/>
          <w:color w:val="auto"/>
          <w:sz w:val="24"/>
          <w:highlight w:val="none"/>
        </w:rPr>
      </w:pPr>
      <w:r>
        <w:rPr>
          <w:rFonts w:ascii="宋体" w:hAnsi="宋体"/>
          <w:color w:val="auto"/>
          <w:sz w:val="24"/>
          <w:highlight w:val="none"/>
        </w:rPr>
        <w:t>因重大变故，采购任务取消的。</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废标后，采购人将废标理由通知所有投标人。</w:t>
      </w:r>
    </w:p>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60" w:name="_Toc195842915"/>
      <w:bookmarkStart w:id="761" w:name="_Ref467307204"/>
      <w:bookmarkStart w:id="762" w:name="_Toc151193864"/>
      <w:bookmarkStart w:id="763" w:name="_Toc226965740"/>
      <w:bookmarkStart w:id="764" w:name="_Toc264969240"/>
      <w:bookmarkStart w:id="765" w:name="_Toc162978946"/>
      <w:bookmarkStart w:id="766" w:name="_Toc151190177"/>
      <w:bookmarkStart w:id="767" w:name="_Toc265228388"/>
      <w:bookmarkStart w:id="768" w:name="_Toc226337246"/>
      <w:bookmarkStart w:id="769" w:name="_Toc150509301"/>
      <w:bookmarkStart w:id="770" w:name="_Toc151193720"/>
      <w:bookmarkStart w:id="771" w:name="_Toc305158818"/>
      <w:bookmarkStart w:id="772" w:name="_Toc151193938"/>
      <w:bookmarkStart w:id="773" w:name="_Toc164608819"/>
      <w:bookmarkStart w:id="774" w:name="_Toc164229245"/>
      <w:bookmarkStart w:id="775" w:name="_Toc127151550"/>
      <w:bookmarkStart w:id="776" w:name="_Toc226965823"/>
      <w:bookmarkStart w:id="777" w:name="_Toc164351644"/>
      <w:bookmarkStart w:id="778" w:name="_Toc151193792"/>
      <w:bookmarkStart w:id="779" w:name="_Toc142311052"/>
      <w:bookmarkStart w:id="780" w:name="_Toc150774755"/>
      <w:bookmarkStart w:id="781" w:name="_Toc164608664"/>
      <w:bookmarkStart w:id="782" w:name="_Ref467306377"/>
      <w:bookmarkStart w:id="783" w:name="_Toc149720843"/>
      <w:bookmarkStart w:id="784" w:name="_Toc150774650"/>
      <w:bookmarkStart w:id="785" w:name="_Toc150480788"/>
      <w:bookmarkStart w:id="786" w:name="_Toc127161464"/>
      <w:bookmarkStart w:id="787" w:name="_Ref467306978"/>
      <w:bookmarkStart w:id="788" w:name="_Toc226309794"/>
      <w:bookmarkStart w:id="789" w:name="_Toc305158892"/>
      <w:bookmarkStart w:id="790" w:name="_Ref467307062"/>
      <w:bookmarkStart w:id="791" w:name="_Toc151193648"/>
      <w:bookmarkStart w:id="792" w:name="_Toc162979019"/>
      <w:bookmarkStart w:id="793" w:name="_Toc127151751"/>
      <w:bookmarkStart w:id="794" w:name="_Toc520356175"/>
      <w:bookmarkStart w:id="795" w:name="_Toc164229391"/>
      <w:r>
        <w:rPr>
          <w:rFonts w:ascii="宋体" w:hAnsi="宋体"/>
          <w:color w:val="auto"/>
          <w:sz w:val="24"/>
          <w:highlight w:val="none"/>
        </w:rPr>
        <w:t>签订合同</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中标人</w:t>
      </w:r>
      <w:r>
        <w:rPr>
          <w:rFonts w:hint="eastAsia" w:ascii="宋体" w:hAnsi="宋体"/>
          <w:color w:val="auto"/>
          <w:sz w:val="24"/>
          <w:highlight w:val="none"/>
        </w:rPr>
        <w:t>拒绝</w:t>
      </w:r>
      <w:r>
        <w:rPr>
          <w:rFonts w:ascii="宋体" w:hAnsi="宋体"/>
          <w:color w:val="auto"/>
          <w:sz w:val="24"/>
          <w:highlight w:val="none"/>
        </w:rPr>
        <w:t>与采购人签订合同的，采购人</w:t>
      </w:r>
      <w:r>
        <w:rPr>
          <w:rFonts w:hint="eastAsia" w:ascii="宋体" w:hAnsi="宋体"/>
          <w:color w:val="auto"/>
          <w:sz w:val="24"/>
          <w:highlight w:val="none"/>
        </w:rPr>
        <w:t>可以</w:t>
      </w:r>
      <w:r>
        <w:rPr>
          <w:rFonts w:ascii="宋体" w:hAnsi="宋体"/>
          <w:color w:val="auto"/>
          <w:sz w:val="24"/>
          <w:highlight w:val="none"/>
        </w:rPr>
        <w:t>按照评</w:t>
      </w:r>
      <w:r>
        <w:rPr>
          <w:rFonts w:hint="eastAsia" w:ascii="宋体" w:hAnsi="宋体"/>
          <w:color w:val="auto"/>
          <w:sz w:val="24"/>
          <w:highlight w:val="none"/>
        </w:rPr>
        <w:t>标</w:t>
      </w:r>
      <w:r>
        <w:rPr>
          <w:rFonts w:ascii="宋体" w:hAnsi="宋体"/>
          <w:color w:val="auto"/>
          <w:sz w:val="24"/>
          <w:highlight w:val="none"/>
        </w:rPr>
        <w:t>报告推荐的中标候选人名单排序，确定下一候选人为中标人，</w:t>
      </w:r>
      <w:r>
        <w:rPr>
          <w:rFonts w:hint="eastAsia" w:ascii="宋体" w:hAnsi="宋体"/>
          <w:color w:val="auto"/>
          <w:sz w:val="24"/>
          <w:highlight w:val="none"/>
        </w:rPr>
        <w:t>也可以</w:t>
      </w:r>
      <w:r>
        <w:rPr>
          <w:rFonts w:ascii="宋体" w:hAnsi="宋体"/>
          <w:color w:val="auto"/>
          <w:sz w:val="24"/>
          <w:highlight w:val="none"/>
        </w:rPr>
        <w:t>重新开展政府采购活动。</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联合体中标的，联合体各方应当共同与采购人签订合同，就中标项目向采购人承担连带责任。</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政府采购合同不能转包。</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宋体" w:hAnsi="宋体"/>
          <w:b/>
          <w:color w:val="auto"/>
          <w:sz w:val="24"/>
          <w:highlight w:val="none"/>
        </w:rPr>
        <w:t>，</w:t>
      </w:r>
      <w:r>
        <w:rPr>
          <w:rFonts w:ascii="宋体" w:hAnsi="宋体"/>
          <w:color w:val="auto"/>
          <w:sz w:val="24"/>
          <w:highlight w:val="none"/>
        </w:rPr>
        <w:t>否则</w:t>
      </w:r>
      <w:r>
        <w:rPr>
          <w:rFonts w:ascii="宋体" w:hAnsi="宋体"/>
          <w:b/>
          <w:color w:val="auto"/>
          <w:sz w:val="24"/>
          <w:highlight w:val="none"/>
        </w:rPr>
        <w:t>投标无效</w:t>
      </w:r>
      <w:r>
        <w:rPr>
          <w:rFonts w:ascii="宋体" w:hAnsi="宋体"/>
          <w:color w:val="auto"/>
          <w:sz w:val="24"/>
          <w:highlight w:val="none"/>
        </w:rPr>
        <w:t>。中标人就采购项目和分包项目向采购人负责，分包供应商就分包项目承担责任。</w:t>
      </w:r>
    </w:p>
    <w:p>
      <w:pPr>
        <w:numPr>
          <w:ilvl w:val="1"/>
          <w:numId w:val="8"/>
        </w:numPr>
        <w:tabs>
          <w:tab w:val="left" w:pos="1080"/>
          <w:tab w:val="left" w:pos="2014"/>
        </w:tabs>
        <w:snapToGrid w:val="0"/>
        <w:spacing w:line="360" w:lineRule="auto"/>
        <w:ind w:left="1077" w:hanging="720"/>
        <w:rPr>
          <w:rFonts w:hint="eastAsia" w:ascii="宋体" w:hAnsi="宋体"/>
          <w:color w:val="auto"/>
          <w:highlight w:val="none"/>
        </w:rPr>
      </w:pPr>
      <w:r>
        <w:rPr>
          <w:rFonts w:hint="eastAsia" w:ascii="宋体" w:hAnsi="宋体"/>
          <w:color w:val="auto"/>
          <w:sz w:val="24"/>
          <w:highlight w:val="none"/>
        </w:rPr>
        <w:t>“政采贷”融资指引：详见《投标人须知资料表》。</w:t>
      </w:r>
    </w:p>
    <w:bookmarkEnd w:id="755"/>
    <w:bookmarkEnd w:id="756"/>
    <w:bookmarkEnd w:id="757"/>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96" w:name="_Toc162978947"/>
      <w:bookmarkStart w:id="797" w:name="_Toc162979020"/>
      <w:r>
        <w:rPr>
          <w:rFonts w:ascii="宋体" w:hAnsi="宋体"/>
          <w:color w:val="auto"/>
          <w:sz w:val="24"/>
          <w:highlight w:val="none"/>
        </w:rPr>
        <w:t>询问与质疑</w:t>
      </w:r>
      <w:bookmarkEnd w:id="796"/>
      <w:bookmarkEnd w:id="797"/>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询问</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投标人对政府采购活动事项有疑问的，可依法向采购人或采购代理机构提出询问，提出形式见《投标人须知资料表》。</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采购人或采购代理机构对供应商依法提出的询问，在3个工作日内作出答复，但答复的内容不得涉及商业秘密。</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质疑</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投标人认为采购文件、采购过程、中标结果使自己的权益受到损害的，可以在知道或者应知其权益受到损害之日起7 个工作日内，以书面形式向采购人、采购代理机构提出质疑。采购人、采购代理机构在收到质疑函后 7 个工作日内作出答复。</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8"/>
        </w:numPr>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投标人应在法定质疑期内一次性提出针对同一采购程序环节的质疑，法定质疑期内针对同一采购程序环节再次提出的质疑，采购人、采购代理机构有权不予答复。</w:t>
      </w:r>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接收询问和质疑的联系部门、联系电话和通讯地址见《投标人须知资料表》</w:t>
      </w:r>
      <w:r>
        <w:rPr>
          <w:rFonts w:hint="eastAsia" w:ascii="宋体" w:hAnsi="宋体"/>
          <w:color w:val="auto"/>
          <w:sz w:val="24"/>
          <w:highlight w:val="none"/>
        </w:rPr>
        <w:t>。</w:t>
      </w:r>
    </w:p>
    <w:p>
      <w:pPr>
        <w:numPr>
          <w:ilvl w:val="0"/>
          <w:numId w:val="8"/>
        </w:numPr>
        <w:tabs>
          <w:tab w:val="left" w:pos="360"/>
        </w:tabs>
        <w:snapToGrid w:val="0"/>
        <w:spacing w:line="360" w:lineRule="auto"/>
        <w:ind w:left="357" w:hanging="357"/>
        <w:outlineLvl w:val="1"/>
        <w:rPr>
          <w:rFonts w:hint="eastAsia" w:ascii="宋体" w:hAnsi="宋体"/>
          <w:color w:val="auto"/>
          <w:sz w:val="24"/>
          <w:highlight w:val="none"/>
        </w:rPr>
      </w:pPr>
      <w:bookmarkStart w:id="798" w:name="_Toc162979021"/>
      <w:bookmarkStart w:id="799" w:name="_Toc162978948"/>
      <w:r>
        <w:rPr>
          <w:rFonts w:ascii="宋体" w:hAnsi="宋体"/>
          <w:color w:val="auto"/>
          <w:sz w:val="24"/>
          <w:highlight w:val="none"/>
        </w:rPr>
        <w:t>代理费</w:t>
      </w:r>
      <w:bookmarkEnd w:id="798"/>
      <w:bookmarkEnd w:id="799"/>
    </w:p>
    <w:p>
      <w:pPr>
        <w:numPr>
          <w:ilvl w:val="1"/>
          <w:numId w:val="8"/>
        </w:numPr>
        <w:tabs>
          <w:tab w:val="left" w:pos="1080"/>
          <w:tab w:val="left" w:pos="2014"/>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收费对象、收费标准及缴纳时间见《投标人须知资料表》。由中标人支付的，中标人须一次性向采购代理机构缴纳代理费，投标报价应包含代理费用。</w:t>
      </w:r>
    </w:p>
    <w:p>
      <w:pPr>
        <w:tabs>
          <w:tab w:val="left" w:pos="900"/>
          <w:tab w:val="left" w:pos="1080"/>
          <w:tab w:val="left" w:pos="1589"/>
        </w:tabs>
        <w:snapToGrid w:val="0"/>
        <w:spacing w:line="360" w:lineRule="auto"/>
        <w:rPr>
          <w:rFonts w:hint="eastAsia" w:ascii="宋体" w:hAnsi="宋体"/>
          <w:color w:val="auto"/>
          <w:sz w:val="24"/>
          <w:highlight w:val="none"/>
        </w:rPr>
      </w:pPr>
    </w:p>
    <w:p>
      <w:pPr>
        <w:tabs>
          <w:tab w:val="left" w:pos="360"/>
          <w:tab w:val="left" w:pos="1080"/>
        </w:tabs>
        <w:snapToGrid w:val="0"/>
        <w:spacing w:line="360" w:lineRule="auto"/>
        <w:ind w:left="360"/>
        <w:rPr>
          <w:rFonts w:hint="eastAsia" w:ascii="宋体" w:hAnsi="宋体"/>
          <w:color w:val="auto"/>
          <w:sz w:val="24"/>
          <w:highlight w:val="none"/>
        </w:rPr>
      </w:pPr>
    </w:p>
    <w:p>
      <w:pPr>
        <w:snapToGrid w:val="0"/>
        <w:spacing w:line="360" w:lineRule="auto"/>
        <w:jc w:val="center"/>
        <w:outlineLvl w:val="0"/>
        <w:rPr>
          <w:rFonts w:hint="eastAsia" w:ascii="宋体" w:hAnsi="宋体"/>
          <w:b/>
          <w:color w:val="auto"/>
          <w:sz w:val="36"/>
          <w:szCs w:val="36"/>
          <w:highlight w:val="none"/>
        </w:rPr>
      </w:pPr>
      <w:bookmarkStart w:id="800" w:name="_Toc142311056"/>
      <w:bookmarkStart w:id="801" w:name="_Toc353873934"/>
      <w:bookmarkStart w:id="802" w:name="_Toc305158822"/>
      <w:bookmarkStart w:id="803" w:name="_Toc150480792"/>
      <w:bookmarkStart w:id="804" w:name="_Toc226965827"/>
      <w:bookmarkStart w:id="805" w:name="_Toc127151554"/>
      <w:bookmarkStart w:id="806" w:name="_Toc264969244"/>
      <w:bookmarkStart w:id="807" w:name="_Toc353873664"/>
      <w:bookmarkStart w:id="808" w:name="_Toc265228392"/>
      <w:bookmarkStart w:id="809" w:name="_Toc150774759"/>
      <w:bookmarkStart w:id="810" w:name="_Toc353825544"/>
      <w:bookmarkStart w:id="811" w:name="_Toc305158896"/>
      <w:bookmarkStart w:id="812" w:name="_Toc226337250"/>
      <w:r>
        <w:rPr>
          <w:rFonts w:ascii="宋体" w:hAnsi="宋体"/>
          <w:color w:val="auto"/>
          <w:sz w:val="24"/>
          <w:highlight w:val="none"/>
        </w:rPr>
        <w:br w:type="page"/>
      </w:r>
      <w:bookmarkStart w:id="813" w:name="_Toc99301421"/>
      <w:bookmarkStart w:id="814" w:name="_Toc162979022"/>
      <w:r>
        <w:rPr>
          <w:rFonts w:ascii="宋体" w:hAnsi="宋体"/>
          <w:b/>
          <w:color w:val="auto"/>
          <w:sz w:val="36"/>
          <w:szCs w:val="36"/>
          <w:highlight w:val="none"/>
        </w:rPr>
        <w:t xml:space="preserve">第三章   </w:t>
      </w:r>
      <w:bookmarkEnd w:id="800"/>
      <w:bookmarkEnd w:id="801"/>
      <w:bookmarkEnd w:id="802"/>
      <w:bookmarkEnd w:id="803"/>
      <w:bookmarkEnd w:id="804"/>
      <w:bookmarkEnd w:id="805"/>
      <w:bookmarkEnd w:id="806"/>
      <w:bookmarkEnd w:id="807"/>
      <w:bookmarkEnd w:id="808"/>
      <w:bookmarkEnd w:id="809"/>
      <w:bookmarkEnd w:id="810"/>
      <w:bookmarkEnd w:id="811"/>
      <w:bookmarkEnd w:id="812"/>
      <w:r>
        <w:rPr>
          <w:rFonts w:ascii="宋体" w:hAnsi="宋体"/>
          <w:b/>
          <w:color w:val="auto"/>
          <w:sz w:val="36"/>
          <w:szCs w:val="36"/>
          <w:highlight w:val="none"/>
        </w:rPr>
        <w:t>资格审查</w:t>
      </w:r>
      <w:bookmarkEnd w:id="813"/>
      <w:bookmarkEnd w:id="814"/>
      <w:bookmarkStart w:id="815" w:name="_Toc487900382"/>
    </w:p>
    <w:p>
      <w:pPr>
        <w:tabs>
          <w:tab w:val="left" w:pos="360"/>
          <w:tab w:val="left" w:pos="900"/>
        </w:tabs>
        <w:snapToGrid w:val="0"/>
        <w:spacing w:line="360" w:lineRule="auto"/>
        <w:jc w:val="center"/>
        <w:outlineLvl w:val="1"/>
        <w:rPr>
          <w:rFonts w:hint="eastAsia" w:ascii="宋体" w:hAnsi="宋体"/>
          <w:b/>
          <w:color w:val="auto"/>
          <w:sz w:val="24"/>
          <w:highlight w:val="none"/>
        </w:rPr>
      </w:pPr>
      <w:bookmarkStart w:id="816" w:name="_Toc99301422"/>
      <w:bookmarkStart w:id="817" w:name="_Toc162978950"/>
      <w:bookmarkStart w:id="818" w:name="_Toc162979023"/>
      <w:r>
        <w:rPr>
          <w:rFonts w:ascii="宋体" w:hAnsi="宋体"/>
          <w:b/>
          <w:color w:val="auto"/>
          <w:sz w:val="24"/>
          <w:highlight w:val="none"/>
        </w:rPr>
        <w:t>一、资格审查程序</w:t>
      </w:r>
      <w:bookmarkEnd w:id="816"/>
      <w:bookmarkEnd w:id="817"/>
      <w:bookmarkEnd w:id="818"/>
    </w:p>
    <w:p>
      <w:pPr>
        <w:numPr>
          <w:ilvl w:val="0"/>
          <w:numId w:val="10"/>
        </w:numPr>
        <w:tabs>
          <w:tab w:val="left" w:pos="426"/>
          <w:tab w:val="left" w:pos="851"/>
          <w:tab w:val="clear" w:pos="900"/>
        </w:tabs>
        <w:snapToGrid w:val="0"/>
        <w:spacing w:line="360" w:lineRule="auto"/>
        <w:ind w:left="426" w:hanging="426"/>
        <w:outlineLvl w:val="1"/>
        <w:rPr>
          <w:rFonts w:hint="eastAsia" w:ascii="宋体" w:hAnsi="宋体"/>
          <w:color w:val="auto"/>
          <w:sz w:val="24"/>
          <w:highlight w:val="none"/>
        </w:rPr>
      </w:pPr>
      <w:bookmarkStart w:id="819" w:name="_Toc162979024"/>
      <w:bookmarkStart w:id="820" w:name="_Toc162978951"/>
      <w:r>
        <w:rPr>
          <w:rFonts w:ascii="宋体" w:hAnsi="宋体"/>
          <w:color w:val="auto"/>
          <w:sz w:val="24"/>
          <w:highlight w:val="none"/>
        </w:rPr>
        <w:t>开标结束后，采购人或采购代理机构将根据《资格审查要求》中的规定，对投标人进行资格审查，并形成资格审查结果。</w:t>
      </w:r>
      <w:bookmarkEnd w:id="819"/>
      <w:bookmarkEnd w:id="820"/>
    </w:p>
    <w:p>
      <w:pPr>
        <w:numPr>
          <w:ilvl w:val="0"/>
          <w:numId w:val="10"/>
        </w:numPr>
        <w:tabs>
          <w:tab w:val="left" w:pos="426"/>
          <w:tab w:val="left" w:pos="851"/>
          <w:tab w:val="clear" w:pos="900"/>
        </w:tabs>
        <w:snapToGrid w:val="0"/>
        <w:spacing w:line="360" w:lineRule="auto"/>
        <w:ind w:left="426" w:hanging="426"/>
        <w:outlineLvl w:val="1"/>
        <w:rPr>
          <w:rFonts w:hint="eastAsia" w:ascii="宋体" w:hAnsi="宋体"/>
          <w:color w:val="auto"/>
          <w:sz w:val="24"/>
          <w:highlight w:val="none"/>
        </w:rPr>
      </w:pPr>
      <w:bookmarkStart w:id="821" w:name="_Toc162979025"/>
      <w:bookmarkStart w:id="822" w:name="_Toc162978952"/>
      <w:r>
        <w:rPr>
          <w:rFonts w:ascii="宋体" w:hAnsi="宋体"/>
          <w:color w:val="auto"/>
          <w:sz w:val="24"/>
          <w:highlight w:val="none"/>
        </w:rPr>
        <w:t>《资格审查要求》中对格式有要求的，除招标文件另有规定外，均为“实质性格式”文件。</w:t>
      </w:r>
      <w:bookmarkEnd w:id="821"/>
      <w:bookmarkEnd w:id="822"/>
    </w:p>
    <w:p>
      <w:pPr>
        <w:numPr>
          <w:ilvl w:val="0"/>
          <w:numId w:val="10"/>
        </w:numPr>
        <w:tabs>
          <w:tab w:val="left" w:pos="426"/>
          <w:tab w:val="left" w:pos="851"/>
          <w:tab w:val="clear" w:pos="900"/>
        </w:tabs>
        <w:snapToGrid w:val="0"/>
        <w:spacing w:line="360" w:lineRule="auto"/>
        <w:ind w:left="426" w:hanging="426"/>
        <w:outlineLvl w:val="1"/>
        <w:rPr>
          <w:rFonts w:hint="eastAsia" w:ascii="宋体" w:hAnsi="宋体"/>
          <w:color w:val="auto"/>
          <w:sz w:val="24"/>
          <w:highlight w:val="none"/>
        </w:rPr>
      </w:pPr>
      <w:bookmarkStart w:id="823" w:name="_Toc162978953"/>
      <w:bookmarkStart w:id="824" w:name="_Toc162979026"/>
      <w:r>
        <w:rPr>
          <w:rFonts w:ascii="宋体" w:hAnsi="宋体"/>
          <w:color w:val="auto"/>
          <w:sz w:val="24"/>
          <w:highlight w:val="none"/>
        </w:rPr>
        <w:t>投标人《资格证明文件》有任何一项不符合《资格审查要求》的，资格审查不合格，其</w:t>
      </w:r>
      <w:r>
        <w:rPr>
          <w:rFonts w:ascii="宋体" w:hAnsi="宋体"/>
          <w:b/>
          <w:color w:val="auto"/>
          <w:sz w:val="24"/>
          <w:highlight w:val="none"/>
        </w:rPr>
        <w:t>投标无效</w:t>
      </w:r>
      <w:r>
        <w:rPr>
          <w:rFonts w:ascii="宋体" w:hAnsi="宋体"/>
          <w:color w:val="auto"/>
          <w:sz w:val="24"/>
          <w:highlight w:val="none"/>
        </w:rPr>
        <w:t>。</w:t>
      </w:r>
      <w:bookmarkEnd w:id="823"/>
      <w:bookmarkEnd w:id="824"/>
    </w:p>
    <w:p>
      <w:pPr>
        <w:numPr>
          <w:ilvl w:val="0"/>
          <w:numId w:val="10"/>
        </w:numPr>
        <w:tabs>
          <w:tab w:val="left" w:pos="426"/>
          <w:tab w:val="left" w:pos="851"/>
          <w:tab w:val="clear" w:pos="900"/>
        </w:tabs>
        <w:snapToGrid w:val="0"/>
        <w:spacing w:line="360" w:lineRule="auto"/>
        <w:ind w:left="426" w:hanging="426"/>
        <w:outlineLvl w:val="1"/>
        <w:rPr>
          <w:rFonts w:hint="eastAsia" w:ascii="宋体" w:hAnsi="宋体"/>
          <w:color w:val="auto"/>
          <w:sz w:val="24"/>
          <w:highlight w:val="none"/>
        </w:rPr>
      </w:pPr>
      <w:bookmarkStart w:id="825" w:name="_Toc162979027"/>
      <w:bookmarkStart w:id="826" w:name="_Toc162978954"/>
      <w:r>
        <w:rPr>
          <w:rFonts w:ascii="宋体" w:hAnsi="宋体"/>
          <w:color w:val="auto"/>
          <w:sz w:val="24"/>
          <w:highlight w:val="none"/>
        </w:rPr>
        <w:t>资格审查合格的投标人不足3家的，不进行评标。</w:t>
      </w:r>
      <w:bookmarkEnd w:id="825"/>
      <w:bookmarkEnd w:id="826"/>
    </w:p>
    <w:p>
      <w:pPr>
        <w:widowControl/>
        <w:snapToGrid w:val="0"/>
        <w:spacing w:line="360" w:lineRule="auto"/>
        <w:jc w:val="left"/>
        <w:rPr>
          <w:rFonts w:hint="eastAsia" w:ascii="宋体" w:hAnsi="宋体"/>
          <w:color w:val="auto"/>
          <w:sz w:val="24"/>
          <w:highlight w:val="none"/>
        </w:rPr>
      </w:pPr>
    </w:p>
    <w:p>
      <w:pPr>
        <w:tabs>
          <w:tab w:val="left" w:pos="360"/>
          <w:tab w:val="left" w:pos="900"/>
        </w:tabs>
        <w:snapToGrid w:val="0"/>
        <w:spacing w:line="360" w:lineRule="auto"/>
        <w:jc w:val="center"/>
        <w:outlineLvl w:val="1"/>
        <w:rPr>
          <w:rFonts w:hint="eastAsia" w:ascii="宋体" w:hAnsi="宋体"/>
          <w:b/>
          <w:color w:val="auto"/>
          <w:sz w:val="24"/>
          <w:highlight w:val="none"/>
        </w:rPr>
      </w:pPr>
      <w:bookmarkStart w:id="827" w:name="_Toc162979028"/>
      <w:bookmarkStart w:id="828" w:name="_Toc162978955"/>
      <w:r>
        <w:rPr>
          <w:rFonts w:ascii="宋体" w:hAnsi="宋体"/>
          <w:b/>
          <w:color w:val="auto"/>
          <w:sz w:val="24"/>
          <w:highlight w:val="none"/>
        </w:rPr>
        <w:t>二、资格审查要求</w:t>
      </w:r>
      <w:bookmarkEnd w:id="827"/>
      <w:bookmarkEnd w:id="828"/>
    </w:p>
    <w:tbl>
      <w:tblPr>
        <w:tblStyle w:val="44"/>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982"/>
        <w:gridCol w:w="4822"/>
        <w:gridCol w:w="16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blHeader/>
        </w:trPr>
        <w:tc>
          <w:tcPr>
            <w:tcW w:w="846" w:type="dxa"/>
            <w:vAlign w:val="center"/>
          </w:tcPr>
          <w:p>
            <w:pPr>
              <w:tabs>
                <w:tab w:val="left" w:pos="1080"/>
              </w:tabs>
              <w:snapToGrid w:val="0"/>
              <w:spacing w:line="360" w:lineRule="auto"/>
              <w:jc w:val="center"/>
              <w:rPr>
                <w:rFonts w:hint="eastAsia" w:ascii="宋体" w:hAnsi="宋体"/>
                <w:b/>
                <w:color w:val="auto"/>
                <w:sz w:val="24"/>
                <w:highlight w:val="none"/>
              </w:rPr>
            </w:pPr>
            <w:bookmarkStart w:id="829" w:name="_Hlt487972895"/>
            <w:bookmarkEnd w:id="829"/>
            <w:r>
              <w:rPr>
                <w:rFonts w:ascii="宋体" w:hAnsi="宋体"/>
                <w:b/>
                <w:color w:val="auto"/>
                <w:sz w:val="24"/>
                <w:highlight w:val="none"/>
              </w:rPr>
              <w:t>序号</w:t>
            </w:r>
          </w:p>
        </w:tc>
        <w:tc>
          <w:tcPr>
            <w:tcW w:w="1982" w:type="dxa"/>
            <w:vAlign w:val="center"/>
          </w:tcPr>
          <w:p>
            <w:pPr>
              <w:tabs>
                <w:tab w:val="left" w:pos="1080"/>
              </w:tabs>
              <w:snapToGrid w:val="0"/>
              <w:spacing w:line="360" w:lineRule="auto"/>
              <w:jc w:val="center"/>
              <w:rPr>
                <w:rFonts w:hint="eastAsia" w:ascii="宋体" w:hAnsi="宋体"/>
                <w:b/>
                <w:color w:val="auto"/>
                <w:sz w:val="24"/>
                <w:highlight w:val="none"/>
              </w:rPr>
            </w:pPr>
            <w:r>
              <w:rPr>
                <w:rFonts w:ascii="宋体" w:hAnsi="宋体"/>
                <w:b/>
                <w:color w:val="auto"/>
                <w:sz w:val="24"/>
                <w:highlight w:val="none"/>
              </w:rPr>
              <w:t>审查因素</w:t>
            </w:r>
          </w:p>
        </w:tc>
        <w:tc>
          <w:tcPr>
            <w:tcW w:w="4822" w:type="dxa"/>
            <w:vAlign w:val="center"/>
          </w:tcPr>
          <w:p>
            <w:pPr>
              <w:tabs>
                <w:tab w:val="left" w:pos="1080"/>
              </w:tabs>
              <w:snapToGrid w:val="0"/>
              <w:spacing w:line="360" w:lineRule="auto"/>
              <w:jc w:val="center"/>
              <w:rPr>
                <w:rFonts w:hint="eastAsia" w:ascii="宋体" w:hAnsi="宋体"/>
                <w:b/>
                <w:color w:val="auto"/>
                <w:sz w:val="24"/>
                <w:highlight w:val="none"/>
              </w:rPr>
            </w:pPr>
            <w:r>
              <w:rPr>
                <w:rFonts w:ascii="宋体" w:hAnsi="宋体"/>
                <w:b/>
                <w:color w:val="auto"/>
                <w:sz w:val="24"/>
                <w:highlight w:val="none"/>
              </w:rPr>
              <w:t>审查内容</w:t>
            </w:r>
          </w:p>
        </w:tc>
        <w:tc>
          <w:tcPr>
            <w:tcW w:w="1638" w:type="dxa"/>
            <w:vAlign w:val="center"/>
          </w:tcPr>
          <w:p>
            <w:pPr>
              <w:tabs>
                <w:tab w:val="left" w:pos="1080"/>
              </w:tabs>
              <w:snapToGrid w:val="0"/>
              <w:spacing w:line="360" w:lineRule="auto"/>
              <w:jc w:val="center"/>
              <w:rPr>
                <w:rFonts w:hint="eastAsia" w:ascii="宋体" w:hAnsi="宋体"/>
                <w:b/>
                <w:color w:val="auto"/>
                <w:sz w:val="24"/>
                <w:highlight w:val="none"/>
              </w:rPr>
            </w:pPr>
            <w:r>
              <w:rPr>
                <w:rFonts w:ascii="宋体" w:hAnsi="宋体"/>
                <w:b/>
                <w:color w:val="auto"/>
                <w:sz w:val="24"/>
                <w:highlight w:val="none"/>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1</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满足《中华人民共和国政府采购法》第二十二条规定及法律法规的其他规定</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具体规定见第一章《投标邀请》</w:t>
            </w:r>
          </w:p>
        </w:tc>
        <w:tc>
          <w:tcPr>
            <w:tcW w:w="1638" w:type="dxa"/>
            <w:vAlign w:val="center"/>
          </w:tcPr>
          <w:p>
            <w:pPr>
              <w:tabs>
                <w:tab w:val="left" w:pos="1080"/>
              </w:tabs>
              <w:snapToGrid w:val="0"/>
              <w:spacing w:line="360" w:lineRule="auto"/>
              <w:rPr>
                <w:rFonts w:hint="eastAsia" w:ascii="宋体" w:hAnsi="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1-1</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营业执照等证明文件</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投标人为企业（包括合伙企业）的，应提供有效的“营业执照”；</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投标人为事业单位的，应提供有效的“事业单位法人证书”；</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投标人是非企业机构的，应提供有效的“执业许可证”、“登记证书”等证明文件；</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投标人是个体工商户的，应提供有效的“个体工商户营业执照”；</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是自然人的，应提供有效的自然人身份证明。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1-2</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投标人资格声明书</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提供了符合招标文件要求的《投标人资格声明书》。</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3</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投标人信用记录</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查询渠道：信用中国网站和中国政府采购网（</w:t>
            </w:r>
            <w:r>
              <w:rPr>
                <w:rFonts w:ascii="宋体" w:hAnsi="宋体"/>
                <w:color w:val="auto"/>
                <w:highlight w:val="none"/>
              </w:rPr>
              <w:t>www.creditchina.gov.cn</w:t>
            </w:r>
            <w:r>
              <w:rPr>
                <w:rFonts w:ascii="宋体" w:hAnsi="宋体"/>
                <w:color w:val="auto"/>
                <w:sz w:val="24"/>
                <w:highlight w:val="none"/>
              </w:rPr>
              <w:t>、</w:t>
            </w:r>
            <w:r>
              <w:rPr>
                <w:rFonts w:ascii="宋体" w:hAnsi="宋体"/>
                <w:color w:val="auto"/>
                <w:highlight w:val="none"/>
              </w:rPr>
              <w:t>www.ccgp.gov.cn</w:t>
            </w:r>
            <w:r>
              <w:rPr>
                <w:rFonts w:ascii="宋体" w:hAnsi="宋体"/>
                <w:color w:val="auto"/>
                <w:sz w:val="24"/>
                <w:highlight w:val="none"/>
              </w:rPr>
              <w:t>）；</w:t>
            </w:r>
          </w:p>
          <w:p>
            <w:pPr>
              <w:tabs>
                <w:tab w:val="left" w:pos="900"/>
                <w:tab w:val="left" w:pos="1980"/>
              </w:tabs>
              <w:snapToGrid w:val="0"/>
              <w:spacing w:line="360" w:lineRule="auto"/>
              <w:rPr>
                <w:rFonts w:hint="eastAsia" w:ascii="宋体" w:hAnsi="宋体"/>
                <w:color w:val="auto"/>
                <w:sz w:val="24"/>
                <w:highlight w:val="none"/>
              </w:rPr>
            </w:pPr>
            <w:r>
              <w:rPr>
                <w:rFonts w:ascii="宋体" w:hAnsi="宋体"/>
                <w:color w:val="auto"/>
                <w:sz w:val="24"/>
                <w:highlight w:val="none"/>
              </w:rPr>
              <w:t>截止时点：投标截止时间以后、</w:t>
            </w:r>
            <w:r>
              <w:rPr>
                <w:rFonts w:hint="eastAsia" w:ascii="宋体" w:hAnsi="宋体"/>
                <w:color w:val="auto"/>
                <w:sz w:val="24"/>
                <w:highlight w:val="none"/>
              </w:rPr>
              <w:t>资格审查阶段采购人或</w:t>
            </w:r>
            <w:r>
              <w:rPr>
                <w:rFonts w:ascii="宋体" w:hAnsi="宋体"/>
                <w:color w:val="auto"/>
                <w:sz w:val="24"/>
                <w:highlight w:val="none"/>
              </w:rPr>
              <w:t>采购代理机构的实际查询时间；</w:t>
            </w:r>
          </w:p>
          <w:p>
            <w:pPr>
              <w:tabs>
                <w:tab w:val="left" w:pos="900"/>
                <w:tab w:val="left" w:pos="1980"/>
              </w:tabs>
              <w:snapToGrid w:val="0"/>
              <w:spacing w:line="360" w:lineRule="auto"/>
              <w:rPr>
                <w:rFonts w:hint="eastAsia" w:ascii="宋体" w:hAnsi="宋体"/>
                <w:color w:val="auto"/>
                <w:sz w:val="24"/>
                <w:highlight w:val="none"/>
              </w:rPr>
            </w:pPr>
            <w:r>
              <w:rPr>
                <w:rFonts w:ascii="宋体" w:hAnsi="宋体"/>
                <w:color w:val="auto"/>
                <w:sz w:val="24"/>
                <w:highlight w:val="none"/>
              </w:rPr>
              <w:t>信用信息查询记录和证据留存具体方式：查询结果网页打印页作为查询记录和证据，与其他采购文件一并保存；</w:t>
            </w:r>
          </w:p>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信用信息的使用原则：经认定的被列入失信被执行人、重大税收违法案件当事人名单、</w:t>
            </w:r>
            <w:r>
              <w:rPr>
                <w:rFonts w:hint="eastAsia" w:ascii="宋体" w:hAnsi="宋体"/>
                <w:color w:val="auto"/>
                <w:sz w:val="24"/>
                <w:highlight w:val="none"/>
              </w:rPr>
              <w:t>严重失信主体名单</w:t>
            </w:r>
            <w:r>
              <w:rPr>
                <w:rFonts w:ascii="宋体" w:hAnsi="宋体"/>
                <w:color w:val="auto"/>
                <w:sz w:val="24"/>
                <w:highlight w:val="none"/>
              </w:rPr>
              <w:t>的投标人，其</w:t>
            </w:r>
            <w:r>
              <w:rPr>
                <w:rFonts w:ascii="宋体" w:hAnsi="宋体"/>
                <w:b/>
                <w:color w:val="auto"/>
                <w:sz w:val="24"/>
                <w:highlight w:val="none"/>
              </w:rPr>
              <w:t>投标无效</w:t>
            </w:r>
            <w:r>
              <w:rPr>
                <w:rFonts w:ascii="宋体" w:hAnsi="宋体"/>
                <w:color w:val="auto"/>
                <w:sz w:val="24"/>
                <w:highlight w:val="none"/>
              </w:rPr>
              <w:t>。联合体形式投标的，联合体成员存在不良信用记录，视同联合体存在不良信用记录。</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无须投标人提供，由采购人或采购代理机构查询。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1-4</w:t>
            </w:r>
          </w:p>
        </w:tc>
        <w:tc>
          <w:tcPr>
            <w:tcW w:w="1982" w:type="dxa"/>
            <w:vAlign w:val="center"/>
          </w:tcPr>
          <w:p>
            <w:pPr>
              <w:tabs>
                <w:tab w:val="left" w:pos="1080"/>
              </w:tabs>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法律、行政法规规定的其他条件</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法律、行政法规规定的其他条件</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2</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落实政府采购政策需满足的资格要求</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具体要求见第一章《投标邀请》</w:t>
            </w:r>
          </w:p>
        </w:tc>
        <w:tc>
          <w:tcPr>
            <w:tcW w:w="1638" w:type="dxa"/>
            <w:vAlign w:val="center"/>
          </w:tcPr>
          <w:p>
            <w:pPr>
              <w:tabs>
                <w:tab w:val="left" w:pos="1080"/>
              </w:tabs>
              <w:snapToGrid w:val="0"/>
              <w:spacing w:line="360" w:lineRule="auto"/>
              <w:rPr>
                <w:rFonts w:hint="eastAsia" w:ascii="宋体" w:hAnsi="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-1</w:t>
            </w:r>
          </w:p>
        </w:tc>
        <w:tc>
          <w:tcPr>
            <w:tcW w:w="1982" w:type="dxa"/>
            <w:vAlign w:val="center"/>
          </w:tcPr>
          <w:p>
            <w:pPr>
              <w:tabs>
                <w:tab w:val="left" w:pos="1080"/>
              </w:tabs>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中小企业政策证明文件</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具体要求见第一章《投标邀请》</w:t>
            </w:r>
          </w:p>
        </w:tc>
        <w:tc>
          <w:tcPr>
            <w:tcW w:w="1638" w:type="dxa"/>
            <w:vAlign w:val="center"/>
          </w:tcPr>
          <w:p>
            <w:pPr>
              <w:tabs>
                <w:tab w:val="left" w:pos="1080"/>
              </w:tabs>
              <w:snapToGrid w:val="0"/>
              <w:spacing w:line="360" w:lineRule="auto"/>
              <w:rPr>
                <w:rFonts w:hint="eastAsia" w:ascii="宋体" w:hAnsi="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ascii="宋体" w:hAnsi="宋体"/>
                <w:color w:val="auto"/>
                <w:sz w:val="24"/>
                <w:highlight w:val="none"/>
              </w:rPr>
              <w:t>2-1</w:t>
            </w:r>
            <w:r>
              <w:rPr>
                <w:rFonts w:hint="eastAsia" w:ascii="宋体" w:hAnsi="宋体"/>
                <w:color w:val="auto"/>
                <w:sz w:val="24"/>
                <w:highlight w:val="none"/>
              </w:rPr>
              <w:t>-1</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中小企业证明文件</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当本项目涉及预留份额专门面向中小企业采购</w:t>
            </w:r>
            <w:r>
              <w:rPr>
                <w:rFonts w:hint="eastAsia" w:ascii="宋体" w:hAnsi="宋体"/>
                <w:color w:val="auto"/>
                <w:sz w:val="24"/>
                <w:highlight w:val="none"/>
              </w:rPr>
              <w:t>，</w:t>
            </w:r>
            <w:r>
              <w:rPr>
                <w:rFonts w:ascii="宋体" w:hAnsi="宋体"/>
                <w:color w:val="auto"/>
                <w:sz w:val="24"/>
                <w:highlight w:val="none"/>
              </w:rPr>
              <w:t>在《资格证明文件》中提供。</w:t>
            </w:r>
          </w:p>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、投标人单独投标的，应</w:t>
            </w:r>
            <w:r>
              <w:rPr>
                <w:rFonts w:ascii="宋体" w:hAnsi="宋体"/>
                <w:color w:val="auto"/>
                <w:sz w:val="24"/>
                <w:highlight w:val="none"/>
              </w:rPr>
              <w:t>提</w:t>
            </w:r>
            <w:r>
              <w:rPr>
                <w:rFonts w:hint="eastAsia" w:ascii="宋体" w:hAnsi="宋体"/>
                <w:color w:val="auto"/>
                <w:sz w:val="24"/>
                <w:highlight w:val="none"/>
              </w:rPr>
              <w:t>供《中小企业声</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明函》或《残疾人福利性单位声明函》或由</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省级以上监狱管理局、戒毒管理局（含新疆</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生产建设兵团）出具的属于监狱企业的证明</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文件。</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2、如招标文件要求以联合体形式参加或者要</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求合同分包的，且投标人为联合体或拟进行</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合同分包的，则联合体中的中小企业、签订</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分包意向协议的中小企业具体情况须在《中</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小企业声明函》或《残疾人福利性单位声明</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函》或由省级以上监狱管理局、戒毒管理局</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（含新疆生产建设兵团）出具的属于监狱企</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业的证明文件中如实填报，且满足招标文件</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关于预留份额的要求。</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2</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其它落实政府采</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购政策的资格要</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求</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如有，见第一章《投标邀请》</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3</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ascii="宋体" w:hAnsi="宋体"/>
                <w:color w:val="auto"/>
                <w:sz w:val="24"/>
                <w:highlight w:val="none"/>
              </w:rPr>
              <w:t>本项目的特定资格要求</w:t>
            </w:r>
          </w:p>
        </w:tc>
        <w:tc>
          <w:tcPr>
            <w:tcW w:w="482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如有，见第一章《投标邀请》</w:t>
            </w:r>
          </w:p>
        </w:tc>
        <w:tc>
          <w:tcPr>
            <w:tcW w:w="1638"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6" w:type="dxa"/>
            <w:vAlign w:val="center"/>
          </w:tcPr>
          <w:p>
            <w:pPr>
              <w:tabs>
                <w:tab w:val="left" w:pos="1080"/>
              </w:tabs>
              <w:snapToGrid w:val="0"/>
              <w:spacing w:line="360" w:lineRule="auto"/>
              <w:jc w:val="center"/>
              <w:rPr>
                <w:rFonts w:hint="eastAsia" w:ascii="宋体" w:hAnsi="宋体"/>
                <w:color w:val="auto"/>
                <w:sz w:val="24"/>
                <w:highlight w:val="none"/>
              </w:rPr>
            </w:pPr>
            <w:r>
              <w:rPr>
                <w:rFonts w:hint="eastAsia" w:ascii="宋体" w:hAnsi="宋体"/>
                <w:color w:val="auto"/>
                <w:sz w:val="24"/>
                <w:highlight w:val="none"/>
              </w:rPr>
              <w:t>4</w:t>
            </w:r>
          </w:p>
        </w:tc>
        <w:tc>
          <w:tcPr>
            <w:tcW w:w="1982" w:type="dxa"/>
            <w:vAlign w:val="center"/>
          </w:tcPr>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获取招标文件</w:t>
            </w:r>
          </w:p>
        </w:tc>
        <w:tc>
          <w:tcPr>
            <w:tcW w:w="4822" w:type="dxa"/>
            <w:vAlign w:val="center"/>
          </w:tcPr>
          <w:p>
            <w:pPr>
              <w:tabs>
                <w:tab w:val="left" w:pos="1080"/>
              </w:tabs>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在规定期限内通过北京市政府采购电子交易</w:t>
            </w:r>
          </w:p>
          <w:p>
            <w:pPr>
              <w:tabs>
                <w:tab w:val="left" w:pos="1080"/>
              </w:tabs>
              <w:snapToGrid w:val="0"/>
              <w:spacing w:line="360" w:lineRule="auto"/>
              <w:rPr>
                <w:rFonts w:hint="eastAsia" w:ascii="宋体" w:hAnsi="宋体"/>
                <w:color w:val="auto"/>
                <w:sz w:val="24"/>
                <w:highlight w:val="none"/>
              </w:rPr>
            </w:pPr>
            <w:r>
              <w:rPr>
                <w:rFonts w:hint="eastAsia" w:ascii="宋体" w:hAnsi="宋体"/>
                <w:color w:val="auto"/>
                <w:sz w:val="24"/>
                <w:highlight w:val="none"/>
              </w:rPr>
              <w:t>平台获取招标文件。</w:t>
            </w:r>
          </w:p>
        </w:tc>
        <w:tc>
          <w:tcPr>
            <w:tcW w:w="1638" w:type="dxa"/>
            <w:vAlign w:val="center"/>
          </w:tcPr>
          <w:p>
            <w:pPr>
              <w:tabs>
                <w:tab w:val="left" w:pos="1080"/>
              </w:tabs>
              <w:snapToGrid w:val="0"/>
              <w:spacing w:line="360" w:lineRule="auto"/>
              <w:rPr>
                <w:rFonts w:hint="eastAsia" w:ascii="宋体" w:hAnsi="宋体"/>
                <w:color w:val="auto"/>
                <w:sz w:val="24"/>
                <w:highlight w:val="none"/>
              </w:rPr>
            </w:pPr>
          </w:p>
        </w:tc>
      </w:t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815"/>
    </w:tbl>
    <w:p>
      <w:pPr>
        <w:pStyle w:val="2"/>
        <w:snapToGrid w:val="0"/>
        <w:spacing w:before="0" w:after="0" w:line="360" w:lineRule="auto"/>
        <w:rPr>
          <w:rFonts w:hint="eastAsia" w:hAnsi="宋体"/>
          <w:color w:val="auto"/>
          <w:highlight w:val="none"/>
        </w:rPr>
      </w:pPr>
      <w:bookmarkStart w:id="830" w:name="_Toc353825550"/>
      <w:bookmarkStart w:id="831" w:name="_Toc127151779"/>
      <w:bookmarkStart w:id="832" w:name="_Toc127161490"/>
      <w:bookmarkStart w:id="833" w:name="_Toc353873940"/>
      <w:bookmarkStart w:id="834" w:name="_Toc226965858"/>
      <w:r>
        <w:rPr>
          <w:rFonts w:hAnsi="宋体"/>
          <w:color w:val="auto"/>
          <w:sz w:val="24"/>
          <w:highlight w:val="none"/>
        </w:rPr>
        <w:br w:type="page"/>
      </w:r>
      <w:bookmarkStart w:id="835" w:name="_Toc99301423"/>
      <w:bookmarkStart w:id="836" w:name="_Toc162979029"/>
      <w:r>
        <w:rPr>
          <w:rFonts w:hAnsi="宋体"/>
          <w:color w:val="auto"/>
          <w:highlight w:val="none"/>
        </w:rPr>
        <w:t xml:space="preserve">第四章   </w:t>
      </w:r>
      <w:bookmarkEnd w:id="830"/>
      <w:bookmarkEnd w:id="831"/>
      <w:bookmarkEnd w:id="832"/>
      <w:bookmarkEnd w:id="833"/>
      <w:bookmarkEnd w:id="834"/>
      <w:bookmarkStart w:id="837" w:name="_Hlt164229061"/>
      <w:bookmarkEnd w:id="837"/>
      <w:r>
        <w:rPr>
          <w:rFonts w:hAnsi="宋体"/>
          <w:color w:val="auto"/>
          <w:highlight w:val="none"/>
        </w:rPr>
        <w:t>评标程序、评标方法和评标标准</w:t>
      </w:r>
      <w:bookmarkEnd w:id="835"/>
      <w:bookmarkEnd w:id="836"/>
    </w:p>
    <w:p>
      <w:pPr>
        <w:tabs>
          <w:tab w:val="left" w:pos="360"/>
          <w:tab w:val="left" w:pos="900"/>
        </w:tabs>
        <w:snapToGrid w:val="0"/>
        <w:spacing w:line="360" w:lineRule="auto"/>
        <w:jc w:val="center"/>
        <w:outlineLvl w:val="1"/>
        <w:rPr>
          <w:rFonts w:hint="eastAsia" w:ascii="宋体" w:hAnsi="宋体"/>
          <w:b/>
          <w:color w:val="auto"/>
          <w:highlight w:val="none"/>
        </w:rPr>
      </w:pPr>
      <w:bookmarkStart w:id="838" w:name="_Toc162979030"/>
      <w:bookmarkStart w:id="839" w:name="_Toc162978956"/>
      <w:r>
        <w:rPr>
          <w:rFonts w:ascii="宋体" w:hAnsi="宋体"/>
          <w:b/>
          <w:color w:val="auto"/>
          <w:sz w:val="24"/>
          <w:highlight w:val="none"/>
        </w:rPr>
        <w:t>一、评标方法</w:t>
      </w:r>
      <w:bookmarkEnd w:id="838"/>
      <w:bookmarkEnd w:id="839"/>
    </w:p>
    <w:p>
      <w:pPr>
        <w:numPr>
          <w:ilvl w:val="0"/>
          <w:numId w:val="11"/>
        </w:numPr>
        <w:tabs>
          <w:tab w:val="left" w:pos="360"/>
        </w:tabs>
        <w:snapToGrid w:val="0"/>
        <w:spacing w:line="360" w:lineRule="auto"/>
        <w:outlineLvl w:val="1"/>
        <w:rPr>
          <w:rFonts w:hint="eastAsia" w:ascii="宋体" w:hAnsi="宋体"/>
          <w:color w:val="auto"/>
          <w:sz w:val="24"/>
          <w:highlight w:val="none"/>
        </w:rPr>
      </w:pPr>
      <w:bookmarkStart w:id="840" w:name="_Toc195842906"/>
      <w:bookmarkStart w:id="841" w:name="_Toc164229382"/>
      <w:bookmarkStart w:id="842" w:name="_Toc164608655"/>
      <w:bookmarkStart w:id="843" w:name="_Toc226309785"/>
      <w:bookmarkStart w:id="844" w:name="_Toc226965814"/>
      <w:bookmarkStart w:id="845" w:name="_Toc226965731"/>
      <w:bookmarkStart w:id="846" w:name="_Toc150509292"/>
      <w:bookmarkStart w:id="847" w:name="_Toc162979031"/>
      <w:bookmarkStart w:id="848" w:name="_Toc305158809"/>
      <w:bookmarkStart w:id="849" w:name="_Toc150480779"/>
      <w:bookmarkStart w:id="850" w:name="_Toc150774641"/>
      <w:bookmarkStart w:id="851" w:name="_Toc151193711"/>
      <w:bookmarkStart w:id="852" w:name="_Toc162978957"/>
      <w:bookmarkStart w:id="853" w:name="_Toc226337237"/>
      <w:bookmarkStart w:id="854" w:name="_Toc151193929"/>
      <w:bookmarkStart w:id="855" w:name="_Toc127161455"/>
      <w:bookmarkStart w:id="856" w:name="_Toc164608810"/>
      <w:bookmarkStart w:id="857" w:name="_Toc151193639"/>
      <w:bookmarkStart w:id="858" w:name="_Toc305158883"/>
      <w:bookmarkStart w:id="859" w:name="_Toc265228379"/>
      <w:bookmarkStart w:id="860" w:name="_Toc164229236"/>
      <w:bookmarkStart w:id="861" w:name="_Toc151190168"/>
      <w:bookmarkStart w:id="862" w:name="_Toc127151742"/>
      <w:bookmarkStart w:id="863" w:name="_Toc151193783"/>
      <w:bookmarkStart w:id="864" w:name="_Toc150774746"/>
      <w:bookmarkStart w:id="865" w:name="_Toc151193855"/>
      <w:bookmarkStart w:id="866" w:name="_Toc142311043"/>
      <w:bookmarkStart w:id="867" w:name="_Toc127151541"/>
      <w:bookmarkStart w:id="868" w:name="_Toc164351635"/>
      <w:bookmarkStart w:id="869" w:name="_Toc264969231"/>
      <w:bookmarkStart w:id="870" w:name="_Toc149720834"/>
      <w:bookmarkStart w:id="871" w:name="_Toc353873941"/>
      <w:bookmarkStart w:id="872" w:name="_Toc353825551"/>
      <w:bookmarkStart w:id="873" w:name="_Toc353873665"/>
      <w:bookmarkStart w:id="874" w:name="_Toc142311057"/>
      <w:bookmarkStart w:id="875" w:name="_Toc127151555"/>
      <w:bookmarkStart w:id="876" w:name="_Toc264969245"/>
      <w:bookmarkStart w:id="877" w:name="_Toc353825545"/>
      <w:bookmarkStart w:id="878" w:name="_Toc150774760"/>
      <w:bookmarkStart w:id="879" w:name="_Toc195842920"/>
      <w:bookmarkStart w:id="880" w:name="_Toc226965828"/>
      <w:bookmarkStart w:id="881" w:name="_Toc265228393"/>
      <w:bookmarkStart w:id="882" w:name="_Toc226337251"/>
      <w:bookmarkStart w:id="883" w:name="_Toc305158823"/>
      <w:bookmarkStart w:id="884" w:name="_Toc353873935"/>
      <w:bookmarkStart w:id="885" w:name="_Toc150480793"/>
      <w:bookmarkStart w:id="886" w:name="_Toc305158897"/>
      <w:r>
        <w:rPr>
          <w:rFonts w:ascii="宋体" w:hAnsi="宋体"/>
          <w:color w:val="auto"/>
          <w:sz w:val="24"/>
          <w:highlight w:val="none"/>
        </w:rPr>
        <w:t>投标文件的符合性审查</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评标委员会对资格审查合格的投标人的投标文件进行符合性审查，以确定其是否满足招标文件的实质性要求。</w:t>
      </w:r>
      <w:bookmarkStart w:id="887" w:name="_Toc520356167"/>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评标委员会根据《符合性审查</w:t>
      </w:r>
      <w:r>
        <w:rPr>
          <w:rFonts w:hint="eastAsia" w:ascii="宋体" w:hAnsi="宋体"/>
          <w:color w:val="auto"/>
          <w:sz w:val="24"/>
          <w:highlight w:val="none"/>
        </w:rPr>
        <w:t>要求</w:t>
      </w:r>
      <w:r>
        <w:rPr>
          <w:rFonts w:ascii="宋体" w:hAnsi="宋体"/>
          <w:color w:val="auto"/>
          <w:sz w:val="24"/>
          <w:highlight w:val="none"/>
        </w:rPr>
        <w:t>》中规定的审查因素和审查内容，对投标人的投标文件是否实质上响应招标文件进行符合性审查，并形成符合性审查评审结果。</w:t>
      </w:r>
      <w:r>
        <w:rPr>
          <w:rFonts w:hint="eastAsia" w:ascii="宋体" w:hAnsi="宋体"/>
          <w:color w:val="auto"/>
          <w:sz w:val="24"/>
          <w:highlight w:val="none"/>
        </w:rPr>
        <w:t>投标人《商务技术文件》有任何一项不符合</w:t>
      </w:r>
      <w:r>
        <w:rPr>
          <w:rFonts w:ascii="宋体" w:hAnsi="宋体"/>
          <w:color w:val="auto"/>
          <w:sz w:val="24"/>
          <w:highlight w:val="none"/>
        </w:rPr>
        <w:t>《符合性审查</w:t>
      </w:r>
      <w:r>
        <w:rPr>
          <w:rFonts w:hint="eastAsia" w:ascii="宋体" w:hAnsi="宋体"/>
          <w:color w:val="auto"/>
          <w:sz w:val="24"/>
          <w:highlight w:val="none"/>
        </w:rPr>
        <w:t>要求</w:t>
      </w:r>
      <w:r>
        <w:rPr>
          <w:rFonts w:ascii="宋体" w:hAnsi="宋体"/>
          <w:color w:val="auto"/>
          <w:sz w:val="24"/>
          <w:highlight w:val="none"/>
        </w:rPr>
        <w:t>》</w:t>
      </w:r>
      <w:bookmarkEnd w:id="887"/>
      <w:r>
        <w:rPr>
          <w:rFonts w:hint="eastAsia" w:ascii="宋体" w:hAnsi="宋体"/>
          <w:color w:val="auto"/>
          <w:sz w:val="24"/>
          <w:highlight w:val="none"/>
        </w:rPr>
        <w:t>要求的，</w:t>
      </w:r>
      <w:r>
        <w:rPr>
          <w:rFonts w:hint="eastAsia" w:ascii="宋体" w:hAnsi="宋体"/>
          <w:b/>
          <w:color w:val="auto"/>
          <w:sz w:val="24"/>
          <w:highlight w:val="none"/>
        </w:rPr>
        <w:t>投标无效</w:t>
      </w:r>
      <w:r>
        <w:rPr>
          <w:rFonts w:hint="eastAsia" w:ascii="宋体" w:hAnsi="宋体"/>
          <w:color w:val="auto"/>
          <w:sz w:val="24"/>
          <w:highlight w:val="none"/>
        </w:rPr>
        <w:t>。</w:t>
      </w:r>
    </w:p>
    <w:p>
      <w:pPr>
        <w:tabs>
          <w:tab w:val="left" w:pos="900"/>
          <w:tab w:val="left" w:pos="1080"/>
          <w:tab w:val="left" w:pos="1589"/>
        </w:tabs>
        <w:snapToGrid w:val="0"/>
        <w:spacing w:line="360" w:lineRule="auto"/>
        <w:ind w:leftChars="-170" w:hanging="356" w:hangingChars="148"/>
        <w:jc w:val="center"/>
        <w:rPr>
          <w:rFonts w:hint="eastAsia" w:ascii="宋体" w:hAnsi="宋体"/>
          <w:b/>
          <w:color w:val="auto"/>
          <w:sz w:val="24"/>
          <w:highlight w:val="none"/>
        </w:rPr>
      </w:pPr>
      <w:r>
        <w:rPr>
          <w:rFonts w:ascii="宋体" w:hAnsi="宋体"/>
          <w:b/>
          <w:color w:val="auto"/>
          <w:sz w:val="24"/>
          <w:highlight w:val="none"/>
        </w:rPr>
        <w:t>符合性审查</w:t>
      </w:r>
      <w:r>
        <w:rPr>
          <w:rFonts w:hint="eastAsia" w:ascii="宋体" w:hAnsi="宋体"/>
          <w:b/>
          <w:color w:val="auto"/>
          <w:sz w:val="24"/>
          <w:highlight w:val="none"/>
        </w:rPr>
        <w:t>要求</w:t>
      </w:r>
    </w:p>
    <w:tbl>
      <w:tblPr>
        <w:tblStyle w:val="4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1"/>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49" w:type="dxa"/>
            <w:vAlign w:val="center"/>
          </w:tcPr>
          <w:p>
            <w:pPr>
              <w:widowControl/>
              <w:snapToGrid w:val="0"/>
              <w:spacing w:line="360" w:lineRule="auto"/>
              <w:jc w:val="center"/>
              <w:rPr>
                <w:rFonts w:hint="eastAsia" w:ascii="宋体" w:hAnsi="宋体"/>
                <w:b/>
                <w:color w:val="auto"/>
                <w:kern w:val="0"/>
                <w:sz w:val="24"/>
                <w:highlight w:val="none"/>
              </w:rPr>
            </w:pPr>
            <w:r>
              <w:rPr>
                <w:rFonts w:ascii="宋体" w:hAnsi="宋体"/>
                <w:b/>
                <w:color w:val="auto"/>
                <w:kern w:val="0"/>
                <w:sz w:val="24"/>
                <w:highlight w:val="none"/>
              </w:rPr>
              <w:t>序号</w:t>
            </w:r>
          </w:p>
        </w:tc>
        <w:tc>
          <w:tcPr>
            <w:tcW w:w="1811" w:type="dxa"/>
            <w:vAlign w:val="center"/>
          </w:tcPr>
          <w:p>
            <w:pPr>
              <w:widowControl/>
              <w:snapToGrid w:val="0"/>
              <w:spacing w:line="360" w:lineRule="auto"/>
              <w:jc w:val="center"/>
              <w:rPr>
                <w:rFonts w:hint="eastAsia" w:ascii="宋体" w:hAnsi="宋体"/>
                <w:b/>
                <w:color w:val="auto"/>
                <w:kern w:val="0"/>
                <w:sz w:val="24"/>
                <w:highlight w:val="none"/>
              </w:rPr>
            </w:pPr>
            <w:r>
              <w:rPr>
                <w:rFonts w:ascii="宋体" w:hAnsi="宋体"/>
                <w:b/>
                <w:color w:val="auto"/>
                <w:kern w:val="0"/>
                <w:sz w:val="24"/>
                <w:highlight w:val="none"/>
              </w:rPr>
              <w:t>审查因素</w:t>
            </w:r>
          </w:p>
        </w:tc>
        <w:tc>
          <w:tcPr>
            <w:tcW w:w="6728" w:type="dxa"/>
            <w:vAlign w:val="center"/>
          </w:tcPr>
          <w:p>
            <w:pPr>
              <w:widowControl/>
              <w:snapToGrid w:val="0"/>
              <w:spacing w:line="360" w:lineRule="auto"/>
              <w:jc w:val="center"/>
              <w:rPr>
                <w:rFonts w:hint="eastAsia" w:ascii="宋体" w:hAnsi="宋体"/>
                <w:b/>
                <w:color w:val="auto"/>
                <w:kern w:val="0"/>
                <w:sz w:val="24"/>
                <w:highlight w:val="none"/>
              </w:rPr>
            </w:pPr>
            <w:r>
              <w:rPr>
                <w:rFonts w:ascii="宋体" w:hAnsi="宋体"/>
                <w:b/>
                <w:color w:val="auto"/>
                <w:kern w:val="0"/>
                <w:sz w:val="24"/>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授权委托书</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2</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投标完整性</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sz w:val="24"/>
                <w:highlight w:val="none"/>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3</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投标报价</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投标报价未超过招标文件中规定的项目/采购包预算金额或者项目/采购包最高限价；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4</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报价唯一性</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投标文件未出现可选择性或可调整的报价（招标文件另有规定的除外）；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5</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投标有效期</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hint="eastAsia" w:ascii="宋体" w:hAnsi="宋体"/>
                <w:color w:val="auto"/>
                <w:kern w:val="0"/>
                <w:sz w:val="24"/>
                <w:highlight w:val="none"/>
              </w:rPr>
              <w:t>6</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实质性格式</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标记为</w:t>
            </w:r>
            <w:r>
              <w:rPr>
                <w:rFonts w:ascii="宋体" w:hAnsi="宋体"/>
                <w:color w:val="auto"/>
                <w:kern w:val="0"/>
                <w:sz w:val="24"/>
                <w:highlight w:val="none"/>
              </w:rPr>
              <w:t>“实质性格式”的</w:t>
            </w:r>
            <w:r>
              <w:rPr>
                <w:rFonts w:hint="eastAsia" w:ascii="宋体" w:hAnsi="宋体"/>
                <w:color w:val="auto"/>
                <w:kern w:val="0"/>
                <w:sz w:val="24"/>
                <w:highlight w:val="none"/>
              </w:rPr>
              <w:t>文件均按</w:t>
            </w:r>
            <w:r>
              <w:rPr>
                <w:rFonts w:ascii="宋体" w:hAnsi="宋体"/>
                <w:color w:val="auto"/>
                <w:kern w:val="0"/>
                <w:sz w:val="24"/>
                <w:highlight w:val="none"/>
              </w:rPr>
              <w:t>招标文件</w:t>
            </w:r>
            <w:r>
              <w:rPr>
                <w:rFonts w:hint="eastAsia" w:ascii="宋体" w:hAnsi="宋体"/>
                <w:color w:val="auto"/>
                <w:kern w:val="0"/>
                <w:sz w:val="24"/>
                <w:highlight w:val="none"/>
              </w:rPr>
              <w:t>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hint="eastAsia" w:ascii="宋体" w:hAnsi="宋体"/>
                <w:color w:val="auto"/>
                <w:kern w:val="0"/>
                <w:sz w:val="24"/>
                <w:highlight w:val="none"/>
              </w:rPr>
              <w:t>7</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s="Segoe UI Symbol"/>
                <w:color w:val="auto"/>
                <w:kern w:val="0"/>
                <w:sz w:val="24"/>
                <w:highlight w:val="none"/>
              </w:rPr>
              <w:t>★</w:t>
            </w:r>
            <w:r>
              <w:rPr>
                <w:rFonts w:ascii="宋体" w:hAnsi="宋体"/>
                <w:color w:val="auto"/>
                <w:kern w:val="0"/>
                <w:sz w:val="24"/>
                <w:highlight w:val="none"/>
              </w:rPr>
              <w:t>号条款响应</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投标文件满足招标文件第五章《采购需求》中★号条款要求的；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hint="eastAsia" w:ascii="宋体" w:hAnsi="宋体"/>
                <w:color w:val="auto"/>
                <w:kern w:val="0"/>
                <w:sz w:val="24"/>
                <w:highlight w:val="none"/>
              </w:rPr>
              <w:t>8</w:t>
            </w:r>
          </w:p>
        </w:tc>
        <w:tc>
          <w:tcPr>
            <w:tcW w:w="1811" w:type="dxa"/>
            <w:vAlign w:val="center"/>
          </w:tcPr>
          <w:p>
            <w:pPr>
              <w:widowControl/>
              <w:jc w:val="left"/>
              <w:rPr>
                <w:rFonts w:hint="eastAsia" w:ascii="宋体" w:hAnsi="宋体"/>
                <w:color w:val="auto"/>
                <w:kern w:val="0"/>
                <w:sz w:val="24"/>
                <w:highlight w:val="none"/>
              </w:rPr>
            </w:pPr>
            <w:r>
              <w:rPr>
                <w:color w:val="auto"/>
                <w:kern w:val="0"/>
                <w:sz w:val="24"/>
                <w:highlight w:val="none"/>
              </w:rPr>
              <w:t>报价的修正（如有）</w:t>
            </w:r>
          </w:p>
        </w:tc>
        <w:tc>
          <w:tcPr>
            <w:tcW w:w="6728" w:type="dxa"/>
            <w:vAlign w:val="center"/>
          </w:tcPr>
          <w:p>
            <w:pPr>
              <w:widowControl/>
              <w:jc w:val="left"/>
              <w:rPr>
                <w:rFonts w:hint="eastAsia" w:ascii="宋体" w:hAnsi="宋体"/>
                <w:color w:val="auto"/>
                <w:kern w:val="0"/>
                <w:sz w:val="24"/>
                <w:highlight w:val="none"/>
              </w:rPr>
            </w:pPr>
            <w:r>
              <w:rPr>
                <w:color w:val="auto"/>
                <w:kern w:val="0"/>
                <w:sz w:val="24"/>
                <w:highlight w:val="none"/>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hint="eastAsia" w:ascii="宋体" w:hAnsi="宋体"/>
                <w:color w:val="auto"/>
                <w:kern w:val="0"/>
                <w:sz w:val="24"/>
                <w:highlight w:val="none"/>
              </w:rPr>
              <w:t>9</w:t>
            </w:r>
          </w:p>
        </w:tc>
        <w:tc>
          <w:tcPr>
            <w:tcW w:w="1811" w:type="dxa"/>
            <w:vAlign w:val="center"/>
          </w:tcPr>
          <w:p>
            <w:pPr>
              <w:widowControl/>
              <w:jc w:val="left"/>
              <w:rPr>
                <w:color w:val="auto"/>
                <w:kern w:val="0"/>
                <w:sz w:val="24"/>
                <w:highlight w:val="none"/>
              </w:rPr>
            </w:pPr>
            <w:r>
              <w:rPr>
                <w:color w:val="auto"/>
                <w:kern w:val="0"/>
                <w:sz w:val="24"/>
                <w:highlight w:val="none"/>
              </w:rPr>
              <w:t>进口产品</w:t>
            </w:r>
          </w:p>
          <w:p>
            <w:pPr>
              <w:widowControl/>
              <w:jc w:val="left"/>
              <w:rPr>
                <w:rFonts w:hint="eastAsia" w:ascii="宋体" w:hAnsi="宋体"/>
                <w:color w:val="auto"/>
                <w:kern w:val="0"/>
                <w:sz w:val="24"/>
                <w:highlight w:val="none"/>
              </w:rPr>
            </w:pPr>
            <w:r>
              <w:rPr>
                <w:color w:val="auto"/>
                <w:kern w:val="0"/>
                <w:sz w:val="24"/>
                <w:highlight w:val="none"/>
              </w:rPr>
              <w:t>（如有）</w:t>
            </w:r>
          </w:p>
        </w:tc>
        <w:tc>
          <w:tcPr>
            <w:tcW w:w="6728" w:type="dxa"/>
            <w:vAlign w:val="center"/>
          </w:tcPr>
          <w:p>
            <w:pPr>
              <w:widowControl/>
              <w:jc w:val="left"/>
              <w:rPr>
                <w:rFonts w:hint="eastAsia" w:ascii="宋体" w:hAnsi="宋体"/>
                <w:color w:val="auto"/>
                <w:kern w:val="0"/>
                <w:sz w:val="24"/>
                <w:highlight w:val="none"/>
              </w:rPr>
            </w:pPr>
            <w:r>
              <w:rPr>
                <w:color w:val="auto"/>
                <w:sz w:val="24"/>
                <w:highlight w:val="none"/>
              </w:rPr>
              <w:t>招标文件不接受进口产品投标的内容时，投标人所投产品不含进口产品；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10</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国家有关部门对投标人的投标产品有强制性规定或要求的</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国家有关部门对投标人的投标产品有强制性规定或要求的（如相应技术、安全、节能和环保等），投标人的投标产品应符合相应规定或要求，并提供证明文件电子件：</w:t>
            </w:r>
          </w:p>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1）采购的产品若属于《节能产品政府采购品目清单》范围中政府强制采购产品，则投标人所报产品必须获得国家确定的认证机构出具的、处于有效期之内的节能产品认证证书；</w:t>
            </w:r>
          </w:p>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kern w:val="0"/>
                <w:sz w:val="24"/>
                <w:highlight w:val="none"/>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11</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公平竞争</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sz w:val="24"/>
                <w:highlight w:val="none"/>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12</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串通投标</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hint="eastAsia" w:ascii="宋体" w:hAnsi="宋体"/>
                <w:color w:val="auto"/>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r>
              <w:rPr>
                <w:rFonts w:ascii="宋体" w:hAnsi="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13</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附加条件</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投标文件</w:t>
            </w:r>
            <w:r>
              <w:rPr>
                <w:rFonts w:hint="eastAsia" w:ascii="宋体" w:hAnsi="宋体"/>
                <w:color w:val="auto"/>
                <w:kern w:val="0"/>
                <w:sz w:val="24"/>
                <w:highlight w:val="none"/>
              </w:rPr>
              <w:t>未</w:t>
            </w:r>
            <w:r>
              <w:rPr>
                <w:rFonts w:ascii="宋体" w:hAnsi="宋体"/>
                <w:color w:val="auto"/>
                <w:kern w:val="0"/>
                <w:sz w:val="24"/>
                <w:highlight w:val="none"/>
              </w:rPr>
              <w:t>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49" w:type="dxa"/>
            <w:vAlign w:val="center"/>
          </w:tcPr>
          <w:p>
            <w:pPr>
              <w:widowControl/>
              <w:snapToGrid w:val="0"/>
              <w:spacing w:line="360" w:lineRule="auto"/>
              <w:jc w:val="center"/>
              <w:rPr>
                <w:rFonts w:hint="eastAsia" w:ascii="宋体" w:hAnsi="宋体"/>
                <w:color w:val="auto"/>
                <w:kern w:val="0"/>
                <w:sz w:val="24"/>
                <w:highlight w:val="none"/>
              </w:rPr>
            </w:pPr>
            <w:r>
              <w:rPr>
                <w:rFonts w:ascii="宋体" w:hAnsi="宋体"/>
                <w:color w:val="auto"/>
                <w:kern w:val="0"/>
                <w:sz w:val="24"/>
                <w:highlight w:val="none"/>
              </w:rPr>
              <w:t>14</w:t>
            </w:r>
          </w:p>
        </w:tc>
        <w:tc>
          <w:tcPr>
            <w:tcW w:w="1811"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kern w:val="0"/>
                <w:sz w:val="24"/>
                <w:highlight w:val="none"/>
              </w:rPr>
              <w:t>其他无效情形</w:t>
            </w:r>
          </w:p>
        </w:tc>
        <w:tc>
          <w:tcPr>
            <w:tcW w:w="6728" w:type="dxa"/>
            <w:vAlign w:val="center"/>
          </w:tcPr>
          <w:p>
            <w:pPr>
              <w:widowControl/>
              <w:snapToGrid w:val="0"/>
              <w:spacing w:line="360" w:lineRule="auto"/>
              <w:jc w:val="left"/>
              <w:rPr>
                <w:rFonts w:hint="eastAsia" w:ascii="宋体" w:hAnsi="宋体"/>
                <w:color w:val="auto"/>
                <w:kern w:val="0"/>
                <w:sz w:val="24"/>
                <w:highlight w:val="none"/>
              </w:rPr>
            </w:pPr>
            <w:r>
              <w:rPr>
                <w:rFonts w:ascii="宋体" w:hAnsi="宋体"/>
                <w:color w:val="auto"/>
                <w:sz w:val="24"/>
                <w:highlight w:val="none"/>
              </w:rPr>
              <w:t>投标人、投标文件</w:t>
            </w:r>
            <w:r>
              <w:rPr>
                <w:rFonts w:hint="eastAsia" w:ascii="宋体" w:hAnsi="宋体"/>
                <w:color w:val="auto"/>
                <w:sz w:val="24"/>
                <w:highlight w:val="none"/>
              </w:rPr>
              <w:t>不存在</w:t>
            </w:r>
            <w:r>
              <w:rPr>
                <w:rFonts w:ascii="宋体" w:hAnsi="宋体"/>
                <w:color w:val="auto"/>
                <w:sz w:val="24"/>
                <w:highlight w:val="none"/>
              </w:rPr>
              <w:t>不符合法律、法规和招标文件规定的其他无效情形。</w:t>
            </w:r>
          </w:p>
        </w:tc>
      </w:tr>
    </w:tbl>
    <w:p>
      <w:pPr>
        <w:numPr>
          <w:ilvl w:val="0"/>
          <w:numId w:val="12"/>
        </w:numPr>
        <w:tabs>
          <w:tab w:val="left" w:pos="1080"/>
          <w:tab w:val="left" w:pos="1589"/>
        </w:tabs>
        <w:snapToGrid w:val="0"/>
        <w:spacing w:line="360" w:lineRule="auto"/>
        <w:rPr>
          <w:rFonts w:hint="eastAsia" w:ascii="宋体" w:hAnsi="宋体"/>
          <w:color w:val="auto"/>
          <w:sz w:val="24"/>
          <w:highlight w:val="none"/>
        </w:rPr>
        <w:sectPr>
          <w:headerReference r:id="rId5" w:type="first"/>
          <w:footerReference r:id="rId7" w:type="first"/>
          <w:headerReference r:id="rId4" w:type="even"/>
          <w:footerReference r:id="rId6" w:type="even"/>
          <w:pgSz w:w="11907" w:h="16840"/>
          <w:pgMar w:top="1418" w:right="1134" w:bottom="1418" w:left="1701" w:header="851" w:footer="851" w:gutter="0"/>
          <w:cols w:space="720" w:num="1"/>
          <w:docGrid w:linePitch="462" w:charSpace="0"/>
        </w:sectPr>
      </w:pPr>
    </w:p>
    <w:p>
      <w:pPr>
        <w:numPr>
          <w:ilvl w:val="0"/>
          <w:numId w:val="11"/>
        </w:numPr>
        <w:tabs>
          <w:tab w:val="left" w:pos="360"/>
        </w:tabs>
        <w:snapToGrid w:val="0"/>
        <w:spacing w:line="360" w:lineRule="auto"/>
        <w:outlineLvl w:val="1"/>
        <w:rPr>
          <w:rFonts w:hint="eastAsia" w:ascii="宋体" w:hAnsi="宋体"/>
          <w:color w:val="auto"/>
          <w:sz w:val="24"/>
          <w:highlight w:val="none"/>
        </w:rPr>
      </w:pPr>
      <w:bookmarkStart w:id="888" w:name="_Toc162979032"/>
      <w:bookmarkStart w:id="889" w:name="_Toc162978958"/>
      <w:r>
        <w:rPr>
          <w:rFonts w:ascii="宋体" w:hAnsi="宋体"/>
          <w:color w:val="auto"/>
          <w:sz w:val="24"/>
          <w:highlight w:val="none"/>
        </w:rPr>
        <w:t>投标文件有关事项的澄清或者说明</w:t>
      </w:r>
      <w:bookmarkEnd w:id="888"/>
      <w:bookmarkEnd w:id="889"/>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或其授权的代表签字。投标人的澄清、说明或者补正不得超出投标文件的范围或者改变投标文件的实质性内容。澄清文件将作为投标文件内容的一部分。</w:t>
      </w:r>
    </w:p>
    <w:p>
      <w:pPr>
        <w:numPr>
          <w:ilvl w:val="1"/>
          <w:numId w:val="11"/>
        </w:numPr>
        <w:tabs>
          <w:tab w:val="left" w:pos="1080"/>
        </w:tabs>
        <w:snapToGrid w:val="0"/>
        <w:spacing w:line="360" w:lineRule="auto"/>
        <w:ind w:left="1077" w:hanging="720"/>
        <w:rPr>
          <w:color w:val="auto"/>
          <w:sz w:val="24"/>
          <w:highlight w:val="none"/>
        </w:rPr>
      </w:pPr>
      <w:bookmarkStart w:id="890" w:name="_Hlk220085436"/>
      <w:r>
        <w:rPr>
          <w:rFonts w:hint="eastAsia"/>
          <w:color w:val="auto"/>
          <w:sz w:val="24"/>
          <w:highlight w:val="none"/>
        </w:rPr>
        <w:t>异常低价处理</w:t>
      </w:r>
    </w:p>
    <w:p>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（1）投标（响应）报价低于全部通过符合性审查供应商投标（响应）报价平均值</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的，即投标（响应）报价&lt;全部通过符合性审查供应商投标（响应）报价平均值×</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w:t>
      </w:r>
    </w:p>
    <w:p>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（2）投标（响应）报价低于通过符合性审查的次低报价供应商投标（响应）报价</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的，即投标（响应）报价&lt;通过符合性审查的次低报价供应商投标（响应）报价×</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w:t>
      </w:r>
    </w:p>
    <w:p>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（3）投标（响应）报价低于采购项目最高限价</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的，即投标（响应）报价&lt;采购项目最高限价×</w:t>
      </w:r>
      <w:r>
        <w:rPr>
          <w:rFonts w:hint="eastAsia"/>
          <w:color w:val="auto"/>
          <w:sz w:val="24"/>
          <w:highlight w:val="none"/>
          <w:u w:val="single"/>
          <w:lang w:val="en-US" w:eastAsia="zh-CN"/>
        </w:rPr>
        <w:t>65</w:t>
      </w:r>
      <w:r>
        <w:rPr>
          <w:rFonts w:hint="eastAsia"/>
          <w:color w:val="auto"/>
          <w:sz w:val="24"/>
          <w:highlight w:val="none"/>
          <w:u w:val="single"/>
        </w:rPr>
        <w:t>%</w:t>
      </w:r>
      <w:r>
        <w:rPr>
          <w:rFonts w:hint="eastAsia"/>
          <w:color w:val="auto"/>
          <w:sz w:val="24"/>
          <w:highlight w:val="none"/>
        </w:rPr>
        <w:t>；</w:t>
      </w:r>
      <w:r>
        <w:rPr>
          <w:color w:val="auto"/>
          <w:sz w:val="24"/>
          <w:highlight w:val="none"/>
        </w:rPr>
        <w:t>未设定最高限价的采购项目，以采购项目预算金额作为最高限价</w:t>
      </w:r>
      <w:r>
        <w:rPr>
          <w:rFonts w:hint="eastAsia"/>
          <w:color w:val="auto"/>
          <w:sz w:val="24"/>
          <w:highlight w:val="none"/>
        </w:rPr>
        <w:t>；</w:t>
      </w:r>
    </w:p>
    <w:p>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（4）评审委员会基于专业判断，认为供应商报价过低，有可能影响产品质量或者不能诚信履约的其他情形。</w:t>
      </w:r>
    </w:p>
    <w:p>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w:t>
      </w:r>
      <w:r>
        <w:rPr>
          <w:color w:val="auto"/>
          <w:sz w:val="24"/>
          <w:highlight w:val="none"/>
        </w:rPr>
        <w:t>评审委员会启动异常低价投标（响应）审查后，属于前述第</w:t>
      </w:r>
      <w:r>
        <w:rPr>
          <w:rFonts w:hint="eastAsia"/>
          <w:color w:val="auto"/>
          <w:sz w:val="24"/>
          <w:highlight w:val="none"/>
        </w:rPr>
        <w:t>（1）</w:t>
      </w:r>
      <w:r>
        <w:rPr>
          <w:color w:val="auto"/>
          <w:sz w:val="24"/>
          <w:highlight w:val="none"/>
        </w:rPr>
        <w:t>项至第</w:t>
      </w:r>
      <w:r>
        <w:rPr>
          <w:rFonts w:hint="eastAsia"/>
          <w:color w:val="auto"/>
          <w:sz w:val="24"/>
          <w:highlight w:val="none"/>
        </w:rPr>
        <w:t>（</w:t>
      </w:r>
      <w:r>
        <w:rPr>
          <w:color w:val="auto"/>
          <w:sz w:val="24"/>
          <w:highlight w:val="none"/>
        </w:rPr>
        <w:t>4</w:t>
      </w:r>
      <w:r>
        <w:rPr>
          <w:rFonts w:hint="eastAsia"/>
          <w:color w:val="auto"/>
          <w:sz w:val="24"/>
          <w:highlight w:val="none"/>
        </w:rPr>
        <w:t>）</w:t>
      </w:r>
      <w:r>
        <w:rPr>
          <w:color w:val="auto"/>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highlight w:val="none"/>
        </w:rPr>
        <w:t>（</w:t>
      </w:r>
      <w:r>
        <w:rPr>
          <w:color w:val="auto"/>
          <w:sz w:val="24"/>
          <w:highlight w:val="none"/>
        </w:rPr>
        <w:t>3</w:t>
      </w:r>
      <w:r>
        <w:rPr>
          <w:rFonts w:hint="eastAsia"/>
          <w:color w:val="auto"/>
          <w:sz w:val="24"/>
          <w:highlight w:val="none"/>
        </w:rPr>
        <w:t>）</w:t>
      </w:r>
      <w:r>
        <w:rPr>
          <w:color w:val="auto"/>
          <w:sz w:val="24"/>
          <w:highlight w:val="none"/>
        </w:rPr>
        <w:t>项情形，供应商已随投标（响应）文件一并提交相关书面说明及必要的证明材料的，在评审现场可不再重复提交。</w:t>
      </w:r>
    </w:p>
    <w:p>
      <w:pPr>
        <w:numPr>
          <w:ilvl w:val="2"/>
          <w:numId w:val="11"/>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w:t>
      </w:r>
      <w:r>
        <w:rPr>
          <w:color w:val="auto"/>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highlight w:val="none"/>
        </w:rPr>
        <w:t>无效投标（响应）</w:t>
      </w:r>
      <w:r>
        <w:rPr>
          <w:color w:val="auto"/>
          <w:sz w:val="24"/>
          <w:highlight w:val="none"/>
        </w:rPr>
        <w:t>处理。</w:t>
      </w:r>
    </w:p>
    <w:p>
      <w:pPr>
        <w:numPr>
          <w:ilvl w:val="2"/>
          <w:numId w:val="11"/>
        </w:numPr>
        <w:tabs>
          <w:tab w:val="left" w:pos="1134"/>
          <w:tab w:val="left" w:pos="1276"/>
          <w:tab w:val="left" w:pos="1560"/>
          <w:tab w:val="left" w:pos="1701"/>
          <w:tab w:val="clear" w:pos="1980"/>
        </w:tabs>
        <w:snapToGrid w:val="0"/>
        <w:spacing w:line="360" w:lineRule="auto"/>
        <w:ind w:left="1843" w:hanging="709"/>
        <w:rPr>
          <w:rFonts w:hint="eastAsia" w:ascii="宋体" w:hAnsi="宋体"/>
          <w:color w:val="auto"/>
          <w:sz w:val="24"/>
          <w:highlight w:val="none"/>
        </w:rPr>
      </w:pPr>
      <w:bookmarkStart w:id="891" w:name="_Hlk190337965"/>
      <w:r>
        <w:rPr>
          <w:rFonts w:hint="eastAsia"/>
          <w:color w:val="auto"/>
          <w:sz w:val="24"/>
          <w:highlight w:val="none"/>
        </w:rPr>
        <w:t xml:space="preserve"> 上述投标（响应）报价指按照本章2.4修正后的报价</w:t>
      </w:r>
      <w:bookmarkEnd w:id="891"/>
      <w:r>
        <w:rPr>
          <w:rFonts w:hint="eastAsia"/>
          <w:color w:val="auto"/>
          <w:sz w:val="24"/>
          <w:highlight w:val="none"/>
        </w:rPr>
        <w:t>。</w:t>
      </w:r>
      <w:bookmarkEnd w:id="890"/>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rFonts w:ascii="宋体" w:hAnsi="宋体"/>
          <w:b/>
          <w:color w:val="auto"/>
          <w:sz w:val="24"/>
          <w:highlight w:val="none"/>
        </w:rPr>
        <w:t>投标无效</w:t>
      </w:r>
      <w:r>
        <w:rPr>
          <w:rFonts w:ascii="宋体" w:hAnsi="宋体"/>
          <w:color w:val="auto"/>
          <w:sz w:val="24"/>
          <w:highlight w:val="none"/>
        </w:rPr>
        <w:t>。</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投标文件报价出现前后不一致的，按照下列规定修正：</w:t>
      </w:r>
    </w:p>
    <w:p>
      <w:pPr>
        <w:numPr>
          <w:ilvl w:val="2"/>
          <w:numId w:val="11"/>
        </w:numPr>
        <w:tabs>
          <w:tab w:val="left" w:pos="1080"/>
          <w:tab w:val="left" w:pos="1589"/>
          <w:tab w:val="left" w:pos="2035"/>
          <w:tab w:val="left" w:pos="2114"/>
        </w:tabs>
        <w:snapToGrid w:val="0"/>
        <w:spacing w:line="360" w:lineRule="auto"/>
        <w:ind w:left="2035"/>
        <w:rPr>
          <w:rFonts w:hint="eastAsia" w:ascii="宋体" w:hAnsi="宋体"/>
          <w:color w:val="auto"/>
          <w:sz w:val="24"/>
          <w:highlight w:val="none"/>
        </w:rPr>
      </w:pPr>
      <w:r>
        <w:rPr>
          <w:rFonts w:ascii="宋体" w:hAnsi="宋体"/>
          <w:color w:val="auto"/>
          <w:sz w:val="24"/>
          <w:highlight w:val="none"/>
        </w:rPr>
        <w:t>招标文件对于报价修正是否另有规定：</w:t>
      </w:r>
    </w:p>
    <w:p>
      <w:pPr>
        <w:tabs>
          <w:tab w:val="left" w:pos="1080"/>
          <w:tab w:val="left" w:pos="1589"/>
          <w:tab w:val="left" w:pos="2035"/>
          <w:tab w:val="left" w:pos="2114"/>
        </w:tabs>
        <w:snapToGrid w:val="0"/>
        <w:spacing w:line="360" w:lineRule="auto"/>
        <w:ind w:left="2035"/>
        <w:rPr>
          <w:rFonts w:hint="eastAsia" w:ascii="宋体" w:hAnsi="宋体"/>
          <w:color w:val="auto"/>
          <w:sz w:val="24"/>
          <w:highlight w:val="none"/>
          <w:u w:val="single"/>
        </w:rPr>
      </w:pPr>
      <w:r>
        <w:rPr>
          <w:rFonts w:ascii="宋体" w:hAnsi="宋体"/>
          <w:color w:val="auto"/>
          <w:sz w:val="24"/>
          <w:highlight w:val="none"/>
        </w:rPr>
        <w:t>□有，具体规定为：______________</w:t>
      </w:r>
    </w:p>
    <w:p>
      <w:pPr>
        <w:tabs>
          <w:tab w:val="left" w:pos="1080"/>
          <w:tab w:val="left" w:pos="1589"/>
          <w:tab w:val="left" w:pos="2035"/>
          <w:tab w:val="left" w:pos="2114"/>
        </w:tabs>
        <w:snapToGrid w:val="0"/>
        <w:spacing w:line="360" w:lineRule="auto"/>
        <w:ind w:left="2035"/>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无，按下述2.4.2-2.4.</w:t>
      </w:r>
      <w:r>
        <w:rPr>
          <w:rFonts w:hint="eastAsia" w:ascii="宋体" w:hAnsi="宋体"/>
          <w:color w:val="auto"/>
          <w:sz w:val="24"/>
          <w:highlight w:val="none"/>
        </w:rPr>
        <w:t>8</w:t>
      </w:r>
      <w:r>
        <w:rPr>
          <w:rFonts w:ascii="宋体" w:hAnsi="宋体"/>
          <w:color w:val="auto"/>
          <w:sz w:val="24"/>
          <w:highlight w:val="none"/>
        </w:rPr>
        <w:t>项规定修正。</w:t>
      </w:r>
    </w:p>
    <w:p>
      <w:pPr>
        <w:numPr>
          <w:ilvl w:val="2"/>
          <w:numId w:val="11"/>
        </w:numPr>
        <w:tabs>
          <w:tab w:val="left" w:pos="2035"/>
          <w:tab w:val="left" w:pos="2114"/>
          <w:tab w:val="left" w:pos="2977"/>
        </w:tabs>
        <w:snapToGrid w:val="0"/>
        <w:spacing w:line="360" w:lineRule="auto"/>
        <w:ind w:left="2035"/>
        <w:rPr>
          <w:rFonts w:hint="eastAsia" w:ascii="宋体" w:hAnsi="宋体"/>
          <w:color w:val="auto"/>
          <w:sz w:val="24"/>
          <w:highlight w:val="none"/>
        </w:rPr>
      </w:pPr>
      <w:r>
        <w:rPr>
          <w:rFonts w:ascii="宋体" w:hAnsi="宋体"/>
          <w:color w:val="auto"/>
          <w:sz w:val="24"/>
          <w:highlight w:val="none"/>
        </w:rPr>
        <w:t>单独递交的开标一览表（报价表）与投标文件中开标一览表（报价表）内容不一致的，以单独递交的开标一览表（报价表）为准；</w:t>
      </w:r>
    </w:p>
    <w:p>
      <w:pPr>
        <w:numPr>
          <w:ilvl w:val="2"/>
          <w:numId w:val="11"/>
        </w:numPr>
        <w:tabs>
          <w:tab w:val="left" w:pos="2035"/>
          <w:tab w:val="left" w:pos="2114"/>
          <w:tab w:val="left" w:pos="2977"/>
        </w:tabs>
        <w:snapToGrid w:val="0"/>
        <w:spacing w:line="360" w:lineRule="auto"/>
        <w:ind w:left="2035"/>
        <w:rPr>
          <w:rFonts w:hint="eastAsia" w:ascii="宋体" w:hAnsi="宋体"/>
          <w:color w:val="auto"/>
          <w:sz w:val="24"/>
          <w:highlight w:val="none"/>
        </w:rPr>
      </w:pPr>
      <w:r>
        <w:rPr>
          <w:rFonts w:ascii="宋体" w:hAnsi="宋体"/>
          <w:color w:val="auto"/>
          <w:sz w:val="24"/>
          <w:highlight w:val="none"/>
        </w:rPr>
        <w:t>投标文件中开标一览表（报价表）内容与投标文件中相应内容不一致的，以开标一览表（报价表）为准；</w:t>
      </w:r>
    </w:p>
    <w:p>
      <w:pPr>
        <w:numPr>
          <w:ilvl w:val="2"/>
          <w:numId w:val="11"/>
        </w:numPr>
        <w:tabs>
          <w:tab w:val="left" w:pos="2035"/>
          <w:tab w:val="left" w:pos="2114"/>
          <w:tab w:val="left" w:pos="2977"/>
        </w:tabs>
        <w:snapToGrid w:val="0"/>
        <w:spacing w:line="360" w:lineRule="auto"/>
        <w:ind w:left="2035"/>
        <w:rPr>
          <w:rFonts w:hint="eastAsia" w:ascii="宋体" w:hAnsi="宋体"/>
          <w:color w:val="auto"/>
          <w:sz w:val="24"/>
          <w:highlight w:val="none"/>
        </w:rPr>
      </w:pPr>
      <w:r>
        <w:rPr>
          <w:rFonts w:ascii="宋体" w:hAnsi="宋体"/>
          <w:color w:val="auto"/>
          <w:sz w:val="24"/>
          <w:highlight w:val="none"/>
        </w:rPr>
        <w:t>大写金额和小写金额不一致的，以大写金额为准；</w:t>
      </w:r>
    </w:p>
    <w:p>
      <w:pPr>
        <w:numPr>
          <w:ilvl w:val="2"/>
          <w:numId w:val="11"/>
        </w:numPr>
        <w:tabs>
          <w:tab w:val="left" w:pos="2035"/>
          <w:tab w:val="left" w:pos="2114"/>
          <w:tab w:val="left" w:pos="2977"/>
        </w:tabs>
        <w:snapToGrid w:val="0"/>
        <w:spacing w:line="360" w:lineRule="auto"/>
        <w:ind w:left="2035"/>
        <w:rPr>
          <w:rFonts w:hint="eastAsia" w:ascii="宋体" w:hAnsi="宋体"/>
          <w:color w:val="auto"/>
          <w:sz w:val="24"/>
          <w:highlight w:val="none"/>
        </w:rPr>
      </w:pPr>
      <w:r>
        <w:rPr>
          <w:rFonts w:ascii="宋体" w:hAnsi="宋体"/>
          <w:color w:val="auto"/>
          <w:sz w:val="24"/>
          <w:highlight w:val="none"/>
        </w:rPr>
        <w:t>单价金额小数点或者百分比有明显错位的，以开标一览表的总价为准，并修改单价；</w:t>
      </w:r>
    </w:p>
    <w:p>
      <w:pPr>
        <w:numPr>
          <w:ilvl w:val="2"/>
          <w:numId w:val="11"/>
        </w:numPr>
        <w:tabs>
          <w:tab w:val="left" w:pos="2035"/>
          <w:tab w:val="left" w:pos="2114"/>
          <w:tab w:val="left" w:pos="2977"/>
        </w:tabs>
        <w:snapToGrid w:val="0"/>
        <w:spacing w:line="360" w:lineRule="auto"/>
        <w:ind w:left="2035"/>
        <w:rPr>
          <w:rFonts w:hint="eastAsia" w:ascii="宋体" w:hAnsi="宋体"/>
          <w:color w:val="auto"/>
          <w:sz w:val="24"/>
          <w:highlight w:val="none"/>
        </w:rPr>
      </w:pPr>
      <w:r>
        <w:rPr>
          <w:rFonts w:ascii="宋体" w:hAnsi="宋体"/>
          <w:color w:val="auto"/>
          <w:sz w:val="24"/>
          <w:highlight w:val="none"/>
        </w:rPr>
        <w:t>总价金额与按单价汇总金额不一致的，以单价金额计算结果为准。</w:t>
      </w:r>
    </w:p>
    <w:p>
      <w:pPr>
        <w:numPr>
          <w:ilvl w:val="2"/>
          <w:numId w:val="11"/>
        </w:numPr>
        <w:tabs>
          <w:tab w:val="left" w:pos="1080"/>
          <w:tab w:val="left" w:pos="1589"/>
          <w:tab w:val="left" w:pos="2035"/>
          <w:tab w:val="left" w:pos="2114"/>
        </w:tabs>
        <w:snapToGrid w:val="0"/>
        <w:spacing w:line="360" w:lineRule="auto"/>
        <w:ind w:left="2035"/>
        <w:rPr>
          <w:rFonts w:hint="eastAsia" w:ascii="宋体" w:hAnsi="宋体"/>
          <w:color w:val="auto"/>
          <w:sz w:val="24"/>
          <w:highlight w:val="none"/>
        </w:rPr>
      </w:pPr>
      <w:r>
        <w:rPr>
          <w:rFonts w:ascii="宋体" w:hAnsi="宋体"/>
          <w:color w:val="auto"/>
          <w:sz w:val="24"/>
          <w:highlight w:val="none"/>
        </w:rPr>
        <w:t>同时出现两种以上不一致的，按照前款规定的顺序修正。</w:t>
      </w:r>
    </w:p>
    <w:p>
      <w:pPr>
        <w:numPr>
          <w:ilvl w:val="2"/>
          <w:numId w:val="11"/>
        </w:numPr>
        <w:tabs>
          <w:tab w:val="left" w:pos="1080"/>
          <w:tab w:val="left" w:pos="1589"/>
          <w:tab w:val="left" w:pos="2035"/>
          <w:tab w:val="left" w:pos="2114"/>
        </w:tabs>
        <w:snapToGrid w:val="0"/>
        <w:spacing w:line="360" w:lineRule="auto"/>
        <w:ind w:left="2035"/>
        <w:rPr>
          <w:rFonts w:hint="eastAsia" w:ascii="宋体" w:hAnsi="宋体"/>
          <w:color w:val="auto"/>
          <w:sz w:val="24"/>
          <w:highlight w:val="none"/>
        </w:rPr>
      </w:pPr>
      <w:r>
        <w:rPr>
          <w:rFonts w:ascii="宋体" w:hAnsi="宋体"/>
          <w:color w:val="auto"/>
          <w:sz w:val="24"/>
          <w:highlight w:val="none"/>
        </w:rPr>
        <w:t>修正后的报价经投标人书面确认后产生约束力，投标人不确认的，其</w:t>
      </w:r>
      <w:r>
        <w:rPr>
          <w:rFonts w:ascii="宋体" w:hAnsi="宋体"/>
          <w:b/>
          <w:color w:val="auto"/>
          <w:sz w:val="24"/>
          <w:highlight w:val="none"/>
        </w:rPr>
        <w:t>投标无效</w:t>
      </w:r>
      <w:r>
        <w:rPr>
          <w:rFonts w:ascii="宋体" w:hAnsi="宋体"/>
          <w:color w:val="auto"/>
          <w:sz w:val="24"/>
          <w:highlight w:val="none"/>
        </w:rPr>
        <w:t>。</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落实政府采购政策的价格调整：只有符合第二章《投标人须知》5.2条规定情形的，可以享受中小企业扶持政策，用扣除后的价格参加评审；否则，评标时价格不予扣除。</w:t>
      </w:r>
      <w:r>
        <w:rPr>
          <w:rFonts w:hint="eastAsia" w:ascii="宋体" w:hAnsi="宋体"/>
          <w:color w:val="auto"/>
          <w:sz w:val="24"/>
          <w:highlight w:val="none"/>
        </w:rPr>
        <w:t>（本项目专门面向中小企业采购，价格不予扣除）</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对于未预留份额专门面向中小企业采购的采购项目，以及预留份额项目中的非预留部分采购包，对小微企业报价给予_</w:t>
      </w:r>
      <w:r>
        <w:rPr>
          <w:rFonts w:hint="eastAsia" w:ascii="宋体" w:hAnsi="宋体"/>
          <w:color w:val="auto"/>
          <w:sz w:val="24"/>
          <w:highlight w:val="none"/>
          <w:u w:val="single"/>
        </w:rPr>
        <w:t xml:space="preserve">10 </w:t>
      </w:r>
      <w:r>
        <w:rPr>
          <w:rFonts w:ascii="宋体" w:hAnsi="宋体"/>
          <w:color w:val="auto"/>
          <w:sz w:val="24"/>
          <w:highlight w:val="none"/>
        </w:rPr>
        <w:t>%的扣除，用扣除后的价格参加评审。</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/_</w:t>
      </w:r>
      <w:r>
        <w:rPr>
          <w:rFonts w:ascii="宋体" w:hAnsi="宋体"/>
          <w:color w:val="auto"/>
          <w:sz w:val="24"/>
          <w:highlight w:val="none"/>
        </w:rPr>
        <w:t>_%的扣除，用扣除后的价格参加评审。</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组成联合体或者接受分包的小微企业与联合体内其他企业、分包企业之间存在直接控股、管理关系的，不享受价格扣除优惠政策。</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价格扣除比例对小型企业和微型企业同等对待，不作区分。</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中小企业参加政府采购活动，应当按照招标文件给定的格式出具《中小企业声明函》，否则不得享受相关中小企业扶持政策。</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监狱企业提供了由省级以上监狱管理局（北京市含教育矫治局）、戒毒管理局（含新疆生产建设兵团）出具的属于监狱企业的证明文件的，视同小微企业。</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残疾人福利性单位按招标文件要求提供了《残疾人福利性单位声明函》（见附件）的，视同小微企业。</w:t>
      </w:r>
    </w:p>
    <w:p>
      <w:pPr>
        <w:numPr>
          <w:ilvl w:val="2"/>
          <w:numId w:val="11"/>
        </w:numPr>
        <w:tabs>
          <w:tab w:val="left" w:pos="1080"/>
          <w:tab w:val="left" w:pos="1589"/>
          <w:tab w:val="left" w:pos="2014"/>
          <w:tab w:val="clear" w:pos="1980"/>
        </w:tabs>
        <w:snapToGrid w:val="0"/>
        <w:spacing w:line="360" w:lineRule="auto"/>
        <w:ind w:left="2035"/>
        <w:rPr>
          <w:rFonts w:hint="eastAsia" w:ascii="宋体" w:hAnsi="宋体"/>
          <w:color w:val="auto"/>
          <w:sz w:val="24"/>
          <w:highlight w:val="none"/>
        </w:rPr>
      </w:pPr>
      <w:r>
        <w:rPr>
          <w:rFonts w:ascii="宋体" w:hAnsi="宋体"/>
          <w:color w:val="auto"/>
          <w:sz w:val="24"/>
          <w:highlight w:val="none"/>
        </w:rPr>
        <w:t>若投标人同时属于小型或微型企业、监狱企业、残疾人福利性单位中的两种及以上，将不重复享受小微企业价格扣减的优惠政策。</w:t>
      </w:r>
    </w:p>
    <w:p>
      <w:pPr>
        <w:numPr>
          <w:ilvl w:val="1"/>
          <w:numId w:val="11"/>
        </w:numPr>
        <w:tabs>
          <w:tab w:val="left" w:pos="1080"/>
        </w:tabs>
        <w:snapToGrid w:val="0"/>
        <w:spacing w:line="360" w:lineRule="auto"/>
        <w:ind w:left="1077" w:hanging="720"/>
        <w:rPr>
          <w:color w:val="auto"/>
          <w:sz w:val="24"/>
          <w:highlight w:val="none"/>
        </w:rPr>
      </w:pPr>
      <w:r>
        <w:rPr>
          <w:rFonts w:hint="eastAsia"/>
          <w:color w:val="auto"/>
          <w:sz w:val="24"/>
          <w:highlight w:val="none"/>
        </w:rPr>
        <w:t>支持本国产品政府采购</w:t>
      </w:r>
      <w:r>
        <w:rPr>
          <w:color w:val="auto"/>
          <w:sz w:val="24"/>
          <w:highlight w:val="none"/>
        </w:rPr>
        <w:t>的价格调整：只有符合第二章《投标人须知》5.2条规定情形的，可以享受</w:t>
      </w:r>
      <w:r>
        <w:rPr>
          <w:rFonts w:hint="eastAsia"/>
          <w:color w:val="auto"/>
          <w:sz w:val="24"/>
          <w:highlight w:val="none"/>
        </w:rPr>
        <w:t>本国产品支持</w:t>
      </w:r>
      <w:r>
        <w:rPr>
          <w:color w:val="auto"/>
          <w:sz w:val="24"/>
          <w:highlight w:val="none"/>
        </w:rPr>
        <w:t>政策，用扣除后的价格参加评审；否则，评标时价格不予扣除。</w:t>
      </w:r>
    </w:p>
    <w:p>
      <w:pPr>
        <w:numPr>
          <w:ilvl w:val="2"/>
          <w:numId w:val="11"/>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本项目既有本国产品又有非本国产品参与竞争的，依法对本国产品给予价格评审优惠，对本国产品的报价给予20%的价格扣除，用扣除后的价格参与评审。</w:t>
      </w:r>
    </w:p>
    <w:p>
      <w:pPr>
        <w:numPr>
          <w:ilvl w:val="2"/>
          <w:numId w:val="11"/>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1"/>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供应商提供本国产品参加政府采购活动的，</w:t>
      </w:r>
      <w:r>
        <w:rPr>
          <w:color w:val="auto"/>
          <w:sz w:val="24"/>
          <w:highlight w:val="none"/>
        </w:rPr>
        <w:t>应当按照招标文件给定的格式出具《</w:t>
      </w:r>
      <w:r>
        <w:rPr>
          <w:rFonts w:hint="eastAsia"/>
          <w:color w:val="auto"/>
          <w:sz w:val="24"/>
          <w:highlight w:val="none"/>
        </w:rPr>
        <w:t>关于符合本国产品标准的</w:t>
      </w:r>
      <w:r>
        <w:rPr>
          <w:color w:val="auto"/>
          <w:sz w:val="24"/>
          <w:highlight w:val="none"/>
        </w:rPr>
        <w:t>声明函》</w:t>
      </w:r>
      <w:r>
        <w:rPr>
          <w:rFonts w:hint="eastAsia"/>
          <w:color w:val="auto"/>
          <w:sz w:val="24"/>
          <w:highlight w:val="none"/>
        </w:rPr>
        <w:t>或提供财政部会同有关部门规定的有关证明文件</w:t>
      </w:r>
      <w:r>
        <w:rPr>
          <w:color w:val="auto"/>
          <w:sz w:val="24"/>
          <w:highlight w:val="none"/>
        </w:rPr>
        <w:t>，否则</w:t>
      </w:r>
      <w:r>
        <w:rPr>
          <w:rFonts w:hint="eastAsia"/>
          <w:color w:val="auto"/>
          <w:sz w:val="24"/>
          <w:highlight w:val="none"/>
        </w:rPr>
        <w:t>视为非本国产品。</w:t>
      </w:r>
    </w:p>
    <w:p>
      <w:pPr>
        <w:numPr>
          <w:ilvl w:val="0"/>
          <w:numId w:val="11"/>
        </w:numPr>
        <w:tabs>
          <w:tab w:val="left" w:pos="360"/>
        </w:tabs>
        <w:snapToGrid w:val="0"/>
        <w:spacing w:line="360" w:lineRule="auto"/>
        <w:outlineLvl w:val="1"/>
        <w:rPr>
          <w:rFonts w:hint="eastAsia" w:ascii="宋体" w:hAnsi="宋体"/>
          <w:color w:val="auto"/>
          <w:sz w:val="24"/>
          <w:highlight w:val="none"/>
        </w:rPr>
      </w:pPr>
      <w:bookmarkStart w:id="892" w:name="_Toc162978959"/>
      <w:bookmarkStart w:id="893" w:name="_Toc162979033"/>
      <w:r>
        <w:rPr>
          <w:rFonts w:ascii="宋体" w:hAnsi="宋体"/>
          <w:color w:val="auto"/>
          <w:sz w:val="24"/>
          <w:highlight w:val="none"/>
        </w:rPr>
        <w:t>投标文件的比较和评价</w:t>
      </w:r>
      <w:bookmarkEnd w:id="871"/>
      <w:bookmarkEnd w:id="872"/>
      <w:bookmarkEnd w:id="892"/>
      <w:bookmarkEnd w:id="893"/>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评标委员会将按照招标文件中规定的评标方法和标准，对符合性审查合格的投标文件进行商务和技术评估，综合比较与评价；未通过符合性审查的投标文件不得进入比较与评价。</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评标方法和评标标准</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本项目采用的评标方法为：</w:t>
      </w:r>
    </w:p>
    <w:p>
      <w:pPr>
        <w:tabs>
          <w:tab w:val="left" w:pos="900"/>
          <w:tab w:val="left" w:pos="1589"/>
          <w:tab w:val="left" w:pos="1701"/>
        </w:tabs>
        <w:snapToGrid w:val="0"/>
        <w:spacing w:line="360" w:lineRule="auto"/>
        <w:ind w:left="1985"/>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综合评分法，指投标文件满足招标文件全部实质性要求，且按照评审因素的量化指标评审得分最高的投标人为中标候选人的评标方法，见《评标标准》</w:t>
      </w:r>
      <w:r>
        <w:rPr>
          <w:rFonts w:hint="eastAsia" w:ascii="宋体" w:hAnsi="宋体"/>
          <w:color w:val="auto"/>
          <w:sz w:val="24"/>
          <w:highlight w:val="none"/>
        </w:rPr>
        <w:t>，招标文件中没有规定的评标标准不得作为评审的依据。</w:t>
      </w:r>
    </w:p>
    <w:p>
      <w:pPr>
        <w:tabs>
          <w:tab w:val="left" w:pos="900"/>
          <w:tab w:val="left" w:pos="1589"/>
          <w:tab w:val="left" w:pos="1701"/>
        </w:tabs>
        <w:snapToGrid w:val="0"/>
        <w:spacing w:line="360" w:lineRule="auto"/>
        <w:ind w:left="1985"/>
        <w:rPr>
          <w:rFonts w:hint="eastAsia" w:ascii="宋体" w:hAnsi="宋体"/>
          <w:color w:val="auto"/>
          <w:sz w:val="24"/>
          <w:highlight w:val="none"/>
        </w:rPr>
      </w:pPr>
      <w:r>
        <w:rPr>
          <w:rFonts w:ascii="宋体" w:hAnsi="宋体"/>
          <w:color w:val="auto"/>
          <w:sz w:val="24"/>
          <w:highlight w:val="none"/>
        </w:rPr>
        <w:t>□最低评标价法，指投标文件满足招标文件全部实质性要求，且投标报价最低的投标人为中标候选人的评标方法。</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ascii="宋体" w:hAnsi="宋体"/>
          <w:b/>
          <w:color w:val="auto"/>
          <w:sz w:val="24"/>
          <w:highlight w:val="none"/>
        </w:rPr>
        <w:t>投标无效</w:t>
      </w:r>
      <w:r>
        <w:rPr>
          <w:rFonts w:ascii="宋体" w:hAnsi="宋体"/>
          <w:color w:val="auto"/>
          <w:sz w:val="24"/>
          <w:highlight w:val="none"/>
        </w:rPr>
        <w:t>。</w:t>
      </w:r>
    </w:p>
    <w:p>
      <w:p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□随机抽取</w:t>
      </w:r>
    </w:p>
    <w:p>
      <w:pPr>
        <w:tabs>
          <w:tab w:val="left" w:pos="1080"/>
          <w:tab w:val="left" w:pos="1589"/>
          <w:tab w:val="left" w:pos="2035"/>
        </w:tabs>
        <w:snapToGrid w:val="0"/>
        <w:spacing w:line="360" w:lineRule="auto"/>
        <w:ind w:left="2035"/>
        <w:rPr>
          <w:rFonts w:hint="eastAsia" w:ascii="宋体" w:hAnsi="宋体"/>
          <w:color w:val="auto"/>
          <w:sz w:val="24"/>
          <w:highlight w:val="none"/>
          <w:u w:val="single"/>
        </w:rPr>
      </w:pPr>
      <w:r>
        <w:rPr>
          <w:rFonts w:ascii="宋体" w:hAnsi="宋体"/>
          <w:color w:val="auto"/>
          <w:sz w:val="24"/>
          <w:highlight w:val="none"/>
        </w:rPr>
        <w:t>□其他方式，具体要求：_____</w:t>
      </w:r>
    </w:p>
    <w:p>
      <w:pPr>
        <w:numPr>
          <w:ilvl w:val="2"/>
          <w:numId w:val="11"/>
        </w:numPr>
        <w:tabs>
          <w:tab w:val="left" w:pos="1080"/>
          <w:tab w:val="left" w:pos="1589"/>
          <w:tab w:val="left" w:pos="2035"/>
        </w:tabs>
        <w:snapToGrid w:val="0"/>
        <w:spacing w:line="360" w:lineRule="auto"/>
        <w:ind w:left="2035"/>
        <w:rPr>
          <w:rFonts w:hint="eastAsia" w:ascii="宋体" w:hAnsi="宋体"/>
          <w:color w:val="auto"/>
          <w:sz w:val="24"/>
          <w:highlight w:val="none"/>
        </w:rPr>
      </w:pPr>
      <w:r>
        <w:rPr>
          <w:rFonts w:ascii="宋体" w:hAnsi="宋体"/>
          <w:color w:val="auto"/>
          <w:sz w:val="24"/>
          <w:highlight w:val="none"/>
        </w:rPr>
        <w:t>非政府强制采购的节能产品或环境标志产品，依据品目清单和认证证书实施政府优先采购。优先采购的具体规定（如涉及）__</w:t>
      </w:r>
      <w:r>
        <w:rPr>
          <w:rFonts w:ascii="宋体" w:hAnsi="宋体"/>
          <w:color w:val="auto"/>
          <w:sz w:val="24"/>
          <w:highlight w:val="none"/>
          <w:u w:val="single"/>
        </w:rPr>
        <w:t>/_</w:t>
      </w:r>
      <w:r>
        <w:rPr>
          <w:rFonts w:ascii="宋体" w:hAnsi="宋体"/>
          <w:color w:val="auto"/>
          <w:sz w:val="24"/>
          <w:highlight w:val="none"/>
        </w:rPr>
        <w:t>__。</w:t>
      </w:r>
    </w:p>
    <w:p>
      <w:pPr>
        <w:numPr>
          <w:ilvl w:val="0"/>
          <w:numId w:val="11"/>
        </w:numPr>
        <w:tabs>
          <w:tab w:val="left" w:pos="360"/>
        </w:tabs>
        <w:snapToGrid w:val="0"/>
        <w:spacing w:line="360" w:lineRule="auto"/>
        <w:outlineLvl w:val="1"/>
        <w:rPr>
          <w:rFonts w:hint="eastAsia" w:ascii="宋体" w:hAnsi="宋体"/>
          <w:color w:val="auto"/>
          <w:sz w:val="24"/>
          <w:highlight w:val="none"/>
        </w:rPr>
      </w:pPr>
      <w:bookmarkStart w:id="894" w:name="_Toc162979034"/>
      <w:bookmarkStart w:id="895" w:name="_Toc162978960"/>
      <w:r>
        <w:rPr>
          <w:rFonts w:ascii="宋体" w:hAnsi="宋体"/>
          <w:color w:val="auto"/>
          <w:sz w:val="24"/>
          <w:highlight w:val="none"/>
        </w:rPr>
        <w:t>确定</w:t>
      </w:r>
      <w:bookmarkStart w:id="896" w:name="_Toc226965819"/>
      <w:bookmarkStart w:id="897" w:name="_Toc151193716"/>
      <w:bookmarkStart w:id="898" w:name="_Toc151193788"/>
      <w:bookmarkStart w:id="899" w:name="_Toc151193934"/>
      <w:bookmarkStart w:id="900" w:name="_Toc195842911"/>
      <w:bookmarkStart w:id="901" w:name="_Toc226309790"/>
      <w:bookmarkStart w:id="902" w:name="_Toc151190173"/>
      <w:bookmarkStart w:id="903" w:name="_Ref467307010"/>
      <w:bookmarkStart w:id="904" w:name="_Toc265228384"/>
      <w:bookmarkStart w:id="905" w:name="_Toc150480784"/>
      <w:bookmarkStart w:id="906" w:name="_Toc150774751"/>
      <w:bookmarkStart w:id="907" w:name="_Toc142311048"/>
      <w:bookmarkStart w:id="908" w:name="_Toc151193860"/>
      <w:bookmarkStart w:id="909" w:name="_Toc151193644"/>
      <w:bookmarkStart w:id="910" w:name="_Toc305158814"/>
      <w:bookmarkStart w:id="911" w:name="_Toc164351640"/>
      <w:bookmarkStart w:id="912" w:name="_Toc520356170"/>
      <w:bookmarkStart w:id="913" w:name="_Toc264969236"/>
      <w:bookmarkStart w:id="914" w:name="_Toc150509297"/>
      <w:bookmarkStart w:id="915" w:name="_Toc164608660"/>
      <w:bookmarkStart w:id="916" w:name="_Toc226965736"/>
      <w:bookmarkStart w:id="917" w:name="_Toc164229387"/>
      <w:bookmarkStart w:id="918" w:name="_Toc164608815"/>
      <w:bookmarkStart w:id="919" w:name="_Toc149720839"/>
      <w:bookmarkStart w:id="920" w:name="_Toc226337242"/>
      <w:bookmarkStart w:id="921" w:name="_Toc164229241"/>
      <w:bookmarkStart w:id="922" w:name="_Toc305158888"/>
      <w:bookmarkStart w:id="923" w:name="_Toc127151747"/>
      <w:bookmarkStart w:id="924" w:name="_Toc150774646"/>
      <w:bookmarkStart w:id="925" w:name="_Toc127161460"/>
      <w:bookmarkStart w:id="926" w:name="_Toc127151546"/>
      <w:r>
        <w:rPr>
          <w:rFonts w:ascii="宋体" w:hAnsi="宋体"/>
          <w:color w:val="auto"/>
          <w:sz w:val="24"/>
          <w:highlight w:val="none"/>
        </w:rPr>
        <w:t>中标候选人名单</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numPr>
          <w:ilvl w:val="1"/>
          <w:numId w:val="11"/>
        </w:numPr>
        <w:tabs>
          <w:tab w:val="left" w:pos="900"/>
          <w:tab w:val="left" w:pos="993"/>
          <w:tab w:val="left" w:pos="2127"/>
        </w:tabs>
        <w:adjustRightInd w:val="0"/>
        <w:snapToGrid w:val="0"/>
        <w:spacing w:line="360" w:lineRule="auto"/>
        <w:ind w:left="993" w:firstLine="0"/>
        <w:rPr>
          <w:rFonts w:hint="eastAsia" w:ascii="宋体" w:hAnsi="宋体"/>
          <w:color w:val="auto"/>
          <w:sz w:val="24"/>
          <w:highlight w:val="none"/>
        </w:rPr>
      </w:pPr>
      <w:r>
        <w:rPr>
          <w:rFonts w:ascii="宋体" w:hAnsi="宋体"/>
          <w:color w:val="auto"/>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r>
        <w:rPr>
          <w:rFonts w:hint="eastAsia" w:ascii="宋体" w:hAnsi="宋体"/>
          <w:color w:val="auto"/>
          <w:sz w:val="24"/>
          <w:highlight w:val="none"/>
        </w:rPr>
        <w:t xml:space="preserve"> </w:t>
      </w:r>
      <w:r>
        <w:rPr>
          <w:rFonts w:ascii="宋体" w:hAnsi="宋体"/>
          <w:color w:val="auto"/>
          <w:sz w:val="24"/>
          <w:highlight w:val="none"/>
        </w:rPr>
        <w:t xml:space="preserve">    </w:t>
      </w:r>
    </w:p>
    <w:p>
      <w:pPr>
        <w:tabs>
          <w:tab w:val="left" w:pos="1080"/>
          <w:tab w:val="left" w:pos="1589"/>
          <w:tab w:val="left" w:pos="2127"/>
        </w:tabs>
        <w:adjustRightInd w:val="0"/>
        <w:snapToGrid w:val="0"/>
        <w:spacing w:line="360" w:lineRule="auto"/>
        <w:ind w:left="1130"/>
        <w:rPr>
          <w:rFonts w:hint="eastAsia" w:ascii="宋体" w:hAnsi="宋体"/>
          <w:color w:val="auto"/>
          <w:sz w:val="24"/>
          <w:highlight w:val="none"/>
        </w:rPr>
      </w:pPr>
      <w:r>
        <w:rPr>
          <w:rFonts w:ascii="宋体" w:hAnsi="宋体"/>
          <w:color w:val="auto"/>
          <w:sz w:val="24"/>
          <w:highlight w:val="none"/>
        </w:rPr>
        <w:t>□随机抽取</w:t>
      </w:r>
    </w:p>
    <w:p>
      <w:pPr>
        <w:pStyle w:val="23"/>
        <w:tabs>
          <w:tab w:val="left" w:pos="900"/>
          <w:tab w:val="left" w:pos="2127"/>
        </w:tabs>
        <w:adjustRightInd w:val="0"/>
        <w:snapToGrid w:val="0"/>
        <w:spacing w:line="360" w:lineRule="auto"/>
        <w:ind w:firstLine="1132" w:firstLineChars="472"/>
        <w:rPr>
          <w:rFonts w:hint="eastAsia" w:hAnsi="宋体"/>
          <w:color w:val="auto"/>
          <w:sz w:val="24"/>
          <w:szCs w:val="24"/>
          <w:highlight w:val="none"/>
        </w:rPr>
      </w:pPr>
      <w:r>
        <w:rPr>
          <w:rFonts w:hint="eastAsia" w:hAnsi="宋体"/>
          <w:color w:val="auto"/>
          <w:sz w:val="24"/>
          <w:highlight w:val="none"/>
        </w:rPr>
        <w:t>■</w:t>
      </w:r>
      <w:r>
        <w:rPr>
          <w:rFonts w:hAnsi="宋体"/>
          <w:color w:val="auto"/>
          <w:sz w:val="24"/>
          <w:szCs w:val="24"/>
          <w:highlight w:val="none"/>
        </w:rPr>
        <w:t>其他方式，具体要求：</w:t>
      </w:r>
      <w:r>
        <w:rPr>
          <w:rFonts w:hAnsi="宋体"/>
          <w:color w:val="auto"/>
          <w:sz w:val="24"/>
          <w:szCs w:val="24"/>
          <w:highlight w:val="none"/>
          <w:u w:val="single"/>
        </w:rPr>
        <w:t>_</w:t>
      </w:r>
      <w:r>
        <w:rPr>
          <w:rFonts w:hint="eastAsia" w:hAnsi="宋体"/>
          <w:color w:val="auto"/>
          <w:sz w:val="24"/>
          <w:szCs w:val="24"/>
          <w:highlight w:val="none"/>
          <w:u w:val="single"/>
        </w:rPr>
        <w:t>按照投标报价由低到高顺序排列。</w:t>
      </w:r>
      <w:r>
        <w:rPr>
          <w:rFonts w:hAnsi="宋体"/>
          <w:color w:val="auto"/>
          <w:sz w:val="24"/>
          <w:szCs w:val="24"/>
          <w:highlight w:val="none"/>
        </w:rPr>
        <w:t>_</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采用综合评分法时，评标结果按评审后得分由高到低顺序排列。得分相同的，按投标报价</w:t>
      </w:r>
      <w:bookmarkStart w:id="927" w:name="_Hlk122442678"/>
      <w:r>
        <w:rPr>
          <w:rFonts w:ascii="宋体" w:hAnsi="宋体"/>
          <w:color w:val="auto"/>
          <w:sz w:val="24"/>
          <w:highlight w:val="none"/>
        </w:rPr>
        <w:t>由低到高顺序排列</w:t>
      </w:r>
      <w:bookmarkEnd w:id="927"/>
      <w:r>
        <w:rPr>
          <w:rFonts w:ascii="宋体" w:hAnsi="宋体"/>
          <w:color w:val="auto"/>
          <w:sz w:val="24"/>
          <w:highlight w:val="none"/>
        </w:rPr>
        <w:t>。得分且投标报价相同的并列。投标文件满足招标文件全部实质性要求，且按照评审因素的量化指标评审得分最高的投标人为排名第一的中标候选人。评分分值计算保留小数点后两位，第三位四舍五入。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评标委员会要对评分汇总情况进行复核，特别是对排名第一的、报价最低的、投标或</w:t>
      </w:r>
      <w:r>
        <w:rPr>
          <w:rFonts w:hint="eastAsia" w:ascii="宋体" w:hAnsi="宋体"/>
          <w:color w:val="auto"/>
          <w:sz w:val="24"/>
          <w:highlight w:val="none"/>
        </w:rPr>
        <w:t>投标文件</w:t>
      </w:r>
      <w:r>
        <w:rPr>
          <w:rFonts w:ascii="宋体" w:hAnsi="宋体"/>
          <w:color w:val="auto"/>
          <w:sz w:val="24"/>
          <w:highlight w:val="none"/>
        </w:rPr>
        <w:t>被认定为无效的情形进行重点复核。</w:t>
      </w:r>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评标委员会将根据各投标人的评标排序，依次推荐本项目（</w:t>
      </w:r>
      <w:r>
        <w:rPr>
          <w:rFonts w:hint="eastAsia" w:ascii="宋体" w:hAnsi="宋体"/>
          <w:color w:val="auto"/>
          <w:sz w:val="24"/>
          <w:highlight w:val="none"/>
        </w:rPr>
        <w:t>各</w:t>
      </w:r>
      <w:r>
        <w:rPr>
          <w:rFonts w:ascii="宋体" w:hAnsi="宋体"/>
          <w:color w:val="auto"/>
          <w:sz w:val="24"/>
          <w:highlight w:val="none"/>
        </w:rPr>
        <w:t>采购包）的中标候选人，起草并签署评标报告。本项目评标委员会共推荐_</w:t>
      </w:r>
      <w:r>
        <w:rPr>
          <w:rFonts w:ascii="宋体" w:hAnsi="宋体"/>
          <w:color w:val="auto"/>
          <w:sz w:val="24"/>
          <w:highlight w:val="none"/>
          <w:u w:val="single"/>
        </w:rPr>
        <w:t>3_</w:t>
      </w:r>
      <w:r>
        <w:rPr>
          <w:rFonts w:ascii="宋体" w:hAnsi="宋体"/>
          <w:color w:val="auto"/>
          <w:sz w:val="24"/>
          <w:highlight w:val="none"/>
        </w:rPr>
        <w:t>名中标候选人。</w:t>
      </w:r>
    </w:p>
    <w:p>
      <w:pPr>
        <w:numPr>
          <w:ilvl w:val="0"/>
          <w:numId w:val="11"/>
        </w:numPr>
        <w:tabs>
          <w:tab w:val="left" w:pos="360"/>
        </w:tabs>
        <w:snapToGrid w:val="0"/>
        <w:spacing w:line="360" w:lineRule="auto"/>
        <w:outlineLvl w:val="1"/>
        <w:rPr>
          <w:rFonts w:hint="eastAsia" w:ascii="宋体" w:hAnsi="宋体"/>
          <w:color w:val="auto"/>
          <w:sz w:val="24"/>
          <w:highlight w:val="none"/>
        </w:rPr>
      </w:pPr>
      <w:bookmarkStart w:id="928" w:name="_Toc162979035"/>
      <w:bookmarkStart w:id="929" w:name="_Toc162978961"/>
      <w:r>
        <w:rPr>
          <w:rFonts w:ascii="宋体" w:hAnsi="宋体"/>
          <w:color w:val="auto"/>
          <w:sz w:val="24"/>
          <w:highlight w:val="none"/>
        </w:rPr>
        <w:t>报告违法行为</w:t>
      </w:r>
      <w:bookmarkEnd w:id="928"/>
      <w:bookmarkEnd w:id="929"/>
    </w:p>
    <w:p>
      <w:pPr>
        <w:numPr>
          <w:ilvl w:val="1"/>
          <w:numId w:val="11"/>
        </w:numPr>
        <w:tabs>
          <w:tab w:val="left" w:pos="1080"/>
        </w:tabs>
        <w:snapToGrid w:val="0"/>
        <w:spacing w:line="360" w:lineRule="auto"/>
        <w:ind w:left="1077" w:hanging="720"/>
        <w:rPr>
          <w:rFonts w:hint="eastAsia" w:ascii="宋体" w:hAnsi="宋体"/>
          <w:color w:val="auto"/>
          <w:sz w:val="24"/>
          <w:highlight w:val="none"/>
        </w:rPr>
      </w:pPr>
      <w:r>
        <w:rPr>
          <w:rFonts w:ascii="宋体" w:hAnsi="宋体"/>
          <w:color w:val="auto"/>
          <w:sz w:val="24"/>
          <w:highlight w:val="none"/>
        </w:rPr>
        <w:t>评标委员会在评标过程中发现投标人有行贿、提供虚假材料或者串通等违法行为时，有向采购人、采购代理机构或者有关部门报告的职责。</w:t>
      </w:r>
    </w:p>
    <w:p>
      <w:pPr>
        <w:widowControl/>
        <w:snapToGrid w:val="0"/>
        <w:spacing w:line="360" w:lineRule="auto"/>
        <w:jc w:val="center"/>
        <w:rPr>
          <w:rFonts w:hint="eastAsia" w:ascii="宋体" w:hAnsi="宋体"/>
          <w:b/>
          <w:color w:val="auto"/>
          <w:highlight w:val="none"/>
        </w:rPr>
      </w:pPr>
      <w:r>
        <w:rPr>
          <w:rFonts w:ascii="宋体" w:hAnsi="宋体"/>
          <w:b/>
          <w:color w:val="auto"/>
          <w:sz w:val="24"/>
          <w:highlight w:val="none"/>
        </w:rPr>
        <w:br w:type="page"/>
      </w:r>
      <w:r>
        <w:rPr>
          <w:rFonts w:ascii="宋体" w:hAnsi="宋体"/>
          <w:b/>
          <w:color w:val="auto"/>
          <w:sz w:val="24"/>
          <w:highlight w:val="none"/>
        </w:rPr>
        <w:t>二、评标标准</w:t>
      </w:r>
    </w:p>
    <w:p>
      <w:pPr>
        <w:spacing w:line="360" w:lineRule="auto"/>
        <w:rPr>
          <w:rFonts w:hint="eastAsia" w:ascii="宋体" w:hAnsi="宋体"/>
          <w:color w:val="auto"/>
          <w:sz w:val="24"/>
          <w:szCs w:val="20"/>
          <w:highlight w:val="none"/>
          <w:lang w:val="en-US" w:eastAsia="zh-CN"/>
        </w:rPr>
      </w:pPr>
      <w:r>
        <w:rPr>
          <w:rFonts w:hint="eastAsia" w:ascii="宋体" w:hAnsi="宋体"/>
          <w:color w:val="auto"/>
          <w:sz w:val="24"/>
          <w:szCs w:val="20"/>
          <w:highlight w:val="none"/>
          <w:lang w:eastAsia="zh-CN"/>
        </w:rPr>
        <w:t>第</w:t>
      </w:r>
      <w:r>
        <w:rPr>
          <w:rFonts w:hint="eastAsia" w:ascii="宋体" w:hAnsi="宋体"/>
          <w:color w:val="auto"/>
          <w:sz w:val="24"/>
          <w:szCs w:val="20"/>
          <w:highlight w:val="none"/>
          <w:lang w:val="en-US" w:eastAsia="zh-CN"/>
        </w:rPr>
        <w:t>1包-第3包：</w:t>
      </w:r>
    </w:p>
    <w:p>
      <w:pPr>
        <w:pStyle w:val="55"/>
        <w:rPr>
          <w:rFonts w:hint="eastAsia"/>
          <w:color w:val="auto"/>
          <w:highlight w:val="none"/>
          <w:lang w:val="en-US" w:eastAsia="zh-CN"/>
        </w:rPr>
      </w:pPr>
      <w:r>
        <w:rPr>
          <w:rFonts w:hint="eastAsia"/>
          <w:color w:val="auto"/>
          <w:highlight w:val="none"/>
          <w:lang w:val="en-US" w:eastAsia="zh-CN"/>
        </w:rPr>
        <w:t>说明：为防止中标供应商过度集中出现供应商供货、安装不及时等履约风险，本项目实行兼投不兼中，即供应商可以自主选择同时投1包或多包，但最多只能中其中1包。</w:t>
      </w:r>
    </w:p>
    <w:p>
      <w:pPr>
        <w:pStyle w:val="55"/>
        <w:rPr>
          <w:rFonts w:hint="default"/>
          <w:color w:val="auto"/>
          <w:highlight w:val="none"/>
          <w:lang w:val="en-US" w:eastAsia="zh-CN"/>
        </w:rPr>
      </w:pPr>
      <w:r>
        <w:rPr>
          <w:rFonts w:hint="eastAsia"/>
          <w:color w:val="auto"/>
          <w:highlight w:val="none"/>
          <w:lang w:val="en-US" w:eastAsia="zh-CN"/>
        </w:rPr>
        <w:t>如出现同一供应商多包排名第1的情况，则按得分从高到低的顺序排序，该供应商得分最高的包确定为中标包，该供应商其余包中标结果自动失效，其余包中标供应商按照得分从高到低的顺序依次递补。</w:t>
      </w:r>
    </w:p>
    <w:tbl>
      <w:tblPr>
        <w:tblStyle w:val="45"/>
        <w:tblpPr w:leftFromText="180" w:rightFromText="180" w:vertAnchor="text" w:horzAnchor="page" w:tblpX="1780" w:tblpY="285"/>
        <w:tblOverlap w:val="never"/>
        <w:tblW w:w="84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1"/>
        <w:gridCol w:w="1418"/>
        <w:gridCol w:w="4357"/>
        <w:gridCol w:w="960"/>
        <w:gridCol w:w="4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Align w:val="center"/>
          </w:tcPr>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评分因素</w:t>
            </w:r>
          </w:p>
        </w:tc>
        <w:tc>
          <w:tcPr>
            <w:tcW w:w="1418" w:type="dxa"/>
            <w:vAlign w:val="center"/>
          </w:tcPr>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评分项目</w:t>
            </w:r>
          </w:p>
        </w:tc>
        <w:tc>
          <w:tcPr>
            <w:tcW w:w="4357" w:type="dxa"/>
            <w:vAlign w:val="center"/>
          </w:tcPr>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评分标准及说明</w:t>
            </w:r>
          </w:p>
        </w:tc>
        <w:tc>
          <w:tcPr>
            <w:tcW w:w="960" w:type="dxa"/>
            <w:vAlign w:val="center"/>
          </w:tcPr>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分值</w:t>
            </w:r>
          </w:p>
        </w:tc>
        <w:tc>
          <w:tcPr>
            <w:tcW w:w="441" w:type="dxa"/>
            <w:vAlign w:val="center"/>
          </w:tcPr>
          <w:p>
            <w:pPr>
              <w:spacing w:line="360" w:lineRule="auto"/>
              <w:jc w:val="center"/>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是否客观分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价格部分</w:t>
            </w: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(30分)</w:t>
            </w: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报价评分</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满足招标文件要求且投标价格最低的投标报价为评标基准价，其价格分为满分。其他投标人的价格分统一按照下列公式计算：</w:t>
            </w:r>
          </w:p>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投标报价得分＝（评标基准价/投标报价）×分值。</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30</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restart"/>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商务部分</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（3分）</w:t>
            </w: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类似业绩</w:t>
            </w:r>
          </w:p>
        </w:tc>
        <w:tc>
          <w:tcPr>
            <w:tcW w:w="4357" w:type="dxa"/>
            <w:vAlign w:val="center"/>
          </w:tcPr>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业绩是指投标人自2023年7月1日起的同类业绩，根据有效的合同（至少包括合同的甲乙双方、合同金额、主要标的内容、双方签章及生效时间页）每提供一个单项合同得1分，最多得1分。</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1</w:t>
            </w:r>
          </w:p>
        </w:tc>
        <w:tc>
          <w:tcPr>
            <w:tcW w:w="441" w:type="dxa"/>
            <w:vAlign w:val="center"/>
          </w:tcPr>
          <w:p>
            <w:pPr>
              <w:adjustRightInd w:val="0"/>
              <w:snapToGrid w:val="0"/>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Merge w:val="restart"/>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政策性得分</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投标产品中有属于品目清单范围内优先采购节能产品的（提供由国家确定的认证机构出具的、处于有效期之内的认证证书扫描件）得1分，否则不得分。</w:t>
            </w:r>
          </w:p>
          <w:p>
            <w:pPr>
              <w:adjustRightInd w:val="0"/>
              <w:snapToGrid w:val="0"/>
              <w:spacing w:line="360" w:lineRule="auto"/>
              <w:rPr>
                <w:rFonts w:hint="eastAsia" w:ascii="宋体" w:hAnsi="宋体" w:eastAsia="宋体" w:cs="宋体"/>
                <w:color w:val="auto"/>
                <w:sz w:val="24"/>
                <w:highlight w:val="none"/>
                <w:lang w:val="en-US" w:eastAsia="zh-CN"/>
              </w:rPr>
            </w:pPr>
            <w:r>
              <w:rPr>
                <w:rFonts w:hint="eastAsia" w:ascii="宋体" w:hAnsi="宋体"/>
                <w:color w:val="auto"/>
                <w:sz w:val="24"/>
                <w:highlight w:val="none"/>
                <w:shd w:val="clear" w:color="auto" w:fill="FFFFFF"/>
              </w:rPr>
              <w:t>注：以上扫描件需加盖投标人</w:t>
            </w:r>
            <w:r>
              <w:rPr>
                <w:rFonts w:hint="eastAsia" w:ascii="宋体" w:hAnsi="宋体"/>
                <w:color w:val="auto"/>
                <w:sz w:val="24"/>
                <w:highlight w:val="none"/>
                <w:shd w:val="clear" w:color="auto" w:fill="FFFFFF"/>
                <w:lang w:val="en-US" w:eastAsia="zh-CN"/>
              </w:rPr>
              <w:t>公章。</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1</w:t>
            </w:r>
          </w:p>
        </w:tc>
        <w:tc>
          <w:tcPr>
            <w:tcW w:w="441" w:type="dxa"/>
            <w:vAlign w:val="center"/>
          </w:tcPr>
          <w:p>
            <w:pPr>
              <w:adjustRightInd w:val="0"/>
              <w:snapToGrid w:val="0"/>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Merge w:val="continue"/>
            <w:vAlign w:val="center"/>
          </w:tcPr>
          <w:p>
            <w:pPr>
              <w:spacing w:line="360" w:lineRule="auto"/>
              <w:rPr>
                <w:rFonts w:hint="eastAsia" w:ascii="宋体" w:hAnsi="宋体" w:cs="宋体"/>
                <w:color w:val="auto"/>
                <w:sz w:val="24"/>
                <w:highlight w:val="none"/>
              </w:rPr>
            </w:pP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投标产品中有属于品目清单范围内优先采购环境标志产品的（提供由国家确定的认证机构出具的、处于有效期之内的认证证书扫描件）得1分，否则不得分。</w:t>
            </w:r>
          </w:p>
          <w:p>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color w:val="auto"/>
                <w:sz w:val="24"/>
                <w:highlight w:val="none"/>
                <w:shd w:val="clear" w:color="auto" w:fill="FFFFFF"/>
              </w:rPr>
              <w:t>注：以上扫描件需加盖投标人公章</w:t>
            </w:r>
            <w:r>
              <w:rPr>
                <w:rFonts w:hint="eastAsia" w:ascii="宋体" w:hAnsi="宋体"/>
                <w:color w:val="auto"/>
                <w:sz w:val="24"/>
                <w:highlight w:val="none"/>
                <w:shd w:val="clear" w:color="auto" w:fill="FFFFFF"/>
                <w:lang w:eastAsia="zh-CN"/>
              </w:rPr>
              <w:t>。</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1</w:t>
            </w:r>
          </w:p>
        </w:tc>
        <w:tc>
          <w:tcPr>
            <w:tcW w:w="441" w:type="dxa"/>
            <w:vAlign w:val="center"/>
          </w:tcPr>
          <w:p>
            <w:pPr>
              <w:adjustRightInd w:val="0"/>
              <w:snapToGrid w:val="0"/>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restart"/>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技术部分</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（67分）</w:t>
            </w: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对采购需求的响应程度</w:t>
            </w:r>
          </w:p>
        </w:tc>
        <w:tc>
          <w:tcPr>
            <w:tcW w:w="4357" w:type="dxa"/>
            <w:vAlign w:val="center"/>
          </w:tcPr>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★指标为实质性条款，如不满足为无效投标；</w:t>
            </w:r>
            <w:r>
              <w:rPr>
                <w:rFonts w:hint="eastAsia" w:ascii="宋体" w:hAnsi="宋体" w:cs="宋体"/>
                <w:color w:val="auto"/>
                <w:sz w:val="24"/>
                <w:highlight w:val="none"/>
              </w:rPr>
              <w:t>对技术参数的实现，应给予明确的“无偏离”或“负偏离”的应答，并作出满足招标文件要求的解释说明。技术条款中一项</w:t>
            </w:r>
            <w:r>
              <w:rPr>
                <w:rFonts w:hint="eastAsia" w:ascii="宋体" w:hAnsi="宋体" w:cs="宋体"/>
                <w:b/>
                <w:bCs/>
                <w:color w:val="auto"/>
                <w:sz w:val="24"/>
                <w:highlight w:val="none"/>
              </w:rPr>
              <w:t>“#”</w:t>
            </w:r>
            <w:r>
              <w:rPr>
                <w:rFonts w:hint="eastAsia" w:ascii="宋体" w:hAnsi="宋体" w:cs="宋体"/>
                <w:color w:val="auto"/>
                <w:sz w:val="24"/>
                <w:highlight w:val="none"/>
              </w:rPr>
              <w:t>负偏离扣3分，技术条款中一项普通负偏离，扣1分；最多扣30分。如果只注明“符合”、“无偏离”，而未列出所响应的具体内容及与实际所响应技术不符的，视为“负偏离”应答。</w:t>
            </w:r>
          </w:p>
        </w:tc>
        <w:tc>
          <w:tcPr>
            <w:tcW w:w="960" w:type="dxa"/>
            <w:vAlign w:val="center"/>
          </w:tcPr>
          <w:p>
            <w:pPr>
              <w:adjustRightInd w:val="0"/>
              <w:snapToGrid w:val="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30</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实施及组织方案</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对投标人提交的项目实施组织方案分三项内容独立评审，合计15分，三项分别为：(1)项目采购需求解读与实施重难点分析及应对方案；(2)落地实施组织实施方案；(3)项目质量保障方案，单项满分5分，评分标准：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（1）内容完整详实，贴合本项目实际需求，配套实施措施完善、可落地，得5分；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（2）仅简单叙述内容，未结合项目细化说明，缺少具体执行细则，得3分；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（3）对项目需求理解不到位，内容存在缺失，方案无法满足项目建设要求，得1分；</w:t>
            </w:r>
          </w:p>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（4）未编写对应板块内容，该项不得分（0 分）。</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15</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技术方案</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投标人针对采购需求提供本项目的技术方案(1)供货方案(2)安装方案(3)调试方案(4)验收配合方案等进行综合评审；</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针对以上4部分内容（每项3分）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每有1项内容进行了详细具体的阐述，方案措施完整，能正确理解项目需求，保障顺利实施的，得3分；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每有1项内容虽阐述但并未贴合项目实际情况进行详细论述，或方案中未包括具体实施细节及措施等，得2分；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每有1项内容把握采购需求及项目特点不足，内容有缺失，方案无法满足项目需要，得1分；</w:t>
            </w:r>
          </w:p>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每有1项内容未进行阐述或未提供的则该项得0分。</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12</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培训方案</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提供针对本项目的培训方案，根据投标人针对日常使用及维护保养制定详细完整的培训方案，包含培训人员、培训方式、培训内容、时间长短等进行综合评分：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（1）培训方案及内容完整，满足采购人需求，培训人员专业技术水平高，培训经验丰富，针对性强，得5分；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（2）培训方案及内容一般、基本满足采购人需求、培训人员专业技术水平及课程安排可行，得3分；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（3）方案内容欠缺、技术、培训人员及课程安排欠合理的，得1分；</w:t>
            </w:r>
          </w:p>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（4）未提供得0分。</w:t>
            </w:r>
          </w:p>
        </w:tc>
        <w:tc>
          <w:tcPr>
            <w:tcW w:w="960" w:type="dxa"/>
            <w:vAlign w:val="center"/>
          </w:tcPr>
          <w:p>
            <w:pPr>
              <w:adjustRightInd w:val="0"/>
              <w:snapToGrid w:val="0"/>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5</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271" w:type="dxa"/>
            <w:vMerge w:val="continue"/>
            <w:vAlign w:val="center"/>
          </w:tcPr>
          <w:p>
            <w:pPr>
              <w:spacing w:line="360" w:lineRule="auto"/>
              <w:rPr>
                <w:rFonts w:hint="eastAsia" w:ascii="宋体" w:hAnsi="宋体" w:cs="宋体"/>
                <w:color w:val="auto"/>
                <w:sz w:val="24"/>
                <w:highlight w:val="none"/>
              </w:rPr>
            </w:pPr>
          </w:p>
        </w:tc>
        <w:tc>
          <w:tcPr>
            <w:tcW w:w="1418"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售后服务方案</w:t>
            </w:r>
          </w:p>
        </w:tc>
        <w:tc>
          <w:tcPr>
            <w:tcW w:w="4357" w:type="dxa"/>
            <w:vAlign w:val="center"/>
          </w:tcPr>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根据投标人针对本项目特点制定的售后服务体系、售后响应时间、应急预案、服务方案等进行综合评分；售后保障应明确质保期内损坏的维修更换承诺及配品配件供应保障。</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1.售后服务体系完善、售后响应时间符合要求、应急预案和服务方案完整，针对性强，得5分；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2.售后服务体系较为完善、售后响应时间基本符合要求、应急预案和服务方案较为完整的，得3分；</w:t>
            </w:r>
          </w:p>
          <w:p>
            <w:pPr>
              <w:adjustRightInd w:val="0"/>
              <w:snapToGrid w:val="0"/>
              <w:spacing w:line="360" w:lineRule="auto"/>
              <w:rPr>
                <w:rFonts w:hint="eastAsia" w:ascii="宋体" w:hAnsi="宋体"/>
                <w:color w:val="auto"/>
                <w:sz w:val="24"/>
                <w:highlight w:val="none"/>
                <w:shd w:val="clear" w:color="auto" w:fill="FFFFFF"/>
              </w:rPr>
            </w:pPr>
            <w:r>
              <w:rPr>
                <w:rFonts w:hint="eastAsia" w:ascii="宋体" w:hAnsi="宋体"/>
                <w:color w:val="auto"/>
                <w:sz w:val="24"/>
                <w:highlight w:val="none"/>
                <w:shd w:val="clear" w:color="auto" w:fill="FFFFFF"/>
              </w:rPr>
              <w:t>3.售后服务体系较差、售后响应时间不符合要求、应急预案和服务方案较差的，得1分；</w:t>
            </w:r>
          </w:p>
          <w:p>
            <w:pPr>
              <w:adjustRightInd w:val="0"/>
              <w:snapToGrid w:val="0"/>
              <w:spacing w:line="360" w:lineRule="auto"/>
              <w:rPr>
                <w:rFonts w:hint="eastAsia" w:ascii="宋体" w:hAnsi="宋体" w:cs="宋体"/>
                <w:color w:val="auto"/>
                <w:sz w:val="24"/>
                <w:highlight w:val="none"/>
              </w:rPr>
            </w:pPr>
            <w:r>
              <w:rPr>
                <w:rFonts w:hint="eastAsia" w:ascii="宋体" w:hAnsi="宋体"/>
                <w:color w:val="auto"/>
                <w:sz w:val="24"/>
                <w:highlight w:val="none"/>
                <w:shd w:val="clear" w:color="auto" w:fill="FFFFFF"/>
              </w:rPr>
              <w:t>4.未提供得0分。</w:t>
            </w:r>
          </w:p>
        </w:tc>
        <w:tc>
          <w:tcPr>
            <w:tcW w:w="960" w:type="dxa"/>
            <w:vAlign w:val="center"/>
          </w:tcPr>
          <w:p>
            <w:pPr>
              <w:adjustRightInd w:val="0"/>
              <w:snapToGrid w:val="0"/>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0-</w:t>
            </w:r>
            <w:r>
              <w:rPr>
                <w:rFonts w:hint="eastAsia" w:ascii="宋体" w:hAnsi="宋体" w:cs="宋体"/>
                <w:color w:val="auto"/>
                <w:sz w:val="24"/>
                <w:highlight w:val="none"/>
              </w:rPr>
              <w:t>5</w:t>
            </w:r>
          </w:p>
        </w:tc>
        <w:tc>
          <w:tcPr>
            <w:tcW w:w="441" w:type="dxa"/>
            <w:vAlign w:val="center"/>
          </w:tcPr>
          <w:p>
            <w:pPr>
              <w:adjustRightInd w:val="0"/>
              <w:snapToGrid w:val="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 w:hRule="atLeast"/>
        </w:trPr>
        <w:tc>
          <w:tcPr>
            <w:tcW w:w="2689" w:type="dxa"/>
            <w:gridSpan w:val="2"/>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合计</w:t>
            </w:r>
          </w:p>
        </w:tc>
        <w:tc>
          <w:tcPr>
            <w:tcW w:w="5317" w:type="dxa"/>
            <w:gridSpan w:val="2"/>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100分</w:t>
            </w:r>
          </w:p>
        </w:tc>
        <w:tc>
          <w:tcPr>
            <w:tcW w:w="441" w:type="dxa"/>
            <w:vAlign w:val="center"/>
          </w:tcPr>
          <w:p>
            <w:pPr>
              <w:spacing w:line="360" w:lineRule="auto"/>
              <w:jc w:val="center"/>
              <w:rPr>
                <w:rFonts w:hint="eastAsia" w:ascii="宋体" w:hAnsi="宋体" w:cs="宋体"/>
                <w:color w:val="auto"/>
                <w:sz w:val="24"/>
                <w:highlight w:val="none"/>
              </w:rPr>
            </w:pPr>
          </w:p>
        </w:tc>
      </w:tr>
    </w:tbl>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rPr>
          <w:rFonts w:hint="eastAsia" w:ascii="宋体" w:hAnsi="宋体"/>
          <w:b/>
          <w:color w:val="auto"/>
          <w:sz w:val="36"/>
          <w:szCs w:val="36"/>
          <w:highlight w:val="none"/>
        </w:rPr>
      </w:pPr>
      <w:bookmarkStart w:id="930" w:name="_Toc162979036"/>
      <w:r>
        <w:rPr>
          <w:rFonts w:ascii="宋体" w:hAnsi="宋体"/>
          <w:b/>
          <w:color w:val="auto"/>
          <w:sz w:val="36"/>
          <w:szCs w:val="36"/>
          <w:highlight w:val="none"/>
        </w:rPr>
        <w:br w:type="page"/>
      </w:r>
    </w:p>
    <w:p>
      <w:pPr>
        <w:snapToGrid w:val="0"/>
        <w:spacing w:line="360" w:lineRule="auto"/>
        <w:jc w:val="center"/>
        <w:outlineLvl w:val="0"/>
        <w:rPr>
          <w:rFonts w:hint="eastAsia" w:ascii="宋体" w:hAnsi="宋体"/>
          <w:b/>
          <w:color w:val="auto"/>
          <w:sz w:val="36"/>
          <w:szCs w:val="36"/>
          <w:highlight w:val="none"/>
        </w:rPr>
      </w:pPr>
      <w:r>
        <w:rPr>
          <w:rFonts w:ascii="宋体" w:hAnsi="宋体"/>
          <w:b/>
          <w:color w:val="auto"/>
          <w:sz w:val="36"/>
          <w:szCs w:val="36"/>
          <w:highlight w:val="none"/>
        </w:rPr>
        <w:t>第五章   采购需求</w:t>
      </w:r>
      <w:bookmarkEnd w:id="930"/>
    </w:p>
    <w:p>
      <w:pPr>
        <w:snapToGrid w:val="0"/>
        <w:spacing w:line="360" w:lineRule="auto"/>
        <w:jc w:val="center"/>
        <w:outlineLvl w:val="0"/>
        <w:rPr>
          <w:rFonts w:hint="eastAsia" w:ascii="宋体" w:hAnsi="宋体" w:eastAsia="宋体"/>
          <w:b/>
          <w:color w:val="auto"/>
          <w:sz w:val="36"/>
          <w:szCs w:val="36"/>
          <w:highlight w:val="none"/>
          <w:lang w:eastAsia="zh-CN"/>
        </w:rPr>
      </w:pPr>
      <w:bookmarkStart w:id="931" w:name="_Toc99301425"/>
      <w:bookmarkStart w:id="932" w:name="_Toc162979037"/>
      <w:r>
        <w:rPr>
          <w:rFonts w:hint="eastAsia" w:ascii="宋体" w:hAnsi="宋体"/>
          <w:b/>
          <w:color w:val="auto"/>
          <w:sz w:val="36"/>
          <w:szCs w:val="36"/>
          <w:highlight w:val="none"/>
          <w:lang w:eastAsia="zh-CN"/>
        </w:rPr>
        <w:t>（第一包）</w:t>
      </w:r>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一、采购标的 </w:t>
      </w:r>
    </w:p>
    <w:tbl>
      <w:tblPr>
        <w:tblStyle w:val="44"/>
        <w:tblW w:w="100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376"/>
        <w:gridCol w:w="7045"/>
        <w:gridCol w:w="522"/>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1376"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名称</w:t>
            </w:r>
          </w:p>
        </w:tc>
        <w:tc>
          <w:tcPr>
            <w:tcW w:w="7045"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技术要求 </w:t>
            </w:r>
          </w:p>
        </w:tc>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单位</w:t>
            </w:r>
          </w:p>
        </w:tc>
        <w:tc>
          <w:tcPr>
            <w:tcW w:w="610"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0" w:hRule="atLeast"/>
        </w:trPr>
        <w:tc>
          <w:tcPr>
            <w:tcW w:w="522" w:type="dxa"/>
            <w:shd w:val="clear" w:color="000000" w:fill="FFFFFF"/>
            <w:noWrap/>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376"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2"/>
                <w:sz w:val="21"/>
                <w:szCs w:val="21"/>
                <w:highlight w:val="none"/>
                <w:lang w:val="en-US" w:eastAsia="zh-CN" w:bidi="ar-SA"/>
              </w:rPr>
              <w:t>交互式触控一体机（含配套黑板）</w:t>
            </w:r>
          </w:p>
        </w:tc>
        <w:tc>
          <w:tcPr>
            <w:tcW w:w="7045" w:type="dxa"/>
            <w:shd w:val="clear" w:color="auto" w:fill="auto"/>
          </w:tcPr>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一、整机参数</w:t>
            </w:r>
            <w:r>
              <w:rPr>
                <w:rFonts w:hint="eastAsia" w:ascii="宋体" w:hAnsi="宋体" w:cs="宋体"/>
                <w:color w:val="auto"/>
                <w:kern w:val="0"/>
                <w:sz w:val="24"/>
                <w:highlight w:val="none"/>
              </w:rPr>
              <w:br w:type="textWrapping"/>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1.整机屏幕尺寸：采用 86 英寸液晶显示器，显示比例16:9。</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2.整机分辨率：3840*2160，可视角度≥178°，NTSC色域覆盖率≥72%。</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3.护眼设计：具有护眼模式并支持纸质护眼模式，可实现画面纹理的实时调整。</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4.屏幕质量：采用防眩光钢化玻璃，钢化玻璃表面硬度≥9H或莫氏硬度≥7 级。</w:t>
            </w:r>
          </w:p>
          <w:p>
            <w:pPr>
              <w:pStyle w:val="101"/>
              <w:numPr>
                <w:ilvl w:val="0"/>
                <w:numId w:val="0"/>
              </w:num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5.低蓝光：整机视网膜蓝光危害（蓝光加权辐射亮度 LB） 符合 RG0 级别。</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#6.整机按键：≥6个前置物理按键，包括三合一电源按键，音量加减、护眼等功能，物理按键支持自定义功能。（提供权威机构出具的检测报告复印件或扫描件并加盖投标人公章）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7.整机接口：前置接口≥2路 USB，≥1路Type-C；侧置或后置输入≥2路HDMI、≥1路RS232、≥1路触控USB输出。</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#8.整机安全性：整机前置USB接口处具备防撞挡板设计。（提供权威机构出具的检测报告扫描件并加盖投标人公章）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9.功能：支持通过Type-C接口进行文件传输，支持通过Type-C接口给手机充电。</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#10.摄像头：整机上边框内置非独立式摄像头，支持拍摄像素数≥4900万，其中摄像头视场角≥135°。（提供权威机构出具的检测报告扫描件并加盖投标人公章）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#11.麦克风：内置≥8阵列麦克风，拾音角度≥160°，拾音距离≥12米。（提供权威机构出具的检测报告扫描件并加盖投标人公章）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#12.扬声器：内置2.2声道扬声器，最大功率≥84W。（提供权威机构出具的检测报告扫描件并加盖投标人公章）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13.内置无线网络模块，无线支持WIFI6版本。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14.整机内置蓝牙模块，支持蓝牙Bluetooth5.4及以上版本。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#15.整机具备智能手势识别功能:功能包含屏幕熄屏、半屏模式等。（提供权威机构出具的检测报告扫描件并加盖投标人公章）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#16.触控技术：红外触控技术，整机系统均进行≥50点触控及书写。（提供权威机构出具的检测报告扫描件并加盖投标人公章）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17.安卓系统：安卓系统版本≥Android 14，内存≥2GB，存储空间≥32GB。</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#18.系统还原：整机支持通过物理按键实现系统还原。（提供权威机构出具的检测报告扫描件并加盖投标人公章）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19.便捷教学：支持无线投屏功能。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20.教学保障：整机系统具有自习监控功能，通过弹窗或音频形式提醒进行自习纪律干预。</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21.内置电脑模块，采用按压式卡扣结构，CPU性能采用不低于12代，酷睿I5，内存≥8GB ，硬盘≥256GB，具有独立非外扩展的视频输出接口：≥1路HDMI，具有独立非外扩展的电脑USB接口：≥3路USB3.0，≥2路USB2.0。</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二、教学与管理应用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1.教学软件采用备授课一体化设计，具有备课及授课模式，支持老师个人账号注册登录或扫码使用。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2.为教师提供云存储空间，教师可在个人云空间上传存储互动课件和其他多媒体教学资源。</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#3.支持教师将云课件通过二维码或链接等形式分享给其它教师。（提供软件功能截图扫描件并加盖投标人公章）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4.教学软件具备中小学日常教学环境下不少于20个教学工具，如汉字、几何、拼音、听写等。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5.教学软件授课时提供书写工具，可快速选择笔的粗细、颜色。</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6.支持多种擦除方式，支持使用手势进行即时擦除。</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7.教学软件提供互动式教学课件资源，覆盖小学、初中、高中，覆盖学科包括语文、数学、英语、物理、化学、生物、政治、历史、地理等。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8.支持云教案功能，能插入表格、图片、音视频等其它附件。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9.多层级用户管理：集中控制管理软件可对设备进行集中运维管理和策略部署，如可远程控制开关机、信息发布、开机时间数据统计、多层级用户管理等功能。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#10.提供白板教学软件相关软件著作权证书，要求著作权人名称与3C证书产品生产者名称保持一致，质保期内免费升级，终身维护。</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三、视频展台：</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1.安全性：壁挂安装，无锐角无利边，托板尺寸≥A4面积，可承重≥3kg。</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2.便捷性：打开托板即可启动展台，实现画面拍摄和数据传输。</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3.功能性：具备LED补光灯功能。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4.易用性：单根USB线实现供电、数据传输需求。</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5.实用性：摄像头可拍≥1600万像素数照片。</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6.互动性：展台具有灯光调节、拍照截图、画面缩小、画面放大功能。</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四、推拉黑板</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1.长度≥4200mm，高≥1200mm，黑板可沿滑轨左右移动，一体机设备可居中或左右侧安装。</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2.书写面板采用优质烤漆面板，覆有透明保护膜，无拼接，厚度≥0.3mm，面板表面漆膜硬度≥8H，光泽度＜12光泽单位。</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3.背板采用整块防锈镀锌板或其他优质材质，厚度≥0.20mm，防水防锈，板面平整不开胶。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4.黑板立边采用二次折弯无边框设计，上下边框可视面宽度≥12mm；边框、滑轨及立柱采用高精级磨砂银白铝合金型材，灯光下无明显眩光。</w:t>
            </w:r>
          </w:p>
          <w:p>
            <w:pPr>
              <w:pStyle w:val="55"/>
              <w:snapToGrid w:val="0"/>
              <w:spacing w:line="360" w:lineRule="auto"/>
              <w:ind w:firstLine="0" w:firstLineChars="0"/>
              <w:rPr>
                <w:color w:val="auto"/>
                <w:highlight w:val="none"/>
              </w:rPr>
            </w:pPr>
          </w:p>
        </w:tc>
        <w:tc>
          <w:tcPr>
            <w:tcW w:w="522"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套</w:t>
            </w:r>
          </w:p>
        </w:tc>
        <w:tc>
          <w:tcPr>
            <w:tcW w:w="610" w:type="dxa"/>
            <w:shd w:val="clear" w:color="auto" w:fill="auto"/>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233</w:t>
            </w:r>
            <w:r>
              <w:rPr>
                <w:rFonts w:hint="eastAsia" w:ascii="宋体" w:hAnsi="宋体" w:cs="宋体"/>
                <w:color w:val="auto"/>
                <w:kern w:val="0"/>
                <w:sz w:val="24"/>
                <w:highlight w:val="none"/>
              </w:rPr>
              <w:t xml:space="preserve"> </w:t>
            </w:r>
          </w:p>
        </w:tc>
      </w:tr>
    </w:tbl>
    <w:p>
      <w:pPr>
        <w:pStyle w:val="55"/>
        <w:snapToGrid w:val="0"/>
        <w:spacing w:line="360" w:lineRule="auto"/>
        <w:ind w:firstLine="482"/>
        <w:rPr>
          <w:rFonts w:hint="eastAsia" w:ascii="宋体" w:hAnsi="宋体"/>
          <w:b/>
          <w:bCs/>
          <w:color w:val="auto"/>
          <w:highlight w:val="none"/>
        </w:rPr>
      </w:pPr>
      <w:r>
        <w:rPr>
          <w:rFonts w:hint="eastAsia" w:ascii="宋体" w:hAnsi="宋体"/>
          <w:b/>
          <w:bCs/>
          <w:color w:val="auto"/>
          <w:highlight w:val="none"/>
        </w:rPr>
        <w:t>注：</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1、本项目不接受进口产品。</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2、</w:t>
      </w:r>
      <w:r>
        <w:rPr>
          <w:rFonts w:hint="eastAsia" w:ascii="宋体" w:hAnsi="宋体" w:cs="宋体"/>
          <w:color w:val="auto"/>
          <w:highlight w:val="none"/>
        </w:rPr>
        <w:t>★、</w:t>
      </w:r>
      <w:r>
        <w:rPr>
          <w:rFonts w:hint="eastAsia" w:ascii="宋体" w:hAnsi="宋体"/>
          <w:color w:val="auto"/>
          <w:highlight w:val="none"/>
        </w:rPr>
        <w:t>#指标，以供应商提供主要产品要技术指标和性能的详细说明（产品技术说明书或参数表、产品彩页等文字资料、图纸和数据、检测报告均可）为依据。</w:t>
      </w:r>
    </w:p>
    <w:p>
      <w:pPr>
        <w:pStyle w:val="55"/>
        <w:snapToGrid w:val="0"/>
        <w:spacing w:line="360" w:lineRule="auto"/>
        <w:ind w:firstLine="480"/>
        <w:rPr>
          <w:rFonts w:hint="default" w:ascii="宋体" w:hAnsi="宋体"/>
          <w:color w:val="auto"/>
          <w:highlight w:val="none"/>
          <w:lang w:val="en-US" w:eastAsia="zh-CN"/>
        </w:rPr>
      </w:pPr>
      <w:bookmarkStart w:id="933" w:name="_Hlk203062863"/>
      <w:r>
        <w:rPr>
          <w:rFonts w:hint="eastAsia" w:ascii="宋体" w:hAnsi="宋体"/>
          <w:color w:val="auto"/>
          <w:highlight w:val="none"/>
        </w:rPr>
        <w:t>3、货物名称：</w:t>
      </w:r>
      <w:r>
        <w:rPr>
          <w:rFonts w:hint="eastAsia" w:ascii="宋体" w:hAnsi="宋体"/>
          <w:color w:val="auto"/>
          <w:highlight w:val="none"/>
          <w:lang w:val="en-US" w:eastAsia="zh-CN"/>
        </w:rPr>
        <w:t>交互式触控一体机（含配套黑板）</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4、货物用途：满足学校教学要求。</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5、提供触控一体机的3C认证证书、中国节能产品认证证书。</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6、安装调试：厂家免费送货上门、免费安装到客户指定地点、调试合格。</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7、技术服务及培训：厂家负责指导正确的使用方法，并对注意事项加以重点提示。</w:t>
      </w:r>
    </w:p>
    <w:p>
      <w:pPr>
        <w:pStyle w:val="55"/>
        <w:snapToGrid w:val="0"/>
        <w:spacing w:line="360" w:lineRule="auto"/>
        <w:ind w:firstLine="480"/>
        <w:rPr>
          <w:rFonts w:hint="eastAsia" w:ascii="宋体" w:hAnsi="宋体"/>
          <w:color w:val="auto"/>
          <w:highlight w:val="none"/>
          <w:u w:val="none"/>
        </w:rPr>
      </w:pPr>
      <w:r>
        <w:rPr>
          <w:rFonts w:hint="eastAsia" w:ascii="宋体" w:hAnsi="宋体"/>
          <w:color w:val="auto"/>
          <w:highlight w:val="none"/>
        </w:rPr>
        <w:t>8、质量保证和售后服务要求：</w:t>
      </w:r>
      <w:r>
        <w:rPr>
          <w:rFonts w:hint="eastAsia" w:ascii="宋体" w:hAnsi="宋体"/>
          <w:color w:val="auto"/>
          <w:highlight w:val="none"/>
          <w:u w:val="none"/>
        </w:rPr>
        <w:t>质量保证期限为6年。</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9、未提到的技术指标符合国家相关标准。</w:t>
      </w:r>
      <w:bookmarkEnd w:id="933"/>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二、商务要求 </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（一）实施的时间和地点</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实施时间：</w:t>
      </w:r>
      <w:r>
        <w:rPr>
          <w:rFonts w:hint="eastAsia" w:ascii="宋体" w:hAnsi="宋体"/>
          <w:color w:val="auto"/>
          <w:sz w:val="24"/>
          <w:highlight w:val="none"/>
        </w:rPr>
        <w:t>自合同签订之日起至</w:t>
      </w:r>
      <w:r>
        <w:rPr>
          <w:rFonts w:hint="eastAsia" w:ascii="宋体" w:hAnsi="宋体"/>
          <w:color w:val="auto"/>
          <w:sz w:val="24"/>
          <w:highlight w:val="none"/>
          <w:u w:val="none"/>
        </w:rPr>
        <w:t>202</w:t>
      </w:r>
      <w:r>
        <w:rPr>
          <w:rFonts w:hint="eastAsia" w:ascii="宋体" w:hAnsi="宋体"/>
          <w:color w:val="auto"/>
          <w:sz w:val="24"/>
          <w:highlight w:val="none"/>
          <w:u w:val="none"/>
          <w:lang w:val="en-US" w:eastAsia="zh-CN"/>
        </w:rPr>
        <w:t>6</w:t>
      </w:r>
      <w:r>
        <w:rPr>
          <w:rFonts w:hint="eastAsia" w:ascii="宋体" w:hAnsi="宋体"/>
          <w:color w:val="auto"/>
          <w:sz w:val="24"/>
          <w:highlight w:val="none"/>
          <w:u w:val="none"/>
        </w:rPr>
        <w:t>年</w:t>
      </w:r>
      <w:r>
        <w:rPr>
          <w:rFonts w:hint="eastAsia" w:ascii="宋体" w:hAnsi="宋体"/>
          <w:color w:val="auto"/>
          <w:sz w:val="24"/>
          <w:highlight w:val="none"/>
          <w:u w:val="none"/>
          <w:lang w:val="en-US" w:eastAsia="zh-CN"/>
        </w:rPr>
        <w:t>9</w:t>
      </w:r>
      <w:r>
        <w:rPr>
          <w:rFonts w:hint="eastAsia" w:ascii="宋体" w:hAnsi="宋体"/>
          <w:color w:val="auto"/>
          <w:sz w:val="24"/>
          <w:highlight w:val="none"/>
          <w:u w:val="none"/>
        </w:rPr>
        <w:t>月</w:t>
      </w:r>
      <w:r>
        <w:rPr>
          <w:rFonts w:hint="eastAsia" w:ascii="宋体" w:hAnsi="宋体"/>
          <w:color w:val="auto"/>
          <w:sz w:val="24"/>
          <w:highlight w:val="none"/>
          <w:u w:val="none"/>
          <w:lang w:val="en-US" w:eastAsia="zh-CN"/>
        </w:rPr>
        <w:t>10</w:t>
      </w:r>
      <w:r>
        <w:rPr>
          <w:rFonts w:hint="eastAsia" w:ascii="宋体" w:hAnsi="宋体"/>
          <w:color w:val="auto"/>
          <w:sz w:val="24"/>
          <w:highlight w:val="none"/>
          <w:u w:val="none"/>
        </w:rPr>
        <w:t>日</w:t>
      </w:r>
      <w:r>
        <w:rPr>
          <w:rFonts w:hint="eastAsia" w:ascii="宋体" w:hAnsi="宋体"/>
          <w:color w:val="auto"/>
          <w:sz w:val="24"/>
          <w:highlight w:val="none"/>
        </w:rPr>
        <w:t xml:space="preserve">前完成供货、安装、及验收合格 </w:t>
      </w:r>
      <w:r>
        <w:rPr>
          <w:rFonts w:hint="eastAsia" w:ascii="宋体" w:hAnsi="宋体"/>
          <w:color w:val="auto"/>
          <w:kern w:val="0"/>
          <w:sz w:val="24"/>
          <w:highlight w:val="none"/>
        </w:rPr>
        <w:t xml:space="preserve"> </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实施地点：</w:t>
      </w:r>
      <w:r>
        <w:rPr>
          <w:rFonts w:hint="eastAsia" w:ascii="宋体" w:hAnsi="宋体"/>
          <w:iCs/>
          <w:color w:val="auto"/>
          <w:sz w:val="24"/>
          <w:highlight w:val="none"/>
        </w:rPr>
        <w:t>采购人指定地点</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（二）付款条件（进度和方式） </w:t>
      </w:r>
    </w:p>
    <w:p>
      <w:pPr>
        <w:snapToGrid w:val="0"/>
        <w:spacing w:line="360" w:lineRule="auto"/>
        <w:ind w:firstLine="480" w:firstLineChars="200"/>
        <w:rPr>
          <w:rFonts w:hint="default" w:ascii="宋体" w:hAnsi="宋体" w:eastAsia="宋体"/>
          <w:bCs/>
          <w:color w:val="auto"/>
          <w:sz w:val="24"/>
          <w:highlight w:val="none"/>
          <w:lang w:val="en-US" w:eastAsia="zh-CN"/>
        </w:rPr>
      </w:pPr>
      <w:r>
        <w:rPr>
          <w:rFonts w:hint="eastAsia" w:ascii="宋体" w:hAnsi="宋体"/>
          <w:bCs/>
          <w:color w:val="auto"/>
          <w:sz w:val="24"/>
          <w:highlight w:val="none"/>
        </w:rPr>
        <w:t>（1）</w:t>
      </w:r>
      <w:r>
        <w:rPr>
          <w:rFonts w:hint="eastAsia" w:ascii="宋体" w:hAnsi="宋体"/>
          <w:bCs/>
          <w:color w:val="auto"/>
          <w:sz w:val="24"/>
          <w:highlight w:val="none"/>
          <w:u w:val="single"/>
        </w:rPr>
        <w:t>签订合同</w:t>
      </w:r>
      <w:r>
        <w:rPr>
          <w:rFonts w:hint="eastAsia" w:ascii="宋体" w:hAnsi="宋体"/>
          <w:bCs/>
          <w:color w:val="auto"/>
          <w:sz w:val="24"/>
          <w:highlight w:val="none"/>
          <w:u w:val="single"/>
          <w:lang w:eastAsia="zh-CN"/>
        </w:rPr>
        <w:t>后，</w:t>
      </w:r>
      <w:r>
        <w:rPr>
          <w:rFonts w:hint="eastAsia" w:ascii="宋体" w:hAnsi="宋体"/>
          <w:bCs/>
          <w:color w:val="auto"/>
          <w:sz w:val="24"/>
          <w:highlight w:val="none"/>
          <w:u w:val="single"/>
        </w:rPr>
        <w:t>采购人向供应商支付</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合同金额</w:t>
      </w:r>
      <w:r>
        <w:rPr>
          <w:rFonts w:hint="eastAsia" w:ascii="宋体" w:hAnsi="宋体"/>
          <w:bCs/>
          <w:color w:val="auto"/>
          <w:sz w:val="24"/>
          <w:highlight w:val="none"/>
          <w:u w:val="single"/>
          <w:lang w:val="en-US" w:eastAsia="zh-CN"/>
        </w:rPr>
        <w:t>作为预付款，</w:t>
      </w:r>
      <w:r>
        <w:rPr>
          <w:rFonts w:hint="eastAsia" w:ascii="宋体" w:hAnsi="宋体"/>
          <w:bCs/>
          <w:color w:val="auto"/>
          <w:sz w:val="24"/>
          <w:highlight w:val="none"/>
          <w:u w:val="single"/>
        </w:rPr>
        <w:t>完成设备供货</w:t>
      </w:r>
      <w:r>
        <w:rPr>
          <w:rFonts w:hint="eastAsia" w:ascii="宋体" w:hAnsi="宋体"/>
          <w:bCs/>
          <w:color w:val="auto"/>
          <w:sz w:val="24"/>
          <w:highlight w:val="none"/>
          <w:u w:val="single"/>
          <w:lang w:eastAsia="zh-CN"/>
        </w:rPr>
        <w:t>和</w:t>
      </w:r>
      <w:r>
        <w:rPr>
          <w:rFonts w:hint="eastAsia" w:ascii="宋体" w:hAnsi="宋体"/>
          <w:bCs/>
          <w:color w:val="auto"/>
          <w:sz w:val="24"/>
          <w:highlight w:val="none"/>
          <w:u w:val="single"/>
        </w:rPr>
        <w:t>安装后，支付</w:t>
      </w:r>
      <w:r>
        <w:rPr>
          <w:rFonts w:hint="eastAsia" w:ascii="宋体" w:hAnsi="宋体"/>
          <w:bCs/>
          <w:color w:val="auto"/>
          <w:sz w:val="24"/>
          <w:highlight w:val="none"/>
          <w:u w:val="single"/>
          <w:lang w:eastAsia="zh-CN"/>
        </w:rPr>
        <w:t>至</w:t>
      </w:r>
      <w:r>
        <w:rPr>
          <w:rFonts w:hint="eastAsia" w:ascii="宋体" w:hAnsi="宋体"/>
          <w:bCs/>
          <w:color w:val="auto"/>
          <w:sz w:val="24"/>
          <w:highlight w:val="none"/>
          <w:u w:val="single"/>
        </w:rPr>
        <w:t>合同总金额</w:t>
      </w:r>
      <w:r>
        <w:rPr>
          <w:rFonts w:hint="eastAsia" w:ascii="宋体" w:hAnsi="宋体"/>
          <w:bCs/>
          <w:color w:val="auto"/>
          <w:sz w:val="24"/>
          <w:highlight w:val="none"/>
          <w:u w:val="single"/>
          <w:lang w:eastAsia="zh-CN"/>
        </w:rPr>
        <w:t>的</w:t>
      </w:r>
      <w:r>
        <w:rPr>
          <w:rFonts w:hint="eastAsia" w:ascii="宋体" w:hAnsi="宋体"/>
          <w:bCs/>
          <w:color w:val="auto"/>
          <w:sz w:val="24"/>
          <w:highlight w:val="none"/>
          <w:u w:val="single"/>
          <w:lang w:val="en-US" w:eastAsia="zh-CN"/>
        </w:rPr>
        <w:t>60%，</w:t>
      </w:r>
      <w:r>
        <w:rPr>
          <w:rFonts w:hint="eastAsia" w:ascii="宋体" w:hAnsi="宋体"/>
          <w:bCs/>
          <w:color w:val="auto"/>
          <w:sz w:val="24"/>
          <w:highlight w:val="none"/>
          <w:u w:val="single"/>
        </w:rPr>
        <w:t>验收合格</w:t>
      </w:r>
      <w:r>
        <w:rPr>
          <w:rFonts w:hint="eastAsia" w:ascii="宋体" w:hAnsi="宋体"/>
          <w:bCs/>
          <w:color w:val="auto"/>
          <w:sz w:val="24"/>
          <w:highlight w:val="none"/>
          <w:u w:val="single"/>
          <w:lang w:val="en-US" w:eastAsia="zh-CN"/>
        </w:rPr>
        <w:t>且资金到位后支付至合同金额的100% 。</w:t>
      </w:r>
    </w:p>
    <w:p>
      <w:pPr>
        <w:snapToGrid w:val="0"/>
        <w:spacing w:line="360" w:lineRule="auto"/>
        <w:ind w:firstLine="480" w:firstLineChars="200"/>
        <w:rPr>
          <w:rFonts w:hint="eastAsia" w:ascii="宋体" w:hAnsi="宋体"/>
          <w:bCs/>
          <w:color w:val="auto"/>
          <w:sz w:val="24"/>
          <w:highlight w:val="none"/>
        </w:rPr>
      </w:pPr>
      <w:bookmarkStart w:id="934" w:name="_Toc177220886"/>
      <w:r>
        <w:rPr>
          <w:rFonts w:hint="eastAsia" w:ascii="宋体" w:hAnsi="宋体"/>
          <w:bCs/>
          <w:color w:val="auto"/>
          <w:sz w:val="24"/>
          <w:highlight w:val="none"/>
        </w:rPr>
        <w:t>（2）支付合同款的前提：财政资金到达采购人账户。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bCs/>
          <w:color w:val="auto"/>
          <w:sz w:val="24"/>
          <w:highlight w:val="none"/>
        </w:rPr>
        <w:t>（3）在甲方付款前，乙方应提供相应金额的正式发票。</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（三）</w:t>
      </w:r>
      <w:r>
        <w:rPr>
          <w:rFonts w:ascii="宋体" w:hAnsi="宋体" w:cs="宋体"/>
          <w:b/>
          <w:bCs/>
          <w:color w:val="auto"/>
          <w:kern w:val="0"/>
          <w:sz w:val="24"/>
          <w:highlight w:val="none"/>
        </w:rPr>
        <w:t>包装和运输</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（1）须满足《关于印发〈商品包装政府采购需求标准（试行）〉、〈快递包装政府采购需求标准（试行）〉的通知》（财办库﹝2020﹞123号））；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（2）全部货物均应按标准保护措施进行包装。该包装应适应于远距离运输、防潮、防震、防锈和防野蛮装卸，以确保货物安全无损运抵指定地点。由于包装不善所引起的货物损失均由中标人承担。</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（3）免费运输安装。</w:t>
      </w:r>
    </w:p>
    <w:p>
      <w:pPr>
        <w:snapToGrid w:val="0"/>
        <w:spacing w:line="360" w:lineRule="auto"/>
        <w:outlineLvl w:val="0"/>
        <w:rPr>
          <w:rFonts w:hint="eastAsia" w:ascii="宋体" w:hAnsi="宋体" w:cs="宋体"/>
          <w:b/>
          <w:bCs/>
          <w:color w:val="auto"/>
          <w:kern w:val="44"/>
          <w:sz w:val="24"/>
          <w:highlight w:val="none"/>
        </w:rPr>
      </w:pPr>
      <w:bookmarkStart w:id="935" w:name="_Toc195784791"/>
      <w:r>
        <w:rPr>
          <w:rFonts w:hint="eastAsia" w:ascii="宋体" w:hAnsi="宋体" w:cs="宋体"/>
          <w:b/>
          <w:bCs/>
          <w:color w:val="auto"/>
          <w:kern w:val="44"/>
          <w:sz w:val="24"/>
          <w:highlight w:val="none"/>
        </w:rPr>
        <w:t>三、技术要求</w:t>
      </w:r>
      <w:bookmarkEnd w:id="934"/>
      <w:bookmarkEnd w:id="935"/>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 基本要求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1.1 采购标的需实现的功能或者目标</w:t>
      </w:r>
    </w:p>
    <w:p>
      <w:pPr>
        <w:snapToGrid w:val="0"/>
        <w:spacing w:line="360" w:lineRule="auto"/>
        <w:ind w:firstLine="484" w:firstLineChars="202"/>
        <w:rPr>
          <w:rFonts w:hint="eastAsia" w:ascii="宋体" w:hAnsi="宋体"/>
          <w:color w:val="auto"/>
          <w:sz w:val="24"/>
          <w:highlight w:val="none"/>
        </w:rPr>
      </w:pPr>
      <w:r>
        <w:rPr>
          <w:rFonts w:hint="eastAsia" w:ascii="宋体" w:hAnsi="宋体"/>
          <w:color w:val="auto"/>
          <w:sz w:val="24"/>
          <w:highlight w:val="none"/>
        </w:rPr>
        <w:t>满足学校教学要求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1.2 需执行的国家相关标准、行业标准、地方标准或者其他标准、规范</w:t>
      </w:r>
    </w:p>
    <w:p>
      <w:pPr>
        <w:snapToGrid w:val="0"/>
        <w:spacing w:line="360" w:lineRule="auto"/>
        <w:ind w:firstLine="480" w:firstLineChars="200"/>
        <w:rPr>
          <w:rFonts w:cs="宋体"/>
          <w:color w:val="auto"/>
          <w:sz w:val="24"/>
          <w:highlight w:val="none"/>
        </w:rPr>
      </w:pPr>
      <w:r>
        <w:rPr>
          <w:rFonts w:hint="eastAsia" w:cs="宋体"/>
          <w:color w:val="auto"/>
          <w:sz w:val="24"/>
          <w:highlight w:val="none"/>
        </w:rPr>
        <w:t>《中华人民共和国政府采购法》《中华人民共和国政府采购法实施条例》《政府采购货物和服务招标投标管理办法》(财政部令第87号)等法律法规规定。</w:t>
      </w:r>
    </w:p>
    <w:p>
      <w:pPr>
        <w:snapToGrid w:val="0"/>
        <w:spacing w:line="360" w:lineRule="auto"/>
        <w:ind w:firstLine="486" w:firstLineChars="202"/>
        <w:rPr>
          <w:rFonts w:hint="eastAsia" w:ascii="宋体" w:hAnsi="宋体" w:cs="宋体"/>
          <w:b/>
          <w:bCs/>
          <w:color w:val="auto"/>
          <w:sz w:val="24"/>
          <w:highlight w:val="none"/>
        </w:rPr>
      </w:pPr>
      <w:r>
        <w:rPr>
          <w:rFonts w:hint="eastAsia" w:ascii="宋体" w:hAnsi="宋体" w:cs="宋体"/>
          <w:b/>
          <w:bCs/>
          <w:color w:val="auto"/>
          <w:sz w:val="24"/>
          <w:highlight w:val="none"/>
        </w:rPr>
        <w:t>注：以上标准或规定如有最新标准以最新标准执行。</w:t>
      </w:r>
    </w:p>
    <w:p>
      <w:pPr>
        <w:snapToGrid w:val="0"/>
        <w:spacing w:line="360" w:lineRule="auto"/>
        <w:outlineLvl w:val="0"/>
        <w:rPr>
          <w:rFonts w:hint="eastAsia" w:ascii="宋体" w:hAnsi="宋体" w:cs="宋体"/>
          <w:b/>
          <w:bCs/>
          <w:color w:val="auto"/>
          <w:kern w:val="44"/>
          <w:sz w:val="24"/>
          <w:highlight w:val="none"/>
        </w:rPr>
      </w:pPr>
      <w:bookmarkStart w:id="936" w:name="_Toc176641229"/>
      <w:bookmarkStart w:id="937" w:name="_Toc195784793"/>
      <w:r>
        <w:rPr>
          <w:rFonts w:hint="eastAsia" w:ascii="宋体" w:hAnsi="宋体" w:cs="宋体"/>
          <w:b/>
          <w:bCs/>
          <w:color w:val="auto"/>
          <w:kern w:val="44"/>
          <w:sz w:val="24"/>
          <w:highlight w:val="none"/>
        </w:rPr>
        <w:t>四.</w:t>
      </w:r>
      <w:bookmarkEnd w:id="936"/>
      <w:r>
        <w:rPr>
          <w:rFonts w:hint="eastAsia" w:ascii="宋体" w:hAnsi="宋体" w:cs="Arial"/>
          <w:b/>
          <w:bCs/>
          <w:color w:val="auto"/>
          <w:szCs w:val="21"/>
          <w:highlight w:val="none"/>
        </w:rPr>
        <w:t xml:space="preserve"> </w:t>
      </w:r>
      <w:r>
        <w:rPr>
          <w:rFonts w:hint="eastAsia" w:ascii="宋体" w:hAnsi="宋体" w:cs="宋体"/>
          <w:b/>
          <w:bCs/>
          <w:color w:val="auto"/>
          <w:kern w:val="44"/>
          <w:sz w:val="24"/>
          <w:highlight w:val="none"/>
        </w:rPr>
        <w:t>验收标准</w:t>
      </w:r>
      <w:bookmarkEnd w:id="937"/>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现场安装、调试、试运行，达到参数要求后验收。</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（1）按照合同或招投标文件规定的时间和方式交付货物，交货地点由采购人指定。</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2）中标人交付的货物应当完全符合本合同或者招投标文件所规定的货物、数量和规格要求。中标人不得少交或多交货物。中标人提供的货物不符合招投标文件和合同规定的，采购人有权拒收货物，由此引起的风险，由中标人承担。</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（3）货物的到货验收包括：型号、规格、数量、外观质量及货物包装是否完好。</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4）中标人应将所提供货物的装箱清单、用户手册、原厂保修卡、随机资料及配件、随机工具等交付给采购人；中标人不能完整交付货物及本款规定的单证和工具的，视为未按合同约定交货，中标人负责补齐，因此导致逾期交付的，由中标人承担相关的违约责任。</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5）采购人应当在到货后的7个工作日内对货物进行验收；需要中标人对货物或系统进行安装调试的，采购人应在货物安装调试完毕后的7个工作日内进行质量验收。验收合格的，由采购人签署验收单并加盖单位公章。招标文件对检验期限另有规定的，从其规定。</w:t>
      </w:r>
    </w:p>
    <w:p>
      <w:pPr>
        <w:pStyle w:val="55"/>
        <w:ind w:firstLine="0" w:firstLineChars="0"/>
        <w:rPr>
          <w:color w:val="auto"/>
          <w:highlight w:val="none"/>
        </w:rPr>
      </w:pPr>
    </w:p>
    <w:p>
      <w:pPr>
        <w:spacing w:line="360" w:lineRule="auto"/>
        <w:jc w:val="center"/>
        <w:outlineLvl w:val="0"/>
        <w:rPr>
          <w:rFonts w:ascii="宋体" w:hAnsi="宋体"/>
          <w:b/>
          <w:color w:val="auto"/>
          <w:sz w:val="36"/>
          <w:szCs w:val="36"/>
          <w:highlight w:val="none"/>
        </w:rPr>
      </w:pPr>
    </w:p>
    <w:p>
      <w:pPr>
        <w:rPr>
          <w:rFonts w:ascii="宋体" w:hAnsi="宋体"/>
          <w:b/>
          <w:color w:val="auto"/>
          <w:sz w:val="36"/>
          <w:szCs w:val="36"/>
          <w:highlight w:val="none"/>
        </w:rPr>
      </w:pPr>
      <w:r>
        <w:rPr>
          <w:rFonts w:ascii="宋体" w:hAnsi="宋体"/>
          <w:b/>
          <w:color w:val="auto"/>
          <w:sz w:val="36"/>
          <w:szCs w:val="36"/>
          <w:highlight w:val="none"/>
        </w:rPr>
        <w:br w:type="page"/>
      </w:r>
    </w:p>
    <w:p>
      <w:pPr>
        <w:snapToGrid w:val="0"/>
        <w:spacing w:line="360" w:lineRule="auto"/>
        <w:jc w:val="center"/>
        <w:outlineLvl w:val="0"/>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lang w:eastAsia="zh-CN"/>
        </w:rPr>
        <w:t>（第二包）</w:t>
      </w:r>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一、采购标的 </w:t>
      </w:r>
    </w:p>
    <w:tbl>
      <w:tblPr>
        <w:tblStyle w:val="44"/>
        <w:tblW w:w="100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376"/>
        <w:gridCol w:w="7045"/>
        <w:gridCol w:w="522"/>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1376"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名称</w:t>
            </w:r>
          </w:p>
        </w:tc>
        <w:tc>
          <w:tcPr>
            <w:tcW w:w="7045"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技术要求 </w:t>
            </w:r>
          </w:p>
        </w:tc>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单位</w:t>
            </w:r>
          </w:p>
        </w:tc>
        <w:tc>
          <w:tcPr>
            <w:tcW w:w="610"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0" w:hRule="atLeast"/>
        </w:trPr>
        <w:tc>
          <w:tcPr>
            <w:tcW w:w="522" w:type="dxa"/>
            <w:shd w:val="clear" w:color="000000" w:fill="FFFFFF"/>
            <w:noWrap/>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376"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2"/>
                <w:sz w:val="21"/>
                <w:szCs w:val="21"/>
                <w:highlight w:val="none"/>
                <w:lang w:val="en-US" w:eastAsia="zh-CN" w:bidi="ar-SA"/>
              </w:rPr>
              <w:t>交互式触控一体机（含配套黑板）</w:t>
            </w:r>
          </w:p>
        </w:tc>
        <w:tc>
          <w:tcPr>
            <w:tcW w:w="7045" w:type="dxa"/>
            <w:shd w:val="clear" w:color="auto" w:fill="auto"/>
          </w:tcPr>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一、整机参数</w:t>
            </w:r>
            <w:r>
              <w:rPr>
                <w:rFonts w:hint="eastAsia" w:ascii="宋体" w:hAnsi="宋体" w:cs="宋体"/>
                <w:color w:val="auto"/>
                <w:kern w:val="0"/>
                <w:sz w:val="24"/>
                <w:highlight w:val="none"/>
              </w:rPr>
              <w:br w:type="textWrapping"/>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1.整机屏幕尺寸：采用 86 英寸液晶显示器，显示比例16:9。</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2.整机分辨率：3840*2160，可视角度≥178°，NTSC色域覆盖率≥72%。</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3.护眼设计：具有护眼模式并支持纸质护眼模式，可实现画面纹理的实时调整。</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4.屏幕质量：采用防眩光钢化玻璃，钢化玻璃表面硬度≥9H或莫氏硬度≥7 级。</w:t>
            </w:r>
          </w:p>
          <w:p>
            <w:pPr>
              <w:pStyle w:val="101"/>
              <w:numPr>
                <w:ilvl w:val="0"/>
                <w:numId w:val="0"/>
              </w:num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5.低蓝光：整机视网膜蓝光危害（蓝光加权辐射亮度 LB） 符合 RG0 级别。</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#6.整机按键：≥6个前置物理按键，包括三合一电源按键，音量加减、护眼等功能，物理按键支持自定义功能。（提供权威机构出具的检测报告复印件或扫描件并加盖投标人公章）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7.整机接口：前置接口≥2路 USB，≥1路Type-C；侧置或后置输入≥2路HDMI、≥1路RS232、≥1路触控USB输出。</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#8.整机安全性：整机前置USB接口处具备防撞挡板设计。（提供权威机构出具的检测报告扫描件并加盖投标人公章）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9.功能：支持通过Type-C接口进行文件传输，支持通过Type-C接口给手机充电。</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#10.摄像头：整机上边框内置非独立式摄像头，支持拍摄像素数≥4900万，其中摄像头视场角≥135°。（提供权威机构出具的检测报告扫描件并加盖投标人公章）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#11.麦克风：内置≥8阵列麦克风，拾音角度≥160°，拾音距离≥12米。（提供权威机构出具的检测报告扫描件并加盖投标人公章）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#12.扬声器：内置2.2声道扬声器，最大功率≥84W。（提供权威机构出具的检测报告扫描件并加盖投标人公章）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13.内置无线网络模块，无线支持WIFI6版本。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14.整机内置蓝牙模块，支持蓝牙Bluetooth5.4及以上版本。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#15.整机具备智能手势识别功能:功能包含屏幕熄屏、半屏模式等。（提供权威机构出具的检测报告扫描件并加盖投标人公章）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#16.触控技术：红外触控技术，整机系统均进行≥50点触控及书写。（提供权威机构出具的检测报告扫描件并加盖投标人公章）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17.安卓系统：安卓系统版本≥Android 14，内存≥2GB，存储空间≥32GB。</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#18.系统还原：整机支持通过物理按键实现系统还原。（提供权威机构出具的检测报告扫描件并加盖投标人公章）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19.便捷教学：支持无线投屏功能。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20.教学保障：整机系统具有自习监控功能，通过弹窗或音频形式提醒进行自习纪律干预。</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21.内置电脑模块，采用按压式卡扣结构，CPU性能采用不低于12代，酷睿I5，内存≥8GB ，硬盘≥256GB，具有独立非外扩展的视频输出接口：≥1路HDMI，具有独立非外扩展的电脑USB接口：≥3路USB3.0，≥2路USB2.0。</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二、教学与管理应用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1.教学软件采用备授课一体化设计，具有备课及授课模式，支持老师个人账号注册登录或扫码使用。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2.为教师提供云存储空间，教师可在个人云空间上传存储互动课件和其他多媒体教学资源。</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#3.支持教师将云课件通过二维码或链接等形式分享给其它教师。（提供软件功能截图扫描件并加盖投标人公章）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4.教学软件具备中小学日常教学环境下不少于20个教学工具，如汉字、几何、拼音、听写等。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5.教学软件授课时提供书写工具，可快速选择笔的粗细、颜色。</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6.支持多种擦除方式，支持使用手势进行即时擦除。</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7.教学软件提供互动式教学课件资源，覆盖小学、初中、高中，覆盖学科包括语文、数学、英语、物理、化学、生物、政治、历史、地理等。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8.支持云教案功能，能插入表格、图片、音视频等其它附件。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9.多层级用户管理：集中控制管理软件可对设备进行集中运维管理和策略部署，如可远程控制开关机、信息发布、开机时间数据统计、多层级用户管理等功能。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#10.提供白板教学软件相关软件著作权证书，要求著作权人名称与3C证书产品生产者名称保持一致，质保期内免费升级，终身维护。</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三、视频展台：</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1.安全性：壁挂安装，无锐角无利边，托板尺寸≥A4面积，可承重≥3kg。</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2.便捷性：打开托板即可启动展台，实现画面拍摄和数据传输。</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3.功能性：具备LED补光灯功能。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4.易用性：单根USB线实现供电、数据传输需求。</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5.实用性：摄像头可拍≥1600万像素数照片。</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6.互动性：展台具有灯光调节、拍照截图、画面缩小、画面放大功能。</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四、推拉黑板</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1.长度≥4200mm，高≥1200mm，黑板可沿滑轨左右移动，一体机设备可居中或左右侧安装。</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2.书写面板采用优质烤漆面板，覆有透明保护膜，无拼接，厚度≥0.3mm，面板表面漆膜硬度≥8H，光泽度＜12光泽单位。</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3.背板采用整块防锈镀锌板或其他优质材质，厚度≥0.20mm，防水防锈，板面平整不开胶。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4.黑板立边采用二次折弯无边框设计，上下边框可视面宽度≥12mm；边框、滑轨及立柱采用高精级磨砂银白铝合金型材，灯光下无明显眩光。</w:t>
            </w:r>
          </w:p>
          <w:p>
            <w:pPr>
              <w:pStyle w:val="55"/>
              <w:snapToGrid w:val="0"/>
              <w:spacing w:line="360" w:lineRule="auto"/>
              <w:ind w:firstLine="0" w:firstLineChars="0"/>
              <w:rPr>
                <w:color w:val="auto"/>
                <w:highlight w:val="none"/>
              </w:rPr>
            </w:pPr>
          </w:p>
        </w:tc>
        <w:tc>
          <w:tcPr>
            <w:tcW w:w="522"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套</w:t>
            </w:r>
          </w:p>
        </w:tc>
        <w:tc>
          <w:tcPr>
            <w:tcW w:w="610" w:type="dxa"/>
            <w:shd w:val="clear" w:color="auto" w:fill="auto"/>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195</w:t>
            </w:r>
            <w:r>
              <w:rPr>
                <w:rFonts w:hint="eastAsia" w:ascii="宋体" w:hAnsi="宋体" w:cs="宋体"/>
                <w:color w:val="auto"/>
                <w:kern w:val="0"/>
                <w:sz w:val="24"/>
                <w:highlight w:val="none"/>
              </w:rPr>
              <w:t xml:space="preserve"> </w:t>
            </w:r>
          </w:p>
        </w:tc>
      </w:tr>
    </w:tbl>
    <w:p>
      <w:pPr>
        <w:pStyle w:val="55"/>
        <w:snapToGrid w:val="0"/>
        <w:spacing w:line="360" w:lineRule="auto"/>
        <w:ind w:firstLine="482"/>
        <w:rPr>
          <w:rFonts w:hint="eastAsia" w:ascii="宋体" w:hAnsi="宋体"/>
          <w:b/>
          <w:bCs/>
          <w:color w:val="auto"/>
          <w:highlight w:val="none"/>
        </w:rPr>
      </w:pPr>
      <w:r>
        <w:rPr>
          <w:rFonts w:hint="eastAsia" w:ascii="宋体" w:hAnsi="宋体"/>
          <w:b/>
          <w:bCs/>
          <w:color w:val="auto"/>
          <w:highlight w:val="none"/>
        </w:rPr>
        <w:t>注：</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1、本项目不接受进口产品。</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2、</w:t>
      </w:r>
      <w:r>
        <w:rPr>
          <w:rFonts w:hint="eastAsia" w:ascii="宋体" w:hAnsi="宋体" w:cs="宋体"/>
          <w:color w:val="auto"/>
          <w:highlight w:val="none"/>
        </w:rPr>
        <w:t>★、</w:t>
      </w:r>
      <w:r>
        <w:rPr>
          <w:rFonts w:hint="eastAsia" w:ascii="宋体" w:hAnsi="宋体"/>
          <w:color w:val="auto"/>
          <w:highlight w:val="none"/>
        </w:rPr>
        <w:t>#指标，以供应商提供主要产品要技术指标和性能的详细说明（产品技术说明书或参数表、产品彩页等文字资料、图纸和数据、检测报告均可）为依据。</w:t>
      </w:r>
    </w:p>
    <w:p>
      <w:pPr>
        <w:pStyle w:val="55"/>
        <w:snapToGrid w:val="0"/>
        <w:spacing w:line="360" w:lineRule="auto"/>
        <w:ind w:firstLine="480"/>
        <w:rPr>
          <w:rFonts w:hint="default" w:ascii="宋体" w:hAnsi="宋体"/>
          <w:color w:val="auto"/>
          <w:highlight w:val="none"/>
          <w:lang w:val="en-US" w:eastAsia="zh-CN"/>
        </w:rPr>
      </w:pPr>
      <w:r>
        <w:rPr>
          <w:rFonts w:hint="eastAsia" w:ascii="宋体" w:hAnsi="宋体"/>
          <w:color w:val="auto"/>
          <w:highlight w:val="none"/>
        </w:rPr>
        <w:t>3、货物名称：</w:t>
      </w:r>
      <w:r>
        <w:rPr>
          <w:rFonts w:hint="eastAsia" w:ascii="宋体" w:hAnsi="宋体"/>
          <w:color w:val="auto"/>
          <w:highlight w:val="none"/>
          <w:lang w:val="en-US" w:eastAsia="zh-CN"/>
        </w:rPr>
        <w:t>交互式触控一体机（含配套黑板）</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4、货物用途：满足学校教学要求。</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5、提供触控一体机的3C认证证书、中国节能产品认证证书。</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6、安装调试：厂家免费送货上门、免费安装到客户指定地点、调试合格。</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7、技术服务及培训：厂家负责指导正确的使用方法，并对注意事项加以重点提示。</w:t>
      </w:r>
    </w:p>
    <w:p>
      <w:pPr>
        <w:pStyle w:val="55"/>
        <w:snapToGrid w:val="0"/>
        <w:spacing w:line="360" w:lineRule="auto"/>
        <w:ind w:firstLine="480"/>
        <w:rPr>
          <w:rFonts w:hint="eastAsia" w:ascii="宋体" w:hAnsi="宋体"/>
          <w:color w:val="auto"/>
          <w:highlight w:val="none"/>
          <w:u w:val="none"/>
        </w:rPr>
      </w:pPr>
      <w:r>
        <w:rPr>
          <w:rFonts w:hint="eastAsia" w:ascii="宋体" w:hAnsi="宋体"/>
          <w:color w:val="auto"/>
          <w:highlight w:val="none"/>
        </w:rPr>
        <w:t>8、质量保证和售后服务要求：</w:t>
      </w:r>
      <w:r>
        <w:rPr>
          <w:rFonts w:hint="eastAsia" w:ascii="宋体" w:hAnsi="宋体"/>
          <w:color w:val="auto"/>
          <w:highlight w:val="none"/>
          <w:u w:val="none"/>
        </w:rPr>
        <w:t>质量保证期限为6年。</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9、未提到的技术指标符合国家相关标准。</w:t>
      </w:r>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二、商务要求 </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（一）实施的时间和地点</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实施时间：</w:t>
      </w:r>
      <w:r>
        <w:rPr>
          <w:rFonts w:hint="eastAsia" w:ascii="宋体" w:hAnsi="宋体"/>
          <w:color w:val="auto"/>
          <w:sz w:val="24"/>
          <w:highlight w:val="none"/>
        </w:rPr>
        <w:t>自合同签订之日起至</w:t>
      </w:r>
      <w:r>
        <w:rPr>
          <w:rFonts w:hint="eastAsia" w:ascii="宋体" w:hAnsi="宋体"/>
          <w:color w:val="auto"/>
          <w:sz w:val="24"/>
          <w:highlight w:val="none"/>
          <w:u w:val="none"/>
        </w:rPr>
        <w:t>202</w:t>
      </w:r>
      <w:r>
        <w:rPr>
          <w:rFonts w:hint="eastAsia" w:ascii="宋体" w:hAnsi="宋体"/>
          <w:color w:val="auto"/>
          <w:sz w:val="24"/>
          <w:highlight w:val="none"/>
          <w:u w:val="none"/>
          <w:lang w:val="en-US" w:eastAsia="zh-CN"/>
        </w:rPr>
        <w:t>6</w:t>
      </w:r>
      <w:r>
        <w:rPr>
          <w:rFonts w:hint="eastAsia" w:ascii="宋体" w:hAnsi="宋体"/>
          <w:color w:val="auto"/>
          <w:sz w:val="24"/>
          <w:highlight w:val="none"/>
          <w:u w:val="none"/>
        </w:rPr>
        <w:t>年</w:t>
      </w:r>
      <w:r>
        <w:rPr>
          <w:rFonts w:hint="eastAsia" w:ascii="宋体" w:hAnsi="宋体"/>
          <w:color w:val="auto"/>
          <w:sz w:val="24"/>
          <w:highlight w:val="none"/>
          <w:u w:val="none"/>
          <w:lang w:val="en-US" w:eastAsia="zh-CN"/>
        </w:rPr>
        <w:t>9</w:t>
      </w:r>
      <w:r>
        <w:rPr>
          <w:rFonts w:hint="eastAsia" w:ascii="宋体" w:hAnsi="宋体"/>
          <w:color w:val="auto"/>
          <w:sz w:val="24"/>
          <w:highlight w:val="none"/>
          <w:u w:val="none"/>
        </w:rPr>
        <w:t>月</w:t>
      </w:r>
      <w:r>
        <w:rPr>
          <w:rFonts w:hint="eastAsia" w:ascii="宋体" w:hAnsi="宋体"/>
          <w:color w:val="auto"/>
          <w:sz w:val="24"/>
          <w:highlight w:val="none"/>
          <w:u w:val="none"/>
          <w:lang w:val="en-US" w:eastAsia="zh-CN"/>
        </w:rPr>
        <w:t>10</w:t>
      </w:r>
      <w:r>
        <w:rPr>
          <w:rFonts w:hint="eastAsia" w:ascii="宋体" w:hAnsi="宋体"/>
          <w:color w:val="auto"/>
          <w:sz w:val="24"/>
          <w:highlight w:val="none"/>
          <w:u w:val="none"/>
        </w:rPr>
        <w:t>日</w:t>
      </w:r>
      <w:r>
        <w:rPr>
          <w:rFonts w:hint="eastAsia" w:ascii="宋体" w:hAnsi="宋体"/>
          <w:color w:val="auto"/>
          <w:sz w:val="24"/>
          <w:highlight w:val="none"/>
        </w:rPr>
        <w:t xml:space="preserve">前完成供货、安装、及验收合格 </w:t>
      </w:r>
      <w:r>
        <w:rPr>
          <w:rFonts w:hint="eastAsia" w:ascii="宋体" w:hAnsi="宋体"/>
          <w:color w:val="auto"/>
          <w:kern w:val="0"/>
          <w:sz w:val="24"/>
          <w:highlight w:val="none"/>
        </w:rPr>
        <w:t xml:space="preserve"> </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实施地点：</w:t>
      </w:r>
      <w:r>
        <w:rPr>
          <w:rFonts w:hint="eastAsia" w:ascii="宋体" w:hAnsi="宋体"/>
          <w:iCs/>
          <w:color w:val="auto"/>
          <w:sz w:val="24"/>
          <w:highlight w:val="none"/>
        </w:rPr>
        <w:t>采购人指定地点</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（二）付款条件（进度和方式） </w:t>
      </w:r>
    </w:p>
    <w:p>
      <w:pPr>
        <w:snapToGrid w:val="0"/>
        <w:spacing w:line="360" w:lineRule="auto"/>
        <w:ind w:firstLine="480" w:firstLineChars="200"/>
        <w:rPr>
          <w:rFonts w:hint="default" w:ascii="宋体" w:hAnsi="宋体" w:eastAsia="宋体"/>
          <w:bCs/>
          <w:color w:val="auto"/>
          <w:sz w:val="24"/>
          <w:highlight w:val="none"/>
          <w:lang w:val="en-US" w:eastAsia="zh-CN"/>
        </w:rPr>
      </w:pPr>
      <w:r>
        <w:rPr>
          <w:rFonts w:hint="eastAsia" w:ascii="宋体" w:hAnsi="宋体"/>
          <w:bCs/>
          <w:color w:val="auto"/>
          <w:sz w:val="24"/>
          <w:highlight w:val="none"/>
        </w:rPr>
        <w:t>（1）</w:t>
      </w:r>
      <w:r>
        <w:rPr>
          <w:rFonts w:hint="eastAsia" w:ascii="宋体" w:hAnsi="宋体"/>
          <w:bCs/>
          <w:color w:val="auto"/>
          <w:sz w:val="24"/>
          <w:highlight w:val="none"/>
          <w:u w:val="single"/>
        </w:rPr>
        <w:t>签订合同</w:t>
      </w:r>
      <w:r>
        <w:rPr>
          <w:rFonts w:hint="eastAsia" w:ascii="宋体" w:hAnsi="宋体"/>
          <w:bCs/>
          <w:color w:val="auto"/>
          <w:sz w:val="24"/>
          <w:highlight w:val="none"/>
          <w:u w:val="single"/>
          <w:lang w:eastAsia="zh-CN"/>
        </w:rPr>
        <w:t>后，</w:t>
      </w:r>
      <w:r>
        <w:rPr>
          <w:rFonts w:hint="eastAsia" w:ascii="宋体" w:hAnsi="宋体"/>
          <w:bCs/>
          <w:color w:val="auto"/>
          <w:sz w:val="24"/>
          <w:highlight w:val="none"/>
          <w:u w:val="single"/>
        </w:rPr>
        <w:t>采购人向供应商支付</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合同金额</w:t>
      </w:r>
      <w:r>
        <w:rPr>
          <w:rFonts w:hint="eastAsia" w:ascii="宋体" w:hAnsi="宋体"/>
          <w:bCs/>
          <w:color w:val="auto"/>
          <w:sz w:val="24"/>
          <w:highlight w:val="none"/>
          <w:u w:val="single"/>
          <w:lang w:val="en-US" w:eastAsia="zh-CN"/>
        </w:rPr>
        <w:t>作为预付款，</w:t>
      </w:r>
      <w:r>
        <w:rPr>
          <w:rFonts w:hint="eastAsia" w:ascii="宋体" w:hAnsi="宋体"/>
          <w:bCs/>
          <w:color w:val="auto"/>
          <w:sz w:val="24"/>
          <w:highlight w:val="none"/>
          <w:u w:val="single"/>
        </w:rPr>
        <w:t>完成设备供货</w:t>
      </w:r>
      <w:r>
        <w:rPr>
          <w:rFonts w:hint="eastAsia" w:ascii="宋体" w:hAnsi="宋体"/>
          <w:bCs/>
          <w:color w:val="auto"/>
          <w:sz w:val="24"/>
          <w:highlight w:val="none"/>
          <w:u w:val="single"/>
          <w:lang w:eastAsia="zh-CN"/>
        </w:rPr>
        <w:t>和</w:t>
      </w:r>
      <w:r>
        <w:rPr>
          <w:rFonts w:hint="eastAsia" w:ascii="宋体" w:hAnsi="宋体"/>
          <w:bCs/>
          <w:color w:val="auto"/>
          <w:sz w:val="24"/>
          <w:highlight w:val="none"/>
          <w:u w:val="single"/>
        </w:rPr>
        <w:t>安装后，支付</w:t>
      </w:r>
      <w:r>
        <w:rPr>
          <w:rFonts w:hint="eastAsia" w:ascii="宋体" w:hAnsi="宋体"/>
          <w:bCs/>
          <w:color w:val="auto"/>
          <w:sz w:val="24"/>
          <w:highlight w:val="none"/>
          <w:u w:val="single"/>
          <w:lang w:eastAsia="zh-CN"/>
        </w:rPr>
        <w:t>至</w:t>
      </w:r>
      <w:r>
        <w:rPr>
          <w:rFonts w:hint="eastAsia" w:ascii="宋体" w:hAnsi="宋体"/>
          <w:bCs/>
          <w:color w:val="auto"/>
          <w:sz w:val="24"/>
          <w:highlight w:val="none"/>
          <w:u w:val="single"/>
        </w:rPr>
        <w:t>合同总金额</w:t>
      </w:r>
      <w:r>
        <w:rPr>
          <w:rFonts w:hint="eastAsia" w:ascii="宋体" w:hAnsi="宋体"/>
          <w:bCs/>
          <w:color w:val="auto"/>
          <w:sz w:val="24"/>
          <w:highlight w:val="none"/>
          <w:u w:val="single"/>
          <w:lang w:eastAsia="zh-CN"/>
        </w:rPr>
        <w:t>的</w:t>
      </w:r>
      <w:r>
        <w:rPr>
          <w:rFonts w:hint="eastAsia" w:ascii="宋体" w:hAnsi="宋体"/>
          <w:bCs/>
          <w:color w:val="auto"/>
          <w:sz w:val="24"/>
          <w:highlight w:val="none"/>
          <w:u w:val="single"/>
          <w:lang w:val="en-US" w:eastAsia="zh-CN"/>
        </w:rPr>
        <w:t>60%，</w:t>
      </w:r>
      <w:r>
        <w:rPr>
          <w:rFonts w:hint="eastAsia" w:ascii="宋体" w:hAnsi="宋体"/>
          <w:bCs/>
          <w:color w:val="auto"/>
          <w:sz w:val="24"/>
          <w:highlight w:val="none"/>
          <w:u w:val="single"/>
        </w:rPr>
        <w:t>验收合格</w:t>
      </w:r>
      <w:r>
        <w:rPr>
          <w:rFonts w:hint="eastAsia" w:ascii="宋体" w:hAnsi="宋体"/>
          <w:bCs/>
          <w:color w:val="auto"/>
          <w:sz w:val="24"/>
          <w:highlight w:val="none"/>
          <w:u w:val="single"/>
          <w:lang w:val="en-US" w:eastAsia="zh-CN"/>
        </w:rPr>
        <w:t>且资金到位后支付至合同金额的100% 。</w:t>
      </w:r>
    </w:p>
    <w:p>
      <w:pPr>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（2）支付合同款的前提：财政资金到达采购人账户。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bCs/>
          <w:color w:val="auto"/>
          <w:sz w:val="24"/>
          <w:highlight w:val="none"/>
        </w:rPr>
        <w:t>（3）在甲方付款前，乙方应提供相应金额的正式发票。</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（三）</w:t>
      </w:r>
      <w:r>
        <w:rPr>
          <w:rFonts w:ascii="宋体" w:hAnsi="宋体" w:cs="宋体"/>
          <w:b/>
          <w:bCs/>
          <w:color w:val="auto"/>
          <w:kern w:val="0"/>
          <w:sz w:val="24"/>
          <w:highlight w:val="none"/>
        </w:rPr>
        <w:t>包装和运输</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（1）须满足《关于印发〈商品包装政府采购需求标准（试行）〉、〈快递包装政府采购需求标准（试行）〉的通知》（财办库﹝2020﹞123号））；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（2）全部货物均应按标准保护措施进行包装。该包装应适应于远距离运输、防潮、防震、防锈和防野蛮装卸，以确保货物安全无损运抵指定地点。由于包装不善所引起的货物损失均由中标人承担。</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（3）免费运输安装。</w:t>
      </w:r>
    </w:p>
    <w:p>
      <w:pPr>
        <w:snapToGrid w:val="0"/>
        <w:spacing w:line="360" w:lineRule="auto"/>
        <w:outlineLvl w:val="0"/>
        <w:rPr>
          <w:rFonts w:hint="eastAsia" w:ascii="宋体" w:hAnsi="宋体" w:cs="宋体"/>
          <w:b/>
          <w:bCs/>
          <w:color w:val="auto"/>
          <w:kern w:val="44"/>
          <w:sz w:val="24"/>
          <w:highlight w:val="none"/>
        </w:rPr>
      </w:pPr>
      <w:r>
        <w:rPr>
          <w:rFonts w:hint="eastAsia" w:ascii="宋体" w:hAnsi="宋体" w:cs="宋体"/>
          <w:b/>
          <w:bCs/>
          <w:color w:val="auto"/>
          <w:kern w:val="44"/>
          <w:sz w:val="24"/>
          <w:highlight w:val="none"/>
        </w:rPr>
        <w:t>三、技术要求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 基本要求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1.1 采购标的需实现的功能或者目标</w:t>
      </w:r>
    </w:p>
    <w:p>
      <w:pPr>
        <w:snapToGrid w:val="0"/>
        <w:spacing w:line="360" w:lineRule="auto"/>
        <w:ind w:firstLine="484" w:firstLineChars="202"/>
        <w:rPr>
          <w:rFonts w:hint="eastAsia" w:ascii="宋体" w:hAnsi="宋体"/>
          <w:color w:val="auto"/>
          <w:sz w:val="24"/>
          <w:highlight w:val="none"/>
        </w:rPr>
      </w:pPr>
      <w:r>
        <w:rPr>
          <w:rFonts w:hint="eastAsia" w:ascii="宋体" w:hAnsi="宋体"/>
          <w:color w:val="auto"/>
          <w:sz w:val="24"/>
          <w:highlight w:val="none"/>
        </w:rPr>
        <w:t>满足学校教学要求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1.2 需执行的国家相关标准、行业标准、地方标准或者其他标准、规范</w:t>
      </w:r>
    </w:p>
    <w:p>
      <w:pPr>
        <w:snapToGrid w:val="0"/>
        <w:spacing w:line="360" w:lineRule="auto"/>
        <w:ind w:firstLine="480" w:firstLineChars="200"/>
        <w:rPr>
          <w:rFonts w:cs="宋体"/>
          <w:color w:val="auto"/>
          <w:sz w:val="24"/>
          <w:highlight w:val="none"/>
        </w:rPr>
      </w:pPr>
      <w:r>
        <w:rPr>
          <w:rFonts w:hint="eastAsia" w:cs="宋体"/>
          <w:color w:val="auto"/>
          <w:sz w:val="24"/>
          <w:highlight w:val="none"/>
        </w:rPr>
        <w:t>《中华人民共和国政府采购法》《中华人民共和国政府采购法实施条例》《政府采购货物和服务招标投标管理办法》(财政部令第87号)等法律法规规定。</w:t>
      </w:r>
    </w:p>
    <w:p>
      <w:pPr>
        <w:snapToGrid w:val="0"/>
        <w:spacing w:line="360" w:lineRule="auto"/>
        <w:ind w:firstLine="486" w:firstLineChars="202"/>
        <w:rPr>
          <w:rFonts w:hint="eastAsia" w:ascii="宋体" w:hAnsi="宋体" w:cs="宋体"/>
          <w:b/>
          <w:bCs/>
          <w:color w:val="auto"/>
          <w:sz w:val="24"/>
          <w:highlight w:val="none"/>
        </w:rPr>
      </w:pPr>
      <w:r>
        <w:rPr>
          <w:rFonts w:hint="eastAsia" w:ascii="宋体" w:hAnsi="宋体" w:cs="宋体"/>
          <w:b/>
          <w:bCs/>
          <w:color w:val="auto"/>
          <w:sz w:val="24"/>
          <w:highlight w:val="none"/>
        </w:rPr>
        <w:t>注：以上标准或规定如有最新标准以最新标准执行。</w:t>
      </w:r>
    </w:p>
    <w:p>
      <w:pPr>
        <w:snapToGrid w:val="0"/>
        <w:spacing w:line="360" w:lineRule="auto"/>
        <w:outlineLvl w:val="0"/>
        <w:rPr>
          <w:rFonts w:hint="eastAsia" w:ascii="宋体" w:hAnsi="宋体" w:cs="宋体"/>
          <w:b/>
          <w:bCs/>
          <w:color w:val="auto"/>
          <w:kern w:val="44"/>
          <w:sz w:val="24"/>
          <w:highlight w:val="none"/>
        </w:rPr>
      </w:pPr>
      <w:r>
        <w:rPr>
          <w:rFonts w:hint="eastAsia" w:ascii="宋体" w:hAnsi="宋体" w:cs="宋体"/>
          <w:b/>
          <w:bCs/>
          <w:color w:val="auto"/>
          <w:kern w:val="44"/>
          <w:sz w:val="24"/>
          <w:highlight w:val="none"/>
        </w:rPr>
        <w:t>四.</w:t>
      </w:r>
      <w:r>
        <w:rPr>
          <w:rFonts w:hint="eastAsia" w:ascii="宋体" w:hAnsi="宋体" w:cs="Arial"/>
          <w:b/>
          <w:bCs/>
          <w:color w:val="auto"/>
          <w:szCs w:val="21"/>
          <w:highlight w:val="none"/>
        </w:rPr>
        <w:t xml:space="preserve"> </w:t>
      </w:r>
      <w:r>
        <w:rPr>
          <w:rFonts w:hint="eastAsia" w:ascii="宋体" w:hAnsi="宋体" w:cs="宋体"/>
          <w:b/>
          <w:bCs/>
          <w:color w:val="auto"/>
          <w:kern w:val="44"/>
          <w:sz w:val="24"/>
          <w:highlight w:val="none"/>
        </w:rPr>
        <w:t>验收标准</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现场安装、调试、试运行，达到参数要求后验收。</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（1）按照合同或招投标文件规定的时间和方式交付货物，交货地点由采购人指定。</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2）中标人交付的货物应当完全符合本合同或者招投标文件所规定的货物、数量和规格要求。中标人不得少交或多交货物。中标人提供的货物不符合招投标文件和合同规定的，采购人有权拒收货物，由此引起的风险，由中标人承担。</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（3）货物的到货验收包括：型号、规格、数量、外观质量及货物包装是否完好。</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4）中标人应将所提供货物的装箱清单、用户手册、原厂保修卡、随机资料及配件、随机工具等交付给采购人；中标人不能完整交付货物及本款规定的单证和工具的，视为未按合同约定交货，中标人负责补齐，因此导致逾期交付的，由中标人承担相关的违约责任。</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5）采购人应当在到货后的7个工作日内对货物进行验收；需要中标人对货物或系统进行安装调试的，采购人应在货物安装调试完毕后的7个工作日内进行质量验收。验收合格的，由采购人签署验收单并加盖单位公章。招标文件对检验期限另有规定的，从其规定。</w:t>
      </w:r>
    </w:p>
    <w:p>
      <w:pPr>
        <w:pStyle w:val="55"/>
        <w:ind w:firstLine="0" w:firstLineChars="0"/>
        <w:rPr>
          <w:color w:val="auto"/>
          <w:highlight w:val="none"/>
        </w:rPr>
      </w:pPr>
    </w:p>
    <w:p>
      <w:pPr>
        <w:spacing w:line="360" w:lineRule="auto"/>
        <w:jc w:val="center"/>
        <w:outlineLvl w:val="0"/>
        <w:rPr>
          <w:rFonts w:ascii="宋体" w:hAnsi="宋体"/>
          <w:b/>
          <w:color w:val="auto"/>
          <w:sz w:val="36"/>
          <w:szCs w:val="36"/>
          <w:highlight w:val="none"/>
        </w:rPr>
      </w:pPr>
    </w:p>
    <w:p>
      <w:pPr>
        <w:rPr>
          <w:rFonts w:ascii="宋体" w:hAnsi="宋体"/>
          <w:b/>
          <w:color w:val="auto"/>
          <w:sz w:val="36"/>
          <w:szCs w:val="36"/>
          <w:highlight w:val="none"/>
        </w:rPr>
      </w:pPr>
      <w:r>
        <w:rPr>
          <w:rFonts w:ascii="宋体" w:hAnsi="宋体"/>
          <w:b/>
          <w:color w:val="auto"/>
          <w:sz w:val="36"/>
          <w:szCs w:val="36"/>
          <w:highlight w:val="none"/>
        </w:rPr>
        <w:br w:type="page"/>
      </w:r>
    </w:p>
    <w:p>
      <w:pPr>
        <w:snapToGrid w:val="0"/>
        <w:spacing w:line="360" w:lineRule="auto"/>
        <w:jc w:val="center"/>
        <w:outlineLvl w:val="0"/>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lang w:eastAsia="zh-CN"/>
        </w:rPr>
        <w:t>（第三包）</w:t>
      </w:r>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一、采购标的 </w:t>
      </w:r>
    </w:p>
    <w:tbl>
      <w:tblPr>
        <w:tblStyle w:val="44"/>
        <w:tblW w:w="100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376"/>
        <w:gridCol w:w="7045"/>
        <w:gridCol w:w="522"/>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1376"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名称</w:t>
            </w:r>
          </w:p>
        </w:tc>
        <w:tc>
          <w:tcPr>
            <w:tcW w:w="7045"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技术要求 </w:t>
            </w:r>
          </w:p>
        </w:tc>
        <w:tc>
          <w:tcPr>
            <w:tcW w:w="522"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单位</w:t>
            </w:r>
          </w:p>
        </w:tc>
        <w:tc>
          <w:tcPr>
            <w:tcW w:w="610" w:type="dxa"/>
            <w:shd w:val="clear" w:color="auto" w:fill="auto"/>
            <w:vAlign w:val="center"/>
          </w:tcPr>
          <w:p>
            <w:pPr>
              <w:widowControl/>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0" w:hRule="atLeast"/>
        </w:trPr>
        <w:tc>
          <w:tcPr>
            <w:tcW w:w="522" w:type="dxa"/>
            <w:shd w:val="clear" w:color="000000" w:fill="FFFFFF"/>
            <w:noWrap/>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1376"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2"/>
                <w:sz w:val="21"/>
                <w:szCs w:val="21"/>
                <w:highlight w:val="none"/>
                <w:lang w:val="en-US" w:eastAsia="zh-CN" w:bidi="ar-SA"/>
              </w:rPr>
              <w:t>交互式触控一体机（含配套黑板）</w:t>
            </w:r>
          </w:p>
        </w:tc>
        <w:tc>
          <w:tcPr>
            <w:tcW w:w="7045" w:type="dxa"/>
            <w:shd w:val="clear" w:color="auto" w:fill="auto"/>
          </w:tcPr>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一、整机参数</w:t>
            </w:r>
            <w:r>
              <w:rPr>
                <w:rFonts w:hint="eastAsia" w:ascii="宋体" w:hAnsi="宋体" w:cs="宋体"/>
                <w:color w:val="auto"/>
                <w:kern w:val="0"/>
                <w:sz w:val="24"/>
                <w:highlight w:val="none"/>
              </w:rPr>
              <w:br w:type="textWrapping"/>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1.整机屏幕尺寸：采用 86 英寸液晶显示器，显示比例16:9。</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2.整机分辨率：3840*2160，可视角度≥178°，NTSC色域覆盖率≥72%。</w:t>
            </w:r>
          </w:p>
          <w:p>
            <w:pPr>
              <w:pStyle w:val="101"/>
              <w:numPr>
                <w:ilvl w:val="0"/>
                <w:numId w:val="0"/>
              </w:numPr>
              <w:spacing w:line="360" w:lineRule="auto"/>
              <w:ind w:left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3.护眼设计：具有护眼模式并支持纸质护眼模式，可实现画面纹理的实时调整。</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4.屏幕质量：采用防眩光钢化玻璃，钢化玻璃表面硬度≥9H或莫氏硬度≥7 级。</w:t>
            </w:r>
          </w:p>
          <w:p>
            <w:pPr>
              <w:pStyle w:val="101"/>
              <w:numPr>
                <w:ilvl w:val="0"/>
                <w:numId w:val="0"/>
              </w:num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5.低蓝光：整机视网膜蓝光危害（蓝光加权辐射亮度 LB） 符合 RG0 级别。</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#6.整机按键：≥6个前置物理按键，包括三合一电源按键，音量加减、护眼等功能，物理按键支持自定义功能。（提供权威机构出具的检测报告复印件或扫描件并加盖投标人公章）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7.整机接口：前置接口≥2路 USB，≥1路Type-C；侧置或后置输入≥2路HDMI、≥1路RS232、≥1路触控USB输出。</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#8.整机安全性：整机前置USB接口处具备防撞挡板设计。（提供权威机构出具的检测报告扫描件并加盖投标人公章）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9.功能：支持通过Type-C接口进行文件传输，支持通过Type-C接口给手机充电。</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#10.摄像头：整机上边框内置非独立式摄像头，支持拍摄像素数≥4900万，其中摄像头视场角≥135°。（提供权威机构出具的检测报告扫描件并加盖投标人公章）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#11.麦克风：内置≥8阵列麦克风，拾音角度≥160°，拾音距离≥12米。（提供权威机构出具的检测报告扫描件并加盖投标人公章）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#12.扬声器：内置2.2声道扬声器，最大功率≥84W。（提供权威机构出具的检测报告扫描件并加盖投标人公章）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13.内置无线网络模块，无线支持WIFI6版本。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14.整机内置蓝牙模块，支持蓝牙Bluetooth5.4及以上版本。</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#15.整机具备智能手势识别功能:功能包含屏幕熄屏、半屏模式等。（提供权威机构出具的检测报告扫描件并加盖投标人公章）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#16.触控技术：红外触控技术，整机系统均进行≥50点触控及书写。（提供权威机构出具的检测报告扫描件并加盖投标人公章）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17.安卓系统：安卓系统版本≥Android 14，内存≥2GB，存储空间≥32GB。</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#18.系统还原：整机支持通过物理按键实现系统还原。（提供权威机构出具的检测报告扫描件并加盖投标人公章）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19.便捷教学：支持无线投屏功能。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20.教学保障：整机系统具有自习监控功能，通过弹窗或音频形式提醒进行自习纪律干预。</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21.内置电脑模块，采用按压式卡扣结构，CPU性能采用不低于12代，酷睿I5，内存≥8GB ，硬盘≥256GB，具有独立非外扩展的视频输出接口：≥1路HDMI，具有独立非外扩展的电脑USB接口：≥3路USB3.0，≥2路USB2.0。</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二、教学与管理应用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1.教学软件采用备授课一体化设计，具有备课及授课模式，支持老师个人账号注册登录或扫码使用。</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2.为教师提供云存储空间，教师可在个人云空间上传存储互动课件和其他多媒体教学资源。</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#3.支持教师将云课件通过二维码或链接等形式分享给其它教师。（提供软件功能截图扫描件并加盖投标人公章）</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4.教学软件具备中小学日常教学环境下不少于20个教学工具，如汉字、几何、拼音、听写等。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5.教学软件授课时提供书写工具，可快速选择笔的粗细、颜色。</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6.支持多种擦除方式，支持使用手势进行即时擦除。</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7.教学软件提供互动式教学课件资源，覆盖小学、初中、高中，覆盖学科包括语文、数学、英语、物理、化学、生物、政治、历史、地理等。</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8.支持云教案功能，能插入表格、图片、音视频等其它附件。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9.多层级用户管理：集中控制管理软件可对设备进行集中运维管理和策略部署，如可远程控制开关机、信息发布、开机时间数据统计、多层级用户管理等功能。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#10.提供白板教学软件相关软件著作权证书，要求著作权人名称与3C证书产品生产者名称保持一致，质保期内免费升级，终身维护。</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三、视频展台：</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1.安全性：壁挂安装，无锐角无利边，托板尺寸≥A4面积，可承重≥3kg。</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2.便捷性：打开托板即可启动展台，实现画面拍摄和数据传输。</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3.功能性：具备LED补光灯功能。</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4.易用性：单根USB线实现供电、数据传输需求。</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5.实用性：摄像头可拍≥1600万像素数照片。</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6.互动性：展台具有灯光调节、拍照截图、画面缩小、画面放大功能。</w:t>
            </w:r>
          </w:p>
          <w:p>
            <w:pPr>
              <w:pStyle w:val="101"/>
              <w:numPr>
                <w:ilvl w:val="0"/>
                <w:numId w:val="0"/>
              </w:numPr>
              <w:spacing w:line="360" w:lineRule="auto"/>
              <w:ind w:left="440" w:leftChars="0" w:hanging="440" w:firstLineChars="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四、推拉黑板</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1.长度≥4200mm，高≥1200mm，黑板可沿滑轨左右移动，一体机设备可居中或左右侧安装。</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2.书写面板采用优质烤漆面板，覆有透明保护膜，无拼接，厚度≥0.3mm，面板表面漆膜硬度≥8H，光泽度＜12光泽单位。</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3.背板采用整块防锈镀锌板或其他优质材质，厚度≥0.20mm，防水防锈，板面平整不开胶。</w:t>
            </w:r>
          </w:p>
          <w:p>
            <w:pPr>
              <w:pStyle w:val="101"/>
              <w:numPr>
                <w:ilvl w:val="0"/>
                <w:numId w:val="0"/>
              </w:numPr>
              <w:spacing w:line="360" w:lineRule="auto"/>
              <w:ind w:left="440" w:leftChars="0" w:hanging="440" w:firstLineChars="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4.黑板立边采用二次折弯无边框设计，上下边框可视面宽度≥12mm；边框、滑轨及立柱采用高精级磨砂银白铝合金型材，灯光下无明显眩光。</w:t>
            </w:r>
          </w:p>
          <w:p>
            <w:pPr>
              <w:pStyle w:val="55"/>
              <w:snapToGrid w:val="0"/>
              <w:spacing w:line="360" w:lineRule="auto"/>
              <w:ind w:firstLine="0" w:firstLineChars="0"/>
              <w:rPr>
                <w:color w:val="auto"/>
                <w:highlight w:val="none"/>
              </w:rPr>
            </w:pPr>
          </w:p>
        </w:tc>
        <w:tc>
          <w:tcPr>
            <w:tcW w:w="522" w:type="dxa"/>
            <w:shd w:val="clear" w:color="auto" w:fill="auto"/>
            <w:vAlign w:val="center"/>
          </w:tcPr>
          <w:p>
            <w:pPr>
              <w:widowControl/>
              <w:snapToGrid w:val="0"/>
              <w:spacing w:line="360" w:lineRule="auto"/>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套</w:t>
            </w:r>
          </w:p>
        </w:tc>
        <w:tc>
          <w:tcPr>
            <w:tcW w:w="610" w:type="dxa"/>
            <w:shd w:val="clear" w:color="auto" w:fill="auto"/>
            <w:vAlign w:val="center"/>
          </w:tcPr>
          <w:p>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197</w:t>
            </w:r>
            <w:r>
              <w:rPr>
                <w:rFonts w:hint="eastAsia" w:ascii="宋体" w:hAnsi="宋体" w:cs="宋体"/>
                <w:color w:val="auto"/>
                <w:kern w:val="0"/>
                <w:sz w:val="24"/>
                <w:highlight w:val="none"/>
              </w:rPr>
              <w:t xml:space="preserve"> </w:t>
            </w:r>
          </w:p>
        </w:tc>
      </w:tr>
    </w:tbl>
    <w:p>
      <w:pPr>
        <w:pStyle w:val="55"/>
        <w:snapToGrid w:val="0"/>
        <w:spacing w:line="360" w:lineRule="auto"/>
        <w:ind w:firstLine="482"/>
        <w:rPr>
          <w:rFonts w:hint="eastAsia" w:ascii="宋体" w:hAnsi="宋体"/>
          <w:b/>
          <w:bCs/>
          <w:color w:val="auto"/>
          <w:highlight w:val="none"/>
        </w:rPr>
      </w:pPr>
      <w:r>
        <w:rPr>
          <w:rFonts w:hint="eastAsia" w:ascii="宋体" w:hAnsi="宋体"/>
          <w:b/>
          <w:bCs/>
          <w:color w:val="auto"/>
          <w:highlight w:val="none"/>
        </w:rPr>
        <w:t>注：</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1、本项目不接受进口产品。</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2、</w:t>
      </w:r>
      <w:r>
        <w:rPr>
          <w:rFonts w:hint="eastAsia" w:ascii="宋体" w:hAnsi="宋体" w:cs="宋体"/>
          <w:color w:val="auto"/>
          <w:highlight w:val="none"/>
        </w:rPr>
        <w:t>★、</w:t>
      </w:r>
      <w:r>
        <w:rPr>
          <w:rFonts w:hint="eastAsia" w:ascii="宋体" w:hAnsi="宋体"/>
          <w:color w:val="auto"/>
          <w:highlight w:val="none"/>
        </w:rPr>
        <w:t>#指标，以供应商提供主要产品要技术指标和性能的详细说明（产品技术说明书或参数表、产品彩页等文字资料、图纸和数据、检测报告均可）为依据。</w:t>
      </w:r>
    </w:p>
    <w:p>
      <w:pPr>
        <w:pStyle w:val="55"/>
        <w:snapToGrid w:val="0"/>
        <w:spacing w:line="360" w:lineRule="auto"/>
        <w:ind w:firstLine="480"/>
        <w:rPr>
          <w:rFonts w:hint="default" w:ascii="宋体" w:hAnsi="宋体"/>
          <w:color w:val="auto"/>
          <w:highlight w:val="none"/>
          <w:lang w:val="en-US" w:eastAsia="zh-CN"/>
        </w:rPr>
      </w:pPr>
      <w:r>
        <w:rPr>
          <w:rFonts w:hint="eastAsia" w:ascii="宋体" w:hAnsi="宋体"/>
          <w:color w:val="auto"/>
          <w:highlight w:val="none"/>
        </w:rPr>
        <w:t>3、货物名称：</w:t>
      </w:r>
      <w:r>
        <w:rPr>
          <w:rFonts w:hint="eastAsia" w:ascii="宋体" w:hAnsi="宋体"/>
          <w:color w:val="auto"/>
          <w:highlight w:val="none"/>
          <w:lang w:val="en-US" w:eastAsia="zh-CN"/>
        </w:rPr>
        <w:t>交互式触控一体机（含配套黑板）</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4、货物用途：满足学校教学要求。</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5、提供触控一体机的3C认证证书、中国节能产品认证证书。</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6、安装调试：厂家免费送货上门、免费安装到客户指定地点、调试合格。</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7、技术服务及培训：厂家负责指导正确的使用方法，并对注意事项加以重点提示。</w:t>
      </w:r>
    </w:p>
    <w:p>
      <w:pPr>
        <w:pStyle w:val="55"/>
        <w:snapToGrid w:val="0"/>
        <w:spacing w:line="360" w:lineRule="auto"/>
        <w:ind w:firstLine="480"/>
        <w:rPr>
          <w:rFonts w:hint="eastAsia" w:ascii="宋体" w:hAnsi="宋体"/>
          <w:color w:val="auto"/>
          <w:highlight w:val="none"/>
          <w:u w:val="none"/>
        </w:rPr>
      </w:pPr>
      <w:r>
        <w:rPr>
          <w:rFonts w:hint="eastAsia" w:ascii="宋体" w:hAnsi="宋体"/>
          <w:color w:val="auto"/>
          <w:highlight w:val="none"/>
        </w:rPr>
        <w:t>8、质量保证和售后服务要求：</w:t>
      </w:r>
      <w:r>
        <w:rPr>
          <w:rFonts w:hint="eastAsia" w:ascii="宋体" w:hAnsi="宋体"/>
          <w:color w:val="auto"/>
          <w:highlight w:val="none"/>
          <w:u w:val="none"/>
        </w:rPr>
        <w:t>质量保证期限为6年。</w:t>
      </w:r>
    </w:p>
    <w:p>
      <w:pPr>
        <w:pStyle w:val="55"/>
        <w:snapToGrid w:val="0"/>
        <w:spacing w:line="360" w:lineRule="auto"/>
        <w:ind w:firstLine="480"/>
        <w:rPr>
          <w:rFonts w:hint="eastAsia" w:ascii="宋体" w:hAnsi="宋体"/>
          <w:color w:val="auto"/>
          <w:highlight w:val="none"/>
        </w:rPr>
      </w:pPr>
      <w:r>
        <w:rPr>
          <w:rFonts w:hint="eastAsia" w:ascii="宋体" w:hAnsi="宋体"/>
          <w:color w:val="auto"/>
          <w:highlight w:val="none"/>
        </w:rPr>
        <w:t>9、未提到的技术指标符合国家相关标准。</w:t>
      </w:r>
    </w:p>
    <w:p>
      <w:pPr>
        <w:widowControl/>
        <w:snapToGrid w:val="0"/>
        <w:spacing w:line="360" w:lineRule="auto"/>
        <w:jc w:val="left"/>
        <w:outlineLvl w:val="1"/>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二、商务要求 </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（一）实施的时间和地点</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实施时间：</w:t>
      </w:r>
      <w:r>
        <w:rPr>
          <w:rFonts w:hint="eastAsia" w:ascii="宋体" w:hAnsi="宋体"/>
          <w:color w:val="auto"/>
          <w:sz w:val="24"/>
          <w:highlight w:val="none"/>
        </w:rPr>
        <w:t>自合同签订之日起至</w:t>
      </w:r>
      <w:r>
        <w:rPr>
          <w:rFonts w:hint="eastAsia" w:ascii="宋体" w:hAnsi="宋体"/>
          <w:color w:val="auto"/>
          <w:sz w:val="24"/>
          <w:highlight w:val="none"/>
          <w:u w:val="none"/>
        </w:rPr>
        <w:t>202</w:t>
      </w:r>
      <w:r>
        <w:rPr>
          <w:rFonts w:hint="eastAsia" w:ascii="宋体" w:hAnsi="宋体"/>
          <w:color w:val="auto"/>
          <w:sz w:val="24"/>
          <w:highlight w:val="none"/>
          <w:u w:val="none"/>
          <w:lang w:val="en-US" w:eastAsia="zh-CN"/>
        </w:rPr>
        <w:t>6</w:t>
      </w:r>
      <w:r>
        <w:rPr>
          <w:rFonts w:hint="eastAsia" w:ascii="宋体" w:hAnsi="宋体"/>
          <w:color w:val="auto"/>
          <w:sz w:val="24"/>
          <w:highlight w:val="none"/>
          <w:u w:val="none"/>
        </w:rPr>
        <w:t>年</w:t>
      </w:r>
      <w:r>
        <w:rPr>
          <w:rFonts w:hint="eastAsia" w:ascii="宋体" w:hAnsi="宋体"/>
          <w:color w:val="auto"/>
          <w:sz w:val="24"/>
          <w:highlight w:val="none"/>
          <w:u w:val="none"/>
          <w:lang w:val="en-US" w:eastAsia="zh-CN"/>
        </w:rPr>
        <w:t>9</w:t>
      </w:r>
      <w:r>
        <w:rPr>
          <w:rFonts w:hint="eastAsia" w:ascii="宋体" w:hAnsi="宋体"/>
          <w:color w:val="auto"/>
          <w:sz w:val="24"/>
          <w:highlight w:val="none"/>
          <w:u w:val="none"/>
        </w:rPr>
        <w:t>月</w:t>
      </w:r>
      <w:r>
        <w:rPr>
          <w:rFonts w:hint="eastAsia" w:ascii="宋体" w:hAnsi="宋体"/>
          <w:color w:val="auto"/>
          <w:sz w:val="24"/>
          <w:highlight w:val="none"/>
          <w:u w:val="none"/>
          <w:lang w:val="en-US" w:eastAsia="zh-CN"/>
        </w:rPr>
        <w:t>10</w:t>
      </w:r>
      <w:r>
        <w:rPr>
          <w:rFonts w:hint="eastAsia" w:ascii="宋体" w:hAnsi="宋体"/>
          <w:color w:val="auto"/>
          <w:sz w:val="24"/>
          <w:highlight w:val="none"/>
          <w:u w:val="none"/>
        </w:rPr>
        <w:t>日</w:t>
      </w:r>
      <w:r>
        <w:rPr>
          <w:rFonts w:hint="eastAsia" w:ascii="宋体" w:hAnsi="宋体"/>
          <w:color w:val="auto"/>
          <w:sz w:val="24"/>
          <w:highlight w:val="none"/>
        </w:rPr>
        <w:t xml:space="preserve">前完成供货、安装、及验收合格 </w:t>
      </w:r>
      <w:r>
        <w:rPr>
          <w:rFonts w:hint="eastAsia" w:ascii="宋体" w:hAnsi="宋体"/>
          <w:color w:val="auto"/>
          <w:kern w:val="0"/>
          <w:sz w:val="24"/>
          <w:highlight w:val="none"/>
        </w:rPr>
        <w:t xml:space="preserve"> </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实施地点：</w:t>
      </w:r>
      <w:r>
        <w:rPr>
          <w:rFonts w:hint="eastAsia" w:ascii="宋体" w:hAnsi="宋体"/>
          <w:iCs/>
          <w:color w:val="auto"/>
          <w:sz w:val="24"/>
          <w:highlight w:val="none"/>
        </w:rPr>
        <w:t>采购人指定地点</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 xml:space="preserve">（二）付款条件（进度和方式） </w:t>
      </w:r>
    </w:p>
    <w:p>
      <w:pPr>
        <w:snapToGrid w:val="0"/>
        <w:spacing w:line="360" w:lineRule="auto"/>
        <w:ind w:firstLine="480" w:firstLineChars="200"/>
        <w:rPr>
          <w:rFonts w:hint="default" w:ascii="宋体" w:hAnsi="宋体" w:eastAsia="宋体"/>
          <w:bCs/>
          <w:color w:val="auto"/>
          <w:sz w:val="24"/>
          <w:highlight w:val="none"/>
          <w:lang w:val="en-US" w:eastAsia="zh-CN"/>
        </w:rPr>
      </w:pPr>
      <w:r>
        <w:rPr>
          <w:rFonts w:hint="eastAsia" w:ascii="宋体" w:hAnsi="宋体"/>
          <w:bCs/>
          <w:color w:val="auto"/>
          <w:sz w:val="24"/>
          <w:highlight w:val="none"/>
        </w:rPr>
        <w:t>（1）</w:t>
      </w:r>
      <w:r>
        <w:rPr>
          <w:rFonts w:hint="eastAsia" w:ascii="宋体" w:hAnsi="宋体"/>
          <w:bCs/>
          <w:color w:val="auto"/>
          <w:sz w:val="24"/>
          <w:highlight w:val="none"/>
          <w:u w:val="single"/>
        </w:rPr>
        <w:t>签订合同</w:t>
      </w:r>
      <w:r>
        <w:rPr>
          <w:rFonts w:hint="eastAsia" w:ascii="宋体" w:hAnsi="宋体"/>
          <w:bCs/>
          <w:color w:val="auto"/>
          <w:sz w:val="24"/>
          <w:highlight w:val="none"/>
          <w:u w:val="single"/>
          <w:lang w:eastAsia="zh-CN"/>
        </w:rPr>
        <w:t>后，</w:t>
      </w:r>
      <w:r>
        <w:rPr>
          <w:rFonts w:hint="eastAsia" w:ascii="宋体" w:hAnsi="宋体"/>
          <w:bCs/>
          <w:color w:val="auto"/>
          <w:sz w:val="24"/>
          <w:highlight w:val="none"/>
          <w:u w:val="single"/>
        </w:rPr>
        <w:t>采购人向供应商支付</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合同金额</w:t>
      </w:r>
      <w:r>
        <w:rPr>
          <w:rFonts w:hint="eastAsia" w:ascii="宋体" w:hAnsi="宋体"/>
          <w:bCs/>
          <w:color w:val="auto"/>
          <w:sz w:val="24"/>
          <w:highlight w:val="none"/>
          <w:u w:val="single"/>
          <w:lang w:val="en-US" w:eastAsia="zh-CN"/>
        </w:rPr>
        <w:t>作为预付款，</w:t>
      </w:r>
      <w:r>
        <w:rPr>
          <w:rFonts w:hint="eastAsia" w:ascii="宋体" w:hAnsi="宋体"/>
          <w:bCs/>
          <w:color w:val="auto"/>
          <w:sz w:val="24"/>
          <w:highlight w:val="none"/>
          <w:u w:val="single"/>
        </w:rPr>
        <w:t>完成设备供货</w:t>
      </w:r>
      <w:r>
        <w:rPr>
          <w:rFonts w:hint="eastAsia" w:ascii="宋体" w:hAnsi="宋体"/>
          <w:bCs/>
          <w:color w:val="auto"/>
          <w:sz w:val="24"/>
          <w:highlight w:val="none"/>
          <w:u w:val="single"/>
          <w:lang w:eastAsia="zh-CN"/>
        </w:rPr>
        <w:t>和</w:t>
      </w:r>
      <w:r>
        <w:rPr>
          <w:rFonts w:hint="eastAsia" w:ascii="宋体" w:hAnsi="宋体"/>
          <w:bCs/>
          <w:color w:val="auto"/>
          <w:sz w:val="24"/>
          <w:highlight w:val="none"/>
          <w:u w:val="single"/>
        </w:rPr>
        <w:t>安装后，支付</w:t>
      </w:r>
      <w:r>
        <w:rPr>
          <w:rFonts w:hint="eastAsia" w:ascii="宋体" w:hAnsi="宋体"/>
          <w:bCs/>
          <w:color w:val="auto"/>
          <w:sz w:val="24"/>
          <w:highlight w:val="none"/>
          <w:u w:val="single"/>
          <w:lang w:eastAsia="zh-CN"/>
        </w:rPr>
        <w:t>至</w:t>
      </w:r>
      <w:r>
        <w:rPr>
          <w:rFonts w:hint="eastAsia" w:ascii="宋体" w:hAnsi="宋体"/>
          <w:bCs/>
          <w:color w:val="auto"/>
          <w:sz w:val="24"/>
          <w:highlight w:val="none"/>
          <w:u w:val="single"/>
        </w:rPr>
        <w:t>合同总金额</w:t>
      </w:r>
      <w:r>
        <w:rPr>
          <w:rFonts w:hint="eastAsia" w:ascii="宋体" w:hAnsi="宋体"/>
          <w:bCs/>
          <w:color w:val="auto"/>
          <w:sz w:val="24"/>
          <w:highlight w:val="none"/>
          <w:u w:val="single"/>
          <w:lang w:eastAsia="zh-CN"/>
        </w:rPr>
        <w:t>的</w:t>
      </w:r>
      <w:r>
        <w:rPr>
          <w:rFonts w:hint="eastAsia" w:ascii="宋体" w:hAnsi="宋体"/>
          <w:bCs/>
          <w:color w:val="auto"/>
          <w:sz w:val="24"/>
          <w:highlight w:val="none"/>
          <w:u w:val="single"/>
          <w:lang w:val="en-US" w:eastAsia="zh-CN"/>
        </w:rPr>
        <w:t>60%，</w:t>
      </w:r>
      <w:r>
        <w:rPr>
          <w:rFonts w:hint="eastAsia" w:ascii="宋体" w:hAnsi="宋体"/>
          <w:bCs/>
          <w:color w:val="auto"/>
          <w:sz w:val="24"/>
          <w:highlight w:val="none"/>
          <w:u w:val="single"/>
        </w:rPr>
        <w:t>验收合格</w:t>
      </w:r>
      <w:r>
        <w:rPr>
          <w:rFonts w:hint="eastAsia" w:ascii="宋体" w:hAnsi="宋体"/>
          <w:bCs/>
          <w:color w:val="auto"/>
          <w:sz w:val="24"/>
          <w:highlight w:val="none"/>
          <w:u w:val="single"/>
          <w:lang w:val="en-US" w:eastAsia="zh-CN"/>
        </w:rPr>
        <w:t>且资金到位后支付至合同金额的100% 。</w:t>
      </w:r>
    </w:p>
    <w:p>
      <w:pPr>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（2）支付合同款的前提：财政资金到达采购人账户。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bCs/>
          <w:color w:val="auto"/>
          <w:sz w:val="24"/>
          <w:highlight w:val="none"/>
        </w:rPr>
        <w:t>（3）在甲方付款前，乙方应提供相应金额的正式发票。</w:t>
      </w:r>
    </w:p>
    <w:p>
      <w:pPr>
        <w:widowControl/>
        <w:snapToGrid w:val="0"/>
        <w:spacing w:line="360" w:lineRule="auto"/>
        <w:jc w:val="left"/>
        <w:outlineLvl w:val="2"/>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（三）</w:t>
      </w:r>
      <w:r>
        <w:rPr>
          <w:rFonts w:ascii="宋体" w:hAnsi="宋体" w:cs="宋体"/>
          <w:b/>
          <w:bCs/>
          <w:color w:val="auto"/>
          <w:kern w:val="0"/>
          <w:sz w:val="24"/>
          <w:highlight w:val="none"/>
        </w:rPr>
        <w:t>包装和运输</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（1）须满足《关于印发〈商品包装政府采购需求标准（试行）〉、〈快递包装政府采购需求标准（试行）〉的通知》（财办库﹝2020﹞123号））；</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（2）全部货物均应按标准保护措施进行包装。该包装应适应于远距离运输、防潮、防震、防锈和防野蛮装卸，以确保货物安全无损运抵指定地点。由于包装不善所引起的货物损失均由中标人承担。</w:t>
      </w:r>
    </w:p>
    <w:p>
      <w:pPr>
        <w:widowControl/>
        <w:snapToGrid w:val="0"/>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（3）免费运输安装。</w:t>
      </w:r>
    </w:p>
    <w:p>
      <w:pPr>
        <w:snapToGrid w:val="0"/>
        <w:spacing w:line="360" w:lineRule="auto"/>
        <w:outlineLvl w:val="0"/>
        <w:rPr>
          <w:rFonts w:hint="eastAsia" w:ascii="宋体" w:hAnsi="宋体" w:cs="宋体"/>
          <w:b/>
          <w:bCs/>
          <w:color w:val="auto"/>
          <w:kern w:val="44"/>
          <w:sz w:val="24"/>
          <w:highlight w:val="none"/>
        </w:rPr>
      </w:pPr>
      <w:r>
        <w:rPr>
          <w:rFonts w:hint="eastAsia" w:ascii="宋体" w:hAnsi="宋体" w:cs="宋体"/>
          <w:b/>
          <w:bCs/>
          <w:color w:val="auto"/>
          <w:kern w:val="44"/>
          <w:sz w:val="24"/>
          <w:highlight w:val="none"/>
        </w:rPr>
        <w:t>三、技术要求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 基本要求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1.1 采购标的需实现的功能或者目标</w:t>
      </w:r>
    </w:p>
    <w:p>
      <w:pPr>
        <w:snapToGrid w:val="0"/>
        <w:spacing w:line="360" w:lineRule="auto"/>
        <w:ind w:firstLine="484" w:firstLineChars="202"/>
        <w:rPr>
          <w:rFonts w:hint="eastAsia" w:ascii="宋体" w:hAnsi="宋体"/>
          <w:color w:val="auto"/>
          <w:sz w:val="24"/>
          <w:highlight w:val="none"/>
        </w:rPr>
      </w:pPr>
      <w:r>
        <w:rPr>
          <w:rFonts w:hint="eastAsia" w:ascii="宋体" w:hAnsi="宋体"/>
          <w:color w:val="auto"/>
          <w:sz w:val="24"/>
          <w:highlight w:val="none"/>
        </w:rPr>
        <w:t>满足学校教学要求</w:t>
      </w:r>
    </w:p>
    <w:p>
      <w:pPr>
        <w:snapToGrid w:val="0"/>
        <w:spacing w:line="360" w:lineRule="auto"/>
        <w:ind w:firstLine="486" w:firstLineChars="202"/>
        <w:rPr>
          <w:rFonts w:hint="eastAsia" w:ascii="宋体" w:hAnsi="宋体" w:cs="宋体"/>
          <w:b/>
          <w:color w:val="auto"/>
          <w:sz w:val="24"/>
          <w:highlight w:val="none"/>
        </w:rPr>
      </w:pPr>
      <w:r>
        <w:rPr>
          <w:rFonts w:hint="eastAsia" w:ascii="宋体" w:hAnsi="宋体" w:cs="宋体"/>
          <w:b/>
          <w:color w:val="auto"/>
          <w:sz w:val="24"/>
          <w:highlight w:val="none"/>
        </w:rPr>
        <w:t>1.2 需执行的国家相关标准、行业标准、地方标准或者其他标准、规范</w:t>
      </w:r>
    </w:p>
    <w:p>
      <w:pPr>
        <w:snapToGrid w:val="0"/>
        <w:spacing w:line="360" w:lineRule="auto"/>
        <w:ind w:firstLine="480" w:firstLineChars="200"/>
        <w:rPr>
          <w:rFonts w:cs="宋体"/>
          <w:color w:val="auto"/>
          <w:sz w:val="24"/>
          <w:highlight w:val="none"/>
        </w:rPr>
      </w:pPr>
      <w:r>
        <w:rPr>
          <w:rFonts w:hint="eastAsia" w:cs="宋体"/>
          <w:color w:val="auto"/>
          <w:sz w:val="24"/>
          <w:highlight w:val="none"/>
        </w:rPr>
        <w:t>《中华人民共和国政府采购法》《中华人民共和国政府采购法实施条例》《政府采购货物和服务招标投标管理办法》(财政部令第87号)等法律法规规定。</w:t>
      </w:r>
    </w:p>
    <w:p>
      <w:pPr>
        <w:snapToGrid w:val="0"/>
        <w:spacing w:line="360" w:lineRule="auto"/>
        <w:ind w:firstLine="486" w:firstLineChars="202"/>
        <w:rPr>
          <w:rFonts w:hint="eastAsia" w:ascii="宋体" w:hAnsi="宋体" w:cs="宋体"/>
          <w:b/>
          <w:bCs/>
          <w:color w:val="auto"/>
          <w:sz w:val="24"/>
          <w:highlight w:val="none"/>
        </w:rPr>
      </w:pPr>
      <w:r>
        <w:rPr>
          <w:rFonts w:hint="eastAsia" w:ascii="宋体" w:hAnsi="宋体" w:cs="宋体"/>
          <w:b/>
          <w:bCs/>
          <w:color w:val="auto"/>
          <w:sz w:val="24"/>
          <w:highlight w:val="none"/>
        </w:rPr>
        <w:t>注：以上标准或规定如有最新标准以最新标准执行。</w:t>
      </w:r>
    </w:p>
    <w:p>
      <w:pPr>
        <w:snapToGrid w:val="0"/>
        <w:spacing w:line="360" w:lineRule="auto"/>
        <w:outlineLvl w:val="0"/>
        <w:rPr>
          <w:rFonts w:hint="eastAsia" w:ascii="宋体" w:hAnsi="宋体" w:cs="宋体"/>
          <w:b/>
          <w:bCs/>
          <w:color w:val="auto"/>
          <w:kern w:val="44"/>
          <w:sz w:val="24"/>
          <w:highlight w:val="none"/>
        </w:rPr>
      </w:pPr>
      <w:r>
        <w:rPr>
          <w:rFonts w:hint="eastAsia" w:ascii="宋体" w:hAnsi="宋体" w:cs="宋体"/>
          <w:b/>
          <w:bCs/>
          <w:color w:val="auto"/>
          <w:kern w:val="44"/>
          <w:sz w:val="24"/>
          <w:highlight w:val="none"/>
        </w:rPr>
        <w:t>四.</w:t>
      </w:r>
      <w:r>
        <w:rPr>
          <w:rFonts w:hint="eastAsia" w:ascii="宋体" w:hAnsi="宋体" w:cs="Arial"/>
          <w:b/>
          <w:bCs/>
          <w:color w:val="auto"/>
          <w:szCs w:val="21"/>
          <w:highlight w:val="none"/>
        </w:rPr>
        <w:t xml:space="preserve"> </w:t>
      </w:r>
      <w:r>
        <w:rPr>
          <w:rFonts w:hint="eastAsia" w:ascii="宋体" w:hAnsi="宋体" w:cs="宋体"/>
          <w:b/>
          <w:bCs/>
          <w:color w:val="auto"/>
          <w:kern w:val="44"/>
          <w:sz w:val="24"/>
          <w:highlight w:val="none"/>
        </w:rPr>
        <w:t>验收标准</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现场安装、调试、试运行，达到参数要求后验收。</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（1）按照合同或招投标文件规定的时间和方式交付货物，交货地点由采购人指定。</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2）中标人交付的货物应当完全符合本合同或者招投标文件所规定的货物、数量和规格要求。中标人不得少交或多交货物。中标人提供的货物不符合招投标文件和合同规定的，采购人有权拒收货物，由此引起的风险，由中标人承担。</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（3）货物的到货验收包括：型号、规格、数量、外观质量及货物包装是否完好。</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4）中标人应将所提供货物的装箱清单、用户手册、原厂保修卡、随机资料及配件、随机工具等交付给采购人；中标人不能完整交付货物及本款规定的单证和工具的，视为未按合同约定交货，中标人负责补齐，因此导致逾期交付的，由中标人承担相关的违约责任。</w:t>
      </w:r>
    </w:p>
    <w:p>
      <w:pPr>
        <w:snapToGrid w:val="0"/>
        <w:spacing w:line="360" w:lineRule="auto"/>
        <w:ind w:firstLine="484" w:firstLineChars="202"/>
        <w:rPr>
          <w:rFonts w:hint="eastAsia" w:ascii="宋体" w:hAnsi="宋体"/>
          <w:bCs/>
          <w:color w:val="auto"/>
          <w:sz w:val="24"/>
          <w:highlight w:val="none"/>
        </w:rPr>
      </w:pPr>
      <w:r>
        <w:rPr>
          <w:rFonts w:hint="eastAsia" w:ascii="宋体" w:hAnsi="宋体"/>
          <w:bCs/>
          <w:color w:val="auto"/>
          <w:sz w:val="24"/>
          <w:highlight w:val="none"/>
        </w:rPr>
        <w:t>（5）采购人应当在到货后的7个工作日内对货物进行验收；需要中标人对货物或系统进行安装调试的，采购人应在货物安装调试完毕后的7个工作日内进行质量验收。验收合格的，由采购人签署验收单并加盖单位公章。招标文件对检验期限另有规定的，从其规定。</w:t>
      </w:r>
    </w:p>
    <w:p>
      <w:pPr>
        <w:pStyle w:val="55"/>
        <w:ind w:firstLine="0" w:firstLineChars="0"/>
        <w:rPr>
          <w:color w:val="auto"/>
          <w:highlight w:val="none"/>
        </w:rPr>
      </w:pPr>
    </w:p>
    <w:p>
      <w:pPr>
        <w:spacing w:line="360" w:lineRule="auto"/>
        <w:jc w:val="center"/>
        <w:outlineLvl w:val="0"/>
        <w:rPr>
          <w:rFonts w:ascii="宋体" w:hAnsi="宋体"/>
          <w:b/>
          <w:color w:val="auto"/>
          <w:sz w:val="36"/>
          <w:szCs w:val="36"/>
          <w:highlight w:val="none"/>
        </w:rPr>
      </w:pPr>
    </w:p>
    <w:p>
      <w:pPr>
        <w:rPr>
          <w:rFonts w:ascii="宋体" w:hAnsi="宋体"/>
          <w:b/>
          <w:color w:val="auto"/>
          <w:sz w:val="36"/>
          <w:szCs w:val="36"/>
          <w:highlight w:val="none"/>
        </w:rPr>
      </w:pPr>
      <w:r>
        <w:rPr>
          <w:rFonts w:ascii="宋体" w:hAnsi="宋体"/>
          <w:b/>
          <w:color w:val="auto"/>
          <w:sz w:val="36"/>
          <w:szCs w:val="36"/>
          <w:highlight w:val="none"/>
        </w:rPr>
        <w:br w:type="page"/>
      </w:r>
    </w:p>
    <w:p>
      <w:pPr>
        <w:spacing w:line="360" w:lineRule="auto"/>
        <w:jc w:val="center"/>
        <w:outlineLvl w:val="0"/>
        <w:rPr>
          <w:rFonts w:ascii="宋体" w:hAnsi="宋体"/>
          <w:b/>
          <w:color w:val="auto"/>
          <w:sz w:val="36"/>
          <w:szCs w:val="36"/>
          <w:highlight w:val="none"/>
        </w:rPr>
      </w:pPr>
    </w:p>
    <w:p>
      <w:pPr>
        <w:spacing w:line="360" w:lineRule="auto"/>
        <w:jc w:val="center"/>
        <w:outlineLvl w:val="0"/>
        <w:rPr>
          <w:rFonts w:hint="eastAsia" w:ascii="宋体" w:hAnsi="宋体"/>
          <w:b/>
          <w:color w:val="auto"/>
          <w:sz w:val="36"/>
          <w:szCs w:val="36"/>
          <w:highlight w:val="none"/>
        </w:rPr>
      </w:pPr>
      <w:r>
        <w:rPr>
          <w:rFonts w:ascii="宋体" w:hAnsi="宋体"/>
          <w:b/>
          <w:color w:val="auto"/>
          <w:sz w:val="36"/>
          <w:szCs w:val="36"/>
          <w:highlight w:val="none"/>
        </w:rPr>
        <w:t xml:space="preserve">第六章  </w:t>
      </w:r>
      <w:bookmarkEnd w:id="931"/>
      <w:bookmarkStart w:id="938" w:name="_Toc99301426"/>
      <w:r>
        <w:rPr>
          <w:rFonts w:ascii="宋体" w:hAnsi="宋体"/>
          <w:b/>
          <w:color w:val="auto"/>
          <w:sz w:val="36"/>
          <w:szCs w:val="36"/>
          <w:highlight w:val="none"/>
        </w:rPr>
        <w:t xml:space="preserve">  拟签订的合同文本</w:t>
      </w:r>
      <w:bookmarkEnd w:id="932"/>
    </w:p>
    <w:p>
      <w:pPr>
        <w:tabs>
          <w:tab w:val="left" w:pos="900"/>
          <w:tab w:val="left" w:pos="1080"/>
        </w:tabs>
        <w:snapToGrid w:val="0"/>
        <w:spacing w:line="360" w:lineRule="auto"/>
        <w:rPr>
          <w:rFonts w:hint="eastAsia" w:ascii="宋体" w:hAnsi="宋体"/>
          <w:color w:val="auto"/>
          <w:kern w:val="0"/>
          <w:sz w:val="18"/>
          <w:szCs w:val="18"/>
          <w:highlight w:val="none"/>
        </w:rPr>
      </w:pPr>
    </w:p>
    <w:p>
      <w:pPr>
        <w:pStyle w:val="38"/>
        <w:keepNext w:val="0"/>
        <w:keepLines w:val="0"/>
        <w:widowControl/>
        <w:suppressLineNumbers w:val="0"/>
        <w:shd w:val="clear" w:fill="FFFFFF"/>
        <w:wordWrap/>
        <w:spacing w:before="0" w:beforeAutospacing="0" w:after="0" w:afterAutospacing="0"/>
        <w:ind w:left="0" w:right="0" w:firstLine="0"/>
        <w:jc w:val="center"/>
        <w:rPr>
          <w:b w:val="0"/>
          <w:i w:val="0"/>
          <w:caps w:val="0"/>
          <w:color w:val="auto"/>
          <w:spacing w:val="0"/>
          <w:sz w:val="24"/>
          <w:szCs w:val="24"/>
          <w:highlight w:val="none"/>
        </w:rPr>
      </w:pPr>
      <w:r>
        <w:rPr>
          <w:b w:val="0"/>
          <w:i w:val="0"/>
          <w:caps w:val="0"/>
          <w:color w:val="auto"/>
          <w:spacing w:val="0"/>
          <w:sz w:val="24"/>
          <w:szCs w:val="24"/>
          <w:highlight w:val="none"/>
          <w:shd w:val="clear" w:fill="FFFFFF"/>
        </w:rPr>
        <w:t>（此合同格式仅供参考，成交后，经双方协商一致，可对合同条款进行补充完善）</w:t>
      </w:r>
    </w:p>
    <w:p>
      <w:pPr>
        <w:pStyle w:val="17"/>
        <w:jc w:val="center"/>
        <w:rPr>
          <w:rFonts w:hint="eastAsia" w:cs="宋体"/>
          <w:b/>
          <w:bCs/>
          <w:color w:val="auto"/>
          <w:spacing w:val="-20"/>
          <w:kern w:val="44"/>
          <w:highlight w:val="none"/>
        </w:rPr>
      </w:pPr>
    </w:p>
    <w:p>
      <w:pPr>
        <w:pStyle w:val="17"/>
        <w:jc w:val="center"/>
        <w:rPr>
          <w:rFonts w:hint="eastAsia" w:cs="宋体"/>
          <w:b/>
          <w:bCs/>
          <w:color w:val="auto"/>
          <w:spacing w:val="-20"/>
          <w:kern w:val="44"/>
          <w:highlight w:val="none"/>
        </w:rPr>
      </w:pPr>
    </w:p>
    <w:p>
      <w:pPr>
        <w:pStyle w:val="17"/>
        <w:jc w:val="center"/>
        <w:rPr>
          <w:rFonts w:hint="eastAsia" w:cs="宋体"/>
          <w:b/>
          <w:bCs/>
          <w:color w:val="auto"/>
          <w:spacing w:val="-20"/>
          <w:kern w:val="44"/>
          <w:highlight w:val="none"/>
        </w:rPr>
      </w:pPr>
    </w:p>
    <w:p>
      <w:pPr>
        <w:pStyle w:val="17"/>
        <w:jc w:val="center"/>
        <w:rPr>
          <w:rFonts w:hint="eastAsia" w:cs="宋体"/>
          <w:b/>
          <w:bCs/>
          <w:color w:val="auto"/>
          <w:spacing w:val="-20"/>
          <w:kern w:val="44"/>
          <w:highlight w:val="none"/>
        </w:rPr>
      </w:pPr>
    </w:p>
    <w:p>
      <w:pPr>
        <w:pStyle w:val="17"/>
        <w:jc w:val="center"/>
        <w:rPr>
          <w:rFonts w:hint="default" w:eastAsia="宋体" w:cs="宋体"/>
          <w:b/>
          <w:bCs/>
          <w:color w:val="auto"/>
          <w:spacing w:val="-20"/>
          <w:kern w:val="44"/>
          <w:highlight w:val="none"/>
          <w:lang w:val="en-US" w:eastAsia="zh-CN"/>
        </w:rPr>
      </w:pPr>
      <w:r>
        <w:rPr>
          <w:rFonts w:hint="eastAsia" w:cs="宋体"/>
          <w:b/>
          <w:bCs/>
          <w:color w:val="auto"/>
          <w:spacing w:val="-20"/>
          <w:kern w:val="44"/>
          <w:highlight w:val="none"/>
          <w:lang w:eastAsia="zh-CN"/>
        </w:rPr>
        <w:t>第</w:t>
      </w:r>
      <w:r>
        <w:rPr>
          <w:rFonts w:hint="eastAsia" w:cs="宋体"/>
          <w:b/>
          <w:bCs/>
          <w:color w:val="auto"/>
          <w:spacing w:val="-20"/>
          <w:kern w:val="44"/>
          <w:highlight w:val="none"/>
          <w:lang w:val="en-US" w:eastAsia="zh-CN"/>
        </w:rPr>
        <w:t>1包-第3包：</w:t>
      </w:r>
    </w:p>
    <w:p>
      <w:pPr>
        <w:pStyle w:val="39"/>
        <w:spacing w:line="360" w:lineRule="auto"/>
        <w:jc w:val="center"/>
        <w:rPr>
          <w:rFonts w:hint="eastAsia" w:cs="Arial"/>
          <w:b/>
          <w:color w:val="auto"/>
          <w:sz w:val="48"/>
          <w:szCs w:val="48"/>
          <w:highlight w:val="none"/>
        </w:rPr>
      </w:pPr>
      <w:r>
        <w:rPr>
          <w:rFonts w:hint="eastAsia" w:cs="Arial"/>
          <w:b/>
          <w:color w:val="auto"/>
          <w:sz w:val="48"/>
          <w:szCs w:val="48"/>
          <w:highlight w:val="none"/>
        </w:rPr>
        <w:t>政</w:t>
      </w:r>
      <w:r>
        <w:rPr>
          <w:rFonts w:cs="Arial"/>
          <w:b/>
          <w:color w:val="auto"/>
          <w:sz w:val="48"/>
          <w:szCs w:val="48"/>
          <w:highlight w:val="none"/>
        </w:rPr>
        <w:t xml:space="preserve"> </w:t>
      </w:r>
      <w:r>
        <w:rPr>
          <w:rFonts w:hint="eastAsia" w:cs="Arial"/>
          <w:b/>
          <w:color w:val="auto"/>
          <w:sz w:val="48"/>
          <w:szCs w:val="48"/>
          <w:highlight w:val="none"/>
        </w:rPr>
        <w:t>府</w:t>
      </w:r>
      <w:r>
        <w:rPr>
          <w:rFonts w:cs="Arial"/>
          <w:b/>
          <w:color w:val="auto"/>
          <w:sz w:val="48"/>
          <w:szCs w:val="48"/>
          <w:highlight w:val="none"/>
        </w:rPr>
        <w:t xml:space="preserve"> </w:t>
      </w:r>
      <w:r>
        <w:rPr>
          <w:rFonts w:hint="eastAsia" w:cs="Arial"/>
          <w:b/>
          <w:color w:val="auto"/>
          <w:sz w:val="48"/>
          <w:szCs w:val="48"/>
          <w:highlight w:val="none"/>
        </w:rPr>
        <w:t>采</w:t>
      </w:r>
      <w:r>
        <w:rPr>
          <w:rFonts w:cs="Arial"/>
          <w:b/>
          <w:color w:val="auto"/>
          <w:sz w:val="48"/>
          <w:szCs w:val="48"/>
          <w:highlight w:val="none"/>
        </w:rPr>
        <w:t xml:space="preserve"> </w:t>
      </w:r>
      <w:r>
        <w:rPr>
          <w:rFonts w:hint="eastAsia" w:cs="Arial"/>
          <w:b/>
          <w:color w:val="auto"/>
          <w:sz w:val="48"/>
          <w:szCs w:val="48"/>
          <w:highlight w:val="none"/>
        </w:rPr>
        <w:t>购</w:t>
      </w:r>
      <w:r>
        <w:rPr>
          <w:rFonts w:cs="Arial"/>
          <w:b/>
          <w:color w:val="auto"/>
          <w:sz w:val="48"/>
          <w:szCs w:val="48"/>
          <w:highlight w:val="none"/>
        </w:rPr>
        <w:t xml:space="preserve"> </w:t>
      </w:r>
      <w:r>
        <w:rPr>
          <w:rFonts w:hint="eastAsia" w:cs="Arial"/>
          <w:b/>
          <w:color w:val="auto"/>
          <w:sz w:val="48"/>
          <w:szCs w:val="48"/>
          <w:highlight w:val="none"/>
        </w:rPr>
        <w:t>合</w:t>
      </w:r>
      <w:r>
        <w:rPr>
          <w:rFonts w:cs="Arial"/>
          <w:b/>
          <w:color w:val="auto"/>
          <w:sz w:val="48"/>
          <w:szCs w:val="48"/>
          <w:highlight w:val="none"/>
        </w:rPr>
        <w:t xml:space="preserve"> </w:t>
      </w:r>
      <w:r>
        <w:rPr>
          <w:rFonts w:hint="eastAsia" w:cs="Arial"/>
          <w:b/>
          <w:color w:val="auto"/>
          <w:sz w:val="48"/>
          <w:szCs w:val="48"/>
          <w:highlight w:val="none"/>
        </w:rPr>
        <w:t>同</w:t>
      </w:r>
    </w:p>
    <w:p>
      <w:pPr>
        <w:pStyle w:val="39"/>
        <w:spacing w:line="360" w:lineRule="auto"/>
        <w:ind w:firstLine="562"/>
        <w:jc w:val="center"/>
        <w:rPr>
          <w:rFonts w:hint="eastAsia" w:cs="Arial"/>
          <w:b/>
          <w:color w:val="auto"/>
          <w:sz w:val="28"/>
          <w:szCs w:val="44"/>
          <w:highlight w:val="none"/>
        </w:rPr>
      </w:pPr>
    </w:p>
    <w:p>
      <w:pPr>
        <w:pStyle w:val="39"/>
        <w:spacing w:line="360" w:lineRule="auto"/>
        <w:ind w:firstLine="562"/>
        <w:jc w:val="center"/>
        <w:rPr>
          <w:rFonts w:hint="eastAsia" w:cs="Arial"/>
          <w:b/>
          <w:color w:val="auto"/>
          <w:sz w:val="28"/>
          <w:szCs w:val="44"/>
          <w:highlight w:val="none"/>
        </w:rPr>
      </w:pPr>
    </w:p>
    <w:p>
      <w:pPr>
        <w:pStyle w:val="39"/>
        <w:spacing w:line="360" w:lineRule="auto"/>
        <w:ind w:firstLine="562"/>
        <w:jc w:val="center"/>
        <w:rPr>
          <w:rFonts w:hint="eastAsia" w:cs="Arial"/>
          <w:b/>
          <w:color w:val="auto"/>
          <w:sz w:val="28"/>
          <w:szCs w:val="44"/>
          <w:highlight w:val="none"/>
        </w:rPr>
      </w:pPr>
    </w:p>
    <w:p>
      <w:pPr>
        <w:pStyle w:val="39"/>
        <w:spacing w:line="360" w:lineRule="auto"/>
        <w:ind w:firstLine="562"/>
        <w:jc w:val="center"/>
        <w:rPr>
          <w:rFonts w:hint="eastAsia" w:cs="Arial"/>
          <w:b/>
          <w:color w:val="auto"/>
          <w:sz w:val="28"/>
          <w:szCs w:val="44"/>
          <w:highlight w:val="none"/>
        </w:rPr>
      </w:pPr>
    </w:p>
    <w:p>
      <w:pPr>
        <w:pStyle w:val="39"/>
        <w:spacing w:line="360" w:lineRule="auto"/>
        <w:ind w:left="790" w:leftChars="376" w:firstLine="1053"/>
        <w:rPr>
          <w:rFonts w:hint="eastAsia" w:cs="Arial"/>
          <w:color w:val="auto"/>
          <w:sz w:val="28"/>
          <w:highlight w:val="none"/>
          <w:u w:val="single"/>
        </w:rPr>
      </w:pPr>
      <w:r>
        <w:rPr>
          <w:rFonts w:hint="eastAsia" w:cs="Arial"/>
          <w:color w:val="auto"/>
          <w:sz w:val="28"/>
          <w:highlight w:val="none"/>
        </w:rPr>
        <w:t>项目名称：</w:t>
      </w:r>
      <w:r>
        <w:rPr>
          <w:rFonts w:cs="Arial"/>
          <w:color w:val="auto"/>
          <w:sz w:val="28"/>
          <w:highlight w:val="none"/>
          <w:u w:val="single"/>
        </w:rPr>
        <w:t xml:space="preserve"> </w:t>
      </w:r>
      <w:r>
        <w:rPr>
          <w:rFonts w:hint="eastAsia" w:cs="Arial"/>
          <w:color w:val="auto"/>
          <w:sz w:val="28"/>
          <w:highlight w:val="none"/>
          <w:u w:val="single"/>
        </w:rPr>
        <w:t xml:space="preserve">                              </w:t>
      </w:r>
    </w:p>
    <w:p>
      <w:pPr>
        <w:pStyle w:val="39"/>
        <w:spacing w:line="360" w:lineRule="auto"/>
        <w:ind w:firstLine="1834" w:firstLineChars="655"/>
        <w:rPr>
          <w:rFonts w:hint="eastAsia" w:cs="Arial"/>
          <w:b/>
          <w:color w:val="auto"/>
          <w:sz w:val="28"/>
          <w:highlight w:val="none"/>
        </w:rPr>
      </w:pPr>
      <w:r>
        <w:rPr>
          <w:rFonts w:hint="eastAsia" w:cs="Arial"/>
          <w:color w:val="auto"/>
          <w:sz w:val="28"/>
          <w:highlight w:val="none"/>
        </w:rPr>
        <w:t>甲方（买方）：</w:t>
      </w:r>
      <w:r>
        <w:rPr>
          <w:rFonts w:hint="eastAsia" w:cs="Arial"/>
          <w:color w:val="auto"/>
          <w:sz w:val="28"/>
          <w:highlight w:val="none"/>
          <w:u w:val="single"/>
        </w:rPr>
        <w:t xml:space="preserve">                          </w:t>
      </w:r>
      <w:r>
        <w:rPr>
          <w:rFonts w:cs="Arial"/>
          <w:b/>
          <w:color w:val="auto"/>
          <w:sz w:val="28"/>
          <w:highlight w:val="none"/>
        </w:rPr>
        <w:t xml:space="preserve"> </w:t>
      </w:r>
    </w:p>
    <w:p>
      <w:pPr>
        <w:pStyle w:val="39"/>
        <w:spacing w:line="360" w:lineRule="auto"/>
        <w:ind w:firstLine="1834" w:firstLineChars="655"/>
        <w:rPr>
          <w:rFonts w:hint="eastAsia" w:cs="Arial"/>
          <w:color w:val="auto"/>
          <w:sz w:val="28"/>
          <w:highlight w:val="none"/>
          <w:u w:val="single"/>
        </w:rPr>
      </w:pPr>
      <w:r>
        <w:rPr>
          <w:rFonts w:hint="eastAsia" w:cs="Arial"/>
          <w:color w:val="auto"/>
          <w:sz w:val="28"/>
          <w:highlight w:val="none"/>
        </w:rPr>
        <w:t>乙方（卖方）：</w:t>
      </w:r>
      <w:r>
        <w:rPr>
          <w:rFonts w:cs="Arial"/>
          <w:color w:val="auto"/>
          <w:sz w:val="28"/>
          <w:highlight w:val="none"/>
          <w:u w:val="single"/>
        </w:rPr>
        <w:t xml:space="preserve">          </w:t>
      </w:r>
      <w:r>
        <w:rPr>
          <w:rFonts w:hint="eastAsia" w:cs="Arial"/>
          <w:color w:val="auto"/>
          <w:sz w:val="28"/>
          <w:highlight w:val="none"/>
          <w:u w:val="single"/>
        </w:rPr>
        <w:t xml:space="preserve"> </w:t>
      </w:r>
      <w:r>
        <w:rPr>
          <w:rFonts w:cs="Arial"/>
          <w:color w:val="auto"/>
          <w:sz w:val="28"/>
          <w:highlight w:val="none"/>
          <w:u w:val="single"/>
        </w:rPr>
        <w:t xml:space="preserve">               </w:t>
      </w:r>
    </w:p>
    <w:p>
      <w:pPr>
        <w:pStyle w:val="39"/>
        <w:spacing w:line="360" w:lineRule="auto"/>
        <w:ind w:firstLine="1053"/>
        <w:rPr>
          <w:rFonts w:hint="eastAsia" w:cs="Arial"/>
          <w:color w:val="auto"/>
          <w:sz w:val="28"/>
          <w:highlight w:val="none"/>
          <w:u w:val="single"/>
        </w:rPr>
      </w:pPr>
      <w:r>
        <w:rPr>
          <w:rFonts w:cs="Arial"/>
          <w:color w:val="auto"/>
          <w:sz w:val="28"/>
          <w:highlight w:val="none"/>
        </w:rPr>
        <w:t xml:space="preserve">      </w:t>
      </w:r>
      <w:r>
        <w:rPr>
          <w:rFonts w:hint="eastAsia" w:cs="Arial"/>
          <w:color w:val="auto"/>
          <w:sz w:val="28"/>
          <w:highlight w:val="none"/>
        </w:rPr>
        <w:t>签署日期：</w:t>
      </w:r>
      <w:r>
        <w:rPr>
          <w:rFonts w:cs="Arial"/>
          <w:color w:val="auto"/>
          <w:sz w:val="28"/>
          <w:highlight w:val="none"/>
          <w:u w:val="single"/>
        </w:rPr>
        <w:t xml:space="preserve">                </w:t>
      </w:r>
      <w:r>
        <w:rPr>
          <w:rFonts w:hint="eastAsia" w:cs="Arial"/>
          <w:color w:val="auto"/>
          <w:sz w:val="28"/>
          <w:highlight w:val="none"/>
          <w:u w:val="single"/>
        </w:rPr>
        <w:t xml:space="preserve"> </w:t>
      </w:r>
      <w:r>
        <w:rPr>
          <w:rFonts w:cs="Arial"/>
          <w:color w:val="auto"/>
          <w:sz w:val="28"/>
          <w:highlight w:val="none"/>
          <w:u w:val="single"/>
        </w:rPr>
        <w:t xml:space="preserve">             </w:t>
      </w:r>
    </w:p>
    <w:p>
      <w:pPr>
        <w:widowControl/>
        <w:spacing w:line="360" w:lineRule="auto"/>
        <w:rPr>
          <w:rFonts w:hint="eastAsia" w:ascii="宋体" w:hAnsi="宋体" w:cs="Arial"/>
          <w:b/>
          <w:color w:val="auto"/>
          <w:kern w:val="0"/>
          <w:sz w:val="28"/>
          <w:szCs w:val="44"/>
          <w:highlight w:val="none"/>
        </w:rPr>
        <w:sectPr>
          <w:footerReference r:id="rId8" w:type="default"/>
          <w:type w:val="continuous"/>
          <w:pgSz w:w="12240" w:h="15840"/>
          <w:pgMar w:top="1134" w:right="1134" w:bottom="1134" w:left="1134" w:header="720" w:footer="720" w:gutter="0"/>
          <w:cols w:space="720" w:num="1"/>
        </w:sectPr>
      </w:pPr>
    </w:p>
    <w:p>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政府采购合同</w:t>
      </w:r>
    </w:p>
    <w:p>
      <w:pPr>
        <w:tabs>
          <w:tab w:val="left" w:pos="5609"/>
        </w:tabs>
        <w:spacing w:line="360" w:lineRule="auto"/>
        <w:ind w:firstLine="720" w:firstLineChars="300"/>
        <w:jc w:val="left"/>
        <w:rPr>
          <w:rFonts w:cs="Arial"/>
          <w:color w:val="auto"/>
          <w:sz w:val="24"/>
          <w:highlight w:val="none"/>
          <w:u w:val="single"/>
        </w:rPr>
      </w:pP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u w:val="single"/>
        </w:rPr>
        <w:t xml:space="preserve">  </w:t>
      </w:r>
      <w:r>
        <w:rPr>
          <w:rFonts w:hint="eastAsia" w:cs="Arial"/>
          <w:color w:val="auto"/>
          <w:sz w:val="24"/>
          <w:highlight w:val="none"/>
        </w:rPr>
        <w:t>(买方)</w:t>
      </w:r>
      <w:r>
        <w:rPr>
          <w:rFonts w:hint="eastAsia" w:cs="Arial"/>
          <w:color w:val="auto"/>
          <w:sz w:val="24"/>
          <w:highlight w:val="none"/>
          <w:u w:val="single"/>
        </w:rPr>
        <w:t xml:space="preserve">                         </w:t>
      </w:r>
      <w:r>
        <w:rPr>
          <w:rFonts w:hint="eastAsia" w:cs="Arial"/>
          <w:color w:val="auto"/>
          <w:sz w:val="24"/>
          <w:highlight w:val="none"/>
        </w:rPr>
        <w:t>(项目名称)中所需</w:t>
      </w: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u w:val="single"/>
        </w:rPr>
        <w:t xml:space="preserve">  </w:t>
      </w:r>
      <w:r>
        <w:rPr>
          <w:rFonts w:hint="eastAsia" w:cs="Arial"/>
          <w:color w:val="auto"/>
          <w:sz w:val="24"/>
          <w:highlight w:val="none"/>
        </w:rPr>
        <w:t>(货物名称)经</w:t>
      </w: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u w:val="single"/>
        </w:rPr>
        <w:t xml:space="preserve">  </w:t>
      </w:r>
      <w:r>
        <w:rPr>
          <w:rFonts w:hint="eastAsia" w:cs="Arial"/>
          <w:color w:val="auto"/>
          <w:sz w:val="24"/>
          <w:highlight w:val="none"/>
        </w:rPr>
        <w:t>(采购人)以项目编号：</w:t>
      </w:r>
      <w:r>
        <w:rPr>
          <w:rFonts w:hint="eastAsia" w:cs="Arial"/>
          <w:color w:val="auto"/>
          <w:sz w:val="24"/>
          <w:highlight w:val="none"/>
          <w:u w:val="single"/>
        </w:rPr>
        <w:t xml:space="preserve">         </w:t>
      </w:r>
      <w:r>
        <w:rPr>
          <w:rFonts w:hint="eastAsia" w:cs="Arial"/>
          <w:color w:val="auto"/>
          <w:sz w:val="24"/>
          <w:highlight w:val="none"/>
        </w:rPr>
        <w:t>号在国内进行</w:t>
      </w:r>
      <w:r>
        <w:rPr>
          <w:rFonts w:hint="eastAsia" w:cs="Arial"/>
          <w:color w:val="auto"/>
          <w:sz w:val="24"/>
          <w:highlight w:val="none"/>
          <w:u w:val="single"/>
        </w:rPr>
        <w:t>公开招标</w:t>
      </w:r>
      <w:r>
        <w:rPr>
          <w:rFonts w:hint="eastAsia" w:cs="Arial"/>
          <w:color w:val="auto"/>
          <w:sz w:val="24"/>
          <w:highlight w:val="none"/>
        </w:rPr>
        <w:t>。经评标委员会评定</w:t>
      </w:r>
      <w:r>
        <w:rPr>
          <w:rFonts w:hint="eastAsia" w:cs="Arial"/>
          <w:color w:val="auto"/>
          <w:sz w:val="24"/>
          <w:highlight w:val="none"/>
          <w:u w:val="single"/>
        </w:rPr>
        <w:t xml:space="preserve"> 　              </w:t>
      </w:r>
      <w:r>
        <w:rPr>
          <w:rFonts w:cs="Arial"/>
          <w:color w:val="auto"/>
          <w:sz w:val="24"/>
          <w:highlight w:val="none"/>
          <w:u w:val="single"/>
        </w:rPr>
        <w:t xml:space="preserve">   </w:t>
      </w:r>
      <w:r>
        <w:rPr>
          <w:rFonts w:hint="eastAsia" w:cs="Arial"/>
          <w:color w:val="auto"/>
          <w:sz w:val="24"/>
          <w:highlight w:val="none"/>
        </w:rPr>
        <w:t>(卖方)为中标人。买、卖双方依据《中华人民共和国政府采购法》、《中华人民共和国民法典》，在平等自愿的基础上，同意按照下面的条款和条件，签署本合同。</w:t>
      </w:r>
    </w:p>
    <w:p>
      <w:pPr>
        <w:numPr>
          <w:ilvl w:val="1"/>
          <w:numId w:val="13"/>
        </w:numPr>
        <w:spacing w:after="16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合同文件</w:t>
      </w:r>
      <w:r>
        <w:rPr>
          <w:rFonts w:ascii="宋体" w:hAnsi="宋体"/>
          <w:b/>
          <w:color w:val="auto"/>
          <w:sz w:val="24"/>
          <w:highlight w:val="none"/>
        </w:rPr>
        <w:t xml:space="preserve"> </w:t>
      </w:r>
    </w:p>
    <w:p>
      <w:pPr>
        <w:pStyle w:val="39"/>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下列文件构成本合同的组成部分，应该认为是一个整体，彼此相互解释，相互补充。组成合同的多个文件的优先支配地位的次序如下：</w:t>
      </w:r>
    </w:p>
    <w:p>
      <w:pPr>
        <w:pStyle w:val="39"/>
        <w:numPr>
          <w:ilvl w:val="0"/>
          <w:numId w:val="14"/>
        </w:numPr>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本合同书　</w:t>
      </w:r>
    </w:p>
    <w:p>
      <w:pPr>
        <w:pStyle w:val="39"/>
        <w:numPr>
          <w:ilvl w:val="0"/>
          <w:numId w:val="14"/>
        </w:numPr>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中标通知书</w:t>
      </w:r>
      <w:r>
        <w:rPr>
          <w:rFonts w:hint="eastAsia" w:cs="Arial"/>
          <w:color w:val="auto"/>
          <w:highlight w:val="none"/>
        </w:rPr>
        <w:tab/>
      </w:r>
    </w:p>
    <w:p>
      <w:pPr>
        <w:pStyle w:val="39"/>
        <w:numPr>
          <w:ilvl w:val="0"/>
          <w:numId w:val="14"/>
        </w:numPr>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合同补充协议</w:t>
      </w:r>
      <w:r>
        <w:rPr>
          <w:rFonts w:hint="eastAsia" w:cs="Arial"/>
          <w:color w:val="auto"/>
          <w:highlight w:val="none"/>
        </w:rPr>
        <w:tab/>
      </w:r>
      <w:r>
        <w:rPr>
          <w:rFonts w:hint="eastAsia" w:cs="Arial"/>
          <w:color w:val="auto"/>
          <w:highlight w:val="none"/>
        </w:rPr>
        <w:tab/>
      </w:r>
      <w:r>
        <w:rPr>
          <w:rFonts w:hint="eastAsia" w:cs="Arial"/>
          <w:color w:val="auto"/>
          <w:highlight w:val="none"/>
        </w:rPr>
        <w:tab/>
      </w:r>
      <w:r>
        <w:rPr>
          <w:rFonts w:hint="eastAsia" w:cs="Arial"/>
          <w:color w:val="auto"/>
          <w:highlight w:val="none"/>
        </w:rPr>
        <w:tab/>
      </w:r>
    </w:p>
    <w:p>
      <w:pPr>
        <w:pStyle w:val="39"/>
        <w:numPr>
          <w:ilvl w:val="0"/>
          <w:numId w:val="14"/>
        </w:numPr>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投标文件 (含澄清文件)</w:t>
      </w:r>
    </w:p>
    <w:p>
      <w:pPr>
        <w:pStyle w:val="39"/>
        <w:numPr>
          <w:ilvl w:val="0"/>
          <w:numId w:val="14"/>
        </w:numPr>
        <w:spacing w:before="0" w:beforeAutospacing="0" w:after="0" w:afterAutospacing="0" w:line="360" w:lineRule="auto"/>
        <w:ind w:firstLine="480" w:firstLineChars="200"/>
        <w:rPr>
          <w:rFonts w:hint="eastAsia" w:cs="Arial"/>
          <w:color w:val="auto"/>
          <w:highlight w:val="none"/>
        </w:rPr>
      </w:pPr>
      <w:r>
        <w:rPr>
          <w:rFonts w:hint="eastAsia" w:cs="Arial"/>
          <w:color w:val="auto"/>
          <w:highlight w:val="none"/>
        </w:rPr>
        <w:t>招标文件 (含招标文件补充通知)</w:t>
      </w:r>
    </w:p>
    <w:p>
      <w:pPr>
        <w:pStyle w:val="39"/>
        <w:spacing w:before="0" w:beforeAutospacing="0" w:after="0" w:afterAutospacing="0" w:line="360" w:lineRule="auto"/>
        <w:ind w:left="420"/>
        <w:rPr>
          <w:rFonts w:hint="eastAsia" w:cs="Arial"/>
          <w:color w:val="auto"/>
          <w:highlight w:val="none"/>
        </w:rPr>
      </w:pPr>
      <w:r>
        <w:rPr>
          <w:rFonts w:hint="eastAsia" w:cs="Arial"/>
          <w:color w:val="auto"/>
          <w:highlight w:val="none"/>
        </w:rPr>
        <w:t>注：本项目的招标文件和卖方的投标文件，视为本合同不可分割的组成部分，与本合同具有同等法律效力。</w:t>
      </w:r>
    </w:p>
    <w:p>
      <w:pPr>
        <w:numPr>
          <w:ilvl w:val="1"/>
          <w:numId w:val="13"/>
        </w:numPr>
        <w:spacing w:after="16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合同总价</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本合同总价为</w:t>
      </w:r>
      <w:r>
        <w:rPr>
          <w:rFonts w:hint="eastAsia" w:ascii="宋体" w:hAnsi="宋体"/>
          <w:color w:val="auto"/>
          <w:sz w:val="24"/>
          <w:highlight w:val="none"/>
          <w:u w:val="single"/>
        </w:rPr>
        <w:t xml:space="preserve">    　        　   </w:t>
      </w:r>
      <w:r>
        <w:rPr>
          <w:rFonts w:hint="eastAsia" w:ascii="宋体" w:hAnsi="宋体"/>
          <w:color w:val="auto"/>
          <w:sz w:val="24"/>
          <w:highlight w:val="none"/>
        </w:rPr>
        <w:t>元人民币。采购分项报价参见卖方投标文件。</w:t>
      </w:r>
    </w:p>
    <w:p>
      <w:pPr>
        <w:numPr>
          <w:ilvl w:val="1"/>
          <w:numId w:val="13"/>
        </w:numPr>
        <w:spacing w:after="16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付款方式</w:t>
      </w:r>
    </w:p>
    <w:p>
      <w:pPr>
        <w:snapToGrid w:val="0"/>
        <w:spacing w:line="360" w:lineRule="auto"/>
        <w:ind w:firstLine="481"/>
        <w:rPr>
          <w:rFonts w:hint="eastAsia" w:ascii="宋体" w:hAnsi="宋体"/>
          <w:color w:val="auto"/>
          <w:sz w:val="24"/>
          <w:highlight w:val="none"/>
        </w:rPr>
      </w:pPr>
      <w:r>
        <w:rPr>
          <w:rFonts w:ascii="宋体" w:hAnsi="宋体"/>
          <w:color w:val="auto"/>
          <w:sz w:val="24"/>
          <w:highlight w:val="none"/>
        </w:rPr>
        <w:t>本合同的付款方式为：</w:t>
      </w:r>
    </w:p>
    <w:p>
      <w:pPr>
        <w:pStyle w:val="101"/>
        <w:numPr>
          <w:ilvl w:val="0"/>
          <w:numId w:val="15"/>
        </w:numPr>
        <w:snapToGrid w:val="0"/>
        <w:spacing w:after="160" w:line="360" w:lineRule="auto"/>
        <w:ind w:firstLineChars="0"/>
        <w:rPr>
          <w:rFonts w:hint="eastAsia" w:ascii="宋体" w:hAnsi="宋体"/>
          <w:color w:val="auto"/>
          <w:sz w:val="24"/>
          <w:highlight w:val="none"/>
        </w:rPr>
      </w:pPr>
      <w:bookmarkStart w:id="939" w:name="_Hlk129095274"/>
      <w:r>
        <w:rPr>
          <w:rFonts w:hint="eastAsia" w:ascii="宋体" w:hAnsi="宋体"/>
          <w:color w:val="auto"/>
          <w:sz w:val="24"/>
          <w:highlight w:val="none"/>
        </w:rPr>
        <w:t>本项目合同总金额为:￥</w:t>
      </w:r>
      <w:r>
        <w:rPr>
          <w:rFonts w:ascii="宋体" w:hAnsi="宋体"/>
          <w:color w:val="auto"/>
          <w:sz w:val="24"/>
          <w:highlight w:val="none"/>
          <w:u w:val="single"/>
        </w:rPr>
        <w:t xml:space="preserve">          </w:t>
      </w:r>
      <w:r>
        <w:rPr>
          <w:rFonts w:hint="eastAsia" w:ascii="宋体" w:hAnsi="宋体"/>
          <w:color w:val="auto"/>
          <w:sz w:val="24"/>
          <w:highlight w:val="none"/>
        </w:rPr>
        <w:t xml:space="preserve">元(人民币大写: </w:t>
      </w:r>
      <w:r>
        <w:rPr>
          <w:rFonts w:ascii="宋体" w:hAnsi="宋体"/>
          <w:color w:val="auto"/>
          <w:sz w:val="24"/>
          <w:highlight w:val="none"/>
          <w:u w:val="single"/>
        </w:rPr>
        <w:t xml:space="preserve">                       </w:t>
      </w:r>
      <w:r>
        <w:rPr>
          <w:rFonts w:hint="eastAsia" w:ascii="宋体" w:hAnsi="宋体"/>
          <w:color w:val="auto"/>
          <w:sz w:val="24"/>
          <w:highlight w:val="none"/>
        </w:rPr>
        <w:t>)。</w:t>
      </w:r>
      <w:r>
        <w:rPr>
          <w:rFonts w:ascii="宋体" w:hAnsi="宋体"/>
          <w:color w:val="auto"/>
          <w:sz w:val="24"/>
          <w:highlight w:val="none"/>
        </w:rPr>
        <w:t xml:space="preserve"> </w:t>
      </w:r>
    </w:p>
    <w:bookmarkEnd w:id="939"/>
    <w:p>
      <w:pPr>
        <w:pStyle w:val="101"/>
        <w:numPr>
          <w:ilvl w:val="0"/>
          <w:numId w:val="15"/>
        </w:numPr>
        <w:snapToGrid w:val="0"/>
        <w:spacing w:after="160" w:line="360" w:lineRule="auto"/>
        <w:ind w:firstLineChars="0"/>
        <w:rPr>
          <w:rFonts w:hint="eastAsia" w:ascii="宋体" w:hAnsi="宋体"/>
          <w:color w:val="auto"/>
          <w:sz w:val="24"/>
          <w:highlight w:val="none"/>
        </w:rPr>
      </w:pPr>
      <w:r>
        <w:rPr>
          <w:rFonts w:hint="eastAsia" w:ascii="宋体" w:hAnsi="宋体"/>
          <w:bCs/>
          <w:color w:val="auto"/>
          <w:sz w:val="24"/>
          <w:highlight w:val="none"/>
          <w:u w:val="none"/>
        </w:rPr>
        <w:t>签订合同</w:t>
      </w:r>
      <w:r>
        <w:rPr>
          <w:rFonts w:hint="eastAsia" w:ascii="宋体" w:hAnsi="宋体"/>
          <w:bCs/>
          <w:color w:val="auto"/>
          <w:sz w:val="24"/>
          <w:highlight w:val="none"/>
          <w:u w:val="none"/>
          <w:lang w:eastAsia="zh-CN"/>
        </w:rPr>
        <w:t>后，</w:t>
      </w:r>
      <w:r>
        <w:rPr>
          <w:rFonts w:hint="eastAsia" w:ascii="宋体" w:hAnsi="宋体"/>
          <w:bCs/>
          <w:color w:val="auto"/>
          <w:sz w:val="24"/>
          <w:highlight w:val="none"/>
          <w:u w:val="none"/>
        </w:rPr>
        <w:t>采购人向供应商支付</w:t>
      </w:r>
      <w:r>
        <w:rPr>
          <w:rFonts w:hint="eastAsia" w:ascii="宋体" w:hAnsi="宋体"/>
          <w:bCs/>
          <w:color w:val="auto"/>
          <w:sz w:val="24"/>
          <w:highlight w:val="none"/>
          <w:u w:val="none"/>
          <w:lang w:val="en-US" w:eastAsia="zh-CN"/>
        </w:rPr>
        <w:t>30%</w:t>
      </w:r>
      <w:r>
        <w:rPr>
          <w:rFonts w:hint="eastAsia" w:ascii="宋体" w:hAnsi="宋体"/>
          <w:bCs/>
          <w:color w:val="auto"/>
          <w:sz w:val="24"/>
          <w:highlight w:val="none"/>
          <w:u w:val="none"/>
        </w:rPr>
        <w:t>合同金额</w:t>
      </w:r>
      <w:r>
        <w:rPr>
          <w:rFonts w:hint="eastAsia" w:ascii="宋体" w:hAnsi="宋体"/>
          <w:bCs/>
          <w:color w:val="auto"/>
          <w:sz w:val="24"/>
          <w:highlight w:val="none"/>
          <w:u w:val="none"/>
          <w:lang w:val="en-US" w:eastAsia="zh-CN"/>
        </w:rPr>
        <w:t>作为预付款，</w:t>
      </w:r>
      <w:r>
        <w:rPr>
          <w:rFonts w:hint="eastAsia" w:ascii="宋体" w:hAnsi="宋体"/>
          <w:bCs/>
          <w:color w:val="auto"/>
          <w:sz w:val="24"/>
          <w:highlight w:val="none"/>
          <w:u w:val="none"/>
        </w:rPr>
        <w:t>完成设备供货</w:t>
      </w:r>
      <w:r>
        <w:rPr>
          <w:rFonts w:hint="eastAsia" w:ascii="宋体" w:hAnsi="宋体"/>
          <w:bCs/>
          <w:color w:val="auto"/>
          <w:sz w:val="24"/>
          <w:highlight w:val="none"/>
          <w:u w:val="none"/>
          <w:lang w:eastAsia="zh-CN"/>
        </w:rPr>
        <w:t>和</w:t>
      </w:r>
      <w:r>
        <w:rPr>
          <w:rFonts w:hint="eastAsia" w:ascii="宋体" w:hAnsi="宋体"/>
          <w:bCs/>
          <w:color w:val="auto"/>
          <w:sz w:val="24"/>
          <w:highlight w:val="none"/>
          <w:u w:val="none"/>
        </w:rPr>
        <w:t>安装后，支付</w:t>
      </w:r>
      <w:r>
        <w:rPr>
          <w:rFonts w:hint="eastAsia" w:ascii="宋体" w:hAnsi="宋体"/>
          <w:bCs/>
          <w:color w:val="auto"/>
          <w:sz w:val="24"/>
          <w:highlight w:val="none"/>
          <w:u w:val="none"/>
          <w:lang w:eastAsia="zh-CN"/>
        </w:rPr>
        <w:t>至</w:t>
      </w:r>
      <w:r>
        <w:rPr>
          <w:rFonts w:hint="eastAsia" w:ascii="宋体" w:hAnsi="宋体"/>
          <w:bCs/>
          <w:color w:val="auto"/>
          <w:sz w:val="24"/>
          <w:highlight w:val="none"/>
          <w:u w:val="none"/>
        </w:rPr>
        <w:t>合同总金额</w:t>
      </w:r>
      <w:r>
        <w:rPr>
          <w:rFonts w:hint="eastAsia" w:ascii="宋体" w:hAnsi="宋体"/>
          <w:bCs/>
          <w:color w:val="auto"/>
          <w:sz w:val="24"/>
          <w:highlight w:val="none"/>
          <w:u w:val="none"/>
          <w:lang w:eastAsia="zh-CN"/>
        </w:rPr>
        <w:t>的</w:t>
      </w:r>
      <w:r>
        <w:rPr>
          <w:rFonts w:hint="eastAsia" w:ascii="宋体" w:hAnsi="宋体"/>
          <w:bCs/>
          <w:color w:val="auto"/>
          <w:sz w:val="24"/>
          <w:highlight w:val="none"/>
          <w:u w:val="none"/>
          <w:lang w:val="en-US" w:eastAsia="zh-CN"/>
        </w:rPr>
        <w:t>60%，</w:t>
      </w:r>
      <w:r>
        <w:rPr>
          <w:rFonts w:hint="eastAsia" w:ascii="宋体" w:hAnsi="宋体"/>
          <w:bCs/>
          <w:color w:val="auto"/>
          <w:sz w:val="24"/>
          <w:highlight w:val="none"/>
          <w:u w:val="none"/>
        </w:rPr>
        <w:t>验收合格</w:t>
      </w:r>
      <w:r>
        <w:rPr>
          <w:rFonts w:hint="eastAsia" w:ascii="宋体" w:hAnsi="宋体"/>
          <w:bCs/>
          <w:color w:val="auto"/>
          <w:sz w:val="24"/>
          <w:highlight w:val="none"/>
          <w:u w:val="none"/>
          <w:lang w:val="en-US" w:eastAsia="zh-CN"/>
        </w:rPr>
        <w:t>且资金到位后支付至合同金额的100%。</w:t>
      </w:r>
      <w:r>
        <w:rPr>
          <w:rFonts w:hint="eastAsia" w:ascii="宋体" w:hAnsi="宋体"/>
          <w:color w:val="auto"/>
          <w:sz w:val="24"/>
          <w:highlight w:val="none"/>
        </w:rPr>
        <w:t>注:付款前按买方要求开具正规增值税发票。</w:t>
      </w:r>
    </w:p>
    <w:p>
      <w:pPr>
        <w:pStyle w:val="101"/>
        <w:snapToGrid w:val="0"/>
        <w:spacing w:line="360" w:lineRule="auto"/>
        <w:ind w:left="1201" w:firstLine="0" w:firstLineChars="0"/>
        <w:rPr>
          <w:rFonts w:hint="eastAsia" w:ascii="宋体" w:hAnsi="宋体"/>
          <w:color w:val="auto"/>
          <w:sz w:val="24"/>
          <w:highlight w:val="none"/>
        </w:rPr>
      </w:pPr>
      <w:r>
        <w:rPr>
          <w:rFonts w:hint="eastAsia" w:ascii="宋体" w:hAnsi="宋体"/>
          <w:color w:val="auto"/>
          <w:sz w:val="24"/>
          <w:highlight w:val="none"/>
        </w:rPr>
        <w:t>双方确认:本合同资金来源为财政资金，如因财政资金未拨付到位导致的迟延付款，付款期限顺延，买方不构成违约。如本合同结算前被纳入财政评审范围，双方同意以财政评审的结果作为最终结算金额。</w:t>
      </w:r>
    </w:p>
    <w:p>
      <w:pPr>
        <w:spacing w:line="360" w:lineRule="auto"/>
        <w:rPr>
          <w:rFonts w:hint="eastAsia" w:ascii="宋体" w:hAnsi="宋体"/>
          <w:color w:val="auto"/>
          <w:sz w:val="24"/>
          <w:highlight w:val="none"/>
          <w:u w:val="single"/>
        </w:rPr>
      </w:pPr>
      <w:r>
        <w:rPr>
          <w:rFonts w:hint="eastAsia" w:ascii="宋体" w:hAnsi="宋体"/>
          <w:color w:val="auto"/>
          <w:sz w:val="24"/>
          <w:highlight w:val="none"/>
        </w:rPr>
        <w:t xml:space="preserve">  （1）供货及安装时间： </w:t>
      </w:r>
      <w:r>
        <w:rPr>
          <w:rFonts w:hint="eastAsia" w:ascii="宋体" w:hAnsi="宋体"/>
          <w:color w:val="auto"/>
          <w:sz w:val="24"/>
          <w:highlight w:val="none"/>
          <w:u w:val="single"/>
        </w:rPr>
        <w:t xml:space="preserve">    买方指定            </w:t>
      </w:r>
    </w:p>
    <w:p>
      <w:pPr>
        <w:spacing w:line="360" w:lineRule="auto"/>
        <w:ind w:firstLine="240" w:firstLineChars="100"/>
        <w:rPr>
          <w:rFonts w:hint="eastAsia" w:ascii="宋体" w:hAnsi="宋体"/>
          <w:color w:val="auto"/>
          <w:sz w:val="24"/>
          <w:highlight w:val="none"/>
        </w:rPr>
      </w:pPr>
      <w:r>
        <w:rPr>
          <w:rFonts w:hint="eastAsia" w:ascii="宋体" w:hAnsi="宋体"/>
          <w:color w:val="auto"/>
          <w:sz w:val="24"/>
          <w:highlight w:val="none"/>
        </w:rPr>
        <w:t>（2）交货、安装及验收地点：用户指定。</w:t>
      </w:r>
    </w:p>
    <w:p>
      <w:pPr>
        <w:spacing w:line="360" w:lineRule="auto"/>
        <w:ind w:firstLine="240" w:firstLineChars="100"/>
        <w:rPr>
          <w:rFonts w:hint="eastAsia" w:ascii="宋体" w:hAnsi="宋体"/>
          <w:color w:val="auto"/>
          <w:sz w:val="24"/>
          <w:highlight w:val="none"/>
        </w:rPr>
      </w:pPr>
      <w:r>
        <w:rPr>
          <w:rFonts w:hint="eastAsia" w:ascii="宋体" w:hAnsi="宋体"/>
          <w:color w:val="auto"/>
          <w:sz w:val="24"/>
          <w:highlight w:val="none"/>
        </w:rPr>
        <w:t>（3）质保期：</w:t>
      </w:r>
      <w:r>
        <w:rPr>
          <w:rFonts w:hint="eastAsia" w:ascii="宋体" w:hAnsi="宋体"/>
          <w:color w:val="auto"/>
          <w:sz w:val="24"/>
          <w:highlight w:val="none"/>
          <w:u w:val="single"/>
        </w:rPr>
        <w:t xml:space="preserve">     质量保证期限为6年。       </w:t>
      </w:r>
    </w:p>
    <w:p>
      <w:pPr>
        <w:spacing w:line="360" w:lineRule="auto"/>
        <w:ind w:firstLine="240" w:firstLineChars="100"/>
        <w:rPr>
          <w:rFonts w:hint="eastAsia"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）验收：</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numPr>
          <w:ilvl w:val="1"/>
          <w:numId w:val="13"/>
        </w:numPr>
        <w:spacing w:after="16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本合同</w:t>
      </w:r>
      <w:r>
        <w:rPr>
          <w:rFonts w:ascii="宋体" w:hAnsi="宋体"/>
          <w:b/>
          <w:color w:val="auto"/>
          <w:sz w:val="24"/>
          <w:highlight w:val="none"/>
        </w:rPr>
        <w:t xml:space="preserve">货物的交货时间及交货地点 </w:t>
      </w:r>
    </w:p>
    <w:p>
      <w:pPr>
        <w:snapToGrid w:val="0"/>
        <w:spacing w:line="360" w:lineRule="auto"/>
        <w:ind w:left="1620" w:leftChars="200" w:hanging="1200" w:hangingChars="500"/>
        <w:rPr>
          <w:rFonts w:hint="eastAsia" w:ascii="宋体" w:hAnsi="宋体"/>
          <w:color w:val="auto"/>
          <w:sz w:val="24"/>
          <w:highlight w:val="none"/>
        </w:rPr>
      </w:pPr>
      <w:r>
        <w:rPr>
          <w:rFonts w:ascii="宋体" w:hAnsi="宋体"/>
          <w:color w:val="auto"/>
          <w:sz w:val="24"/>
          <w:highlight w:val="none"/>
        </w:rPr>
        <w:t>供货及安装时间：</w:t>
      </w:r>
      <w:r>
        <w:rPr>
          <w:rFonts w:hint="eastAsia" w:ascii="宋体" w:hAnsi="宋体"/>
          <w:color w:val="auto"/>
          <w:sz w:val="24"/>
          <w:highlight w:val="none"/>
          <w:u w:val="single"/>
        </w:rPr>
        <w:t xml:space="preserve">  参见卖方投标文件  </w:t>
      </w:r>
      <w:r>
        <w:rPr>
          <w:rFonts w:ascii="宋体" w:hAnsi="宋体"/>
          <w:color w:val="auto"/>
          <w:sz w:val="24"/>
          <w:highlight w:val="none"/>
        </w:rPr>
        <w:t xml:space="preserve"> </w:t>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交货地点：</w:t>
      </w:r>
      <w:r>
        <w:rPr>
          <w:rFonts w:ascii="宋体" w:hAnsi="宋体"/>
          <w:color w:val="auto"/>
          <w:sz w:val="24"/>
          <w:highlight w:val="none"/>
          <w:u w:val="single"/>
        </w:rPr>
        <w:t>　</w:t>
      </w:r>
      <w:r>
        <w:rPr>
          <w:rFonts w:hint="eastAsia" w:ascii="宋体" w:hAnsi="宋体"/>
          <w:color w:val="auto"/>
          <w:sz w:val="24"/>
          <w:highlight w:val="none"/>
          <w:u w:val="single"/>
        </w:rPr>
        <w:t>买方</w:t>
      </w:r>
      <w:r>
        <w:rPr>
          <w:rFonts w:ascii="宋体" w:hAnsi="宋体"/>
          <w:color w:val="auto"/>
          <w:sz w:val="24"/>
          <w:highlight w:val="none"/>
          <w:u w:val="single"/>
        </w:rPr>
        <w:t>指定地点　</w:t>
      </w:r>
    </w:p>
    <w:p>
      <w:pPr>
        <w:numPr>
          <w:ilvl w:val="1"/>
          <w:numId w:val="13"/>
        </w:numPr>
        <w:spacing w:after="160" w:line="360" w:lineRule="auto"/>
        <w:ind w:left="0" w:firstLine="0"/>
        <w:jc w:val="left"/>
        <w:rPr>
          <w:rFonts w:hint="eastAsia" w:ascii="宋体" w:hAnsi="宋体"/>
          <w:b/>
          <w:color w:val="auto"/>
          <w:sz w:val="24"/>
          <w:highlight w:val="none"/>
        </w:rPr>
      </w:pPr>
      <w:r>
        <w:rPr>
          <w:rFonts w:hint="eastAsia" w:ascii="宋体" w:hAnsi="宋体"/>
          <w:b/>
          <w:color w:val="auto"/>
          <w:sz w:val="24"/>
          <w:highlight w:val="none"/>
        </w:rPr>
        <w:t>合同</w:t>
      </w:r>
      <w:r>
        <w:rPr>
          <w:rFonts w:ascii="宋体" w:hAnsi="宋体"/>
          <w:b/>
          <w:color w:val="auto"/>
          <w:sz w:val="24"/>
          <w:highlight w:val="none"/>
        </w:rPr>
        <w:t>的</w:t>
      </w:r>
      <w:r>
        <w:rPr>
          <w:rFonts w:hint="eastAsia" w:ascii="宋体" w:hAnsi="宋体"/>
          <w:b/>
          <w:color w:val="auto"/>
          <w:sz w:val="24"/>
          <w:highlight w:val="none"/>
        </w:rPr>
        <w:t>生效</w:t>
      </w:r>
      <w:r>
        <w:rPr>
          <w:rFonts w:ascii="宋体" w:hAnsi="宋体"/>
          <w:b/>
          <w:color w:val="auto"/>
          <w:sz w:val="24"/>
          <w:highlight w:val="none"/>
        </w:rPr>
        <w:tab/>
      </w:r>
    </w:p>
    <w:p>
      <w:pPr>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本合同经双方全权代表签署、加盖单位印章并由卖方递交履约保证金后生效。</w:t>
      </w:r>
    </w:p>
    <w:p>
      <w:pPr>
        <w:snapToGrid w:val="0"/>
        <w:spacing w:line="360" w:lineRule="auto"/>
        <w:rPr>
          <w:rFonts w:hint="eastAsia" w:ascii="宋体" w:hAnsi="宋体"/>
          <w:color w:val="auto"/>
          <w:sz w:val="24"/>
          <w:highlight w:val="none"/>
        </w:rPr>
      </w:pPr>
    </w:p>
    <w:p>
      <w:pPr>
        <w:snapToGrid w:val="0"/>
        <w:spacing w:line="360" w:lineRule="auto"/>
        <w:rPr>
          <w:rFonts w:hint="eastAsia" w:ascii="宋体" w:hAnsi="宋体"/>
          <w:color w:val="auto"/>
          <w:sz w:val="24"/>
          <w:highlight w:val="none"/>
        </w:rPr>
      </w:pPr>
    </w:p>
    <w:p>
      <w:pPr>
        <w:snapToGrid w:val="0"/>
        <w:spacing w:line="360" w:lineRule="auto"/>
        <w:rPr>
          <w:rFonts w:hint="eastAsia" w:ascii="宋体" w:hAnsi="宋体"/>
          <w:color w:val="auto"/>
          <w:sz w:val="24"/>
          <w:highlight w:val="none"/>
          <w:u w:val="single"/>
        </w:rPr>
      </w:pPr>
      <w:r>
        <w:rPr>
          <w:rFonts w:ascii="宋体" w:hAnsi="宋体"/>
          <w:color w:val="auto"/>
          <w:sz w:val="24"/>
          <w:highlight w:val="none"/>
        </w:rPr>
        <w:t>买方</w:t>
      </w:r>
      <w:r>
        <w:rPr>
          <w:rFonts w:hint="eastAsia" w:ascii="宋体" w:hAnsi="宋体"/>
          <w:color w:val="auto"/>
          <w:sz w:val="24"/>
          <w:highlight w:val="none"/>
        </w:rPr>
        <w:t>（</w:t>
      </w:r>
      <w:r>
        <w:rPr>
          <w:rFonts w:ascii="宋体" w:hAnsi="宋体"/>
          <w:color w:val="auto"/>
          <w:sz w:val="24"/>
          <w:highlight w:val="none"/>
        </w:rPr>
        <w:t>名称</w:t>
      </w:r>
      <w:r>
        <w:rPr>
          <w:rFonts w:hint="eastAsia" w:ascii="宋体" w:hAnsi="宋体"/>
          <w:color w:val="auto"/>
          <w:sz w:val="24"/>
          <w:highlight w:val="none"/>
        </w:rPr>
        <w:t>）</w:t>
      </w:r>
      <w:r>
        <w:rPr>
          <w:rFonts w:ascii="宋体" w:hAnsi="宋体"/>
          <w:color w:val="auto"/>
          <w:sz w:val="24"/>
          <w:highlight w:val="none"/>
        </w:rPr>
        <w:t>：</w:t>
      </w:r>
      <w:r>
        <w:rPr>
          <w:rFonts w:hint="eastAsia" w:ascii="宋体" w:hAnsi="宋体"/>
          <w:color w:val="auto"/>
          <w:sz w:val="24"/>
          <w:highlight w:val="none"/>
          <w:u w:val="single"/>
        </w:rPr>
        <w:t xml:space="preserve">                   </w:t>
      </w:r>
      <w:r>
        <w:rPr>
          <w:rFonts w:ascii="宋体" w:hAnsi="宋体"/>
          <w:color w:val="auto"/>
          <w:sz w:val="24"/>
          <w:highlight w:val="none"/>
        </w:rPr>
        <w:t xml:space="preserve"> (印章)  卖方</w:t>
      </w:r>
      <w:r>
        <w:rPr>
          <w:rFonts w:hint="eastAsia" w:ascii="宋体" w:hAnsi="宋体"/>
          <w:color w:val="auto"/>
          <w:sz w:val="24"/>
          <w:highlight w:val="none"/>
        </w:rPr>
        <w:t>（</w:t>
      </w:r>
      <w:r>
        <w:rPr>
          <w:rFonts w:ascii="宋体" w:hAnsi="宋体"/>
          <w:color w:val="auto"/>
          <w:sz w:val="24"/>
          <w:highlight w:val="none"/>
        </w:rPr>
        <w:t>名称</w:t>
      </w:r>
      <w:r>
        <w:rPr>
          <w:rFonts w:hint="eastAsia" w:ascii="宋体" w:hAnsi="宋体"/>
          <w:color w:val="auto"/>
          <w:sz w:val="24"/>
          <w:highlight w:val="none"/>
        </w:rPr>
        <w:t>）</w:t>
      </w:r>
      <w:r>
        <w:rPr>
          <w:rFonts w:ascii="宋体" w:hAnsi="宋体"/>
          <w:color w:val="auto"/>
          <w:sz w:val="24"/>
          <w:highlight w:val="none"/>
        </w:rPr>
        <w:t>：</w:t>
      </w:r>
      <w:r>
        <w:rPr>
          <w:rFonts w:ascii="宋体" w:hAnsi="宋体"/>
          <w:color w:val="auto"/>
          <w:sz w:val="24"/>
          <w:highlight w:val="none"/>
          <w:u w:val="single"/>
        </w:rPr>
        <w:t xml:space="preserve">          </w:t>
      </w:r>
      <w:r>
        <w:rPr>
          <w:rFonts w:ascii="宋体" w:hAnsi="宋体"/>
          <w:color w:val="auto"/>
          <w:sz w:val="24"/>
          <w:highlight w:val="none"/>
        </w:rPr>
        <w:t>(印章)</w:t>
      </w:r>
    </w:p>
    <w:p>
      <w:pPr>
        <w:snapToGrid w:val="0"/>
        <w:spacing w:line="360" w:lineRule="auto"/>
        <w:rPr>
          <w:rFonts w:hint="eastAsia" w:ascii="宋体" w:hAnsi="宋体"/>
          <w:color w:val="auto"/>
          <w:sz w:val="24"/>
          <w:highlight w:val="none"/>
        </w:rPr>
      </w:pPr>
      <w:r>
        <w:rPr>
          <w:rFonts w:hint="eastAsia" w:ascii="宋体" w:hAnsi="宋体"/>
          <w:color w:val="auto"/>
          <w:sz w:val="24"/>
          <w:highlight w:val="none"/>
        </w:rPr>
        <w:t>法人或</w:t>
      </w:r>
      <w:r>
        <w:rPr>
          <w:rFonts w:ascii="宋体" w:hAnsi="宋体"/>
          <w:color w:val="auto"/>
          <w:sz w:val="24"/>
          <w:highlight w:val="none"/>
        </w:rPr>
        <w:t>授权代表(签字)：</w:t>
      </w:r>
      <w:r>
        <w:rPr>
          <w:rFonts w:ascii="宋体" w:hAnsi="宋体"/>
          <w:color w:val="auto"/>
          <w:sz w:val="24"/>
          <w:highlight w:val="none"/>
          <w:u w:val="single"/>
        </w:rPr>
        <w:t xml:space="preserve">          </w:t>
      </w:r>
      <w:r>
        <w:rPr>
          <w:rFonts w:ascii="宋体" w:hAnsi="宋体"/>
          <w:color w:val="auto"/>
          <w:sz w:val="24"/>
          <w:highlight w:val="none"/>
        </w:rPr>
        <w:tab/>
      </w:r>
      <w:r>
        <w:rPr>
          <w:rFonts w:ascii="宋体" w:hAnsi="宋体"/>
          <w:color w:val="auto"/>
          <w:sz w:val="24"/>
          <w:highlight w:val="none"/>
        </w:rPr>
        <w:t xml:space="preserve">      </w:t>
      </w:r>
      <w:r>
        <w:rPr>
          <w:rFonts w:hint="eastAsia" w:ascii="宋体" w:hAnsi="宋体"/>
          <w:color w:val="auto"/>
          <w:sz w:val="24"/>
          <w:highlight w:val="none"/>
        </w:rPr>
        <w:t>法人或</w:t>
      </w:r>
      <w:r>
        <w:rPr>
          <w:rFonts w:ascii="宋体" w:hAnsi="宋体"/>
          <w:color w:val="auto"/>
          <w:sz w:val="24"/>
          <w:highlight w:val="none"/>
        </w:rPr>
        <w:t>授权代表(签字)：</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snapToGrid w:val="0"/>
        <w:spacing w:line="360" w:lineRule="auto"/>
        <w:rPr>
          <w:rFonts w:hint="eastAsia" w:ascii="宋体" w:hAnsi="宋体"/>
          <w:color w:val="auto"/>
          <w:sz w:val="24"/>
          <w:highlight w:val="none"/>
        </w:rPr>
      </w:pPr>
      <w:r>
        <w:rPr>
          <w:rFonts w:ascii="宋体" w:hAnsi="宋体"/>
          <w:color w:val="auto"/>
          <w:sz w:val="24"/>
          <w:highlight w:val="none"/>
        </w:rPr>
        <w:t>地　　址：</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rPr>
        <w:t xml:space="preserve"> </w:t>
      </w:r>
      <w:r>
        <w:rPr>
          <w:rFonts w:ascii="宋体" w:hAnsi="宋体"/>
          <w:color w:val="auto"/>
          <w:sz w:val="24"/>
          <w:highlight w:val="none"/>
        </w:rPr>
        <w:tab/>
      </w:r>
      <w:r>
        <w:rPr>
          <w:rFonts w:ascii="宋体" w:hAnsi="宋体"/>
          <w:color w:val="auto"/>
          <w:sz w:val="24"/>
          <w:highlight w:val="none"/>
        </w:rPr>
        <w:tab/>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地　　址：</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ab/>
      </w:r>
    </w:p>
    <w:p>
      <w:pPr>
        <w:snapToGrid w:val="0"/>
        <w:spacing w:line="360" w:lineRule="auto"/>
        <w:rPr>
          <w:rFonts w:hint="eastAsia" w:ascii="宋体" w:hAnsi="宋体"/>
          <w:color w:val="auto"/>
          <w:sz w:val="24"/>
          <w:highlight w:val="none"/>
        </w:rPr>
      </w:pPr>
      <w:r>
        <w:rPr>
          <w:rFonts w:ascii="宋体" w:hAnsi="宋体"/>
          <w:color w:val="auto"/>
          <w:sz w:val="24"/>
          <w:highlight w:val="none"/>
        </w:rPr>
        <w:t>邮政编码：</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rPr>
        <w:tab/>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邮政编码：</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p>
    <w:p>
      <w:pPr>
        <w:snapToGrid w:val="0"/>
        <w:spacing w:line="360" w:lineRule="auto"/>
        <w:rPr>
          <w:rFonts w:hint="eastAsia" w:ascii="宋体" w:hAnsi="宋体"/>
          <w:color w:val="auto"/>
          <w:sz w:val="24"/>
          <w:highlight w:val="none"/>
        </w:rPr>
      </w:pPr>
      <w:r>
        <w:rPr>
          <w:rFonts w:ascii="宋体" w:hAnsi="宋体"/>
          <w:color w:val="auto"/>
          <w:sz w:val="24"/>
          <w:highlight w:val="none"/>
        </w:rPr>
        <w:t>电　　话：</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rPr>
        <w:tab/>
      </w:r>
      <w:r>
        <w:rPr>
          <w:rFonts w:ascii="宋体" w:hAnsi="宋体"/>
          <w:color w:val="auto"/>
          <w:sz w:val="24"/>
          <w:highlight w:val="none"/>
        </w:rPr>
        <w:tab/>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电　　话：</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 xml:space="preserve">          </w:t>
      </w:r>
    </w:p>
    <w:p>
      <w:pPr>
        <w:snapToGrid w:val="0"/>
        <w:spacing w:line="360" w:lineRule="auto"/>
        <w:rPr>
          <w:rFonts w:hint="eastAsia" w:ascii="宋体" w:hAnsi="宋体"/>
          <w:color w:val="auto"/>
          <w:sz w:val="24"/>
          <w:highlight w:val="none"/>
          <w:u w:val="single"/>
        </w:rPr>
      </w:pPr>
      <w:r>
        <w:rPr>
          <w:rFonts w:ascii="宋体" w:hAnsi="宋体"/>
          <w:color w:val="auto"/>
          <w:sz w:val="24"/>
          <w:highlight w:val="none"/>
        </w:rPr>
        <w:t>开户银行：</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rPr>
        <w:tab/>
      </w:r>
      <w:r>
        <w:rPr>
          <w:rFonts w:ascii="宋体" w:hAnsi="宋体"/>
          <w:color w:val="auto"/>
          <w:sz w:val="24"/>
          <w:highlight w:val="none"/>
        </w:rPr>
        <w:tab/>
      </w:r>
      <w:r>
        <w:rPr>
          <w:rFonts w:ascii="宋体" w:hAnsi="宋体"/>
          <w:color w:val="auto"/>
          <w:sz w:val="24"/>
          <w:highlight w:val="none"/>
        </w:rPr>
        <w:tab/>
      </w:r>
      <w:r>
        <w:rPr>
          <w:rFonts w:hint="eastAsia" w:ascii="宋体" w:hAnsi="宋体"/>
          <w:color w:val="auto"/>
          <w:sz w:val="24"/>
          <w:highlight w:val="none"/>
        </w:rPr>
        <w:t xml:space="preserve">      开户行号：</w:t>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ab/>
      </w:r>
    </w:p>
    <w:p>
      <w:pPr>
        <w:snapToGrid w:val="0"/>
        <w:spacing w:line="360" w:lineRule="auto"/>
        <w:rPr>
          <w:rFonts w:hint="eastAsia" w:ascii="宋体" w:hAnsi="宋体"/>
          <w:color w:val="auto"/>
          <w:sz w:val="24"/>
          <w:highlight w:val="none"/>
          <w:u w:val="single"/>
        </w:rPr>
      </w:pPr>
      <w:r>
        <w:rPr>
          <w:rFonts w:hint="eastAsia" w:ascii="宋体" w:hAnsi="宋体"/>
          <w:color w:val="auto"/>
          <w:sz w:val="24"/>
          <w:highlight w:val="none"/>
        </w:rPr>
        <w:t xml:space="preserve">税 </w:t>
      </w:r>
      <w:r>
        <w:rPr>
          <w:rFonts w:ascii="宋体" w:hAnsi="宋体"/>
          <w:color w:val="auto"/>
          <w:sz w:val="24"/>
          <w:highlight w:val="none"/>
        </w:rPr>
        <w:t xml:space="preserve">   </w:t>
      </w:r>
      <w:r>
        <w:rPr>
          <w:rFonts w:hint="eastAsia" w:ascii="宋体" w:hAnsi="宋体"/>
          <w:color w:val="auto"/>
          <w:sz w:val="24"/>
          <w:highlight w:val="none"/>
        </w:rPr>
        <w:t>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 xml:space="preserve">税 </w:t>
      </w:r>
      <w:r>
        <w:rPr>
          <w:rFonts w:ascii="宋体" w:hAnsi="宋体"/>
          <w:color w:val="auto"/>
          <w:sz w:val="24"/>
          <w:highlight w:val="none"/>
        </w:rPr>
        <w:t xml:space="preserve">   </w:t>
      </w:r>
      <w:r>
        <w:rPr>
          <w:rFonts w:hint="eastAsia" w:ascii="宋体" w:hAnsi="宋体"/>
          <w:color w:val="auto"/>
          <w:sz w:val="24"/>
          <w:highlight w:val="none"/>
        </w:rPr>
        <w:t>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snapToGrid w:val="0"/>
        <w:spacing w:line="360" w:lineRule="auto"/>
        <w:rPr>
          <w:rFonts w:hint="eastAsia" w:ascii="宋体" w:hAnsi="宋体"/>
          <w:color w:val="auto"/>
          <w:sz w:val="24"/>
          <w:highlight w:val="none"/>
        </w:rPr>
      </w:pPr>
      <w:r>
        <w:rPr>
          <w:rFonts w:hint="eastAsia" w:ascii="宋体" w:hAnsi="宋体"/>
          <w:color w:val="auto"/>
          <w:sz w:val="24"/>
          <w:highlight w:val="none"/>
        </w:rPr>
        <w:t>账</w:t>
      </w:r>
      <w:r>
        <w:rPr>
          <w:rFonts w:ascii="宋体" w:hAnsi="宋体"/>
          <w:color w:val="auto"/>
          <w:sz w:val="24"/>
          <w:highlight w:val="none"/>
        </w:rPr>
        <w:t>　　号：</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rPr>
        <w:t xml:space="preserve">              </w:t>
      </w:r>
      <w:r>
        <w:rPr>
          <w:rFonts w:hint="eastAsia" w:ascii="宋体" w:hAnsi="宋体"/>
          <w:color w:val="auto"/>
          <w:sz w:val="24"/>
          <w:highlight w:val="none"/>
        </w:rPr>
        <w:t xml:space="preserve">   账</w:t>
      </w:r>
      <w:r>
        <w:rPr>
          <w:rFonts w:ascii="宋体" w:hAnsi="宋体"/>
          <w:color w:val="auto"/>
          <w:sz w:val="24"/>
          <w:highlight w:val="none"/>
        </w:rPr>
        <w:t>　　号：</w:t>
      </w:r>
      <w:r>
        <w:rPr>
          <w:rFonts w:ascii="宋体" w:hAnsi="宋体"/>
          <w:color w:val="auto"/>
          <w:sz w:val="24"/>
          <w:highlight w:val="none"/>
          <w:u w:val="single"/>
        </w:rPr>
        <w:tab/>
      </w:r>
      <w:r>
        <w:rPr>
          <w:rFonts w:ascii="宋体" w:hAnsi="宋体"/>
          <w:color w:val="auto"/>
          <w:sz w:val="24"/>
          <w:highlight w:val="none"/>
          <w:u w:val="single"/>
        </w:rPr>
        <w:tab/>
      </w:r>
      <w:r>
        <w:rPr>
          <w:rFonts w:ascii="宋体" w:hAnsi="宋体"/>
          <w:color w:val="auto"/>
          <w:sz w:val="24"/>
          <w:highlight w:val="none"/>
          <w:u w:val="single"/>
        </w:rPr>
        <w:t xml:space="preserve">       </w:t>
      </w:r>
      <w:r>
        <w:rPr>
          <w:rFonts w:ascii="宋体" w:hAnsi="宋体"/>
          <w:color w:val="auto"/>
          <w:sz w:val="24"/>
          <w:highlight w:val="none"/>
          <w:u w:val="single"/>
        </w:rPr>
        <w:tab/>
      </w:r>
      <w:r>
        <w:rPr>
          <w:rFonts w:ascii="宋体" w:hAnsi="宋体"/>
          <w:color w:val="auto"/>
          <w:sz w:val="24"/>
          <w:highlight w:val="none"/>
          <w:u w:val="single"/>
        </w:rPr>
        <w:tab/>
      </w:r>
    </w:p>
    <w:p>
      <w:pPr>
        <w:snapToGrid w:val="0"/>
        <w:spacing w:line="360" w:lineRule="auto"/>
        <w:rPr>
          <w:rFonts w:hint="eastAsia" w:ascii="宋体" w:hAnsi="宋体"/>
          <w:color w:val="auto"/>
          <w:sz w:val="24"/>
          <w:highlight w:val="none"/>
        </w:rPr>
        <w:sectPr>
          <w:pgSz w:w="12240" w:h="15840"/>
          <w:pgMar w:top="1134" w:right="1134" w:bottom="1134" w:left="1134" w:header="720" w:footer="720" w:gutter="0"/>
          <w:cols w:space="720" w:num="1"/>
          <w:docGrid w:linePitch="312" w:charSpace="0"/>
        </w:sectPr>
      </w:pPr>
      <w:r>
        <w:rPr>
          <w:rFonts w:hint="eastAsia" w:ascii="宋体" w:hAnsi="宋体"/>
          <w:color w:val="auto"/>
          <w:sz w:val="24"/>
          <w:highlight w:val="none"/>
        </w:rPr>
        <w:t>日    期</w:t>
      </w:r>
      <w:r>
        <w:rPr>
          <w:rFonts w:ascii="宋体" w:hAnsi="宋体"/>
          <w:color w:val="auto"/>
          <w:sz w:val="24"/>
          <w:highlight w:val="none"/>
        </w:rPr>
        <w:t>：</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年　</w:t>
      </w:r>
      <w:r>
        <w:rPr>
          <w:rFonts w:hint="eastAsia" w:ascii="宋体" w:hAnsi="宋体"/>
          <w:color w:val="auto"/>
          <w:sz w:val="24"/>
          <w:highlight w:val="none"/>
          <w:u w:val="single"/>
        </w:rPr>
        <w:t xml:space="preserve"> </w:t>
      </w:r>
      <w:r>
        <w:rPr>
          <w:rFonts w:ascii="宋体" w:hAnsi="宋体"/>
          <w:color w:val="auto"/>
          <w:sz w:val="24"/>
          <w:highlight w:val="none"/>
          <w:u w:val="single"/>
        </w:rPr>
        <w:t>月</w:t>
      </w:r>
      <w:r>
        <w:rPr>
          <w:rFonts w:hint="eastAsia" w:ascii="宋体" w:hAnsi="宋体"/>
          <w:color w:val="auto"/>
          <w:sz w:val="24"/>
          <w:highlight w:val="none"/>
          <w:u w:val="single"/>
        </w:rPr>
        <w:t xml:space="preserve">  </w:t>
      </w:r>
      <w:r>
        <w:rPr>
          <w:rFonts w:ascii="宋体" w:hAnsi="宋体"/>
          <w:color w:val="auto"/>
          <w:sz w:val="24"/>
          <w:highlight w:val="none"/>
          <w:u w:val="single"/>
        </w:rPr>
        <w:t>　日　</w:t>
      </w:r>
      <w:r>
        <w:rPr>
          <w:rFonts w:ascii="宋体" w:hAnsi="宋体"/>
          <w:color w:val="auto"/>
          <w:sz w:val="24"/>
          <w:highlight w:val="none"/>
        </w:rPr>
        <w:t xml:space="preserve">　　　　 </w:t>
      </w:r>
      <w:r>
        <w:rPr>
          <w:rFonts w:hint="eastAsia" w:ascii="宋体" w:hAnsi="宋体"/>
          <w:color w:val="auto"/>
          <w:sz w:val="24"/>
          <w:highlight w:val="none"/>
        </w:rPr>
        <w:t xml:space="preserve">   日    期</w:t>
      </w:r>
      <w:r>
        <w:rPr>
          <w:rFonts w:ascii="宋体" w:hAnsi="宋体"/>
          <w:color w:val="auto"/>
          <w:sz w:val="24"/>
          <w:highlight w:val="none"/>
        </w:rPr>
        <w:t>：</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年　</w:t>
      </w:r>
      <w:r>
        <w:rPr>
          <w:rFonts w:hint="eastAsia" w:ascii="宋体" w:hAnsi="宋体"/>
          <w:color w:val="auto"/>
          <w:sz w:val="24"/>
          <w:highlight w:val="none"/>
          <w:u w:val="single"/>
        </w:rPr>
        <w:t xml:space="preserve"> </w:t>
      </w:r>
      <w:r>
        <w:rPr>
          <w:rFonts w:ascii="宋体" w:hAnsi="宋体"/>
          <w:color w:val="auto"/>
          <w:sz w:val="24"/>
          <w:highlight w:val="none"/>
          <w:u w:val="single"/>
        </w:rPr>
        <w:t>月</w:t>
      </w:r>
      <w:r>
        <w:rPr>
          <w:rFonts w:hint="eastAsia" w:ascii="宋体" w:hAnsi="宋体"/>
          <w:color w:val="auto"/>
          <w:sz w:val="24"/>
          <w:highlight w:val="none"/>
          <w:u w:val="single"/>
        </w:rPr>
        <w:t xml:space="preserve">  </w:t>
      </w:r>
      <w:r>
        <w:rPr>
          <w:rFonts w:ascii="宋体" w:hAnsi="宋体"/>
          <w:color w:val="auto"/>
          <w:sz w:val="24"/>
          <w:highlight w:val="none"/>
          <w:u w:val="single"/>
        </w:rPr>
        <w:t>　</w:t>
      </w:r>
    </w:p>
    <w:p>
      <w:pPr>
        <w:snapToGrid w:val="0"/>
        <w:spacing w:line="360" w:lineRule="auto"/>
        <w:rPr>
          <w:rFonts w:hint="eastAsia" w:ascii="宋体" w:hAnsi="宋体"/>
          <w:b/>
          <w:color w:val="auto"/>
          <w:sz w:val="24"/>
          <w:highlight w:val="none"/>
        </w:rPr>
        <w:sectPr>
          <w:footerReference r:id="rId9" w:type="default"/>
          <w:type w:val="continuous"/>
          <w:pgSz w:w="12240" w:h="15840"/>
          <w:pgMar w:top="1134" w:right="1134" w:bottom="1134" w:left="1134" w:header="720" w:footer="720" w:gutter="0"/>
          <w:cols w:space="720" w:num="1"/>
          <w:docGrid w:linePitch="312" w:charSpace="0"/>
        </w:sectPr>
      </w:pPr>
    </w:p>
    <w:p>
      <w:pPr>
        <w:tabs>
          <w:tab w:val="left" w:pos="854"/>
        </w:tabs>
        <w:snapToGrid w:val="0"/>
        <w:spacing w:line="360" w:lineRule="auto"/>
        <w:jc w:val="center"/>
        <w:rPr>
          <w:rFonts w:hint="eastAsia" w:ascii="宋体" w:hAnsi="宋体"/>
          <w:color w:val="auto"/>
          <w:sz w:val="24"/>
          <w:highlight w:val="none"/>
        </w:rPr>
      </w:pPr>
      <w:r>
        <w:rPr>
          <w:rFonts w:ascii="宋体" w:hAnsi="宋体"/>
          <w:b/>
          <w:color w:val="auto"/>
          <w:sz w:val="24"/>
          <w:highlight w:val="none"/>
        </w:rPr>
        <w:t>合同一般条款</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  定义</w:t>
      </w:r>
    </w:p>
    <w:p>
      <w:pPr>
        <w:tabs>
          <w:tab w:val="left" w:pos="854"/>
        </w:tabs>
        <w:snapToGrid w:val="0"/>
        <w:spacing w:line="360" w:lineRule="auto"/>
        <w:ind w:firstLine="480" w:firstLineChars="200"/>
        <w:rPr>
          <w:rFonts w:hint="eastAsia" w:ascii="宋体" w:hAnsi="宋体"/>
          <w:color w:val="auto"/>
          <w:sz w:val="24"/>
          <w:highlight w:val="none"/>
        </w:rPr>
      </w:pPr>
      <w:r>
        <w:rPr>
          <w:rFonts w:ascii="宋体" w:hAnsi="宋体"/>
          <w:color w:val="auto"/>
          <w:sz w:val="24"/>
          <w:highlight w:val="none"/>
        </w:rPr>
        <w:t>本合同中的下列术语应解释为：</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 “合同”系指买卖双方签署的、合同格式中载明的买卖双方所达成的协议，包括所有的附件、附录和构成合同的其它文件。</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 “合同价”系指根据合同约定，卖方在完全履行合同义务后买方应付给卖方的价格。</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 “货物”系指卖方根据合同约定须向买方提供的一切设备、机械、仪表、备件，包括工具、手册等其它相关资料。“服务”系指根据合同约定卖方承担与供货有关的辅助服务，如运输、保险及安装、调试、提供技术援助、培训和其他类似的服务。</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1.5 “买方”系指与中标人签属供货合同的单位（含最终用户）。</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1.6 “卖方”系指根据合同约定提供货物及相关服务的中标人。</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1.7 “现场”系指合同约定货物将要运至和安装的地点。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1.8 “验收”系指合同双方依据强制性的国家技术质量规范和合同约定，确认合同项下的货物符合合同规定的活动。</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   技术规范</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2.1  提交货物的技术规范应与</w:t>
      </w:r>
      <w:r>
        <w:rPr>
          <w:rFonts w:hint="eastAsia" w:ascii="宋体" w:hAnsi="宋体"/>
          <w:color w:val="auto"/>
          <w:sz w:val="24"/>
          <w:highlight w:val="none"/>
        </w:rPr>
        <w:t>招标</w:t>
      </w:r>
      <w:r>
        <w:rPr>
          <w:rFonts w:ascii="宋体" w:hAnsi="宋体"/>
          <w:color w:val="auto"/>
          <w:sz w:val="24"/>
          <w:highlight w:val="none"/>
        </w:rPr>
        <w:t>文件规定的技术规范和技术规范附件(如果有的话)及其投标文件的技术规范偏差表(如果被买方接受的话)相一致。若技术规范中无相应说明，则以国家有关部门最新颁布的相应标准及规范为准。</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3   知识产权</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3.1 卖方应保证买方在使用该货物或其任何一部分时不受第三方提出的侵犯专利权、 著作权、商标权和工业设计权等的起诉。如果任何第三方提出侵权指控，卖方须与第三方交涉并承担由此发生的一切责任、费用和经济赔偿。</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4   包装要求</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4.2  每件包装箱内应附一份详细装箱单和质量合格证。</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5   装运标志</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5.1.卖方应在每一包装箱的四侧用不褪色的油漆以醒目的中文字样做出下列标记：</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收货人：</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合同号：</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装运标志：</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收货人代号：</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目的地：</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货物名称、品目号和箱号：</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毛重／净重：</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尺寸(长×宽×高以厘米计)：</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6  交货方式</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6.1 交货方式</w:t>
      </w:r>
      <w:r>
        <w:rPr>
          <w:rFonts w:hint="eastAsia" w:ascii="宋体" w:hAnsi="宋体"/>
          <w:color w:val="auto"/>
          <w:sz w:val="24"/>
          <w:highlight w:val="none"/>
        </w:rPr>
        <w:t>：</w:t>
      </w:r>
      <w:r>
        <w:rPr>
          <w:rFonts w:ascii="宋体" w:hAnsi="宋体"/>
          <w:color w:val="auto"/>
          <w:sz w:val="24"/>
          <w:highlight w:val="none"/>
        </w:rPr>
        <w:t>现场交货</w:t>
      </w:r>
      <w:r>
        <w:rPr>
          <w:rFonts w:hint="eastAsia" w:ascii="宋体" w:hAnsi="宋体"/>
          <w:color w:val="auto"/>
          <w:sz w:val="24"/>
          <w:highlight w:val="none"/>
        </w:rPr>
        <w:t>，</w:t>
      </w:r>
      <w:r>
        <w:rPr>
          <w:rFonts w:ascii="宋体" w:hAnsi="宋体"/>
          <w:color w:val="auto"/>
          <w:sz w:val="24"/>
          <w:highlight w:val="none"/>
        </w:rPr>
        <w:t>卖方负责办理运输和保险，将货物运抵现场。有关运输和保险的一切费用由卖方承担。所有货物运抵现场的日期为交货日期。</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6.2 卖方应在合同规定的交货期</w:t>
      </w:r>
      <w:r>
        <w:rPr>
          <w:rFonts w:ascii="宋体" w:hAnsi="宋体"/>
          <w:color w:val="auto"/>
          <w:sz w:val="24"/>
          <w:highlight w:val="none"/>
          <w:u w:val="single"/>
        </w:rPr>
        <w:t xml:space="preserve"> </w:t>
      </w:r>
      <w:r>
        <w:rPr>
          <w:rFonts w:hint="eastAsia" w:ascii="宋体" w:hAnsi="宋体"/>
          <w:color w:val="auto"/>
          <w:sz w:val="24"/>
          <w:highlight w:val="none"/>
          <w:u w:val="single"/>
        </w:rPr>
        <w:t>7</w:t>
      </w:r>
      <w:r>
        <w:rPr>
          <w:rFonts w:ascii="宋体" w:hAnsi="宋体"/>
          <w:color w:val="auto"/>
          <w:sz w:val="24"/>
          <w:highlight w:val="none"/>
          <w:u w:val="single"/>
        </w:rPr>
        <w:t xml:space="preserve"> </w:t>
      </w:r>
      <w:r>
        <w:rPr>
          <w:rFonts w:ascii="宋体" w:hAnsi="宋体"/>
          <w:color w:val="auto"/>
          <w:sz w:val="24"/>
          <w:highlight w:val="none"/>
        </w:rPr>
        <w:t>天以前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6.3 在现场交货和工厂交货条件下，卖方装运的货物不应超过合同规定的数量或重量。否则，卖方应对超运部分引起的一切后果负责。</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7  装运通知</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7.1  在现场交货和工厂交货条件下的货物，卖方通知买方货物已备妥待运输后24小时之内，应将合同号、货名、 数量、毛重、总体积(立方米)、发票金额、运输工具名称及装运日期，通知买方。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7.2  如因卖方延误将上述内容用电报或传真通知买方，由此引起的一切后果损失应由卖方负责。</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8  保险</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8.1  货物是按现场交货的，由卖方按照发票金额的110％办理“一切险”。</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9  付款条件</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9.1  付款条件见 “合同特殊条款”。</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10  技术资料</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10.1 合同项下技术资料(除合同特殊条款规定外)将以下列方式交付：</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合同生效后</w:t>
      </w:r>
      <w:r>
        <w:rPr>
          <w:rFonts w:ascii="宋体" w:hAnsi="宋体"/>
          <w:color w:val="auto"/>
          <w:sz w:val="24"/>
          <w:highlight w:val="none"/>
          <w:u w:val="single"/>
        </w:rPr>
        <w:t xml:space="preserve"> </w:t>
      </w:r>
      <w:r>
        <w:rPr>
          <w:rFonts w:hint="eastAsia" w:ascii="宋体" w:hAnsi="宋体"/>
          <w:color w:val="auto"/>
          <w:sz w:val="24"/>
          <w:highlight w:val="none"/>
          <w:u w:val="single"/>
        </w:rPr>
        <w:t>3</w:t>
      </w:r>
      <w:r>
        <w:rPr>
          <w:rFonts w:ascii="宋体" w:hAnsi="宋体"/>
          <w:color w:val="auto"/>
          <w:sz w:val="24"/>
          <w:highlight w:val="none"/>
          <w:u w:val="single"/>
        </w:rPr>
        <w:t xml:space="preserve"> </w:t>
      </w:r>
      <w:r>
        <w:rPr>
          <w:rFonts w:ascii="宋体" w:hAnsi="宋体"/>
          <w:color w:val="auto"/>
          <w:sz w:val="24"/>
          <w:highlight w:val="none"/>
        </w:rPr>
        <w:t>天之内，卖方应将每台设备和仪器的中文技术资料一套，如目录索引、图纸、操作手册、使用指南、维修指南和／或服务手册和示意图寄给买方。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10.2 另外一套完整的上述资料应包装好随同每批货物一起发运。</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10.3 如果买方确认卖方提供的技术资料不完整或在运输过程中丢失，卖方将在收到买方通知后</w:t>
      </w:r>
      <w:r>
        <w:rPr>
          <w:rFonts w:ascii="宋体" w:hAnsi="宋体"/>
          <w:color w:val="auto"/>
          <w:sz w:val="24"/>
          <w:highlight w:val="none"/>
          <w:u w:val="single"/>
        </w:rPr>
        <w:t xml:space="preserve"> </w:t>
      </w:r>
      <w:r>
        <w:rPr>
          <w:rFonts w:hint="eastAsia" w:ascii="宋体" w:hAnsi="宋体"/>
          <w:color w:val="auto"/>
          <w:sz w:val="24"/>
          <w:highlight w:val="none"/>
          <w:u w:val="single"/>
        </w:rPr>
        <w:t>3</w:t>
      </w:r>
      <w:r>
        <w:rPr>
          <w:rFonts w:ascii="宋体" w:hAnsi="宋体"/>
          <w:color w:val="auto"/>
          <w:sz w:val="24"/>
          <w:highlight w:val="none"/>
          <w:u w:val="single"/>
        </w:rPr>
        <w:t xml:space="preserve"> </w:t>
      </w:r>
      <w:r>
        <w:rPr>
          <w:rFonts w:ascii="宋体" w:hAnsi="宋体"/>
          <w:color w:val="auto"/>
          <w:sz w:val="24"/>
          <w:highlight w:val="none"/>
        </w:rPr>
        <w:t>天内将这些资料免费寄给买方。</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11  质量保证</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11.1卖方须保证货物是全新、未使用过的，并完全符合强制性的国家技术质量规范和合同规定的质量、规格、性能和技术规范等的要求。</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11.2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w:t>
      </w:r>
      <w:r>
        <w:rPr>
          <w:rFonts w:ascii="宋体" w:hAnsi="宋体"/>
          <w:color w:val="auto"/>
          <w:sz w:val="24"/>
          <w:highlight w:val="none"/>
          <w:u w:val="single"/>
        </w:rPr>
        <w:t xml:space="preserve"> </w:t>
      </w:r>
      <w:r>
        <w:rPr>
          <w:rFonts w:hint="eastAsia" w:ascii="宋体" w:hAnsi="宋体"/>
          <w:color w:val="auto"/>
          <w:sz w:val="24"/>
          <w:highlight w:val="none"/>
          <w:u w:val="single"/>
        </w:rPr>
        <w:t>3</w:t>
      </w:r>
      <w:r>
        <w:rPr>
          <w:rFonts w:ascii="宋体" w:hAnsi="宋体"/>
          <w:color w:val="auto"/>
          <w:sz w:val="24"/>
          <w:highlight w:val="none"/>
          <w:u w:val="single"/>
        </w:rPr>
        <w:t xml:space="preserve"> </w:t>
      </w:r>
      <w:r>
        <w:rPr>
          <w:rFonts w:ascii="宋体" w:hAnsi="宋体"/>
          <w:color w:val="auto"/>
          <w:sz w:val="24"/>
          <w:highlight w:val="none"/>
        </w:rPr>
        <w:t>天内应免费维修或更换有缺陷的货物或部件。</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11.4 如果卖方在收到通知后</w:t>
      </w:r>
      <w:r>
        <w:rPr>
          <w:rFonts w:ascii="宋体" w:hAnsi="宋体"/>
          <w:color w:val="auto"/>
          <w:sz w:val="24"/>
          <w:highlight w:val="none"/>
          <w:u w:val="single"/>
        </w:rPr>
        <w:t xml:space="preserve"> </w:t>
      </w:r>
      <w:r>
        <w:rPr>
          <w:rFonts w:hint="eastAsia" w:ascii="宋体" w:hAnsi="宋体"/>
          <w:color w:val="auto"/>
          <w:sz w:val="24"/>
          <w:highlight w:val="none"/>
          <w:u w:val="single"/>
        </w:rPr>
        <w:t>3</w:t>
      </w:r>
      <w:r>
        <w:rPr>
          <w:rFonts w:ascii="宋体" w:hAnsi="宋体"/>
          <w:color w:val="auto"/>
          <w:sz w:val="24"/>
          <w:highlight w:val="none"/>
          <w:u w:val="single"/>
        </w:rPr>
        <w:t xml:space="preserve"> </w:t>
      </w:r>
      <w:r>
        <w:rPr>
          <w:rFonts w:ascii="宋体" w:hAnsi="宋体"/>
          <w:color w:val="auto"/>
          <w:sz w:val="24"/>
          <w:highlight w:val="none"/>
        </w:rPr>
        <w:t>天内没有弥补缺陷，买方可采取必要的补救措施，但由此引发的风险和费用将由卖方承担。</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11.5 除“合同特殊条款”规定外，合同项下货物的质量保证期为自货物通过最终验收起</w:t>
      </w:r>
      <w:r>
        <w:rPr>
          <w:rFonts w:hint="eastAsia" w:ascii="宋体" w:hAnsi="宋体"/>
          <w:color w:val="auto"/>
          <w:sz w:val="24"/>
          <w:highlight w:val="none"/>
          <w:lang w:val="en-US" w:eastAsia="zh-CN"/>
        </w:rPr>
        <w:t>6年</w:t>
      </w:r>
      <w:r>
        <w:rPr>
          <w:rFonts w:ascii="宋体" w:hAnsi="宋体"/>
          <w:color w:val="auto"/>
          <w:sz w:val="24"/>
          <w:highlight w:val="none"/>
        </w:rPr>
        <w:t>。</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12   检验和验收</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12.2 货物运抵现场后，买方应在</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7</w:t>
      </w:r>
      <w:r>
        <w:rPr>
          <w:rFonts w:ascii="宋体" w:hAnsi="宋体"/>
          <w:color w:val="auto"/>
          <w:sz w:val="24"/>
          <w:highlight w:val="none"/>
          <w:u w:val="single"/>
        </w:rPr>
        <w:t xml:space="preserve"> </w:t>
      </w:r>
      <w:r>
        <w:rPr>
          <w:rFonts w:ascii="宋体" w:hAnsi="宋体"/>
          <w:color w:val="auto"/>
          <w:sz w:val="24"/>
          <w:highlight w:val="none"/>
        </w:rPr>
        <w:t>日内组织验收，并制作验收备忘录，签署验收意见</w:t>
      </w:r>
      <w:r>
        <w:rPr>
          <w:rFonts w:hint="eastAsia" w:ascii="宋体" w:hAnsi="宋体"/>
          <w:color w:val="auto"/>
          <w:sz w:val="24"/>
          <w:highlight w:val="none"/>
        </w:rPr>
        <w:t>并报同级政府采购监督</w:t>
      </w:r>
      <w:r>
        <w:rPr>
          <w:rFonts w:ascii="宋体" w:hAnsi="宋体"/>
          <w:color w:val="auto"/>
          <w:sz w:val="24"/>
          <w:highlight w:val="none"/>
        </w:rPr>
        <w:t>管理</w:t>
      </w:r>
      <w:r>
        <w:rPr>
          <w:rFonts w:hint="eastAsia" w:ascii="宋体" w:hAnsi="宋体"/>
          <w:color w:val="auto"/>
          <w:sz w:val="24"/>
          <w:highlight w:val="none"/>
        </w:rPr>
        <w:t>部门备案。</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12.3 买方有在货物制造过程中派员监造的权利, 卖方有义务为买方监造人员行使该权利提供方便。</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12.4 制造厂对所供货物进行机械运转试验和性能试验时，中标人必须提前通知买方。</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13  索赔</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13.1 如果货物的质量、规格、数量、重量等与合同不符，或在第11.5规定的质量保证期内证实货物存有缺陷，包括潜在的缺陷或使用不符合要求的材料等，买方有权根据有资质的权威质检机构的检验结果向卖方提出索赔（但责任应由保险公司或运输部门承担的除外）。</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13.2 在根据合同第11条和第12条规定的检验期和质量保证期内，如果卖方对买方提出的索赔负有责任，卖方应按照买方同意的下列一种或多种方式解决索赔事宜：</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13.2.2  根据货物低劣程度、损坏程度以及买方所遭受损失的数额，经买卖双方商定降低货物的价格，以降低后的价格或评估价格为准。</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13.2.3  用符合规格、质量和性能要求的新零件、部件或货物来更换有缺陷的部分或／和修补缺陷部分，卖方应承担一切费用和风险并负担买方所发生的一切直接费用。同时，卖方应按合同第11条规定，相应延长修补或更换件的质量保证期。</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13.3  如果在买方发出索赔通知后</w:t>
      </w:r>
      <w:r>
        <w:rPr>
          <w:rFonts w:ascii="宋体" w:hAnsi="宋体"/>
          <w:color w:val="auto"/>
          <w:sz w:val="24"/>
          <w:highlight w:val="none"/>
          <w:u w:val="single"/>
        </w:rPr>
        <w:t xml:space="preserve">  15  </w:t>
      </w:r>
      <w:r>
        <w:rPr>
          <w:rFonts w:ascii="宋体" w:hAnsi="宋体"/>
          <w:color w:val="auto"/>
          <w:sz w:val="24"/>
          <w:highlight w:val="none"/>
        </w:rPr>
        <w:t>天内，卖方未作答复，上述索赔应视为已被卖方接受。如卖方未能在买方提出索赔通知后</w:t>
      </w:r>
      <w:r>
        <w:rPr>
          <w:rFonts w:ascii="宋体" w:hAnsi="宋体"/>
          <w:color w:val="auto"/>
          <w:sz w:val="24"/>
          <w:highlight w:val="none"/>
          <w:u w:val="single"/>
        </w:rPr>
        <w:t xml:space="preserve">  15 </w:t>
      </w:r>
      <w:r>
        <w:rPr>
          <w:rFonts w:ascii="宋体" w:hAnsi="宋体"/>
          <w:color w:val="auto"/>
          <w:sz w:val="24"/>
          <w:highlight w:val="none"/>
        </w:rPr>
        <w:t>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14  迟延交货</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14.1  卖方应按照“</w:t>
      </w:r>
      <w:r>
        <w:rPr>
          <w:rFonts w:hint="eastAsia" w:ascii="宋体" w:hAnsi="宋体"/>
          <w:color w:val="auto"/>
          <w:sz w:val="24"/>
          <w:highlight w:val="none"/>
        </w:rPr>
        <w:t>采购</w:t>
      </w:r>
      <w:r>
        <w:rPr>
          <w:rFonts w:ascii="宋体" w:hAnsi="宋体"/>
          <w:color w:val="auto"/>
          <w:sz w:val="24"/>
          <w:highlight w:val="none"/>
        </w:rPr>
        <w:t>需求”中买方规定的时间交货和提供服务。</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14.2  如果卖方无正当理由迟延交货，买方有权提出违约损失赔偿或解除合同。</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14.3  在履行合同过程中，如果卖方遇到不能按时交货和提供服务的情况，应及时以书面形式将不能按时交货的理由、预期延误时间通知买方。买方收到卖方 通知后，认为其理由正当的，可酌情延长交货时间。</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15   违约赔偿</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15.1  除合同第16条规定外，如果卖方没有按照合同规定的时间交货和提供服务，买方可要求卖方支付违约金。违约金按每周迟交货物或未提供服务交货价的0.5%计收。但违约金的最高限额为迟交货物或没有提供服务的合同价的5%。一周按７天计算，不足７天按一周计算。如果达到最高限额，买方有权解除合同。</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16   不可抗力</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16.1  如果双方中任何一方遭遇法律规定的不可抗力，致使合同履行受阻时，履行合同的期限应予延长，延长的期限应相当于不可抗力所影响的时间。</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16.2  受事故影响的一方应在不可抗力的事故发生后尽快书面形式通知另一方，并在事故发生后</w:t>
      </w:r>
      <w:r>
        <w:rPr>
          <w:rFonts w:hint="eastAsia" w:ascii="宋体" w:hAnsi="宋体"/>
          <w:color w:val="auto"/>
          <w:sz w:val="24"/>
          <w:highlight w:val="none"/>
          <w:u w:val="single"/>
        </w:rPr>
        <w:t>5</w:t>
      </w:r>
      <w:r>
        <w:rPr>
          <w:rFonts w:ascii="宋体" w:hAnsi="宋体"/>
          <w:color w:val="auto"/>
          <w:sz w:val="24"/>
          <w:highlight w:val="none"/>
        </w:rPr>
        <w:t>天内，将有关部门出具的证明文件送达另一方。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16.3</w:t>
      </w:r>
      <w:r>
        <w:rPr>
          <w:rFonts w:hint="eastAsia" w:ascii="宋体" w:hAnsi="宋体"/>
          <w:color w:val="auto"/>
          <w:sz w:val="24"/>
          <w:highlight w:val="none"/>
        </w:rPr>
        <w:t xml:space="preserve"> </w:t>
      </w:r>
      <w:r>
        <w:rPr>
          <w:rFonts w:ascii="宋体" w:hAnsi="宋体"/>
          <w:color w:val="auto"/>
          <w:sz w:val="24"/>
          <w:highlight w:val="none"/>
        </w:rPr>
        <w:t>不可抗力使合同的某些内容有变更必要的， 双方应通过协商在</w:t>
      </w:r>
      <w:r>
        <w:rPr>
          <w:rFonts w:hint="eastAsia" w:ascii="宋体" w:hAnsi="宋体"/>
          <w:color w:val="auto"/>
          <w:sz w:val="24"/>
          <w:highlight w:val="none"/>
          <w:u w:val="single"/>
        </w:rPr>
        <w:t xml:space="preserve">  </w:t>
      </w:r>
      <w:r>
        <w:rPr>
          <w:rFonts w:ascii="宋体" w:hAnsi="宋体"/>
          <w:color w:val="auto"/>
          <w:sz w:val="24"/>
          <w:highlight w:val="none"/>
          <w:u w:val="single"/>
        </w:rPr>
        <w:t>5</w:t>
      </w:r>
      <w:r>
        <w:rPr>
          <w:rFonts w:hint="eastAsia" w:ascii="宋体" w:hAnsi="宋体"/>
          <w:color w:val="auto"/>
          <w:sz w:val="24"/>
          <w:highlight w:val="none"/>
          <w:u w:val="single"/>
        </w:rPr>
        <w:t xml:space="preserve">  </w:t>
      </w:r>
      <w:r>
        <w:rPr>
          <w:rFonts w:ascii="宋体" w:hAnsi="宋体"/>
          <w:color w:val="auto"/>
          <w:sz w:val="24"/>
          <w:highlight w:val="none"/>
        </w:rPr>
        <w:t>日内达成进一步履行合同的协议，因不可抗力致使合同不能履行的，合同终止。</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17  税费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17.1  与本合同有关的一切税费均适用中华人民共和国法律的相关规定。</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18  合同争议的解决</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18.1  因合同履行中发生的争议，可通过合同当事人双方友好协商解决。如自协商开始之起15日内得不到解决，双方应将争议提交同级政府采购办公室调解。调解不成的，可申请北京仲裁委员会进行仲裁或向</w:t>
      </w:r>
      <w:r>
        <w:rPr>
          <w:rFonts w:hint="eastAsia" w:ascii="宋体" w:hAnsi="宋体"/>
          <w:color w:val="auto"/>
          <w:sz w:val="24"/>
          <w:highlight w:val="none"/>
        </w:rPr>
        <w:t>平谷区</w:t>
      </w:r>
      <w:r>
        <w:rPr>
          <w:rFonts w:ascii="宋体" w:hAnsi="宋体"/>
          <w:color w:val="auto"/>
          <w:sz w:val="24"/>
          <w:highlight w:val="none"/>
        </w:rPr>
        <w:t>人民法院提起诉讼。</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18.2  仲裁裁决为最终裁决，当事人一方在规定时间内不履行仲裁机构裁决的，另一方可以申请人民法院强制执行。</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18.3  仲裁费用和诉讼费用除仲裁机构或法院另有裁决外，应由败诉方负担。</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19   违约解除合同</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  在卖方违约的情况下，买方经同级政府采购监督管理机关审批后，可向卖方发出书面通知，部分或全部终止合同。同时保留向卖方追诉的权利。</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19.1.1  卖方未能在合同规定的限期或买方同意延长的限期内，提供全部或部分货物的；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19.1.2  卖方未能履行合同规定的其它主要义务的；</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19.1.3  买方认为卖方在本合同履行过程中有腐败和欺诈行为的。</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19.1.3.1  “腐败行为”和“欺诈行为”定义如下:</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19.1.3.1.1 “腐败行为”是指提供/给予/接受或索取任何有价值的东西来影响买方在合同签定、履行过程中的行为。</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19.1.3.1.2 “欺诈行为”是指为了影响合同签定、履行过程，以谎报事实的方法， 损害买方的利益的行为。</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20  破产终止合同</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tabs>
          <w:tab w:val="left" w:pos="854"/>
        </w:tabs>
        <w:snapToGrid w:val="0"/>
        <w:spacing w:line="360" w:lineRule="auto"/>
        <w:rPr>
          <w:rFonts w:hint="eastAsia" w:ascii="宋体" w:hAnsi="宋体"/>
          <w:b/>
          <w:color w:val="auto"/>
          <w:sz w:val="24"/>
          <w:highlight w:val="none"/>
          <w:u w:val="single"/>
        </w:rPr>
      </w:pPr>
      <w:r>
        <w:rPr>
          <w:rFonts w:ascii="宋体" w:hAnsi="宋体"/>
          <w:color w:val="auto"/>
          <w:sz w:val="24"/>
          <w:highlight w:val="none"/>
        </w:rPr>
        <w:t>21  转让和分包</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21.1 政府采购合同不能转让。</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21.</w:t>
      </w:r>
      <w:r>
        <w:rPr>
          <w:rFonts w:hint="eastAsia" w:ascii="宋体" w:hAnsi="宋体"/>
          <w:color w:val="auto"/>
          <w:sz w:val="24"/>
          <w:highlight w:val="none"/>
        </w:rPr>
        <w:t>2</w:t>
      </w:r>
      <w:r>
        <w:rPr>
          <w:rFonts w:ascii="宋体" w:hAnsi="宋体"/>
          <w:color w:val="auto"/>
          <w:sz w:val="24"/>
          <w:highlight w:val="none"/>
        </w:rPr>
        <w:t xml:space="preserve"> 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22   合同修改</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23  通知</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23.1 本合同任何一方给另一方的通知，都应以书面形式发送，而另一方也应以书面形式确认并发送到对方明确的地址。</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24  计量单位</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24.1  除技术规范中另有规定外,计量单位均使用国家法定计量单位。</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25  适用法律</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25.1  本合同应按照中华人民共和国的法律进行解释。</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26  履约保证金</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26.1  卖方应在合同签订后</w:t>
      </w:r>
      <w:r>
        <w:rPr>
          <w:rFonts w:ascii="宋体" w:hAnsi="宋体"/>
          <w:color w:val="auto"/>
          <w:sz w:val="24"/>
          <w:highlight w:val="none"/>
          <w:u w:val="single"/>
        </w:rPr>
        <w:t>　</w:t>
      </w:r>
      <w:r>
        <w:rPr>
          <w:rFonts w:hint="eastAsia" w:ascii="宋体" w:hAnsi="宋体"/>
          <w:color w:val="auto"/>
          <w:sz w:val="24"/>
          <w:highlight w:val="none"/>
          <w:u w:val="single"/>
        </w:rPr>
        <w:t>7</w:t>
      </w:r>
      <w:r>
        <w:rPr>
          <w:rFonts w:ascii="宋体" w:hAnsi="宋体"/>
          <w:color w:val="auto"/>
          <w:sz w:val="24"/>
          <w:highlight w:val="none"/>
          <w:u w:val="single"/>
        </w:rPr>
        <w:t>　</w:t>
      </w:r>
      <w:r>
        <w:rPr>
          <w:rFonts w:ascii="宋体" w:hAnsi="宋体"/>
          <w:color w:val="auto"/>
          <w:sz w:val="24"/>
          <w:highlight w:val="none"/>
        </w:rPr>
        <w:t>天内，按约定的方式向买方提交合同总价</w:t>
      </w:r>
      <w:r>
        <w:rPr>
          <w:rFonts w:hint="eastAsia" w:ascii="宋体" w:hAnsi="宋体"/>
          <w:color w:val="auto"/>
          <w:sz w:val="24"/>
          <w:highlight w:val="none"/>
          <w:u w:val="single"/>
        </w:rPr>
        <w:t>5</w:t>
      </w:r>
      <w:r>
        <w:rPr>
          <w:rFonts w:ascii="宋体" w:hAnsi="宋体"/>
          <w:color w:val="auto"/>
          <w:sz w:val="24"/>
          <w:highlight w:val="none"/>
          <w:u w:val="single"/>
        </w:rPr>
        <w:t>%　</w:t>
      </w:r>
      <w:r>
        <w:rPr>
          <w:rFonts w:ascii="宋体" w:hAnsi="宋体"/>
          <w:color w:val="auto"/>
          <w:sz w:val="24"/>
          <w:highlight w:val="none"/>
        </w:rPr>
        <w:t>的履约保证金。</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26.2</w:t>
      </w:r>
      <w:r>
        <w:rPr>
          <w:rFonts w:ascii="宋体" w:hAnsi="宋体"/>
          <w:b/>
          <w:color w:val="auto"/>
          <w:sz w:val="24"/>
          <w:highlight w:val="none"/>
        </w:rPr>
        <w:t xml:space="preserve">  </w:t>
      </w:r>
      <w:r>
        <w:rPr>
          <w:rFonts w:ascii="宋体" w:hAnsi="宋体"/>
          <w:color w:val="auto"/>
          <w:sz w:val="24"/>
          <w:highlight w:val="none"/>
        </w:rPr>
        <w:t>履约保证金用于补偿买方因卖方不能履行其合同义务而蒙受的损失。</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26.3  履约保证金应使用本合同货币，按下述方式之一提交：</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A. 买方可接受的在中华人民共和国注册和营业的银行，按</w:t>
      </w:r>
      <w:r>
        <w:rPr>
          <w:rFonts w:hint="eastAsia" w:ascii="宋体" w:hAnsi="宋体"/>
          <w:color w:val="auto"/>
          <w:sz w:val="24"/>
          <w:highlight w:val="none"/>
        </w:rPr>
        <w:t>招标</w:t>
      </w:r>
      <w:r>
        <w:rPr>
          <w:rFonts w:ascii="宋体" w:hAnsi="宋体"/>
          <w:color w:val="auto"/>
          <w:sz w:val="24"/>
          <w:highlight w:val="none"/>
        </w:rPr>
        <w:t>文件提供的格式，或其他买方可接受的格式。</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B. 支票、汇票或现金。</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26.4  如果卖方未能按合同规定履行其义务，买方有权从履约保证金中取得补偿。货物验收合格一年后三十(30)天内，买方将把履约保证金退还卖方。</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27　合同生效和其它</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27.1  政府采购项目的采购合同内容的确定应以</w:t>
      </w:r>
      <w:r>
        <w:rPr>
          <w:rFonts w:hint="eastAsia" w:ascii="宋体" w:hAnsi="宋体"/>
          <w:color w:val="auto"/>
          <w:sz w:val="24"/>
          <w:highlight w:val="none"/>
        </w:rPr>
        <w:t>招标</w:t>
      </w:r>
      <w:r>
        <w:rPr>
          <w:rFonts w:ascii="宋体" w:hAnsi="宋体"/>
          <w:color w:val="auto"/>
          <w:sz w:val="24"/>
          <w:highlight w:val="none"/>
        </w:rPr>
        <w:t>文件和</w:t>
      </w:r>
      <w:r>
        <w:rPr>
          <w:rFonts w:hint="eastAsia" w:ascii="宋体" w:hAnsi="宋体"/>
          <w:color w:val="auto"/>
          <w:sz w:val="24"/>
          <w:highlight w:val="none"/>
        </w:rPr>
        <w:t>投标</w:t>
      </w:r>
      <w:r>
        <w:rPr>
          <w:rFonts w:ascii="宋体" w:hAnsi="宋体"/>
          <w:color w:val="auto"/>
          <w:sz w:val="24"/>
          <w:highlight w:val="none"/>
        </w:rPr>
        <w:t>文件为基础，不得违背其实质性内容。政府采购项目的采购合同自签订之日起</w:t>
      </w:r>
      <w:r>
        <w:rPr>
          <w:rFonts w:hint="eastAsia" w:ascii="宋体" w:hAnsi="宋体"/>
          <w:color w:val="auto"/>
          <w:sz w:val="24"/>
          <w:highlight w:val="none"/>
        </w:rPr>
        <w:t>两</w:t>
      </w:r>
      <w:r>
        <w:rPr>
          <w:rFonts w:ascii="宋体" w:hAnsi="宋体"/>
          <w:color w:val="auto"/>
          <w:sz w:val="24"/>
          <w:highlight w:val="none"/>
        </w:rPr>
        <w:t>个工作日内，</w:t>
      </w:r>
      <w:r>
        <w:rPr>
          <w:rFonts w:hint="eastAsia" w:ascii="宋体" w:hAnsi="宋体"/>
          <w:color w:val="auto"/>
          <w:sz w:val="24"/>
          <w:highlight w:val="none"/>
        </w:rPr>
        <w:t>进行网上合同公示</w:t>
      </w:r>
      <w:r>
        <w:rPr>
          <w:rFonts w:ascii="宋体" w:hAnsi="宋体"/>
          <w:color w:val="auto"/>
          <w:sz w:val="24"/>
          <w:highlight w:val="none"/>
        </w:rPr>
        <w:t>。合同将在双方签字盖章并由卖方递交履约保证金后开始生效。</w:t>
      </w:r>
    </w:p>
    <w:p>
      <w:pPr>
        <w:tabs>
          <w:tab w:val="left" w:pos="854"/>
        </w:tabs>
        <w:snapToGrid w:val="0"/>
        <w:spacing w:line="360" w:lineRule="auto"/>
        <w:rPr>
          <w:rFonts w:hint="eastAsia" w:ascii="宋体" w:hAnsi="宋体"/>
          <w:color w:val="auto"/>
          <w:sz w:val="24"/>
          <w:highlight w:val="none"/>
        </w:rPr>
        <w:sectPr>
          <w:pgSz w:w="12240" w:h="15840"/>
          <w:pgMar w:top="1134" w:right="1134" w:bottom="1134" w:left="1134" w:header="720" w:footer="720" w:gutter="0"/>
          <w:cols w:space="720" w:num="1"/>
          <w:docGrid w:linePitch="312" w:charSpace="0"/>
        </w:sectPr>
      </w:pPr>
      <w:r>
        <w:rPr>
          <w:rFonts w:ascii="宋体" w:hAnsi="宋体"/>
          <w:color w:val="auto"/>
          <w:sz w:val="24"/>
          <w:highlight w:val="none"/>
        </w:rPr>
        <w:t>27.2  本合同一式</w:t>
      </w:r>
      <w:r>
        <w:rPr>
          <w:rFonts w:ascii="宋体" w:hAnsi="宋体"/>
          <w:color w:val="auto"/>
          <w:sz w:val="24"/>
          <w:highlight w:val="none"/>
          <w:u w:val="single"/>
        </w:rPr>
        <w:t>　陆　</w:t>
      </w:r>
      <w:r>
        <w:rPr>
          <w:rFonts w:ascii="宋体" w:hAnsi="宋体"/>
          <w:color w:val="auto"/>
          <w:sz w:val="24"/>
          <w:highlight w:val="none"/>
        </w:rPr>
        <w:t>份，具同等法律效力。</w:t>
      </w:r>
      <w:r>
        <w:rPr>
          <w:rFonts w:ascii="宋体" w:hAnsi="宋体"/>
          <w:color w:val="auto"/>
          <w:sz w:val="24"/>
          <w:highlight w:val="none"/>
          <w:u w:val="single"/>
        </w:rPr>
        <w:t>　</w:t>
      </w:r>
      <w:r>
        <w:rPr>
          <w:rFonts w:hint="eastAsia" w:ascii="宋体" w:hAnsi="宋体"/>
          <w:color w:val="auto"/>
          <w:sz w:val="24"/>
          <w:highlight w:val="none"/>
          <w:u w:val="single"/>
        </w:rPr>
        <w:t>买方</w:t>
      </w:r>
      <w:r>
        <w:rPr>
          <w:rFonts w:ascii="宋体" w:hAnsi="宋体"/>
          <w:color w:val="auto"/>
          <w:sz w:val="24"/>
          <w:highlight w:val="none"/>
          <w:u w:val="single"/>
        </w:rPr>
        <w:t>　</w:t>
      </w:r>
      <w:r>
        <w:rPr>
          <w:rFonts w:ascii="宋体" w:hAnsi="宋体"/>
          <w:color w:val="auto"/>
          <w:sz w:val="24"/>
          <w:highlight w:val="none"/>
        </w:rPr>
        <w:t>和</w:t>
      </w:r>
      <w:r>
        <w:rPr>
          <w:rFonts w:ascii="宋体" w:hAnsi="宋体"/>
          <w:color w:val="auto"/>
          <w:sz w:val="24"/>
          <w:highlight w:val="none"/>
          <w:u w:val="single"/>
        </w:rPr>
        <w:t xml:space="preserve">  </w:t>
      </w:r>
      <w:r>
        <w:rPr>
          <w:rFonts w:hint="eastAsia" w:ascii="宋体" w:hAnsi="宋体"/>
          <w:color w:val="auto"/>
          <w:sz w:val="24"/>
          <w:highlight w:val="none"/>
          <w:u w:val="single"/>
        </w:rPr>
        <w:t>卖方</w:t>
      </w:r>
      <w:r>
        <w:rPr>
          <w:rFonts w:ascii="宋体" w:hAnsi="宋体"/>
          <w:color w:val="auto"/>
          <w:sz w:val="24"/>
          <w:highlight w:val="none"/>
          <w:u w:val="single"/>
        </w:rPr>
        <w:t>　</w:t>
      </w:r>
      <w:r>
        <w:rPr>
          <w:rFonts w:ascii="宋体" w:hAnsi="宋体"/>
          <w:color w:val="auto"/>
          <w:sz w:val="24"/>
          <w:highlight w:val="none"/>
        </w:rPr>
        <w:t>各执</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叁 </w:t>
      </w:r>
      <w:r>
        <w:rPr>
          <w:rFonts w:ascii="宋体" w:hAnsi="宋体"/>
          <w:color w:val="auto"/>
          <w:sz w:val="24"/>
          <w:highlight w:val="none"/>
        </w:rPr>
        <w:t>份。</w:t>
      </w:r>
    </w:p>
    <w:p>
      <w:pPr>
        <w:tabs>
          <w:tab w:val="left" w:pos="854"/>
        </w:tabs>
        <w:snapToGrid w:val="0"/>
        <w:spacing w:line="360" w:lineRule="auto"/>
        <w:jc w:val="center"/>
        <w:rPr>
          <w:rFonts w:hint="eastAsia" w:ascii="宋体" w:hAnsi="宋体"/>
          <w:color w:val="auto"/>
          <w:sz w:val="24"/>
          <w:highlight w:val="none"/>
        </w:rPr>
      </w:pPr>
      <w:r>
        <w:rPr>
          <w:rFonts w:ascii="宋体" w:hAnsi="宋体"/>
          <w:b/>
          <w:color w:val="auto"/>
          <w:sz w:val="24"/>
          <w:highlight w:val="none"/>
        </w:rPr>
        <w:t>合同特殊条款</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 xml:space="preserve">    合同特殊条款是合同一般条款的补充和修改。如果两者之间有抵触，应以特殊条款为准。合同特殊条款的序号将与合同一般条款序号相对应。</w:t>
      </w:r>
    </w:p>
    <w:p>
      <w:pPr>
        <w:numPr>
          <w:ilvl w:val="0"/>
          <w:numId w:val="16"/>
        </w:numPr>
        <w:tabs>
          <w:tab w:val="left" w:pos="426"/>
        </w:tabs>
        <w:snapToGrid w:val="0"/>
        <w:spacing w:after="160" w:line="360" w:lineRule="auto"/>
        <w:jc w:val="left"/>
        <w:rPr>
          <w:rFonts w:hint="eastAsia" w:ascii="宋体" w:hAnsi="宋体"/>
          <w:color w:val="auto"/>
          <w:sz w:val="24"/>
          <w:highlight w:val="none"/>
        </w:rPr>
      </w:pPr>
      <w:r>
        <w:rPr>
          <w:rFonts w:ascii="宋体" w:hAnsi="宋体"/>
          <w:b/>
          <w:color w:val="auto"/>
          <w:sz w:val="24"/>
          <w:highlight w:val="none"/>
        </w:rPr>
        <w:t>定义</w:t>
      </w:r>
    </w:p>
    <w:p>
      <w:pPr>
        <w:tabs>
          <w:tab w:val="left" w:pos="854"/>
        </w:tabs>
        <w:snapToGrid w:val="0"/>
        <w:spacing w:line="360" w:lineRule="auto"/>
        <w:rPr>
          <w:rFonts w:hint="eastAsia" w:ascii="宋体" w:hAnsi="宋体"/>
          <w:color w:val="auto"/>
          <w:sz w:val="24"/>
          <w:highlight w:val="none"/>
          <w:u w:val="single"/>
        </w:rPr>
      </w:pPr>
      <w:r>
        <w:rPr>
          <w:rFonts w:ascii="宋体" w:hAnsi="宋体"/>
          <w:color w:val="auto"/>
          <w:sz w:val="24"/>
          <w:highlight w:val="none"/>
        </w:rPr>
        <w:t>1.1  买方：本合同买方系指：</w:t>
      </w:r>
      <w:r>
        <w:rPr>
          <w:rFonts w:ascii="宋体" w:hAnsi="宋体"/>
          <w:color w:val="auto"/>
          <w:sz w:val="24"/>
          <w:highlight w:val="none"/>
          <w:u w:val="single"/>
        </w:rPr>
        <w:t>　</w:t>
      </w:r>
      <w:r>
        <w:rPr>
          <w:rFonts w:hint="eastAsia" w:ascii="宋体" w:hAnsi="宋体"/>
          <w:color w:val="auto"/>
          <w:sz w:val="24"/>
          <w:highlight w:val="none"/>
          <w:u w:val="singl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1.2  卖方：本合同卖方系指：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1.3  现场：本合同项下的货物安装和运行地点位</w:t>
      </w:r>
      <w:r>
        <w:rPr>
          <w:rFonts w:ascii="宋体" w:hAnsi="宋体"/>
          <w:color w:val="auto"/>
          <w:sz w:val="24"/>
          <w:highlight w:val="none"/>
          <w:u w:val="single"/>
        </w:rPr>
        <w:t xml:space="preserve"> </w:t>
      </w:r>
      <w:r>
        <w:rPr>
          <w:rFonts w:hint="eastAsia" w:ascii="宋体" w:hAnsi="宋体"/>
          <w:color w:val="auto"/>
          <w:sz w:val="24"/>
          <w:highlight w:val="none"/>
          <w:u w:val="single"/>
        </w:rPr>
        <w:t>买方指定地点</w:t>
      </w:r>
      <w:r>
        <w:rPr>
          <w:rFonts w:ascii="宋体" w:hAnsi="宋体"/>
          <w:color w:val="auto"/>
          <w:sz w:val="24"/>
          <w:highlight w:val="none"/>
          <w:u w:val="single"/>
        </w:rPr>
        <w:t xml:space="preserve"> </w:t>
      </w:r>
      <w:r>
        <w:rPr>
          <w:rFonts w:ascii="宋体" w:hAnsi="宋体"/>
          <w:color w:val="auto"/>
          <w:sz w:val="24"/>
          <w:highlight w:val="none"/>
        </w:rPr>
        <w:t>。</w:t>
      </w:r>
    </w:p>
    <w:p>
      <w:pPr>
        <w:tabs>
          <w:tab w:val="left" w:pos="854"/>
        </w:tabs>
        <w:snapToGrid w:val="0"/>
        <w:spacing w:line="360" w:lineRule="auto"/>
        <w:rPr>
          <w:rFonts w:hint="eastAsia" w:ascii="宋体" w:hAnsi="宋体"/>
          <w:color w:val="auto"/>
          <w:sz w:val="24"/>
          <w:highlight w:val="none"/>
        </w:rPr>
      </w:pPr>
      <w:r>
        <w:rPr>
          <w:rFonts w:ascii="宋体" w:hAnsi="宋体"/>
          <w:b/>
          <w:color w:val="auto"/>
          <w:sz w:val="24"/>
          <w:highlight w:val="none"/>
        </w:rPr>
        <w:t>2、交货方式</w:t>
      </w:r>
    </w:p>
    <w:p>
      <w:pPr>
        <w:tabs>
          <w:tab w:val="left" w:pos="854"/>
        </w:tabs>
        <w:snapToGrid w:val="0"/>
        <w:spacing w:line="360" w:lineRule="auto"/>
        <w:rPr>
          <w:rFonts w:hint="eastAsia" w:ascii="宋体" w:hAnsi="宋体"/>
          <w:color w:val="auto"/>
          <w:sz w:val="24"/>
          <w:highlight w:val="none"/>
          <w:u w:val="single"/>
        </w:rPr>
      </w:pPr>
      <w:r>
        <w:rPr>
          <w:rFonts w:ascii="宋体" w:hAnsi="宋体"/>
          <w:color w:val="auto"/>
          <w:sz w:val="24"/>
          <w:highlight w:val="none"/>
        </w:rPr>
        <w:t>2.1  本合同项下的货物交货方式为：</w:t>
      </w:r>
      <w:bookmarkStart w:id="940" w:name="_Hlk123040096"/>
      <w:r>
        <w:rPr>
          <w:rFonts w:ascii="宋体" w:hAnsi="宋体"/>
          <w:color w:val="auto"/>
          <w:sz w:val="24"/>
          <w:highlight w:val="none"/>
          <w:u w:val="single"/>
        </w:rPr>
        <w:t>现场交货。卖方将货物运至买方指定地点并安装</w:t>
      </w:r>
      <w:r>
        <w:rPr>
          <w:rFonts w:hint="eastAsia" w:ascii="宋体" w:hAnsi="宋体"/>
          <w:color w:val="auto"/>
          <w:sz w:val="24"/>
          <w:highlight w:val="none"/>
          <w:u w:val="single"/>
        </w:rPr>
        <w:t>调试</w:t>
      </w:r>
      <w:r>
        <w:rPr>
          <w:rFonts w:ascii="宋体" w:hAnsi="宋体"/>
          <w:color w:val="auto"/>
          <w:sz w:val="24"/>
          <w:highlight w:val="none"/>
          <w:u w:val="single"/>
        </w:rPr>
        <w:t>完成，项目</w:t>
      </w:r>
      <w:r>
        <w:rPr>
          <w:rFonts w:hint="eastAsia" w:ascii="宋体" w:hAnsi="宋体"/>
          <w:color w:val="auto"/>
          <w:sz w:val="24"/>
          <w:highlight w:val="none"/>
          <w:u w:val="single"/>
        </w:rPr>
        <w:t>整体</w:t>
      </w:r>
      <w:r>
        <w:rPr>
          <w:rFonts w:ascii="宋体" w:hAnsi="宋体"/>
          <w:color w:val="auto"/>
          <w:sz w:val="24"/>
          <w:highlight w:val="none"/>
          <w:u w:val="single"/>
        </w:rPr>
        <w:t>竣工验收并移交前的风险由卖方承担</w:t>
      </w:r>
      <w:bookmarkEnd w:id="940"/>
      <w:r>
        <w:rPr>
          <w:rFonts w:ascii="宋体" w:hAnsi="宋体"/>
          <w:color w:val="auto"/>
          <w:sz w:val="24"/>
          <w:highlight w:val="none"/>
          <w:u w:val="single"/>
        </w:rPr>
        <w:t>。</w:t>
      </w:r>
    </w:p>
    <w:p>
      <w:pPr>
        <w:tabs>
          <w:tab w:val="left" w:pos="854"/>
        </w:tabs>
        <w:snapToGrid w:val="0"/>
        <w:spacing w:line="360" w:lineRule="auto"/>
        <w:rPr>
          <w:rFonts w:hint="eastAsia" w:ascii="宋体" w:hAnsi="宋体"/>
          <w:b/>
          <w:color w:val="auto"/>
          <w:sz w:val="24"/>
          <w:highlight w:val="none"/>
        </w:rPr>
      </w:pPr>
      <w:r>
        <w:rPr>
          <w:rFonts w:ascii="宋体" w:hAnsi="宋体"/>
          <w:b/>
          <w:color w:val="auto"/>
          <w:sz w:val="24"/>
          <w:highlight w:val="none"/>
        </w:rPr>
        <w:t>3、付款条件：</w:t>
      </w:r>
      <w:r>
        <w:rPr>
          <w:rFonts w:hint="eastAsia" w:ascii="宋体" w:hAnsi="宋体"/>
          <w:color w:val="auto"/>
          <w:sz w:val="24"/>
          <w:highlight w:val="none"/>
          <w:u w:val="single"/>
        </w:rPr>
        <w:t xml:space="preserve">   详见本合同  三、付款方式    </w:t>
      </w:r>
      <w:r>
        <w:rPr>
          <w:rFonts w:hint="eastAsia" w:ascii="宋体" w:hAnsi="宋体"/>
          <w:b/>
          <w:color w:val="auto"/>
          <w:sz w:val="24"/>
          <w:highlight w:val="none"/>
        </w:rPr>
        <w:t xml:space="preserve"> </w:t>
      </w:r>
    </w:p>
    <w:p>
      <w:pPr>
        <w:tabs>
          <w:tab w:val="left" w:pos="854"/>
        </w:tabs>
        <w:snapToGrid w:val="0"/>
        <w:spacing w:line="360" w:lineRule="auto"/>
        <w:rPr>
          <w:rFonts w:hint="eastAsia" w:ascii="宋体" w:hAnsi="宋体"/>
          <w:color w:val="auto"/>
          <w:sz w:val="24"/>
          <w:highlight w:val="none"/>
        </w:rPr>
      </w:pPr>
      <w:r>
        <w:rPr>
          <w:rFonts w:ascii="宋体" w:hAnsi="宋体"/>
          <w:b/>
          <w:color w:val="auto"/>
          <w:sz w:val="24"/>
          <w:highlight w:val="none"/>
        </w:rPr>
        <w:t>4、技术资料：</w:t>
      </w:r>
      <w:r>
        <w:rPr>
          <w:rFonts w:ascii="宋体" w:hAnsi="宋体"/>
          <w:color w:val="auto"/>
          <w:sz w:val="24"/>
          <w:highlight w:val="none"/>
          <w:u w:val="single"/>
        </w:rPr>
        <w:t>　</w:t>
      </w:r>
      <w:bookmarkStart w:id="941" w:name="_Hlk123040106"/>
      <w:r>
        <w:rPr>
          <w:rFonts w:ascii="宋体" w:hAnsi="宋体"/>
          <w:color w:val="auto"/>
          <w:sz w:val="24"/>
          <w:highlight w:val="none"/>
          <w:u w:val="single"/>
        </w:rPr>
        <w:t>检测合格证</w:t>
      </w:r>
      <w:r>
        <w:rPr>
          <w:rFonts w:hint="eastAsia" w:ascii="宋体" w:hAnsi="宋体"/>
          <w:color w:val="auto"/>
          <w:sz w:val="24"/>
          <w:highlight w:val="none"/>
          <w:u w:val="single"/>
        </w:rPr>
        <w:t>、产品</w:t>
      </w:r>
      <w:r>
        <w:rPr>
          <w:rFonts w:ascii="宋体" w:hAnsi="宋体"/>
          <w:color w:val="auto"/>
          <w:sz w:val="24"/>
          <w:highlight w:val="none"/>
          <w:u w:val="single"/>
        </w:rPr>
        <w:t>说明、需求规格说明书</w:t>
      </w:r>
      <w:bookmarkEnd w:id="941"/>
      <w:r>
        <w:rPr>
          <w:rFonts w:hint="eastAsia" w:ascii="宋体" w:hAnsi="宋体"/>
          <w:color w:val="auto"/>
          <w:sz w:val="24"/>
          <w:highlight w:val="none"/>
          <w:u w:val="single"/>
        </w:rPr>
        <w:t>、详细设计文档、用户手册、操作手册、测试报告等</w:t>
      </w:r>
      <w:r>
        <w:rPr>
          <w:rFonts w:hint="eastAsia" w:ascii="宋体" w:hAnsi="宋体"/>
          <w:color w:val="auto"/>
          <w:sz w:val="24"/>
          <w:highlight w:val="none"/>
        </w:rPr>
        <w:t>。本合同未列的，以投标文件为准。</w:t>
      </w:r>
    </w:p>
    <w:p>
      <w:pPr>
        <w:tabs>
          <w:tab w:val="left" w:pos="854"/>
        </w:tabs>
        <w:snapToGrid w:val="0"/>
        <w:spacing w:line="360" w:lineRule="auto"/>
        <w:rPr>
          <w:rFonts w:hint="eastAsia" w:ascii="宋体" w:hAnsi="宋体"/>
          <w:b/>
          <w:color w:val="auto"/>
          <w:sz w:val="24"/>
          <w:highlight w:val="none"/>
          <w:u w:val="single"/>
        </w:rPr>
      </w:pPr>
      <w:r>
        <w:rPr>
          <w:rFonts w:ascii="宋体" w:hAnsi="宋体"/>
          <w:b/>
          <w:color w:val="auto"/>
          <w:sz w:val="24"/>
          <w:highlight w:val="none"/>
        </w:rPr>
        <w:t>5、</w:t>
      </w:r>
      <w:r>
        <w:rPr>
          <w:rFonts w:hint="eastAsia" w:ascii="宋体" w:hAnsi="宋体"/>
          <w:b/>
          <w:color w:val="auto"/>
          <w:sz w:val="24"/>
          <w:highlight w:val="none"/>
        </w:rPr>
        <w:t>其他要求</w:t>
      </w:r>
    </w:p>
    <w:p>
      <w:pPr>
        <w:tabs>
          <w:tab w:val="left" w:pos="854"/>
        </w:tabs>
        <w:snapToGrid w:val="0"/>
        <w:spacing w:line="360" w:lineRule="auto"/>
        <w:ind w:firstLine="480" w:firstLineChars="200"/>
        <w:rPr>
          <w:rFonts w:hint="eastAsia" w:ascii="宋体" w:hAnsi="宋体"/>
          <w:color w:val="auto"/>
          <w:sz w:val="24"/>
          <w:highlight w:val="none"/>
        </w:rPr>
      </w:pPr>
      <w:bookmarkStart w:id="942" w:name="_Hlk129618602"/>
      <w:r>
        <w:rPr>
          <w:rFonts w:hint="eastAsia" w:ascii="宋体" w:hAnsi="宋体"/>
          <w:color w:val="auto"/>
          <w:sz w:val="24"/>
          <w:highlight w:val="none"/>
        </w:rPr>
        <w:t>5</w:t>
      </w:r>
      <w:r>
        <w:rPr>
          <w:rFonts w:ascii="宋体" w:hAnsi="宋体"/>
          <w:color w:val="auto"/>
          <w:sz w:val="24"/>
          <w:highlight w:val="none"/>
        </w:rPr>
        <w:t xml:space="preserve">.1 </w:t>
      </w:r>
      <w:r>
        <w:rPr>
          <w:rFonts w:hint="eastAsia" w:ascii="宋体" w:hAnsi="宋体"/>
          <w:color w:val="auto"/>
          <w:sz w:val="24"/>
          <w:highlight w:val="none"/>
        </w:rPr>
        <w:t>售后服务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本项目的免费售后服务期为项目通过竣工验收、甲乙双方签署项目验收报告之日起</w:t>
      </w:r>
      <w:r>
        <w:rPr>
          <w:rFonts w:hint="eastAsia" w:ascii="宋体" w:hAnsi="宋体"/>
          <w:color w:val="auto"/>
          <w:sz w:val="24"/>
          <w:highlight w:val="none"/>
          <w:u w:val="single"/>
        </w:rPr>
        <w:t xml:space="preserve"> 三_</w:t>
      </w:r>
      <w:r>
        <w:rPr>
          <w:rFonts w:hint="eastAsia" w:ascii="宋体" w:hAnsi="宋体"/>
          <w:color w:val="auto"/>
          <w:sz w:val="24"/>
          <w:highlight w:val="none"/>
        </w:rPr>
        <w:t>年。</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1</w:t>
      </w:r>
      <w:r>
        <w:rPr>
          <w:rFonts w:hint="eastAsia" w:ascii="宋体" w:hAnsi="宋体"/>
          <w:color w:val="auto"/>
          <w:sz w:val="24"/>
          <w:highlight w:val="none"/>
        </w:rPr>
        <w:t xml:space="preserve">.1在本项目的免费售后服务期内，卖方对包括硬件设备、性能优化、功能调整、故障检测与排除等，提供 </w:t>
      </w:r>
      <w:r>
        <w:rPr>
          <w:rFonts w:ascii="宋体" w:hAnsi="宋体"/>
          <w:color w:val="auto"/>
          <w:sz w:val="24"/>
          <w:highlight w:val="none"/>
        </w:rPr>
        <w:t>7</w:t>
      </w:r>
      <w:r>
        <w:rPr>
          <w:rFonts w:hint="eastAsia" w:ascii="宋体" w:hAnsi="宋体"/>
          <w:color w:val="auto"/>
          <w:sz w:val="24"/>
          <w:highlight w:val="none"/>
        </w:rPr>
        <w:t>×24 小时技术支持和服务，1小时内做出实质性响应，</w:t>
      </w:r>
      <w:r>
        <w:rPr>
          <w:rFonts w:ascii="宋体" w:hAnsi="宋体"/>
          <w:color w:val="auto"/>
          <w:sz w:val="24"/>
          <w:highlight w:val="none"/>
        </w:rPr>
        <w:t>2</w:t>
      </w:r>
      <w:r>
        <w:rPr>
          <w:rFonts w:hint="eastAsia" w:ascii="宋体" w:hAnsi="宋体"/>
          <w:color w:val="auto"/>
          <w:sz w:val="24"/>
          <w:highlight w:val="none"/>
        </w:rPr>
        <w:t>小时内解决问题；对重大或紧急问题技术人员不能现场解决的，后援技术人员3小时内到达指定现场；问题解决后 48 小时内，提交问题处理报告，说明问题种类、问题原因、问题解决中使用的方法及造成的损失等情况。</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1</w:t>
      </w:r>
      <w:r>
        <w:rPr>
          <w:rFonts w:hint="eastAsia" w:ascii="宋体" w:hAnsi="宋体"/>
          <w:color w:val="auto"/>
          <w:sz w:val="24"/>
          <w:highlight w:val="none"/>
        </w:rPr>
        <w:t>.2在本项目的免费售后服务期内，卖方按月度提供设备的巡检服务。采购需求和政策法规范围内，仍应免费按买方需求做出相应修改，以满足买方需求。</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在设备的设计使用寿命周期内，卖方应能保证买方能够更换到原厂零部件，确保设备的正常使用。质保期内，若系统内各类硬件因生产厂家停产、升级导致的无法使用原有型号设备进行维修或更换的，卖方应使用不低于原有型号设备性能的替代产品或使用升级后的产设备进行维修或更换的，买方不再承担任何费用。</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1</w:t>
      </w: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免费服务期内，售后服务内容包括但不限于以下所列的服务项目</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①提供项目组技术人员三年免费技术支持与维护</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②7×24 小时电话技术支持服务;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③按月度提供设备的巡检服务;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④及时的故障响应和处理服务;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⑤技术支持服务;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⑥系统故障定位服务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⑦调优方案设计服务;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2</w:t>
      </w:r>
      <w:r>
        <w:rPr>
          <w:rFonts w:hint="eastAsia" w:ascii="宋体" w:hAnsi="宋体"/>
          <w:color w:val="auto"/>
          <w:sz w:val="24"/>
          <w:highlight w:val="none"/>
        </w:rPr>
        <w:t>质保期外服务要求</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质量保证期过后，卖方和制造商应同样提供免费电话咨询服务，并应承诺提供产品上门维护服务。买方需要继续由卖方和制造商提供售后服务的，卖方和制造商应以优惠价格提供售后服务。</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.3</w:t>
      </w:r>
      <w:r>
        <w:rPr>
          <w:rFonts w:hint="eastAsia" w:ascii="宋体" w:hAnsi="宋体"/>
          <w:color w:val="auto"/>
          <w:sz w:val="24"/>
          <w:highlight w:val="none"/>
        </w:rPr>
        <w:t>技术培训</w:t>
      </w:r>
    </w:p>
    <w:p>
      <w:pPr>
        <w:tabs>
          <w:tab w:val="left" w:pos="854"/>
        </w:tabs>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成交人应对采购人进行所供设备全面的技术培训，使采购人使用人员能够达到独立进行使用、维护和简单故障处理等工作。具体的培训时间、培训地点、培训方式、培训内容、培训人数由采购人根据实际需求确定，成交人不得再收取任何费用。</w:t>
      </w:r>
      <w:bookmarkEnd w:id="942"/>
    </w:p>
    <w:p>
      <w:pPr>
        <w:widowControl/>
        <w:spacing w:line="360" w:lineRule="auto"/>
        <w:ind w:firstLine="482"/>
        <w:contextualSpacing/>
        <w:rPr>
          <w:rFonts w:hint="eastAsia" w:ascii="宋体" w:hAnsi="宋体"/>
          <w:bCs/>
          <w:color w:val="auto"/>
          <w:sz w:val="24"/>
          <w:highlight w:val="none"/>
        </w:rPr>
      </w:pPr>
      <w:r>
        <w:rPr>
          <w:rFonts w:hint="eastAsia" w:ascii="宋体" w:hAnsi="宋体"/>
          <w:bCs/>
          <w:color w:val="auto"/>
          <w:sz w:val="24"/>
          <w:highlight w:val="none"/>
        </w:rPr>
        <w:t>5</w:t>
      </w:r>
      <w:r>
        <w:rPr>
          <w:rFonts w:ascii="宋体" w:hAnsi="宋体"/>
          <w:bCs/>
          <w:color w:val="auto"/>
          <w:sz w:val="24"/>
          <w:highlight w:val="none"/>
        </w:rPr>
        <w:t>.4</w:t>
      </w:r>
      <w:r>
        <w:rPr>
          <w:rFonts w:hint="eastAsia" w:ascii="宋体" w:hAnsi="宋体"/>
          <w:bCs/>
          <w:color w:val="auto"/>
          <w:sz w:val="24"/>
          <w:highlight w:val="none"/>
        </w:rPr>
        <w:t>安装要求</w:t>
      </w:r>
    </w:p>
    <w:p>
      <w:pPr>
        <w:widowControl/>
        <w:spacing w:line="360" w:lineRule="auto"/>
        <w:ind w:firstLine="482"/>
        <w:contextualSpacing/>
        <w:rPr>
          <w:rFonts w:hint="eastAsia" w:ascii="宋体" w:hAnsi="宋体"/>
          <w:bCs/>
          <w:color w:val="auto"/>
          <w:sz w:val="24"/>
          <w:highlight w:val="none"/>
        </w:rPr>
      </w:pPr>
      <w:r>
        <w:rPr>
          <w:rFonts w:hint="eastAsia" w:ascii="宋体" w:hAnsi="宋体"/>
          <w:bCs/>
          <w:color w:val="auto"/>
          <w:sz w:val="24"/>
          <w:highlight w:val="none"/>
        </w:rPr>
        <w:t>5</w:t>
      </w:r>
      <w:r>
        <w:rPr>
          <w:rFonts w:ascii="宋体" w:hAnsi="宋体"/>
          <w:bCs/>
          <w:color w:val="auto"/>
          <w:sz w:val="24"/>
          <w:highlight w:val="none"/>
        </w:rPr>
        <w:t>.4.1</w:t>
      </w:r>
      <w:r>
        <w:rPr>
          <w:rFonts w:hint="eastAsia" w:ascii="宋体" w:hAnsi="宋体"/>
          <w:bCs/>
          <w:color w:val="auto"/>
          <w:sz w:val="24"/>
          <w:highlight w:val="none"/>
        </w:rPr>
        <w:t>投标人在搬运及安装设备过程中，应采取措施做好成品保护工作，防止已完工作遭受损坏或破坏。如造成损坏，应在项目移交前负责恢复原貌。</w:t>
      </w:r>
    </w:p>
    <w:p>
      <w:pPr>
        <w:widowControl/>
        <w:spacing w:line="360" w:lineRule="auto"/>
        <w:ind w:firstLine="482"/>
        <w:contextualSpacing/>
        <w:rPr>
          <w:rFonts w:hint="eastAsia" w:ascii="宋体" w:hAnsi="宋体"/>
          <w:bCs/>
          <w:color w:val="auto"/>
          <w:sz w:val="24"/>
          <w:highlight w:val="none"/>
        </w:rPr>
      </w:pPr>
      <w:r>
        <w:rPr>
          <w:rFonts w:hint="eastAsia" w:ascii="宋体" w:hAnsi="宋体"/>
          <w:bCs/>
          <w:color w:val="auto"/>
          <w:sz w:val="24"/>
          <w:highlight w:val="none"/>
        </w:rPr>
        <w:t>5</w:t>
      </w:r>
      <w:r>
        <w:rPr>
          <w:rFonts w:ascii="宋体" w:hAnsi="宋体"/>
          <w:bCs/>
          <w:color w:val="auto"/>
          <w:sz w:val="24"/>
          <w:highlight w:val="none"/>
        </w:rPr>
        <w:t>.4.2</w:t>
      </w:r>
      <w:r>
        <w:rPr>
          <w:rFonts w:hint="eastAsia" w:ascii="宋体" w:hAnsi="宋体"/>
          <w:bCs/>
          <w:color w:val="auto"/>
          <w:sz w:val="24"/>
          <w:highlight w:val="none"/>
        </w:rPr>
        <w:t>设备安装过程，如需剔槽、配管、配线，相关费用投标人自行承担。</w:t>
      </w:r>
    </w:p>
    <w:p>
      <w:pPr>
        <w:widowControl/>
        <w:spacing w:line="360" w:lineRule="auto"/>
        <w:ind w:firstLine="482"/>
        <w:contextualSpacing/>
        <w:rPr>
          <w:rFonts w:hint="eastAsia" w:ascii="宋体" w:hAnsi="宋体"/>
          <w:bCs/>
          <w:color w:val="auto"/>
          <w:sz w:val="24"/>
          <w:highlight w:val="none"/>
        </w:rPr>
      </w:pPr>
      <w:r>
        <w:rPr>
          <w:rFonts w:hint="eastAsia" w:ascii="宋体" w:hAnsi="宋体"/>
          <w:bCs/>
          <w:color w:val="auto"/>
          <w:sz w:val="24"/>
          <w:highlight w:val="none"/>
        </w:rPr>
        <w:t>5</w:t>
      </w:r>
      <w:r>
        <w:rPr>
          <w:rFonts w:ascii="宋体" w:hAnsi="宋体"/>
          <w:bCs/>
          <w:color w:val="auto"/>
          <w:sz w:val="24"/>
          <w:highlight w:val="none"/>
        </w:rPr>
        <w:t>.4.3</w:t>
      </w:r>
      <w:r>
        <w:rPr>
          <w:rFonts w:hint="eastAsia" w:ascii="宋体" w:hAnsi="宋体"/>
          <w:bCs/>
          <w:color w:val="auto"/>
          <w:sz w:val="24"/>
          <w:highlight w:val="none"/>
        </w:rPr>
        <w:t>设备安装过程中，现场实际安装面积受限的情况下，设备尺寸可依现场实际情况调整。</w:t>
      </w:r>
    </w:p>
    <w:p>
      <w:pPr>
        <w:tabs>
          <w:tab w:val="left" w:pos="854"/>
        </w:tabs>
        <w:snapToGrid w:val="0"/>
        <w:spacing w:line="360" w:lineRule="auto"/>
        <w:rPr>
          <w:rFonts w:hint="eastAsia" w:ascii="宋体" w:hAnsi="宋体"/>
          <w:b/>
          <w:color w:val="auto"/>
          <w:sz w:val="24"/>
          <w:highlight w:val="none"/>
        </w:rPr>
      </w:pPr>
      <w:r>
        <w:rPr>
          <w:rFonts w:ascii="宋体" w:hAnsi="宋体"/>
          <w:b/>
          <w:color w:val="auto"/>
          <w:sz w:val="24"/>
          <w:highlight w:val="none"/>
        </w:rPr>
        <w:t>6</w:t>
      </w:r>
      <w:r>
        <w:rPr>
          <w:rFonts w:hint="eastAsia" w:ascii="宋体" w:hAnsi="宋体"/>
          <w:b/>
          <w:color w:val="auto"/>
          <w:sz w:val="24"/>
          <w:highlight w:val="none"/>
        </w:rPr>
        <w:t>、</w:t>
      </w:r>
      <w:r>
        <w:rPr>
          <w:rFonts w:ascii="宋体" w:hAnsi="宋体"/>
          <w:b/>
          <w:color w:val="auto"/>
          <w:sz w:val="24"/>
          <w:highlight w:val="none"/>
        </w:rPr>
        <w:t>检验和验收：</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6.1 </w:t>
      </w:r>
      <w:r>
        <w:rPr>
          <w:rFonts w:ascii="宋体" w:hAnsi="宋体"/>
          <w:color w:val="auto"/>
          <w:sz w:val="24"/>
          <w:highlight w:val="none"/>
        </w:rPr>
        <w:t>索赔通知期限：</w:t>
      </w:r>
      <w:r>
        <w:rPr>
          <w:rFonts w:ascii="宋体" w:hAnsi="宋体"/>
          <w:color w:val="auto"/>
          <w:sz w:val="24"/>
          <w:highlight w:val="none"/>
          <w:u w:val="single"/>
        </w:rPr>
        <w:t xml:space="preserve">   </w:t>
      </w:r>
      <w:r>
        <w:rPr>
          <w:rFonts w:hint="eastAsia" w:ascii="宋体" w:hAnsi="宋体"/>
          <w:color w:val="auto"/>
          <w:sz w:val="24"/>
          <w:highlight w:val="none"/>
          <w:u w:val="single"/>
        </w:rPr>
        <w:t>14</w:t>
      </w:r>
      <w:r>
        <w:rPr>
          <w:rFonts w:ascii="宋体" w:hAnsi="宋体"/>
          <w:color w:val="auto"/>
          <w:sz w:val="24"/>
          <w:highlight w:val="none"/>
          <w:u w:val="single"/>
        </w:rPr>
        <w:t xml:space="preserve">   </w:t>
      </w:r>
      <w:r>
        <w:rPr>
          <w:rFonts w:ascii="宋体" w:hAnsi="宋体"/>
          <w:color w:val="auto"/>
          <w:sz w:val="24"/>
          <w:highlight w:val="none"/>
        </w:rPr>
        <w:t>天。</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6.2卖方的设备到场后应进行安装调试，设备及系统的运转应达到本合同及投标文件要求，能否保证正常稳定地运转并完全实现买方的使用需求。不符合上述要件的，买方不予在验收单上签署意见。</w:t>
      </w:r>
    </w:p>
    <w:p>
      <w:pPr>
        <w:tabs>
          <w:tab w:val="left" w:pos="854"/>
        </w:tabs>
        <w:snapToGrid w:val="0"/>
        <w:spacing w:line="360" w:lineRule="auto"/>
        <w:rPr>
          <w:rFonts w:hint="eastAsia" w:ascii="宋体" w:hAnsi="宋体"/>
          <w:b/>
          <w:color w:val="auto"/>
          <w:sz w:val="24"/>
          <w:highlight w:val="none"/>
        </w:rPr>
      </w:pPr>
      <w:r>
        <w:rPr>
          <w:rFonts w:ascii="宋体" w:hAnsi="宋体"/>
          <w:b/>
          <w:color w:val="auto"/>
          <w:sz w:val="24"/>
          <w:highlight w:val="none"/>
        </w:rPr>
        <w:t>7、不可抗力：</w:t>
      </w:r>
    </w:p>
    <w:p>
      <w:pPr>
        <w:tabs>
          <w:tab w:val="left" w:pos="854"/>
        </w:tabs>
        <w:snapToGrid w:val="0"/>
        <w:spacing w:line="360" w:lineRule="auto"/>
        <w:rPr>
          <w:rFonts w:hint="eastAsia" w:ascii="宋体" w:hAnsi="宋体"/>
          <w:color w:val="auto"/>
          <w:sz w:val="24"/>
          <w:highlight w:val="none"/>
        </w:rPr>
      </w:pPr>
      <w:r>
        <w:rPr>
          <w:rFonts w:ascii="宋体" w:hAnsi="宋体"/>
          <w:color w:val="auto"/>
          <w:sz w:val="24"/>
          <w:highlight w:val="none"/>
        </w:rPr>
        <w:t>7.1 不可抗力通知送达时间：事故发生后</w:t>
      </w:r>
      <w:r>
        <w:rPr>
          <w:rFonts w:ascii="宋体" w:hAnsi="宋体"/>
          <w:color w:val="auto"/>
          <w:sz w:val="24"/>
          <w:highlight w:val="none"/>
          <w:u w:val="single"/>
        </w:rPr>
        <w:t xml:space="preserve">  </w:t>
      </w:r>
      <w:r>
        <w:rPr>
          <w:rFonts w:hint="eastAsia" w:ascii="宋体" w:hAnsi="宋体"/>
          <w:color w:val="auto"/>
          <w:sz w:val="24"/>
          <w:highlight w:val="none"/>
          <w:u w:val="single"/>
        </w:rPr>
        <w:t>28</w:t>
      </w:r>
      <w:r>
        <w:rPr>
          <w:rFonts w:ascii="宋体" w:hAnsi="宋体"/>
          <w:color w:val="auto"/>
          <w:sz w:val="24"/>
          <w:highlight w:val="none"/>
          <w:u w:val="single"/>
        </w:rPr>
        <w:t xml:space="preserve">  </w:t>
      </w:r>
      <w:r>
        <w:rPr>
          <w:rFonts w:ascii="宋体" w:hAnsi="宋体"/>
          <w:color w:val="auto"/>
          <w:sz w:val="24"/>
          <w:highlight w:val="none"/>
        </w:rPr>
        <w:t>天内。</w:t>
      </w:r>
    </w:p>
    <w:p>
      <w:pPr>
        <w:tabs>
          <w:tab w:val="left" w:pos="854"/>
        </w:tabs>
        <w:snapToGrid w:val="0"/>
        <w:spacing w:line="360" w:lineRule="auto"/>
        <w:rPr>
          <w:rFonts w:hint="eastAsia" w:ascii="宋体" w:hAnsi="宋体"/>
          <w:color w:val="auto"/>
          <w:sz w:val="24"/>
          <w:highlight w:val="none"/>
        </w:rPr>
      </w:pPr>
      <w:r>
        <w:rPr>
          <w:rFonts w:ascii="宋体" w:hAnsi="宋体"/>
          <w:b/>
          <w:color w:val="auto"/>
          <w:sz w:val="24"/>
          <w:highlight w:val="none"/>
        </w:rPr>
        <w:t>8、提交履约保证金的时间：</w:t>
      </w:r>
      <w:r>
        <w:rPr>
          <w:rFonts w:ascii="宋体" w:hAnsi="宋体"/>
          <w:color w:val="auto"/>
          <w:sz w:val="24"/>
          <w:highlight w:val="none"/>
        </w:rPr>
        <w:t>签订合同后</w:t>
      </w:r>
      <w:r>
        <w:rPr>
          <w:rFonts w:ascii="宋体" w:hAnsi="宋体"/>
          <w:color w:val="auto"/>
          <w:sz w:val="24"/>
          <w:highlight w:val="none"/>
          <w:u w:val="single"/>
        </w:rPr>
        <w:t xml:space="preserve">  7   </w:t>
      </w:r>
      <w:r>
        <w:rPr>
          <w:rFonts w:ascii="宋体" w:hAnsi="宋体"/>
          <w:color w:val="auto"/>
          <w:sz w:val="24"/>
          <w:highlight w:val="none"/>
        </w:rPr>
        <w:t>天</w:t>
      </w:r>
    </w:p>
    <w:p>
      <w:pPr>
        <w:tabs>
          <w:tab w:val="left" w:pos="854"/>
        </w:tabs>
        <w:snapToGrid w:val="0"/>
        <w:spacing w:line="360" w:lineRule="auto"/>
        <w:rPr>
          <w:rFonts w:hint="eastAsia" w:ascii="宋体" w:hAnsi="宋体"/>
          <w:color w:val="auto"/>
          <w:sz w:val="24"/>
          <w:highlight w:val="none"/>
          <w:u w:val="single"/>
        </w:rPr>
      </w:pPr>
      <w:r>
        <w:rPr>
          <w:rFonts w:ascii="宋体" w:hAnsi="宋体"/>
          <w:color w:val="auto"/>
          <w:sz w:val="24"/>
          <w:highlight w:val="none"/>
        </w:rPr>
        <w:t xml:space="preserve">        履约保证金金额：合同总价的</w:t>
      </w:r>
      <w:r>
        <w:rPr>
          <w:rFonts w:ascii="宋体" w:hAnsi="宋体"/>
          <w:color w:val="auto"/>
          <w:sz w:val="24"/>
          <w:highlight w:val="none"/>
          <w:u w:val="single"/>
        </w:rPr>
        <w:t xml:space="preserve"> 5%    </w:t>
      </w:r>
    </w:p>
    <w:p>
      <w:pPr>
        <w:tabs>
          <w:tab w:val="left" w:pos="854"/>
        </w:tabs>
        <w:snapToGrid w:val="0"/>
        <w:spacing w:line="360" w:lineRule="auto"/>
        <w:rPr>
          <w:rFonts w:hint="eastAsia" w:ascii="宋体" w:hAnsi="宋体"/>
          <w:color w:val="auto"/>
          <w:sz w:val="24"/>
          <w:highlight w:val="none"/>
        </w:rPr>
      </w:pPr>
      <w:r>
        <w:rPr>
          <w:rFonts w:hint="eastAsia" w:ascii="宋体" w:hAnsi="宋体"/>
          <w:b/>
          <w:color w:val="auto"/>
          <w:sz w:val="24"/>
          <w:highlight w:val="none"/>
        </w:rPr>
        <w:t>9、质量保证金：</w:t>
      </w:r>
      <w:bookmarkStart w:id="943" w:name="_Hlk123040125"/>
      <w:r>
        <w:rPr>
          <w:rFonts w:hint="eastAsia" w:ascii="宋体" w:hAnsi="宋体"/>
          <w:color w:val="auto"/>
          <w:sz w:val="24"/>
          <w:highlight w:val="none"/>
        </w:rPr>
        <w:t>合同签订后</w:t>
      </w:r>
      <w:r>
        <w:rPr>
          <w:rFonts w:ascii="宋体" w:hAnsi="宋体"/>
          <w:color w:val="auto"/>
          <w:sz w:val="24"/>
          <w:highlight w:val="none"/>
        </w:rPr>
        <w:t>7</w:t>
      </w:r>
      <w:r>
        <w:rPr>
          <w:rFonts w:hint="eastAsia" w:ascii="宋体" w:hAnsi="宋体"/>
          <w:color w:val="auto"/>
          <w:sz w:val="24"/>
          <w:highlight w:val="none"/>
        </w:rPr>
        <w:t>日内，卖方向买方缴纳合同总价的</w:t>
      </w:r>
      <w:r>
        <w:rPr>
          <w:rFonts w:ascii="宋体" w:hAnsi="宋体"/>
          <w:color w:val="auto"/>
          <w:sz w:val="24"/>
          <w:highlight w:val="none"/>
        </w:rPr>
        <w:t>5</w:t>
      </w:r>
      <w:r>
        <w:rPr>
          <w:rFonts w:hint="eastAsia" w:ascii="宋体" w:hAnsi="宋体"/>
          <w:color w:val="auto"/>
          <w:sz w:val="24"/>
          <w:highlight w:val="none"/>
        </w:rPr>
        <w:t>%作为履约保证金。合同期满且履约无误后，待项目验收后，买方无息退还卖方2%，剩余3%转为质量保证金，待质保期满后，买方无息退还卖方。</w:t>
      </w:r>
      <w:bookmarkEnd w:id="943"/>
    </w:p>
    <w:p>
      <w:pPr>
        <w:tabs>
          <w:tab w:val="left" w:pos="854"/>
        </w:tabs>
        <w:snapToGrid w:val="0"/>
        <w:spacing w:line="360" w:lineRule="auto"/>
        <w:rPr>
          <w:rFonts w:hint="eastAsia" w:ascii="宋体" w:hAnsi="宋体"/>
          <w:b/>
          <w:bCs/>
          <w:color w:val="auto"/>
          <w:sz w:val="24"/>
          <w:highlight w:val="none"/>
        </w:rPr>
      </w:pPr>
      <w:r>
        <w:rPr>
          <w:rFonts w:hint="eastAsia" w:ascii="宋体" w:hAnsi="宋体"/>
          <w:b/>
          <w:bCs/>
          <w:color w:val="auto"/>
          <w:sz w:val="24"/>
          <w:highlight w:val="none"/>
        </w:rPr>
        <w:t>1</w:t>
      </w:r>
      <w:r>
        <w:rPr>
          <w:rFonts w:ascii="宋体" w:hAnsi="宋体"/>
          <w:b/>
          <w:bCs/>
          <w:color w:val="auto"/>
          <w:sz w:val="24"/>
          <w:highlight w:val="none"/>
        </w:rPr>
        <w:t>0</w:t>
      </w:r>
      <w:r>
        <w:rPr>
          <w:rFonts w:hint="eastAsia" w:ascii="宋体" w:hAnsi="宋体"/>
          <w:b/>
          <w:bCs/>
          <w:color w:val="auto"/>
          <w:sz w:val="24"/>
          <w:highlight w:val="none"/>
        </w:rPr>
        <w:t>、违约赔偿</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w:t>
      </w:r>
      <w:r>
        <w:rPr>
          <w:rFonts w:ascii="宋体" w:hAnsi="宋体"/>
          <w:color w:val="auto"/>
          <w:sz w:val="24"/>
          <w:highlight w:val="none"/>
        </w:rPr>
        <w:t>1</w:t>
      </w:r>
      <w:r>
        <w:rPr>
          <w:rFonts w:hint="eastAsia" w:ascii="宋体" w:hAnsi="宋体"/>
          <w:color w:val="auto"/>
          <w:sz w:val="24"/>
          <w:highlight w:val="none"/>
        </w:rPr>
        <w:t xml:space="preserve"> 卖方的设备到场后应进行安装调试，设备及系统的运转应达到投标文件要求，能否保证正常运转并完全实现买方的使用需求。卖方不能按照合同约定的期限和标准向买方交付合同标的的，应按合同金额的日千分之三支付迟延交付期间的违约金，迟延交付超过十五日的，买方有权解除合同，卖方应向买方支付不能交货部分货款30%作为违约金，因此造成买方其他损失的，还应赔偿买方损失(包括但不限于延误工期、第三方索赔损失等)。</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10.2 初验中发现卖方所交产品种类、型号、规格、质量不符合约定的，买方有权拒收，卖方在双方约定期限内按合同约定的标准进行补足；买方使用过程中发现货物存在与合同不一致的，由卖方在限定期限内负责更换。卖方有前述行为的，应从合同约定交货之日起至更换后产品符合约定之日止按逾期交货承担违约责任，即按不合格货物金额的日百分之三支付迟延交货期间的违约金，卖方超过约定或限定期限仍未完成补足、更换的，应按照合同金额的30%向买方支付违约金，买方有权选择就该部分货物进行退货或解除整个合同。</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10.3如卖方系统不能正常运转，买方有权在以下方式中选择一项进行处理并要求卖方应承担违约责任：解除合同并不支付任何费用，选择继续履行合同，但前提是卖方应进行故障修复至正常运行，同时卖方价款应降低或质保期应延长。</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10.4卖方未经买方书面同意的情形下，不得将本合同的权利义务转给第三方。一经发现，买方有权立即解除合同，卖方无权向买方要求任何费用，并应按照合同金额的30%向买方支付违约金。如买方选择不解除合同的，卖方应按照合同金额的10%向买方支付违约金，同时与第三方就合同履行对买方承担连带责任。</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0.5</w:t>
      </w:r>
      <w:r>
        <w:rPr>
          <w:rFonts w:hint="eastAsia" w:ascii="宋体" w:hAnsi="宋体"/>
          <w:color w:val="auto"/>
          <w:sz w:val="24"/>
          <w:highlight w:val="none"/>
        </w:rPr>
        <w:t>买方有权对卖方的工作进行监督并提出意见或建议，卖方应当及时采纳，如未采纳的应作出合理解释;卖方未能及时答复或怠于答复的，每发生一次，应向买方支付该阶段合同款的3%的违约金。</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0.6</w:t>
      </w:r>
      <w:r>
        <w:rPr>
          <w:rFonts w:hint="eastAsia" w:ascii="宋体" w:hAnsi="宋体"/>
          <w:color w:val="auto"/>
          <w:sz w:val="24"/>
          <w:highlight w:val="none"/>
        </w:rPr>
        <w:t>卖方未按要求参加工作会议的，每出现一次按3000元支付违约金，经买方催告仍不参加重要工作会议导致给工程造成影响的，按10000元/次支付违约金。</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10.7卖方未按合同约定或未完全按照合同履行义务，经买方书面催告后未在限定期限内完成整改的，买方有权解除合同，卖方应按合同金额的30%支付违约金，违约金不足以赔偿损失的，还应赔偿损失。</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10.8以上款项买方可直接自合同款中予以扣除。</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10.9 买方按照合同要求及时付款，若延迟一日，应按合同金额的日千分之三支付迟延期间的违约金。迟延付款超过十五日的，卖方方有权解除合同，买方应向卖方支付不能交货部分货款30%作为违约金，因此造成卖方其他损失的，还应赔偿卖方损失(包括但不限于延误工期、第三方索赔损失等)。</w:t>
      </w:r>
    </w:p>
    <w:p>
      <w:pPr>
        <w:tabs>
          <w:tab w:val="left" w:pos="854"/>
        </w:tabs>
        <w:snapToGrid w:val="0"/>
        <w:spacing w:line="360" w:lineRule="auto"/>
        <w:rPr>
          <w:rFonts w:hint="eastAsia" w:ascii="宋体" w:hAnsi="宋体"/>
          <w:b/>
          <w:bCs/>
          <w:color w:val="auto"/>
          <w:sz w:val="24"/>
          <w:highlight w:val="none"/>
        </w:rPr>
      </w:pPr>
      <w:r>
        <w:rPr>
          <w:rFonts w:hint="eastAsia" w:ascii="宋体" w:hAnsi="宋体"/>
          <w:b/>
          <w:bCs/>
          <w:color w:val="auto"/>
          <w:sz w:val="24"/>
          <w:highlight w:val="none"/>
        </w:rPr>
        <w:t>11、合同争议的解决</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因合同履行中发生的争议，可通过合同当事人双方友好协商解决。如调解不成的，任何一方可向平谷区人民法院提起诉讼。</w:t>
      </w:r>
    </w:p>
    <w:p>
      <w:pPr>
        <w:tabs>
          <w:tab w:val="left" w:pos="854"/>
        </w:tabs>
        <w:snapToGrid w:val="0"/>
        <w:spacing w:line="360" w:lineRule="auto"/>
        <w:rPr>
          <w:rFonts w:hint="eastAsia" w:ascii="宋体" w:hAnsi="宋体"/>
          <w:b/>
          <w:bCs/>
          <w:color w:val="auto"/>
          <w:sz w:val="24"/>
          <w:highlight w:val="none"/>
        </w:rPr>
      </w:pPr>
      <w:r>
        <w:rPr>
          <w:rFonts w:hint="eastAsia" w:ascii="宋体" w:hAnsi="宋体"/>
          <w:b/>
          <w:bCs/>
          <w:color w:val="auto"/>
          <w:sz w:val="24"/>
          <w:highlight w:val="none"/>
        </w:rPr>
        <w:t>12、其他约定事项</w:t>
      </w:r>
    </w:p>
    <w:p>
      <w:pPr>
        <w:tabs>
          <w:tab w:val="left" w:pos="854"/>
        </w:tabs>
        <w:snapToGrid w:val="0"/>
        <w:spacing w:line="360" w:lineRule="auto"/>
        <w:rPr>
          <w:rFonts w:hint="eastAsia" w:ascii="宋体" w:hAnsi="宋体"/>
          <w:color w:val="auto"/>
          <w:sz w:val="24"/>
          <w:highlight w:val="none"/>
        </w:rPr>
      </w:pPr>
      <w:r>
        <w:rPr>
          <w:rFonts w:hint="eastAsia" w:ascii="宋体" w:hAnsi="宋体"/>
          <w:color w:val="auto"/>
          <w:sz w:val="24"/>
          <w:highlight w:val="none"/>
        </w:rPr>
        <w:t>招标文件及其补遗文件、投标文件和承诺，以及本合同附件清单是本合同不可分割的部分。</w:t>
      </w:r>
    </w:p>
    <w:p>
      <w:pPr>
        <w:tabs>
          <w:tab w:val="left" w:pos="854"/>
        </w:tabs>
        <w:snapToGrid w:val="0"/>
        <w:spacing w:line="360" w:lineRule="auto"/>
        <w:rPr>
          <w:rFonts w:hint="eastAsia" w:ascii="宋体" w:hAnsi="宋体"/>
          <w:b/>
          <w:bCs/>
          <w:color w:val="auto"/>
          <w:sz w:val="24"/>
          <w:highlight w:val="none"/>
        </w:rPr>
      </w:pPr>
      <w:r>
        <w:rPr>
          <w:rFonts w:hint="eastAsia" w:ascii="宋体" w:hAnsi="宋体"/>
          <w:b/>
          <w:bCs/>
          <w:color w:val="auto"/>
          <w:sz w:val="24"/>
          <w:highlight w:val="none"/>
        </w:rPr>
        <w:t>1</w:t>
      </w:r>
      <w:r>
        <w:rPr>
          <w:rFonts w:ascii="宋体" w:hAnsi="宋体"/>
          <w:b/>
          <w:bCs/>
          <w:color w:val="auto"/>
          <w:sz w:val="24"/>
          <w:highlight w:val="none"/>
        </w:rPr>
        <w:t>3</w:t>
      </w:r>
      <w:r>
        <w:rPr>
          <w:rFonts w:hint="eastAsia" w:ascii="宋体" w:hAnsi="宋体"/>
          <w:b/>
          <w:bCs/>
          <w:color w:val="auto"/>
          <w:sz w:val="24"/>
          <w:highlight w:val="none"/>
        </w:rPr>
        <w:t>、项目实施计划</w:t>
      </w:r>
    </w:p>
    <w:p>
      <w:pPr>
        <w:tabs>
          <w:tab w:val="left" w:pos="854"/>
        </w:tabs>
        <w:snapToGrid w:val="0"/>
        <w:spacing w:line="360" w:lineRule="auto"/>
        <w:rPr>
          <w:rFonts w:hint="eastAsia" w:ascii="宋体" w:hAnsi="宋体"/>
          <w:b/>
          <w:bCs/>
          <w:color w:val="auto"/>
          <w:sz w:val="24"/>
          <w:highlight w:val="none"/>
        </w:rPr>
      </w:pPr>
      <w:r>
        <w:rPr>
          <w:rFonts w:hint="eastAsia" w:ascii="宋体" w:hAnsi="宋体"/>
          <w:b/>
          <w:bCs/>
          <w:color w:val="auto"/>
          <w:sz w:val="24"/>
          <w:highlight w:val="none"/>
        </w:rPr>
        <w:t>1</w:t>
      </w:r>
      <w:r>
        <w:rPr>
          <w:rFonts w:ascii="宋体" w:hAnsi="宋体"/>
          <w:b/>
          <w:bCs/>
          <w:color w:val="auto"/>
          <w:sz w:val="24"/>
          <w:highlight w:val="none"/>
        </w:rPr>
        <w:t>4</w:t>
      </w:r>
      <w:r>
        <w:rPr>
          <w:rFonts w:hint="eastAsia" w:ascii="宋体" w:hAnsi="宋体"/>
          <w:b/>
          <w:bCs/>
          <w:color w:val="auto"/>
          <w:sz w:val="24"/>
          <w:highlight w:val="none"/>
        </w:rPr>
        <w:t>、货物清单</w:t>
      </w:r>
      <w:r>
        <w:rPr>
          <w:rFonts w:ascii="宋体" w:hAnsi="宋体"/>
          <w:b/>
          <w:bCs/>
          <w:color w:val="auto"/>
          <w:sz w:val="24"/>
          <w:highlight w:val="none"/>
        </w:rPr>
        <w:t xml:space="preserve"> </w:t>
      </w:r>
    </w:p>
    <w:p>
      <w:pPr>
        <w:rPr>
          <w:rFonts w:hint="eastAsia" w:ascii="宋体" w:hAnsi="宋体"/>
          <w:color w:val="auto"/>
          <w:sz w:val="24"/>
          <w:highlight w:val="none"/>
        </w:rPr>
      </w:pPr>
    </w:p>
    <w:p>
      <w:pPr>
        <w:spacing w:line="360" w:lineRule="auto"/>
        <w:ind w:firstLine="480" w:firstLineChars="200"/>
        <w:jc w:val="left"/>
        <w:rPr>
          <w:rFonts w:hint="eastAsia" w:ascii="宋体" w:hAnsi="宋体"/>
          <w:color w:val="auto"/>
          <w:sz w:val="24"/>
          <w:highlight w:val="none"/>
        </w:rPr>
      </w:pPr>
    </w:p>
    <w:p>
      <w:pPr>
        <w:widowControl/>
        <w:jc w:val="left"/>
        <w:rPr>
          <w:rFonts w:hint="eastAsia" w:ascii="宋体" w:hAnsi="宋体"/>
          <w:b/>
          <w:color w:val="auto"/>
          <w:sz w:val="36"/>
          <w:szCs w:val="36"/>
          <w:highlight w:val="none"/>
        </w:rPr>
      </w:pPr>
      <w:bookmarkStart w:id="944" w:name="_Toc162979038"/>
      <w:r>
        <w:rPr>
          <w:rFonts w:hint="eastAsia" w:ascii="宋体" w:hAnsi="宋体"/>
          <w:b/>
          <w:color w:val="auto"/>
          <w:sz w:val="36"/>
          <w:szCs w:val="36"/>
          <w:highlight w:val="none"/>
        </w:rPr>
        <w:br w:type="page"/>
      </w:r>
    </w:p>
    <w:p>
      <w:pPr>
        <w:snapToGrid w:val="0"/>
        <w:spacing w:line="360" w:lineRule="auto"/>
        <w:jc w:val="center"/>
        <w:outlineLvl w:val="0"/>
        <w:rPr>
          <w:rFonts w:hint="eastAsia" w:ascii="宋体" w:hAnsi="宋体"/>
          <w:b/>
          <w:color w:val="auto"/>
          <w:sz w:val="36"/>
          <w:szCs w:val="36"/>
          <w:highlight w:val="none"/>
        </w:rPr>
      </w:pPr>
      <w:r>
        <w:rPr>
          <w:rFonts w:ascii="宋体" w:hAnsi="宋体"/>
          <w:b/>
          <w:color w:val="auto"/>
          <w:sz w:val="36"/>
          <w:szCs w:val="36"/>
          <w:highlight w:val="none"/>
        </w:rPr>
        <w:t>第七章   投标文件格式</w:t>
      </w:r>
      <w:bookmarkEnd w:id="938"/>
      <w:bookmarkEnd w:id="944"/>
    </w:p>
    <w:p>
      <w:pPr>
        <w:tabs>
          <w:tab w:val="left" w:pos="900"/>
          <w:tab w:val="left" w:pos="1980"/>
        </w:tabs>
        <w:snapToGrid w:val="0"/>
        <w:spacing w:line="360" w:lineRule="auto"/>
        <w:rPr>
          <w:rFonts w:hint="eastAsia" w:ascii="宋体" w:hAnsi="宋体"/>
          <w:b/>
          <w:color w:val="auto"/>
          <w:sz w:val="24"/>
          <w:highlight w:val="none"/>
        </w:rPr>
      </w:pPr>
    </w:p>
    <w:p>
      <w:pPr>
        <w:tabs>
          <w:tab w:val="left" w:pos="900"/>
          <w:tab w:val="left" w:pos="1980"/>
        </w:tabs>
        <w:snapToGrid w:val="0"/>
        <w:spacing w:line="360" w:lineRule="auto"/>
        <w:ind w:left="142"/>
        <w:rPr>
          <w:rFonts w:hint="eastAsia" w:ascii="宋体" w:hAnsi="宋体"/>
          <w:color w:val="auto"/>
          <w:sz w:val="24"/>
          <w:highlight w:val="none"/>
        </w:rPr>
      </w:pPr>
      <w:r>
        <w:rPr>
          <w:rFonts w:ascii="宋体" w:hAnsi="宋体"/>
          <w:b/>
          <w:color w:val="auto"/>
          <w:sz w:val="24"/>
          <w:highlight w:val="none"/>
        </w:rPr>
        <w:t>投标人编制文件须知</w:t>
      </w:r>
    </w:p>
    <w:p>
      <w:pPr>
        <w:tabs>
          <w:tab w:val="left" w:pos="900"/>
          <w:tab w:val="left" w:pos="1980"/>
        </w:tabs>
        <w:snapToGrid w:val="0"/>
        <w:spacing w:line="360" w:lineRule="auto"/>
        <w:ind w:left="142"/>
        <w:rPr>
          <w:rFonts w:hint="eastAsia" w:ascii="宋体" w:hAnsi="宋体"/>
          <w:color w:val="auto"/>
          <w:sz w:val="24"/>
          <w:highlight w:val="none"/>
        </w:rPr>
      </w:pPr>
      <w:r>
        <w:rPr>
          <w:rFonts w:ascii="宋体" w:hAnsi="宋体"/>
          <w:color w:val="auto"/>
          <w:sz w:val="24"/>
          <w:highlight w:val="none"/>
        </w:rPr>
        <w:t>1、投标人按照本部分的顺序编制投标文件（资格证明文件）、投标文件（商务技术文件），编制中涉及格式资料的，应按照本部分提供的内容和格式（所有表格的格式可扩展）填写提交。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olor w:val="auto"/>
          <w:kern w:val="0"/>
          <w:sz w:val="24"/>
          <w:highlight w:val="none"/>
        </w:rPr>
      </w:pPr>
      <w:r>
        <w:rPr>
          <w:rFonts w:ascii="宋体" w:hAnsi="宋体"/>
          <w:color w:val="auto"/>
          <w:sz w:val="24"/>
          <w:highlight w:val="none"/>
        </w:rPr>
        <w:t>2、</w:t>
      </w:r>
      <w:r>
        <w:rPr>
          <w:rFonts w:ascii="宋体" w:hAnsi="宋体"/>
          <w:color w:val="auto"/>
          <w:kern w:val="0"/>
          <w:sz w:val="24"/>
          <w:highlight w:val="none"/>
        </w:rPr>
        <w:t>对于招标文件中标记了“实质性格式”文件的，</w:t>
      </w:r>
      <w:r>
        <w:rPr>
          <w:rFonts w:ascii="宋体" w:hAnsi="宋体"/>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ascii="宋体" w:hAnsi="宋体"/>
          <w:color w:val="auto"/>
          <w:kern w:val="0"/>
          <w:sz w:val="24"/>
          <w:highlight w:val="none"/>
        </w:rPr>
        <w:t>否则</w:t>
      </w:r>
      <w:r>
        <w:rPr>
          <w:rFonts w:ascii="宋体" w:hAnsi="宋体"/>
          <w:b/>
          <w:color w:val="auto"/>
          <w:kern w:val="0"/>
          <w:sz w:val="24"/>
          <w:highlight w:val="none"/>
        </w:rPr>
        <w:t>投标无效</w:t>
      </w:r>
      <w:r>
        <w:rPr>
          <w:rFonts w:ascii="宋体" w:hAnsi="宋体"/>
          <w:color w:val="auto"/>
          <w:kern w:val="0"/>
          <w:sz w:val="24"/>
          <w:highlight w:val="none"/>
        </w:rPr>
        <w:t>。未标记“实质性格式”的文件和招标文件未提供格式的内容，可由投标人自行编写。</w:t>
      </w:r>
    </w:p>
    <w:p>
      <w:pPr>
        <w:tabs>
          <w:tab w:val="left" w:pos="900"/>
          <w:tab w:val="left" w:pos="1980"/>
        </w:tabs>
        <w:snapToGrid w:val="0"/>
        <w:spacing w:line="360" w:lineRule="auto"/>
        <w:ind w:left="142"/>
        <w:rPr>
          <w:rFonts w:hint="eastAsia" w:ascii="宋体" w:hAnsi="宋体"/>
          <w:color w:val="auto"/>
          <w:sz w:val="24"/>
          <w:highlight w:val="none"/>
        </w:rPr>
      </w:pPr>
      <w:r>
        <w:rPr>
          <w:rFonts w:ascii="宋体" w:hAnsi="宋体"/>
          <w:color w:val="auto"/>
          <w:sz w:val="24"/>
          <w:highlight w:val="none"/>
        </w:rPr>
        <w:t>3、全部声明和问题的回答及所附材料必须是真实的、准确的和完整的。</w:t>
      </w:r>
    </w:p>
    <w:p>
      <w:pPr>
        <w:widowControl/>
        <w:jc w:val="left"/>
        <w:rPr>
          <w:rFonts w:hint="eastAsia" w:ascii="宋体" w:hAnsi="宋体"/>
          <w:b/>
          <w:color w:val="auto"/>
          <w:kern w:val="0"/>
          <w:sz w:val="30"/>
          <w:szCs w:val="20"/>
          <w:highlight w:val="none"/>
        </w:rPr>
      </w:pPr>
      <w:r>
        <w:rPr>
          <w:rFonts w:ascii="宋体" w:hAnsi="宋体"/>
          <w:color w:val="auto"/>
          <w:sz w:val="24"/>
          <w:highlight w:val="none"/>
        </w:rPr>
        <w:br w:type="page"/>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Fonts w:ascii="宋体" w:hAnsi="宋体"/>
          <w:b/>
          <w:color w:val="auto"/>
          <w:spacing w:val="20"/>
          <w:sz w:val="24"/>
          <w:highlight w:val="none"/>
        </w:rPr>
        <w:t>一、资格证明文件格式</w:t>
      </w:r>
    </w:p>
    <w:p>
      <w:pPr>
        <w:rPr>
          <w:rFonts w:hint="eastAsia" w:ascii="宋体" w:hAnsi="宋体"/>
          <w:b/>
          <w:color w:val="auto"/>
          <w:spacing w:val="20"/>
          <w:szCs w:val="21"/>
          <w:highlight w:val="none"/>
        </w:rPr>
      </w:pPr>
    </w:p>
    <w:p>
      <w:pPr>
        <w:rPr>
          <w:rFonts w:hint="eastAsia" w:ascii="宋体" w:hAnsi="宋体"/>
          <w:b/>
          <w:color w:val="auto"/>
          <w:sz w:val="24"/>
          <w:highlight w:val="none"/>
        </w:rPr>
      </w:pPr>
      <w:r>
        <w:rPr>
          <w:rFonts w:ascii="宋体" w:hAnsi="宋体"/>
          <w:b/>
          <w:color w:val="auto"/>
          <w:spacing w:val="20"/>
          <w:sz w:val="24"/>
          <w:highlight w:val="none"/>
        </w:rPr>
        <w:t>投标文件（资格证明文件）</w:t>
      </w:r>
      <w:r>
        <w:rPr>
          <w:rFonts w:ascii="宋体" w:hAnsi="宋体"/>
          <w:b/>
          <w:color w:val="auto"/>
          <w:sz w:val="24"/>
          <w:highlight w:val="none"/>
        </w:rPr>
        <w:t>封面（非实质性格式）</w:t>
      </w:r>
    </w:p>
    <w:p>
      <w:pPr>
        <w:jc w:val="center"/>
        <w:rPr>
          <w:rFonts w:hint="eastAsia" w:ascii="宋体" w:hAnsi="宋体"/>
          <w:color w:val="auto"/>
          <w:szCs w:val="21"/>
          <w:highlight w:val="none"/>
        </w:rPr>
      </w:pPr>
    </w:p>
    <w:p>
      <w:pPr>
        <w:pStyle w:val="55"/>
        <w:rPr>
          <w:rFonts w:hint="eastAsia"/>
          <w:color w:val="auto"/>
          <w:highlight w:val="none"/>
        </w:rPr>
      </w:pPr>
    </w:p>
    <w:p>
      <w:pPr>
        <w:jc w:val="center"/>
        <w:rPr>
          <w:rFonts w:hint="eastAsia" w:ascii="宋体" w:hAnsi="宋体"/>
          <w:b/>
          <w:color w:val="auto"/>
          <w:spacing w:val="60"/>
          <w:sz w:val="84"/>
          <w:szCs w:val="84"/>
          <w:highlight w:val="none"/>
        </w:rPr>
      </w:pPr>
      <w:r>
        <w:rPr>
          <w:rFonts w:ascii="宋体" w:hAnsi="宋体"/>
          <w:b/>
          <w:color w:val="auto"/>
          <w:spacing w:val="60"/>
          <w:sz w:val="84"/>
          <w:szCs w:val="84"/>
          <w:highlight w:val="none"/>
        </w:rPr>
        <w:t>投 标 文 件</w:t>
      </w:r>
    </w:p>
    <w:p>
      <w:pPr>
        <w:jc w:val="center"/>
        <w:rPr>
          <w:rFonts w:hint="eastAsia" w:ascii="宋体" w:hAnsi="宋体"/>
          <w:b/>
          <w:color w:val="auto"/>
          <w:spacing w:val="60"/>
          <w:sz w:val="84"/>
          <w:szCs w:val="84"/>
          <w:highlight w:val="none"/>
        </w:rPr>
      </w:pPr>
    </w:p>
    <w:p>
      <w:pPr>
        <w:jc w:val="center"/>
        <w:rPr>
          <w:rFonts w:hint="eastAsia" w:ascii="宋体" w:hAnsi="宋体"/>
          <w:b/>
          <w:color w:val="auto"/>
          <w:spacing w:val="60"/>
          <w:sz w:val="52"/>
          <w:szCs w:val="52"/>
          <w:highlight w:val="none"/>
        </w:rPr>
      </w:pPr>
      <w:r>
        <w:rPr>
          <w:rFonts w:ascii="宋体" w:hAnsi="宋体"/>
          <w:b/>
          <w:color w:val="auto"/>
          <w:spacing w:val="60"/>
          <w:sz w:val="52"/>
          <w:szCs w:val="52"/>
          <w:highlight w:val="none"/>
        </w:rPr>
        <w:t>（资格证明文件）</w:t>
      </w: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r>
        <w:rPr>
          <w:rFonts w:ascii="宋体" w:hAnsi="宋体"/>
          <w:b/>
          <w:color w:val="auto"/>
          <w:spacing w:val="20"/>
          <w:sz w:val="32"/>
          <w:szCs w:val="32"/>
          <w:highlight w:val="none"/>
        </w:rPr>
        <w:t>项目名称:</w:t>
      </w:r>
    </w:p>
    <w:p>
      <w:pPr>
        <w:ind w:firstLine="541" w:firstLineChars="150"/>
        <w:rPr>
          <w:rFonts w:hint="eastAsia" w:ascii="宋体" w:hAnsi="宋体"/>
          <w:b/>
          <w:color w:val="auto"/>
          <w:spacing w:val="20"/>
          <w:sz w:val="32"/>
          <w:szCs w:val="32"/>
          <w:highlight w:val="none"/>
        </w:rPr>
      </w:pPr>
      <w:r>
        <w:rPr>
          <w:rFonts w:ascii="宋体" w:hAnsi="宋体"/>
          <w:b/>
          <w:color w:val="auto"/>
          <w:spacing w:val="20"/>
          <w:sz w:val="32"/>
          <w:szCs w:val="32"/>
          <w:highlight w:val="none"/>
        </w:rPr>
        <w:t>项目编号：</w:t>
      </w: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jc w:val="center"/>
        <w:rPr>
          <w:rFonts w:hint="eastAsia" w:ascii="宋体" w:hAnsi="宋体"/>
          <w:b/>
          <w:color w:val="auto"/>
          <w:sz w:val="32"/>
          <w:szCs w:val="32"/>
          <w:highlight w:val="none"/>
        </w:rPr>
      </w:pPr>
    </w:p>
    <w:p>
      <w:pPr>
        <w:jc w:val="center"/>
        <w:rPr>
          <w:rFonts w:hint="eastAsia" w:ascii="宋体" w:hAnsi="宋体"/>
          <w:b/>
          <w:color w:val="auto"/>
          <w:spacing w:val="20"/>
          <w:sz w:val="32"/>
          <w:szCs w:val="32"/>
          <w:highlight w:val="none"/>
        </w:rPr>
      </w:pPr>
    </w:p>
    <w:p>
      <w:pPr>
        <w:jc w:val="center"/>
        <w:rPr>
          <w:rFonts w:hint="eastAsia" w:ascii="宋体" w:hAnsi="宋体"/>
          <w:b/>
          <w:color w:val="auto"/>
          <w:spacing w:val="20"/>
          <w:sz w:val="32"/>
          <w:szCs w:val="32"/>
          <w:highlight w:val="none"/>
        </w:rPr>
      </w:pPr>
    </w:p>
    <w:p>
      <w:pPr>
        <w:jc w:val="center"/>
        <w:rPr>
          <w:rFonts w:hint="eastAsia" w:ascii="宋体" w:hAnsi="宋体"/>
          <w:b/>
          <w:color w:val="auto"/>
          <w:spacing w:val="20"/>
          <w:sz w:val="32"/>
          <w:szCs w:val="32"/>
          <w:highlight w:val="none"/>
        </w:rPr>
      </w:pPr>
    </w:p>
    <w:p>
      <w:pPr>
        <w:spacing w:line="360" w:lineRule="auto"/>
        <w:ind w:firstLine="1445" w:firstLineChars="400"/>
        <w:jc w:val="left"/>
        <w:rPr>
          <w:rFonts w:hint="eastAsia" w:ascii="宋体" w:hAnsi="宋体"/>
          <w:b/>
          <w:color w:val="auto"/>
          <w:spacing w:val="20"/>
          <w:sz w:val="32"/>
          <w:szCs w:val="32"/>
          <w:highlight w:val="none"/>
        </w:rPr>
      </w:pPr>
      <w:r>
        <w:rPr>
          <w:rFonts w:ascii="宋体" w:hAnsi="宋体"/>
          <w:b/>
          <w:color w:val="auto"/>
          <w:spacing w:val="20"/>
          <w:sz w:val="32"/>
          <w:szCs w:val="32"/>
          <w:highlight w:val="none"/>
        </w:rPr>
        <w:t>投标人名称：</w:t>
      </w:r>
    </w:p>
    <w:p>
      <w:pPr>
        <w:jc w:val="center"/>
        <w:rPr>
          <w:rFonts w:hint="eastAsia" w:ascii="宋体" w:hAnsi="宋体"/>
          <w:b/>
          <w:color w:val="auto"/>
          <w:sz w:val="32"/>
          <w:szCs w:val="32"/>
          <w:highlight w:val="none"/>
        </w:rPr>
      </w:pPr>
    </w:p>
    <w:p>
      <w:pPr>
        <w:spacing w:line="360" w:lineRule="auto"/>
        <w:rPr>
          <w:rFonts w:hint="eastAsia" w:ascii="宋体" w:hAnsi="宋体"/>
          <w:color w:val="auto"/>
          <w:sz w:val="24"/>
          <w:szCs w:val="20"/>
          <w:highlight w:val="none"/>
        </w:rPr>
      </w:pPr>
      <w:r>
        <w:rPr>
          <w:rFonts w:ascii="宋体" w:hAnsi="宋体"/>
          <w:b/>
          <w:color w:val="auto"/>
          <w:spacing w:val="20"/>
          <w:sz w:val="32"/>
          <w:szCs w:val="32"/>
          <w:highlight w:val="none"/>
        </w:rPr>
        <w:br w:type="page"/>
      </w:r>
      <w:r>
        <w:rPr>
          <w:rFonts w:ascii="宋体" w:hAnsi="宋体"/>
          <w:color w:val="auto"/>
          <w:sz w:val="24"/>
          <w:szCs w:val="20"/>
          <w:highlight w:val="none"/>
        </w:rPr>
        <w:t xml:space="preserve">1 </w:t>
      </w:r>
      <w:r>
        <w:rPr>
          <w:rFonts w:ascii="宋体" w:hAnsi="宋体"/>
          <w:color w:val="auto"/>
          <w:sz w:val="24"/>
          <w:highlight w:val="none"/>
        </w:rPr>
        <w:t>满足《中华人民共和国政府采购法》第二十二条规定及法律法规的其他规定</w:t>
      </w:r>
    </w:p>
    <w:p>
      <w:pPr>
        <w:spacing w:line="360" w:lineRule="auto"/>
        <w:outlineLvl w:val="2"/>
        <w:rPr>
          <w:rFonts w:hint="eastAsia" w:ascii="宋体" w:hAnsi="宋体"/>
          <w:color w:val="auto"/>
          <w:sz w:val="24"/>
          <w:szCs w:val="20"/>
          <w:highlight w:val="none"/>
        </w:rPr>
      </w:pPr>
      <w:bookmarkStart w:id="945" w:name="_Toc162979039"/>
      <w:r>
        <w:rPr>
          <w:rFonts w:ascii="宋体" w:hAnsi="宋体"/>
          <w:color w:val="auto"/>
          <w:sz w:val="24"/>
          <w:szCs w:val="20"/>
          <w:highlight w:val="none"/>
        </w:rPr>
        <w:t>1-1营业执照等证明文件</w:t>
      </w:r>
      <w:bookmarkEnd w:id="945"/>
    </w:p>
    <w:p>
      <w:pPr>
        <w:tabs>
          <w:tab w:val="left" w:pos="1080"/>
        </w:tabs>
        <w:snapToGrid w:val="0"/>
        <w:rPr>
          <w:rFonts w:hint="eastAsia" w:ascii="宋体" w:hAnsi="宋体"/>
          <w:color w:val="auto"/>
          <w:sz w:val="24"/>
          <w:highlight w:val="none"/>
        </w:rPr>
      </w:pPr>
    </w:p>
    <w:p>
      <w:pPr>
        <w:spacing w:line="360" w:lineRule="auto"/>
        <w:rPr>
          <w:rFonts w:hint="eastAsia" w:ascii="宋体" w:hAnsi="宋体"/>
          <w:bCs/>
          <w:color w:val="auto"/>
          <w:highlight w:val="none"/>
        </w:rPr>
      </w:pPr>
      <w:r>
        <w:rPr>
          <w:rFonts w:ascii="宋体" w:hAnsi="宋体"/>
          <w:color w:val="auto"/>
          <w:sz w:val="24"/>
          <w:highlight w:val="none"/>
        </w:rPr>
        <w:br w:type="page"/>
      </w:r>
      <w:r>
        <w:rPr>
          <w:rFonts w:ascii="宋体" w:hAnsi="宋体"/>
          <w:color w:val="auto"/>
          <w:sz w:val="24"/>
          <w:szCs w:val="20"/>
          <w:highlight w:val="none"/>
        </w:rPr>
        <w:t>1-2 投标人资格声明书（实质性格式）</w:t>
      </w:r>
    </w:p>
    <w:p>
      <w:pPr>
        <w:jc w:val="center"/>
        <w:rPr>
          <w:rFonts w:hint="eastAsia" w:ascii="宋体" w:hAnsi="宋体"/>
          <w:b/>
          <w:color w:val="auto"/>
          <w:sz w:val="36"/>
          <w:szCs w:val="36"/>
          <w:highlight w:val="none"/>
        </w:rPr>
      </w:pPr>
      <w:r>
        <w:rPr>
          <w:rFonts w:hint="eastAsia" w:ascii="宋体" w:hAnsi="宋体"/>
          <w:b/>
          <w:color w:val="auto"/>
          <w:sz w:val="36"/>
          <w:szCs w:val="36"/>
          <w:highlight w:val="none"/>
        </w:rPr>
        <w:t>投标人资格声明书</w:t>
      </w:r>
    </w:p>
    <w:p>
      <w:pPr>
        <w:tabs>
          <w:tab w:val="left" w:pos="5580"/>
        </w:tabs>
        <w:spacing w:line="360" w:lineRule="auto"/>
        <w:rPr>
          <w:rFonts w:hint="eastAsia" w:ascii="宋体" w:hAnsi="宋体"/>
          <w:color w:val="auto"/>
          <w:sz w:val="24"/>
          <w:highlight w:val="none"/>
        </w:rPr>
      </w:pPr>
    </w:p>
    <w:p>
      <w:pPr>
        <w:tabs>
          <w:tab w:val="left" w:pos="5580"/>
        </w:tabs>
        <w:spacing w:line="360" w:lineRule="auto"/>
        <w:rPr>
          <w:rFonts w:hint="eastAsia" w:ascii="宋体" w:hAnsi="宋体"/>
          <w:color w:val="auto"/>
          <w:sz w:val="24"/>
          <w:highlight w:val="none"/>
        </w:rPr>
      </w:pPr>
      <w:r>
        <w:rPr>
          <w:rFonts w:ascii="宋体" w:hAnsi="宋体"/>
          <w:color w:val="auto"/>
          <w:sz w:val="24"/>
          <w:highlight w:val="none"/>
        </w:rPr>
        <w:t>致：</w:t>
      </w:r>
      <w:r>
        <w:rPr>
          <w:rFonts w:ascii="宋体" w:hAnsi="宋体"/>
          <w:color w:val="auto"/>
          <w:sz w:val="24"/>
          <w:highlight w:val="none"/>
          <w:u w:val="single"/>
        </w:rPr>
        <w:t>采购人或采购代理机构</w:t>
      </w:r>
    </w:p>
    <w:p>
      <w:pPr>
        <w:spacing w:line="360" w:lineRule="auto"/>
        <w:ind w:firstLine="480" w:firstLineChars="200"/>
        <w:rPr>
          <w:rFonts w:hint="eastAsia" w:ascii="宋体" w:hAnsi="宋体"/>
          <w:color w:val="auto"/>
          <w:sz w:val="24"/>
          <w:highlight w:val="none"/>
        </w:rPr>
      </w:pPr>
      <w:r>
        <w:rPr>
          <w:rFonts w:ascii="宋体" w:hAnsi="宋体"/>
          <w:color w:val="auto"/>
          <w:sz w:val="24"/>
          <w:highlight w:val="none"/>
        </w:rPr>
        <w:t>在参与本次项目投标中，我单位承诺：</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具有良好的商业信誉和健全的财务会计制度；</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具有履行合同所必需的设备和专业技术能力；</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有依法缴纳税收和社会保障资金的良好记录；</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我单位不属于政府采购法律、行政法规规定的公益一类事业单位、或使用事业编制且由财政拨款保障的群团组织（仅适用于政府购买服务项目）；</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我单位不存在为采购项目提供整体设计、规范编制或者项目管理、监理、检测等服务后，再参加该采购项目的其他采购活动的情形（单一来源采购项目除外）；</w:t>
      </w:r>
    </w:p>
    <w:p>
      <w:pPr>
        <w:numPr>
          <w:ilvl w:val="0"/>
          <w:numId w:val="17"/>
        </w:numPr>
        <w:spacing w:line="360" w:lineRule="auto"/>
        <w:ind w:left="1134"/>
        <w:rPr>
          <w:rFonts w:hint="eastAsia" w:ascii="宋体" w:hAnsi="宋体"/>
          <w:color w:val="auto"/>
          <w:sz w:val="24"/>
          <w:szCs w:val="22"/>
          <w:highlight w:val="none"/>
        </w:rPr>
      </w:pPr>
      <w:r>
        <w:rPr>
          <w:rFonts w:ascii="宋体" w:hAnsi="宋体"/>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4"/>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hint="eastAsia" w:ascii="宋体" w:hAnsi="宋体"/>
                <w:color w:val="auto"/>
                <w:sz w:val="24"/>
                <w:highlight w:val="none"/>
              </w:rPr>
            </w:pPr>
            <w:r>
              <w:rPr>
                <w:rFonts w:ascii="宋体" w:hAnsi="宋体"/>
                <w:color w:val="auto"/>
                <w:sz w:val="24"/>
                <w:highlight w:val="none"/>
              </w:rPr>
              <w:t>序号</w:t>
            </w:r>
          </w:p>
        </w:tc>
        <w:tc>
          <w:tcPr>
            <w:tcW w:w="4574" w:type="dxa"/>
            <w:vAlign w:val="center"/>
          </w:tcPr>
          <w:p>
            <w:pPr>
              <w:jc w:val="center"/>
              <w:rPr>
                <w:rFonts w:hint="eastAsia" w:ascii="宋体" w:hAnsi="宋体"/>
                <w:color w:val="auto"/>
                <w:sz w:val="24"/>
                <w:highlight w:val="none"/>
              </w:rPr>
            </w:pPr>
            <w:r>
              <w:rPr>
                <w:rFonts w:ascii="宋体" w:hAnsi="宋体"/>
                <w:color w:val="auto"/>
                <w:sz w:val="24"/>
                <w:highlight w:val="none"/>
              </w:rPr>
              <w:t>单位名称</w:t>
            </w:r>
          </w:p>
        </w:tc>
        <w:tc>
          <w:tcPr>
            <w:tcW w:w="2976" w:type="dxa"/>
            <w:vAlign w:val="center"/>
          </w:tcPr>
          <w:p>
            <w:pPr>
              <w:jc w:val="center"/>
              <w:rPr>
                <w:rFonts w:hint="eastAsia" w:ascii="宋体" w:hAnsi="宋体"/>
                <w:color w:val="auto"/>
                <w:sz w:val="24"/>
                <w:highlight w:val="none"/>
              </w:rPr>
            </w:pPr>
            <w:r>
              <w:rPr>
                <w:rFonts w:ascii="宋体" w:hAnsi="宋体"/>
                <w:color w:val="auto"/>
                <w:sz w:val="24"/>
                <w:highlight w:val="none"/>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hint="eastAsia" w:ascii="宋体" w:hAnsi="宋体"/>
                <w:color w:val="auto"/>
                <w:sz w:val="24"/>
                <w:highlight w:val="none"/>
              </w:rPr>
            </w:pPr>
            <w:r>
              <w:rPr>
                <w:rFonts w:ascii="宋体" w:hAnsi="宋体"/>
                <w:color w:val="auto"/>
                <w:sz w:val="24"/>
                <w:highlight w:val="none"/>
              </w:rPr>
              <w:t>1</w:t>
            </w:r>
          </w:p>
        </w:tc>
        <w:tc>
          <w:tcPr>
            <w:tcW w:w="4574" w:type="dxa"/>
            <w:vAlign w:val="center"/>
          </w:tcPr>
          <w:p>
            <w:pPr>
              <w:jc w:val="center"/>
              <w:rPr>
                <w:rFonts w:hint="eastAsia" w:ascii="宋体" w:hAnsi="宋体"/>
                <w:color w:val="auto"/>
                <w:sz w:val="24"/>
                <w:highlight w:val="none"/>
              </w:rPr>
            </w:pPr>
          </w:p>
        </w:tc>
        <w:tc>
          <w:tcPr>
            <w:tcW w:w="2976" w:type="dxa"/>
            <w:vAlign w:val="center"/>
          </w:tcPr>
          <w:p>
            <w:pPr>
              <w:jc w:val="center"/>
              <w:rPr>
                <w:rFonts w:hint="eastAsia" w:ascii="宋体" w:hAnsi="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hint="eastAsia" w:ascii="宋体" w:hAnsi="宋体"/>
                <w:color w:val="auto"/>
                <w:sz w:val="24"/>
                <w:highlight w:val="none"/>
              </w:rPr>
            </w:pPr>
            <w:r>
              <w:rPr>
                <w:rFonts w:ascii="宋体" w:hAnsi="宋体"/>
                <w:color w:val="auto"/>
                <w:sz w:val="24"/>
                <w:highlight w:val="none"/>
              </w:rPr>
              <w:t>2</w:t>
            </w:r>
          </w:p>
        </w:tc>
        <w:tc>
          <w:tcPr>
            <w:tcW w:w="4574" w:type="dxa"/>
            <w:vAlign w:val="center"/>
          </w:tcPr>
          <w:p>
            <w:pPr>
              <w:jc w:val="center"/>
              <w:rPr>
                <w:rFonts w:hint="eastAsia" w:ascii="宋体" w:hAnsi="宋体"/>
                <w:color w:val="auto"/>
                <w:sz w:val="24"/>
                <w:highlight w:val="none"/>
              </w:rPr>
            </w:pPr>
          </w:p>
        </w:tc>
        <w:tc>
          <w:tcPr>
            <w:tcW w:w="2976" w:type="dxa"/>
            <w:vAlign w:val="center"/>
          </w:tcPr>
          <w:p>
            <w:pPr>
              <w:jc w:val="center"/>
              <w:rPr>
                <w:rFonts w:hint="eastAsia" w:ascii="宋体" w:hAnsi="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hint="eastAsia" w:ascii="宋体" w:hAnsi="宋体"/>
                <w:color w:val="auto"/>
                <w:sz w:val="24"/>
                <w:highlight w:val="none"/>
              </w:rPr>
            </w:pPr>
            <w:r>
              <w:rPr>
                <w:rFonts w:ascii="宋体" w:hAnsi="宋体"/>
                <w:color w:val="auto"/>
                <w:sz w:val="24"/>
                <w:highlight w:val="none"/>
              </w:rPr>
              <w:t>…</w:t>
            </w:r>
          </w:p>
        </w:tc>
        <w:tc>
          <w:tcPr>
            <w:tcW w:w="4574" w:type="dxa"/>
            <w:vAlign w:val="center"/>
          </w:tcPr>
          <w:p>
            <w:pPr>
              <w:jc w:val="center"/>
              <w:rPr>
                <w:rFonts w:hint="eastAsia" w:ascii="宋体" w:hAnsi="宋体"/>
                <w:color w:val="auto"/>
                <w:sz w:val="24"/>
                <w:highlight w:val="none"/>
              </w:rPr>
            </w:pPr>
          </w:p>
        </w:tc>
        <w:tc>
          <w:tcPr>
            <w:tcW w:w="2976" w:type="dxa"/>
            <w:vAlign w:val="center"/>
          </w:tcPr>
          <w:p>
            <w:pPr>
              <w:jc w:val="center"/>
              <w:rPr>
                <w:rFonts w:hint="eastAsia" w:ascii="宋体" w:hAnsi="宋体"/>
                <w:color w:val="auto"/>
                <w:sz w:val="24"/>
                <w:highlight w:val="none"/>
              </w:rPr>
            </w:pPr>
          </w:p>
        </w:tc>
      </w:tr>
    </w:tbl>
    <w:p>
      <w:pPr>
        <w:rPr>
          <w:rFonts w:hint="eastAsia" w:ascii="宋体" w:hAnsi="宋体"/>
          <w:color w:val="auto"/>
          <w:highlight w:val="none"/>
        </w:rPr>
      </w:pPr>
    </w:p>
    <w:p>
      <w:pPr>
        <w:ind w:firstLine="480" w:firstLineChars="200"/>
        <w:rPr>
          <w:rFonts w:hint="eastAsia" w:ascii="宋体" w:hAnsi="宋体"/>
          <w:color w:val="auto"/>
          <w:sz w:val="24"/>
          <w:szCs w:val="22"/>
          <w:highlight w:val="none"/>
        </w:rPr>
      </w:pPr>
      <w:r>
        <w:rPr>
          <w:rFonts w:ascii="宋体" w:hAnsi="宋体"/>
          <w:color w:val="auto"/>
          <w:sz w:val="24"/>
          <w:highlight w:val="none"/>
        </w:rPr>
        <w:t>上述声明真实有效，否则我方负全部责任。</w:t>
      </w:r>
    </w:p>
    <w:p>
      <w:pPr>
        <w:spacing w:line="360" w:lineRule="auto"/>
        <w:rPr>
          <w:rFonts w:hint="eastAsia" w:ascii="宋体" w:hAnsi="宋体"/>
          <w:color w:val="auto"/>
          <w:sz w:val="24"/>
          <w:highlight w:val="none"/>
        </w:rPr>
      </w:pPr>
    </w:p>
    <w:p>
      <w:pPr>
        <w:autoSpaceDE w:val="0"/>
        <w:autoSpaceDN w:val="0"/>
        <w:adjustRightInd w:val="0"/>
        <w:snapToGrid w:val="0"/>
        <w:spacing w:before="25" w:after="25" w:line="360" w:lineRule="auto"/>
        <w:jc w:val="right"/>
        <w:rPr>
          <w:rFonts w:hint="eastAsia" w:ascii="宋体" w:hAnsi="宋体"/>
          <w:color w:val="auto"/>
          <w:sz w:val="24"/>
          <w:highlight w:val="none"/>
          <w:lang w:val="zh-CN"/>
        </w:rPr>
      </w:pPr>
      <w:r>
        <w:rPr>
          <w:rFonts w:ascii="宋体" w:hAnsi="宋体"/>
          <w:color w:val="auto"/>
          <w:sz w:val="24"/>
          <w:highlight w:val="none"/>
        </w:rPr>
        <w:t>投标人名称（加盖公章）</w:t>
      </w:r>
      <w:r>
        <w:rPr>
          <w:rFonts w:ascii="宋体" w:hAnsi="宋体"/>
          <w:color w:val="auto"/>
          <w:sz w:val="24"/>
          <w:highlight w:val="none"/>
          <w:lang w:val="zh-CN"/>
        </w:rPr>
        <w:t>：    ____________</w:t>
      </w:r>
    </w:p>
    <w:p>
      <w:pPr>
        <w:spacing w:line="360" w:lineRule="auto"/>
        <w:ind w:right="360" w:firstLine="480"/>
        <w:jc w:val="right"/>
        <w:rPr>
          <w:rFonts w:hint="eastAsia" w:ascii="宋体" w:hAnsi="宋体"/>
          <w:color w:val="auto"/>
          <w:sz w:val="24"/>
          <w:highlight w:val="none"/>
        </w:rPr>
      </w:pPr>
      <w:r>
        <w:rPr>
          <w:rFonts w:ascii="宋体" w:hAnsi="宋体"/>
          <w:color w:val="auto"/>
          <w:sz w:val="24"/>
          <w:szCs w:val="20"/>
          <w:highlight w:val="none"/>
        </w:rPr>
        <w:t xml:space="preserve">日期：_____年______月______日   </w:t>
      </w:r>
    </w:p>
    <w:p>
      <w:pPr>
        <w:spacing w:line="360" w:lineRule="auto"/>
        <w:rPr>
          <w:rFonts w:hint="eastAsia" w:ascii="宋体" w:hAnsi="宋体"/>
          <w:color w:val="auto"/>
          <w:sz w:val="24"/>
          <w:highlight w:val="none"/>
        </w:rPr>
      </w:pPr>
      <w:r>
        <w:rPr>
          <w:rFonts w:ascii="宋体" w:hAnsi="宋体"/>
          <w:color w:val="auto"/>
          <w:sz w:val="24"/>
          <w:highlight w:val="none"/>
        </w:rPr>
        <w:t>说明：</w:t>
      </w:r>
      <w:r>
        <w:rPr>
          <w:rFonts w:hint="eastAsia" w:ascii="宋体" w:hAnsi="宋体"/>
          <w:color w:val="auto"/>
          <w:sz w:val="24"/>
          <w:highlight w:val="none"/>
        </w:rPr>
        <w:t>供应商承诺不实的，依据《政府采购法》第七十七条“提供虚假材料谋取中标、成交的”有关规定予以处理</w:t>
      </w:r>
      <w:r>
        <w:rPr>
          <w:rFonts w:ascii="宋体" w:hAnsi="宋体"/>
          <w:color w:val="auto"/>
          <w:sz w:val="24"/>
          <w:highlight w:val="none"/>
        </w:rPr>
        <w:t>。</w:t>
      </w:r>
    </w:p>
    <w:p>
      <w:pPr>
        <w:tabs>
          <w:tab w:val="left" w:pos="5580"/>
        </w:tabs>
        <w:spacing w:line="360" w:lineRule="auto"/>
        <w:rPr>
          <w:rFonts w:hint="eastAsia" w:ascii="宋体" w:hAnsi="宋体"/>
          <w:color w:val="auto"/>
          <w:sz w:val="24"/>
          <w:highlight w:val="none"/>
        </w:rPr>
        <w:sectPr>
          <w:headerReference r:id="rId10" w:type="default"/>
          <w:pgSz w:w="11907" w:h="16840"/>
          <w:pgMar w:top="1418" w:right="1134" w:bottom="1418" w:left="1701" w:header="851" w:footer="851" w:gutter="0"/>
          <w:cols w:space="720" w:num="1"/>
          <w:docGrid w:linePitch="462" w:charSpace="0"/>
        </w:sectPr>
      </w:pPr>
    </w:p>
    <w:p>
      <w:pPr>
        <w:spacing w:line="360" w:lineRule="auto"/>
        <w:outlineLvl w:val="2"/>
        <w:rPr>
          <w:rFonts w:hint="eastAsia" w:ascii="宋体" w:hAnsi="宋体"/>
          <w:color w:val="auto"/>
          <w:sz w:val="24"/>
          <w:szCs w:val="20"/>
          <w:highlight w:val="none"/>
        </w:rPr>
      </w:pPr>
      <w:bookmarkStart w:id="946" w:name="_Toc162979040"/>
      <w:r>
        <w:rPr>
          <w:rFonts w:ascii="宋体" w:hAnsi="宋体"/>
          <w:color w:val="auto"/>
          <w:sz w:val="24"/>
          <w:szCs w:val="20"/>
          <w:highlight w:val="none"/>
        </w:rPr>
        <w:t>2 落实政府采购政策需满足的资格要求</w:t>
      </w:r>
      <w:bookmarkEnd w:id="946"/>
    </w:p>
    <w:p>
      <w:pPr>
        <w:spacing w:line="360" w:lineRule="auto"/>
        <w:outlineLvl w:val="2"/>
        <w:rPr>
          <w:rFonts w:hint="eastAsia" w:ascii="宋体" w:hAnsi="宋体"/>
          <w:color w:val="auto"/>
          <w:sz w:val="24"/>
          <w:szCs w:val="20"/>
          <w:highlight w:val="none"/>
        </w:rPr>
      </w:pPr>
      <w:bookmarkStart w:id="947" w:name="_Toc162979041"/>
      <w:r>
        <w:rPr>
          <w:rFonts w:ascii="宋体" w:hAnsi="宋体"/>
          <w:color w:val="auto"/>
          <w:sz w:val="24"/>
          <w:szCs w:val="20"/>
          <w:highlight w:val="none"/>
        </w:rPr>
        <w:t>2-1</w:t>
      </w:r>
      <w:bookmarkEnd w:id="947"/>
      <w:r>
        <w:rPr>
          <w:rFonts w:hint="eastAsia" w:ascii="宋体" w:hAnsi="宋体"/>
          <w:color w:val="auto"/>
          <w:sz w:val="24"/>
          <w:szCs w:val="20"/>
          <w:highlight w:val="none"/>
        </w:rPr>
        <w:t>中小企业政策证明文件</w:t>
      </w:r>
    </w:p>
    <w:p>
      <w:pPr>
        <w:tabs>
          <w:tab w:val="left" w:pos="5580"/>
        </w:tabs>
        <w:spacing w:line="360" w:lineRule="auto"/>
        <w:rPr>
          <w:rFonts w:hint="eastAsia" w:ascii="宋体" w:hAnsi="宋体"/>
          <w:color w:val="auto"/>
          <w:sz w:val="24"/>
          <w:highlight w:val="none"/>
        </w:rPr>
      </w:pPr>
      <w:r>
        <w:rPr>
          <w:rFonts w:ascii="宋体" w:hAnsi="宋体"/>
          <w:color w:val="auto"/>
          <w:sz w:val="24"/>
          <w:highlight w:val="none"/>
        </w:rPr>
        <w:t>说明：</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4）如本项目（包）预留部分采购项目预算专门面向中小企业采购，且要求供应商以联合体形式参加采购活动，如供应商为联合体的，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（5）中小企业声明函填写注意事项</w:t>
      </w:r>
    </w:p>
    <w:p>
      <w:pPr>
        <w:tabs>
          <w:tab w:val="left" w:pos="558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1）《中小企业声明函》由参加政府采购活动的投标人出具。联合体投标的，《中小企业声明函》可由牵头人出具。</w:t>
      </w:r>
    </w:p>
    <w:p>
      <w:pPr>
        <w:tabs>
          <w:tab w:val="left" w:pos="558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rFonts w:hint="eastAsia" w:ascii="宋体" w:hAnsi="宋体"/>
          <w:color w:val="auto"/>
          <w:sz w:val="24"/>
          <w:highlight w:val="none"/>
        </w:rPr>
      </w:pPr>
      <w:r>
        <w:rPr>
          <w:rFonts w:hint="eastAsia" w:ascii="宋体" w:hAnsi="宋体"/>
          <w:color w:val="auto"/>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号）》及《金融业企业划型标准规定》（〔2015〕309号）等国务院批准的中小企业划分标准执行。</w:t>
      </w: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rPr>
          <w:rFonts w:hint="eastAsia" w:ascii="宋体" w:hAnsi="宋体"/>
          <w:color w:val="auto"/>
          <w:highlight w:val="none"/>
        </w:rPr>
      </w:pPr>
      <w:r>
        <w:rPr>
          <w:rFonts w:hint="eastAsia" w:ascii="宋体" w:hAnsi="宋体"/>
          <w:color w:val="auto"/>
          <w:highlight w:val="none"/>
        </w:rPr>
        <w:br w:type="page"/>
      </w:r>
    </w:p>
    <w:p>
      <w:pPr>
        <w:tabs>
          <w:tab w:val="left" w:pos="5580"/>
        </w:tabs>
        <w:spacing w:line="360" w:lineRule="auto"/>
        <w:outlineLvl w:val="2"/>
        <w:rPr>
          <w:rFonts w:hint="eastAsia" w:ascii="宋体" w:hAnsi="宋体" w:cs="宋体"/>
          <w:color w:val="auto"/>
          <w:kern w:val="0"/>
          <w:sz w:val="24"/>
          <w:highlight w:val="none"/>
        </w:rPr>
      </w:pPr>
      <w:r>
        <w:rPr>
          <w:rFonts w:ascii="宋体" w:hAnsi="宋体"/>
          <w:color w:val="auto"/>
          <w:sz w:val="24"/>
          <w:szCs w:val="20"/>
          <w:highlight w:val="none"/>
        </w:rPr>
        <w:t>2-1-1</w:t>
      </w:r>
      <w:r>
        <w:rPr>
          <w:rFonts w:hint="eastAsia" w:ascii="宋体" w:hAnsi="宋体"/>
          <w:color w:val="auto"/>
          <w:sz w:val="24"/>
          <w:szCs w:val="20"/>
          <w:highlight w:val="none"/>
        </w:rPr>
        <w:t>中小企业证明文件</w:t>
      </w:r>
    </w:p>
    <w:p>
      <w:pPr>
        <w:spacing w:before="240" w:beforeLines="100" w:after="240" w:afterLines="100" w:line="360" w:lineRule="auto"/>
        <w:jc w:val="center"/>
        <w:rPr>
          <w:rFonts w:hint="eastAsia" w:ascii="宋体" w:hAnsi="宋体"/>
          <w:b/>
          <w:color w:val="auto"/>
          <w:sz w:val="36"/>
          <w:szCs w:val="36"/>
          <w:highlight w:val="none"/>
        </w:rPr>
      </w:pPr>
      <w:r>
        <w:rPr>
          <w:rFonts w:hint="eastAsia" w:ascii="宋体" w:hAnsi="宋体"/>
          <w:b/>
          <w:bCs/>
          <w:color w:val="auto"/>
          <w:sz w:val="36"/>
          <w:szCs w:val="36"/>
          <w:highlight w:val="none"/>
        </w:rPr>
        <w:t>中小企业声明函（货物）格式</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本公司（联合体）郑重声明，根据《政府采购促进中小企业发展管理办法》（财库﹝2020﹞46 号）的规定，本公司（联合体）参加</w:t>
      </w:r>
      <w:r>
        <w:rPr>
          <w:rFonts w:ascii="宋体" w:hAnsi="宋体"/>
          <w:color w:val="auto"/>
          <w:spacing w:val="6"/>
          <w:sz w:val="24"/>
          <w:highlight w:val="none"/>
          <w:u w:val="single"/>
        </w:rPr>
        <w:t>（单位名称）</w:t>
      </w:r>
      <w:r>
        <w:rPr>
          <w:rFonts w:ascii="宋体" w:hAnsi="宋体"/>
          <w:color w:val="auto"/>
          <w:spacing w:val="6"/>
          <w:sz w:val="24"/>
          <w:highlight w:val="none"/>
        </w:rPr>
        <w:t>的</w:t>
      </w:r>
      <w:r>
        <w:rPr>
          <w:rFonts w:ascii="宋体" w:hAnsi="宋体"/>
          <w:color w:val="auto"/>
          <w:spacing w:val="6"/>
          <w:sz w:val="24"/>
          <w:highlight w:val="none"/>
          <w:u w:val="single"/>
        </w:rPr>
        <w:t>（项目名称）</w:t>
      </w:r>
      <w:r>
        <w:rPr>
          <w:rFonts w:ascii="宋体" w:hAnsi="宋体"/>
          <w:color w:val="auto"/>
          <w:spacing w:val="6"/>
          <w:sz w:val="24"/>
          <w:highlight w:val="none"/>
        </w:rPr>
        <w:t>采购活动，提供的货物全部由符合政策要求的中小企业制造。相关企业（含联合体中的中小企业、签订分包意向协议的中小企业）的具体情况如下：</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1.</w:t>
      </w:r>
      <w:r>
        <w:rPr>
          <w:rFonts w:ascii="宋体" w:hAnsi="宋体"/>
          <w:color w:val="auto"/>
          <w:spacing w:val="6"/>
          <w:sz w:val="24"/>
          <w:highlight w:val="none"/>
          <w:u w:val="single"/>
        </w:rPr>
        <w:t>（标的名称）</w:t>
      </w:r>
      <w:r>
        <w:rPr>
          <w:rFonts w:ascii="宋体" w:hAnsi="宋体"/>
          <w:color w:val="auto"/>
          <w:spacing w:val="6"/>
          <w:sz w:val="24"/>
          <w:highlight w:val="none"/>
        </w:rPr>
        <w:t>，属于</w:t>
      </w:r>
      <w:r>
        <w:rPr>
          <w:rFonts w:ascii="宋体" w:hAnsi="宋体"/>
          <w:color w:val="auto"/>
          <w:spacing w:val="6"/>
          <w:sz w:val="24"/>
          <w:highlight w:val="none"/>
          <w:u w:val="single"/>
        </w:rPr>
        <w:t>（采购文件中明确的所属行业）</w:t>
      </w:r>
      <w:r>
        <w:rPr>
          <w:rFonts w:ascii="宋体" w:hAnsi="宋体"/>
          <w:color w:val="auto"/>
          <w:spacing w:val="6"/>
          <w:sz w:val="24"/>
          <w:highlight w:val="none"/>
        </w:rPr>
        <w:t>行业；制造商为</w:t>
      </w:r>
      <w:r>
        <w:rPr>
          <w:rFonts w:ascii="宋体" w:hAnsi="宋体"/>
          <w:color w:val="auto"/>
          <w:spacing w:val="6"/>
          <w:sz w:val="24"/>
          <w:highlight w:val="none"/>
          <w:u w:val="single"/>
        </w:rPr>
        <w:t>（企业名称）</w:t>
      </w:r>
      <w:r>
        <w:rPr>
          <w:rFonts w:ascii="宋体" w:hAnsi="宋体"/>
          <w:color w:val="auto"/>
          <w:spacing w:val="6"/>
          <w:sz w:val="24"/>
          <w:highlight w:val="none"/>
        </w:rPr>
        <w:t>，从业人员______人，营业收入为______万元，资产总额为______万元</w:t>
      </w:r>
      <w:r>
        <w:rPr>
          <w:rFonts w:ascii="宋体" w:hAnsi="宋体"/>
          <w:color w:val="auto"/>
          <w:spacing w:val="6"/>
          <w:sz w:val="24"/>
          <w:highlight w:val="none"/>
          <w:vertAlign w:val="superscript"/>
        </w:rPr>
        <w:t>1</w:t>
      </w:r>
      <w:r>
        <w:rPr>
          <w:rFonts w:ascii="宋体" w:hAnsi="宋体"/>
          <w:color w:val="auto"/>
          <w:spacing w:val="6"/>
          <w:sz w:val="24"/>
          <w:highlight w:val="none"/>
        </w:rPr>
        <w:t>，属于（中型企业、小型企业、微型企业）；</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2.</w:t>
      </w:r>
      <w:r>
        <w:rPr>
          <w:rFonts w:ascii="宋体" w:hAnsi="宋体"/>
          <w:color w:val="auto"/>
          <w:spacing w:val="6"/>
          <w:sz w:val="24"/>
          <w:highlight w:val="none"/>
          <w:u w:val="single"/>
        </w:rPr>
        <w:t>（标的名称）</w:t>
      </w:r>
      <w:r>
        <w:rPr>
          <w:rFonts w:ascii="宋体" w:hAnsi="宋体"/>
          <w:color w:val="auto"/>
          <w:spacing w:val="6"/>
          <w:sz w:val="24"/>
          <w:highlight w:val="none"/>
        </w:rPr>
        <w:t>，属于</w:t>
      </w:r>
      <w:r>
        <w:rPr>
          <w:rFonts w:ascii="宋体" w:hAnsi="宋体"/>
          <w:color w:val="auto"/>
          <w:spacing w:val="6"/>
          <w:sz w:val="24"/>
          <w:highlight w:val="none"/>
          <w:u w:val="single"/>
        </w:rPr>
        <w:t>（采购文件中明确的所属行业）</w:t>
      </w:r>
      <w:r>
        <w:rPr>
          <w:rFonts w:ascii="宋体" w:hAnsi="宋体"/>
          <w:color w:val="auto"/>
          <w:spacing w:val="6"/>
          <w:sz w:val="24"/>
          <w:highlight w:val="none"/>
        </w:rPr>
        <w:t>行业；制造商为</w:t>
      </w:r>
      <w:r>
        <w:rPr>
          <w:rFonts w:ascii="宋体" w:hAnsi="宋体"/>
          <w:color w:val="auto"/>
          <w:spacing w:val="6"/>
          <w:sz w:val="24"/>
          <w:highlight w:val="none"/>
          <w:u w:val="single"/>
        </w:rPr>
        <w:t>（企业名称）</w:t>
      </w:r>
      <w:r>
        <w:rPr>
          <w:rFonts w:ascii="宋体" w:hAnsi="宋体"/>
          <w:color w:val="auto"/>
          <w:spacing w:val="6"/>
          <w:sz w:val="24"/>
          <w:highlight w:val="none"/>
        </w:rPr>
        <w:t>，从业人员______人，营业收入为______万元，资产总额为______万元，属于</w:t>
      </w:r>
      <w:r>
        <w:rPr>
          <w:rFonts w:ascii="宋体" w:hAnsi="宋体"/>
          <w:color w:val="auto"/>
          <w:spacing w:val="6"/>
          <w:sz w:val="24"/>
          <w:highlight w:val="none"/>
          <w:u w:val="single"/>
        </w:rPr>
        <w:t>（中型企业、小型企业、微型企业）</w:t>
      </w:r>
      <w:r>
        <w:rPr>
          <w:rFonts w:ascii="宋体" w:hAnsi="宋体"/>
          <w:color w:val="auto"/>
          <w:spacing w:val="6"/>
          <w:sz w:val="24"/>
          <w:highlight w:val="none"/>
        </w:rPr>
        <w:t>；</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以上企业，不属于大企业的分支机构，不存在控股股东为大企业的情形，也不存在与大企业的负责人为同一人的情形。</w:t>
      </w:r>
    </w:p>
    <w:p>
      <w:pPr>
        <w:spacing w:line="360" w:lineRule="auto"/>
        <w:ind w:firstLine="504"/>
        <w:rPr>
          <w:rFonts w:hint="eastAsia" w:ascii="宋体" w:hAnsi="宋体"/>
          <w:color w:val="auto"/>
          <w:spacing w:val="6"/>
          <w:sz w:val="24"/>
          <w:highlight w:val="none"/>
        </w:rPr>
      </w:pPr>
      <w:r>
        <w:rPr>
          <w:rFonts w:ascii="宋体" w:hAnsi="宋体"/>
          <w:color w:val="auto"/>
          <w:spacing w:val="6"/>
          <w:sz w:val="24"/>
          <w:highlight w:val="none"/>
        </w:rPr>
        <w:t>本企业对上述声明内容的真实性负责。如有虚假，将依法承担相应责任。</w:t>
      </w:r>
    </w:p>
    <w:p>
      <w:pPr>
        <w:spacing w:line="360" w:lineRule="auto"/>
        <w:ind w:firstLine="504"/>
        <w:rPr>
          <w:rFonts w:hint="eastAsia" w:ascii="宋体" w:hAnsi="宋体"/>
          <w:color w:val="auto"/>
          <w:spacing w:val="6"/>
          <w:sz w:val="24"/>
          <w:highlight w:val="none"/>
        </w:rPr>
      </w:pPr>
    </w:p>
    <w:p>
      <w:pPr>
        <w:spacing w:line="360" w:lineRule="auto"/>
        <w:ind w:right="360" w:firstLine="480"/>
        <w:jc w:val="right"/>
        <w:rPr>
          <w:rFonts w:hint="eastAsia" w:ascii="宋体" w:hAnsi="宋体"/>
          <w:color w:val="auto"/>
          <w:sz w:val="24"/>
          <w:highlight w:val="none"/>
        </w:rPr>
      </w:pPr>
      <w:r>
        <w:rPr>
          <w:rFonts w:ascii="宋体" w:hAnsi="宋体"/>
          <w:color w:val="auto"/>
          <w:sz w:val="24"/>
          <w:highlight w:val="none"/>
        </w:rPr>
        <w:t>企业名称（盖章）：________</w:t>
      </w:r>
    </w:p>
    <w:p>
      <w:pPr>
        <w:spacing w:line="360" w:lineRule="auto"/>
        <w:ind w:right="360" w:firstLine="480"/>
        <w:jc w:val="right"/>
        <w:rPr>
          <w:rFonts w:hint="eastAsia" w:ascii="宋体" w:hAnsi="宋体"/>
          <w:color w:val="auto"/>
          <w:sz w:val="24"/>
          <w:highlight w:val="none"/>
        </w:rPr>
      </w:pPr>
      <w:r>
        <w:rPr>
          <w:rFonts w:ascii="宋体" w:hAnsi="宋体"/>
          <w:color w:val="auto"/>
          <w:sz w:val="24"/>
          <w:highlight w:val="none"/>
        </w:rPr>
        <w:t>日 期：________</w:t>
      </w:r>
    </w:p>
    <w:p>
      <w:pPr>
        <w:spacing w:line="360" w:lineRule="auto"/>
        <w:ind w:right="360" w:firstLine="480"/>
        <w:jc w:val="right"/>
        <w:rPr>
          <w:rFonts w:hint="eastAsia" w:ascii="宋体" w:hAnsi="宋体"/>
          <w:color w:val="auto"/>
          <w:sz w:val="24"/>
          <w:highlight w:val="none"/>
        </w:rPr>
      </w:pPr>
    </w:p>
    <w:p>
      <w:pPr>
        <w:spacing w:line="360" w:lineRule="auto"/>
        <w:ind w:right="360" w:firstLine="480"/>
        <w:jc w:val="right"/>
        <w:rPr>
          <w:rFonts w:hint="eastAsia" w:ascii="宋体" w:hAnsi="宋体"/>
          <w:color w:val="auto"/>
          <w:sz w:val="24"/>
          <w:highlight w:val="none"/>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rFonts w:hint="eastAsia" w:ascii="宋体" w:hAnsi="宋体"/>
                <w:color w:val="auto"/>
                <w:szCs w:val="21"/>
                <w:highlight w:val="none"/>
              </w:rPr>
            </w:pPr>
            <w:r>
              <w:rPr>
                <w:rFonts w:ascii="宋体" w:hAnsi="宋体"/>
                <w:color w:val="auto"/>
                <w:szCs w:val="21"/>
                <w:highlight w:val="none"/>
                <w:vertAlign w:val="superscript"/>
              </w:rPr>
              <w:t>1</w:t>
            </w:r>
            <w:r>
              <w:rPr>
                <w:rFonts w:ascii="宋体" w:hAnsi="宋体"/>
                <w:color w:val="auto"/>
                <w:szCs w:val="21"/>
                <w:highlight w:val="none"/>
              </w:rPr>
              <w:t>从业人员、营业收入、资产总额填报上一年度数据，无上一年度数据的新成立企业可不填报。</w:t>
            </w:r>
          </w:p>
        </w:tc>
      </w:tr>
    </w:tbl>
    <w:p>
      <w:pPr>
        <w:spacing w:before="240" w:beforeLines="100" w:after="240" w:afterLines="100" w:line="360" w:lineRule="auto"/>
        <w:jc w:val="center"/>
        <w:rPr>
          <w:rFonts w:hint="eastAsia" w:ascii="宋体" w:hAnsi="宋体"/>
          <w:b/>
          <w:color w:val="auto"/>
          <w:sz w:val="36"/>
          <w:szCs w:val="36"/>
          <w:highlight w:val="none"/>
        </w:rPr>
      </w:pPr>
      <w:r>
        <w:rPr>
          <w:rFonts w:ascii="宋体" w:hAnsi="宋体"/>
          <w:color w:val="auto"/>
          <w:sz w:val="24"/>
          <w:highlight w:val="none"/>
        </w:rPr>
        <w:br w:type="page"/>
      </w:r>
      <w:bookmarkStart w:id="948" w:name="_Toc162979042"/>
      <w:r>
        <w:rPr>
          <w:rFonts w:hint="eastAsia" w:ascii="宋体" w:hAnsi="宋体"/>
          <w:b/>
          <w:bCs/>
          <w:color w:val="auto"/>
          <w:sz w:val="36"/>
          <w:szCs w:val="36"/>
          <w:highlight w:val="none"/>
        </w:rPr>
        <w:t>残疾人福利性单位声明函格式</w:t>
      </w:r>
      <w:bookmarkEnd w:id="948"/>
    </w:p>
    <w:p>
      <w:pPr>
        <w:spacing w:line="588" w:lineRule="exact"/>
        <w:ind w:firstLine="504"/>
        <w:rPr>
          <w:rFonts w:hint="eastAsia" w:ascii="宋体" w:hAnsi="宋体"/>
          <w:color w:val="auto"/>
          <w:spacing w:val="6"/>
          <w:sz w:val="24"/>
          <w:highlight w:val="none"/>
        </w:rPr>
      </w:pPr>
      <w:r>
        <w:rPr>
          <w:rFonts w:ascii="宋体" w:hAnsi="宋体"/>
          <w:color w:val="auto"/>
          <w:spacing w:val="6"/>
          <w:sz w:val="24"/>
          <w:highlight w:val="none"/>
        </w:rPr>
        <w:t>本单位郑重声明，根据《财政部 民政部 中国残疾人联合会关于促进残疾人就业政府采购政策的通知》（财库</w:t>
      </w:r>
      <w:r>
        <w:rPr>
          <w:rFonts w:ascii="宋体" w:hAnsi="宋体"/>
          <w:color w:val="auto"/>
          <w:sz w:val="24"/>
          <w:highlight w:val="none"/>
        </w:rPr>
        <w:t>〔2017〕 141</w:t>
      </w:r>
      <w:r>
        <w:rPr>
          <w:rFonts w:ascii="宋体" w:hAnsi="宋体"/>
          <w:color w:val="auto"/>
          <w:spacing w:val="6"/>
          <w:sz w:val="24"/>
          <w:highlight w:val="none"/>
        </w:rPr>
        <w:t>号）的规定，本单位</w:t>
      </w:r>
      <w:r>
        <w:rPr>
          <w:rFonts w:ascii="宋体" w:hAnsi="宋体"/>
          <w:b/>
          <w:color w:val="auto"/>
          <w:sz w:val="24"/>
          <w:highlight w:val="none"/>
        </w:rPr>
        <w:t>（请进行</w:t>
      </w:r>
      <w:r>
        <w:rPr>
          <w:b/>
          <w:color w:val="auto"/>
          <w:sz w:val="24"/>
          <w:highlight w:val="none"/>
        </w:rPr>
        <w:t>选择</w:t>
      </w:r>
      <w:r>
        <w:rPr>
          <w:rFonts w:ascii="宋体" w:hAnsi="宋体"/>
          <w:b/>
          <w:color w:val="auto"/>
          <w:sz w:val="24"/>
          <w:highlight w:val="none"/>
        </w:rPr>
        <w:t>）</w:t>
      </w:r>
      <w:r>
        <w:rPr>
          <w:rFonts w:ascii="宋体" w:hAnsi="宋体"/>
          <w:color w:val="auto"/>
          <w:spacing w:val="6"/>
          <w:sz w:val="24"/>
          <w:highlight w:val="none"/>
        </w:rPr>
        <w:t>：</w:t>
      </w:r>
    </w:p>
    <w:p>
      <w:pPr>
        <w:spacing w:line="588" w:lineRule="exact"/>
        <w:ind w:firstLine="482"/>
        <w:rPr>
          <w:rFonts w:hint="eastAsia" w:ascii="宋体" w:hAnsi="宋体"/>
          <w:b/>
          <w:color w:val="auto"/>
          <w:spacing w:val="6"/>
          <w:sz w:val="24"/>
          <w:highlight w:val="none"/>
        </w:rPr>
      </w:pPr>
      <w:r>
        <w:rPr>
          <w:rFonts w:ascii="宋体" w:hAnsi="宋体"/>
          <w:b/>
          <w:color w:val="auto"/>
          <w:sz w:val="24"/>
          <w:highlight w:val="none"/>
        </w:rPr>
        <w:t>□</w:t>
      </w:r>
      <w:r>
        <w:rPr>
          <w:rFonts w:ascii="宋体" w:hAnsi="宋体"/>
          <w:b/>
          <w:color w:val="auto"/>
          <w:spacing w:val="6"/>
          <w:sz w:val="24"/>
          <w:highlight w:val="none"/>
        </w:rPr>
        <w:t>不属于符合条件的残疾人福利性单位。</w:t>
      </w:r>
    </w:p>
    <w:p>
      <w:pPr>
        <w:spacing w:line="588" w:lineRule="exact"/>
        <w:ind w:firstLine="482"/>
        <w:rPr>
          <w:rFonts w:hint="eastAsia" w:ascii="宋体" w:hAnsi="宋体"/>
          <w:color w:val="auto"/>
          <w:spacing w:val="6"/>
          <w:sz w:val="24"/>
          <w:highlight w:val="none"/>
        </w:rPr>
      </w:pPr>
      <w:r>
        <w:rPr>
          <w:rFonts w:ascii="宋体" w:hAnsi="宋体"/>
          <w:b/>
          <w:color w:val="auto"/>
          <w:sz w:val="24"/>
          <w:highlight w:val="none"/>
        </w:rPr>
        <w:t>□</w:t>
      </w:r>
      <w:r>
        <w:rPr>
          <w:rFonts w:ascii="宋体" w:hAnsi="宋体"/>
          <w:b/>
          <w:color w:val="auto"/>
          <w:spacing w:val="6"/>
          <w:sz w:val="24"/>
          <w:highlight w:val="none"/>
        </w:rPr>
        <w:t>属于符合条件的残疾人福利性单位，</w:t>
      </w:r>
      <w:r>
        <w:rPr>
          <w:rFonts w:ascii="宋体" w:hAnsi="宋体"/>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5" w:firstLineChars="200"/>
        <w:rPr>
          <w:rFonts w:hint="eastAsia" w:ascii="宋体" w:hAnsi="宋体"/>
          <w:color w:val="auto"/>
          <w:spacing w:val="6"/>
          <w:sz w:val="24"/>
          <w:highlight w:val="none"/>
        </w:rPr>
      </w:pPr>
      <w:r>
        <w:rPr>
          <w:rFonts w:ascii="宋体" w:hAnsi="宋体"/>
          <w:b/>
          <w:color w:val="auto"/>
          <w:spacing w:val="6"/>
          <w:sz w:val="24"/>
          <w:highlight w:val="none"/>
        </w:rPr>
        <w:t>本单位对上述声明的真实性负责。如有虚假，将依法承担相应责任。</w:t>
      </w:r>
    </w:p>
    <w:p>
      <w:pPr>
        <w:spacing w:line="588" w:lineRule="exact"/>
        <w:ind w:firstLine="504" w:firstLineChars="200"/>
        <w:rPr>
          <w:rFonts w:hint="eastAsia" w:ascii="宋体" w:hAnsi="宋体"/>
          <w:color w:val="auto"/>
          <w:spacing w:val="6"/>
          <w:sz w:val="24"/>
          <w:highlight w:val="none"/>
        </w:rPr>
      </w:pPr>
    </w:p>
    <w:p>
      <w:pPr>
        <w:spacing w:line="588" w:lineRule="exact"/>
        <w:ind w:firstLine="504" w:firstLineChars="200"/>
        <w:rPr>
          <w:rFonts w:hint="eastAsia" w:ascii="宋体" w:hAnsi="宋体"/>
          <w:color w:val="auto"/>
          <w:spacing w:val="6"/>
          <w:sz w:val="24"/>
          <w:highlight w:val="none"/>
        </w:rPr>
      </w:pPr>
    </w:p>
    <w:p>
      <w:pPr>
        <w:tabs>
          <w:tab w:val="left" w:pos="4860"/>
        </w:tabs>
        <w:spacing w:line="588" w:lineRule="exact"/>
        <w:ind w:right="1560" w:firstLine="504" w:firstLineChars="200"/>
        <w:jc w:val="center"/>
        <w:rPr>
          <w:rFonts w:hint="eastAsia" w:ascii="宋体" w:hAnsi="宋体"/>
          <w:color w:val="auto"/>
          <w:spacing w:val="6"/>
          <w:sz w:val="24"/>
          <w:highlight w:val="none"/>
        </w:rPr>
      </w:pPr>
      <w:r>
        <w:rPr>
          <w:rFonts w:ascii="宋体" w:hAnsi="宋体"/>
          <w:color w:val="auto"/>
          <w:spacing w:val="6"/>
          <w:sz w:val="24"/>
          <w:highlight w:val="none"/>
        </w:rPr>
        <w:t xml:space="preserve">               单位名称（盖章）：</w:t>
      </w:r>
    </w:p>
    <w:p>
      <w:pPr>
        <w:tabs>
          <w:tab w:val="left" w:pos="4860"/>
        </w:tabs>
        <w:spacing w:line="588" w:lineRule="exact"/>
        <w:ind w:right="1560" w:firstLine="504" w:firstLineChars="200"/>
        <w:jc w:val="center"/>
        <w:rPr>
          <w:rFonts w:hint="eastAsia" w:ascii="宋体" w:hAnsi="宋体"/>
          <w:color w:val="auto"/>
          <w:spacing w:val="6"/>
          <w:sz w:val="24"/>
          <w:highlight w:val="none"/>
        </w:rPr>
      </w:pPr>
      <w:r>
        <w:rPr>
          <w:rFonts w:ascii="宋体" w:hAnsi="宋体"/>
          <w:color w:val="auto"/>
          <w:spacing w:val="6"/>
          <w:sz w:val="24"/>
          <w:highlight w:val="none"/>
        </w:rPr>
        <w:t xml:space="preserve">       日  期：</w:t>
      </w:r>
    </w:p>
    <w:p>
      <w:pPr>
        <w:widowControl/>
        <w:jc w:val="left"/>
        <w:rPr>
          <w:rFonts w:hint="eastAsia" w:ascii="宋体" w:hAnsi="宋体"/>
          <w:color w:val="auto"/>
          <w:sz w:val="24"/>
          <w:highlight w:val="none"/>
        </w:rPr>
      </w:pPr>
    </w:p>
    <w:p>
      <w:pPr>
        <w:tabs>
          <w:tab w:val="left" w:pos="8280"/>
        </w:tabs>
        <w:spacing w:line="360" w:lineRule="auto"/>
        <w:rPr>
          <w:rFonts w:hint="eastAsia" w:ascii="宋体" w:hAnsi="宋体"/>
          <w:color w:val="auto"/>
          <w:sz w:val="24"/>
          <w:highlight w:val="none"/>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p>
      <w:pPr>
        <w:pStyle w:val="6"/>
        <w:rPr>
          <w:rFonts w:ascii="Times New Roman" w:hAnsi="Times New Roman" w:eastAsia="宋体"/>
          <w:b w:val="0"/>
          <w:color w:val="auto"/>
          <w:sz w:val="24"/>
          <w:highlight w:val="none"/>
        </w:rPr>
      </w:pPr>
      <w:bookmarkStart w:id="949" w:name="_Toc162979043"/>
      <w:r>
        <w:rPr>
          <w:rFonts w:ascii="Times New Roman" w:hAnsi="Times New Roman" w:eastAsia="宋体"/>
          <w:b w:val="0"/>
          <w:color w:val="auto"/>
          <w:sz w:val="24"/>
          <w:highlight w:val="none"/>
        </w:rPr>
        <w:t>2-1-2 拟分包情况说明及分包意向协议</w:t>
      </w:r>
    </w:p>
    <w:p>
      <w:pPr>
        <w:autoSpaceDE w:val="0"/>
        <w:autoSpaceDN w:val="0"/>
        <w:adjustRightInd w:val="0"/>
        <w:jc w:val="center"/>
        <w:rPr>
          <w:color w:val="auto"/>
          <w:sz w:val="30"/>
          <w:szCs w:val="30"/>
          <w:highlight w:val="none"/>
        </w:rPr>
      </w:pPr>
    </w:p>
    <w:p>
      <w:pPr>
        <w:autoSpaceDE w:val="0"/>
        <w:autoSpaceDN w:val="0"/>
        <w:adjustRightInd w:val="0"/>
        <w:spacing w:line="360" w:lineRule="auto"/>
        <w:jc w:val="center"/>
        <w:rPr>
          <w:b/>
          <w:color w:val="auto"/>
          <w:sz w:val="36"/>
          <w:szCs w:val="36"/>
          <w:highlight w:val="none"/>
        </w:rPr>
      </w:pPr>
      <w:r>
        <w:rPr>
          <w:b/>
          <w:color w:val="auto"/>
          <w:sz w:val="36"/>
          <w:szCs w:val="36"/>
          <w:highlight w:val="none"/>
        </w:rPr>
        <w:t>拟分包情况说明</w:t>
      </w:r>
    </w:p>
    <w:p>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pPr>
        <w:adjustRightInd w:val="0"/>
        <w:snapToGrid w:val="0"/>
        <w:spacing w:line="360" w:lineRule="auto"/>
        <w:ind w:firstLine="480" w:firstLineChars="200"/>
        <w:jc w:val="left"/>
        <w:rPr>
          <w:color w:val="auto"/>
          <w:sz w:val="24"/>
          <w:highlight w:val="none"/>
        </w:rPr>
      </w:pPr>
      <w:r>
        <w:rPr>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93"/>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序号</w:t>
            </w:r>
          </w:p>
        </w:tc>
        <w:tc>
          <w:tcPr>
            <w:tcW w:w="1287" w:type="dxa"/>
            <w:vAlign w:val="center"/>
          </w:tcPr>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分包承担</w:t>
            </w:r>
          </w:p>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主体名称</w:t>
            </w:r>
          </w:p>
        </w:tc>
        <w:tc>
          <w:tcPr>
            <w:tcW w:w="1513" w:type="dxa"/>
            <w:vAlign w:val="center"/>
          </w:tcPr>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分包承担</w:t>
            </w:r>
          </w:p>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主体类型</w:t>
            </w:r>
          </w:p>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（选择）</w:t>
            </w:r>
          </w:p>
        </w:tc>
        <w:tc>
          <w:tcPr>
            <w:tcW w:w="1125" w:type="dxa"/>
            <w:vAlign w:val="center"/>
          </w:tcPr>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资质等级</w:t>
            </w:r>
          </w:p>
        </w:tc>
        <w:tc>
          <w:tcPr>
            <w:tcW w:w="1561" w:type="dxa"/>
            <w:vAlign w:val="center"/>
          </w:tcPr>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拟分包</w:t>
            </w:r>
          </w:p>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合同内容</w:t>
            </w:r>
          </w:p>
        </w:tc>
        <w:tc>
          <w:tcPr>
            <w:tcW w:w="1498" w:type="dxa"/>
            <w:vAlign w:val="center"/>
          </w:tcPr>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拟分包</w:t>
            </w:r>
          </w:p>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合同金额</w:t>
            </w:r>
          </w:p>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（人民币元）</w:t>
            </w:r>
          </w:p>
        </w:tc>
        <w:tc>
          <w:tcPr>
            <w:tcW w:w="1564" w:type="dxa"/>
            <w:vAlign w:val="center"/>
          </w:tcPr>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占该采购包</w:t>
            </w:r>
          </w:p>
          <w:p>
            <w:pPr>
              <w:pStyle w:val="252"/>
              <w:jc w:val="center"/>
              <w:rPr>
                <w:rFonts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lang w:eastAsia="zh-CN"/>
              </w:rPr>
              <w:t>合同金额的</w:t>
            </w:r>
          </w:p>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比例（</w:t>
            </w:r>
            <w:r>
              <w:rPr>
                <w:rFonts w:ascii="Times New Roman" w:hAnsi="Times New Roman" w:eastAsia="Times New Roman" w:cs="Times New Roman"/>
                <w:color w:val="auto"/>
                <w:sz w:val="24"/>
                <w:highlight w:val="none"/>
                <w:lang w:eastAsia="zh-CN"/>
              </w:rPr>
              <w:t>%</w:t>
            </w:r>
            <w:r>
              <w:rPr>
                <w:rFonts w:ascii="Times New Roman" w:hAnsi="Times New Roman" w:cs="Times New Roman" w:eastAsiaTheme="minorEastAsia"/>
                <w:color w:val="auto"/>
                <w:sz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2"/>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p>
        </w:tc>
        <w:tc>
          <w:tcPr>
            <w:tcW w:w="1287" w:type="dxa"/>
            <w:vAlign w:val="center"/>
          </w:tcPr>
          <w:p>
            <w:pPr>
              <w:pStyle w:val="252"/>
              <w:jc w:val="center"/>
              <w:rPr>
                <w:rFonts w:ascii="Times New Roman" w:hAnsi="Times New Roman" w:cs="Times New Roman" w:eastAsiaTheme="minorEastAsia"/>
                <w:color w:val="auto"/>
                <w:sz w:val="30"/>
                <w:highlight w:val="none"/>
              </w:rPr>
            </w:pPr>
          </w:p>
        </w:tc>
        <w:tc>
          <w:tcPr>
            <w:tcW w:w="1513" w:type="dxa"/>
            <w:vAlign w:val="center"/>
          </w:tcPr>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561"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498"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564" w:type="dxa"/>
            <w:vAlign w:val="center"/>
          </w:tcPr>
          <w:p>
            <w:pPr>
              <w:pStyle w:val="252"/>
              <w:jc w:val="center"/>
              <w:rPr>
                <w:rFonts w:ascii="Times New Roman" w:hAnsi="Times New Roman" w:cs="Times New Roman" w:eastAsiaTheme="minorEastAsia"/>
                <w:color w:val="auto"/>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2</w:t>
            </w:r>
          </w:p>
        </w:tc>
        <w:tc>
          <w:tcPr>
            <w:tcW w:w="1287" w:type="dxa"/>
            <w:vAlign w:val="center"/>
          </w:tcPr>
          <w:p>
            <w:pPr>
              <w:pStyle w:val="252"/>
              <w:jc w:val="center"/>
              <w:rPr>
                <w:rFonts w:ascii="Times New Roman" w:hAnsi="Times New Roman" w:cs="Times New Roman" w:eastAsiaTheme="minorEastAsia"/>
                <w:color w:val="auto"/>
                <w:sz w:val="30"/>
                <w:highlight w:val="none"/>
              </w:rPr>
            </w:pPr>
          </w:p>
        </w:tc>
        <w:tc>
          <w:tcPr>
            <w:tcW w:w="1513" w:type="dxa"/>
            <w:vAlign w:val="center"/>
          </w:tcPr>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pPr>
              <w:pStyle w:val="252"/>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561"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498" w:type="dxa"/>
            <w:vAlign w:val="center"/>
          </w:tcPr>
          <w:p>
            <w:pPr>
              <w:pStyle w:val="252"/>
              <w:jc w:val="center"/>
              <w:rPr>
                <w:rFonts w:ascii="Times New Roman" w:hAnsi="Times New Roman" w:cs="Times New Roman" w:eastAsiaTheme="minorEastAsia"/>
                <w:color w:val="auto"/>
                <w:sz w:val="30"/>
                <w:highlight w:val="none"/>
                <w:lang w:eastAsia="zh-CN"/>
              </w:rPr>
            </w:pPr>
          </w:p>
        </w:tc>
        <w:tc>
          <w:tcPr>
            <w:tcW w:w="1564" w:type="dxa"/>
            <w:vAlign w:val="center"/>
          </w:tcPr>
          <w:p>
            <w:pPr>
              <w:pStyle w:val="252"/>
              <w:jc w:val="center"/>
              <w:rPr>
                <w:rFonts w:ascii="Times New Roman" w:hAnsi="Times New Roman" w:cs="Times New Roman" w:eastAsiaTheme="minorEastAsia"/>
                <w:color w:val="auto"/>
                <w:sz w:val="3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pPr>
              <w:pStyle w:val="252"/>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w:t>
            </w:r>
          </w:p>
        </w:tc>
        <w:tc>
          <w:tcPr>
            <w:tcW w:w="1287" w:type="dxa"/>
            <w:vAlign w:val="center"/>
          </w:tcPr>
          <w:p>
            <w:pPr>
              <w:pStyle w:val="252"/>
              <w:jc w:val="center"/>
              <w:rPr>
                <w:rFonts w:ascii="Times New Roman" w:hAnsi="Times New Roman" w:cs="Times New Roman" w:eastAsiaTheme="minorEastAsia"/>
                <w:color w:val="auto"/>
                <w:sz w:val="30"/>
                <w:highlight w:val="none"/>
              </w:rPr>
            </w:pPr>
          </w:p>
        </w:tc>
        <w:tc>
          <w:tcPr>
            <w:tcW w:w="1513" w:type="dxa"/>
            <w:vAlign w:val="center"/>
          </w:tcPr>
          <w:p>
            <w:pPr>
              <w:pStyle w:val="252"/>
              <w:tabs>
                <w:tab w:val="left" w:pos="235"/>
              </w:tabs>
              <w:jc w:val="center"/>
              <w:rPr>
                <w:rFonts w:ascii="Times New Roman" w:hAnsi="Times New Roman" w:cs="Times New Roman" w:eastAsiaTheme="minorEastAsia"/>
                <w:color w:val="auto"/>
                <w:sz w:val="24"/>
                <w:highlight w:val="none"/>
              </w:rPr>
            </w:pPr>
          </w:p>
        </w:tc>
        <w:tc>
          <w:tcPr>
            <w:tcW w:w="1125" w:type="dxa"/>
            <w:vAlign w:val="center"/>
          </w:tcPr>
          <w:p>
            <w:pPr>
              <w:pStyle w:val="252"/>
              <w:jc w:val="center"/>
              <w:rPr>
                <w:rFonts w:ascii="Times New Roman" w:hAnsi="Times New Roman" w:cs="Times New Roman" w:eastAsiaTheme="minorEastAsia"/>
                <w:color w:val="auto"/>
                <w:sz w:val="30"/>
                <w:highlight w:val="none"/>
              </w:rPr>
            </w:pPr>
          </w:p>
        </w:tc>
        <w:tc>
          <w:tcPr>
            <w:tcW w:w="1561" w:type="dxa"/>
            <w:vAlign w:val="center"/>
          </w:tcPr>
          <w:p>
            <w:pPr>
              <w:pStyle w:val="252"/>
              <w:jc w:val="center"/>
              <w:rPr>
                <w:rFonts w:ascii="Times New Roman" w:hAnsi="Times New Roman" w:cs="Times New Roman" w:eastAsiaTheme="minorEastAsia"/>
                <w:color w:val="auto"/>
                <w:sz w:val="30"/>
                <w:highlight w:val="none"/>
              </w:rPr>
            </w:pPr>
          </w:p>
        </w:tc>
        <w:tc>
          <w:tcPr>
            <w:tcW w:w="1498" w:type="dxa"/>
            <w:vAlign w:val="center"/>
          </w:tcPr>
          <w:p>
            <w:pPr>
              <w:pStyle w:val="252"/>
              <w:jc w:val="center"/>
              <w:rPr>
                <w:rFonts w:ascii="Times New Roman" w:hAnsi="Times New Roman" w:cs="Times New Roman" w:eastAsiaTheme="minorEastAsia"/>
                <w:color w:val="auto"/>
                <w:sz w:val="30"/>
                <w:highlight w:val="none"/>
              </w:rPr>
            </w:pPr>
          </w:p>
        </w:tc>
        <w:tc>
          <w:tcPr>
            <w:tcW w:w="1564" w:type="dxa"/>
            <w:vAlign w:val="center"/>
          </w:tcPr>
          <w:p>
            <w:pPr>
              <w:pStyle w:val="252"/>
              <w:jc w:val="center"/>
              <w:rPr>
                <w:rFonts w:ascii="Times New Roman" w:hAnsi="Times New Roman" w:cs="Times New Roman" w:eastAsiaTheme="minorEastAsia"/>
                <w:color w:val="auto"/>
                <w:sz w:val="3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pPr>
              <w:pStyle w:val="252"/>
              <w:ind w:right="57" w:rightChars="27"/>
              <w:jc w:val="right"/>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合计：</w:t>
            </w:r>
          </w:p>
        </w:tc>
        <w:tc>
          <w:tcPr>
            <w:tcW w:w="1498" w:type="dxa"/>
            <w:vAlign w:val="center"/>
          </w:tcPr>
          <w:p>
            <w:pPr>
              <w:pStyle w:val="252"/>
              <w:jc w:val="center"/>
              <w:rPr>
                <w:rFonts w:ascii="Times New Roman" w:hAnsi="Times New Roman" w:cs="Times New Roman" w:eastAsiaTheme="minorEastAsia"/>
                <w:color w:val="auto"/>
                <w:sz w:val="30"/>
                <w:highlight w:val="none"/>
              </w:rPr>
            </w:pPr>
          </w:p>
        </w:tc>
        <w:tc>
          <w:tcPr>
            <w:tcW w:w="1564" w:type="dxa"/>
            <w:vAlign w:val="center"/>
          </w:tcPr>
          <w:p>
            <w:pPr>
              <w:pStyle w:val="252"/>
              <w:jc w:val="center"/>
              <w:rPr>
                <w:rFonts w:ascii="Times New Roman" w:hAnsi="Times New Roman" w:cs="Times New Roman" w:eastAsiaTheme="minorEastAsia"/>
                <w:color w:val="auto"/>
                <w:sz w:val="30"/>
                <w:highlight w:val="none"/>
              </w:rPr>
            </w:pPr>
          </w:p>
        </w:tc>
      </w:tr>
    </w:tbl>
    <w:p>
      <w:pPr>
        <w:adjustRightInd w:val="0"/>
        <w:snapToGrid w:val="0"/>
        <w:spacing w:line="360" w:lineRule="auto"/>
        <w:ind w:firstLine="480" w:firstLineChars="200"/>
        <w:jc w:val="left"/>
        <w:rPr>
          <w:color w:val="auto"/>
          <w:sz w:val="24"/>
          <w:highlight w:val="none"/>
        </w:rPr>
      </w:pPr>
    </w:p>
    <w:p>
      <w:pPr>
        <w:adjustRightInd w:val="0"/>
        <w:snapToGrid w:val="0"/>
        <w:spacing w:line="360" w:lineRule="auto"/>
        <w:jc w:val="left"/>
        <w:rPr>
          <w:color w:val="auto"/>
          <w:sz w:val="24"/>
          <w:highlight w:val="none"/>
        </w:rPr>
      </w:pPr>
    </w:p>
    <w:p>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：____________</w:t>
      </w:r>
    </w:p>
    <w:p>
      <w:pPr>
        <w:spacing w:line="360" w:lineRule="auto"/>
        <w:ind w:right="-57" w:firstLine="480"/>
        <w:jc w:val="right"/>
        <w:rPr>
          <w:color w:val="auto"/>
          <w:sz w:val="24"/>
          <w:highlight w:val="none"/>
        </w:rPr>
      </w:pPr>
      <w:r>
        <w:rPr>
          <w:color w:val="auto"/>
          <w:sz w:val="24"/>
          <w:szCs w:val="20"/>
          <w:highlight w:val="none"/>
        </w:rPr>
        <w:t>日期：_____年______月______日</w:t>
      </w:r>
    </w:p>
    <w:p>
      <w:pPr>
        <w:adjustRightInd w:val="0"/>
        <w:snapToGrid w:val="0"/>
        <w:spacing w:line="360" w:lineRule="auto"/>
        <w:jc w:val="left"/>
        <w:rPr>
          <w:color w:val="auto"/>
          <w:sz w:val="24"/>
          <w:highlight w:val="none"/>
        </w:rPr>
      </w:pPr>
      <w:r>
        <w:rPr>
          <w:color w:val="auto"/>
          <w:sz w:val="24"/>
          <w:highlight w:val="none"/>
        </w:rPr>
        <w:t>注：</w:t>
      </w:r>
    </w:p>
    <w:p>
      <w:pPr>
        <w:adjustRightInd w:val="0"/>
        <w:snapToGrid w:val="0"/>
        <w:spacing w:line="360" w:lineRule="auto"/>
        <w:jc w:val="left"/>
        <w:rPr>
          <w:color w:val="auto"/>
          <w:sz w:val="24"/>
          <w:highlight w:val="none"/>
        </w:rPr>
      </w:pPr>
      <w:r>
        <w:rPr>
          <w:color w:val="auto"/>
          <w:sz w:val="24"/>
          <w:highlight w:val="none"/>
        </w:rPr>
        <w:t>如本招标文件《投标人须知资料表》载明本项目分包承担主体应具备的相应资质条件，则投标人须在本表中列明分包承担主体的资质等级，并后附资质证书电子件，否则</w:t>
      </w:r>
      <w:r>
        <w:rPr>
          <w:b/>
          <w:color w:val="auto"/>
          <w:sz w:val="24"/>
          <w:highlight w:val="none"/>
        </w:rPr>
        <w:t>投标无效</w:t>
      </w:r>
      <w:r>
        <w:rPr>
          <w:color w:val="auto"/>
          <w:sz w:val="24"/>
          <w:highlight w:val="none"/>
        </w:rPr>
        <w:t>。</w:t>
      </w:r>
    </w:p>
    <w:p>
      <w:pPr>
        <w:adjustRightInd w:val="0"/>
        <w:snapToGrid w:val="0"/>
        <w:spacing w:line="360" w:lineRule="auto"/>
        <w:jc w:val="left"/>
        <w:rPr>
          <w:color w:val="auto"/>
          <w:sz w:val="30"/>
          <w:szCs w:val="30"/>
          <w:highlight w:val="none"/>
        </w:rPr>
      </w:pPr>
    </w:p>
    <w:p>
      <w:pPr>
        <w:autoSpaceDE w:val="0"/>
        <w:autoSpaceDN w:val="0"/>
        <w:adjustRightInd w:val="0"/>
        <w:spacing w:line="360" w:lineRule="auto"/>
        <w:jc w:val="center"/>
        <w:rPr>
          <w:b/>
          <w:color w:val="auto"/>
          <w:sz w:val="36"/>
          <w:szCs w:val="36"/>
          <w:highlight w:val="none"/>
        </w:rPr>
      </w:pPr>
      <w:r>
        <w:rPr>
          <w:color w:val="auto"/>
          <w:sz w:val="30"/>
          <w:szCs w:val="30"/>
          <w:highlight w:val="none"/>
        </w:rPr>
        <w:br w:type="page"/>
      </w:r>
      <w:r>
        <w:rPr>
          <w:b/>
          <w:color w:val="auto"/>
          <w:sz w:val="36"/>
          <w:szCs w:val="36"/>
          <w:highlight w:val="none"/>
        </w:rPr>
        <w:t>分包意向协议</w:t>
      </w:r>
    </w:p>
    <w:p>
      <w:pPr>
        <w:adjustRightInd w:val="0"/>
        <w:snapToGrid w:val="0"/>
        <w:spacing w:line="360" w:lineRule="auto"/>
        <w:ind w:firstLine="480" w:firstLineChars="200"/>
        <w:jc w:val="left"/>
        <w:rPr>
          <w:color w:val="auto"/>
          <w:sz w:val="24"/>
          <w:highlight w:val="none"/>
        </w:rPr>
      </w:pPr>
      <w:r>
        <w:rPr>
          <w:color w:val="auto"/>
          <w:sz w:val="24"/>
          <w:highlight w:val="none"/>
        </w:rPr>
        <w:t>甲方（投标人）：________</w:t>
      </w:r>
    </w:p>
    <w:p>
      <w:pPr>
        <w:adjustRightInd w:val="0"/>
        <w:snapToGrid w:val="0"/>
        <w:spacing w:line="360" w:lineRule="auto"/>
        <w:ind w:firstLine="480" w:firstLineChars="200"/>
        <w:jc w:val="left"/>
        <w:rPr>
          <w:color w:val="auto"/>
          <w:sz w:val="24"/>
          <w:highlight w:val="none"/>
        </w:rPr>
      </w:pPr>
      <w:r>
        <w:rPr>
          <w:color w:val="auto"/>
          <w:sz w:val="24"/>
          <w:highlight w:val="none"/>
        </w:rPr>
        <w:t>乙方（拟分包单位）：________</w:t>
      </w:r>
    </w:p>
    <w:p>
      <w:pPr>
        <w:adjustRightInd w:val="0"/>
        <w:snapToGrid w:val="0"/>
        <w:spacing w:line="360" w:lineRule="auto"/>
        <w:ind w:firstLine="480" w:firstLineChars="200"/>
        <w:jc w:val="left"/>
        <w:rPr>
          <w:color w:val="auto"/>
          <w:sz w:val="24"/>
          <w:highlight w:val="none"/>
        </w:rPr>
      </w:pPr>
      <w:r>
        <w:rPr>
          <w:color w:val="auto"/>
          <w:sz w:val="24"/>
          <w:highlight w:val="none"/>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color w:val="auto"/>
          <w:sz w:val="24"/>
          <w:highlight w:val="none"/>
        </w:rPr>
      </w:pPr>
      <w:r>
        <w:rPr>
          <w:color w:val="auto"/>
          <w:sz w:val="24"/>
          <w:highlight w:val="none"/>
        </w:rPr>
        <w:t>1.分包内容：_____。</w:t>
      </w:r>
    </w:p>
    <w:p>
      <w:pPr>
        <w:adjustRightInd w:val="0"/>
        <w:snapToGrid w:val="0"/>
        <w:spacing w:line="360" w:lineRule="auto"/>
        <w:ind w:firstLine="480" w:firstLineChars="200"/>
        <w:jc w:val="left"/>
        <w:rPr>
          <w:color w:val="auto"/>
          <w:sz w:val="24"/>
          <w:highlight w:val="none"/>
        </w:rPr>
      </w:pPr>
      <w:r>
        <w:rPr>
          <w:color w:val="auto"/>
          <w:sz w:val="24"/>
          <w:highlight w:val="none"/>
        </w:rPr>
        <w:t>2.分包金额：_____，该金额占该采购包合同金额的比例为___%。</w:t>
      </w:r>
    </w:p>
    <w:p>
      <w:pPr>
        <w:adjustRightInd w:val="0"/>
        <w:snapToGrid w:val="0"/>
        <w:spacing w:line="360" w:lineRule="auto"/>
        <w:ind w:firstLine="480" w:firstLineChars="200"/>
        <w:jc w:val="left"/>
        <w:rPr>
          <w:bCs/>
          <w:color w:val="auto"/>
          <w:sz w:val="24"/>
          <w:highlight w:val="none"/>
        </w:rPr>
      </w:pPr>
      <w:r>
        <w:rPr>
          <w:color w:val="auto"/>
          <w:sz w:val="24"/>
          <w:highlight w:val="none"/>
        </w:rPr>
        <w:t>乙方承诺将在上述情况下与甲方签订分包合同。</w:t>
      </w:r>
    </w:p>
    <w:p>
      <w:pPr>
        <w:adjustRightInd w:val="0"/>
        <w:snapToGrid w:val="0"/>
        <w:spacing w:line="360" w:lineRule="auto"/>
        <w:ind w:firstLine="480" w:firstLineChars="200"/>
        <w:jc w:val="left"/>
        <w:rPr>
          <w:color w:val="auto"/>
          <w:sz w:val="24"/>
          <w:highlight w:val="none"/>
        </w:rPr>
      </w:pPr>
      <w:r>
        <w:rPr>
          <w:color w:val="auto"/>
          <w:sz w:val="24"/>
          <w:highlight w:val="none"/>
        </w:rPr>
        <w:t>本协议自各方盖章之日起生效，如甲方未在该项目（采购包）中标，本协议自动终止。</w:t>
      </w:r>
    </w:p>
    <w:p>
      <w:pPr>
        <w:spacing w:line="360" w:lineRule="auto"/>
        <w:ind w:firstLine="471"/>
        <w:rPr>
          <w:b/>
          <w:color w:val="auto"/>
          <w:sz w:val="24"/>
          <w:highlight w:val="none"/>
        </w:rPr>
      </w:pPr>
    </w:p>
    <w:p>
      <w:pPr>
        <w:spacing w:line="360" w:lineRule="auto"/>
        <w:ind w:firstLine="471"/>
        <w:rPr>
          <w:b/>
          <w:color w:val="auto"/>
          <w:sz w:val="24"/>
          <w:highlight w:val="none"/>
        </w:rPr>
      </w:pPr>
      <w:r>
        <w:rPr>
          <w:color w:val="auto"/>
          <w:sz w:val="24"/>
          <w:highlight w:val="none"/>
        </w:rPr>
        <w:t>甲方（盖章）：_________                 乙方（盖章）：_________</w:t>
      </w:r>
    </w:p>
    <w:p>
      <w:pPr>
        <w:spacing w:line="360" w:lineRule="auto"/>
        <w:ind w:left="480"/>
        <w:jc w:val="right"/>
        <w:rPr>
          <w:color w:val="auto"/>
          <w:sz w:val="24"/>
          <w:highlight w:val="none"/>
        </w:rPr>
      </w:pPr>
    </w:p>
    <w:p>
      <w:pPr>
        <w:wordWrap w:val="0"/>
        <w:spacing w:line="360" w:lineRule="auto"/>
        <w:ind w:left="480"/>
        <w:jc w:val="right"/>
        <w:rPr>
          <w:b/>
          <w:color w:val="auto"/>
          <w:sz w:val="24"/>
          <w:highlight w:val="none"/>
        </w:rPr>
      </w:pPr>
      <w:r>
        <w:rPr>
          <w:color w:val="auto"/>
          <w:sz w:val="24"/>
          <w:szCs w:val="20"/>
          <w:highlight w:val="none"/>
        </w:rPr>
        <w:t xml:space="preserve">日期：_____年______月______日   </w:t>
      </w:r>
    </w:p>
    <w:p>
      <w:pPr>
        <w:tabs>
          <w:tab w:val="left" w:pos="8280"/>
        </w:tabs>
        <w:spacing w:line="360" w:lineRule="auto"/>
        <w:ind w:firstLine="480"/>
        <w:rPr>
          <w:color w:val="auto"/>
          <w:sz w:val="24"/>
          <w:highlight w:val="none"/>
        </w:rPr>
      </w:pPr>
    </w:p>
    <w:p>
      <w:pPr>
        <w:tabs>
          <w:tab w:val="left" w:pos="8280"/>
        </w:tabs>
        <w:spacing w:line="360" w:lineRule="auto"/>
        <w:rPr>
          <w:color w:val="auto"/>
          <w:sz w:val="24"/>
          <w:highlight w:val="none"/>
        </w:rPr>
      </w:pPr>
      <w:r>
        <w:rPr>
          <w:color w:val="auto"/>
          <w:sz w:val="24"/>
          <w:highlight w:val="none"/>
        </w:rPr>
        <w:t>注：</w:t>
      </w:r>
    </w:p>
    <w:p>
      <w:pPr>
        <w:tabs>
          <w:tab w:val="left" w:pos="8280"/>
        </w:tabs>
        <w:spacing w:line="360" w:lineRule="auto"/>
        <w:rPr>
          <w:color w:val="auto"/>
          <w:sz w:val="24"/>
          <w:highlight w:val="none"/>
        </w:rPr>
      </w:pPr>
      <w:r>
        <w:rPr>
          <w:color w:val="auto"/>
          <w:sz w:val="24"/>
          <w:highlight w:val="none"/>
        </w:rPr>
        <w:t>本协议仅在投标人“为落实政府采购政策”而向中小企业分包时必须提供，否则</w:t>
      </w:r>
      <w:r>
        <w:rPr>
          <w:b/>
          <w:color w:val="auto"/>
          <w:sz w:val="24"/>
          <w:highlight w:val="none"/>
        </w:rPr>
        <w:t>投标无效</w:t>
      </w:r>
      <w:r>
        <w:rPr>
          <w:color w:val="auto"/>
          <w:sz w:val="24"/>
          <w:highlight w:val="none"/>
        </w:rPr>
        <w:t>；且投标人须与所有拟分包单位分别签订《分包意向协议》，每单位签订一份，并在投标文件中提交全部协议原件的电子件，否则</w:t>
      </w:r>
      <w:r>
        <w:rPr>
          <w:b/>
          <w:color w:val="auto"/>
          <w:sz w:val="24"/>
          <w:highlight w:val="none"/>
        </w:rPr>
        <w:t>投标无效</w:t>
      </w:r>
      <w:r>
        <w:rPr>
          <w:color w:val="auto"/>
          <w:sz w:val="24"/>
          <w:highlight w:val="none"/>
        </w:rPr>
        <w:t>。</w:t>
      </w:r>
    </w:p>
    <w:p>
      <w:pPr>
        <w:widowControl/>
        <w:jc w:val="left"/>
        <w:rPr>
          <w:color w:val="auto"/>
          <w:sz w:val="24"/>
          <w:szCs w:val="20"/>
          <w:highlight w:val="none"/>
        </w:rPr>
      </w:pPr>
      <w:r>
        <w:rPr>
          <w:color w:val="auto"/>
          <w:sz w:val="24"/>
          <w:szCs w:val="20"/>
          <w:highlight w:val="none"/>
        </w:rPr>
        <w:br w:type="page"/>
      </w:r>
    </w:p>
    <w:p>
      <w:pPr>
        <w:spacing w:line="360" w:lineRule="auto"/>
        <w:outlineLvl w:val="2"/>
        <w:rPr>
          <w:rFonts w:hint="eastAsia" w:ascii="宋体" w:hAnsi="宋体"/>
          <w:color w:val="auto"/>
          <w:sz w:val="24"/>
          <w:highlight w:val="none"/>
        </w:rPr>
      </w:pPr>
      <w:r>
        <w:rPr>
          <w:rFonts w:ascii="宋体" w:hAnsi="宋体"/>
          <w:color w:val="auto"/>
          <w:sz w:val="24"/>
          <w:szCs w:val="20"/>
          <w:highlight w:val="none"/>
        </w:rPr>
        <w:t xml:space="preserve">2-2 </w:t>
      </w:r>
      <w:r>
        <w:rPr>
          <w:rFonts w:ascii="宋体" w:hAnsi="宋体"/>
          <w:color w:val="auto"/>
          <w:sz w:val="24"/>
          <w:highlight w:val="none"/>
        </w:rPr>
        <w:t>其它落实政府采购政策的资格要求</w:t>
      </w:r>
      <w:bookmarkEnd w:id="949"/>
      <w:r>
        <w:rPr>
          <w:rFonts w:hint="eastAsia" w:ascii="宋体" w:hAnsi="宋体"/>
          <w:color w:val="auto"/>
          <w:sz w:val="24"/>
          <w:highlight w:val="none"/>
        </w:rPr>
        <w:t>（如有）</w:t>
      </w:r>
    </w:p>
    <w:p>
      <w:pPr>
        <w:spacing w:line="360" w:lineRule="auto"/>
        <w:rPr>
          <w:rFonts w:hint="eastAsia" w:ascii="宋体" w:hAnsi="宋体"/>
          <w:color w:val="auto"/>
          <w:sz w:val="24"/>
          <w:szCs w:val="20"/>
          <w:highlight w:val="none"/>
        </w:rPr>
      </w:pPr>
    </w:p>
    <w:p>
      <w:pPr>
        <w:spacing w:line="360" w:lineRule="auto"/>
        <w:rPr>
          <w:rFonts w:hint="eastAsia" w:ascii="宋体" w:hAnsi="宋体"/>
          <w:color w:val="auto"/>
          <w:sz w:val="24"/>
          <w:szCs w:val="20"/>
          <w:highlight w:val="none"/>
        </w:rPr>
      </w:pPr>
    </w:p>
    <w:p>
      <w:pPr>
        <w:spacing w:line="360" w:lineRule="auto"/>
        <w:rPr>
          <w:rFonts w:hint="eastAsia" w:ascii="宋体" w:hAnsi="宋体"/>
          <w:color w:val="auto"/>
          <w:sz w:val="24"/>
          <w:szCs w:val="20"/>
          <w:highlight w:val="none"/>
        </w:rPr>
      </w:pPr>
    </w:p>
    <w:p>
      <w:pPr>
        <w:rPr>
          <w:rFonts w:hint="eastAsia" w:ascii="宋体" w:hAnsi="宋体"/>
          <w:color w:val="auto"/>
          <w:sz w:val="24"/>
          <w:szCs w:val="20"/>
          <w:highlight w:val="none"/>
        </w:rPr>
      </w:pPr>
      <w:r>
        <w:rPr>
          <w:rFonts w:hint="eastAsia" w:ascii="宋体" w:hAnsi="宋体"/>
          <w:color w:val="auto"/>
          <w:sz w:val="24"/>
          <w:szCs w:val="20"/>
          <w:highlight w:val="none"/>
        </w:rPr>
        <w:br w:type="page"/>
      </w:r>
    </w:p>
    <w:p>
      <w:pPr>
        <w:spacing w:line="360" w:lineRule="auto"/>
        <w:outlineLvl w:val="2"/>
        <w:rPr>
          <w:rFonts w:hint="eastAsia" w:ascii="宋体" w:hAnsi="宋体"/>
          <w:color w:val="auto"/>
          <w:sz w:val="24"/>
          <w:highlight w:val="none"/>
        </w:rPr>
      </w:pPr>
      <w:bookmarkStart w:id="950" w:name="_Toc162979044"/>
      <w:r>
        <w:rPr>
          <w:rFonts w:ascii="宋体" w:hAnsi="宋体"/>
          <w:color w:val="auto"/>
          <w:sz w:val="24"/>
          <w:highlight w:val="none"/>
        </w:rPr>
        <w:t xml:space="preserve">3  </w:t>
      </w:r>
      <w:r>
        <w:rPr>
          <w:rFonts w:hint="eastAsia" w:ascii="宋体" w:hAnsi="宋体"/>
          <w:color w:val="auto"/>
          <w:sz w:val="24"/>
          <w:highlight w:val="none"/>
        </w:rPr>
        <w:t>本项目的特定资格要求</w:t>
      </w:r>
      <w:bookmarkEnd w:id="950"/>
      <w:r>
        <w:rPr>
          <w:rFonts w:hint="eastAsia" w:ascii="宋体" w:hAnsi="宋体"/>
          <w:color w:val="auto"/>
          <w:sz w:val="24"/>
          <w:highlight w:val="none"/>
        </w:rPr>
        <w:t>（如有）</w:t>
      </w:r>
    </w:p>
    <w:p>
      <w:pPr>
        <w:spacing w:line="360" w:lineRule="auto"/>
        <w:rPr>
          <w:rFonts w:hint="eastAsia" w:ascii="宋体" w:hAnsi="宋体"/>
          <w:color w:val="auto"/>
          <w:sz w:val="24"/>
          <w:szCs w:val="20"/>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widowControl/>
        <w:jc w:val="left"/>
        <w:rPr>
          <w:rFonts w:hint="eastAsia" w:ascii="宋体" w:hAnsi="宋体"/>
          <w:b/>
          <w:color w:val="auto"/>
          <w:spacing w:val="20"/>
          <w:sz w:val="24"/>
          <w:highlight w:val="none"/>
        </w:rPr>
      </w:pPr>
      <w:r>
        <w:rPr>
          <w:rFonts w:ascii="宋体" w:hAnsi="宋体"/>
          <w:color w:val="auto"/>
          <w:sz w:val="24"/>
          <w:szCs w:val="20"/>
          <w:highlight w:val="none"/>
        </w:rPr>
        <w:br w:type="page"/>
      </w:r>
      <w:r>
        <w:rPr>
          <w:rFonts w:ascii="宋体" w:hAnsi="宋体"/>
          <w:b/>
          <w:color w:val="auto"/>
          <w:spacing w:val="20"/>
          <w:sz w:val="24"/>
          <w:highlight w:val="none"/>
        </w:rPr>
        <w:t>二、商务技术文件格式</w:t>
      </w:r>
    </w:p>
    <w:p>
      <w:pPr>
        <w:rPr>
          <w:rFonts w:hint="eastAsia" w:ascii="宋体" w:hAnsi="宋体"/>
          <w:b/>
          <w:color w:val="auto"/>
          <w:spacing w:val="20"/>
          <w:szCs w:val="21"/>
          <w:highlight w:val="none"/>
        </w:rPr>
      </w:pPr>
    </w:p>
    <w:p>
      <w:pPr>
        <w:rPr>
          <w:rFonts w:hint="eastAsia" w:ascii="宋体" w:hAnsi="宋体"/>
          <w:b/>
          <w:color w:val="auto"/>
          <w:sz w:val="24"/>
          <w:highlight w:val="none"/>
        </w:rPr>
      </w:pPr>
      <w:r>
        <w:rPr>
          <w:rFonts w:ascii="宋体" w:hAnsi="宋体"/>
          <w:b/>
          <w:color w:val="auto"/>
          <w:spacing w:val="20"/>
          <w:sz w:val="24"/>
          <w:highlight w:val="none"/>
        </w:rPr>
        <w:t>投标文件（商务技术文件）</w:t>
      </w:r>
      <w:r>
        <w:rPr>
          <w:rFonts w:ascii="宋体" w:hAnsi="宋体"/>
          <w:b/>
          <w:color w:val="auto"/>
          <w:sz w:val="24"/>
          <w:highlight w:val="none"/>
        </w:rPr>
        <w:t>封面（非实质性格式）</w:t>
      </w:r>
    </w:p>
    <w:p>
      <w:pPr>
        <w:jc w:val="center"/>
        <w:rPr>
          <w:rFonts w:hint="eastAsia" w:ascii="宋体" w:hAnsi="宋体"/>
          <w:b/>
          <w:color w:val="auto"/>
          <w:spacing w:val="60"/>
          <w:sz w:val="84"/>
          <w:szCs w:val="84"/>
          <w:highlight w:val="none"/>
        </w:rPr>
      </w:pPr>
      <w:r>
        <w:rPr>
          <w:rFonts w:ascii="宋体" w:hAnsi="宋体"/>
          <w:b/>
          <w:color w:val="auto"/>
          <w:spacing w:val="60"/>
          <w:sz w:val="84"/>
          <w:szCs w:val="84"/>
          <w:highlight w:val="none"/>
        </w:rPr>
        <w:t>投 标 文 件</w:t>
      </w:r>
    </w:p>
    <w:p>
      <w:pPr>
        <w:jc w:val="center"/>
        <w:rPr>
          <w:rFonts w:hint="eastAsia" w:ascii="宋体" w:hAnsi="宋体"/>
          <w:b/>
          <w:color w:val="auto"/>
          <w:spacing w:val="60"/>
          <w:sz w:val="84"/>
          <w:szCs w:val="84"/>
          <w:highlight w:val="none"/>
        </w:rPr>
      </w:pPr>
    </w:p>
    <w:p>
      <w:pPr>
        <w:jc w:val="center"/>
        <w:rPr>
          <w:rFonts w:hint="eastAsia" w:ascii="宋体" w:hAnsi="宋体"/>
          <w:b/>
          <w:color w:val="auto"/>
          <w:spacing w:val="60"/>
          <w:sz w:val="52"/>
          <w:szCs w:val="52"/>
          <w:highlight w:val="none"/>
        </w:rPr>
      </w:pPr>
      <w:r>
        <w:rPr>
          <w:rFonts w:ascii="宋体" w:hAnsi="宋体"/>
          <w:b/>
          <w:color w:val="auto"/>
          <w:spacing w:val="60"/>
          <w:sz w:val="52"/>
          <w:szCs w:val="52"/>
          <w:highlight w:val="none"/>
        </w:rPr>
        <w:t>（商务技术文件）</w:t>
      </w: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r>
        <w:rPr>
          <w:rFonts w:ascii="宋体" w:hAnsi="宋体"/>
          <w:b/>
          <w:color w:val="auto"/>
          <w:spacing w:val="20"/>
          <w:sz w:val="32"/>
          <w:szCs w:val="32"/>
          <w:highlight w:val="none"/>
        </w:rPr>
        <w:t>项目名称:</w:t>
      </w:r>
    </w:p>
    <w:p>
      <w:pPr>
        <w:ind w:firstLine="541" w:firstLineChars="150"/>
        <w:rPr>
          <w:rFonts w:hint="eastAsia" w:ascii="宋体" w:hAnsi="宋体"/>
          <w:b/>
          <w:color w:val="auto"/>
          <w:spacing w:val="20"/>
          <w:sz w:val="32"/>
          <w:szCs w:val="32"/>
          <w:highlight w:val="none"/>
        </w:rPr>
      </w:pPr>
      <w:r>
        <w:rPr>
          <w:rFonts w:ascii="宋体" w:hAnsi="宋体"/>
          <w:b/>
          <w:color w:val="auto"/>
          <w:spacing w:val="20"/>
          <w:sz w:val="32"/>
          <w:szCs w:val="32"/>
          <w:highlight w:val="none"/>
        </w:rPr>
        <w:t>项目编号：</w:t>
      </w:r>
    </w:p>
    <w:p>
      <w:pPr>
        <w:ind w:firstLine="541" w:firstLineChars="150"/>
        <w:rPr>
          <w:rFonts w:hint="eastAsia" w:ascii="宋体" w:hAnsi="宋体"/>
          <w:b/>
          <w:color w:val="auto"/>
          <w:spacing w:val="20"/>
          <w:sz w:val="32"/>
          <w:szCs w:val="32"/>
          <w:highlight w:val="none"/>
        </w:rPr>
      </w:pPr>
    </w:p>
    <w:p>
      <w:pPr>
        <w:ind w:firstLine="541" w:firstLineChars="150"/>
        <w:rPr>
          <w:rFonts w:hint="eastAsia" w:ascii="宋体" w:hAnsi="宋体"/>
          <w:b/>
          <w:color w:val="auto"/>
          <w:spacing w:val="20"/>
          <w:sz w:val="32"/>
          <w:szCs w:val="32"/>
          <w:highlight w:val="none"/>
        </w:rPr>
      </w:pPr>
    </w:p>
    <w:p>
      <w:pPr>
        <w:jc w:val="center"/>
        <w:rPr>
          <w:rFonts w:hint="eastAsia" w:ascii="宋体" w:hAnsi="宋体"/>
          <w:b/>
          <w:color w:val="auto"/>
          <w:sz w:val="32"/>
          <w:szCs w:val="32"/>
          <w:highlight w:val="none"/>
        </w:rPr>
      </w:pPr>
    </w:p>
    <w:p>
      <w:pPr>
        <w:jc w:val="center"/>
        <w:rPr>
          <w:rFonts w:hint="eastAsia" w:ascii="宋体" w:hAnsi="宋体"/>
          <w:b/>
          <w:color w:val="auto"/>
          <w:sz w:val="32"/>
          <w:szCs w:val="32"/>
          <w:highlight w:val="none"/>
        </w:rPr>
      </w:pPr>
    </w:p>
    <w:p>
      <w:pPr>
        <w:jc w:val="center"/>
        <w:rPr>
          <w:rFonts w:hint="eastAsia" w:ascii="宋体" w:hAnsi="宋体"/>
          <w:b/>
          <w:color w:val="auto"/>
          <w:sz w:val="32"/>
          <w:szCs w:val="32"/>
          <w:highlight w:val="none"/>
        </w:rPr>
      </w:pPr>
    </w:p>
    <w:p>
      <w:pPr>
        <w:jc w:val="center"/>
        <w:rPr>
          <w:rFonts w:hint="eastAsia" w:ascii="宋体" w:hAnsi="宋体"/>
          <w:b/>
          <w:color w:val="auto"/>
          <w:spacing w:val="20"/>
          <w:sz w:val="32"/>
          <w:szCs w:val="32"/>
          <w:highlight w:val="none"/>
        </w:rPr>
      </w:pPr>
    </w:p>
    <w:p>
      <w:pPr>
        <w:jc w:val="center"/>
        <w:rPr>
          <w:rFonts w:hint="eastAsia" w:ascii="宋体" w:hAnsi="宋体"/>
          <w:b/>
          <w:color w:val="auto"/>
          <w:spacing w:val="20"/>
          <w:sz w:val="32"/>
          <w:szCs w:val="32"/>
          <w:highlight w:val="none"/>
        </w:rPr>
      </w:pPr>
    </w:p>
    <w:p>
      <w:pPr>
        <w:jc w:val="center"/>
        <w:rPr>
          <w:rFonts w:hint="eastAsia" w:ascii="宋体" w:hAnsi="宋体"/>
          <w:b/>
          <w:color w:val="auto"/>
          <w:spacing w:val="20"/>
          <w:sz w:val="32"/>
          <w:szCs w:val="32"/>
          <w:highlight w:val="none"/>
        </w:rPr>
      </w:pPr>
    </w:p>
    <w:p>
      <w:pPr>
        <w:spacing w:line="360" w:lineRule="auto"/>
        <w:ind w:firstLine="1445" w:firstLineChars="400"/>
        <w:jc w:val="left"/>
        <w:rPr>
          <w:rFonts w:hint="eastAsia" w:ascii="宋体" w:hAnsi="宋体"/>
          <w:b/>
          <w:color w:val="auto"/>
          <w:spacing w:val="20"/>
          <w:sz w:val="32"/>
          <w:szCs w:val="32"/>
          <w:highlight w:val="none"/>
        </w:rPr>
      </w:pPr>
      <w:r>
        <w:rPr>
          <w:rFonts w:ascii="宋体" w:hAnsi="宋体"/>
          <w:b/>
          <w:color w:val="auto"/>
          <w:spacing w:val="20"/>
          <w:sz w:val="32"/>
          <w:szCs w:val="32"/>
          <w:highlight w:val="none"/>
        </w:rPr>
        <w:t>投标人名称：</w:t>
      </w:r>
    </w:p>
    <w:p>
      <w:pPr>
        <w:jc w:val="center"/>
        <w:rPr>
          <w:rFonts w:hint="eastAsia" w:ascii="宋体" w:hAnsi="宋体"/>
          <w:b/>
          <w:color w:val="auto"/>
          <w:sz w:val="32"/>
          <w:szCs w:val="32"/>
          <w:highlight w:val="none"/>
        </w:rPr>
      </w:pPr>
    </w:p>
    <w:p>
      <w:pPr>
        <w:widowControl/>
        <w:jc w:val="left"/>
        <w:rPr>
          <w:rFonts w:hint="eastAsia" w:ascii="宋体" w:hAnsi="宋体"/>
          <w:color w:val="auto"/>
          <w:sz w:val="24"/>
          <w:szCs w:val="20"/>
          <w:highlight w:val="none"/>
        </w:rPr>
      </w:pPr>
      <w:r>
        <w:rPr>
          <w:rFonts w:ascii="宋体" w:hAnsi="宋体"/>
          <w:b/>
          <w:color w:val="auto"/>
          <w:sz w:val="24"/>
          <w:highlight w:val="none"/>
        </w:rPr>
        <w:br w:type="page"/>
      </w:r>
      <w:bookmarkStart w:id="951" w:name="_Hlt520271212"/>
      <w:bookmarkEnd w:id="951"/>
      <w:bookmarkStart w:id="952" w:name="_Hlt520343392"/>
      <w:bookmarkEnd w:id="952"/>
      <w:bookmarkStart w:id="953" w:name="_Hlt520343000"/>
      <w:bookmarkEnd w:id="953"/>
      <w:bookmarkStart w:id="954" w:name="_Hlt520355504"/>
      <w:bookmarkEnd w:id="954"/>
      <w:bookmarkStart w:id="955" w:name="_Hlt520274121"/>
      <w:bookmarkEnd w:id="955"/>
      <w:bookmarkStart w:id="956" w:name="_Hlt520274407"/>
      <w:bookmarkEnd w:id="956"/>
      <w:bookmarkStart w:id="957" w:name="_Hlt520274065"/>
      <w:bookmarkEnd w:id="957"/>
      <w:bookmarkStart w:id="958" w:name="_Hlt520273711"/>
      <w:bookmarkEnd w:id="958"/>
      <w:bookmarkStart w:id="959" w:name="_Hlt520274393"/>
      <w:bookmarkEnd w:id="959"/>
      <w:bookmarkStart w:id="960" w:name="_Hlt520350918"/>
      <w:bookmarkEnd w:id="960"/>
      <w:bookmarkStart w:id="961" w:name="_Toc480942349"/>
      <w:bookmarkStart w:id="962" w:name="_Ref467988698"/>
      <w:bookmarkStart w:id="963" w:name="_Toc226309800"/>
      <w:bookmarkStart w:id="964" w:name="_Toc127151556"/>
      <w:bookmarkStart w:id="965" w:name="_Toc142311058"/>
      <w:bookmarkStart w:id="966" w:name="_Toc150774761"/>
      <w:bookmarkStart w:id="967" w:name="_Toc226965829"/>
      <w:bookmarkStart w:id="968" w:name="_Toc226965746"/>
      <w:bookmarkStart w:id="969" w:name="_Toc226337252"/>
      <w:bookmarkStart w:id="970" w:name="_Toc195842921"/>
      <w:bookmarkStart w:id="971" w:name="_Toc150480794"/>
      <w:bookmarkStart w:id="972" w:name="_Toc520356217"/>
      <w:r>
        <w:rPr>
          <w:rFonts w:ascii="宋体" w:hAnsi="宋体"/>
          <w:color w:val="auto"/>
          <w:sz w:val="24"/>
          <w:highlight w:val="none"/>
        </w:rPr>
        <w:t>1</w:t>
      </w:r>
      <w:r>
        <w:rPr>
          <w:rFonts w:ascii="宋体" w:hAnsi="宋体"/>
          <w:color w:val="auto"/>
          <w:sz w:val="24"/>
          <w:szCs w:val="20"/>
          <w:highlight w:val="none"/>
        </w:rPr>
        <w:t xml:space="preserve">  </w:t>
      </w:r>
      <w:r>
        <w:rPr>
          <w:rFonts w:ascii="宋体" w:hAnsi="宋体"/>
          <w:color w:val="auto"/>
          <w:sz w:val="24"/>
          <w:highlight w:val="none"/>
        </w:rPr>
        <w:t>投标</w:t>
      </w:r>
      <w:bookmarkEnd w:id="961"/>
      <w:bookmarkEnd w:id="962"/>
      <w:r>
        <w:rPr>
          <w:rFonts w:ascii="宋体" w:hAnsi="宋体"/>
          <w:color w:val="auto"/>
          <w:sz w:val="24"/>
          <w:highlight w:val="none"/>
        </w:rPr>
        <w:t>书</w:t>
      </w:r>
      <w:bookmarkEnd w:id="963"/>
      <w:bookmarkEnd w:id="964"/>
      <w:bookmarkEnd w:id="965"/>
      <w:bookmarkEnd w:id="966"/>
      <w:bookmarkEnd w:id="967"/>
      <w:bookmarkEnd w:id="968"/>
      <w:bookmarkEnd w:id="969"/>
      <w:bookmarkEnd w:id="970"/>
      <w:bookmarkEnd w:id="971"/>
      <w:bookmarkEnd w:id="972"/>
      <w:r>
        <w:rPr>
          <w:rFonts w:ascii="宋体" w:hAnsi="宋体"/>
          <w:color w:val="auto"/>
          <w:sz w:val="24"/>
          <w:szCs w:val="20"/>
          <w:highlight w:val="none"/>
        </w:rPr>
        <w:t>（实质性格式）</w:t>
      </w:r>
    </w:p>
    <w:p>
      <w:pPr>
        <w:tabs>
          <w:tab w:val="left" w:pos="5580"/>
        </w:tabs>
        <w:spacing w:line="360" w:lineRule="auto"/>
        <w:rPr>
          <w:rFonts w:hint="eastAsia" w:ascii="宋体" w:hAnsi="宋体"/>
          <w:color w:val="auto"/>
          <w:sz w:val="24"/>
          <w:highlight w:val="none"/>
        </w:rPr>
      </w:pPr>
    </w:p>
    <w:p>
      <w:pPr>
        <w:spacing w:line="360" w:lineRule="auto"/>
        <w:jc w:val="center"/>
        <w:rPr>
          <w:rFonts w:hint="eastAsia" w:ascii="宋体" w:hAnsi="宋体"/>
          <w:b/>
          <w:color w:val="auto"/>
          <w:sz w:val="36"/>
          <w:szCs w:val="36"/>
          <w:highlight w:val="none"/>
        </w:rPr>
      </w:pPr>
      <w:r>
        <w:rPr>
          <w:rFonts w:hint="eastAsia" w:ascii="宋体" w:hAnsi="宋体"/>
          <w:b/>
          <w:color w:val="auto"/>
          <w:sz w:val="36"/>
          <w:szCs w:val="36"/>
          <w:highlight w:val="none"/>
        </w:rPr>
        <w:t>投标书</w:t>
      </w:r>
    </w:p>
    <w:p>
      <w:pPr>
        <w:tabs>
          <w:tab w:val="left" w:pos="5580"/>
        </w:tabs>
        <w:spacing w:line="360" w:lineRule="auto"/>
        <w:rPr>
          <w:rFonts w:hint="eastAsia" w:ascii="宋体" w:hAnsi="宋体"/>
          <w:color w:val="auto"/>
          <w:sz w:val="24"/>
          <w:highlight w:val="none"/>
        </w:rPr>
      </w:pPr>
      <w:r>
        <w:rPr>
          <w:rFonts w:ascii="宋体" w:hAnsi="宋体"/>
          <w:color w:val="auto"/>
          <w:sz w:val="24"/>
          <w:highlight w:val="none"/>
        </w:rPr>
        <w:t>致：</w:t>
      </w:r>
      <w:r>
        <w:rPr>
          <w:rFonts w:ascii="宋体" w:hAnsi="宋体"/>
          <w:color w:val="auto"/>
          <w:sz w:val="24"/>
          <w:highlight w:val="none"/>
          <w:u w:val="single"/>
        </w:rPr>
        <w:t>（采购人或采购代理机构）</w:t>
      </w:r>
    </w:p>
    <w:p>
      <w:pPr>
        <w:tabs>
          <w:tab w:val="left" w:pos="5580"/>
        </w:tabs>
        <w:spacing w:line="360" w:lineRule="auto"/>
        <w:rPr>
          <w:rFonts w:hint="eastAsia" w:ascii="宋体" w:hAnsi="宋体"/>
          <w:color w:val="auto"/>
          <w:sz w:val="24"/>
          <w:szCs w:val="20"/>
          <w:highlight w:val="none"/>
        </w:rPr>
      </w:pPr>
    </w:p>
    <w:p>
      <w:pPr>
        <w:tabs>
          <w:tab w:val="left" w:pos="5580"/>
        </w:tabs>
        <w:spacing w:line="360" w:lineRule="auto"/>
        <w:ind w:firstLine="408"/>
        <w:rPr>
          <w:rFonts w:hint="eastAsia" w:ascii="宋体" w:hAnsi="宋体"/>
          <w:color w:val="auto"/>
          <w:sz w:val="24"/>
          <w:szCs w:val="20"/>
          <w:highlight w:val="none"/>
        </w:rPr>
      </w:pPr>
      <w:r>
        <w:rPr>
          <w:rFonts w:ascii="宋体" w:hAnsi="宋体"/>
          <w:color w:val="auto"/>
          <w:sz w:val="24"/>
          <w:szCs w:val="20"/>
          <w:highlight w:val="none"/>
        </w:rPr>
        <w:t>我方参加你方就___________（项目名称，项目编号）组织的招标活动，并对此项目进行投标。</w:t>
      </w:r>
    </w:p>
    <w:p>
      <w:pPr>
        <w:tabs>
          <w:tab w:val="left" w:pos="5580"/>
        </w:tabs>
        <w:spacing w:line="360" w:lineRule="auto"/>
        <w:ind w:firstLine="408"/>
        <w:rPr>
          <w:rFonts w:hint="eastAsia" w:ascii="宋体" w:hAnsi="宋体"/>
          <w:color w:val="auto"/>
          <w:sz w:val="24"/>
          <w:szCs w:val="20"/>
          <w:highlight w:val="none"/>
        </w:rPr>
      </w:pPr>
      <w:r>
        <w:rPr>
          <w:rFonts w:ascii="宋体" w:hAnsi="宋体"/>
          <w:color w:val="auto"/>
          <w:sz w:val="24"/>
          <w:szCs w:val="20"/>
          <w:highlight w:val="none"/>
        </w:rPr>
        <w:t>1. 我方</w:t>
      </w:r>
      <w:r>
        <w:rPr>
          <w:rFonts w:ascii="宋体" w:hAnsi="宋体"/>
          <w:color w:val="auto"/>
          <w:sz w:val="24"/>
          <w:highlight w:val="none"/>
        </w:rPr>
        <w:t>已详细审查全部招标文件</w:t>
      </w:r>
      <w:r>
        <w:rPr>
          <w:rFonts w:ascii="宋体" w:hAnsi="宋体"/>
          <w:color w:val="auto"/>
          <w:sz w:val="24"/>
          <w:szCs w:val="20"/>
          <w:highlight w:val="none"/>
        </w:rPr>
        <w:t>，自愿参与投标并承诺如下：</w:t>
      </w:r>
    </w:p>
    <w:p>
      <w:pPr>
        <w:tabs>
          <w:tab w:val="left" w:pos="720"/>
          <w:tab w:val="left" w:pos="900"/>
        </w:tabs>
        <w:spacing w:line="360" w:lineRule="auto"/>
        <w:ind w:left="360" w:firstLine="72" w:firstLineChars="30"/>
        <w:rPr>
          <w:rFonts w:hint="eastAsia" w:ascii="宋体" w:hAnsi="宋体"/>
          <w:color w:val="auto"/>
          <w:sz w:val="24"/>
          <w:szCs w:val="20"/>
          <w:highlight w:val="none"/>
        </w:rPr>
      </w:pPr>
      <w:r>
        <w:rPr>
          <w:rFonts w:ascii="宋体" w:hAnsi="宋体"/>
          <w:color w:val="auto"/>
          <w:sz w:val="24"/>
          <w:szCs w:val="20"/>
          <w:highlight w:val="none"/>
        </w:rPr>
        <w:t>（1）本投标有效期为自提交投标文件的截止之日起</w:t>
      </w:r>
      <w:r>
        <w:rPr>
          <w:rFonts w:ascii="宋体" w:hAnsi="宋体"/>
          <w:color w:val="auto"/>
          <w:sz w:val="24"/>
          <w:highlight w:val="none"/>
        </w:rPr>
        <w:t>_____</w:t>
      </w:r>
      <w:r>
        <w:rPr>
          <w:rFonts w:ascii="宋体" w:hAnsi="宋体"/>
          <w:color w:val="auto"/>
          <w:sz w:val="24"/>
          <w:szCs w:val="20"/>
          <w:highlight w:val="none"/>
        </w:rPr>
        <w:t>个日历日。</w:t>
      </w:r>
    </w:p>
    <w:p>
      <w:pPr>
        <w:tabs>
          <w:tab w:val="left" w:pos="720"/>
          <w:tab w:val="left" w:pos="900"/>
        </w:tabs>
        <w:spacing w:line="360" w:lineRule="auto"/>
        <w:ind w:left="360" w:firstLine="72" w:firstLineChars="30"/>
        <w:rPr>
          <w:rFonts w:hint="eastAsia" w:ascii="宋体" w:hAnsi="宋体"/>
          <w:color w:val="auto"/>
          <w:sz w:val="24"/>
          <w:szCs w:val="20"/>
          <w:highlight w:val="none"/>
        </w:rPr>
      </w:pPr>
      <w:r>
        <w:rPr>
          <w:rFonts w:ascii="宋体" w:hAnsi="宋体"/>
          <w:color w:val="auto"/>
          <w:sz w:val="24"/>
          <w:szCs w:val="20"/>
          <w:highlight w:val="none"/>
        </w:rPr>
        <w:t>（2）除合同条款及采购需求偏离表列出的偏离外，我方响应招标文件的全部要求。</w:t>
      </w:r>
    </w:p>
    <w:p>
      <w:pPr>
        <w:tabs>
          <w:tab w:val="left" w:pos="5580"/>
        </w:tabs>
        <w:spacing w:line="360" w:lineRule="auto"/>
        <w:ind w:firstLine="420" w:firstLineChars="175"/>
        <w:rPr>
          <w:rFonts w:hint="eastAsia" w:ascii="宋体" w:hAnsi="宋体"/>
          <w:color w:val="auto"/>
          <w:sz w:val="24"/>
          <w:szCs w:val="20"/>
          <w:highlight w:val="none"/>
        </w:rPr>
      </w:pPr>
      <w:r>
        <w:rPr>
          <w:rFonts w:ascii="宋体" w:hAnsi="宋体"/>
          <w:color w:val="auto"/>
          <w:sz w:val="24"/>
          <w:szCs w:val="20"/>
          <w:highlight w:val="none"/>
        </w:rPr>
        <w:t>（3）我方已提供的全部文件资料是真实、准确的，并对此承担一切法律后果。</w:t>
      </w:r>
    </w:p>
    <w:p>
      <w:pPr>
        <w:tabs>
          <w:tab w:val="left" w:pos="5580"/>
        </w:tabs>
        <w:spacing w:line="360" w:lineRule="auto"/>
        <w:ind w:firstLine="420" w:firstLineChars="175"/>
        <w:rPr>
          <w:rFonts w:hint="eastAsia" w:ascii="宋体" w:hAnsi="宋体"/>
          <w:color w:val="auto"/>
          <w:sz w:val="24"/>
          <w:highlight w:val="none"/>
        </w:rPr>
      </w:pPr>
      <w:r>
        <w:rPr>
          <w:rFonts w:ascii="宋体" w:hAnsi="宋体"/>
          <w:color w:val="auto"/>
          <w:sz w:val="24"/>
          <w:szCs w:val="20"/>
          <w:highlight w:val="none"/>
        </w:rPr>
        <w:t>（4）如我方中标，我方将在法律规定的期限内与你方签订合同，按照招标文件要求提交履约保证金，并在合同约定的期限内完成合同规定的全部义务。</w:t>
      </w:r>
    </w:p>
    <w:p>
      <w:pPr>
        <w:spacing w:line="360" w:lineRule="auto"/>
        <w:ind w:left="420"/>
        <w:rPr>
          <w:rFonts w:hint="eastAsia" w:ascii="宋体" w:hAnsi="宋体"/>
          <w:color w:val="auto"/>
          <w:sz w:val="24"/>
          <w:highlight w:val="none"/>
        </w:rPr>
      </w:pPr>
      <w:r>
        <w:rPr>
          <w:rFonts w:ascii="宋体" w:hAnsi="宋体"/>
          <w:color w:val="auto"/>
          <w:sz w:val="24"/>
          <w:highlight w:val="none"/>
        </w:rPr>
        <w:t>2. 其他补充条款（如有）：</w:t>
      </w:r>
      <w:r>
        <w:rPr>
          <w:rFonts w:ascii="宋体" w:hAnsi="宋体"/>
          <w:color w:val="auto"/>
          <w:sz w:val="24"/>
          <w:szCs w:val="20"/>
          <w:highlight w:val="none"/>
        </w:rPr>
        <w:t>___________</w:t>
      </w:r>
      <w:r>
        <w:rPr>
          <w:rFonts w:ascii="宋体" w:hAnsi="宋体"/>
          <w:color w:val="auto"/>
          <w:sz w:val="24"/>
          <w:highlight w:val="none"/>
        </w:rPr>
        <w:t>。</w:t>
      </w:r>
    </w:p>
    <w:p>
      <w:pPr>
        <w:spacing w:line="360" w:lineRule="auto"/>
        <w:ind w:firstLine="480" w:firstLineChars="200"/>
        <w:rPr>
          <w:rFonts w:hint="eastAsia" w:ascii="宋体" w:hAnsi="宋体"/>
          <w:color w:val="auto"/>
          <w:sz w:val="24"/>
          <w:highlight w:val="none"/>
        </w:rPr>
      </w:pPr>
      <w:r>
        <w:rPr>
          <w:rFonts w:ascii="宋体" w:hAnsi="宋体"/>
          <w:color w:val="auto"/>
          <w:sz w:val="24"/>
          <w:highlight w:val="none"/>
        </w:rPr>
        <w:t>与本投标有关的一切正式往来信函请寄：</w:t>
      </w:r>
    </w:p>
    <w:p>
      <w:pPr>
        <w:tabs>
          <w:tab w:val="left" w:pos="5580"/>
        </w:tabs>
        <w:spacing w:line="360" w:lineRule="auto"/>
        <w:ind w:left="420"/>
        <w:rPr>
          <w:rFonts w:hint="eastAsia" w:ascii="宋体" w:hAnsi="宋体"/>
          <w:color w:val="auto"/>
          <w:sz w:val="24"/>
          <w:szCs w:val="20"/>
          <w:highlight w:val="none"/>
        </w:rPr>
      </w:pPr>
    </w:p>
    <w:p>
      <w:pPr>
        <w:tabs>
          <w:tab w:val="left" w:pos="5580"/>
        </w:tabs>
        <w:spacing w:line="360" w:lineRule="auto"/>
        <w:ind w:left="420"/>
        <w:rPr>
          <w:rFonts w:hint="eastAsia" w:ascii="宋体" w:hAnsi="宋体"/>
          <w:color w:val="auto"/>
          <w:sz w:val="24"/>
          <w:szCs w:val="20"/>
          <w:highlight w:val="none"/>
        </w:rPr>
      </w:pPr>
      <w:r>
        <w:rPr>
          <w:rFonts w:ascii="宋体" w:hAnsi="宋体"/>
          <w:color w:val="auto"/>
          <w:sz w:val="24"/>
          <w:szCs w:val="20"/>
          <w:highlight w:val="none"/>
        </w:rPr>
        <w:t>地址_________________________     传真____________________________</w:t>
      </w:r>
    </w:p>
    <w:p>
      <w:pPr>
        <w:tabs>
          <w:tab w:val="left" w:pos="5580"/>
        </w:tabs>
        <w:spacing w:line="360" w:lineRule="auto"/>
        <w:ind w:left="420"/>
        <w:rPr>
          <w:rFonts w:hint="eastAsia" w:ascii="宋体" w:hAnsi="宋体"/>
          <w:color w:val="auto"/>
          <w:sz w:val="24"/>
          <w:szCs w:val="20"/>
          <w:highlight w:val="none"/>
        </w:rPr>
      </w:pPr>
      <w:r>
        <w:rPr>
          <w:rFonts w:ascii="宋体" w:hAnsi="宋体"/>
          <w:color w:val="auto"/>
          <w:sz w:val="24"/>
          <w:szCs w:val="20"/>
          <w:highlight w:val="none"/>
        </w:rPr>
        <w:t>电话_________________________     电子函件________________________</w:t>
      </w:r>
    </w:p>
    <w:p>
      <w:pPr>
        <w:tabs>
          <w:tab w:val="left" w:pos="5580"/>
        </w:tabs>
        <w:spacing w:line="360" w:lineRule="auto"/>
        <w:ind w:left="420"/>
        <w:rPr>
          <w:rFonts w:hint="eastAsia" w:ascii="宋体" w:hAnsi="宋体"/>
          <w:color w:val="auto"/>
          <w:sz w:val="24"/>
          <w:szCs w:val="20"/>
          <w:highlight w:val="none"/>
        </w:rPr>
      </w:pPr>
    </w:p>
    <w:p>
      <w:pPr>
        <w:tabs>
          <w:tab w:val="left" w:pos="5580"/>
        </w:tabs>
        <w:spacing w:line="360" w:lineRule="auto"/>
        <w:ind w:left="420"/>
        <w:rPr>
          <w:rFonts w:hint="eastAsia" w:ascii="宋体" w:hAnsi="宋体"/>
          <w:color w:val="auto"/>
          <w:sz w:val="24"/>
          <w:szCs w:val="20"/>
          <w:highlight w:val="none"/>
        </w:rPr>
      </w:pPr>
      <w:r>
        <w:rPr>
          <w:rFonts w:ascii="宋体" w:hAnsi="宋体"/>
          <w:color w:val="auto"/>
          <w:sz w:val="24"/>
          <w:szCs w:val="20"/>
          <w:highlight w:val="none"/>
        </w:rPr>
        <w:t>投标人名称（加盖公章） ___________</w:t>
      </w:r>
    </w:p>
    <w:p>
      <w:pPr>
        <w:tabs>
          <w:tab w:val="left" w:pos="5580"/>
        </w:tabs>
        <w:spacing w:line="360" w:lineRule="auto"/>
        <w:ind w:left="420"/>
        <w:rPr>
          <w:rFonts w:hint="eastAsia" w:ascii="宋体" w:hAnsi="宋体"/>
          <w:color w:val="auto"/>
          <w:sz w:val="24"/>
          <w:szCs w:val="20"/>
          <w:highlight w:val="none"/>
        </w:rPr>
      </w:pPr>
      <w:r>
        <w:rPr>
          <w:rFonts w:ascii="宋体" w:hAnsi="宋体"/>
          <w:color w:val="auto"/>
          <w:sz w:val="24"/>
          <w:szCs w:val="20"/>
          <w:highlight w:val="none"/>
        </w:rPr>
        <w:t xml:space="preserve">日期：_____年______月______日    </w:t>
      </w:r>
    </w:p>
    <w:p>
      <w:pPr>
        <w:tabs>
          <w:tab w:val="left" w:pos="5580"/>
        </w:tabs>
        <w:spacing w:line="360" w:lineRule="auto"/>
        <w:ind w:left="420"/>
        <w:rPr>
          <w:rFonts w:hint="eastAsia" w:ascii="宋体" w:hAnsi="宋体"/>
          <w:color w:val="auto"/>
          <w:sz w:val="24"/>
          <w:szCs w:val="20"/>
          <w:highlight w:val="none"/>
          <w:u w:val="single"/>
        </w:rPr>
      </w:pPr>
    </w:p>
    <w:p>
      <w:pPr>
        <w:widowControl/>
        <w:jc w:val="left"/>
        <w:rPr>
          <w:rFonts w:hint="eastAsia" w:ascii="宋体" w:hAnsi="宋体"/>
          <w:color w:val="auto"/>
          <w:sz w:val="24"/>
          <w:highlight w:val="none"/>
        </w:rPr>
      </w:pPr>
      <w:bookmarkStart w:id="973" w:name="_Hlt520355938"/>
      <w:bookmarkEnd w:id="973"/>
      <w:bookmarkStart w:id="974" w:name="_Hlt520356243"/>
      <w:bookmarkEnd w:id="974"/>
      <w:bookmarkStart w:id="975" w:name="_Toc264969247"/>
      <w:bookmarkStart w:id="976" w:name="_Toc142311059"/>
      <w:bookmarkStart w:id="977" w:name="_Toc305158899"/>
      <w:bookmarkStart w:id="978" w:name="_Toc226337253"/>
      <w:bookmarkStart w:id="979" w:name="_Toc520356218"/>
      <w:bookmarkStart w:id="980" w:name="_Toc305158825"/>
      <w:bookmarkStart w:id="981" w:name="_Toc195842922"/>
      <w:bookmarkStart w:id="982" w:name="_Toc127151557"/>
      <w:bookmarkStart w:id="983" w:name="_Ref467988705"/>
      <w:bookmarkStart w:id="984" w:name="_Toc226965747"/>
      <w:bookmarkStart w:id="985" w:name="_Toc150480795"/>
      <w:bookmarkStart w:id="986" w:name="_Toc265228395"/>
      <w:bookmarkStart w:id="987" w:name="_Toc226965830"/>
      <w:bookmarkStart w:id="988" w:name="_Toc150774762"/>
      <w:bookmarkStart w:id="989" w:name="_Toc226309801"/>
      <w:bookmarkStart w:id="990" w:name="_Toc480942350"/>
      <w:r>
        <w:rPr>
          <w:rFonts w:ascii="宋体" w:hAnsi="宋体"/>
          <w:color w:val="auto"/>
          <w:sz w:val="24"/>
          <w:highlight w:val="none"/>
        </w:rPr>
        <w:br w:type="page"/>
      </w:r>
      <w:r>
        <w:rPr>
          <w:rFonts w:ascii="宋体" w:hAnsi="宋体"/>
          <w:color w:val="auto"/>
          <w:sz w:val="24"/>
          <w:highlight w:val="none"/>
        </w:rPr>
        <w:t>2  授权委托书（实质性格式）</w:t>
      </w:r>
    </w:p>
    <w:p>
      <w:pPr>
        <w:spacing w:line="360" w:lineRule="exact"/>
        <w:jc w:val="center"/>
        <w:rPr>
          <w:rFonts w:hint="eastAsia" w:ascii="宋体" w:hAnsi="宋体"/>
          <w:b/>
          <w:color w:val="auto"/>
          <w:sz w:val="36"/>
          <w:szCs w:val="36"/>
          <w:highlight w:val="none"/>
        </w:rPr>
      </w:pPr>
      <w:r>
        <w:rPr>
          <w:rFonts w:hint="eastAsia" w:ascii="宋体" w:hAnsi="宋体"/>
          <w:b/>
          <w:color w:val="auto"/>
          <w:sz w:val="36"/>
          <w:szCs w:val="36"/>
          <w:highlight w:val="none"/>
        </w:rPr>
        <w:t>授权委托书</w:t>
      </w:r>
    </w:p>
    <w:p>
      <w:pPr>
        <w:spacing w:line="360" w:lineRule="auto"/>
        <w:ind w:firstLine="420"/>
        <w:rPr>
          <w:rFonts w:hint="eastAsia" w:ascii="宋体" w:hAnsi="宋体"/>
          <w:color w:val="auto"/>
          <w:sz w:val="24"/>
          <w:szCs w:val="20"/>
          <w:highlight w:val="none"/>
        </w:rPr>
      </w:pPr>
    </w:p>
    <w:p>
      <w:pPr>
        <w:spacing w:line="360" w:lineRule="auto"/>
        <w:ind w:firstLine="420"/>
        <w:rPr>
          <w:rFonts w:hint="eastAsia" w:ascii="宋体" w:hAnsi="宋体"/>
          <w:color w:val="auto"/>
          <w:sz w:val="24"/>
          <w:szCs w:val="20"/>
          <w:highlight w:val="none"/>
        </w:rPr>
      </w:pPr>
      <w:r>
        <w:rPr>
          <w:rFonts w:hint="eastAsia" w:ascii="宋体" w:hAnsi="宋体"/>
          <w:color w:val="auto"/>
          <w:sz w:val="24"/>
          <w:szCs w:val="20"/>
          <w:highlight w:val="none"/>
        </w:rPr>
        <w:t>本人</w:t>
      </w:r>
      <w:r>
        <w:rPr>
          <w:rFonts w:ascii="宋体" w:hAnsi="宋体"/>
          <w:color w:val="auto"/>
          <w:sz w:val="24"/>
          <w:highlight w:val="none"/>
          <w:lang w:val="zh-CN"/>
        </w:rPr>
        <w:t>_______</w:t>
      </w:r>
      <w:r>
        <w:rPr>
          <w:rFonts w:ascii="宋体" w:hAnsi="宋体"/>
          <w:color w:val="auto"/>
          <w:sz w:val="24"/>
          <w:szCs w:val="20"/>
          <w:highlight w:val="none"/>
        </w:rPr>
        <w:t>（</w:t>
      </w:r>
      <w:r>
        <w:rPr>
          <w:rFonts w:hint="eastAsia" w:ascii="宋体" w:hAnsi="宋体"/>
          <w:color w:val="auto"/>
          <w:sz w:val="24"/>
          <w:szCs w:val="20"/>
          <w:highlight w:val="none"/>
        </w:rPr>
        <w:t>姓名</w:t>
      </w:r>
      <w:r>
        <w:rPr>
          <w:rFonts w:ascii="宋体" w:hAnsi="宋体"/>
          <w:color w:val="auto"/>
          <w:sz w:val="24"/>
          <w:szCs w:val="20"/>
          <w:highlight w:val="none"/>
        </w:rPr>
        <w:t>）</w:t>
      </w:r>
      <w:r>
        <w:rPr>
          <w:rFonts w:hint="eastAsia" w:ascii="宋体" w:hAnsi="宋体"/>
          <w:color w:val="auto"/>
          <w:sz w:val="24"/>
          <w:szCs w:val="20"/>
          <w:highlight w:val="none"/>
        </w:rPr>
        <w:t>系</w:t>
      </w:r>
      <w:r>
        <w:rPr>
          <w:rFonts w:ascii="宋体" w:hAnsi="宋体"/>
          <w:color w:val="auto"/>
          <w:sz w:val="24"/>
          <w:highlight w:val="none"/>
          <w:lang w:val="zh-CN"/>
        </w:rPr>
        <w:t>________________</w:t>
      </w:r>
      <w:r>
        <w:rPr>
          <w:rFonts w:ascii="宋体" w:hAnsi="宋体"/>
          <w:color w:val="auto"/>
          <w:sz w:val="24"/>
          <w:szCs w:val="20"/>
          <w:highlight w:val="none"/>
        </w:rPr>
        <w:t>（</w:t>
      </w:r>
      <w:r>
        <w:rPr>
          <w:rFonts w:hint="eastAsia" w:ascii="宋体" w:hAnsi="宋体"/>
          <w:color w:val="auto"/>
          <w:sz w:val="24"/>
          <w:szCs w:val="20"/>
          <w:highlight w:val="none"/>
        </w:rPr>
        <w:t>投标人</w:t>
      </w:r>
      <w:r>
        <w:rPr>
          <w:rFonts w:ascii="宋体" w:hAnsi="宋体"/>
          <w:color w:val="auto"/>
          <w:sz w:val="24"/>
          <w:szCs w:val="20"/>
          <w:highlight w:val="none"/>
        </w:rPr>
        <w:t>名称）</w:t>
      </w:r>
      <w:r>
        <w:rPr>
          <w:rFonts w:hint="eastAsia" w:ascii="宋体" w:hAnsi="宋体"/>
          <w:color w:val="auto"/>
          <w:sz w:val="24"/>
          <w:szCs w:val="20"/>
          <w:highlight w:val="none"/>
        </w:rPr>
        <w:t>的</w:t>
      </w:r>
      <w:r>
        <w:rPr>
          <w:rFonts w:ascii="宋体" w:hAnsi="宋体"/>
          <w:color w:val="auto"/>
          <w:sz w:val="24"/>
          <w:szCs w:val="20"/>
          <w:highlight w:val="none"/>
        </w:rPr>
        <w:t>法定代表人（</w:t>
      </w:r>
      <w:r>
        <w:rPr>
          <w:rFonts w:hint="eastAsia" w:ascii="宋体" w:hAnsi="宋体"/>
          <w:color w:val="auto"/>
          <w:sz w:val="24"/>
          <w:szCs w:val="20"/>
          <w:highlight w:val="none"/>
        </w:rPr>
        <w:t>单位</w:t>
      </w:r>
      <w:r>
        <w:rPr>
          <w:rFonts w:ascii="宋体" w:hAnsi="宋体"/>
          <w:color w:val="auto"/>
          <w:sz w:val="24"/>
          <w:szCs w:val="20"/>
          <w:highlight w:val="none"/>
        </w:rPr>
        <w:t>负责人）</w:t>
      </w:r>
      <w:r>
        <w:rPr>
          <w:rFonts w:hint="eastAsia" w:ascii="宋体" w:hAnsi="宋体"/>
          <w:color w:val="auto"/>
          <w:sz w:val="24"/>
          <w:szCs w:val="20"/>
          <w:highlight w:val="none"/>
        </w:rPr>
        <w:t>，</w:t>
      </w:r>
      <w:r>
        <w:rPr>
          <w:rFonts w:ascii="宋体" w:hAnsi="宋体"/>
          <w:color w:val="auto"/>
          <w:sz w:val="24"/>
          <w:szCs w:val="20"/>
          <w:highlight w:val="none"/>
        </w:rPr>
        <w:t>现委托</w:t>
      </w:r>
      <w:r>
        <w:rPr>
          <w:rFonts w:ascii="宋体" w:hAnsi="宋体"/>
          <w:color w:val="auto"/>
          <w:sz w:val="24"/>
          <w:highlight w:val="none"/>
          <w:lang w:val="zh-CN"/>
        </w:rPr>
        <w:t>_______</w:t>
      </w:r>
      <w:r>
        <w:rPr>
          <w:rFonts w:ascii="宋体" w:hAnsi="宋体"/>
          <w:color w:val="auto"/>
          <w:sz w:val="24"/>
          <w:szCs w:val="20"/>
          <w:highlight w:val="none"/>
        </w:rPr>
        <w:t>（</w:t>
      </w:r>
      <w:r>
        <w:rPr>
          <w:rFonts w:hint="eastAsia" w:ascii="宋体" w:hAnsi="宋体"/>
          <w:color w:val="auto"/>
          <w:sz w:val="24"/>
          <w:szCs w:val="20"/>
          <w:highlight w:val="none"/>
        </w:rPr>
        <w:t>姓名</w:t>
      </w:r>
      <w:r>
        <w:rPr>
          <w:rFonts w:ascii="宋体" w:hAnsi="宋体"/>
          <w:color w:val="auto"/>
          <w:sz w:val="24"/>
          <w:szCs w:val="20"/>
          <w:highlight w:val="none"/>
        </w:rPr>
        <w:t>）</w:t>
      </w:r>
      <w:r>
        <w:rPr>
          <w:rFonts w:hint="eastAsia" w:ascii="宋体" w:hAnsi="宋体"/>
          <w:color w:val="auto"/>
          <w:sz w:val="24"/>
          <w:szCs w:val="20"/>
          <w:highlight w:val="none"/>
        </w:rPr>
        <w:t>为</w:t>
      </w:r>
      <w:r>
        <w:rPr>
          <w:rFonts w:ascii="宋体" w:hAnsi="宋体"/>
          <w:color w:val="auto"/>
          <w:sz w:val="24"/>
          <w:szCs w:val="20"/>
          <w:highlight w:val="none"/>
        </w:rPr>
        <w:t>我方代理人。</w:t>
      </w:r>
      <w:r>
        <w:rPr>
          <w:rFonts w:hint="eastAsia" w:ascii="宋体" w:hAnsi="宋体"/>
          <w:color w:val="auto"/>
          <w:sz w:val="24"/>
          <w:szCs w:val="20"/>
          <w:highlight w:val="none"/>
        </w:rPr>
        <w:t>代理人根据</w:t>
      </w:r>
      <w:r>
        <w:rPr>
          <w:rFonts w:ascii="宋体" w:hAnsi="宋体"/>
          <w:color w:val="auto"/>
          <w:sz w:val="24"/>
          <w:szCs w:val="20"/>
          <w:highlight w:val="none"/>
        </w:rPr>
        <w:t>授权，以我方名义签署、澄清确认、递交、撤回、修改</w:t>
      </w:r>
      <w:r>
        <w:rPr>
          <w:rFonts w:ascii="宋体" w:hAnsi="宋体"/>
          <w:color w:val="auto"/>
          <w:sz w:val="24"/>
          <w:highlight w:val="none"/>
          <w:lang w:val="zh-CN"/>
        </w:rPr>
        <w:t>________________</w:t>
      </w:r>
      <w:r>
        <w:rPr>
          <w:rFonts w:ascii="宋体" w:hAnsi="宋体"/>
          <w:color w:val="auto"/>
          <w:sz w:val="24"/>
          <w:szCs w:val="20"/>
          <w:highlight w:val="none"/>
        </w:rPr>
        <w:t>（</w:t>
      </w:r>
      <w:r>
        <w:rPr>
          <w:rFonts w:hint="eastAsia" w:ascii="宋体" w:hAnsi="宋体"/>
          <w:color w:val="auto"/>
          <w:sz w:val="24"/>
          <w:szCs w:val="20"/>
          <w:highlight w:val="none"/>
        </w:rPr>
        <w:t>项目</w:t>
      </w:r>
      <w:r>
        <w:rPr>
          <w:rFonts w:ascii="宋体" w:hAnsi="宋体"/>
          <w:color w:val="auto"/>
          <w:sz w:val="24"/>
          <w:szCs w:val="20"/>
          <w:highlight w:val="none"/>
        </w:rPr>
        <w:t>名称）</w:t>
      </w:r>
      <w:r>
        <w:rPr>
          <w:rFonts w:hint="eastAsia" w:ascii="宋体" w:hAnsi="宋体"/>
          <w:color w:val="auto"/>
          <w:sz w:val="24"/>
          <w:szCs w:val="20"/>
          <w:highlight w:val="none"/>
        </w:rPr>
        <w:t>投标文件和</w:t>
      </w:r>
      <w:r>
        <w:rPr>
          <w:rFonts w:ascii="宋体" w:hAnsi="宋体"/>
          <w:color w:val="auto"/>
          <w:sz w:val="24"/>
          <w:szCs w:val="20"/>
          <w:highlight w:val="none"/>
        </w:rPr>
        <w:t>处理有关事宜，其法律后果由我方承担。</w:t>
      </w:r>
    </w:p>
    <w:p>
      <w:pPr>
        <w:spacing w:line="360" w:lineRule="auto"/>
        <w:ind w:firstLine="420"/>
        <w:rPr>
          <w:rFonts w:hint="eastAsia" w:ascii="宋体" w:hAnsi="宋体"/>
          <w:color w:val="auto"/>
          <w:sz w:val="24"/>
          <w:szCs w:val="20"/>
          <w:highlight w:val="none"/>
        </w:rPr>
      </w:pPr>
      <w:r>
        <w:rPr>
          <w:rFonts w:hint="eastAsia" w:ascii="宋体" w:hAnsi="宋体"/>
          <w:color w:val="auto"/>
          <w:sz w:val="24"/>
          <w:szCs w:val="20"/>
          <w:highlight w:val="none"/>
        </w:rPr>
        <w:t>委托</w:t>
      </w:r>
      <w:r>
        <w:rPr>
          <w:rFonts w:ascii="宋体" w:hAnsi="宋体"/>
          <w:color w:val="auto"/>
          <w:sz w:val="24"/>
          <w:szCs w:val="20"/>
          <w:highlight w:val="none"/>
        </w:rPr>
        <w:t>期限：自本</w:t>
      </w:r>
      <w:r>
        <w:rPr>
          <w:rFonts w:hint="eastAsia" w:ascii="宋体" w:hAnsi="宋体"/>
          <w:color w:val="auto"/>
          <w:sz w:val="24"/>
          <w:szCs w:val="20"/>
          <w:highlight w:val="none"/>
        </w:rPr>
        <w:t>授权</w:t>
      </w:r>
      <w:r>
        <w:rPr>
          <w:rFonts w:ascii="宋体" w:hAnsi="宋体"/>
          <w:color w:val="auto"/>
          <w:sz w:val="24"/>
          <w:szCs w:val="20"/>
          <w:highlight w:val="none"/>
        </w:rPr>
        <w:t>委托书签署之日起至</w:t>
      </w:r>
      <w:r>
        <w:rPr>
          <w:rFonts w:hint="eastAsia" w:ascii="宋体" w:hAnsi="宋体"/>
          <w:color w:val="auto"/>
          <w:sz w:val="24"/>
          <w:szCs w:val="20"/>
          <w:highlight w:val="none"/>
        </w:rPr>
        <w:t>响应</w:t>
      </w:r>
      <w:r>
        <w:rPr>
          <w:rFonts w:ascii="宋体" w:hAnsi="宋体"/>
          <w:color w:val="auto"/>
          <w:sz w:val="24"/>
          <w:szCs w:val="20"/>
          <w:highlight w:val="none"/>
        </w:rPr>
        <w:t>有效期</w:t>
      </w:r>
      <w:r>
        <w:rPr>
          <w:rFonts w:hint="eastAsia" w:ascii="宋体" w:hAnsi="宋体"/>
          <w:color w:val="auto"/>
          <w:sz w:val="24"/>
          <w:szCs w:val="20"/>
          <w:highlight w:val="none"/>
        </w:rPr>
        <w:t>届满</w:t>
      </w:r>
      <w:r>
        <w:rPr>
          <w:rFonts w:ascii="宋体" w:hAnsi="宋体"/>
          <w:color w:val="auto"/>
          <w:sz w:val="24"/>
          <w:szCs w:val="20"/>
          <w:highlight w:val="none"/>
        </w:rPr>
        <w:t>之日止。</w:t>
      </w:r>
    </w:p>
    <w:p>
      <w:pPr>
        <w:spacing w:line="360" w:lineRule="auto"/>
        <w:ind w:firstLine="420"/>
        <w:rPr>
          <w:rFonts w:hint="eastAsia" w:ascii="宋体" w:hAnsi="宋体"/>
          <w:color w:val="auto"/>
          <w:sz w:val="24"/>
          <w:szCs w:val="20"/>
          <w:highlight w:val="none"/>
        </w:rPr>
      </w:pPr>
      <w:r>
        <w:rPr>
          <w:rFonts w:hint="eastAsia" w:ascii="宋体" w:hAnsi="宋体"/>
          <w:color w:val="auto"/>
          <w:sz w:val="24"/>
          <w:szCs w:val="20"/>
          <w:highlight w:val="none"/>
        </w:rPr>
        <w:t>代理人</w:t>
      </w:r>
      <w:r>
        <w:rPr>
          <w:rFonts w:ascii="宋体" w:hAnsi="宋体"/>
          <w:color w:val="auto"/>
          <w:sz w:val="24"/>
          <w:szCs w:val="20"/>
          <w:highlight w:val="none"/>
        </w:rPr>
        <w:t>无转委托权。</w:t>
      </w:r>
      <w:r>
        <w:rPr>
          <w:rFonts w:ascii="宋体" w:hAnsi="宋体"/>
          <w:color w:val="auto"/>
          <w:sz w:val="24"/>
          <w:szCs w:val="20"/>
          <w:highlight w:val="none"/>
        </w:rPr>
        <w:cr/>
      </w:r>
    </w:p>
    <w:p>
      <w:pPr>
        <w:spacing w:line="360" w:lineRule="auto"/>
        <w:rPr>
          <w:rFonts w:hint="eastAsia" w:ascii="宋体" w:hAnsi="宋体"/>
          <w:color w:val="auto"/>
          <w:sz w:val="24"/>
          <w:highlight w:val="none"/>
          <w:lang w:val="zh-CN"/>
        </w:rPr>
      </w:pPr>
      <w:r>
        <w:rPr>
          <w:rFonts w:hint="eastAsia" w:ascii="宋体" w:hAnsi="宋体"/>
          <w:color w:val="auto"/>
          <w:sz w:val="24"/>
          <w:highlight w:val="none"/>
        </w:rPr>
        <w:t>投标人</w:t>
      </w:r>
      <w:r>
        <w:rPr>
          <w:rFonts w:ascii="宋体" w:hAnsi="宋体"/>
          <w:color w:val="auto"/>
          <w:sz w:val="24"/>
          <w:highlight w:val="none"/>
        </w:rPr>
        <w:t>名称（加盖公章）</w:t>
      </w:r>
      <w:r>
        <w:rPr>
          <w:rFonts w:ascii="宋体" w:hAnsi="宋体"/>
          <w:color w:val="auto"/>
          <w:sz w:val="24"/>
          <w:highlight w:val="none"/>
          <w:lang w:val="zh-CN"/>
        </w:rPr>
        <w:t>：________________</w:t>
      </w:r>
    </w:p>
    <w:p>
      <w:pPr>
        <w:spacing w:line="360" w:lineRule="auto"/>
        <w:rPr>
          <w:rFonts w:hint="eastAsia" w:ascii="宋体" w:hAnsi="宋体"/>
          <w:color w:val="auto"/>
          <w:sz w:val="24"/>
          <w:szCs w:val="20"/>
          <w:highlight w:val="none"/>
        </w:rPr>
      </w:pPr>
      <w:r>
        <w:rPr>
          <w:rFonts w:ascii="宋体" w:hAnsi="宋体"/>
          <w:color w:val="auto"/>
          <w:sz w:val="24"/>
          <w:szCs w:val="20"/>
          <w:highlight w:val="none"/>
        </w:rPr>
        <w:t>法定代表人（单位负责人）（签字</w:t>
      </w:r>
      <w:r>
        <w:rPr>
          <w:rFonts w:hint="eastAsia" w:ascii="宋体" w:hAnsi="宋体"/>
          <w:color w:val="auto"/>
          <w:sz w:val="24"/>
          <w:szCs w:val="20"/>
          <w:highlight w:val="none"/>
        </w:rPr>
        <w:t>或签章）</w:t>
      </w:r>
      <w:r>
        <w:rPr>
          <w:rFonts w:ascii="宋体" w:hAnsi="宋体"/>
          <w:color w:val="auto"/>
          <w:sz w:val="24"/>
          <w:szCs w:val="20"/>
          <w:highlight w:val="none"/>
        </w:rPr>
        <w:t>：</w:t>
      </w:r>
      <w:r>
        <w:rPr>
          <w:rFonts w:ascii="宋体" w:hAnsi="宋体"/>
          <w:color w:val="auto"/>
          <w:sz w:val="24"/>
          <w:highlight w:val="none"/>
          <w:lang w:val="zh-CN"/>
        </w:rPr>
        <w:t>________________</w:t>
      </w:r>
    </w:p>
    <w:p>
      <w:pPr>
        <w:autoSpaceDE w:val="0"/>
        <w:autoSpaceDN w:val="0"/>
        <w:adjustRightInd w:val="0"/>
        <w:snapToGrid w:val="0"/>
        <w:spacing w:line="360" w:lineRule="auto"/>
        <w:rPr>
          <w:rFonts w:hint="eastAsia" w:ascii="宋体" w:hAnsi="宋体"/>
          <w:color w:val="auto"/>
          <w:sz w:val="24"/>
          <w:highlight w:val="none"/>
          <w:lang w:val="zh-CN"/>
        </w:rPr>
      </w:pPr>
      <w:r>
        <w:rPr>
          <w:rFonts w:hint="eastAsia" w:ascii="宋体" w:hAnsi="宋体"/>
          <w:color w:val="auto"/>
          <w:sz w:val="24"/>
          <w:highlight w:val="none"/>
        </w:rPr>
        <w:t>委托代理</w:t>
      </w:r>
      <w:r>
        <w:rPr>
          <w:rFonts w:ascii="宋体" w:hAnsi="宋体"/>
          <w:color w:val="auto"/>
          <w:sz w:val="24"/>
          <w:highlight w:val="none"/>
        </w:rPr>
        <w:t>人（签字</w:t>
      </w:r>
      <w:r>
        <w:rPr>
          <w:rFonts w:hint="eastAsia" w:ascii="宋体" w:hAnsi="宋体"/>
          <w:color w:val="auto"/>
          <w:sz w:val="24"/>
          <w:highlight w:val="none"/>
        </w:rPr>
        <w:t>或签章</w:t>
      </w:r>
      <w:r>
        <w:rPr>
          <w:rFonts w:ascii="宋体" w:hAnsi="宋体"/>
          <w:color w:val="auto"/>
          <w:sz w:val="24"/>
          <w:highlight w:val="none"/>
        </w:rPr>
        <w:t>）：</w:t>
      </w:r>
      <w:r>
        <w:rPr>
          <w:rFonts w:ascii="宋体" w:hAnsi="宋体"/>
          <w:color w:val="auto"/>
          <w:sz w:val="24"/>
          <w:highlight w:val="none"/>
          <w:lang w:val="zh-CN"/>
        </w:rPr>
        <w:t>________________</w:t>
      </w:r>
      <w:r>
        <w:rPr>
          <w:rFonts w:ascii="宋体" w:hAnsi="宋体"/>
          <w:color w:val="auto"/>
          <w:sz w:val="24"/>
          <w:highlight w:val="none"/>
        </w:rPr>
        <w:t xml:space="preserve">    </w:t>
      </w:r>
      <w:r>
        <w:rPr>
          <w:rFonts w:ascii="宋体" w:hAnsi="宋体"/>
          <w:color w:val="auto"/>
          <w:sz w:val="24"/>
          <w:highlight w:val="none"/>
          <w:lang w:val="zh-CN"/>
        </w:rPr>
        <w:t xml:space="preserve">                      </w:t>
      </w:r>
    </w:p>
    <w:p>
      <w:pPr>
        <w:autoSpaceDE w:val="0"/>
        <w:autoSpaceDN w:val="0"/>
        <w:adjustRightInd w:val="0"/>
        <w:snapToGrid w:val="0"/>
        <w:spacing w:line="360" w:lineRule="auto"/>
        <w:rPr>
          <w:rFonts w:hint="eastAsia" w:ascii="宋体" w:hAnsi="宋体"/>
          <w:color w:val="auto"/>
          <w:sz w:val="24"/>
          <w:highlight w:val="none"/>
          <w:lang w:val="zh-CN"/>
        </w:rPr>
      </w:pPr>
      <w:r>
        <w:rPr>
          <w:rFonts w:ascii="宋体" w:hAnsi="宋体"/>
          <w:color w:val="auto"/>
          <w:sz w:val="24"/>
          <w:highlight w:val="none"/>
        </w:rPr>
        <w:t>日期：_____年______月______日</w:t>
      </w:r>
    </w:p>
    <w:p>
      <w:pPr>
        <w:tabs>
          <w:tab w:val="left" w:pos="5580"/>
        </w:tabs>
        <w:spacing w:line="360" w:lineRule="auto"/>
        <w:ind w:firstLine="480" w:firstLineChars="200"/>
        <w:rPr>
          <w:rFonts w:hint="eastAsia" w:ascii="宋体" w:hAnsi="宋体"/>
          <w:color w:val="auto"/>
          <w:sz w:val="24"/>
          <w:szCs w:val="20"/>
          <w:highlight w:val="none"/>
        </w:rPr>
      </w:pPr>
    </w:p>
    <w:p>
      <w:pPr>
        <w:tabs>
          <w:tab w:val="left" w:pos="5580"/>
        </w:tabs>
        <w:spacing w:line="360" w:lineRule="auto"/>
        <w:jc w:val="left"/>
        <w:rPr>
          <w:rFonts w:hint="eastAsia" w:ascii="宋体" w:hAnsi="宋体"/>
          <w:color w:val="auto"/>
          <w:sz w:val="24"/>
          <w:szCs w:val="20"/>
          <w:highlight w:val="none"/>
        </w:rPr>
      </w:pPr>
      <w:r>
        <w:rPr>
          <w:rFonts w:hint="eastAsia" w:ascii="宋体" w:hAnsi="宋体"/>
          <w:color w:val="auto"/>
          <w:sz w:val="24"/>
          <w:szCs w:val="20"/>
          <w:highlight w:val="none"/>
        </w:rPr>
        <w:t>附：法定代表人及委托代理人身份证明文件电子件：</w:t>
      </w:r>
    </w:p>
    <w:p>
      <w:pPr>
        <w:tabs>
          <w:tab w:val="left" w:pos="5580"/>
        </w:tabs>
        <w:spacing w:line="360" w:lineRule="auto"/>
        <w:jc w:val="left"/>
        <w:rPr>
          <w:rFonts w:hint="eastAsia" w:ascii="宋体" w:hAnsi="宋体"/>
          <w:color w:val="auto"/>
          <w:sz w:val="24"/>
          <w:szCs w:val="20"/>
          <w:highlight w:val="none"/>
        </w:rPr>
      </w:pPr>
    </w:p>
    <w:p>
      <w:pPr>
        <w:tabs>
          <w:tab w:val="left" w:pos="5580"/>
        </w:tabs>
        <w:spacing w:line="360" w:lineRule="auto"/>
        <w:jc w:val="left"/>
        <w:rPr>
          <w:rFonts w:hint="eastAsia" w:ascii="宋体" w:hAnsi="宋体"/>
          <w:color w:val="auto"/>
          <w:sz w:val="24"/>
          <w:szCs w:val="20"/>
          <w:highlight w:val="none"/>
        </w:rPr>
      </w:pPr>
    </w:p>
    <w:p>
      <w:pPr>
        <w:tabs>
          <w:tab w:val="left" w:pos="5580"/>
        </w:tabs>
        <w:spacing w:line="360" w:lineRule="auto"/>
        <w:jc w:val="left"/>
        <w:rPr>
          <w:rFonts w:hint="eastAsia" w:ascii="宋体" w:hAnsi="宋体"/>
          <w:color w:val="auto"/>
          <w:sz w:val="24"/>
          <w:szCs w:val="20"/>
          <w:highlight w:val="none"/>
        </w:rPr>
      </w:pPr>
    </w:p>
    <w:p>
      <w:pPr>
        <w:tabs>
          <w:tab w:val="left" w:pos="5580"/>
        </w:tabs>
        <w:spacing w:line="360" w:lineRule="auto"/>
        <w:jc w:val="left"/>
        <w:rPr>
          <w:rFonts w:hint="eastAsia" w:ascii="宋体" w:hAnsi="宋体"/>
          <w:color w:val="auto"/>
          <w:sz w:val="24"/>
          <w:szCs w:val="20"/>
          <w:highlight w:val="none"/>
        </w:rPr>
      </w:pPr>
    </w:p>
    <w:p>
      <w:pPr>
        <w:tabs>
          <w:tab w:val="left" w:pos="5580"/>
        </w:tabs>
        <w:spacing w:line="360" w:lineRule="auto"/>
        <w:jc w:val="left"/>
        <w:rPr>
          <w:rFonts w:hint="eastAsia" w:ascii="宋体" w:hAnsi="宋体"/>
          <w:color w:val="auto"/>
          <w:sz w:val="24"/>
          <w:szCs w:val="20"/>
          <w:highlight w:val="none"/>
        </w:rPr>
      </w:pPr>
      <w:r>
        <w:rPr>
          <w:rFonts w:hint="eastAsia" w:ascii="宋体" w:hAnsi="宋体"/>
          <w:color w:val="auto"/>
          <w:sz w:val="24"/>
          <w:szCs w:val="20"/>
          <w:highlight w:val="none"/>
        </w:rPr>
        <w:t>说明</w:t>
      </w:r>
      <w:r>
        <w:rPr>
          <w:rFonts w:ascii="宋体" w:hAnsi="宋体"/>
          <w:color w:val="auto"/>
          <w:sz w:val="24"/>
          <w:szCs w:val="20"/>
          <w:highlight w:val="none"/>
        </w:rPr>
        <w:t>：</w:t>
      </w:r>
    </w:p>
    <w:p>
      <w:pPr>
        <w:tabs>
          <w:tab w:val="left" w:pos="5580"/>
        </w:tabs>
        <w:spacing w:line="360" w:lineRule="auto"/>
        <w:jc w:val="left"/>
        <w:rPr>
          <w:rFonts w:hint="eastAsia" w:ascii="宋体" w:hAnsi="宋体"/>
          <w:color w:val="auto"/>
          <w:sz w:val="24"/>
          <w:szCs w:val="20"/>
          <w:highlight w:val="none"/>
        </w:rPr>
      </w:pPr>
      <w:r>
        <w:rPr>
          <w:rFonts w:ascii="宋体" w:hAnsi="宋体"/>
          <w:color w:val="auto"/>
          <w:sz w:val="24"/>
          <w:szCs w:val="20"/>
          <w:highlight w:val="none"/>
        </w:rPr>
        <w:t>1.若供应商为事业单位或其他组织或分支机构，则法定代表人（单位负责人）</w:t>
      </w:r>
      <w:r>
        <w:rPr>
          <w:rFonts w:hint="eastAsia" w:ascii="宋体" w:hAnsi="宋体"/>
          <w:color w:val="auto"/>
          <w:sz w:val="24"/>
          <w:szCs w:val="20"/>
          <w:highlight w:val="none"/>
        </w:rPr>
        <w:t>处</w:t>
      </w:r>
      <w:r>
        <w:rPr>
          <w:rFonts w:ascii="宋体" w:hAnsi="宋体"/>
          <w:color w:val="auto"/>
          <w:sz w:val="24"/>
          <w:szCs w:val="20"/>
          <w:highlight w:val="none"/>
        </w:rPr>
        <w:t>的签署人可为单位负责人</w:t>
      </w:r>
      <w:r>
        <w:rPr>
          <w:rFonts w:hint="eastAsia" w:ascii="宋体" w:hAnsi="宋体"/>
          <w:color w:val="auto"/>
          <w:sz w:val="24"/>
          <w:szCs w:val="20"/>
          <w:highlight w:val="none"/>
        </w:rPr>
        <w:t>。</w:t>
      </w:r>
    </w:p>
    <w:p>
      <w:pPr>
        <w:tabs>
          <w:tab w:val="left" w:pos="5580"/>
        </w:tabs>
        <w:spacing w:line="360" w:lineRule="auto"/>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若</w:t>
      </w:r>
      <w:r>
        <w:rPr>
          <w:rFonts w:hint="eastAsia" w:ascii="宋体" w:hAnsi="宋体"/>
          <w:color w:val="auto"/>
          <w:sz w:val="24"/>
          <w:szCs w:val="20"/>
          <w:highlight w:val="none"/>
        </w:rPr>
        <w:t>投标</w:t>
      </w:r>
      <w:r>
        <w:rPr>
          <w:rFonts w:ascii="宋体" w:hAnsi="宋体"/>
          <w:color w:val="auto"/>
          <w:sz w:val="24"/>
          <w:szCs w:val="20"/>
          <w:highlight w:val="none"/>
        </w:rPr>
        <w:t>文件中签字之处均为法定代表人（单位负责人）本人签署，则可不提供本《</w:t>
      </w:r>
      <w:r>
        <w:rPr>
          <w:rFonts w:hint="eastAsia" w:ascii="宋体" w:hAnsi="宋体"/>
          <w:color w:val="auto"/>
          <w:sz w:val="24"/>
          <w:szCs w:val="20"/>
          <w:highlight w:val="none"/>
        </w:rPr>
        <w:t>授权委托书</w:t>
      </w:r>
      <w:r>
        <w:rPr>
          <w:rFonts w:ascii="宋体" w:hAnsi="宋体"/>
          <w:color w:val="auto"/>
          <w:sz w:val="24"/>
          <w:szCs w:val="20"/>
          <w:highlight w:val="none"/>
        </w:rPr>
        <w:t>》，但须提供</w:t>
      </w:r>
      <w:r>
        <w:rPr>
          <w:rFonts w:hint="eastAsia" w:ascii="宋体" w:hAnsi="宋体"/>
          <w:color w:val="auto"/>
          <w:sz w:val="24"/>
          <w:szCs w:val="20"/>
          <w:highlight w:val="none"/>
        </w:rPr>
        <w:t>《</w:t>
      </w:r>
      <w:r>
        <w:rPr>
          <w:rFonts w:ascii="宋体" w:hAnsi="宋体"/>
          <w:color w:val="auto"/>
          <w:sz w:val="24"/>
          <w:szCs w:val="20"/>
          <w:highlight w:val="none"/>
        </w:rPr>
        <w:t>法定代表人（单位负责人）身份证</w:t>
      </w:r>
      <w:r>
        <w:rPr>
          <w:rFonts w:hint="eastAsia" w:ascii="宋体" w:hAnsi="宋体"/>
          <w:color w:val="auto"/>
          <w:sz w:val="24"/>
          <w:szCs w:val="20"/>
          <w:highlight w:val="none"/>
        </w:rPr>
        <w:t>明》；</w:t>
      </w:r>
      <w:r>
        <w:rPr>
          <w:rFonts w:ascii="宋体" w:hAnsi="宋体"/>
          <w:color w:val="auto"/>
          <w:sz w:val="24"/>
          <w:szCs w:val="20"/>
          <w:highlight w:val="none"/>
        </w:rPr>
        <w:t>否则，不需要</w:t>
      </w:r>
      <w:r>
        <w:rPr>
          <w:rFonts w:hint="eastAsia" w:ascii="Leelawadee UI" w:hAnsi="Leelawadee UI" w:cs="Leelawadee UI"/>
          <w:color w:val="auto"/>
          <w:sz w:val="24"/>
          <w:szCs w:val="20"/>
          <w:highlight w:val="none"/>
        </w:rPr>
        <w:t>提</w:t>
      </w:r>
      <w:r>
        <w:rPr>
          <w:rFonts w:ascii="宋体" w:hAnsi="宋体"/>
          <w:color w:val="auto"/>
          <w:sz w:val="24"/>
          <w:szCs w:val="20"/>
          <w:highlight w:val="none"/>
        </w:rPr>
        <w:t>供《法 定代表人（单位负责人）身份证明》。</w:t>
      </w:r>
    </w:p>
    <w:p>
      <w:pPr>
        <w:tabs>
          <w:tab w:val="left" w:pos="5580"/>
        </w:tabs>
        <w:spacing w:line="360" w:lineRule="auto"/>
        <w:jc w:val="left"/>
        <w:rPr>
          <w:rFonts w:hint="eastAsia" w:ascii="宋体" w:hAnsi="宋体"/>
          <w:color w:val="auto"/>
          <w:sz w:val="24"/>
          <w:szCs w:val="20"/>
          <w:highlight w:val="none"/>
        </w:rPr>
      </w:pPr>
      <w:r>
        <w:rPr>
          <w:rFonts w:ascii="宋体" w:hAnsi="宋体"/>
          <w:color w:val="auto"/>
          <w:sz w:val="24"/>
          <w:szCs w:val="20"/>
          <w:highlight w:val="none"/>
        </w:rPr>
        <w:t>3.</w:t>
      </w:r>
      <w:r>
        <w:rPr>
          <w:rFonts w:hint="eastAsia" w:ascii="宋体" w:hAnsi="宋体"/>
          <w:color w:val="auto"/>
          <w:sz w:val="24"/>
          <w:szCs w:val="20"/>
          <w:highlight w:val="none"/>
        </w:rPr>
        <w:t>供应商为自然人的情形，可不提供本</w:t>
      </w:r>
      <w:r>
        <w:rPr>
          <w:rFonts w:ascii="宋体" w:hAnsi="宋体"/>
          <w:color w:val="auto"/>
          <w:sz w:val="24"/>
          <w:szCs w:val="20"/>
          <w:highlight w:val="none"/>
        </w:rPr>
        <w:t>《</w:t>
      </w:r>
      <w:r>
        <w:rPr>
          <w:rFonts w:hint="eastAsia" w:ascii="宋体" w:hAnsi="宋体"/>
          <w:color w:val="auto"/>
          <w:sz w:val="24"/>
          <w:szCs w:val="20"/>
          <w:highlight w:val="none"/>
        </w:rPr>
        <w:t>授权委托书</w:t>
      </w:r>
      <w:r>
        <w:rPr>
          <w:rFonts w:ascii="宋体" w:hAnsi="宋体"/>
          <w:color w:val="auto"/>
          <w:sz w:val="24"/>
          <w:szCs w:val="20"/>
          <w:highlight w:val="none"/>
        </w:rPr>
        <w:t>》</w:t>
      </w:r>
      <w:r>
        <w:rPr>
          <w:rFonts w:hint="eastAsia" w:ascii="宋体" w:hAnsi="宋体"/>
          <w:color w:val="auto"/>
          <w:sz w:val="24"/>
          <w:szCs w:val="20"/>
          <w:highlight w:val="none"/>
        </w:rPr>
        <w:t>。</w:t>
      </w:r>
    </w:p>
    <w:p>
      <w:pPr>
        <w:tabs>
          <w:tab w:val="left" w:pos="5580"/>
        </w:tabs>
        <w:spacing w:line="360" w:lineRule="auto"/>
        <w:jc w:val="left"/>
        <w:rPr>
          <w:rFonts w:hint="eastAsia" w:ascii="宋体" w:hAnsi="宋体"/>
          <w:color w:val="auto"/>
          <w:sz w:val="24"/>
          <w:szCs w:val="20"/>
          <w:highlight w:val="none"/>
        </w:rPr>
      </w:pPr>
      <w:r>
        <w:rPr>
          <w:rFonts w:hint="eastAsia" w:ascii="宋体" w:hAnsi="宋体"/>
          <w:color w:val="auto"/>
          <w:sz w:val="24"/>
          <w:szCs w:val="20"/>
          <w:highlight w:val="none"/>
        </w:rPr>
        <w:t>4</w:t>
      </w:r>
      <w:r>
        <w:rPr>
          <w:rFonts w:ascii="宋体" w:hAnsi="宋体"/>
          <w:color w:val="auto"/>
          <w:sz w:val="24"/>
          <w:szCs w:val="20"/>
          <w:highlight w:val="none"/>
        </w:rPr>
        <w:t>.供应商应随本《授权委托书》同时</w:t>
      </w:r>
      <w:r>
        <w:rPr>
          <w:rFonts w:hint="eastAsia" w:ascii="宋体" w:hAnsi="宋体"/>
          <w:color w:val="auto"/>
          <w:sz w:val="24"/>
          <w:szCs w:val="20"/>
          <w:highlight w:val="none"/>
        </w:rPr>
        <w:t>提</w:t>
      </w:r>
      <w:r>
        <w:rPr>
          <w:rFonts w:ascii="宋体" w:hAnsi="宋体"/>
          <w:color w:val="auto"/>
          <w:sz w:val="24"/>
          <w:szCs w:val="20"/>
          <w:highlight w:val="none"/>
        </w:rPr>
        <w:t>供法定代表人（单位负责人）及委托代理人的有效的身份证、护照等身份证明文件电子件。</w:t>
      </w:r>
      <w:r>
        <w:rPr>
          <w:rFonts w:hint="eastAsia" w:ascii="宋体" w:hAnsi="宋体"/>
          <w:color w:val="auto"/>
          <w:sz w:val="24"/>
          <w:szCs w:val="20"/>
          <w:highlight w:val="none"/>
        </w:rPr>
        <w:t>提</w:t>
      </w:r>
      <w:r>
        <w:rPr>
          <w:rFonts w:ascii="宋体" w:hAnsi="宋体"/>
          <w:color w:val="auto"/>
          <w:sz w:val="24"/>
          <w:szCs w:val="20"/>
          <w:highlight w:val="none"/>
        </w:rPr>
        <w:t>供身份证的，应同时</w:t>
      </w:r>
      <w:r>
        <w:rPr>
          <w:rFonts w:hint="eastAsia" w:ascii="宋体" w:hAnsi="宋体" w:cs="Leelawadee UI"/>
          <w:color w:val="auto"/>
          <w:sz w:val="24"/>
          <w:szCs w:val="20"/>
          <w:highlight w:val="none"/>
        </w:rPr>
        <w:t>提</w:t>
      </w:r>
      <w:r>
        <w:rPr>
          <w:rFonts w:ascii="宋体" w:hAnsi="宋体"/>
          <w:color w:val="auto"/>
          <w:sz w:val="24"/>
          <w:szCs w:val="20"/>
          <w:highlight w:val="none"/>
        </w:rPr>
        <w:t>供身份证</w:t>
      </w:r>
      <w:r>
        <w:rPr>
          <w:rFonts w:ascii="宋体" w:hAnsi="宋体"/>
          <w:b/>
          <w:bCs/>
          <w:color w:val="auto"/>
          <w:sz w:val="24"/>
          <w:szCs w:val="20"/>
          <w:highlight w:val="none"/>
        </w:rPr>
        <w:t>双面</w:t>
      </w:r>
      <w:r>
        <w:rPr>
          <w:rFonts w:ascii="宋体" w:hAnsi="宋体"/>
          <w:color w:val="auto"/>
          <w:sz w:val="24"/>
          <w:szCs w:val="20"/>
          <w:highlight w:val="none"/>
        </w:rPr>
        <w:t>电子件</w:t>
      </w:r>
      <w:r>
        <w:rPr>
          <w:rFonts w:hint="eastAsia" w:ascii="宋体" w:hAnsi="宋体"/>
          <w:color w:val="auto"/>
          <w:sz w:val="24"/>
          <w:szCs w:val="20"/>
          <w:highlight w:val="none"/>
        </w:rPr>
        <w:t>。</w:t>
      </w:r>
    </w:p>
    <w:p>
      <w:pPr>
        <w:tabs>
          <w:tab w:val="left" w:pos="5580"/>
        </w:tabs>
        <w:spacing w:line="360" w:lineRule="auto"/>
        <w:jc w:val="center"/>
        <w:rPr>
          <w:rFonts w:hint="eastAsia" w:ascii="宋体" w:hAnsi="宋体"/>
          <w:b/>
          <w:color w:val="auto"/>
          <w:sz w:val="36"/>
          <w:szCs w:val="36"/>
          <w:highlight w:val="none"/>
        </w:rPr>
      </w:pPr>
      <w:r>
        <w:rPr>
          <w:rFonts w:ascii="宋体" w:hAnsi="宋体"/>
          <w:color w:val="auto"/>
          <w:sz w:val="30"/>
          <w:szCs w:val="30"/>
          <w:highlight w:val="none"/>
        </w:rPr>
        <w:br w:type="page"/>
      </w:r>
      <w:r>
        <w:rPr>
          <w:rFonts w:ascii="宋体" w:hAnsi="宋体"/>
          <w:b/>
          <w:color w:val="auto"/>
          <w:sz w:val="36"/>
          <w:szCs w:val="36"/>
          <w:highlight w:val="none"/>
        </w:rPr>
        <w:t>法定代表人（单位负责人）身份证明</w:t>
      </w:r>
    </w:p>
    <w:p>
      <w:pPr>
        <w:kinsoku w:val="0"/>
        <w:overflowPunct w:val="0"/>
        <w:spacing w:line="200" w:lineRule="exact"/>
        <w:rPr>
          <w:rFonts w:hint="eastAsia" w:ascii="宋体" w:hAnsi="宋体"/>
          <w:color w:val="auto"/>
          <w:sz w:val="20"/>
          <w:szCs w:val="20"/>
          <w:highlight w:val="none"/>
        </w:rPr>
      </w:pPr>
    </w:p>
    <w:p>
      <w:pPr>
        <w:tabs>
          <w:tab w:val="left" w:pos="5580"/>
        </w:tabs>
        <w:spacing w:line="360" w:lineRule="auto"/>
        <w:rPr>
          <w:rFonts w:hint="eastAsia" w:ascii="宋体" w:hAnsi="宋体"/>
          <w:color w:val="auto"/>
          <w:sz w:val="24"/>
          <w:highlight w:val="none"/>
        </w:rPr>
      </w:pPr>
      <w:r>
        <w:rPr>
          <w:rFonts w:ascii="宋体" w:hAnsi="宋体"/>
          <w:color w:val="auto"/>
          <w:sz w:val="24"/>
          <w:highlight w:val="none"/>
        </w:rPr>
        <w:t>致：</w:t>
      </w:r>
      <w:r>
        <w:rPr>
          <w:rFonts w:ascii="宋体" w:hAnsi="宋体"/>
          <w:color w:val="auto"/>
          <w:sz w:val="24"/>
          <w:highlight w:val="none"/>
          <w:u w:val="single"/>
        </w:rPr>
        <w:t>（</w:t>
      </w:r>
      <w:r>
        <w:rPr>
          <w:rFonts w:hint="eastAsia" w:ascii="宋体" w:hAnsi="宋体"/>
          <w:color w:val="auto"/>
          <w:sz w:val="24"/>
          <w:highlight w:val="none"/>
          <w:u w:val="single"/>
        </w:rPr>
        <w:t>采购人或</w:t>
      </w:r>
      <w:r>
        <w:rPr>
          <w:rFonts w:ascii="宋体" w:hAnsi="宋体"/>
          <w:color w:val="auto"/>
          <w:sz w:val="24"/>
          <w:highlight w:val="none"/>
          <w:u w:val="single"/>
        </w:rPr>
        <w:t>采购代理机构）</w:t>
      </w:r>
    </w:p>
    <w:p>
      <w:pPr>
        <w:pStyle w:val="17"/>
        <w:tabs>
          <w:tab w:val="left" w:pos="2412"/>
          <w:tab w:val="left" w:pos="3883"/>
          <w:tab w:val="left" w:pos="5352"/>
          <w:tab w:val="left" w:pos="6821"/>
        </w:tabs>
        <w:kinsoku w:val="0"/>
        <w:overflowPunct w:val="0"/>
        <w:spacing w:line="335" w:lineRule="exact"/>
        <w:ind w:firstLine="480" w:firstLineChars="200"/>
        <w:rPr>
          <w:rFonts w:hint="eastAsia"/>
          <w:color w:val="auto"/>
          <w:highlight w:val="none"/>
        </w:rPr>
      </w:pPr>
      <w:r>
        <w:rPr>
          <w:rFonts w:hint="eastAsia"/>
          <w:color w:val="auto"/>
          <w:highlight w:val="none"/>
        </w:rPr>
        <w:t>兹证明，</w:t>
      </w:r>
    </w:p>
    <w:p>
      <w:pPr>
        <w:pStyle w:val="17"/>
        <w:tabs>
          <w:tab w:val="left" w:pos="1690"/>
          <w:tab w:val="left" w:pos="3400"/>
          <w:tab w:val="left" w:pos="5110"/>
          <w:tab w:val="left" w:pos="6821"/>
        </w:tabs>
        <w:kinsoku w:val="0"/>
        <w:overflowPunct w:val="0"/>
        <w:spacing w:line="335" w:lineRule="exact"/>
        <w:rPr>
          <w:rFonts w:hint="eastAsia"/>
          <w:color w:val="auto"/>
          <w:highlight w:val="none"/>
        </w:rPr>
      </w:pPr>
      <w:r>
        <w:rPr>
          <w:color w:val="auto"/>
          <w:highlight w:val="none"/>
        </w:rPr>
        <w:t>姓名</w:t>
      </w:r>
      <w:r>
        <w:rPr>
          <w:rFonts w:hint="eastAsia"/>
          <w:color w:val="auto"/>
          <w:highlight w:val="none"/>
        </w:rPr>
        <w:t>：</w:t>
      </w:r>
      <w:r>
        <w:rPr>
          <w:color w:val="auto"/>
          <w:highlight w:val="none"/>
        </w:rPr>
        <w:t>____性别：____年龄：____职务：____</w:t>
      </w:r>
    </w:p>
    <w:p>
      <w:pPr>
        <w:pStyle w:val="17"/>
        <w:tabs>
          <w:tab w:val="left" w:pos="2412"/>
          <w:tab w:val="left" w:pos="3883"/>
          <w:tab w:val="left" w:pos="5352"/>
          <w:tab w:val="left" w:pos="6821"/>
        </w:tabs>
        <w:kinsoku w:val="0"/>
        <w:overflowPunct w:val="0"/>
        <w:spacing w:line="335" w:lineRule="exact"/>
        <w:rPr>
          <w:rFonts w:hint="eastAsia"/>
          <w:color w:val="auto"/>
          <w:highlight w:val="none"/>
        </w:rPr>
      </w:pPr>
    </w:p>
    <w:p>
      <w:pPr>
        <w:pStyle w:val="17"/>
        <w:tabs>
          <w:tab w:val="left" w:pos="2250"/>
          <w:tab w:val="left" w:pos="2412"/>
          <w:tab w:val="left" w:pos="3883"/>
          <w:tab w:val="left" w:pos="5352"/>
          <w:tab w:val="left" w:pos="6821"/>
          <w:tab w:val="clear" w:pos="567"/>
        </w:tabs>
        <w:kinsoku w:val="0"/>
        <w:overflowPunct w:val="0"/>
        <w:spacing w:line="335" w:lineRule="exact"/>
        <w:rPr>
          <w:rFonts w:hint="eastAsia"/>
          <w:color w:val="auto"/>
          <w:highlight w:val="none"/>
        </w:rPr>
      </w:pPr>
      <w:r>
        <w:rPr>
          <w:color w:val="auto"/>
          <w:highlight w:val="none"/>
        </w:rPr>
        <w:t>系</w:t>
      </w:r>
      <w:r>
        <w:rPr>
          <w:color w:val="auto"/>
          <w:highlight w:val="none"/>
          <w:u w:val="single"/>
        </w:rPr>
        <w:tab/>
      </w:r>
      <w:r>
        <w:rPr>
          <w:color w:val="auto"/>
          <w:highlight w:val="none"/>
        </w:rPr>
        <w:t>（</w:t>
      </w:r>
      <w:r>
        <w:rPr>
          <w:rFonts w:hint="eastAsia"/>
          <w:color w:val="auto"/>
          <w:highlight w:val="none"/>
        </w:rPr>
        <w:t>投标人</w:t>
      </w:r>
      <w:r>
        <w:rPr>
          <w:color w:val="auto"/>
          <w:highlight w:val="none"/>
        </w:rPr>
        <w:t>名称）的法定代表人（单位负责人）。</w:t>
      </w:r>
    </w:p>
    <w:p>
      <w:pPr>
        <w:pStyle w:val="17"/>
        <w:tabs>
          <w:tab w:val="left" w:pos="2412"/>
          <w:tab w:val="left" w:pos="3883"/>
          <w:tab w:val="left" w:pos="5352"/>
          <w:tab w:val="left" w:pos="6821"/>
        </w:tabs>
        <w:kinsoku w:val="0"/>
        <w:overflowPunct w:val="0"/>
        <w:spacing w:line="335" w:lineRule="exact"/>
        <w:rPr>
          <w:rFonts w:hint="eastAsia"/>
          <w:color w:val="auto"/>
          <w:highlight w:val="none"/>
        </w:rPr>
      </w:pPr>
    </w:p>
    <w:p>
      <w:pPr>
        <w:pStyle w:val="17"/>
        <w:kinsoku w:val="0"/>
        <w:overflowPunct w:val="0"/>
        <w:spacing w:line="583" w:lineRule="auto"/>
        <w:ind w:right="-46"/>
        <w:rPr>
          <w:rFonts w:hint="eastAsia"/>
          <w:color w:val="auto"/>
          <w:spacing w:val="-3"/>
          <w:highlight w:val="none"/>
        </w:rPr>
      </w:pPr>
      <w:r>
        <w:rPr>
          <w:color w:val="auto"/>
          <w:highlight w:val="none"/>
        </w:rPr>
        <w:t>附：法定代表人（单位负责人）身份证、护照等身份证明文件电子件：</w:t>
      </w:r>
    </w:p>
    <w:p>
      <w:pPr>
        <w:pStyle w:val="17"/>
        <w:kinsoku w:val="0"/>
        <w:overflowPunct w:val="0"/>
        <w:spacing w:line="583" w:lineRule="auto"/>
        <w:ind w:right="4305"/>
        <w:rPr>
          <w:rFonts w:hint="eastAsia"/>
          <w:color w:val="auto"/>
          <w:spacing w:val="-3"/>
          <w:highlight w:val="none"/>
        </w:rPr>
      </w:pPr>
    </w:p>
    <w:p>
      <w:pPr>
        <w:pStyle w:val="17"/>
        <w:kinsoku w:val="0"/>
        <w:overflowPunct w:val="0"/>
        <w:spacing w:line="583" w:lineRule="auto"/>
        <w:ind w:right="4305"/>
        <w:rPr>
          <w:rFonts w:hint="eastAsia"/>
          <w:color w:val="auto"/>
          <w:spacing w:val="-3"/>
          <w:highlight w:val="none"/>
        </w:rPr>
      </w:pPr>
    </w:p>
    <w:p>
      <w:pPr>
        <w:pStyle w:val="17"/>
        <w:kinsoku w:val="0"/>
        <w:overflowPunct w:val="0"/>
        <w:spacing w:line="583" w:lineRule="auto"/>
        <w:ind w:right="4305"/>
        <w:rPr>
          <w:rFonts w:hint="eastAsia"/>
          <w:color w:val="auto"/>
          <w:spacing w:val="-3"/>
          <w:highlight w:val="none"/>
        </w:rPr>
      </w:pPr>
    </w:p>
    <w:p>
      <w:pPr>
        <w:pStyle w:val="17"/>
        <w:kinsoku w:val="0"/>
        <w:overflowPunct w:val="0"/>
        <w:spacing w:line="583" w:lineRule="auto"/>
        <w:ind w:right="4305"/>
        <w:rPr>
          <w:rFonts w:hint="eastAsia"/>
          <w:color w:val="auto"/>
          <w:spacing w:val="-3"/>
          <w:highlight w:val="none"/>
        </w:rPr>
      </w:pPr>
    </w:p>
    <w:p>
      <w:pPr>
        <w:autoSpaceDE w:val="0"/>
        <w:autoSpaceDN w:val="0"/>
        <w:adjustRightInd w:val="0"/>
        <w:snapToGrid w:val="0"/>
        <w:spacing w:line="360" w:lineRule="auto"/>
        <w:rPr>
          <w:rFonts w:hint="eastAsia" w:ascii="宋体" w:hAnsi="宋体"/>
          <w:color w:val="auto"/>
          <w:sz w:val="24"/>
          <w:highlight w:val="none"/>
          <w:lang w:val="zh-CN"/>
        </w:rPr>
      </w:pPr>
      <w:r>
        <w:rPr>
          <w:rFonts w:hint="eastAsia" w:ascii="宋体" w:hAnsi="宋体"/>
          <w:color w:val="auto"/>
          <w:sz w:val="24"/>
          <w:highlight w:val="none"/>
        </w:rPr>
        <w:t>投标人</w:t>
      </w:r>
      <w:r>
        <w:rPr>
          <w:rFonts w:ascii="宋体" w:hAnsi="宋体"/>
          <w:color w:val="auto"/>
          <w:sz w:val="24"/>
          <w:highlight w:val="none"/>
        </w:rPr>
        <w:t>名称（加盖公章）</w:t>
      </w:r>
      <w:r>
        <w:rPr>
          <w:rFonts w:ascii="宋体" w:hAnsi="宋体"/>
          <w:color w:val="auto"/>
          <w:sz w:val="24"/>
          <w:highlight w:val="none"/>
          <w:lang w:val="zh-CN"/>
        </w:rPr>
        <w:t>：________________</w:t>
      </w:r>
    </w:p>
    <w:p>
      <w:pPr>
        <w:pStyle w:val="17"/>
        <w:kinsoku w:val="0"/>
        <w:overflowPunct w:val="0"/>
        <w:spacing w:line="583" w:lineRule="auto"/>
        <w:ind w:right="95"/>
        <w:rPr>
          <w:rFonts w:hint="eastAsia"/>
          <w:color w:val="auto"/>
          <w:spacing w:val="-3"/>
          <w:highlight w:val="none"/>
        </w:rPr>
      </w:pPr>
      <w:r>
        <w:rPr>
          <w:rFonts w:hint="eastAsia"/>
          <w:color w:val="auto"/>
          <w:spacing w:val="-3"/>
          <w:highlight w:val="none"/>
        </w:rPr>
        <w:t>法定代表人（</w:t>
      </w:r>
      <w:r>
        <w:rPr>
          <w:color w:val="auto"/>
          <w:highlight w:val="none"/>
        </w:rPr>
        <w:t>单位负责人</w:t>
      </w:r>
      <w:r>
        <w:rPr>
          <w:rFonts w:hint="eastAsia"/>
          <w:color w:val="auto"/>
          <w:spacing w:val="-3"/>
          <w:highlight w:val="none"/>
        </w:rPr>
        <w:t>）（签字或签章）：_</w:t>
      </w:r>
      <w:r>
        <w:rPr>
          <w:color w:val="auto"/>
          <w:spacing w:val="-3"/>
          <w:highlight w:val="none"/>
        </w:rPr>
        <w:t>______</w:t>
      </w:r>
    </w:p>
    <w:p>
      <w:pPr>
        <w:autoSpaceDE w:val="0"/>
        <w:autoSpaceDN w:val="0"/>
        <w:adjustRightInd w:val="0"/>
        <w:snapToGrid w:val="0"/>
        <w:spacing w:line="360" w:lineRule="auto"/>
        <w:rPr>
          <w:rFonts w:hint="eastAsia" w:ascii="宋体" w:hAnsi="宋体"/>
          <w:color w:val="auto"/>
          <w:sz w:val="24"/>
          <w:highlight w:val="none"/>
          <w:lang w:val="zh-CN"/>
        </w:rPr>
      </w:pPr>
      <w:r>
        <w:rPr>
          <w:rFonts w:ascii="宋体" w:hAnsi="宋体"/>
          <w:color w:val="auto"/>
          <w:sz w:val="24"/>
          <w:highlight w:val="none"/>
        </w:rPr>
        <w:t>日期：_____年______月______日</w:t>
      </w:r>
    </w:p>
    <w:p>
      <w:pPr>
        <w:widowControl/>
        <w:jc w:val="left"/>
        <w:rPr>
          <w:rFonts w:hint="eastAsia" w:ascii="宋体" w:hAnsi="宋体"/>
          <w:i/>
          <w:color w:val="auto"/>
          <w:sz w:val="24"/>
          <w:szCs w:val="20"/>
          <w:highlight w:val="none"/>
          <w:u w:val="single"/>
        </w:rPr>
      </w:pPr>
    </w:p>
    <w:p>
      <w:pPr>
        <w:widowControl/>
        <w:jc w:val="left"/>
        <w:rPr>
          <w:rFonts w:hint="eastAsia" w:ascii="宋体" w:hAnsi="宋体"/>
          <w:color w:val="auto"/>
          <w:sz w:val="24"/>
          <w:szCs w:val="20"/>
          <w:highlight w:val="none"/>
        </w:rPr>
      </w:pPr>
      <w:r>
        <w:rPr>
          <w:rFonts w:ascii="宋体" w:hAnsi="宋体"/>
          <w:color w:val="auto"/>
          <w:sz w:val="24"/>
          <w:szCs w:val="20"/>
          <w:highlight w:val="none"/>
        </w:rPr>
        <w:br w:type="page"/>
      </w:r>
      <w:r>
        <w:rPr>
          <w:rFonts w:ascii="宋体" w:hAnsi="宋体"/>
          <w:color w:val="auto"/>
          <w:sz w:val="24"/>
          <w:szCs w:val="20"/>
          <w:highlight w:val="none"/>
        </w:rPr>
        <w:t>3  开标一览表</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Pr>
          <w:rFonts w:ascii="宋体" w:hAnsi="宋体"/>
          <w:color w:val="auto"/>
          <w:sz w:val="24"/>
          <w:szCs w:val="20"/>
          <w:highlight w:val="none"/>
        </w:rPr>
        <w:t>（实质性格式）</w:t>
      </w:r>
    </w:p>
    <w:p>
      <w:pPr>
        <w:spacing w:line="360" w:lineRule="exact"/>
        <w:jc w:val="center"/>
        <w:rPr>
          <w:rFonts w:hint="eastAsia" w:ascii="宋体" w:hAnsi="宋体"/>
          <w:b/>
          <w:color w:val="auto"/>
          <w:sz w:val="36"/>
          <w:szCs w:val="36"/>
          <w:highlight w:val="none"/>
        </w:rPr>
      </w:pPr>
      <w:bookmarkStart w:id="991" w:name="_Toc305158900"/>
      <w:bookmarkStart w:id="992" w:name="_Toc164608827"/>
      <w:bookmarkStart w:id="993" w:name="_Toc164608672"/>
      <w:bookmarkStart w:id="994" w:name="_Toc265228396"/>
      <w:bookmarkStart w:id="995" w:name="_Toc226965831"/>
      <w:bookmarkStart w:id="996" w:name="_Toc305158826"/>
      <w:bookmarkStart w:id="997" w:name="_Toc226337254"/>
      <w:bookmarkStart w:id="998" w:name="_Toc226309802"/>
      <w:bookmarkStart w:id="999" w:name="_Toc226965748"/>
      <w:bookmarkStart w:id="1000" w:name="_Toc264969248"/>
      <w:bookmarkStart w:id="1001" w:name="_Toc195842923"/>
      <w:r>
        <w:rPr>
          <w:rFonts w:hint="eastAsia" w:ascii="宋体" w:hAnsi="宋体"/>
          <w:b/>
          <w:color w:val="auto"/>
          <w:sz w:val="36"/>
          <w:szCs w:val="36"/>
          <w:highlight w:val="none"/>
        </w:rPr>
        <w:t>开标一览表</w:t>
      </w:r>
      <w:bookmarkEnd w:id="991"/>
      <w:bookmarkEnd w:id="992"/>
      <w:bookmarkEnd w:id="993"/>
      <w:bookmarkEnd w:id="994"/>
      <w:bookmarkEnd w:id="995"/>
      <w:bookmarkEnd w:id="996"/>
      <w:bookmarkEnd w:id="997"/>
      <w:bookmarkEnd w:id="998"/>
      <w:bookmarkEnd w:id="999"/>
      <w:bookmarkEnd w:id="1000"/>
      <w:bookmarkEnd w:id="1001"/>
    </w:p>
    <w:p>
      <w:pPr>
        <w:tabs>
          <w:tab w:val="left" w:pos="1800"/>
          <w:tab w:val="left" w:pos="5580"/>
        </w:tabs>
        <w:spacing w:line="360" w:lineRule="auto"/>
        <w:jc w:val="left"/>
        <w:rPr>
          <w:rFonts w:hint="eastAsia" w:ascii="宋体" w:hAnsi="宋体"/>
          <w:i/>
          <w:color w:val="auto"/>
          <w:sz w:val="24"/>
          <w:highlight w:val="none"/>
        </w:rPr>
      </w:pPr>
    </w:p>
    <w:p>
      <w:pPr>
        <w:tabs>
          <w:tab w:val="left" w:pos="1800"/>
          <w:tab w:val="left" w:pos="5580"/>
        </w:tabs>
        <w:spacing w:line="360" w:lineRule="auto"/>
        <w:ind w:firstLine="240" w:firstLineChars="100"/>
        <w:jc w:val="left"/>
        <w:rPr>
          <w:rFonts w:hint="eastAsia" w:ascii="宋体" w:hAnsi="宋体"/>
          <w:color w:val="auto"/>
          <w:sz w:val="24"/>
          <w:highlight w:val="none"/>
          <w:u w:val="single"/>
        </w:rPr>
      </w:pPr>
      <w:r>
        <w:rPr>
          <w:rFonts w:ascii="宋体" w:hAnsi="宋体"/>
          <w:color w:val="auto"/>
          <w:sz w:val="24"/>
          <w:highlight w:val="none"/>
        </w:rPr>
        <w:t>项目编号：_____________________     项目名称：____________</w:t>
      </w:r>
    </w:p>
    <w:tbl>
      <w:tblPr>
        <w:tblStyle w:val="44"/>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2"/>
        <w:gridCol w:w="4023"/>
        <w:gridCol w:w="2158"/>
        <w:gridCol w:w="2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752" w:type="dxa"/>
            <w:vMerge w:val="restart"/>
            <w:vAlign w:val="center"/>
          </w:tcPr>
          <w:p>
            <w:pPr>
              <w:tabs>
                <w:tab w:val="left" w:pos="5580"/>
              </w:tabs>
              <w:jc w:val="center"/>
              <w:rPr>
                <w:rFonts w:hint="eastAsia" w:ascii="宋体" w:hAnsi="宋体"/>
                <w:b/>
                <w:color w:val="auto"/>
                <w:sz w:val="24"/>
                <w:highlight w:val="none"/>
              </w:rPr>
            </w:pPr>
            <w:r>
              <w:rPr>
                <w:rFonts w:hint="eastAsia" w:ascii="宋体" w:hAnsi="宋体"/>
                <w:b/>
                <w:color w:val="auto"/>
                <w:sz w:val="24"/>
                <w:highlight w:val="none"/>
                <w:lang w:eastAsia="zh-CN"/>
              </w:rPr>
              <w:t>包</w:t>
            </w:r>
            <w:r>
              <w:rPr>
                <w:rFonts w:ascii="宋体" w:hAnsi="宋体"/>
                <w:b/>
                <w:color w:val="auto"/>
                <w:sz w:val="24"/>
                <w:highlight w:val="none"/>
              </w:rPr>
              <w:t>号</w:t>
            </w:r>
          </w:p>
        </w:tc>
        <w:tc>
          <w:tcPr>
            <w:tcW w:w="4023" w:type="dxa"/>
            <w:vMerge w:val="restart"/>
            <w:vAlign w:val="center"/>
          </w:tcPr>
          <w:p>
            <w:pPr>
              <w:tabs>
                <w:tab w:val="left" w:pos="5580"/>
              </w:tabs>
              <w:jc w:val="center"/>
              <w:rPr>
                <w:rFonts w:hint="eastAsia" w:ascii="宋体" w:hAnsi="宋体"/>
                <w:b/>
                <w:color w:val="auto"/>
                <w:sz w:val="24"/>
                <w:highlight w:val="none"/>
              </w:rPr>
            </w:pPr>
            <w:r>
              <w:rPr>
                <w:rFonts w:ascii="宋体" w:hAnsi="宋体"/>
                <w:b/>
                <w:color w:val="auto"/>
                <w:sz w:val="24"/>
                <w:highlight w:val="none"/>
              </w:rPr>
              <w:t>投标人名称</w:t>
            </w:r>
          </w:p>
        </w:tc>
        <w:tc>
          <w:tcPr>
            <w:tcW w:w="4307" w:type="dxa"/>
            <w:gridSpan w:val="2"/>
            <w:vAlign w:val="center"/>
          </w:tcPr>
          <w:p>
            <w:pPr>
              <w:tabs>
                <w:tab w:val="left" w:pos="5580"/>
              </w:tabs>
              <w:jc w:val="center"/>
              <w:rPr>
                <w:rFonts w:hint="eastAsia" w:ascii="宋体" w:hAnsi="宋体"/>
                <w:b/>
                <w:color w:val="auto"/>
                <w:sz w:val="24"/>
                <w:highlight w:val="none"/>
              </w:rPr>
            </w:pPr>
            <w:r>
              <w:rPr>
                <w:rFonts w:ascii="宋体" w:hAnsi="宋体"/>
                <w:b/>
                <w:color w:val="auto"/>
                <w:sz w:val="24"/>
                <w:highlight w:val="none"/>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752" w:type="dxa"/>
            <w:vMerge w:val="continue"/>
            <w:vAlign w:val="center"/>
          </w:tcPr>
          <w:p>
            <w:pPr>
              <w:tabs>
                <w:tab w:val="left" w:pos="5580"/>
              </w:tabs>
              <w:jc w:val="center"/>
              <w:rPr>
                <w:rFonts w:hint="eastAsia" w:ascii="宋体" w:hAnsi="宋体"/>
                <w:color w:val="auto"/>
                <w:sz w:val="24"/>
                <w:highlight w:val="none"/>
              </w:rPr>
            </w:pPr>
          </w:p>
        </w:tc>
        <w:tc>
          <w:tcPr>
            <w:tcW w:w="4023" w:type="dxa"/>
            <w:vMerge w:val="continue"/>
            <w:vAlign w:val="center"/>
          </w:tcPr>
          <w:p>
            <w:pPr>
              <w:tabs>
                <w:tab w:val="left" w:pos="5580"/>
              </w:tabs>
              <w:jc w:val="center"/>
              <w:rPr>
                <w:rFonts w:hint="eastAsia" w:ascii="宋体" w:hAnsi="宋体"/>
                <w:color w:val="auto"/>
                <w:sz w:val="24"/>
                <w:highlight w:val="none"/>
              </w:rPr>
            </w:pPr>
          </w:p>
        </w:tc>
        <w:tc>
          <w:tcPr>
            <w:tcW w:w="2158" w:type="dxa"/>
            <w:vAlign w:val="center"/>
          </w:tcPr>
          <w:p>
            <w:pPr>
              <w:tabs>
                <w:tab w:val="left" w:pos="5580"/>
              </w:tabs>
              <w:jc w:val="center"/>
              <w:rPr>
                <w:rFonts w:hint="eastAsia" w:ascii="宋体" w:hAnsi="宋体"/>
                <w:b/>
                <w:color w:val="auto"/>
                <w:sz w:val="24"/>
                <w:highlight w:val="none"/>
              </w:rPr>
            </w:pPr>
            <w:r>
              <w:rPr>
                <w:rFonts w:ascii="宋体" w:hAnsi="宋体"/>
                <w:b/>
                <w:color w:val="auto"/>
                <w:sz w:val="24"/>
                <w:highlight w:val="none"/>
              </w:rPr>
              <w:t>大写</w:t>
            </w:r>
          </w:p>
        </w:tc>
        <w:tc>
          <w:tcPr>
            <w:tcW w:w="2149" w:type="dxa"/>
            <w:vAlign w:val="center"/>
          </w:tcPr>
          <w:p>
            <w:pPr>
              <w:tabs>
                <w:tab w:val="left" w:pos="5580"/>
              </w:tabs>
              <w:jc w:val="center"/>
              <w:rPr>
                <w:rFonts w:hint="eastAsia" w:ascii="宋体" w:hAnsi="宋体"/>
                <w:b/>
                <w:color w:val="auto"/>
                <w:sz w:val="24"/>
                <w:highlight w:val="none"/>
              </w:rPr>
            </w:pPr>
            <w:r>
              <w:rPr>
                <w:rFonts w:ascii="宋体" w:hAnsi="宋体"/>
                <w:b/>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752" w:type="dxa"/>
            <w:vAlign w:val="center"/>
          </w:tcPr>
          <w:p>
            <w:pPr>
              <w:tabs>
                <w:tab w:val="left" w:pos="5580"/>
              </w:tabs>
              <w:jc w:val="center"/>
              <w:rPr>
                <w:rFonts w:hint="eastAsia" w:ascii="宋体" w:hAnsi="宋体"/>
                <w:color w:val="auto"/>
                <w:sz w:val="24"/>
                <w:highlight w:val="none"/>
              </w:rPr>
            </w:pPr>
          </w:p>
        </w:tc>
        <w:tc>
          <w:tcPr>
            <w:tcW w:w="4023" w:type="dxa"/>
            <w:vAlign w:val="center"/>
          </w:tcPr>
          <w:p>
            <w:pPr>
              <w:tabs>
                <w:tab w:val="left" w:pos="5580"/>
              </w:tabs>
              <w:jc w:val="center"/>
              <w:rPr>
                <w:rFonts w:hint="eastAsia" w:ascii="宋体" w:hAnsi="宋体"/>
                <w:color w:val="auto"/>
                <w:sz w:val="24"/>
                <w:highlight w:val="none"/>
              </w:rPr>
            </w:pPr>
          </w:p>
        </w:tc>
        <w:tc>
          <w:tcPr>
            <w:tcW w:w="2158" w:type="dxa"/>
            <w:vAlign w:val="center"/>
          </w:tcPr>
          <w:p>
            <w:pPr>
              <w:tabs>
                <w:tab w:val="left" w:pos="5580"/>
              </w:tabs>
              <w:jc w:val="center"/>
              <w:rPr>
                <w:rFonts w:hint="eastAsia" w:ascii="宋体" w:hAnsi="宋体"/>
                <w:color w:val="auto"/>
                <w:sz w:val="24"/>
                <w:highlight w:val="none"/>
              </w:rPr>
            </w:pPr>
          </w:p>
        </w:tc>
        <w:tc>
          <w:tcPr>
            <w:tcW w:w="2149" w:type="dxa"/>
            <w:vAlign w:val="center"/>
          </w:tcPr>
          <w:p>
            <w:pPr>
              <w:tabs>
                <w:tab w:val="left" w:pos="5580"/>
              </w:tabs>
              <w:jc w:val="center"/>
              <w:rPr>
                <w:rFonts w:hint="eastAsia" w:ascii="宋体" w:hAnsi="宋体"/>
                <w:color w:val="auto"/>
                <w:sz w:val="24"/>
                <w:highlight w:val="none"/>
              </w:rPr>
            </w:pPr>
          </w:p>
        </w:tc>
      </w:tr>
    </w:tbl>
    <w:p>
      <w:pPr>
        <w:autoSpaceDE w:val="0"/>
        <w:autoSpaceDN w:val="0"/>
        <w:adjustRightInd w:val="0"/>
        <w:jc w:val="left"/>
        <w:rPr>
          <w:rFonts w:hint="eastAsia" w:ascii="宋体" w:hAnsi="宋体"/>
          <w:color w:val="auto"/>
          <w:kern w:val="0"/>
          <w:sz w:val="24"/>
          <w:highlight w:val="none"/>
        </w:rPr>
      </w:pPr>
    </w:p>
    <w:p>
      <w:pPr>
        <w:autoSpaceDE w:val="0"/>
        <w:autoSpaceDN w:val="0"/>
        <w:adjustRightInd w:val="0"/>
        <w:jc w:val="left"/>
        <w:rPr>
          <w:rFonts w:hint="eastAsia" w:ascii="宋体" w:hAnsi="宋体"/>
          <w:color w:val="auto"/>
          <w:sz w:val="24"/>
          <w:szCs w:val="20"/>
          <w:highlight w:val="none"/>
        </w:rPr>
      </w:pPr>
      <w:r>
        <w:rPr>
          <w:rFonts w:ascii="宋体" w:hAnsi="宋体"/>
          <w:color w:val="auto"/>
          <w:kern w:val="0"/>
          <w:sz w:val="24"/>
          <w:highlight w:val="none"/>
        </w:rPr>
        <w:t>注：1</w:t>
      </w:r>
      <w:r>
        <w:rPr>
          <w:rFonts w:ascii="宋体" w:hAnsi="宋体"/>
          <w:color w:val="auto"/>
          <w:sz w:val="24"/>
          <w:szCs w:val="20"/>
          <w:highlight w:val="none"/>
        </w:rPr>
        <w:t>.此表中，投标报价应和《投标分项报价表》中的总价相一致。</w:t>
      </w:r>
    </w:p>
    <w:p>
      <w:pPr>
        <w:autoSpaceDE w:val="0"/>
        <w:autoSpaceDN w:val="0"/>
        <w:adjustRightInd w:val="0"/>
        <w:ind w:firstLine="480" w:firstLineChars="200"/>
        <w:jc w:val="left"/>
        <w:rPr>
          <w:rFonts w:ascii="宋体" w:hAnsi="宋体" w:eastAsia="宋体"/>
          <w:color w:val="auto"/>
          <w:kern w:val="0"/>
          <w:sz w:val="24"/>
          <w:highlight w:val="none"/>
        </w:rPr>
      </w:pPr>
      <w:r>
        <w:rPr>
          <w:rFonts w:ascii="宋体" w:hAnsi="宋体" w:eastAsia="宋体"/>
          <w:color w:val="auto"/>
          <w:kern w:val="0"/>
          <w:sz w:val="24"/>
          <w:highlight w:val="none"/>
        </w:rPr>
        <w:t>2.本表必须按包分别填写。</w:t>
      </w:r>
    </w:p>
    <w:p>
      <w:pPr>
        <w:autoSpaceDE w:val="0"/>
        <w:autoSpaceDN w:val="0"/>
        <w:adjustRightInd w:val="0"/>
        <w:snapToGrid w:val="0"/>
        <w:spacing w:before="25" w:after="25" w:line="360" w:lineRule="auto"/>
        <w:rPr>
          <w:rFonts w:hint="eastAsia" w:ascii="宋体" w:hAnsi="宋体"/>
          <w:color w:val="auto"/>
          <w:sz w:val="24"/>
          <w:highlight w:val="none"/>
          <w:lang w:val="zh-CN"/>
        </w:rPr>
      </w:pP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lang w:val="zh-CN"/>
        </w:rPr>
        <w:t xml:space="preserve">                         </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rPr>
        <w:t>投标人名称（加盖公章）</w:t>
      </w:r>
      <w:r>
        <w:rPr>
          <w:rFonts w:ascii="宋体" w:hAnsi="宋体"/>
          <w:color w:val="auto"/>
          <w:sz w:val="24"/>
          <w:highlight w:val="none"/>
          <w:lang w:val="zh-CN"/>
        </w:rPr>
        <w:t>：____________</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szCs w:val="20"/>
          <w:highlight w:val="none"/>
        </w:rPr>
        <w:t xml:space="preserve">日期：_____年______月______日   </w:t>
      </w:r>
    </w:p>
    <w:p>
      <w:pPr>
        <w:widowControl/>
        <w:jc w:val="left"/>
        <w:rPr>
          <w:rFonts w:ascii="宋体" w:hAnsi="宋体"/>
          <w:color w:val="auto"/>
          <w:sz w:val="24"/>
          <w:szCs w:val="20"/>
          <w:highlight w:val="none"/>
        </w:rPr>
      </w:pPr>
      <w:bookmarkStart w:id="1002" w:name="_Toc226337255"/>
      <w:bookmarkStart w:id="1003" w:name="_Toc195842924"/>
      <w:bookmarkStart w:id="1004" w:name="_Toc226965749"/>
      <w:bookmarkStart w:id="1005" w:name="_Toc305158901"/>
      <w:bookmarkStart w:id="1006" w:name="_Toc305158827"/>
      <w:bookmarkStart w:id="1007" w:name="_Toc265228397"/>
      <w:bookmarkStart w:id="1008" w:name="_Toc264969249"/>
      <w:bookmarkStart w:id="1009" w:name="_Toc226965832"/>
      <w:bookmarkStart w:id="1010" w:name="_Toc226309803"/>
      <w:bookmarkStart w:id="1011" w:name="_Toc150774763"/>
      <w:bookmarkStart w:id="1012" w:name="_Toc150480796"/>
      <w:bookmarkStart w:id="1013" w:name="_Toc127151558"/>
      <w:bookmarkStart w:id="1014" w:name="_Toc142311060"/>
    </w:p>
    <w:p>
      <w:pPr>
        <w:pStyle w:val="2"/>
        <w:rPr>
          <w:color w:val="auto"/>
          <w:highlight w:val="none"/>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p>
    <w:p>
      <w:pPr>
        <w:widowControl/>
        <w:jc w:val="left"/>
        <w:rPr>
          <w:rFonts w:hint="eastAsia" w:ascii="宋体" w:hAnsi="宋体"/>
          <w:color w:val="auto"/>
          <w:sz w:val="24"/>
          <w:szCs w:val="20"/>
          <w:highlight w:val="none"/>
        </w:rPr>
      </w:pPr>
      <w:r>
        <w:rPr>
          <w:rFonts w:ascii="宋体" w:hAnsi="宋体"/>
          <w:color w:val="auto"/>
          <w:sz w:val="24"/>
          <w:szCs w:val="20"/>
          <w:highlight w:val="none"/>
        </w:rPr>
        <w:t>4  投标分项报价表</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Fonts w:ascii="宋体" w:hAnsi="宋体"/>
          <w:color w:val="auto"/>
          <w:sz w:val="24"/>
          <w:szCs w:val="20"/>
          <w:highlight w:val="none"/>
        </w:rPr>
        <w:t>（实质性格式）</w:t>
      </w:r>
    </w:p>
    <w:p>
      <w:pPr>
        <w:spacing w:line="360" w:lineRule="exact"/>
        <w:jc w:val="center"/>
        <w:rPr>
          <w:rFonts w:hint="eastAsia" w:ascii="宋体" w:hAnsi="宋体"/>
          <w:color w:val="auto"/>
          <w:sz w:val="36"/>
          <w:szCs w:val="36"/>
          <w:highlight w:val="none"/>
        </w:rPr>
      </w:pPr>
    </w:p>
    <w:p>
      <w:pPr>
        <w:spacing w:line="360" w:lineRule="auto"/>
        <w:jc w:val="center"/>
        <w:rPr>
          <w:rFonts w:hint="eastAsia" w:ascii="宋体" w:hAnsi="宋体"/>
          <w:b/>
          <w:color w:val="auto"/>
          <w:sz w:val="36"/>
          <w:szCs w:val="36"/>
          <w:highlight w:val="none"/>
        </w:rPr>
      </w:pPr>
      <w:r>
        <w:rPr>
          <w:rFonts w:hint="eastAsia" w:ascii="宋体" w:hAnsi="宋体"/>
          <w:b/>
          <w:color w:val="auto"/>
          <w:sz w:val="36"/>
          <w:szCs w:val="36"/>
          <w:highlight w:val="none"/>
        </w:rPr>
        <w:t>投标分项报价表</w:t>
      </w:r>
    </w:p>
    <w:p>
      <w:pPr>
        <w:tabs>
          <w:tab w:val="left" w:pos="1800"/>
          <w:tab w:val="left" w:pos="5580"/>
        </w:tabs>
        <w:rPr>
          <w:color w:val="auto"/>
          <w:sz w:val="24"/>
          <w:highlight w:val="none"/>
        </w:rPr>
      </w:pPr>
      <w:bookmarkStart w:id="1015" w:name="_Toc226309806"/>
      <w:bookmarkStart w:id="1016" w:name="_Toc195842927"/>
      <w:bookmarkStart w:id="1017" w:name="_Toc305158830"/>
      <w:bookmarkStart w:id="1018" w:name="_Toc142311062"/>
      <w:bookmarkStart w:id="1019" w:name="_Toc127151562"/>
      <w:bookmarkStart w:id="1020" w:name="_Toc150480798"/>
      <w:bookmarkStart w:id="1021" w:name="_Toc265228400"/>
      <w:bookmarkStart w:id="1022" w:name="_Toc226965835"/>
      <w:bookmarkStart w:id="1023" w:name="_Toc305158904"/>
      <w:bookmarkStart w:id="1024" w:name="_Toc226965752"/>
      <w:bookmarkStart w:id="1025" w:name="_Toc226337258"/>
      <w:bookmarkStart w:id="1026" w:name="_Toc150774765"/>
      <w:bookmarkStart w:id="1027" w:name="_Toc264969252"/>
      <w:bookmarkStart w:id="1028" w:name="_Toc162979045"/>
      <w:bookmarkStart w:id="1029" w:name="_Toc305158903"/>
      <w:bookmarkStart w:id="1030" w:name="_Toc150774764"/>
      <w:bookmarkStart w:id="1031" w:name="_Toc265228399"/>
      <w:bookmarkStart w:id="1032" w:name="_Toc226337257"/>
      <w:bookmarkStart w:id="1033" w:name="_Toc226309805"/>
      <w:bookmarkStart w:id="1034" w:name="_Toc226965834"/>
      <w:bookmarkStart w:id="1035" w:name="_Toc305158829"/>
      <w:bookmarkStart w:id="1036" w:name="_Toc264969251"/>
      <w:bookmarkStart w:id="1037" w:name="_Toc150480797"/>
      <w:bookmarkStart w:id="1038" w:name="_Toc195842926"/>
      <w:bookmarkStart w:id="1039" w:name="_Toc226965751"/>
      <w:bookmarkStart w:id="1040" w:name="_Toc142311061"/>
      <w:bookmarkStart w:id="1041" w:name="_Toc127151561"/>
      <w:r>
        <w:rPr>
          <w:color w:val="auto"/>
          <w:sz w:val="24"/>
          <w:highlight w:val="none"/>
        </w:rPr>
        <w:t>项目编号/包号：________ 项目名称：__________报价单位：人民币元</w:t>
      </w:r>
    </w:p>
    <w:tbl>
      <w:tblPr>
        <w:tblStyle w:val="44"/>
        <w:tblW w:w="13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978"/>
        <w:gridCol w:w="1238"/>
        <w:gridCol w:w="880"/>
        <w:gridCol w:w="1618"/>
        <w:gridCol w:w="1168"/>
        <w:gridCol w:w="1168"/>
        <w:gridCol w:w="1168"/>
        <w:gridCol w:w="1168"/>
        <w:gridCol w:w="1168"/>
        <w:gridCol w:w="956"/>
        <w:gridCol w:w="11"/>
        <w:gridCol w:w="766"/>
        <w:gridCol w:w="12"/>
        <w:gridCol w:w="951"/>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94" w:hRule="atLeast"/>
          <w:jc w:val="center"/>
        </w:trPr>
        <w:tc>
          <w:tcPr>
            <w:tcW w:w="716" w:type="dxa"/>
            <w:vAlign w:val="center"/>
          </w:tcPr>
          <w:p>
            <w:pPr>
              <w:adjustRightInd w:val="0"/>
              <w:snapToGrid w:val="0"/>
              <w:jc w:val="center"/>
              <w:rPr>
                <w:b/>
                <w:color w:val="auto"/>
                <w:sz w:val="24"/>
                <w:highlight w:val="none"/>
              </w:rPr>
            </w:pPr>
            <w:r>
              <w:rPr>
                <w:b/>
                <w:color w:val="auto"/>
                <w:sz w:val="24"/>
                <w:highlight w:val="none"/>
              </w:rPr>
              <w:t>序号</w:t>
            </w:r>
          </w:p>
        </w:tc>
        <w:tc>
          <w:tcPr>
            <w:tcW w:w="978" w:type="dxa"/>
            <w:vAlign w:val="center"/>
          </w:tcPr>
          <w:p>
            <w:pPr>
              <w:adjustRightInd w:val="0"/>
              <w:snapToGrid w:val="0"/>
              <w:jc w:val="center"/>
              <w:rPr>
                <w:b/>
                <w:color w:val="auto"/>
                <w:sz w:val="24"/>
                <w:highlight w:val="none"/>
              </w:rPr>
            </w:pPr>
            <w:r>
              <w:rPr>
                <w:b/>
                <w:color w:val="auto"/>
                <w:sz w:val="24"/>
                <w:highlight w:val="none"/>
              </w:rPr>
              <w:t>分项名称</w:t>
            </w:r>
          </w:p>
        </w:tc>
        <w:tc>
          <w:tcPr>
            <w:tcW w:w="1238" w:type="dxa"/>
            <w:vAlign w:val="center"/>
          </w:tcPr>
          <w:p>
            <w:pPr>
              <w:adjustRightInd w:val="0"/>
              <w:snapToGrid w:val="0"/>
              <w:jc w:val="center"/>
              <w:rPr>
                <w:b/>
                <w:color w:val="auto"/>
                <w:sz w:val="24"/>
                <w:highlight w:val="none"/>
              </w:rPr>
            </w:pPr>
            <w:r>
              <w:rPr>
                <w:b/>
                <w:color w:val="auto"/>
                <w:sz w:val="24"/>
                <w:highlight w:val="none"/>
              </w:rPr>
              <w:t>制造商</w:t>
            </w:r>
          </w:p>
        </w:tc>
        <w:tc>
          <w:tcPr>
            <w:tcW w:w="880" w:type="dxa"/>
            <w:vAlign w:val="center"/>
          </w:tcPr>
          <w:p>
            <w:pPr>
              <w:adjustRightInd w:val="0"/>
              <w:snapToGrid w:val="0"/>
              <w:jc w:val="center"/>
              <w:rPr>
                <w:b/>
                <w:color w:val="auto"/>
                <w:sz w:val="24"/>
                <w:highlight w:val="none"/>
              </w:rPr>
            </w:pPr>
            <w:r>
              <w:rPr>
                <w:b/>
                <w:color w:val="auto"/>
                <w:sz w:val="24"/>
                <w:highlight w:val="none"/>
              </w:rPr>
              <w:t>产地/国别</w:t>
            </w:r>
          </w:p>
        </w:tc>
        <w:tc>
          <w:tcPr>
            <w:tcW w:w="1618" w:type="dxa"/>
            <w:vAlign w:val="center"/>
          </w:tcPr>
          <w:p>
            <w:pPr>
              <w:jc w:val="center"/>
              <w:rPr>
                <w:b/>
                <w:color w:val="auto"/>
                <w:sz w:val="24"/>
                <w:highlight w:val="none"/>
              </w:rPr>
            </w:pPr>
            <w:r>
              <w:rPr>
                <w:b/>
                <w:color w:val="auto"/>
                <w:sz w:val="24"/>
                <w:highlight w:val="none"/>
              </w:rPr>
              <w:t>制造商</w:t>
            </w:r>
          </w:p>
          <w:p>
            <w:pPr>
              <w:adjustRightInd w:val="0"/>
              <w:snapToGrid w:val="0"/>
              <w:jc w:val="center"/>
              <w:rPr>
                <w:b/>
                <w:color w:val="auto"/>
                <w:sz w:val="24"/>
                <w:highlight w:val="none"/>
              </w:rPr>
            </w:pPr>
            <w:r>
              <w:rPr>
                <w:b/>
                <w:color w:val="auto"/>
                <w:sz w:val="24"/>
                <w:highlight w:val="none"/>
              </w:rPr>
              <w:t>统一</w:t>
            </w:r>
            <w:r>
              <w:rPr>
                <w:rFonts w:hint="eastAsia"/>
                <w:b/>
                <w:color w:val="auto"/>
                <w:sz w:val="24"/>
                <w:highlight w:val="none"/>
              </w:rPr>
              <w:t>社会</w:t>
            </w:r>
            <w:r>
              <w:rPr>
                <w:b/>
                <w:color w:val="auto"/>
                <w:sz w:val="24"/>
                <w:highlight w:val="none"/>
              </w:rPr>
              <w:t>信用代码</w:t>
            </w:r>
          </w:p>
        </w:tc>
        <w:tc>
          <w:tcPr>
            <w:tcW w:w="1168" w:type="dxa"/>
            <w:vAlign w:val="center"/>
          </w:tcPr>
          <w:p>
            <w:pPr>
              <w:jc w:val="center"/>
              <w:rPr>
                <w:b/>
                <w:color w:val="auto"/>
                <w:sz w:val="24"/>
                <w:highlight w:val="none"/>
              </w:rPr>
            </w:pPr>
            <w:r>
              <w:rPr>
                <w:b/>
                <w:color w:val="auto"/>
                <w:sz w:val="24"/>
                <w:highlight w:val="none"/>
              </w:rPr>
              <w:t>制造商</w:t>
            </w:r>
          </w:p>
          <w:p>
            <w:pPr>
              <w:adjustRightInd w:val="0"/>
              <w:snapToGrid w:val="0"/>
              <w:jc w:val="center"/>
              <w:rPr>
                <w:b/>
                <w:color w:val="auto"/>
                <w:sz w:val="24"/>
                <w:highlight w:val="none"/>
              </w:rPr>
            </w:pPr>
            <w:r>
              <w:rPr>
                <w:b/>
                <w:color w:val="auto"/>
                <w:sz w:val="24"/>
                <w:highlight w:val="none"/>
              </w:rPr>
              <w:t>规模</w:t>
            </w:r>
          </w:p>
        </w:tc>
        <w:tc>
          <w:tcPr>
            <w:tcW w:w="1168" w:type="dxa"/>
            <w:vAlign w:val="center"/>
          </w:tcPr>
          <w:p>
            <w:pPr>
              <w:adjustRightInd w:val="0"/>
              <w:snapToGrid w:val="0"/>
              <w:jc w:val="center"/>
              <w:rPr>
                <w:b/>
                <w:color w:val="auto"/>
                <w:sz w:val="24"/>
                <w:highlight w:val="none"/>
              </w:rPr>
            </w:pPr>
            <w:r>
              <w:rPr>
                <w:b/>
                <w:color w:val="auto"/>
                <w:sz w:val="24"/>
                <w:highlight w:val="none"/>
              </w:rPr>
              <w:t>制造商所属性别</w:t>
            </w:r>
          </w:p>
        </w:tc>
        <w:tc>
          <w:tcPr>
            <w:tcW w:w="1168" w:type="dxa"/>
            <w:vAlign w:val="center"/>
          </w:tcPr>
          <w:p>
            <w:pPr>
              <w:adjustRightInd w:val="0"/>
              <w:snapToGrid w:val="0"/>
              <w:jc w:val="center"/>
              <w:rPr>
                <w:b/>
                <w:color w:val="auto"/>
                <w:sz w:val="24"/>
                <w:highlight w:val="none"/>
              </w:rPr>
            </w:pPr>
            <w:r>
              <w:rPr>
                <w:b/>
                <w:color w:val="auto"/>
                <w:sz w:val="24"/>
                <w:highlight w:val="none"/>
              </w:rPr>
              <w:t>外商投资类型</w:t>
            </w:r>
          </w:p>
        </w:tc>
        <w:tc>
          <w:tcPr>
            <w:tcW w:w="1168" w:type="dxa"/>
            <w:vAlign w:val="center"/>
          </w:tcPr>
          <w:p>
            <w:pPr>
              <w:adjustRightInd w:val="0"/>
              <w:snapToGrid w:val="0"/>
              <w:jc w:val="center"/>
              <w:rPr>
                <w:b/>
                <w:color w:val="auto"/>
                <w:sz w:val="24"/>
                <w:highlight w:val="none"/>
              </w:rPr>
            </w:pPr>
            <w:r>
              <w:rPr>
                <w:b/>
                <w:color w:val="auto"/>
                <w:sz w:val="24"/>
                <w:highlight w:val="none"/>
              </w:rPr>
              <w:t>品牌</w:t>
            </w:r>
          </w:p>
        </w:tc>
        <w:tc>
          <w:tcPr>
            <w:tcW w:w="1168" w:type="dxa"/>
            <w:vAlign w:val="center"/>
          </w:tcPr>
          <w:p>
            <w:pPr>
              <w:adjustRightInd w:val="0"/>
              <w:snapToGrid w:val="0"/>
              <w:jc w:val="center"/>
              <w:rPr>
                <w:b/>
                <w:color w:val="auto"/>
                <w:sz w:val="24"/>
                <w:highlight w:val="none"/>
              </w:rPr>
            </w:pPr>
            <w:r>
              <w:rPr>
                <w:b/>
                <w:color w:val="auto"/>
                <w:sz w:val="24"/>
                <w:highlight w:val="none"/>
              </w:rPr>
              <w:t>规格、型号</w:t>
            </w:r>
          </w:p>
        </w:tc>
        <w:tc>
          <w:tcPr>
            <w:tcW w:w="956" w:type="dxa"/>
            <w:vAlign w:val="center"/>
          </w:tcPr>
          <w:p>
            <w:pPr>
              <w:adjustRightInd w:val="0"/>
              <w:snapToGrid w:val="0"/>
              <w:jc w:val="center"/>
              <w:rPr>
                <w:b/>
                <w:color w:val="auto"/>
                <w:sz w:val="24"/>
                <w:highlight w:val="none"/>
              </w:rPr>
            </w:pPr>
            <w:r>
              <w:rPr>
                <w:b/>
                <w:color w:val="auto"/>
                <w:sz w:val="24"/>
                <w:highlight w:val="none"/>
              </w:rPr>
              <w:t>单价（元）</w:t>
            </w:r>
          </w:p>
        </w:tc>
        <w:tc>
          <w:tcPr>
            <w:tcW w:w="777" w:type="dxa"/>
            <w:gridSpan w:val="2"/>
            <w:vAlign w:val="center"/>
          </w:tcPr>
          <w:p>
            <w:pPr>
              <w:adjustRightInd w:val="0"/>
              <w:snapToGrid w:val="0"/>
              <w:jc w:val="center"/>
              <w:rPr>
                <w:b/>
                <w:color w:val="auto"/>
                <w:sz w:val="24"/>
                <w:highlight w:val="none"/>
              </w:rPr>
            </w:pPr>
            <w:r>
              <w:rPr>
                <w:b/>
                <w:color w:val="auto"/>
                <w:sz w:val="24"/>
                <w:highlight w:val="none"/>
              </w:rPr>
              <w:t>数量</w:t>
            </w:r>
          </w:p>
        </w:tc>
        <w:tc>
          <w:tcPr>
            <w:tcW w:w="963" w:type="dxa"/>
            <w:gridSpan w:val="2"/>
            <w:vAlign w:val="center"/>
          </w:tcPr>
          <w:p>
            <w:pPr>
              <w:adjustRightInd w:val="0"/>
              <w:snapToGrid w:val="0"/>
              <w:jc w:val="center"/>
              <w:rPr>
                <w:b/>
                <w:color w:val="auto"/>
                <w:sz w:val="24"/>
                <w:highlight w:val="none"/>
              </w:rPr>
            </w:pPr>
            <w:r>
              <w:rPr>
                <w:b/>
                <w:color w:val="auto"/>
                <w:sz w:val="24"/>
                <w:highlight w:val="none"/>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auto"/>
                <w:sz w:val="24"/>
                <w:highlight w:val="none"/>
              </w:rPr>
            </w:pPr>
            <w:r>
              <w:rPr>
                <w:color w:val="auto"/>
                <w:sz w:val="24"/>
                <w:highlight w:val="none"/>
              </w:rPr>
              <w:t>1</w:t>
            </w:r>
          </w:p>
        </w:tc>
        <w:tc>
          <w:tcPr>
            <w:tcW w:w="978" w:type="dxa"/>
            <w:vAlign w:val="center"/>
          </w:tcPr>
          <w:p>
            <w:pPr>
              <w:adjustRightInd w:val="0"/>
              <w:snapToGrid w:val="0"/>
              <w:jc w:val="left"/>
              <w:rPr>
                <w:color w:val="auto"/>
                <w:sz w:val="24"/>
                <w:highlight w:val="none"/>
              </w:rPr>
            </w:pPr>
          </w:p>
        </w:tc>
        <w:tc>
          <w:tcPr>
            <w:tcW w:w="1238" w:type="dxa"/>
            <w:vAlign w:val="center"/>
          </w:tcPr>
          <w:p>
            <w:pPr>
              <w:adjustRightInd w:val="0"/>
              <w:snapToGrid w:val="0"/>
              <w:jc w:val="left"/>
              <w:rPr>
                <w:color w:val="auto"/>
                <w:sz w:val="24"/>
                <w:highlight w:val="none"/>
              </w:rPr>
            </w:pPr>
          </w:p>
        </w:tc>
        <w:tc>
          <w:tcPr>
            <w:tcW w:w="880" w:type="dxa"/>
          </w:tcPr>
          <w:p>
            <w:pPr>
              <w:adjustRightInd w:val="0"/>
              <w:snapToGrid w:val="0"/>
              <w:jc w:val="left"/>
              <w:rPr>
                <w:color w:val="auto"/>
                <w:sz w:val="24"/>
                <w:highlight w:val="none"/>
              </w:rPr>
            </w:pPr>
          </w:p>
        </w:tc>
        <w:tc>
          <w:tcPr>
            <w:tcW w:w="161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left"/>
              <w:rPr>
                <w:color w:val="auto"/>
                <w:sz w:val="24"/>
                <w:highlight w:val="none"/>
              </w:rPr>
            </w:pPr>
          </w:p>
        </w:tc>
        <w:tc>
          <w:tcPr>
            <w:tcW w:w="956" w:type="dxa"/>
            <w:vAlign w:val="center"/>
          </w:tcPr>
          <w:p>
            <w:pPr>
              <w:adjustRightInd w:val="0"/>
              <w:snapToGrid w:val="0"/>
              <w:jc w:val="left"/>
              <w:rPr>
                <w:color w:val="auto"/>
                <w:sz w:val="24"/>
                <w:highlight w:val="none"/>
              </w:rPr>
            </w:pPr>
          </w:p>
        </w:tc>
        <w:tc>
          <w:tcPr>
            <w:tcW w:w="777" w:type="dxa"/>
            <w:gridSpan w:val="2"/>
            <w:vAlign w:val="center"/>
          </w:tcPr>
          <w:p>
            <w:pPr>
              <w:adjustRightInd w:val="0"/>
              <w:snapToGrid w:val="0"/>
              <w:jc w:val="left"/>
              <w:rPr>
                <w:color w:val="auto"/>
                <w:sz w:val="24"/>
                <w:highlight w:val="none"/>
              </w:rPr>
            </w:pPr>
          </w:p>
        </w:tc>
        <w:tc>
          <w:tcPr>
            <w:tcW w:w="963" w:type="dxa"/>
            <w:gridSpan w:val="2"/>
            <w:vAlign w:val="center"/>
          </w:tcPr>
          <w:p>
            <w:pPr>
              <w:adjustRightInd w:val="0"/>
              <w:snapToGrid w:val="0"/>
              <w:jc w:val="left"/>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auto"/>
                <w:sz w:val="24"/>
                <w:highlight w:val="none"/>
              </w:rPr>
            </w:pPr>
            <w:r>
              <w:rPr>
                <w:color w:val="auto"/>
                <w:sz w:val="24"/>
                <w:highlight w:val="none"/>
              </w:rPr>
              <w:t>2</w:t>
            </w:r>
          </w:p>
        </w:tc>
        <w:tc>
          <w:tcPr>
            <w:tcW w:w="978" w:type="dxa"/>
            <w:vAlign w:val="center"/>
          </w:tcPr>
          <w:p>
            <w:pPr>
              <w:adjustRightInd w:val="0"/>
              <w:snapToGrid w:val="0"/>
              <w:jc w:val="left"/>
              <w:rPr>
                <w:color w:val="auto"/>
                <w:sz w:val="24"/>
                <w:highlight w:val="none"/>
              </w:rPr>
            </w:pPr>
          </w:p>
        </w:tc>
        <w:tc>
          <w:tcPr>
            <w:tcW w:w="1238" w:type="dxa"/>
            <w:vAlign w:val="center"/>
          </w:tcPr>
          <w:p>
            <w:pPr>
              <w:adjustRightInd w:val="0"/>
              <w:snapToGrid w:val="0"/>
              <w:jc w:val="left"/>
              <w:rPr>
                <w:color w:val="auto"/>
                <w:sz w:val="24"/>
                <w:highlight w:val="none"/>
              </w:rPr>
            </w:pPr>
          </w:p>
        </w:tc>
        <w:tc>
          <w:tcPr>
            <w:tcW w:w="880" w:type="dxa"/>
          </w:tcPr>
          <w:p>
            <w:pPr>
              <w:adjustRightInd w:val="0"/>
              <w:snapToGrid w:val="0"/>
              <w:jc w:val="left"/>
              <w:rPr>
                <w:color w:val="auto"/>
                <w:sz w:val="24"/>
                <w:highlight w:val="none"/>
              </w:rPr>
            </w:pPr>
          </w:p>
        </w:tc>
        <w:tc>
          <w:tcPr>
            <w:tcW w:w="161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left"/>
              <w:rPr>
                <w:color w:val="auto"/>
                <w:sz w:val="24"/>
                <w:highlight w:val="none"/>
              </w:rPr>
            </w:pPr>
          </w:p>
        </w:tc>
        <w:tc>
          <w:tcPr>
            <w:tcW w:w="956" w:type="dxa"/>
            <w:vAlign w:val="center"/>
          </w:tcPr>
          <w:p>
            <w:pPr>
              <w:adjustRightInd w:val="0"/>
              <w:snapToGrid w:val="0"/>
              <w:jc w:val="left"/>
              <w:rPr>
                <w:color w:val="auto"/>
                <w:sz w:val="24"/>
                <w:highlight w:val="none"/>
              </w:rPr>
            </w:pPr>
          </w:p>
        </w:tc>
        <w:tc>
          <w:tcPr>
            <w:tcW w:w="777" w:type="dxa"/>
            <w:gridSpan w:val="2"/>
            <w:vAlign w:val="center"/>
          </w:tcPr>
          <w:p>
            <w:pPr>
              <w:adjustRightInd w:val="0"/>
              <w:snapToGrid w:val="0"/>
              <w:jc w:val="left"/>
              <w:rPr>
                <w:color w:val="auto"/>
                <w:sz w:val="24"/>
                <w:highlight w:val="none"/>
              </w:rPr>
            </w:pPr>
          </w:p>
        </w:tc>
        <w:tc>
          <w:tcPr>
            <w:tcW w:w="963" w:type="dxa"/>
            <w:gridSpan w:val="2"/>
            <w:vAlign w:val="center"/>
          </w:tcPr>
          <w:p>
            <w:pPr>
              <w:adjustRightInd w:val="0"/>
              <w:snapToGrid w:val="0"/>
              <w:jc w:val="left"/>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auto"/>
                <w:sz w:val="24"/>
                <w:highlight w:val="none"/>
              </w:rPr>
            </w:pPr>
            <w:r>
              <w:rPr>
                <w:color w:val="auto"/>
                <w:sz w:val="24"/>
                <w:highlight w:val="none"/>
              </w:rPr>
              <w:t>3</w:t>
            </w:r>
          </w:p>
        </w:tc>
        <w:tc>
          <w:tcPr>
            <w:tcW w:w="978" w:type="dxa"/>
            <w:vAlign w:val="center"/>
          </w:tcPr>
          <w:p>
            <w:pPr>
              <w:adjustRightInd w:val="0"/>
              <w:snapToGrid w:val="0"/>
              <w:jc w:val="left"/>
              <w:rPr>
                <w:color w:val="auto"/>
                <w:sz w:val="24"/>
                <w:highlight w:val="none"/>
              </w:rPr>
            </w:pPr>
          </w:p>
        </w:tc>
        <w:tc>
          <w:tcPr>
            <w:tcW w:w="1238" w:type="dxa"/>
            <w:vAlign w:val="center"/>
          </w:tcPr>
          <w:p>
            <w:pPr>
              <w:adjustRightInd w:val="0"/>
              <w:snapToGrid w:val="0"/>
              <w:jc w:val="left"/>
              <w:rPr>
                <w:color w:val="auto"/>
                <w:sz w:val="24"/>
                <w:highlight w:val="none"/>
              </w:rPr>
            </w:pPr>
          </w:p>
        </w:tc>
        <w:tc>
          <w:tcPr>
            <w:tcW w:w="880" w:type="dxa"/>
          </w:tcPr>
          <w:p>
            <w:pPr>
              <w:adjustRightInd w:val="0"/>
              <w:snapToGrid w:val="0"/>
              <w:jc w:val="left"/>
              <w:rPr>
                <w:color w:val="auto"/>
                <w:sz w:val="24"/>
                <w:highlight w:val="none"/>
              </w:rPr>
            </w:pPr>
          </w:p>
        </w:tc>
        <w:tc>
          <w:tcPr>
            <w:tcW w:w="161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left"/>
              <w:rPr>
                <w:color w:val="auto"/>
                <w:sz w:val="24"/>
                <w:highlight w:val="none"/>
              </w:rPr>
            </w:pPr>
          </w:p>
        </w:tc>
        <w:tc>
          <w:tcPr>
            <w:tcW w:w="956" w:type="dxa"/>
            <w:vAlign w:val="center"/>
          </w:tcPr>
          <w:p>
            <w:pPr>
              <w:adjustRightInd w:val="0"/>
              <w:snapToGrid w:val="0"/>
              <w:jc w:val="left"/>
              <w:rPr>
                <w:color w:val="auto"/>
                <w:sz w:val="24"/>
                <w:highlight w:val="none"/>
              </w:rPr>
            </w:pPr>
          </w:p>
        </w:tc>
        <w:tc>
          <w:tcPr>
            <w:tcW w:w="777" w:type="dxa"/>
            <w:gridSpan w:val="2"/>
            <w:vAlign w:val="center"/>
          </w:tcPr>
          <w:p>
            <w:pPr>
              <w:adjustRightInd w:val="0"/>
              <w:snapToGrid w:val="0"/>
              <w:jc w:val="left"/>
              <w:rPr>
                <w:color w:val="auto"/>
                <w:sz w:val="24"/>
                <w:highlight w:val="none"/>
              </w:rPr>
            </w:pPr>
          </w:p>
        </w:tc>
        <w:tc>
          <w:tcPr>
            <w:tcW w:w="963" w:type="dxa"/>
            <w:gridSpan w:val="2"/>
            <w:vAlign w:val="center"/>
          </w:tcPr>
          <w:p>
            <w:pPr>
              <w:adjustRightInd w:val="0"/>
              <w:snapToGrid w:val="0"/>
              <w:jc w:val="left"/>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auto"/>
                <w:sz w:val="24"/>
                <w:highlight w:val="none"/>
              </w:rPr>
            </w:pPr>
            <w:r>
              <w:rPr>
                <w:color w:val="auto"/>
                <w:sz w:val="24"/>
                <w:highlight w:val="none"/>
              </w:rPr>
              <w:t>4</w:t>
            </w:r>
          </w:p>
        </w:tc>
        <w:tc>
          <w:tcPr>
            <w:tcW w:w="978" w:type="dxa"/>
            <w:vAlign w:val="center"/>
          </w:tcPr>
          <w:p>
            <w:pPr>
              <w:adjustRightInd w:val="0"/>
              <w:snapToGrid w:val="0"/>
              <w:jc w:val="left"/>
              <w:rPr>
                <w:color w:val="auto"/>
                <w:sz w:val="24"/>
                <w:highlight w:val="none"/>
              </w:rPr>
            </w:pPr>
          </w:p>
        </w:tc>
        <w:tc>
          <w:tcPr>
            <w:tcW w:w="1238" w:type="dxa"/>
            <w:vAlign w:val="center"/>
          </w:tcPr>
          <w:p>
            <w:pPr>
              <w:adjustRightInd w:val="0"/>
              <w:snapToGrid w:val="0"/>
              <w:jc w:val="left"/>
              <w:rPr>
                <w:color w:val="auto"/>
                <w:sz w:val="24"/>
                <w:highlight w:val="none"/>
              </w:rPr>
            </w:pPr>
          </w:p>
        </w:tc>
        <w:tc>
          <w:tcPr>
            <w:tcW w:w="880" w:type="dxa"/>
          </w:tcPr>
          <w:p>
            <w:pPr>
              <w:adjustRightInd w:val="0"/>
              <w:snapToGrid w:val="0"/>
              <w:jc w:val="left"/>
              <w:rPr>
                <w:color w:val="auto"/>
                <w:sz w:val="24"/>
                <w:highlight w:val="none"/>
              </w:rPr>
            </w:pPr>
          </w:p>
        </w:tc>
        <w:tc>
          <w:tcPr>
            <w:tcW w:w="161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left"/>
              <w:rPr>
                <w:color w:val="auto"/>
                <w:sz w:val="24"/>
                <w:highlight w:val="none"/>
              </w:rPr>
            </w:pPr>
          </w:p>
        </w:tc>
        <w:tc>
          <w:tcPr>
            <w:tcW w:w="956" w:type="dxa"/>
            <w:vAlign w:val="center"/>
          </w:tcPr>
          <w:p>
            <w:pPr>
              <w:adjustRightInd w:val="0"/>
              <w:snapToGrid w:val="0"/>
              <w:jc w:val="left"/>
              <w:rPr>
                <w:color w:val="auto"/>
                <w:sz w:val="24"/>
                <w:highlight w:val="none"/>
              </w:rPr>
            </w:pPr>
          </w:p>
        </w:tc>
        <w:tc>
          <w:tcPr>
            <w:tcW w:w="777" w:type="dxa"/>
            <w:gridSpan w:val="2"/>
            <w:vAlign w:val="center"/>
          </w:tcPr>
          <w:p>
            <w:pPr>
              <w:adjustRightInd w:val="0"/>
              <w:snapToGrid w:val="0"/>
              <w:jc w:val="left"/>
              <w:rPr>
                <w:color w:val="auto"/>
                <w:sz w:val="24"/>
                <w:highlight w:val="none"/>
              </w:rPr>
            </w:pPr>
          </w:p>
        </w:tc>
        <w:tc>
          <w:tcPr>
            <w:tcW w:w="963" w:type="dxa"/>
            <w:gridSpan w:val="2"/>
            <w:vAlign w:val="center"/>
          </w:tcPr>
          <w:p>
            <w:pPr>
              <w:adjustRightInd w:val="0"/>
              <w:snapToGrid w:val="0"/>
              <w:jc w:val="left"/>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auto"/>
                <w:sz w:val="24"/>
                <w:highlight w:val="none"/>
              </w:rPr>
            </w:pPr>
            <w:r>
              <w:rPr>
                <w:color w:val="auto"/>
                <w:sz w:val="24"/>
                <w:highlight w:val="none"/>
              </w:rPr>
              <w:t>…</w:t>
            </w:r>
          </w:p>
        </w:tc>
        <w:tc>
          <w:tcPr>
            <w:tcW w:w="978" w:type="dxa"/>
            <w:vAlign w:val="center"/>
          </w:tcPr>
          <w:p>
            <w:pPr>
              <w:adjustRightInd w:val="0"/>
              <w:snapToGrid w:val="0"/>
              <w:jc w:val="left"/>
              <w:rPr>
                <w:color w:val="auto"/>
                <w:sz w:val="24"/>
                <w:highlight w:val="none"/>
              </w:rPr>
            </w:pPr>
          </w:p>
        </w:tc>
        <w:tc>
          <w:tcPr>
            <w:tcW w:w="1238" w:type="dxa"/>
            <w:vAlign w:val="center"/>
          </w:tcPr>
          <w:p>
            <w:pPr>
              <w:adjustRightInd w:val="0"/>
              <w:snapToGrid w:val="0"/>
              <w:jc w:val="left"/>
              <w:rPr>
                <w:color w:val="auto"/>
                <w:sz w:val="24"/>
                <w:highlight w:val="none"/>
              </w:rPr>
            </w:pPr>
          </w:p>
        </w:tc>
        <w:tc>
          <w:tcPr>
            <w:tcW w:w="880" w:type="dxa"/>
          </w:tcPr>
          <w:p>
            <w:pPr>
              <w:adjustRightInd w:val="0"/>
              <w:snapToGrid w:val="0"/>
              <w:jc w:val="left"/>
              <w:rPr>
                <w:color w:val="auto"/>
                <w:sz w:val="24"/>
                <w:highlight w:val="none"/>
              </w:rPr>
            </w:pPr>
          </w:p>
        </w:tc>
        <w:tc>
          <w:tcPr>
            <w:tcW w:w="161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tcPr>
          <w:p>
            <w:pPr>
              <w:adjustRightInd w:val="0"/>
              <w:snapToGrid w:val="0"/>
              <w:jc w:val="center"/>
              <w:rPr>
                <w:color w:val="auto"/>
                <w:sz w:val="24"/>
                <w:highlight w:val="none"/>
              </w:rPr>
            </w:pPr>
          </w:p>
        </w:tc>
        <w:tc>
          <w:tcPr>
            <w:tcW w:w="1168" w:type="dxa"/>
            <w:vAlign w:val="center"/>
          </w:tcPr>
          <w:p>
            <w:pPr>
              <w:adjustRightInd w:val="0"/>
              <w:snapToGrid w:val="0"/>
              <w:jc w:val="center"/>
              <w:rPr>
                <w:color w:val="auto"/>
                <w:sz w:val="24"/>
                <w:highlight w:val="none"/>
              </w:rPr>
            </w:pPr>
          </w:p>
        </w:tc>
        <w:tc>
          <w:tcPr>
            <w:tcW w:w="1168" w:type="dxa"/>
            <w:vAlign w:val="center"/>
          </w:tcPr>
          <w:p>
            <w:pPr>
              <w:adjustRightInd w:val="0"/>
              <w:snapToGrid w:val="0"/>
              <w:jc w:val="left"/>
              <w:rPr>
                <w:color w:val="auto"/>
                <w:sz w:val="24"/>
                <w:highlight w:val="none"/>
              </w:rPr>
            </w:pPr>
          </w:p>
        </w:tc>
        <w:tc>
          <w:tcPr>
            <w:tcW w:w="956" w:type="dxa"/>
            <w:vAlign w:val="center"/>
          </w:tcPr>
          <w:p>
            <w:pPr>
              <w:adjustRightInd w:val="0"/>
              <w:snapToGrid w:val="0"/>
              <w:jc w:val="left"/>
              <w:rPr>
                <w:color w:val="auto"/>
                <w:sz w:val="24"/>
                <w:highlight w:val="none"/>
              </w:rPr>
            </w:pPr>
          </w:p>
        </w:tc>
        <w:tc>
          <w:tcPr>
            <w:tcW w:w="777" w:type="dxa"/>
            <w:gridSpan w:val="2"/>
            <w:vAlign w:val="center"/>
          </w:tcPr>
          <w:p>
            <w:pPr>
              <w:adjustRightInd w:val="0"/>
              <w:snapToGrid w:val="0"/>
              <w:jc w:val="left"/>
              <w:rPr>
                <w:color w:val="auto"/>
                <w:sz w:val="24"/>
                <w:highlight w:val="none"/>
              </w:rPr>
            </w:pPr>
          </w:p>
        </w:tc>
        <w:tc>
          <w:tcPr>
            <w:tcW w:w="963" w:type="dxa"/>
            <w:gridSpan w:val="2"/>
            <w:vAlign w:val="center"/>
          </w:tcPr>
          <w:p>
            <w:pPr>
              <w:adjustRightInd w:val="0"/>
              <w:snapToGrid w:val="0"/>
              <w:jc w:val="left"/>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7" w:type="dxa"/>
            <w:gridSpan w:val="12"/>
            <w:vAlign w:val="center"/>
          </w:tcPr>
          <w:p>
            <w:pPr>
              <w:adjustRightInd w:val="0"/>
              <w:snapToGrid w:val="0"/>
              <w:jc w:val="right"/>
              <w:rPr>
                <w:b/>
                <w:bCs/>
                <w:color w:val="auto"/>
                <w:sz w:val="24"/>
                <w:highlight w:val="none"/>
              </w:rPr>
            </w:pPr>
            <w:r>
              <w:rPr>
                <w:rFonts w:hint="eastAsia"/>
                <w:b/>
                <w:bCs/>
                <w:color w:val="auto"/>
                <w:sz w:val="24"/>
                <w:highlight w:val="none"/>
              </w:rPr>
              <w:t>总价（元）</w:t>
            </w:r>
          </w:p>
        </w:tc>
        <w:tc>
          <w:tcPr>
            <w:tcW w:w="778" w:type="dxa"/>
            <w:gridSpan w:val="2"/>
            <w:vAlign w:val="center"/>
          </w:tcPr>
          <w:p>
            <w:pPr>
              <w:adjustRightInd w:val="0"/>
              <w:snapToGrid w:val="0"/>
              <w:jc w:val="left"/>
              <w:rPr>
                <w:color w:val="auto"/>
                <w:sz w:val="24"/>
                <w:highlight w:val="none"/>
              </w:rPr>
            </w:pPr>
          </w:p>
        </w:tc>
        <w:tc>
          <w:tcPr>
            <w:tcW w:w="960" w:type="dxa"/>
            <w:gridSpan w:val="2"/>
            <w:vAlign w:val="center"/>
          </w:tcPr>
          <w:p>
            <w:pPr>
              <w:adjustRightInd w:val="0"/>
              <w:snapToGrid w:val="0"/>
              <w:jc w:val="left"/>
              <w:rPr>
                <w:color w:val="auto"/>
                <w:sz w:val="24"/>
                <w:highlight w:val="none"/>
              </w:rPr>
            </w:pPr>
          </w:p>
        </w:tc>
      </w:tr>
    </w:tbl>
    <w:p>
      <w:pPr>
        <w:adjustRightInd w:val="0"/>
        <w:snapToGrid w:val="0"/>
        <w:jc w:val="left"/>
        <w:rPr>
          <w:b/>
          <w:i/>
          <w:color w:val="auto"/>
          <w:sz w:val="24"/>
          <w:highlight w:val="none"/>
        </w:rPr>
      </w:pPr>
      <w:r>
        <w:rPr>
          <w:b/>
          <w:i/>
          <w:color w:val="auto"/>
          <w:sz w:val="24"/>
          <w:highlight w:val="none"/>
        </w:rPr>
        <w:t>说明：制造商规模请填写</w:t>
      </w:r>
      <w:bookmarkStart w:id="1042" w:name="_Hlk168431944"/>
      <w:r>
        <w:rPr>
          <w:b/>
          <w:i/>
          <w:color w:val="auto"/>
          <w:sz w:val="24"/>
          <w:highlight w:val="none"/>
        </w:rPr>
        <w:t>“</w:t>
      </w:r>
      <w:r>
        <w:rPr>
          <w:rFonts w:hint="eastAsia"/>
          <w:b/>
          <w:i/>
          <w:color w:val="auto"/>
          <w:sz w:val="24"/>
          <w:highlight w:val="none"/>
        </w:rPr>
        <w:t>大</w:t>
      </w:r>
      <w:r>
        <w:rPr>
          <w:b/>
          <w:i/>
          <w:color w:val="auto"/>
          <w:sz w:val="24"/>
          <w:highlight w:val="none"/>
        </w:rPr>
        <w:t>型”、</w:t>
      </w:r>
      <w:bookmarkEnd w:id="1042"/>
      <w:r>
        <w:rPr>
          <w:b/>
          <w:i/>
          <w:color w:val="auto"/>
          <w:sz w:val="24"/>
          <w:highlight w:val="none"/>
        </w:rPr>
        <w:t>“中型”、“小型”、“微型”或“其他”，中小企业的定义见第二章《投标人须知》。</w:t>
      </w:r>
    </w:p>
    <w:p>
      <w:pPr>
        <w:tabs>
          <w:tab w:val="left" w:pos="1800"/>
          <w:tab w:val="left" w:pos="5580"/>
        </w:tabs>
        <w:ind w:firstLine="722" w:firstLineChars="300"/>
        <w:jc w:val="left"/>
        <w:rPr>
          <w:b/>
          <w:i/>
          <w:color w:val="auto"/>
          <w:sz w:val="24"/>
          <w:highlight w:val="none"/>
        </w:rPr>
      </w:pPr>
      <w:r>
        <w:rPr>
          <w:b/>
          <w:i/>
          <w:color w:val="auto"/>
          <w:sz w:val="24"/>
          <w:highlight w:val="none"/>
        </w:rPr>
        <w:t>制造商所属性别请填写“男”</w:t>
      </w:r>
      <w:r>
        <w:rPr>
          <w:rFonts w:hint="eastAsia"/>
          <w:b/>
          <w:i/>
          <w:color w:val="auto"/>
          <w:sz w:val="24"/>
          <w:highlight w:val="none"/>
        </w:rPr>
        <w:t>或</w:t>
      </w:r>
      <w:r>
        <w:rPr>
          <w:b/>
          <w:i/>
          <w:color w:val="auto"/>
          <w:sz w:val="24"/>
          <w:highlight w:val="none"/>
        </w:rPr>
        <w:t>“女”，</w:t>
      </w:r>
      <w:r>
        <w:rPr>
          <w:rFonts w:hint="eastAsia"/>
          <w:color w:val="auto"/>
          <w:sz w:val="24"/>
          <w:highlight w:val="none"/>
        </w:rPr>
        <w:t xml:space="preserve"> 指拥有制造商5</w:t>
      </w:r>
      <w:r>
        <w:rPr>
          <w:color w:val="auto"/>
          <w:sz w:val="24"/>
          <w:highlight w:val="none"/>
        </w:rPr>
        <w:t>1%</w:t>
      </w:r>
      <w:r>
        <w:rPr>
          <w:rFonts w:hint="eastAsia"/>
          <w:color w:val="auto"/>
          <w:sz w:val="24"/>
          <w:highlight w:val="none"/>
        </w:rPr>
        <w:t>以上绝对所有权的性别；绝对所有权拥有者可以是一个人，也可以是多人合计计算</w:t>
      </w:r>
      <w:r>
        <w:rPr>
          <w:bCs/>
          <w:i/>
          <w:color w:val="auto"/>
          <w:sz w:val="24"/>
          <w:highlight w:val="none"/>
        </w:rPr>
        <w:t>。</w:t>
      </w:r>
    </w:p>
    <w:p>
      <w:pPr>
        <w:tabs>
          <w:tab w:val="left" w:pos="1800"/>
          <w:tab w:val="left" w:pos="5580"/>
        </w:tabs>
        <w:ind w:firstLine="722" w:firstLineChars="300"/>
        <w:jc w:val="left"/>
        <w:rPr>
          <w:b/>
          <w:i/>
          <w:color w:val="auto"/>
          <w:sz w:val="24"/>
          <w:highlight w:val="none"/>
        </w:rPr>
      </w:pPr>
      <w:r>
        <w:rPr>
          <w:b/>
          <w:i/>
          <w:color w:val="auto"/>
          <w:sz w:val="24"/>
          <w:highlight w:val="none"/>
        </w:rPr>
        <w:t>外商投资类型请填写“外商单独投资”、“外商部分投资”</w:t>
      </w:r>
      <w:r>
        <w:rPr>
          <w:rFonts w:hint="eastAsia"/>
          <w:b/>
          <w:i/>
          <w:color w:val="auto"/>
          <w:sz w:val="24"/>
          <w:highlight w:val="none"/>
        </w:rPr>
        <w:t>或</w:t>
      </w:r>
      <w:r>
        <w:rPr>
          <w:b/>
          <w:i/>
          <w:color w:val="auto"/>
          <w:sz w:val="24"/>
          <w:highlight w:val="none"/>
        </w:rPr>
        <w:t>“内资”。</w:t>
      </w:r>
    </w:p>
    <w:p>
      <w:pPr>
        <w:tabs>
          <w:tab w:val="left" w:pos="1800"/>
          <w:tab w:val="left" w:pos="5580"/>
        </w:tabs>
        <w:ind w:firstLine="722" w:firstLineChars="300"/>
        <w:jc w:val="left"/>
        <w:rPr>
          <w:b/>
          <w:i/>
          <w:color w:val="auto"/>
          <w:sz w:val="24"/>
          <w:highlight w:val="none"/>
        </w:rPr>
      </w:pPr>
    </w:p>
    <w:p>
      <w:pPr>
        <w:adjustRightInd w:val="0"/>
        <w:snapToGrid w:val="0"/>
        <w:spacing w:before="240" w:beforeLines="100" w:after="240" w:afterLines="100"/>
        <w:jc w:val="left"/>
        <w:rPr>
          <w:b/>
          <w:i/>
          <w:color w:val="auto"/>
          <w:sz w:val="24"/>
          <w:highlight w:val="none"/>
        </w:rPr>
        <w:sectPr>
          <w:pgSz w:w="16840" w:h="11907" w:orient="landscape"/>
          <w:pgMar w:top="1701" w:right="1418" w:bottom="1134" w:left="1418" w:header="851" w:footer="851" w:gutter="0"/>
          <w:pgNumType w:fmt="decimal"/>
          <w:cols w:space="720" w:num="1"/>
          <w:docGrid w:linePitch="462" w:charSpace="0"/>
        </w:sectPr>
      </w:pPr>
    </w:p>
    <w:p>
      <w:pPr>
        <w:spacing w:line="360" w:lineRule="auto"/>
        <w:outlineLvl w:val="2"/>
        <w:rPr>
          <w:rFonts w:hint="eastAsia" w:ascii="宋体" w:hAnsi="宋体"/>
          <w:color w:val="auto"/>
          <w:sz w:val="24"/>
          <w:szCs w:val="20"/>
          <w:highlight w:val="none"/>
        </w:rPr>
      </w:pPr>
      <w:r>
        <w:rPr>
          <w:rFonts w:ascii="宋体" w:hAnsi="宋体"/>
          <w:color w:val="auto"/>
          <w:sz w:val="24"/>
          <w:szCs w:val="20"/>
          <w:highlight w:val="none"/>
        </w:rPr>
        <w:t>5  合同条款偏离表</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r>
        <w:rPr>
          <w:rFonts w:ascii="宋体" w:hAnsi="宋体"/>
          <w:color w:val="auto"/>
          <w:sz w:val="24"/>
          <w:szCs w:val="20"/>
          <w:highlight w:val="none"/>
        </w:rPr>
        <w:t>（实质性格式）</w:t>
      </w:r>
      <w:bookmarkEnd w:id="1028"/>
    </w:p>
    <w:p>
      <w:pPr>
        <w:tabs>
          <w:tab w:val="left" w:pos="2775"/>
          <w:tab w:val="center" w:pos="4153"/>
        </w:tabs>
        <w:autoSpaceDE w:val="0"/>
        <w:autoSpaceDN w:val="0"/>
        <w:adjustRightInd w:val="0"/>
        <w:spacing w:line="360" w:lineRule="auto"/>
        <w:jc w:val="center"/>
        <w:rPr>
          <w:rFonts w:hint="eastAsia" w:ascii="宋体" w:hAnsi="宋体"/>
          <w:b/>
          <w:color w:val="auto"/>
          <w:sz w:val="36"/>
          <w:szCs w:val="36"/>
          <w:highlight w:val="none"/>
        </w:rPr>
      </w:pPr>
      <w:r>
        <w:rPr>
          <w:rFonts w:hint="eastAsia" w:ascii="宋体" w:hAnsi="宋体"/>
          <w:b/>
          <w:color w:val="auto"/>
          <w:sz w:val="36"/>
          <w:szCs w:val="36"/>
          <w:highlight w:val="none"/>
        </w:rPr>
        <w:t>合同条款偏离表</w:t>
      </w:r>
    </w:p>
    <w:p>
      <w:pPr>
        <w:tabs>
          <w:tab w:val="left" w:pos="1800"/>
          <w:tab w:val="left" w:pos="5580"/>
        </w:tabs>
        <w:spacing w:line="360" w:lineRule="auto"/>
        <w:ind w:firstLine="360" w:firstLineChars="150"/>
        <w:jc w:val="left"/>
        <w:rPr>
          <w:rFonts w:hint="eastAsia" w:ascii="宋体" w:hAnsi="宋体"/>
          <w:color w:val="auto"/>
          <w:sz w:val="24"/>
          <w:highlight w:val="none"/>
        </w:rPr>
      </w:pPr>
      <w:r>
        <w:rPr>
          <w:rFonts w:ascii="宋体" w:hAnsi="宋体"/>
          <w:color w:val="auto"/>
          <w:sz w:val="24"/>
          <w:highlight w:val="none"/>
        </w:rPr>
        <w:t>项目编号：_____________________     项目名称：_____________</w:t>
      </w:r>
    </w:p>
    <w:tbl>
      <w:tblPr>
        <w:tblStyle w:val="4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91"/>
        <w:gridCol w:w="1981"/>
        <w:gridCol w:w="1982"/>
        <w:gridCol w:w="2424"/>
        <w:gridCol w:w="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序号</w:t>
            </w:r>
          </w:p>
        </w:tc>
        <w:tc>
          <w:tcPr>
            <w:tcW w:w="1291" w:type="dxa"/>
            <w:vAlign w:val="center"/>
          </w:tcPr>
          <w:p>
            <w:pPr>
              <w:adjustRightInd w:val="0"/>
              <w:snapToGrid w:val="0"/>
              <w:jc w:val="center"/>
              <w:rPr>
                <w:rFonts w:hint="eastAsia" w:ascii="宋体" w:hAnsi="宋体"/>
                <w:color w:val="auto"/>
                <w:sz w:val="24"/>
                <w:highlight w:val="none"/>
              </w:rPr>
            </w:pPr>
            <w:r>
              <w:rPr>
                <w:rFonts w:ascii="宋体" w:hAnsi="宋体"/>
                <w:color w:val="auto"/>
                <w:sz w:val="24"/>
                <w:szCs w:val="21"/>
                <w:highlight w:val="none"/>
              </w:rPr>
              <w:t>招标文件</w:t>
            </w:r>
            <w:r>
              <w:rPr>
                <w:rFonts w:ascii="宋体" w:hAnsi="宋体"/>
                <w:color w:val="auto"/>
                <w:sz w:val="24"/>
                <w:highlight w:val="none"/>
              </w:rPr>
              <w:t>条目号（页码）</w:t>
            </w:r>
          </w:p>
        </w:tc>
        <w:tc>
          <w:tcPr>
            <w:tcW w:w="1981" w:type="dxa"/>
            <w:vAlign w:val="center"/>
          </w:tcPr>
          <w:p>
            <w:pPr>
              <w:adjustRightInd w:val="0"/>
              <w:snapToGrid w:val="0"/>
              <w:jc w:val="center"/>
              <w:rPr>
                <w:rFonts w:hint="eastAsia" w:ascii="宋体" w:hAnsi="宋体"/>
                <w:color w:val="auto"/>
                <w:sz w:val="24"/>
                <w:highlight w:val="none"/>
              </w:rPr>
            </w:pPr>
            <w:r>
              <w:rPr>
                <w:rFonts w:ascii="宋体" w:hAnsi="宋体"/>
                <w:color w:val="auto"/>
                <w:sz w:val="24"/>
                <w:szCs w:val="21"/>
                <w:highlight w:val="none"/>
              </w:rPr>
              <w:t>招标文件</w:t>
            </w:r>
            <w:r>
              <w:rPr>
                <w:rFonts w:ascii="宋体" w:hAnsi="宋体"/>
                <w:color w:val="auto"/>
                <w:sz w:val="24"/>
                <w:highlight w:val="none"/>
              </w:rPr>
              <w:t>要求</w:t>
            </w:r>
          </w:p>
        </w:tc>
        <w:tc>
          <w:tcPr>
            <w:tcW w:w="1982"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投标文件内容</w:t>
            </w:r>
          </w:p>
        </w:tc>
        <w:tc>
          <w:tcPr>
            <w:tcW w:w="2424"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偏离情况</w:t>
            </w:r>
          </w:p>
        </w:tc>
        <w:tc>
          <w:tcPr>
            <w:tcW w:w="782"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pPr>
              <w:adjustRightInd w:val="0"/>
              <w:snapToGrid w:val="0"/>
              <w:jc w:val="left"/>
              <w:rPr>
                <w:rFonts w:hint="eastAsia" w:ascii="宋体" w:hAnsi="宋体"/>
                <w:color w:val="auto"/>
                <w:sz w:val="24"/>
                <w:highlight w:val="none"/>
              </w:rPr>
            </w:pPr>
            <w:r>
              <w:rPr>
                <w:rFonts w:ascii="宋体" w:hAnsi="宋体"/>
                <w:b/>
                <w:bCs/>
                <w:color w:val="auto"/>
                <w:sz w:val="24"/>
                <w:highlight w:val="none"/>
              </w:rPr>
              <w:t>对本项目合同条款的偏离情况</w:t>
            </w:r>
            <w:r>
              <w:rPr>
                <w:rFonts w:ascii="宋体" w:hAnsi="宋体"/>
                <w:color w:val="auto"/>
                <w:sz w:val="24"/>
                <w:highlight w:val="none"/>
              </w:rPr>
              <w:t>（应进行选择，未选择</w:t>
            </w:r>
            <w:r>
              <w:rPr>
                <w:rFonts w:ascii="宋体" w:hAnsi="宋体"/>
                <w:b/>
                <w:bCs/>
                <w:color w:val="auto"/>
                <w:sz w:val="24"/>
                <w:highlight w:val="none"/>
              </w:rPr>
              <w:t>投标无效</w:t>
            </w:r>
            <w:r>
              <w:rPr>
                <w:rFonts w:ascii="宋体" w:hAnsi="宋体"/>
                <w:color w:val="auto"/>
                <w:sz w:val="24"/>
                <w:highlight w:val="none"/>
              </w:rPr>
              <w:t xml:space="preserve">）： </w:t>
            </w:r>
          </w:p>
          <w:p>
            <w:pPr>
              <w:adjustRightInd w:val="0"/>
              <w:snapToGrid w:val="0"/>
              <w:jc w:val="left"/>
              <w:rPr>
                <w:rFonts w:hint="eastAsia" w:ascii="宋体" w:hAnsi="宋体"/>
                <w:color w:val="auto"/>
                <w:sz w:val="24"/>
                <w:highlight w:val="none"/>
              </w:rPr>
            </w:pPr>
            <w:r>
              <w:rPr>
                <w:rFonts w:ascii="宋体" w:hAnsi="宋体"/>
                <w:color w:val="auto"/>
                <w:sz w:val="24"/>
                <w:highlight w:val="none"/>
              </w:rPr>
              <w:t>□</w:t>
            </w:r>
            <w:r>
              <w:rPr>
                <w:rFonts w:ascii="宋体" w:hAnsi="宋体"/>
                <w:b/>
                <w:bCs/>
                <w:color w:val="auto"/>
                <w:sz w:val="24"/>
                <w:highlight w:val="none"/>
              </w:rPr>
              <w:t>无偏离</w:t>
            </w:r>
            <w:r>
              <w:rPr>
                <w:rFonts w:ascii="宋体" w:hAnsi="宋体"/>
                <w:color w:val="auto"/>
                <w:sz w:val="24"/>
                <w:highlight w:val="none"/>
              </w:rPr>
              <w:t xml:space="preserve">（如无偏离，仅选择无偏离即可；无偏离即为对合同条款中的所有要求，均视 作供应商已对之理解和响应。） </w:t>
            </w:r>
          </w:p>
          <w:p>
            <w:pPr>
              <w:adjustRightInd w:val="0"/>
              <w:snapToGrid w:val="0"/>
              <w:jc w:val="left"/>
              <w:rPr>
                <w:rFonts w:hint="eastAsia" w:ascii="宋体" w:hAnsi="宋体"/>
                <w:color w:val="auto"/>
                <w:sz w:val="24"/>
                <w:highlight w:val="none"/>
              </w:rPr>
            </w:pPr>
            <w:r>
              <w:rPr>
                <w:rFonts w:ascii="宋体" w:hAnsi="宋体"/>
                <w:color w:val="auto"/>
                <w:sz w:val="24"/>
                <w:highlight w:val="none"/>
              </w:rPr>
              <w:t>□</w:t>
            </w:r>
            <w:r>
              <w:rPr>
                <w:rFonts w:ascii="宋体" w:hAnsi="宋体"/>
                <w:b/>
                <w:bCs/>
                <w:color w:val="auto"/>
                <w:sz w:val="24"/>
                <w:highlight w:val="none"/>
              </w:rPr>
              <w:t>有偏离</w:t>
            </w:r>
            <w:r>
              <w:rPr>
                <w:rFonts w:ascii="宋体" w:hAnsi="宋体"/>
                <w:color w:val="auto"/>
                <w:sz w:val="24"/>
                <w:highlight w:val="none"/>
              </w:rPr>
              <w:t>（如有偏离，则应在本表中对偏离项逐一列明，否则</w:t>
            </w:r>
            <w:r>
              <w:rPr>
                <w:rFonts w:ascii="宋体" w:hAnsi="宋体"/>
                <w:b/>
                <w:bCs/>
                <w:color w:val="auto"/>
                <w:sz w:val="24"/>
                <w:highlight w:val="none"/>
              </w:rPr>
              <w:t>投标无效</w:t>
            </w:r>
            <w:r>
              <w:rPr>
                <w:rFonts w:ascii="宋体" w:hAnsi="宋体"/>
                <w:color w:val="auto"/>
                <w:sz w:val="24"/>
                <w:highlight w:val="none"/>
              </w:rPr>
              <w:t>；对合同条款中 的所有要求，除本表列明的偏离外，均视作供应商已对之理解和响应。）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rFonts w:hint="eastAsia" w:ascii="宋体" w:hAnsi="宋体"/>
                <w:color w:val="auto"/>
                <w:sz w:val="24"/>
                <w:highlight w:val="none"/>
              </w:rPr>
            </w:pPr>
          </w:p>
        </w:tc>
        <w:tc>
          <w:tcPr>
            <w:tcW w:w="1291" w:type="dxa"/>
            <w:vAlign w:val="center"/>
          </w:tcPr>
          <w:p>
            <w:pPr>
              <w:adjustRightInd w:val="0"/>
              <w:snapToGrid w:val="0"/>
              <w:jc w:val="center"/>
              <w:rPr>
                <w:rFonts w:hint="eastAsia" w:ascii="宋体" w:hAnsi="宋体"/>
                <w:color w:val="auto"/>
                <w:sz w:val="24"/>
                <w:highlight w:val="none"/>
              </w:rPr>
            </w:pPr>
          </w:p>
        </w:tc>
        <w:tc>
          <w:tcPr>
            <w:tcW w:w="1981" w:type="dxa"/>
            <w:vAlign w:val="center"/>
          </w:tcPr>
          <w:p>
            <w:pPr>
              <w:adjustRightInd w:val="0"/>
              <w:snapToGrid w:val="0"/>
              <w:jc w:val="center"/>
              <w:rPr>
                <w:rFonts w:hint="eastAsia" w:ascii="宋体" w:hAnsi="宋体"/>
                <w:color w:val="auto"/>
                <w:sz w:val="24"/>
                <w:highlight w:val="none"/>
              </w:rPr>
            </w:pPr>
          </w:p>
        </w:tc>
        <w:tc>
          <w:tcPr>
            <w:tcW w:w="1982" w:type="dxa"/>
            <w:vAlign w:val="center"/>
          </w:tcPr>
          <w:p>
            <w:pPr>
              <w:adjustRightInd w:val="0"/>
              <w:snapToGrid w:val="0"/>
              <w:jc w:val="center"/>
              <w:rPr>
                <w:rFonts w:hint="eastAsia" w:ascii="宋体" w:hAnsi="宋体"/>
                <w:color w:val="auto"/>
                <w:sz w:val="24"/>
                <w:highlight w:val="none"/>
              </w:rPr>
            </w:pPr>
          </w:p>
        </w:tc>
        <w:tc>
          <w:tcPr>
            <w:tcW w:w="2424" w:type="dxa"/>
            <w:vAlign w:val="center"/>
          </w:tcPr>
          <w:p>
            <w:pPr>
              <w:adjustRightInd w:val="0"/>
              <w:snapToGrid w:val="0"/>
              <w:jc w:val="center"/>
              <w:rPr>
                <w:rFonts w:hint="eastAsia" w:ascii="宋体" w:hAnsi="宋体"/>
                <w:color w:val="auto"/>
                <w:sz w:val="24"/>
                <w:highlight w:val="none"/>
              </w:rPr>
            </w:pPr>
          </w:p>
        </w:tc>
        <w:tc>
          <w:tcPr>
            <w:tcW w:w="782"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rFonts w:hint="eastAsia" w:ascii="宋体" w:hAnsi="宋体"/>
                <w:color w:val="auto"/>
                <w:sz w:val="24"/>
                <w:highlight w:val="none"/>
              </w:rPr>
            </w:pPr>
          </w:p>
        </w:tc>
        <w:tc>
          <w:tcPr>
            <w:tcW w:w="1291" w:type="dxa"/>
            <w:vAlign w:val="center"/>
          </w:tcPr>
          <w:p>
            <w:pPr>
              <w:adjustRightInd w:val="0"/>
              <w:snapToGrid w:val="0"/>
              <w:jc w:val="center"/>
              <w:rPr>
                <w:rFonts w:hint="eastAsia" w:ascii="宋体" w:hAnsi="宋体"/>
                <w:color w:val="auto"/>
                <w:sz w:val="24"/>
                <w:highlight w:val="none"/>
              </w:rPr>
            </w:pPr>
          </w:p>
        </w:tc>
        <w:tc>
          <w:tcPr>
            <w:tcW w:w="1981" w:type="dxa"/>
            <w:vAlign w:val="center"/>
          </w:tcPr>
          <w:p>
            <w:pPr>
              <w:adjustRightInd w:val="0"/>
              <w:snapToGrid w:val="0"/>
              <w:jc w:val="center"/>
              <w:rPr>
                <w:rFonts w:hint="eastAsia" w:ascii="宋体" w:hAnsi="宋体"/>
                <w:color w:val="auto"/>
                <w:sz w:val="24"/>
                <w:highlight w:val="none"/>
              </w:rPr>
            </w:pPr>
          </w:p>
        </w:tc>
        <w:tc>
          <w:tcPr>
            <w:tcW w:w="1982" w:type="dxa"/>
            <w:vAlign w:val="center"/>
          </w:tcPr>
          <w:p>
            <w:pPr>
              <w:adjustRightInd w:val="0"/>
              <w:snapToGrid w:val="0"/>
              <w:jc w:val="center"/>
              <w:rPr>
                <w:rFonts w:hint="eastAsia" w:ascii="宋体" w:hAnsi="宋体"/>
                <w:color w:val="auto"/>
                <w:sz w:val="24"/>
                <w:highlight w:val="none"/>
              </w:rPr>
            </w:pPr>
          </w:p>
        </w:tc>
        <w:tc>
          <w:tcPr>
            <w:tcW w:w="2424" w:type="dxa"/>
            <w:vAlign w:val="center"/>
          </w:tcPr>
          <w:p>
            <w:pPr>
              <w:adjustRightInd w:val="0"/>
              <w:snapToGrid w:val="0"/>
              <w:jc w:val="center"/>
              <w:rPr>
                <w:rFonts w:hint="eastAsia" w:ascii="宋体" w:hAnsi="宋体"/>
                <w:color w:val="auto"/>
                <w:sz w:val="24"/>
                <w:highlight w:val="none"/>
              </w:rPr>
            </w:pPr>
          </w:p>
        </w:tc>
        <w:tc>
          <w:tcPr>
            <w:tcW w:w="782"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rFonts w:hint="eastAsia" w:ascii="宋体" w:hAnsi="宋体"/>
                <w:color w:val="auto"/>
                <w:sz w:val="24"/>
                <w:highlight w:val="none"/>
              </w:rPr>
            </w:pPr>
          </w:p>
        </w:tc>
        <w:tc>
          <w:tcPr>
            <w:tcW w:w="1291" w:type="dxa"/>
            <w:vAlign w:val="center"/>
          </w:tcPr>
          <w:p>
            <w:pPr>
              <w:adjustRightInd w:val="0"/>
              <w:snapToGrid w:val="0"/>
              <w:jc w:val="center"/>
              <w:rPr>
                <w:rFonts w:hint="eastAsia" w:ascii="宋体" w:hAnsi="宋体"/>
                <w:color w:val="auto"/>
                <w:sz w:val="24"/>
                <w:highlight w:val="none"/>
              </w:rPr>
            </w:pPr>
          </w:p>
        </w:tc>
        <w:tc>
          <w:tcPr>
            <w:tcW w:w="1981" w:type="dxa"/>
            <w:vAlign w:val="center"/>
          </w:tcPr>
          <w:p>
            <w:pPr>
              <w:adjustRightInd w:val="0"/>
              <w:snapToGrid w:val="0"/>
              <w:jc w:val="center"/>
              <w:rPr>
                <w:rFonts w:hint="eastAsia" w:ascii="宋体" w:hAnsi="宋体"/>
                <w:color w:val="auto"/>
                <w:sz w:val="24"/>
                <w:highlight w:val="none"/>
              </w:rPr>
            </w:pPr>
          </w:p>
        </w:tc>
        <w:tc>
          <w:tcPr>
            <w:tcW w:w="1982" w:type="dxa"/>
            <w:vAlign w:val="center"/>
          </w:tcPr>
          <w:p>
            <w:pPr>
              <w:adjustRightInd w:val="0"/>
              <w:snapToGrid w:val="0"/>
              <w:jc w:val="center"/>
              <w:rPr>
                <w:rFonts w:hint="eastAsia" w:ascii="宋体" w:hAnsi="宋体"/>
                <w:color w:val="auto"/>
                <w:sz w:val="24"/>
                <w:highlight w:val="none"/>
              </w:rPr>
            </w:pPr>
          </w:p>
        </w:tc>
        <w:tc>
          <w:tcPr>
            <w:tcW w:w="2424" w:type="dxa"/>
            <w:vAlign w:val="center"/>
          </w:tcPr>
          <w:p>
            <w:pPr>
              <w:adjustRightInd w:val="0"/>
              <w:snapToGrid w:val="0"/>
              <w:jc w:val="center"/>
              <w:rPr>
                <w:rFonts w:hint="eastAsia" w:ascii="宋体" w:hAnsi="宋体"/>
                <w:color w:val="auto"/>
                <w:sz w:val="24"/>
                <w:highlight w:val="none"/>
              </w:rPr>
            </w:pPr>
          </w:p>
        </w:tc>
        <w:tc>
          <w:tcPr>
            <w:tcW w:w="782"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pPr>
              <w:adjustRightInd w:val="0"/>
              <w:snapToGrid w:val="0"/>
              <w:jc w:val="center"/>
              <w:rPr>
                <w:rFonts w:hint="eastAsia" w:ascii="宋体" w:hAnsi="宋体"/>
                <w:color w:val="auto"/>
                <w:sz w:val="24"/>
                <w:highlight w:val="none"/>
              </w:rPr>
            </w:pPr>
          </w:p>
        </w:tc>
        <w:tc>
          <w:tcPr>
            <w:tcW w:w="1291" w:type="dxa"/>
            <w:vAlign w:val="center"/>
          </w:tcPr>
          <w:p>
            <w:pPr>
              <w:adjustRightInd w:val="0"/>
              <w:snapToGrid w:val="0"/>
              <w:jc w:val="center"/>
              <w:rPr>
                <w:rFonts w:hint="eastAsia" w:ascii="宋体" w:hAnsi="宋体"/>
                <w:color w:val="auto"/>
                <w:sz w:val="24"/>
                <w:highlight w:val="none"/>
              </w:rPr>
            </w:pPr>
          </w:p>
        </w:tc>
        <w:tc>
          <w:tcPr>
            <w:tcW w:w="1981" w:type="dxa"/>
            <w:vAlign w:val="center"/>
          </w:tcPr>
          <w:p>
            <w:pPr>
              <w:adjustRightInd w:val="0"/>
              <w:snapToGrid w:val="0"/>
              <w:jc w:val="center"/>
              <w:rPr>
                <w:rFonts w:hint="eastAsia" w:ascii="宋体" w:hAnsi="宋体"/>
                <w:color w:val="auto"/>
                <w:sz w:val="24"/>
                <w:highlight w:val="none"/>
              </w:rPr>
            </w:pPr>
          </w:p>
        </w:tc>
        <w:tc>
          <w:tcPr>
            <w:tcW w:w="1982" w:type="dxa"/>
            <w:vAlign w:val="center"/>
          </w:tcPr>
          <w:p>
            <w:pPr>
              <w:adjustRightInd w:val="0"/>
              <w:snapToGrid w:val="0"/>
              <w:jc w:val="center"/>
              <w:rPr>
                <w:rFonts w:hint="eastAsia" w:ascii="宋体" w:hAnsi="宋体"/>
                <w:color w:val="auto"/>
                <w:sz w:val="24"/>
                <w:highlight w:val="none"/>
              </w:rPr>
            </w:pPr>
          </w:p>
        </w:tc>
        <w:tc>
          <w:tcPr>
            <w:tcW w:w="2424" w:type="dxa"/>
            <w:vAlign w:val="center"/>
          </w:tcPr>
          <w:p>
            <w:pPr>
              <w:adjustRightInd w:val="0"/>
              <w:snapToGrid w:val="0"/>
              <w:jc w:val="center"/>
              <w:rPr>
                <w:rFonts w:hint="eastAsia" w:ascii="宋体" w:hAnsi="宋体"/>
                <w:color w:val="auto"/>
                <w:sz w:val="24"/>
                <w:highlight w:val="none"/>
              </w:rPr>
            </w:pPr>
          </w:p>
        </w:tc>
        <w:tc>
          <w:tcPr>
            <w:tcW w:w="782" w:type="dxa"/>
            <w:vAlign w:val="center"/>
          </w:tcPr>
          <w:p>
            <w:pPr>
              <w:adjustRightInd w:val="0"/>
              <w:snapToGrid w:val="0"/>
              <w:jc w:val="center"/>
              <w:rPr>
                <w:rFonts w:hint="eastAsia" w:ascii="宋体" w:hAnsi="宋体"/>
                <w:color w:val="auto"/>
                <w:sz w:val="24"/>
                <w:highlight w:val="none"/>
              </w:rPr>
            </w:pPr>
          </w:p>
        </w:tc>
      </w:tr>
    </w:tbl>
    <w:p>
      <w:pPr>
        <w:tabs>
          <w:tab w:val="left" w:pos="1800"/>
          <w:tab w:val="left" w:pos="5580"/>
        </w:tabs>
        <w:jc w:val="left"/>
        <w:rPr>
          <w:rFonts w:hint="eastAsia" w:ascii="宋体" w:hAnsi="宋体"/>
          <w:color w:val="auto"/>
          <w:sz w:val="24"/>
          <w:highlight w:val="none"/>
        </w:rPr>
      </w:pPr>
    </w:p>
    <w:p>
      <w:pPr>
        <w:tabs>
          <w:tab w:val="left" w:pos="1800"/>
          <w:tab w:val="left" w:pos="5580"/>
        </w:tabs>
        <w:jc w:val="left"/>
        <w:rPr>
          <w:rFonts w:hint="eastAsia" w:ascii="宋体" w:hAnsi="宋体"/>
          <w:color w:val="auto"/>
          <w:sz w:val="24"/>
          <w:highlight w:val="none"/>
        </w:rPr>
      </w:pPr>
      <w:r>
        <w:rPr>
          <w:rFonts w:ascii="宋体" w:hAnsi="宋体"/>
          <w:color w:val="auto"/>
          <w:sz w:val="24"/>
          <w:highlight w:val="none"/>
        </w:rPr>
        <w:t>注：</w:t>
      </w:r>
    </w:p>
    <w:p>
      <w:pPr>
        <w:tabs>
          <w:tab w:val="left" w:pos="1800"/>
          <w:tab w:val="left" w:pos="5580"/>
        </w:tabs>
        <w:jc w:val="left"/>
        <w:rPr>
          <w:rFonts w:hint="eastAsia" w:ascii="宋体" w:hAnsi="宋体"/>
          <w:color w:val="auto"/>
          <w:sz w:val="24"/>
          <w:highlight w:val="none"/>
        </w:rPr>
      </w:pPr>
      <w:r>
        <w:rPr>
          <w:rFonts w:hint="eastAsia" w:ascii="宋体" w:hAnsi="宋体"/>
          <w:color w:val="auto"/>
          <w:sz w:val="24"/>
          <w:highlight w:val="none"/>
        </w:rPr>
        <w:t>“偏离情况”列应</w:t>
      </w:r>
      <w:r>
        <w:rPr>
          <w:rFonts w:ascii="宋体" w:hAnsi="宋体"/>
          <w:color w:val="auto"/>
          <w:sz w:val="24"/>
          <w:highlight w:val="none"/>
        </w:rPr>
        <w:t>据实</w:t>
      </w:r>
      <w:r>
        <w:rPr>
          <w:rFonts w:hint="eastAsia" w:ascii="宋体" w:hAnsi="宋体"/>
          <w:color w:val="auto"/>
          <w:sz w:val="24"/>
          <w:highlight w:val="none"/>
        </w:rPr>
        <w:t>填写“正偏离”或“负偏离”。</w:t>
      </w:r>
    </w:p>
    <w:p>
      <w:pPr>
        <w:spacing w:line="360" w:lineRule="auto"/>
        <w:rPr>
          <w:rFonts w:hint="eastAsia" w:ascii="宋体" w:hAnsi="宋体"/>
          <w:color w:val="auto"/>
          <w:sz w:val="24"/>
          <w:szCs w:val="20"/>
          <w:highlight w:val="none"/>
        </w:rPr>
      </w:pP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lang w:val="zh-CN"/>
        </w:rPr>
        <w:t xml:space="preserve">                      </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rPr>
        <w:t>投标人名称（加盖公章）</w:t>
      </w:r>
      <w:r>
        <w:rPr>
          <w:rFonts w:ascii="宋体" w:hAnsi="宋体"/>
          <w:color w:val="auto"/>
          <w:sz w:val="24"/>
          <w:highlight w:val="none"/>
          <w:lang w:val="zh-CN"/>
        </w:rPr>
        <w:t>：    ____________</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szCs w:val="20"/>
          <w:highlight w:val="none"/>
        </w:rPr>
        <w:t xml:space="preserve">日期：_____年______月______日   </w:t>
      </w:r>
    </w:p>
    <w:p>
      <w:pPr>
        <w:spacing w:line="360" w:lineRule="auto"/>
        <w:outlineLvl w:val="2"/>
        <w:rPr>
          <w:rFonts w:hint="eastAsia" w:ascii="宋体" w:hAnsi="宋体"/>
          <w:color w:val="auto"/>
          <w:sz w:val="24"/>
          <w:szCs w:val="20"/>
          <w:highlight w:val="none"/>
        </w:rPr>
      </w:pPr>
      <w:r>
        <w:rPr>
          <w:rFonts w:ascii="宋体" w:hAnsi="宋体"/>
          <w:color w:val="auto"/>
          <w:sz w:val="24"/>
          <w:szCs w:val="20"/>
          <w:highlight w:val="none"/>
        </w:rPr>
        <w:br w:type="page"/>
      </w:r>
      <w:bookmarkStart w:id="1043" w:name="_Toc162979046"/>
      <w:r>
        <w:rPr>
          <w:rFonts w:ascii="宋体" w:hAnsi="宋体"/>
          <w:color w:val="auto"/>
          <w:sz w:val="24"/>
          <w:szCs w:val="20"/>
          <w:highlight w:val="none"/>
        </w:rPr>
        <w:t xml:space="preserve">6  </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rFonts w:ascii="宋体" w:hAnsi="宋体"/>
          <w:color w:val="auto"/>
          <w:sz w:val="24"/>
          <w:szCs w:val="20"/>
          <w:highlight w:val="none"/>
        </w:rPr>
        <w:t>采购需求偏离表（实质性格式）</w:t>
      </w:r>
      <w:bookmarkEnd w:id="1043"/>
    </w:p>
    <w:p>
      <w:pPr>
        <w:autoSpaceDE w:val="0"/>
        <w:autoSpaceDN w:val="0"/>
        <w:adjustRightInd w:val="0"/>
        <w:spacing w:line="360" w:lineRule="auto"/>
        <w:jc w:val="center"/>
        <w:rPr>
          <w:rFonts w:hint="eastAsia" w:ascii="宋体" w:hAnsi="宋体"/>
          <w:b/>
          <w:color w:val="auto"/>
          <w:sz w:val="36"/>
          <w:szCs w:val="36"/>
          <w:highlight w:val="none"/>
        </w:rPr>
      </w:pPr>
      <w:r>
        <w:rPr>
          <w:rFonts w:hint="eastAsia" w:ascii="宋体" w:hAnsi="宋体"/>
          <w:b/>
          <w:color w:val="auto"/>
          <w:sz w:val="36"/>
          <w:szCs w:val="36"/>
          <w:highlight w:val="none"/>
        </w:rPr>
        <w:t>采购需求偏离表</w:t>
      </w:r>
    </w:p>
    <w:p>
      <w:pPr>
        <w:tabs>
          <w:tab w:val="left" w:pos="1800"/>
          <w:tab w:val="left" w:pos="5580"/>
        </w:tabs>
        <w:spacing w:line="360" w:lineRule="auto"/>
        <w:ind w:firstLine="360" w:firstLineChars="150"/>
        <w:jc w:val="left"/>
        <w:rPr>
          <w:rFonts w:hint="eastAsia" w:ascii="宋体" w:hAnsi="宋体"/>
          <w:color w:val="auto"/>
          <w:sz w:val="24"/>
          <w:highlight w:val="none"/>
          <w:u w:val="single"/>
        </w:rPr>
      </w:pPr>
      <w:r>
        <w:rPr>
          <w:rFonts w:ascii="宋体" w:hAnsi="宋体"/>
          <w:color w:val="auto"/>
          <w:sz w:val="24"/>
          <w:highlight w:val="none"/>
        </w:rPr>
        <w:t>项目编号：_____________________     项目名称：____________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序号</w:t>
            </w:r>
          </w:p>
        </w:tc>
        <w:tc>
          <w:tcPr>
            <w:tcW w:w="1482"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招标文件条目号(页码)</w:t>
            </w:r>
          </w:p>
        </w:tc>
        <w:tc>
          <w:tcPr>
            <w:tcW w:w="2384"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招标文件要求</w:t>
            </w:r>
          </w:p>
        </w:tc>
        <w:tc>
          <w:tcPr>
            <w:tcW w:w="2126"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投标响应内容</w:t>
            </w:r>
          </w:p>
        </w:tc>
        <w:tc>
          <w:tcPr>
            <w:tcW w:w="1875"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偏离情况</w:t>
            </w:r>
          </w:p>
        </w:tc>
        <w:tc>
          <w:tcPr>
            <w:tcW w:w="1009" w:type="dxa"/>
            <w:vAlign w:val="center"/>
          </w:tcPr>
          <w:p>
            <w:pPr>
              <w:adjustRightInd w:val="0"/>
              <w:snapToGrid w:val="0"/>
              <w:jc w:val="center"/>
              <w:rPr>
                <w:rFonts w:hint="eastAsia" w:ascii="宋体" w:hAnsi="宋体"/>
                <w:color w:val="auto"/>
                <w:sz w:val="24"/>
                <w:highlight w:val="none"/>
              </w:rPr>
            </w:pPr>
            <w:r>
              <w:rPr>
                <w:rFonts w:ascii="宋体" w:hAnsi="宋体"/>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rFonts w:hint="eastAsia" w:ascii="宋体" w:hAnsi="宋体"/>
                <w:color w:val="auto"/>
                <w:sz w:val="24"/>
                <w:highlight w:val="none"/>
              </w:rPr>
            </w:pPr>
          </w:p>
        </w:tc>
        <w:tc>
          <w:tcPr>
            <w:tcW w:w="1482" w:type="dxa"/>
            <w:vAlign w:val="center"/>
          </w:tcPr>
          <w:p>
            <w:pPr>
              <w:adjustRightInd w:val="0"/>
              <w:snapToGrid w:val="0"/>
              <w:jc w:val="center"/>
              <w:rPr>
                <w:rFonts w:hint="eastAsia" w:ascii="宋体" w:hAnsi="宋体"/>
                <w:color w:val="auto"/>
                <w:sz w:val="24"/>
                <w:highlight w:val="none"/>
              </w:rPr>
            </w:pPr>
          </w:p>
        </w:tc>
        <w:tc>
          <w:tcPr>
            <w:tcW w:w="2384" w:type="dxa"/>
            <w:vAlign w:val="center"/>
          </w:tcPr>
          <w:p>
            <w:pPr>
              <w:adjustRightInd w:val="0"/>
              <w:snapToGrid w:val="0"/>
              <w:jc w:val="center"/>
              <w:rPr>
                <w:rFonts w:hint="eastAsia" w:ascii="宋体" w:hAnsi="宋体"/>
                <w:color w:val="auto"/>
                <w:sz w:val="24"/>
                <w:highlight w:val="none"/>
              </w:rPr>
            </w:pPr>
          </w:p>
        </w:tc>
        <w:tc>
          <w:tcPr>
            <w:tcW w:w="2126" w:type="dxa"/>
            <w:vAlign w:val="center"/>
          </w:tcPr>
          <w:p>
            <w:pPr>
              <w:adjustRightInd w:val="0"/>
              <w:snapToGrid w:val="0"/>
              <w:jc w:val="center"/>
              <w:rPr>
                <w:rFonts w:hint="eastAsia" w:ascii="宋体" w:hAnsi="宋体"/>
                <w:color w:val="auto"/>
                <w:sz w:val="24"/>
                <w:highlight w:val="none"/>
              </w:rPr>
            </w:pPr>
          </w:p>
        </w:tc>
        <w:tc>
          <w:tcPr>
            <w:tcW w:w="1875" w:type="dxa"/>
            <w:vAlign w:val="center"/>
          </w:tcPr>
          <w:p>
            <w:pPr>
              <w:adjustRightInd w:val="0"/>
              <w:snapToGrid w:val="0"/>
              <w:jc w:val="center"/>
              <w:rPr>
                <w:rFonts w:hint="eastAsia" w:ascii="宋体" w:hAnsi="宋体"/>
                <w:color w:val="auto"/>
                <w:sz w:val="24"/>
                <w:highlight w:val="none"/>
              </w:rPr>
            </w:pPr>
          </w:p>
        </w:tc>
        <w:tc>
          <w:tcPr>
            <w:tcW w:w="1009" w:type="dxa"/>
            <w:vAlign w:val="center"/>
          </w:tcPr>
          <w:p>
            <w:pPr>
              <w:adjustRightInd w:val="0"/>
              <w:snapToGrid w:val="0"/>
              <w:jc w:val="center"/>
              <w:rPr>
                <w:rFonts w:hint="eastAsia" w:ascii="宋体" w:hAnsi="宋体"/>
                <w:color w:val="auto"/>
                <w:sz w:val="24"/>
                <w:highlight w:val="none"/>
              </w:rPr>
            </w:pPr>
          </w:p>
        </w:tc>
      </w:tr>
    </w:tbl>
    <w:p>
      <w:pPr>
        <w:tabs>
          <w:tab w:val="left" w:pos="1800"/>
          <w:tab w:val="left" w:pos="5580"/>
        </w:tabs>
        <w:spacing w:line="360" w:lineRule="auto"/>
        <w:ind w:firstLine="360" w:firstLineChars="150"/>
        <w:jc w:val="left"/>
        <w:rPr>
          <w:rFonts w:hint="eastAsia" w:ascii="宋体" w:hAnsi="宋体"/>
          <w:color w:val="auto"/>
          <w:sz w:val="24"/>
          <w:highlight w:val="none"/>
          <w:u w:val="single"/>
        </w:rPr>
      </w:pPr>
    </w:p>
    <w:p>
      <w:pPr>
        <w:tabs>
          <w:tab w:val="left" w:pos="1800"/>
          <w:tab w:val="left" w:pos="5580"/>
        </w:tabs>
        <w:spacing w:line="360" w:lineRule="auto"/>
        <w:ind w:firstLine="360" w:firstLineChars="150"/>
        <w:jc w:val="left"/>
        <w:rPr>
          <w:rFonts w:hint="eastAsia" w:ascii="宋体" w:hAnsi="宋体"/>
          <w:color w:val="auto"/>
          <w:sz w:val="24"/>
          <w:highlight w:val="none"/>
          <w:u w:val="single"/>
        </w:rPr>
      </w:pPr>
    </w:p>
    <w:p>
      <w:pPr>
        <w:tabs>
          <w:tab w:val="left" w:pos="1800"/>
          <w:tab w:val="left" w:pos="5580"/>
        </w:tabs>
        <w:jc w:val="left"/>
        <w:rPr>
          <w:rFonts w:hint="eastAsia" w:ascii="宋体" w:hAnsi="宋体"/>
          <w:color w:val="auto"/>
          <w:sz w:val="24"/>
          <w:highlight w:val="none"/>
        </w:rPr>
      </w:pPr>
      <w:r>
        <w:rPr>
          <w:rFonts w:ascii="宋体" w:hAnsi="宋体"/>
          <w:color w:val="auto"/>
          <w:sz w:val="24"/>
          <w:highlight w:val="none"/>
        </w:rPr>
        <w:t>注：</w:t>
      </w:r>
    </w:p>
    <w:p>
      <w:pPr>
        <w:tabs>
          <w:tab w:val="left" w:pos="1800"/>
          <w:tab w:val="left" w:pos="5580"/>
        </w:tabs>
        <w:jc w:val="left"/>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对招标文件中的所有商务、技术要求，除本表所列明的所有偏离外，均视作供应商已对之理解和</w:t>
      </w:r>
      <w:r>
        <w:rPr>
          <w:rFonts w:hint="eastAsia" w:ascii="宋体" w:hAnsi="宋体"/>
          <w:color w:val="auto"/>
          <w:sz w:val="24"/>
          <w:highlight w:val="none"/>
        </w:rPr>
        <w:t>响应</w:t>
      </w:r>
      <w:r>
        <w:rPr>
          <w:rFonts w:ascii="宋体" w:hAnsi="宋体"/>
          <w:color w:val="auto"/>
          <w:sz w:val="24"/>
          <w:highlight w:val="none"/>
        </w:rPr>
        <w:t>。</w:t>
      </w:r>
      <w:r>
        <w:rPr>
          <w:rFonts w:hint="eastAsia" w:ascii="宋体" w:hAnsi="宋体"/>
          <w:color w:val="auto"/>
          <w:sz w:val="24"/>
          <w:highlight w:val="none"/>
        </w:rPr>
        <w:t>此表中若无任何文字说明，内容为空白，</w:t>
      </w:r>
      <w:r>
        <w:rPr>
          <w:rFonts w:hint="eastAsia" w:ascii="宋体" w:hAnsi="宋体"/>
          <w:b/>
          <w:color w:val="auto"/>
          <w:sz w:val="24"/>
          <w:highlight w:val="none"/>
        </w:rPr>
        <w:t>投标无效。</w:t>
      </w:r>
    </w:p>
    <w:p>
      <w:pPr>
        <w:tabs>
          <w:tab w:val="left" w:pos="1800"/>
          <w:tab w:val="left" w:pos="5580"/>
        </w:tabs>
        <w:jc w:val="left"/>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 xml:space="preserve"> “偏离情况”列应</w:t>
      </w:r>
      <w:r>
        <w:rPr>
          <w:rFonts w:ascii="宋体" w:hAnsi="宋体"/>
          <w:color w:val="auto"/>
          <w:sz w:val="24"/>
          <w:highlight w:val="none"/>
        </w:rPr>
        <w:t>据实</w:t>
      </w:r>
      <w:r>
        <w:rPr>
          <w:rFonts w:hint="eastAsia" w:ascii="宋体" w:hAnsi="宋体"/>
          <w:color w:val="auto"/>
          <w:sz w:val="24"/>
          <w:highlight w:val="none"/>
        </w:rPr>
        <w:t>填写“正偏离”、“负偏离”或“无偏离”。</w:t>
      </w:r>
    </w:p>
    <w:p>
      <w:pPr>
        <w:tabs>
          <w:tab w:val="left" w:pos="1800"/>
          <w:tab w:val="left" w:pos="5580"/>
        </w:tabs>
        <w:jc w:val="left"/>
        <w:rPr>
          <w:rFonts w:hint="eastAsia" w:ascii="宋体" w:hAnsi="宋体"/>
          <w:color w:val="auto"/>
          <w:sz w:val="24"/>
          <w:highlight w:val="none"/>
        </w:rPr>
      </w:pPr>
    </w:p>
    <w:p>
      <w:pPr>
        <w:tabs>
          <w:tab w:val="left" w:pos="1800"/>
          <w:tab w:val="left" w:pos="5580"/>
        </w:tabs>
        <w:jc w:val="left"/>
        <w:rPr>
          <w:rFonts w:hint="eastAsia" w:ascii="宋体" w:hAnsi="宋体"/>
          <w:color w:val="auto"/>
          <w:sz w:val="24"/>
          <w:highlight w:val="none"/>
        </w:rPr>
      </w:pPr>
    </w:p>
    <w:p>
      <w:pPr>
        <w:rPr>
          <w:rFonts w:hint="eastAsia" w:ascii="宋体" w:hAnsi="宋体"/>
          <w:color w:val="auto"/>
          <w:sz w:val="24"/>
          <w:szCs w:val="20"/>
          <w:highlight w:val="none"/>
        </w:rPr>
      </w:pP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lang w:val="zh-CN"/>
        </w:rPr>
        <w:t xml:space="preserve">                  </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highlight w:val="none"/>
        </w:rPr>
        <w:t>投标人名称（加盖公章）</w:t>
      </w:r>
      <w:r>
        <w:rPr>
          <w:rFonts w:ascii="宋体" w:hAnsi="宋体"/>
          <w:color w:val="auto"/>
          <w:sz w:val="24"/>
          <w:highlight w:val="none"/>
          <w:lang w:val="zh-CN"/>
        </w:rPr>
        <w:t>：    ____________</w:t>
      </w:r>
    </w:p>
    <w:p>
      <w:pPr>
        <w:autoSpaceDE w:val="0"/>
        <w:autoSpaceDN w:val="0"/>
        <w:adjustRightInd w:val="0"/>
        <w:snapToGrid w:val="0"/>
        <w:spacing w:before="25" w:after="25" w:line="360" w:lineRule="auto"/>
        <w:rPr>
          <w:rFonts w:hint="eastAsia" w:ascii="宋体" w:hAnsi="宋体"/>
          <w:color w:val="auto"/>
          <w:sz w:val="24"/>
          <w:highlight w:val="none"/>
          <w:lang w:val="zh-CN"/>
        </w:rPr>
      </w:pPr>
      <w:r>
        <w:rPr>
          <w:rFonts w:ascii="宋体" w:hAnsi="宋体"/>
          <w:color w:val="auto"/>
          <w:sz w:val="24"/>
          <w:szCs w:val="20"/>
          <w:highlight w:val="none"/>
        </w:rPr>
        <w:t xml:space="preserve">日期：_____年______月______日   </w:t>
      </w:r>
    </w:p>
    <w:p>
      <w:pPr>
        <w:numPr>
          <w:ilvl w:val="0"/>
          <w:numId w:val="18"/>
        </w:numPr>
        <w:tabs>
          <w:tab w:val="left" w:pos="360"/>
        </w:tabs>
        <w:snapToGrid w:val="0"/>
        <w:spacing w:line="360" w:lineRule="auto"/>
        <w:outlineLvl w:val="1"/>
        <w:rPr>
          <w:color w:val="auto"/>
          <w:sz w:val="24"/>
          <w:szCs w:val="20"/>
          <w:highlight w:val="none"/>
        </w:rPr>
      </w:pPr>
      <w:r>
        <w:rPr>
          <w:rFonts w:ascii="宋体" w:hAnsi="宋体"/>
          <w:color w:val="auto"/>
          <w:sz w:val="24"/>
          <w:szCs w:val="20"/>
          <w:highlight w:val="none"/>
        </w:rPr>
        <w:br w:type="page"/>
      </w:r>
      <w:bookmarkStart w:id="1044" w:name="_Toc162979047"/>
      <w:r>
        <w:rPr>
          <w:rFonts w:hint="eastAsia"/>
          <w:color w:val="auto"/>
          <w:sz w:val="24"/>
          <w:szCs w:val="20"/>
          <w:highlight w:val="none"/>
        </w:rPr>
        <w:t>本国产品标准证明文件</w:t>
      </w:r>
    </w:p>
    <w:p>
      <w:pPr>
        <w:pStyle w:val="39"/>
        <w:shd w:val="clear" w:color="auto" w:fill="FFFFFF"/>
        <w:spacing w:before="30" w:beforeAutospacing="0" w:after="30" w:afterAutospacing="0"/>
        <w:jc w:val="center"/>
        <w:rPr>
          <w:rFonts w:hint="eastAsia"/>
          <w:color w:val="auto"/>
          <w:sz w:val="36"/>
          <w:szCs w:val="36"/>
          <w:highlight w:val="none"/>
        </w:rPr>
      </w:pPr>
      <w:r>
        <w:rPr>
          <w:rStyle w:val="48"/>
          <w:rFonts w:hint="eastAsia"/>
          <w:color w:val="auto"/>
          <w:sz w:val="36"/>
          <w:szCs w:val="36"/>
          <w:highlight w:val="none"/>
          <w:shd w:val="clear" w:color="auto" w:fill="FFFFFF"/>
        </w:rPr>
        <w:t>关于符合本国产品标准的声明函</w:t>
      </w:r>
    </w:p>
    <w:p>
      <w:pPr>
        <w:pStyle w:val="39"/>
        <w:shd w:val="clear" w:color="auto" w:fill="FFFFFF"/>
        <w:spacing w:before="30" w:beforeAutospacing="0" w:after="30" w:afterAutospacing="0"/>
        <w:ind w:firstLine="420"/>
        <w:rPr>
          <w:rFonts w:hint="eastAsia"/>
          <w:color w:val="auto"/>
          <w:highlight w:val="none"/>
        </w:rPr>
      </w:pPr>
    </w:p>
    <w:p>
      <w:pPr>
        <w:pStyle w:val="39"/>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39"/>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shd w:val="clear" w:color="auto" w:fill="FFFFFF"/>
        </w:rPr>
        <w:t>1.</w:t>
      </w:r>
      <w:r>
        <w:rPr>
          <w:rStyle w:val="51"/>
          <w:rFonts w:hint="eastAsia"/>
          <w:color w:val="auto"/>
          <w:highlight w:val="none"/>
          <w:u w:val="single"/>
          <w:shd w:val="clear" w:color="auto" w:fill="FFFFFF"/>
        </w:rPr>
        <w:t>（产品名称1）</w:t>
      </w:r>
      <w:r>
        <w:rPr>
          <w:rStyle w:val="51"/>
          <w:rFonts w:hint="eastAsia"/>
          <w:color w:val="auto"/>
          <w:highlight w:val="none"/>
          <w:shd w:val="clear" w:color="auto" w:fill="FFFFFF"/>
          <w:vertAlign w:val="superscript"/>
        </w:rPr>
        <w:t>1</w:t>
      </w:r>
      <w:r>
        <w:rPr>
          <w:rFonts w:hint="eastAsia"/>
          <w:color w:val="auto"/>
          <w:highlight w:val="none"/>
          <w:shd w:val="clear" w:color="auto" w:fill="FFFFFF"/>
        </w:rPr>
        <w:t>，生产厂为</w:t>
      </w:r>
      <w:r>
        <w:rPr>
          <w:rStyle w:val="51"/>
          <w:rFonts w:hint="eastAsia"/>
          <w:color w:val="auto"/>
          <w:highlight w:val="none"/>
          <w:u w:val="single"/>
          <w:shd w:val="clear" w:color="auto" w:fill="FFFFFF"/>
        </w:rPr>
        <w:t>（厂名）</w:t>
      </w:r>
      <w:r>
        <w:rPr>
          <w:rStyle w:val="51"/>
          <w:rFonts w:hint="eastAsia"/>
          <w:color w:val="auto"/>
          <w:highlight w:val="none"/>
          <w:shd w:val="clear" w:color="auto" w:fill="FFFFFF"/>
          <w:vertAlign w:val="superscript"/>
        </w:rPr>
        <w:t>2</w:t>
      </w:r>
      <w:r>
        <w:rPr>
          <w:rFonts w:hint="eastAsia"/>
          <w:color w:val="auto"/>
          <w:highlight w:val="none"/>
          <w:shd w:val="clear" w:color="auto" w:fill="FFFFFF"/>
        </w:rPr>
        <w:t>，厂址为</w:t>
      </w:r>
      <w:r>
        <w:rPr>
          <w:rStyle w:val="51"/>
          <w:rFonts w:hint="eastAsia"/>
          <w:color w:val="auto"/>
          <w:highlight w:val="none"/>
          <w:u w:val="single"/>
          <w:shd w:val="clear" w:color="auto" w:fill="FFFFFF"/>
        </w:rPr>
        <w:t>（生产厂址）</w:t>
      </w:r>
      <w:r>
        <w:rPr>
          <w:rFonts w:hint="eastAsia"/>
          <w:color w:val="auto"/>
          <w:highlight w:val="none"/>
          <w:shd w:val="clear" w:color="auto" w:fill="FFFFFF"/>
        </w:rPr>
        <w:t>。</w:t>
      </w:r>
      <w:r>
        <w:rPr>
          <w:rStyle w:val="51"/>
          <w:rFonts w:hint="eastAsia"/>
          <w:color w:val="auto"/>
          <w:highlight w:val="none"/>
          <w:u w:val="single"/>
          <w:shd w:val="clear" w:color="auto" w:fill="FFFFFF"/>
        </w:rPr>
        <w:t>（产品名称1）</w:t>
      </w:r>
      <w:r>
        <w:rPr>
          <w:rFonts w:hint="eastAsia"/>
          <w:color w:val="auto"/>
          <w:highlight w:val="none"/>
          <w:shd w:val="clear" w:color="auto" w:fill="FFFFFF"/>
        </w:rPr>
        <w:t>的中国境内生产的组件成本占比≥</w:t>
      </w:r>
      <w:r>
        <w:rPr>
          <w:rStyle w:val="51"/>
          <w:rFonts w:hint="eastAsia"/>
          <w:color w:val="auto"/>
          <w:highlight w:val="none"/>
          <w:u w:val="single"/>
          <w:shd w:val="clear" w:color="auto" w:fill="FFFFFF"/>
        </w:rPr>
        <w:t>（规定比例）</w:t>
      </w:r>
      <w:r>
        <w:rPr>
          <w:rStyle w:val="51"/>
          <w:rFonts w:hint="eastAsia"/>
          <w:color w:val="auto"/>
          <w:highlight w:val="none"/>
          <w:shd w:val="clear" w:color="auto" w:fill="FFFFFF"/>
          <w:vertAlign w:val="superscript"/>
        </w:rPr>
        <w:t>3</w:t>
      </w:r>
      <w:r>
        <w:rPr>
          <w:rFonts w:hint="eastAsia"/>
          <w:color w:val="auto"/>
          <w:highlight w:val="none"/>
          <w:shd w:val="clear" w:color="auto" w:fill="FFFFFF"/>
        </w:rPr>
        <w:t>。</w:t>
      </w:r>
      <w:r>
        <w:rPr>
          <w:rStyle w:val="51"/>
          <w:rFonts w:hint="eastAsia"/>
          <w:color w:val="auto"/>
          <w:highlight w:val="none"/>
          <w:u w:val="single"/>
          <w:shd w:val="clear" w:color="auto" w:fill="FFFFFF"/>
        </w:rPr>
        <w:t>（产品名称1）</w:t>
      </w:r>
      <w:r>
        <w:rPr>
          <w:rFonts w:hint="eastAsia"/>
          <w:color w:val="auto"/>
          <w:highlight w:val="none"/>
          <w:shd w:val="clear" w:color="auto" w:fill="FFFFFF"/>
        </w:rPr>
        <w:t>的</w:t>
      </w:r>
      <w:r>
        <w:rPr>
          <w:rStyle w:val="51"/>
          <w:rFonts w:hint="eastAsia"/>
          <w:color w:val="auto"/>
          <w:highlight w:val="none"/>
          <w:u w:val="single"/>
          <w:shd w:val="clear" w:color="auto" w:fill="FFFFFF"/>
        </w:rPr>
        <w:t>（关键组件）</w:t>
      </w:r>
      <w:r>
        <w:rPr>
          <w:rStyle w:val="51"/>
          <w:rFonts w:hint="eastAsia"/>
          <w:color w:val="auto"/>
          <w:highlight w:val="none"/>
          <w:shd w:val="clear" w:color="auto" w:fill="FFFFFF"/>
          <w:vertAlign w:val="superscript"/>
        </w:rPr>
        <w:t>4</w:t>
      </w:r>
      <w:r>
        <w:rPr>
          <w:rFonts w:hint="eastAsia"/>
          <w:color w:val="auto"/>
          <w:highlight w:val="none"/>
          <w:shd w:val="clear" w:color="auto" w:fill="FFFFFF"/>
        </w:rPr>
        <w:t>在中国境内生产。</w:t>
      </w:r>
      <w:r>
        <w:rPr>
          <w:rStyle w:val="51"/>
          <w:rFonts w:hint="eastAsia"/>
          <w:color w:val="auto"/>
          <w:highlight w:val="none"/>
          <w:u w:val="single"/>
          <w:shd w:val="clear" w:color="auto" w:fill="FFFFFF"/>
        </w:rPr>
        <w:t>（产品名称1）</w:t>
      </w:r>
      <w:r>
        <w:rPr>
          <w:rFonts w:hint="eastAsia"/>
          <w:color w:val="auto"/>
          <w:highlight w:val="none"/>
          <w:shd w:val="clear" w:color="auto" w:fill="FFFFFF"/>
        </w:rPr>
        <w:t>的</w:t>
      </w:r>
      <w:r>
        <w:rPr>
          <w:rStyle w:val="51"/>
          <w:rFonts w:hint="eastAsia"/>
          <w:color w:val="auto"/>
          <w:highlight w:val="none"/>
          <w:u w:val="single"/>
          <w:shd w:val="clear" w:color="auto" w:fill="FFFFFF"/>
        </w:rPr>
        <w:t>（关键工序）</w:t>
      </w:r>
      <w:r>
        <w:rPr>
          <w:rStyle w:val="51"/>
          <w:rFonts w:hint="eastAsia"/>
          <w:color w:val="auto"/>
          <w:highlight w:val="none"/>
          <w:shd w:val="clear" w:color="auto" w:fill="FFFFFF"/>
          <w:vertAlign w:val="superscript"/>
        </w:rPr>
        <w:t>5</w:t>
      </w:r>
      <w:r>
        <w:rPr>
          <w:rFonts w:hint="eastAsia"/>
          <w:color w:val="auto"/>
          <w:highlight w:val="none"/>
          <w:shd w:val="clear" w:color="auto" w:fill="FFFFFF"/>
        </w:rPr>
        <w:t>在中国境内完成。</w:t>
      </w:r>
    </w:p>
    <w:p>
      <w:pPr>
        <w:pStyle w:val="39"/>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shd w:val="clear" w:color="auto" w:fill="FFFFFF"/>
        </w:rPr>
        <w:t>2.</w:t>
      </w:r>
      <w:r>
        <w:rPr>
          <w:rStyle w:val="51"/>
          <w:rFonts w:hint="eastAsia"/>
          <w:color w:val="auto"/>
          <w:highlight w:val="none"/>
          <w:u w:val="single"/>
          <w:shd w:val="clear" w:color="auto" w:fill="FFFFFF"/>
        </w:rPr>
        <w:t>（产品名称2）</w:t>
      </w:r>
      <w:r>
        <w:rPr>
          <w:rFonts w:hint="eastAsia"/>
          <w:color w:val="auto"/>
          <w:highlight w:val="none"/>
          <w:shd w:val="clear" w:color="auto" w:fill="FFFFFF"/>
        </w:rPr>
        <w:t>，生产厂为</w:t>
      </w:r>
      <w:r>
        <w:rPr>
          <w:rStyle w:val="51"/>
          <w:rFonts w:hint="eastAsia"/>
          <w:color w:val="auto"/>
          <w:highlight w:val="none"/>
          <w:u w:val="single"/>
          <w:shd w:val="clear" w:color="auto" w:fill="FFFFFF"/>
        </w:rPr>
        <w:t>（厂名）</w:t>
      </w:r>
      <w:r>
        <w:rPr>
          <w:rFonts w:hint="eastAsia"/>
          <w:color w:val="auto"/>
          <w:highlight w:val="none"/>
          <w:shd w:val="clear" w:color="auto" w:fill="FFFFFF"/>
        </w:rPr>
        <w:t>，厂址为</w:t>
      </w:r>
      <w:r>
        <w:rPr>
          <w:rStyle w:val="51"/>
          <w:rFonts w:hint="eastAsia"/>
          <w:color w:val="auto"/>
          <w:highlight w:val="none"/>
          <w:u w:val="single"/>
          <w:shd w:val="clear" w:color="auto" w:fill="FFFFFF"/>
        </w:rPr>
        <w:t>（生产厂址）</w:t>
      </w:r>
      <w:r>
        <w:rPr>
          <w:rFonts w:hint="eastAsia"/>
          <w:color w:val="auto"/>
          <w:highlight w:val="none"/>
          <w:shd w:val="clear" w:color="auto" w:fill="FFFFFF"/>
        </w:rPr>
        <w:t>。</w:t>
      </w:r>
      <w:r>
        <w:rPr>
          <w:rStyle w:val="51"/>
          <w:rFonts w:hint="eastAsia"/>
          <w:color w:val="auto"/>
          <w:highlight w:val="none"/>
          <w:u w:val="single"/>
          <w:shd w:val="clear" w:color="auto" w:fill="FFFFFF"/>
        </w:rPr>
        <w:t>（产品名称2）</w:t>
      </w:r>
      <w:r>
        <w:rPr>
          <w:rFonts w:hint="eastAsia"/>
          <w:color w:val="auto"/>
          <w:highlight w:val="none"/>
          <w:shd w:val="clear" w:color="auto" w:fill="FFFFFF"/>
        </w:rPr>
        <w:t>的中国境内生产的组件成本占比≥</w:t>
      </w:r>
      <w:r>
        <w:rPr>
          <w:rStyle w:val="51"/>
          <w:rFonts w:hint="eastAsia"/>
          <w:color w:val="auto"/>
          <w:highlight w:val="none"/>
          <w:u w:val="single"/>
          <w:shd w:val="clear" w:color="auto" w:fill="FFFFFF"/>
        </w:rPr>
        <w:t>（规定比例）</w:t>
      </w:r>
      <w:r>
        <w:rPr>
          <w:rFonts w:hint="eastAsia"/>
          <w:color w:val="auto"/>
          <w:highlight w:val="none"/>
          <w:shd w:val="clear" w:color="auto" w:fill="FFFFFF"/>
        </w:rPr>
        <w:t>。</w:t>
      </w:r>
      <w:r>
        <w:rPr>
          <w:rStyle w:val="51"/>
          <w:rFonts w:hint="eastAsia"/>
          <w:color w:val="auto"/>
          <w:highlight w:val="none"/>
          <w:u w:val="single"/>
          <w:shd w:val="clear" w:color="auto" w:fill="FFFFFF"/>
        </w:rPr>
        <w:t>（产品名称2）</w:t>
      </w:r>
      <w:r>
        <w:rPr>
          <w:rFonts w:hint="eastAsia"/>
          <w:color w:val="auto"/>
          <w:highlight w:val="none"/>
          <w:shd w:val="clear" w:color="auto" w:fill="FFFFFF"/>
        </w:rPr>
        <w:t>的</w:t>
      </w:r>
      <w:r>
        <w:rPr>
          <w:rStyle w:val="51"/>
          <w:rFonts w:hint="eastAsia"/>
          <w:color w:val="auto"/>
          <w:highlight w:val="none"/>
          <w:u w:val="single"/>
          <w:shd w:val="clear" w:color="auto" w:fill="FFFFFF"/>
        </w:rPr>
        <w:t>（关键组件）</w:t>
      </w:r>
      <w:r>
        <w:rPr>
          <w:rFonts w:hint="eastAsia"/>
          <w:color w:val="auto"/>
          <w:highlight w:val="none"/>
          <w:shd w:val="clear" w:color="auto" w:fill="FFFFFF"/>
        </w:rPr>
        <w:t>在中国境内生产。</w:t>
      </w:r>
      <w:r>
        <w:rPr>
          <w:rStyle w:val="51"/>
          <w:rFonts w:hint="eastAsia"/>
          <w:color w:val="auto"/>
          <w:highlight w:val="none"/>
          <w:u w:val="single"/>
          <w:shd w:val="clear" w:color="auto" w:fill="FFFFFF"/>
        </w:rPr>
        <w:t>（产品名称2）</w:t>
      </w:r>
      <w:r>
        <w:rPr>
          <w:rFonts w:hint="eastAsia"/>
          <w:color w:val="auto"/>
          <w:highlight w:val="none"/>
          <w:shd w:val="clear" w:color="auto" w:fill="FFFFFF"/>
        </w:rPr>
        <w:t>的</w:t>
      </w:r>
      <w:r>
        <w:rPr>
          <w:rStyle w:val="51"/>
          <w:rFonts w:hint="eastAsia"/>
          <w:color w:val="auto"/>
          <w:highlight w:val="none"/>
          <w:u w:val="single"/>
          <w:shd w:val="clear" w:color="auto" w:fill="FFFFFF"/>
        </w:rPr>
        <w:t>（关键工序）</w:t>
      </w:r>
      <w:r>
        <w:rPr>
          <w:rFonts w:hint="eastAsia"/>
          <w:color w:val="auto"/>
          <w:highlight w:val="none"/>
          <w:shd w:val="clear" w:color="auto" w:fill="FFFFFF"/>
        </w:rPr>
        <w:t>在中国境内完成。</w:t>
      </w:r>
    </w:p>
    <w:p>
      <w:pPr>
        <w:pStyle w:val="39"/>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shd w:val="clear" w:color="auto" w:fill="FFFFFF"/>
        </w:rPr>
        <w:t>……</w:t>
      </w:r>
    </w:p>
    <w:p>
      <w:pPr>
        <w:pStyle w:val="39"/>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shd w:val="clear" w:color="auto" w:fill="FFFFFF"/>
        </w:rPr>
        <w:t>本公司（单位）对上述声明内容的真实性负责。如有虚假，愿承担相应法律责任。</w:t>
      </w:r>
    </w:p>
    <w:p>
      <w:pPr>
        <w:pStyle w:val="39"/>
        <w:shd w:val="clear" w:color="auto" w:fill="FFFFFF"/>
        <w:spacing w:before="0" w:beforeAutospacing="0" w:after="0" w:afterAutospacing="0" w:line="360" w:lineRule="auto"/>
        <w:rPr>
          <w:rFonts w:hint="eastAsia"/>
          <w:color w:val="auto"/>
          <w:highlight w:val="none"/>
        </w:rPr>
      </w:pPr>
    </w:p>
    <w:p>
      <w:pPr>
        <w:pStyle w:val="39"/>
        <w:shd w:val="clear" w:color="auto" w:fill="FFFFFF"/>
        <w:spacing w:before="0" w:beforeAutospacing="0" w:after="0" w:afterAutospacing="0" w:line="360" w:lineRule="auto"/>
        <w:jc w:val="right"/>
        <w:rPr>
          <w:rFonts w:hint="eastAsia"/>
          <w:color w:val="auto"/>
          <w:highlight w:val="none"/>
          <w:shd w:val="clear" w:color="auto" w:fill="FFFFFF"/>
        </w:rPr>
      </w:pPr>
    </w:p>
    <w:p>
      <w:pPr>
        <w:pStyle w:val="39"/>
        <w:shd w:val="clear" w:color="auto" w:fill="FFFFFF"/>
        <w:spacing w:before="0" w:beforeAutospacing="0" w:after="0" w:afterAutospacing="0" w:line="360" w:lineRule="auto"/>
        <w:jc w:val="right"/>
        <w:rPr>
          <w:rFonts w:hint="eastAsia"/>
          <w:color w:val="auto"/>
          <w:highlight w:val="none"/>
        </w:rPr>
      </w:pPr>
      <w:r>
        <w:rPr>
          <w:rFonts w:hint="eastAsia"/>
          <w:color w:val="auto"/>
          <w:highlight w:val="none"/>
          <w:shd w:val="clear" w:color="auto" w:fill="FFFFFF"/>
        </w:rPr>
        <w:t>公司（单位）名称（盖章）：　        </w:t>
      </w:r>
    </w:p>
    <w:p>
      <w:pPr>
        <w:pStyle w:val="39"/>
        <w:shd w:val="clear" w:color="auto" w:fill="FFFFFF"/>
        <w:spacing w:before="0" w:beforeAutospacing="0" w:after="0" w:afterAutospacing="0" w:line="360" w:lineRule="auto"/>
        <w:jc w:val="right"/>
        <w:rPr>
          <w:rFonts w:hint="eastAsia"/>
          <w:color w:val="auto"/>
          <w:highlight w:val="none"/>
        </w:rPr>
      </w:pPr>
      <w:r>
        <w:rPr>
          <w:rFonts w:hint="eastAsia"/>
          <w:color w:val="auto"/>
          <w:highlight w:val="none"/>
          <w:shd w:val="clear" w:color="auto" w:fill="FFFFFF"/>
        </w:rPr>
        <w:t>日期：　     年　  月　  日         </w:t>
      </w:r>
    </w:p>
    <w:p>
      <w:pPr>
        <w:pStyle w:val="39"/>
        <w:shd w:val="clear" w:color="auto" w:fill="FFFFFF"/>
        <w:spacing w:before="0" w:beforeAutospacing="0" w:after="0" w:afterAutospacing="0" w:line="360" w:lineRule="auto"/>
        <w:rPr>
          <w:rFonts w:hint="eastAsia"/>
          <w:color w:val="auto"/>
          <w:highlight w:val="none"/>
          <w:shd w:val="clear" w:color="auto" w:fill="FFFFFF"/>
        </w:rPr>
      </w:pPr>
    </w:p>
    <w:p>
      <w:pPr>
        <w:pStyle w:val="39"/>
        <w:shd w:val="clear" w:color="auto" w:fill="FFFFFF"/>
        <w:spacing w:before="0" w:beforeAutospacing="0" w:after="0" w:afterAutospacing="0" w:line="360" w:lineRule="auto"/>
        <w:rPr>
          <w:rFonts w:hint="eastAsia"/>
          <w:color w:val="auto"/>
          <w:highlight w:val="none"/>
          <w:shd w:val="clear" w:color="auto" w:fill="FFFFFF"/>
        </w:rPr>
      </w:pPr>
    </w:p>
    <w:p>
      <w:pPr>
        <w:spacing w:line="360" w:lineRule="auto"/>
        <w:ind w:left="424" w:leftChars="1" w:hanging="422" w:hangingChars="201"/>
        <w:rPr>
          <w:color w:val="auto"/>
          <w:szCs w:val="21"/>
          <w:highlight w:val="none"/>
          <w:shd w:val="clear" w:color="auto" w:fill="FFFFFF"/>
        </w:rPr>
      </w:pPr>
      <w:r>
        <w:rPr>
          <w:color w:val="auto"/>
          <w:szCs w:val="21"/>
          <w:highlight w:val="none"/>
          <w:shd w:val="clear" w:color="auto" w:fill="FFFFFF"/>
        </w:rPr>
        <w:t>注：1.产品如有型号，请在“产品名称”栏一并填写。</w:t>
      </w:r>
    </w:p>
    <w:p>
      <w:pPr>
        <w:spacing w:line="360" w:lineRule="auto"/>
        <w:ind w:left="420" w:leftChars="200"/>
        <w:rPr>
          <w:color w:val="auto"/>
          <w:szCs w:val="21"/>
          <w:highlight w:val="none"/>
          <w:shd w:val="clear" w:color="auto" w:fill="FFFFFF"/>
        </w:rPr>
      </w:pPr>
      <w:r>
        <w:rPr>
          <w:color w:val="auto"/>
          <w:szCs w:val="21"/>
          <w:highlight w:val="none"/>
          <w:shd w:val="clear" w:color="auto" w:fill="FFFFFF"/>
        </w:rPr>
        <w:t>2.生产厂名与厂址应与生产厂营业执照载明的相关信息保持一致。</w:t>
      </w:r>
    </w:p>
    <w:p>
      <w:pPr>
        <w:spacing w:line="360" w:lineRule="auto"/>
        <w:ind w:left="420" w:leftChars="200"/>
        <w:rPr>
          <w:color w:val="auto"/>
          <w:szCs w:val="21"/>
          <w:highlight w:val="none"/>
          <w:shd w:val="clear" w:color="auto" w:fill="FFFFFF"/>
        </w:rPr>
      </w:pPr>
      <w:r>
        <w:rPr>
          <w:color w:val="auto"/>
          <w:szCs w:val="21"/>
          <w:highlight w:val="none"/>
          <w:shd w:val="clear" w:color="auto" w:fill="FFFFFF"/>
        </w:rPr>
        <w:t>3.该产品的中国境内生产的组件成本占比相关要求实施前，“规定比例”栏可不填。</w:t>
      </w:r>
    </w:p>
    <w:p>
      <w:pPr>
        <w:spacing w:line="360" w:lineRule="auto"/>
        <w:ind w:left="420" w:leftChars="200"/>
        <w:rPr>
          <w:color w:val="auto"/>
          <w:szCs w:val="21"/>
          <w:highlight w:val="none"/>
          <w:shd w:val="clear" w:color="auto" w:fill="FFFFFF"/>
        </w:rPr>
      </w:pPr>
      <w:r>
        <w:rPr>
          <w:color w:val="auto"/>
          <w:szCs w:val="21"/>
          <w:highlight w:val="none"/>
          <w:shd w:val="clear" w:color="auto" w:fill="FFFFFF"/>
        </w:rPr>
        <w:t>4.该产品的关键组件要求实施前，“关键组件”栏可不填。</w:t>
      </w:r>
    </w:p>
    <w:p>
      <w:pPr>
        <w:spacing w:line="360" w:lineRule="auto"/>
        <w:ind w:left="420" w:leftChars="200"/>
        <w:rPr>
          <w:color w:val="auto"/>
          <w:szCs w:val="21"/>
          <w:highlight w:val="none"/>
          <w:shd w:val="clear" w:color="auto" w:fill="FFFFFF"/>
        </w:rPr>
      </w:pPr>
      <w:r>
        <w:rPr>
          <w:color w:val="auto"/>
          <w:szCs w:val="21"/>
          <w:highlight w:val="none"/>
          <w:shd w:val="clear" w:color="auto" w:fill="FFFFFF"/>
        </w:rPr>
        <w:t>5.该产品的关键工序要求实施前，“关键工序”栏可不填。</w:t>
      </w:r>
    </w:p>
    <w:p>
      <w:pPr>
        <w:widowControl/>
        <w:jc w:val="left"/>
        <w:rPr>
          <w:color w:val="auto"/>
          <w:szCs w:val="21"/>
          <w:highlight w:val="none"/>
          <w:shd w:val="clear" w:color="auto" w:fill="FFFFFF"/>
        </w:rPr>
      </w:pPr>
      <w:r>
        <w:rPr>
          <w:color w:val="auto"/>
          <w:szCs w:val="21"/>
          <w:highlight w:val="none"/>
          <w:shd w:val="clear" w:color="auto" w:fill="FFFFFF"/>
        </w:rPr>
        <w:br w:type="page"/>
      </w:r>
    </w:p>
    <w:p>
      <w:pPr>
        <w:pStyle w:val="39"/>
        <w:shd w:val="clear" w:color="auto" w:fill="FFFFFF"/>
        <w:spacing w:before="30" w:beforeAutospacing="0" w:after="30" w:afterAutospacing="0"/>
        <w:jc w:val="center"/>
        <w:rPr>
          <w:rStyle w:val="48"/>
          <w:rFonts w:hint="eastAsia"/>
          <w:color w:val="auto"/>
          <w:sz w:val="36"/>
          <w:szCs w:val="36"/>
          <w:highlight w:val="none"/>
        </w:rPr>
      </w:pPr>
      <w:r>
        <w:rPr>
          <w:rStyle w:val="48"/>
          <w:rFonts w:hint="eastAsia"/>
          <w:color w:val="auto"/>
          <w:sz w:val="36"/>
          <w:szCs w:val="36"/>
          <w:highlight w:val="none"/>
        </w:rPr>
        <w:t>产品成本占比承诺函</w:t>
      </w:r>
    </w:p>
    <w:p>
      <w:pPr>
        <w:pStyle w:val="39"/>
        <w:shd w:val="clear" w:color="auto" w:fill="FFFFFF"/>
        <w:spacing w:before="30" w:beforeAutospacing="0" w:after="30" w:afterAutospacing="0"/>
        <w:rPr>
          <w:rStyle w:val="48"/>
          <w:rFonts w:hint="eastAsia"/>
          <w:color w:val="auto"/>
          <w:sz w:val="36"/>
          <w:szCs w:val="36"/>
          <w:highlight w:val="none"/>
        </w:rPr>
      </w:pPr>
    </w:p>
    <w:p>
      <w:pPr>
        <w:widowControl/>
        <w:spacing w:line="360" w:lineRule="auto"/>
        <w:ind w:firstLine="480" w:firstLineChars="200"/>
        <w:jc w:val="left"/>
        <w:rPr>
          <w:color w:val="auto"/>
          <w:sz w:val="24"/>
          <w:highlight w:val="none"/>
          <w:shd w:val="clear" w:color="auto" w:fill="FFFFFF"/>
        </w:rPr>
      </w:pPr>
      <w:r>
        <w:rPr>
          <w:rFonts w:hint="eastAsia"/>
          <w:color w:val="auto"/>
          <w:sz w:val="24"/>
          <w:highlight w:val="none"/>
          <w:shd w:val="clear" w:color="auto" w:fill="FFFFFF"/>
        </w:rPr>
        <w:t>我公司（单位）郑重承诺，我公司已阅读并理解《国务院办公厅关于在政府采购中实施本国产品标准及相关政策的通知》（国办发〔</w:t>
      </w:r>
      <w:r>
        <w:rPr>
          <w:color w:val="auto"/>
          <w:sz w:val="24"/>
          <w:highlight w:val="none"/>
          <w:shd w:val="clear" w:color="auto" w:fill="FFFFFF"/>
        </w:rPr>
        <w:t>2025</w:t>
      </w:r>
      <w:r>
        <w:rPr>
          <w:rFonts w:hint="eastAsia"/>
          <w:color w:val="auto"/>
          <w:sz w:val="24"/>
          <w:highlight w:val="none"/>
          <w:shd w:val="clear" w:color="auto" w:fill="FFFFFF"/>
        </w:rPr>
        <w:t>〕</w:t>
      </w:r>
      <w:r>
        <w:rPr>
          <w:color w:val="auto"/>
          <w:sz w:val="24"/>
          <w:highlight w:val="none"/>
          <w:shd w:val="clear" w:color="auto" w:fill="FFFFFF"/>
        </w:rPr>
        <w:t>34</w:t>
      </w:r>
      <w:r>
        <w:rPr>
          <w:rFonts w:hint="eastAsia"/>
          <w:color w:val="auto"/>
          <w:sz w:val="24"/>
          <w:highlight w:val="none"/>
          <w:shd w:val="clear" w:color="auto" w:fill="FFFFFF"/>
        </w:rPr>
        <w:t>号）的规定。据此承诺如下：</w:t>
      </w:r>
    </w:p>
    <w:p>
      <w:pPr>
        <w:widowControl/>
        <w:spacing w:line="360" w:lineRule="auto"/>
        <w:ind w:firstLine="480" w:firstLineChars="200"/>
        <w:jc w:val="left"/>
        <w:rPr>
          <w:color w:val="auto"/>
          <w:spacing w:val="6"/>
          <w:sz w:val="24"/>
          <w:highlight w:val="none"/>
        </w:rPr>
      </w:pPr>
      <w:r>
        <w:rPr>
          <w:rFonts w:hint="eastAsia"/>
          <w:color w:val="auto"/>
          <w:sz w:val="24"/>
          <w:highlight w:val="none"/>
          <w:shd w:val="clear" w:color="auto" w:fill="FFFFFF"/>
        </w:rPr>
        <w:t>为本采购项目或者采购包提供的符合本国产品标准的产品成本之和占提供的全部产品成本之和的比例为</w:t>
      </w:r>
      <w:r>
        <w:rPr>
          <w:color w:val="auto"/>
          <w:spacing w:val="6"/>
          <w:sz w:val="24"/>
          <w:highlight w:val="none"/>
        </w:rPr>
        <w:t>______%</w:t>
      </w:r>
      <w:r>
        <w:rPr>
          <w:rFonts w:hint="eastAsia"/>
          <w:color w:val="auto"/>
          <w:spacing w:val="6"/>
          <w:sz w:val="24"/>
          <w:highlight w:val="none"/>
        </w:rPr>
        <w:t>。</w:t>
      </w:r>
    </w:p>
    <w:p>
      <w:pPr>
        <w:widowControl/>
        <w:spacing w:line="360" w:lineRule="auto"/>
        <w:ind w:firstLine="480" w:firstLineChars="200"/>
        <w:jc w:val="left"/>
        <w:rPr>
          <w:color w:val="auto"/>
          <w:sz w:val="24"/>
          <w:highlight w:val="none"/>
        </w:rPr>
      </w:pPr>
    </w:p>
    <w:p>
      <w:pPr>
        <w:pStyle w:val="39"/>
        <w:shd w:val="clear" w:color="auto" w:fill="FFFFFF"/>
        <w:spacing w:before="0" w:beforeAutospacing="0" w:after="0" w:afterAutospacing="0" w:line="360" w:lineRule="auto"/>
        <w:jc w:val="right"/>
        <w:rPr>
          <w:rFonts w:hint="eastAsia"/>
          <w:color w:val="auto"/>
          <w:highlight w:val="none"/>
        </w:rPr>
      </w:pPr>
      <w:r>
        <w:rPr>
          <w:rFonts w:hint="eastAsia"/>
          <w:color w:val="auto"/>
          <w:highlight w:val="none"/>
          <w:shd w:val="clear" w:color="auto" w:fill="FFFFFF"/>
        </w:rPr>
        <w:t>公司（单位）名称（盖章）：　        </w:t>
      </w:r>
    </w:p>
    <w:p>
      <w:pPr>
        <w:widowControl/>
        <w:spacing w:line="360" w:lineRule="auto"/>
        <w:ind w:firstLine="480" w:firstLineChars="200"/>
        <w:jc w:val="right"/>
        <w:rPr>
          <w:color w:val="auto"/>
          <w:sz w:val="24"/>
          <w:highlight w:val="none"/>
        </w:rPr>
      </w:pPr>
      <w:r>
        <w:rPr>
          <w:rFonts w:hint="eastAsia"/>
          <w:color w:val="auto"/>
          <w:sz w:val="24"/>
          <w:highlight w:val="none"/>
          <w:shd w:val="clear" w:color="auto" w:fill="FFFFFF"/>
        </w:rPr>
        <w:t>日期：　     </w:t>
      </w:r>
      <w:r>
        <w:rPr>
          <w:rFonts w:hint="eastAsia" w:ascii="宋体" w:hAnsi="宋体" w:cs="宋体"/>
          <w:color w:val="auto"/>
          <w:sz w:val="24"/>
          <w:highlight w:val="none"/>
          <w:shd w:val="clear" w:color="auto" w:fill="FFFFFF"/>
        </w:rPr>
        <w:t>年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月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日</w:t>
      </w:r>
      <w:r>
        <w:rPr>
          <w:rFonts w:hint="eastAsia"/>
          <w:color w:val="auto"/>
          <w:sz w:val="24"/>
          <w:highlight w:val="none"/>
          <w:shd w:val="clear" w:color="auto" w:fill="FFFFFF"/>
        </w:rPr>
        <w:t>     </w:t>
      </w:r>
    </w:p>
    <w:p>
      <w:pPr>
        <w:widowControl/>
        <w:spacing w:line="360" w:lineRule="auto"/>
        <w:jc w:val="left"/>
        <w:rPr>
          <w:color w:val="auto"/>
          <w:sz w:val="24"/>
          <w:highlight w:val="none"/>
        </w:rPr>
      </w:pPr>
    </w:p>
    <w:p>
      <w:pPr>
        <w:widowControl/>
        <w:spacing w:line="360" w:lineRule="auto"/>
        <w:jc w:val="left"/>
        <w:rPr>
          <w:color w:val="auto"/>
          <w:sz w:val="24"/>
          <w:highlight w:val="none"/>
        </w:rPr>
      </w:pPr>
    </w:p>
    <w:p>
      <w:pPr>
        <w:spacing w:line="360" w:lineRule="auto"/>
        <w:rPr>
          <w:color w:val="auto"/>
          <w:sz w:val="22"/>
          <w:szCs w:val="22"/>
          <w:highlight w:val="none"/>
        </w:rPr>
      </w:pPr>
      <w:r>
        <w:rPr>
          <w:rFonts w:hint="eastAsia"/>
          <w:color w:val="auto"/>
          <w:sz w:val="22"/>
          <w:szCs w:val="22"/>
          <w:highlight w:val="none"/>
        </w:rPr>
        <w:t>注：</w:t>
      </w:r>
    </w:p>
    <w:p>
      <w:pPr>
        <w:spacing w:line="360" w:lineRule="auto"/>
        <w:rPr>
          <w:color w:val="auto"/>
          <w:szCs w:val="21"/>
          <w:highlight w:val="none"/>
          <w:shd w:val="clear" w:color="auto" w:fill="FFFFFF"/>
        </w:rPr>
      </w:pPr>
      <w:r>
        <w:rPr>
          <w:color w:val="auto"/>
          <w:szCs w:val="21"/>
          <w:highlight w:val="none"/>
          <w:shd w:val="clear" w:color="auto" w:fill="FFFFFF"/>
        </w:rPr>
        <w:t xml:space="preserve">1. </w:t>
      </w:r>
      <w:r>
        <w:rPr>
          <w:rFonts w:hint="eastAsia"/>
          <w:color w:val="auto"/>
          <w:szCs w:val="21"/>
          <w:highlight w:val="none"/>
          <w:shd w:val="clear" w:color="auto" w:fill="FFFFFF"/>
        </w:rPr>
        <w:t>本承诺函应按包分别提供。</w:t>
      </w:r>
    </w:p>
    <w:p>
      <w:pPr>
        <w:spacing w:line="360" w:lineRule="auto"/>
        <w:rPr>
          <w:color w:val="auto"/>
          <w:szCs w:val="21"/>
          <w:highlight w:val="none"/>
          <w:shd w:val="clear" w:color="auto" w:fill="FFFFFF"/>
        </w:rPr>
      </w:pPr>
      <w:r>
        <w:rPr>
          <w:color w:val="auto"/>
          <w:szCs w:val="21"/>
          <w:highlight w:val="none"/>
          <w:shd w:val="clear" w:color="auto" w:fill="FFFFFF"/>
        </w:rPr>
        <w:t xml:space="preserve">2. </w:t>
      </w:r>
      <w:r>
        <w:rPr>
          <w:rFonts w:hint="eastAsia"/>
          <w:color w:val="auto"/>
          <w:szCs w:val="21"/>
          <w:highlight w:val="none"/>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highlight w:val="none"/>
          <w:shd w:val="clear" w:color="auto" w:fill="FFFFFF"/>
        </w:rPr>
      </w:pPr>
      <w:r>
        <w:rPr>
          <w:color w:val="auto"/>
          <w:szCs w:val="21"/>
          <w:highlight w:val="none"/>
          <w:shd w:val="clear" w:color="auto" w:fill="FFFFFF"/>
        </w:rPr>
        <w:t xml:space="preserve">3. </w:t>
      </w:r>
      <w:r>
        <w:rPr>
          <w:rFonts w:hint="eastAsia"/>
          <w:color w:val="auto"/>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highlight w:val="none"/>
        </w:rPr>
        <w:t>价格评审优惠</w:t>
      </w:r>
      <w:r>
        <w:rPr>
          <w:rFonts w:hint="eastAsia"/>
          <w:color w:val="auto"/>
          <w:szCs w:val="21"/>
          <w:highlight w:val="none"/>
          <w:shd w:val="clear" w:color="auto" w:fill="FFFFFF"/>
        </w:rPr>
        <w:t>。</w:t>
      </w:r>
    </w:p>
    <w:p>
      <w:pPr>
        <w:rPr>
          <w:rFonts w:hint="eastAsia" w:ascii="宋体" w:hAnsi="宋体"/>
          <w:color w:val="auto"/>
          <w:sz w:val="24"/>
          <w:highlight w:val="none"/>
        </w:rPr>
      </w:pPr>
      <w:r>
        <w:rPr>
          <w:rFonts w:ascii="宋体" w:hAnsi="宋体"/>
          <w:color w:val="auto"/>
          <w:sz w:val="24"/>
          <w:highlight w:val="none"/>
        </w:rPr>
        <w:br w:type="page"/>
      </w:r>
    </w:p>
    <w:bookmarkEnd w:id="1044"/>
    <w:p>
      <w:pPr>
        <w:spacing w:line="360" w:lineRule="auto"/>
        <w:outlineLvl w:val="2"/>
        <w:rPr>
          <w:rFonts w:hint="eastAsia" w:ascii="宋体" w:hAnsi="宋体"/>
          <w:color w:val="auto"/>
          <w:sz w:val="24"/>
          <w:highlight w:val="none"/>
        </w:rPr>
      </w:pPr>
      <w:bookmarkStart w:id="1045" w:name="_Toc162979048"/>
      <w:r>
        <w:rPr>
          <w:rFonts w:hint="eastAsia" w:ascii="宋体" w:hAnsi="宋体"/>
          <w:color w:val="auto"/>
          <w:sz w:val="24"/>
          <w:szCs w:val="20"/>
          <w:highlight w:val="none"/>
          <w:lang w:val="en-US" w:eastAsia="zh-CN"/>
        </w:rPr>
        <w:t>8</w:t>
      </w:r>
      <w:r>
        <w:rPr>
          <w:rFonts w:ascii="宋体" w:hAnsi="宋体"/>
          <w:color w:val="auto"/>
          <w:sz w:val="24"/>
          <w:szCs w:val="20"/>
          <w:highlight w:val="none"/>
        </w:rPr>
        <w:t xml:space="preserve">  </w:t>
      </w:r>
      <w:bookmarkEnd w:id="1045"/>
      <w:r>
        <w:rPr>
          <w:rFonts w:hint="eastAsia" w:ascii="宋体" w:hAnsi="宋体"/>
          <w:color w:val="auto"/>
          <w:sz w:val="24"/>
          <w:highlight w:val="none"/>
        </w:rPr>
        <w:t>技术</w:t>
      </w:r>
      <w:r>
        <w:rPr>
          <w:rFonts w:hint="eastAsia" w:ascii="宋体" w:hAnsi="宋体"/>
          <w:color w:val="auto"/>
          <w:sz w:val="24"/>
          <w:highlight w:val="none"/>
          <w:lang w:eastAsia="zh-CN"/>
        </w:rPr>
        <w:t>部分</w:t>
      </w:r>
      <w:r>
        <w:rPr>
          <w:rFonts w:hint="eastAsia" w:ascii="宋体" w:hAnsi="宋体"/>
          <w:color w:val="auto"/>
          <w:sz w:val="24"/>
          <w:highlight w:val="none"/>
        </w:rPr>
        <w:t>方案</w:t>
      </w: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pStyle w:val="55"/>
        <w:ind w:firstLine="480"/>
        <w:rPr>
          <w:rFonts w:hint="eastAsia" w:ascii="宋体" w:hAnsi="宋体"/>
          <w:color w:val="auto"/>
          <w:highlight w:val="none"/>
        </w:rPr>
      </w:pPr>
    </w:p>
    <w:p>
      <w:pPr>
        <w:widowControl/>
        <w:jc w:val="left"/>
        <w:rPr>
          <w:rFonts w:hint="eastAsia" w:ascii="宋体" w:hAnsi="宋体"/>
          <w:b/>
          <w:bCs/>
          <w:color w:val="auto"/>
          <w:sz w:val="24"/>
          <w:highlight w:val="none"/>
        </w:rPr>
      </w:pPr>
    </w:p>
    <w:p>
      <w:pPr>
        <w:rPr>
          <w:rFonts w:hint="eastAsia" w:ascii="宋体" w:hAnsi="宋体"/>
          <w:color w:val="auto"/>
          <w:sz w:val="24"/>
          <w:szCs w:val="20"/>
          <w:highlight w:val="none"/>
        </w:rPr>
      </w:pPr>
      <w:bookmarkStart w:id="1046" w:name="_Toc162979050"/>
      <w:r>
        <w:rPr>
          <w:rFonts w:ascii="宋体" w:hAnsi="宋体"/>
          <w:color w:val="auto"/>
          <w:sz w:val="24"/>
          <w:szCs w:val="20"/>
          <w:highlight w:val="none"/>
        </w:rPr>
        <w:br w:type="page"/>
      </w:r>
    </w:p>
    <w:p>
      <w:pPr>
        <w:spacing w:line="360" w:lineRule="auto"/>
        <w:outlineLvl w:val="2"/>
        <w:rPr>
          <w:rFonts w:hint="eastAsia" w:ascii="宋体" w:hAnsi="宋体"/>
          <w:color w:val="auto"/>
          <w:sz w:val="24"/>
          <w:szCs w:val="20"/>
          <w:highlight w:val="none"/>
        </w:rPr>
      </w:pPr>
      <w:r>
        <w:rPr>
          <w:rFonts w:hint="eastAsia" w:ascii="宋体" w:hAnsi="宋体"/>
          <w:color w:val="auto"/>
          <w:sz w:val="24"/>
          <w:szCs w:val="20"/>
          <w:highlight w:val="none"/>
          <w:lang w:val="en-US" w:eastAsia="zh-CN"/>
        </w:rPr>
        <w:t>9</w:t>
      </w:r>
      <w:r>
        <w:rPr>
          <w:rFonts w:ascii="宋体" w:hAnsi="宋体"/>
          <w:color w:val="auto"/>
          <w:sz w:val="24"/>
          <w:szCs w:val="20"/>
          <w:highlight w:val="none"/>
        </w:rPr>
        <w:t xml:space="preserve">  招标文件要求提供或投标人认为应附的其他材料</w:t>
      </w:r>
      <w:bookmarkEnd w:id="1046"/>
    </w:p>
    <w:p>
      <w:pPr>
        <w:spacing w:line="360" w:lineRule="auto"/>
        <w:outlineLvl w:val="2"/>
        <w:rPr>
          <w:rFonts w:hint="eastAsia" w:ascii="宋体" w:hAnsi="宋体"/>
          <w:color w:val="auto"/>
          <w:sz w:val="24"/>
          <w:szCs w:val="20"/>
          <w:highlight w:val="none"/>
        </w:rPr>
      </w:pPr>
      <w:r>
        <w:rPr>
          <w:rFonts w:hint="eastAsia" w:ascii="宋体" w:hAnsi="宋体"/>
          <w:color w:val="auto"/>
          <w:sz w:val="24"/>
          <w:szCs w:val="20"/>
          <w:highlight w:val="none"/>
          <w:lang w:val="en-US" w:eastAsia="zh-CN"/>
        </w:rPr>
        <w:t>9</w:t>
      </w:r>
      <w:r>
        <w:rPr>
          <w:rFonts w:hint="eastAsia" w:ascii="宋体" w:hAnsi="宋体"/>
          <w:color w:val="auto"/>
          <w:sz w:val="24"/>
          <w:szCs w:val="20"/>
          <w:highlight w:val="none"/>
        </w:rPr>
        <w:t>-1 供应商信息采集表</w:t>
      </w:r>
    </w:p>
    <w:tbl>
      <w:tblPr>
        <w:tblStyle w:val="44"/>
        <w:tblW w:w="917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8"/>
        <w:gridCol w:w="3058"/>
        <w:gridCol w:w="3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058" w:type="dxa"/>
            <w:vAlign w:val="center"/>
          </w:tcPr>
          <w:p>
            <w:pPr>
              <w:spacing w:line="360" w:lineRule="auto"/>
              <w:outlineLvl w:val="2"/>
              <w:rPr>
                <w:rFonts w:hint="eastAsia" w:ascii="宋体" w:hAnsi="宋体"/>
                <w:color w:val="auto"/>
                <w:sz w:val="24"/>
                <w:highlight w:val="none"/>
              </w:rPr>
            </w:pPr>
            <w:r>
              <w:rPr>
                <w:rFonts w:hint="eastAsia" w:ascii="宋体" w:hAnsi="宋体"/>
                <w:color w:val="auto"/>
                <w:sz w:val="24"/>
                <w:highlight w:val="none"/>
              </w:rPr>
              <w:t>供应商名称</w:t>
            </w:r>
          </w:p>
        </w:tc>
        <w:tc>
          <w:tcPr>
            <w:tcW w:w="3058" w:type="dxa"/>
            <w:vAlign w:val="center"/>
          </w:tcPr>
          <w:p>
            <w:pPr>
              <w:spacing w:line="360" w:lineRule="auto"/>
              <w:outlineLvl w:val="2"/>
              <w:rPr>
                <w:rFonts w:hint="eastAsia" w:ascii="宋体" w:hAnsi="宋体"/>
                <w:color w:val="auto"/>
                <w:sz w:val="24"/>
                <w:highlight w:val="none"/>
              </w:rPr>
            </w:pPr>
            <w:r>
              <w:rPr>
                <w:rFonts w:hint="eastAsia" w:ascii="宋体" w:hAnsi="宋体"/>
                <w:color w:val="auto"/>
                <w:sz w:val="24"/>
                <w:highlight w:val="none"/>
              </w:rPr>
              <w:t>供应商所属性别</w:t>
            </w:r>
          </w:p>
        </w:tc>
        <w:tc>
          <w:tcPr>
            <w:tcW w:w="3059" w:type="dxa"/>
            <w:vAlign w:val="center"/>
          </w:tcPr>
          <w:p>
            <w:pPr>
              <w:spacing w:line="360" w:lineRule="auto"/>
              <w:outlineLvl w:val="2"/>
              <w:rPr>
                <w:rFonts w:hint="eastAsia" w:ascii="宋体" w:hAnsi="宋体"/>
                <w:color w:val="auto"/>
                <w:sz w:val="24"/>
                <w:highlight w:val="none"/>
              </w:rPr>
            </w:pPr>
            <w:r>
              <w:rPr>
                <w:rFonts w:hint="eastAsia" w:ascii="宋体" w:hAnsi="宋体"/>
                <w:color w:val="auto"/>
                <w:sz w:val="24"/>
                <w:highlight w:val="none"/>
              </w:rPr>
              <w:t>外商投资类型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pPr>
              <w:spacing w:line="360" w:lineRule="auto"/>
              <w:outlineLvl w:val="2"/>
              <w:rPr>
                <w:rFonts w:hint="eastAsia" w:ascii="宋体" w:hAnsi="宋体"/>
                <w:color w:val="auto"/>
                <w:sz w:val="24"/>
                <w:highlight w:val="none"/>
              </w:rPr>
            </w:pPr>
          </w:p>
        </w:tc>
        <w:tc>
          <w:tcPr>
            <w:tcW w:w="3058" w:type="dxa"/>
          </w:tcPr>
          <w:p>
            <w:pPr>
              <w:spacing w:line="360" w:lineRule="auto"/>
              <w:outlineLvl w:val="2"/>
              <w:rPr>
                <w:rFonts w:hint="eastAsia" w:ascii="宋体" w:hAnsi="宋体"/>
                <w:color w:val="auto"/>
                <w:sz w:val="24"/>
                <w:highlight w:val="none"/>
              </w:rPr>
            </w:pPr>
          </w:p>
        </w:tc>
        <w:tc>
          <w:tcPr>
            <w:tcW w:w="3059" w:type="dxa"/>
          </w:tcPr>
          <w:p>
            <w:pPr>
              <w:spacing w:line="360" w:lineRule="auto"/>
              <w:outlineLvl w:val="2"/>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pPr>
              <w:spacing w:line="360" w:lineRule="auto"/>
              <w:outlineLvl w:val="2"/>
              <w:rPr>
                <w:rFonts w:hint="eastAsia" w:ascii="宋体" w:hAnsi="宋体"/>
                <w:color w:val="auto"/>
                <w:sz w:val="24"/>
                <w:highlight w:val="none"/>
              </w:rPr>
            </w:pPr>
          </w:p>
        </w:tc>
        <w:tc>
          <w:tcPr>
            <w:tcW w:w="3058" w:type="dxa"/>
          </w:tcPr>
          <w:p>
            <w:pPr>
              <w:spacing w:line="360" w:lineRule="auto"/>
              <w:outlineLvl w:val="2"/>
              <w:rPr>
                <w:rFonts w:hint="eastAsia" w:ascii="宋体" w:hAnsi="宋体"/>
                <w:color w:val="auto"/>
                <w:sz w:val="24"/>
                <w:highlight w:val="none"/>
              </w:rPr>
            </w:pPr>
          </w:p>
        </w:tc>
        <w:tc>
          <w:tcPr>
            <w:tcW w:w="3059" w:type="dxa"/>
          </w:tcPr>
          <w:p>
            <w:pPr>
              <w:spacing w:line="360" w:lineRule="auto"/>
              <w:outlineLvl w:val="2"/>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pPr>
              <w:spacing w:line="360" w:lineRule="auto"/>
              <w:outlineLvl w:val="2"/>
              <w:rPr>
                <w:rFonts w:hint="eastAsia" w:ascii="宋体" w:hAnsi="宋体"/>
                <w:color w:val="auto"/>
                <w:sz w:val="24"/>
                <w:highlight w:val="none"/>
              </w:rPr>
            </w:pPr>
          </w:p>
        </w:tc>
        <w:tc>
          <w:tcPr>
            <w:tcW w:w="3058" w:type="dxa"/>
          </w:tcPr>
          <w:p>
            <w:pPr>
              <w:spacing w:line="360" w:lineRule="auto"/>
              <w:outlineLvl w:val="2"/>
              <w:rPr>
                <w:rFonts w:hint="eastAsia" w:ascii="宋体" w:hAnsi="宋体"/>
                <w:color w:val="auto"/>
                <w:sz w:val="24"/>
                <w:highlight w:val="none"/>
              </w:rPr>
            </w:pPr>
          </w:p>
        </w:tc>
        <w:tc>
          <w:tcPr>
            <w:tcW w:w="3059" w:type="dxa"/>
          </w:tcPr>
          <w:p>
            <w:pPr>
              <w:spacing w:line="360" w:lineRule="auto"/>
              <w:outlineLvl w:val="2"/>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8" w:type="dxa"/>
          </w:tcPr>
          <w:p>
            <w:pPr>
              <w:spacing w:line="360" w:lineRule="auto"/>
              <w:outlineLvl w:val="2"/>
              <w:rPr>
                <w:rFonts w:hint="eastAsia" w:ascii="宋体" w:hAnsi="宋体"/>
                <w:color w:val="auto"/>
                <w:sz w:val="24"/>
                <w:highlight w:val="none"/>
              </w:rPr>
            </w:pPr>
          </w:p>
        </w:tc>
        <w:tc>
          <w:tcPr>
            <w:tcW w:w="3058" w:type="dxa"/>
          </w:tcPr>
          <w:p>
            <w:pPr>
              <w:spacing w:line="360" w:lineRule="auto"/>
              <w:outlineLvl w:val="2"/>
              <w:rPr>
                <w:rFonts w:hint="eastAsia" w:ascii="宋体" w:hAnsi="宋体"/>
                <w:color w:val="auto"/>
                <w:sz w:val="24"/>
                <w:highlight w:val="none"/>
              </w:rPr>
            </w:pPr>
          </w:p>
        </w:tc>
        <w:tc>
          <w:tcPr>
            <w:tcW w:w="3059" w:type="dxa"/>
          </w:tcPr>
          <w:p>
            <w:pPr>
              <w:spacing w:line="360" w:lineRule="auto"/>
              <w:outlineLvl w:val="2"/>
              <w:rPr>
                <w:rFonts w:hint="eastAsia" w:ascii="宋体" w:hAnsi="宋体"/>
                <w:color w:val="auto"/>
                <w:sz w:val="24"/>
                <w:highlight w:val="none"/>
              </w:rPr>
            </w:pPr>
          </w:p>
        </w:tc>
      </w:tr>
    </w:tbl>
    <w:p>
      <w:pPr>
        <w:pStyle w:val="55"/>
        <w:ind w:firstLine="480"/>
        <w:rPr>
          <w:rFonts w:hint="eastAsia" w:ascii="宋体" w:hAnsi="宋体"/>
          <w:color w:val="auto"/>
          <w:highlight w:val="none"/>
        </w:rPr>
      </w:pPr>
    </w:p>
    <w:p>
      <w:pPr>
        <w:pStyle w:val="55"/>
        <w:ind w:firstLine="0" w:firstLineChars="0"/>
        <w:rPr>
          <w:rFonts w:hint="eastAsia" w:ascii="宋体" w:hAnsi="宋体"/>
          <w:color w:val="auto"/>
          <w:highlight w:val="none"/>
        </w:rPr>
      </w:pPr>
      <w:r>
        <w:rPr>
          <w:rFonts w:hint="eastAsia" w:ascii="宋体" w:hAnsi="宋体"/>
          <w:color w:val="auto"/>
          <w:highlight w:val="none"/>
        </w:rPr>
        <w:t>注：1.供应商如为联合体，则应填写联合体各成员信息。</w:t>
      </w:r>
    </w:p>
    <w:p>
      <w:pPr>
        <w:pStyle w:val="55"/>
        <w:ind w:firstLine="480"/>
        <w:rPr>
          <w:rFonts w:hint="eastAsia" w:ascii="宋体" w:hAnsi="宋体"/>
          <w:color w:val="auto"/>
          <w:highlight w:val="none"/>
        </w:rPr>
      </w:pPr>
      <w:r>
        <w:rPr>
          <w:rFonts w:hint="eastAsia" w:ascii="宋体" w:hAnsi="宋体"/>
          <w:color w:val="auto"/>
          <w:highlight w:val="none"/>
        </w:rPr>
        <w:t>2.供应商所属性别请填写“男”或“女”，指拥有供应商 51%以上绝对所有权的性别；绝对所有权拥有者可以是一个人，也可以是多人合计计算。</w:t>
      </w:r>
    </w:p>
    <w:p>
      <w:pPr>
        <w:pStyle w:val="55"/>
        <w:ind w:firstLine="480"/>
        <w:rPr>
          <w:rFonts w:hint="eastAsia" w:ascii="宋体" w:hAnsi="宋体"/>
          <w:color w:val="auto"/>
          <w:highlight w:val="none"/>
        </w:rPr>
      </w:pPr>
      <w:r>
        <w:rPr>
          <w:rFonts w:hint="eastAsia" w:ascii="宋体" w:hAnsi="宋体"/>
          <w:color w:val="auto"/>
          <w:highlight w:val="none"/>
        </w:rPr>
        <w:t>3.外商投资类型请填写“外商单独投资”、“外商部分投资”或“内资”。</w:t>
      </w:r>
    </w:p>
    <w:p>
      <w:pPr>
        <w:pStyle w:val="55"/>
        <w:ind w:firstLine="480"/>
        <w:rPr>
          <w:rFonts w:hint="eastAsia" w:ascii="宋体" w:hAnsi="宋体"/>
          <w:color w:val="auto"/>
          <w:highlight w:val="none"/>
        </w:rPr>
      </w:pPr>
    </w:p>
    <w:bookmarkEnd w:id="1047"/>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ˎ̥">
    <w:altName w:val="Noto Serif CJK JP"/>
    <w:panose1 w:val="00000000000000000000"/>
    <w:charset w:val="00"/>
    <w:family w:val="roman"/>
    <w:pitch w:val="default"/>
    <w:sig w:usb0="00000000" w:usb1="00000000" w:usb2="00000000"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Tahoma">
    <w:altName w:val="DejaVu Sans"/>
    <w:panose1 w:val="020B0604030504040204"/>
    <w:charset w:val="00"/>
    <w:family w:val="swiss"/>
    <w:pitch w:val="default"/>
    <w:sig w:usb0="00000000" w:usb1="00000000" w:usb2="00000029" w:usb3="00000000" w:csb0="200101FF" w:csb1="20280000"/>
  </w:font>
  <w:font w:name="Verdana">
    <w:altName w:val="DejaVu Sans"/>
    <w:panose1 w:val="020B0604030504040204"/>
    <w:charset w:val="00"/>
    <w:family w:val="swiss"/>
    <w:pitch w:val="default"/>
    <w:sig w:usb0="00000000" w:usb1="00000000" w:usb2="00000010" w:usb3="00000000" w:csb0="2000019F" w:csb1="00000000"/>
  </w:font>
  <w:font w:name="楷体_GB2312">
    <w:altName w:val="方正楷体_GBK"/>
    <w:panose1 w:val="02010609030101010101"/>
    <w:charset w:val="86"/>
    <w:family w:val="modern"/>
    <w:pitch w:val="default"/>
    <w:sig w:usb0="00000000" w:usb1="00000000" w:usb2="00000000" w:usb3="00000000" w:csb0="00040000" w:csb1="00000000"/>
  </w:font>
  <w:font w:name="Century Gothic">
    <w:altName w:val="Noto Music"/>
    <w:panose1 w:val="020B0502020202020204"/>
    <w:charset w:val="00"/>
    <w:family w:val="swiss"/>
    <w:pitch w:val="default"/>
    <w:sig w:usb0="00000000" w:usb1="00000000" w:usb2="00000000" w:usb3="00000000" w:csb0="2000009F" w:csb1="DFD70000"/>
  </w:font>
  <w:font w:name="等线 Light">
    <w:altName w:val="汉仪中宋简"/>
    <w:panose1 w:val="02010600030101010101"/>
    <w:charset w:val="86"/>
    <w:family w:val="auto"/>
    <w:pitch w:val="default"/>
    <w:sig w:usb0="00000000" w:usb1="00000000" w:usb2="00000016" w:usb3="00000000" w:csb0="0004000F" w:csb1="00000000"/>
  </w:font>
  <w:font w:name="华文楷体">
    <w:altName w:val="方正楷体_GBK"/>
    <w:panose1 w:val="02010600040101010101"/>
    <w:charset w:val="86"/>
    <w:family w:val="auto"/>
    <w:pitch w:val="default"/>
    <w:sig w:usb0="00000000" w:usb1="0000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Leelawadee UI">
    <w:altName w:val="Noto Music"/>
    <w:panose1 w:val="020B0502040204020203"/>
    <w:charset w:val="00"/>
    <w:family w:val="swiss"/>
    <w:pitch w:val="default"/>
    <w:sig w:usb0="00000000" w:usb1="00000000" w:usb2="00010000" w:usb3="00000000" w:csb0="00010101" w:csb1="00000000"/>
  </w:font>
  <w:font w:name="Segoe UI Symbol">
    <w:altName w:val="Noto Sans"/>
    <w:panose1 w:val="020B0502040204020203"/>
    <w:charset w:val="00"/>
    <w:family w:val="swiss"/>
    <w:pitch w:val="default"/>
    <w:sig w:usb0="00000000" w:usb1="00000000" w:usb2="0064C000" w:usb3="00000002" w:csb0="00000001" w:csb1="4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等线">
    <w:altName w:val="方正宋体S-超大字符集(SIP)"/>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PAGE   \* MERGEFORMAT</w:instrText>
    </w:r>
    <w:r>
      <w:fldChar w:fldCharType="separate"/>
    </w:r>
    <w:r>
      <w:rPr>
        <w:lang w:val="zh-CN"/>
      </w:rPr>
      <w:t>25</w:t>
    </w:r>
    <w:r>
      <w:fldChar w:fldCharType="end"/>
    </w:r>
  </w:p>
  <w:p>
    <w:pPr>
      <w:pStyle w:val="2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separate"/>
    </w:r>
    <w:r>
      <w:rPr>
        <w:rStyle w:val="49"/>
      </w:rPr>
      <w:fldChar w:fldCharType="end"/>
    </w:r>
  </w:p>
  <w:p>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41</w:t>
    </w:r>
    <w:r>
      <w:fldChar w:fldCharType="end"/>
    </w:r>
  </w:p>
  <w:p>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41</w:t>
    </w:r>
    <w:r>
      <w:fldChar w:fldCharType="end"/>
    </w:r>
  </w:p>
  <w:p>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separate"/>
    </w:r>
    <w:r>
      <w:rPr>
        <w:rStyle w:val="49"/>
      </w:rPr>
      <w:fldChar w:fldCharType="end"/>
    </w:r>
  </w:p>
  <w:p>
    <w:pPr>
      <w:pStyle w:val="28"/>
      <w:ind w:right="360"/>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separate"/>
    </w:r>
    <w:r>
      <w:rPr>
        <w:rStyle w:val="49"/>
      </w:rPr>
      <w:fldChar w:fldCharType="end"/>
    </w:r>
  </w:p>
  <w:p>
    <w:pPr>
      <w:pStyle w:val="28"/>
      <w:ind w:right="360"/>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9193"/>
        </w:tabs>
        <w:ind w:left="9193" w:hanging="1140"/>
      </w:pPr>
      <w:rPr>
        <w:rFonts w:hint="eastAsia"/>
      </w:rPr>
    </w:lvl>
    <w:lvl w:ilvl="1" w:tentative="0">
      <w:start w:val="1"/>
      <w:numFmt w:val="lowerLetter"/>
      <w:lvlText w:val="%2)"/>
      <w:lvlJc w:val="left"/>
      <w:pPr>
        <w:tabs>
          <w:tab w:val="left" w:pos="8893"/>
        </w:tabs>
        <w:ind w:left="8893" w:hanging="420"/>
      </w:pPr>
    </w:lvl>
    <w:lvl w:ilvl="2" w:tentative="0">
      <w:start w:val="1"/>
      <w:numFmt w:val="lowerRoman"/>
      <w:lvlText w:val="%3."/>
      <w:lvlJc w:val="right"/>
      <w:pPr>
        <w:tabs>
          <w:tab w:val="left" w:pos="9313"/>
        </w:tabs>
        <w:ind w:left="9313" w:hanging="420"/>
      </w:pPr>
    </w:lvl>
    <w:lvl w:ilvl="3" w:tentative="0">
      <w:start w:val="1"/>
      <w:numFmt w:val="decimal"/>
      <w:lvlText w:val="%4."/>
      <w:lvlJc w:val="left"/>
      <w:pPr>
        <w:tabs>
          <w:tab w:val="left" w:pos="9733"/>
        </w:tabs>
        <w:ind w:left="9733" w:hanging="420"/>
      </w:pPr>
    </w:lvl>
    <w:lvl w:ilvl="4" w:tentative="0">
      <w:start w:val="1"/>
      <w:numFmt w:val="lowerLetter"/>
      <w:lvlText w:val="%5)"/>
      <w:lvlJc w:val="left"/>
      <w:pPr>
        <w:tabs>
          <w:tab w:val="left" w:pos="10153"/>
        </w:tabs>
        <w:ind w:left="10153" w:hanging="420"/>
      </w:pPr>
    </w:lvl>
    <w:lvl w:ilvl="5" w:tentative="0">
      <w:start w:val="1"/>
      <w:numFmt w:val="lowerRoman"/>
      <w:lvlText w:val="%6."/>
      <w:lvlJc w:val="right"/>
      <w:pPr>
        <w:tabs>
          <w:tab w:val="left" w:pos="10573"/>
        </w:tabs>
        <w:ind w:left="10573" w:hanging="420"/>
      </w:pPr>
    </w:lvl>
    <w:lvl w:ilvl="6" w:tentative="0">
      <w:start w:val="1"/>
      <w:numFmt w:val="decimal"/>
      <w:lvlText w:val="%7."/>
      <w:lvlJc w:val="left"/>
      <w:pPr>
        <w:tabs>
          <w:tab w:val="left" w:pos="10993"/>
        </w:tabs>
        <w:ind w:left="10993" w:hanging="420"/>
      </w:pPr>
    </w:lvl>
    <w:lvl w:ilvl="7" w:tentative="0">
      <w:start w:val="1"/>
      <w:numFmt w:val="lowerLetter"/>
      <w:lvlText w:val="%8)"/>
      <w:lvlJc w:val="left"/>
      <w:pPr>
        <w:tabs>
          <w:tab w:val="left" w:pos="11413"/>
        </w:tabs>
        <w:ind w:left="11413" w:hanging="420"/>
      </w:pPr>
    </w:lvl>
    <w:lvl w:ilvl="8" w:tentative="0">
      <w:start w:val="1"/>
      <w:numFmt w:val="lowerRoman"/>
      <w:lvlText w:val="%9."/>
      <w:lvlJc w:val="right"/>
      <w:pPr>
        <w:tabs>
          <w:tab w:val="left" w:pos="11833"/>
        </w:tabs>
        <w:ind w:left="11833" w:hanging="420"/>
      </w:pPr>
    </w:lvl>
  </w:abstractNum>
  <w:abstractNum w:abstractNumId="1">
    <w:nsid w:val="0000000A"/>
    <w:multiLevelType w:val="multilevel"/>
    <w:tmpl w:val="0000000A"/>
    <w:lvl w:ilvl="0" w:tentative="0">
      <w:start w:val="1"/>
      <w:numFmt w:val="decimal"/>
      <w:pStyle w:val="115"/>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60"/>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109"/>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8"/>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5"/>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4"/>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3"/>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6"/>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9"/>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7"/>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宋体" w:hAnsi="宋体" w:eastAsia="宋体"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114"/>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E25754"/>
    <w:multiLevelType w:val="multilevel"/>
    <w:tmpl w:val="01E25754"/>
    <w:lvl w:ilvl="0" w:tentative="0">
      <w:start w:val="1"/>
      <w:numFmt w:val="japaneseCounting"/>
      <w:lvlText w:val="%1、"/>
      <w:lvlJc w:val="left"/>
      <w:pPr>
        <w:ind w:left="420" w:hanging="420"/>
      </w:pPr>
      <w:rPr>
        <w:rFonts w:hint="default"/>
        <w:lang w:val="en-US"/>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21F1CD9"/>
    <w:multiLevelType w:val="multilevel"/>
    <w:tmpl w:val="021F1CD9"/>
    <w:lvl w:ilvl="0" w:tentative="0">
      <w:start w:val="1"/>
      <w:numFmt w:val="japaneseCounting"/>
      <w:lvlText w:val="（%1）"/>
      <w:lvlJc w:val="left"/>
      <w:pPr>
        <w:ind w:left="1201" w:hanging="720"/>
      </w:pPr>
      <w:rPr>
        <w:rFonts w:hint="default"/>
      </w:rPr>
    </w:lvl>
    <w:lvl w:ilvl="1" w:tentative="0">
      <w:start w:val="1"/>
      <w:numFmt w:val="lowerLetter"/>
      <w:lvlText w:val="%2)"/>
      <w:lvlJc w:val="left"/>
      <w:pPr>
        <w:ind w:left="1361" w:hanging="440"/>
      </w:pPr>
    </w:lvl>
    <w:lvl w:ilvl="2" w:tentative="0">
      <w:start w:val="1"/>
      <w:numFmt w:val="lowerRoman"/>
      <w:lvlText w:val="%3."/>
      <w:lvlJc w:val="right"/>
      <w:pPr>
        <w:ind w:left="1801" w:hanging="440"/>
      </w:pPr>
    </w:lvl>
    <w:lvl w:ilvl="3" w:tentative="0">
      <w:start w:val="1"/>
      <w:numFmt w:val="decimal"/>
      <w:lvlText w:val="%4."/>
      <w:lvlJc w:val="left"/>
      <w:pPr>
        <w:ind w:left="2241" w:hanging="440"/>
      </w:pPr>
    </w:lvl>
    <w:lvl w:ilvl="4" w:tentative="0">
      <w:start w:val="1"/>
      <w:numFmt w:val="lowerLetter"/>
      <w:lvlText w:val="%5)"/>
      <w:lvlJc w:val="left"/>
      <w:pPr>
        <w:ind w:left="2681" w:hanging="440"/>
      </w:pPr>
    </w:lvl>
    <w:lvl w:ilvl="5" w:tentative="0">
      <w:start w:val="1"/>
      <w:numFmt w:val="lowerRoman"/>
      <w:lvlText w:val="%6."/>
      <w:lvlJc w:val="right"/>
      <w:pPr>
        <w:ind w:left="3121" w:hanging="440"/>
      </w:pPr>
    </w:lvl>
    <w:lvl w:ilvl="6" w:tentative="0">
      <w:start w:val="1"/>
      <w:numFmt w:val="decimal"/>
      <w:lvlText w:val="%7."/>
      <w:lvlJc w:val="left"/>
      <w:pPr>
        <w:ind w:left="3561" w:hanging="440"/>
      </w:pPr>
    </w:lvl>
    <w:lvl w:ilvl="7" w:tentative="0">
      <w:start w:val="1"/>
      <w:numFmt w:val="lowerLetter"/>
      <w:lvlText w:val="%8)"/>
      <w:lvlJc w:val="left"/>
      <w:pPr>
        <w:ind w:left="4001" w:hanging="440"/>
      </w:pPr>
    </w:lvl>
    <w:lvl w:ilvl="8" w:tentative="0">
      <w:start w:val="1"/>
      <w:numFmt w:val="lowerRoman"/>
      <w:lvlText w:val="%9."/>
      <w:lvlJc w:val="right"/>
      <w:pPr>
        <w:ind w:left="4441" w:hanging="440"/>
      </w:pPr>
    </w:lvl>
  </w:abstractNum>
  <w:abstractNum w:abstractNumId="10">
    <w:nsid w:val="0E230849"/>
    <w:multiLevelType w:val="multilevel"/>
    <w:tmpl w:val="0E230849"/>
    <w:lvl w:ilvl="0" w:tentative="0">
      <w:start w:val="1"/>
      <w:numFmt w:val="decimal"/>
      <w:pStyle w:val="215"/>
      <w:lvlText w:val="%1"/>
      <w:lvlJc w:val="left"/>
      <w:pPr>
        <w:ind w:left="680" w:hanging="680"/>
      </w:pPr>
      <w:rPr>
        <w:rFonts w:hint="eastAsia" w:ascii="宋体" w:hAnsi="宋体" w:eastAsia="宋体"/>
      </w:rPr>
    </w:lvl>
    <w:lvl w:ilvl="1" w:tentative="0">
      <w:start w:val="1"/>
      <w:numFmt w:val="decimal"/>
      <w:pStyle w:val="216"/>
      <w:lvlText w:val="%1.%2"/>
      <w:lvlJc w:val="left"/>
      <w:pPr>
        <w:ind w:left="851" w:hanging="851"/>
      </w:pPr>
      <w:rPr>
        <w:rFonts w:hint="eastAsia" w:ascii="宋体" w:hAnsi="宋体" w:eastAsia="宋体"/>
        <w:color w:val="auto"/>
      </w:rPr>
    </w:lvl>
    <w:lvl w:ilvl="2" w:tentative="0">
      <w:start w:val="1"/>
      <w:numFmt w:val="decimal"/>
      <w:pStyle w:val="21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553D58D2"/>
    <w:multiLevelType w:val="multilevel"/>
    <w:tmpl w:val="553D58D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5C41023"/>
    <w:multiLevelType w:val="multilevel"/>
    <w:tmpl w:val="55C4102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0"/>
  </w:num>
  <w:num w:numId="8">
    <w:abstractNumId w:val="6"/>
  </w:num>
  <w:num w:numId="9">
    <w:abstractNumId w:val="0"/>
  </w:num>
  <w:num w:numId="10">
    <w:abstractNumId w:val="14"/>
  </w:num>
  <w:num w:numId="11">
    <w:abstractNumId w:val="11"/>
  </w:num>
  <w:num w:numId="12">
    <w:abstractNumId w:val="17"/>
  </w:num>
  <w:num w:numId="13">
    <w:abstractNumId w:val="8"/>
  </w:num>
  <w:num w:numId="14">
    <w:abstractNumId w:val="15"/>
  </w:num>
  <w:num w:numId="15">
    <w:abstractNumId w:val="9"/>
  </w:num>
  <w:num w:numId="16">
    <w:abstractNumId w:val="16"/>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1ZjY3ZWRlY2NjZWM0MDFjMWQ0NGFkNDNiOTc2ZGUifQ=="/>
  </w:docVars>
  <w:rsids>
    <w:rsidRoot w:val="00535C5B"/>
    <w:rsid w:val="00001B46"/>
    <w:rsid w:val="00004F87"/>
    <w:rsid w:val="000070D1"/>
    <w:rsid w:val="000101BF"/>
    <w:rsid w:val="000106BB"/>
    <w:rsid w:val="00011AF3"/>
    <w:rsid w:val="00012904"/>
    <w:rsid w:val="000141B9"/>
    <w:rsid w:val="000163C5"/>
    <w:rsid w:val="00017FDA"/>
    <w:rsid w:val="0002328E"/>
    <w:rsid w:val="000312BC"/>
    <w:rsid w:val="000345D4"/>
    <w:rsid w:val="00035870"/>
    <w:rsid w:val="00036D30"/>
    <w:rsid w:val="00040D3D"/>
    <w:rsid w:val="000424CB"/>
    <w:rsid w:val="00043ECE"/>
    <w:rsid w:val="00044B80"/>
    <w:rsid w:val="000469CD"/>
    <w:rsid w:val="0004700C"/>
    <w:rsid w:val="000502BD"/>
    <w:rsid w:val="00054433"/>
    <w:rsid w:val="00057F35"/>
    <w:rsid w:val="00060F94"/>
    <w:rsid w:val="00066292"/>
    <w:rsid w:val="00070AE4"/>
    <w:rsid w:val="00071ABC"/>
    <w:rsid w:val="00072314"/>
    <w:rsid w:val="000736AB"/>
    <w:rsid w:val="00074892"/>
    <w:rsid w:val="0007586C"/>
    <w:rsid w:val="0007664F"/>
    <w:rsid w:val="00077DD1"/>
    <w:rsid w:val="00083666"/>
    <w:rsid w:val="000837A1"/>
    <w:rsid w:val="0009003A"/>
    <w:rsid w:val="000932D7"/>
    <w:rsid w:val="000A140E"/>
    <w:rsid w:val="000A3534"/>
    <w:rsid w:val="000A45B3"/>
    <w:rsid w:val="000A4C87"/>
    <w:rsid w:val="000A6FD0"/>
    <w:rsid w:val="000A79D9"/>
    <w:rsid w:val="000B403F"/>
    <w:rsid w:val="000C0BB0"/>
    <w:rsid w:val="000C196A"/>
    <w:rsid w:val="000C265E"/>
    <w:rsid w:val="000C2879"/>
    <w:rsid w:val="000C2A61"/>
    <w:rsid w:val="000C2D63"/>
    <w:rsid w:val="000C2FBA"/>
    <w:rsid w:val="000C3867"/>
    <w:rsid w:val="000C45AA"/>
    <w:rsid w:val="000C5A07"/>
    <w:rsid w:val="000C5DC0"/>
    <w:rsid w:val="000C7660"/>
    <w:rsid w:val="000C7C07"/>
    <w:rsid w:val="000D037F"/>
    <w:rsid w:val="000D3709"/>
    <w:rsid w:val="000D3EFE"/>
    <w:rsid w:val="000E2A60"/>
    <w:rsid w:val="000E46E9"/>
    <w:rsid w:val="000E4F37"/>
    <w:rsid w:val="000F3FEF"/>
    <w:rsid w:val="000F450E"/>
    <w:rsid w:val="000F55EB"/>
    <w:rsid w:val="000F6784"/>
    <w:rsid w:val="00100115"/>
    <w:rsid w:val="001009C6"/>
    <w:rsid w:val="00100C09"/>
    <w:rsid w:val="00103488"/>
    <w:rsid w:val="0010708F"/>
    <w:rsid w:val="0010747C"/>
    <w:rsid w:val="00107F19"/>
    <w:rsid w:val="00110117"/>
    <w:rsid w:val="00110795"/>
    <w:rsid w:val="00110E05"/>
    <w:rsid w:val="001133AE"/>
    <w:rsid w:val="00113C53"/>
    <w:rsid w:val="00114420"/>
    <w:rsid w:val="001168EF"/>
    <w:rsid w:val="00120070"/>
    <w:rsid w:val="00121E26"/>
    <w:rsid w:val="00122326"/>
    <w:rsid w:val="001254BF"/>
    <w:rsid w:val="0013242C"/>
    <w:rsid w:val="001336EF"/>
    <w:rsid w:val="00136A3C"/>
    <w:rsid w:val="001371AC"/>
    <w:rsid w:val="0014158E"/>
    <w:rsid w:val="0014297D"/>
    <w:rsid w:val="00143374"/>
    <w:rsid w:val="00143916"/>
    <w:rsid w:val="00147A5B"/>
    <w:rsid w:val="001510C5"/>
    <w:rsid w:val="001521EF"/>
    <w:rsid w:val="001528D4"/>
    <w:rsid w:val="00153966"/>
    <w:rsid w:val="00153F09"/>
    <w:rsid w:val="00157FA7"/>
    <w:rsid w:val="00163259"/>
    <w:rsid w:val="00171EE7"/>
    <w:rsid w:val="001735F3"/>
    <w:rsid w:val="00176132"/>
    <w:rsid w:val="00177728"/>
    <w:rsid w:val="001802CD"/>
    <w:rsid w:val="0018101D"/>
    <w:rsid w:val="001848B3"/>
    <w:rsid w:val="00184CF5"/>
    <w:rsid w:val="001923E5"/>
    <w:rsid w:val="00195B90"/>
    <w:rsid w:val="001966B5"/>
    <w:rsid w:val="001967CD"/>
    <w:rsid w:val="001A38C1"/>
    <w:rsid w:val="001A477F"/>
    <w:rsid w:val="001A5941"/>
    <w:rsid w:val="001A7559"/>
    <w:rsid w:val="001A7999"/>
    <w:rsid w:val="001A7D9E"/>
    <w:rsid w:val="001B0D81"/>
    <w:rsid w:val="001B166A"/>
    <w:rsid w:val="001B27EE"/>
    <w:rsid w:val="001B6569"/>
    <w:rsid w:val="001B6663"/>
    <w:rsid w:val="001B6BCE"/>
    <w:rsid w:val="001B75EE"/>
    <w:rsid w:val="001C03A0"/>
    <w:rsid w:val="001C1EBF"/>
    <w:rsid w:val="001C62A8"/>
    <w:rsid w:val="001C7049"/>
    <w:rsid w:val="001C783D"/>
    <w:rsid w:val="001D4CB4"/>
    <w:rsid w:val="001D651B"/>
    <w:rsid w:val="001D6DF4"/>
    <w:rsid w:val="001D78DD"/>
    <w:rsid w:val="001E03CB"/>
    <w:rsid w:val="001E11B5"/>
    <w:rsid w:val="001E3A66"/>
    <w:rsid w:val="001E411B"/>
    <w:rsid w:val="001E47FC"/>
    <w:rsid w:val="001E748E"/>
    <w:rsid w:val="001E7D36"/>
    <w:rsid w:val="001F338C"/>
    <w:rsid w:val="002016E8"/>
    <w:rsid w:val="0020393A"/>
    <w:rsid w:val="0020403A"/>
    <w:rsid w:val="002044C3"/>
    <w:rsid w:val="00205C39"/>
    <w:rsid w:val="00207307"/>
    <w:rsid w:val="00207C6B"/>
    <w:rsid w:val="00210B3E"/>
    <w:rsid w:val="00211D76"/>
    <w:rsid w:val="0021342D"/>
    <w:rsid w:val="0021370E"/>
    <w:rsid w:val="0021559A"/>
    <w:rsid w:val="002165D2"/>
    <w:rsid w:val="0022053B"/>
    <w:rsid w:val="002209AC"/>
    <w:rsid w:val="002211D2"/>
    <w:rsid w:val="00223423"/>
    <w:rsid w:val="00223899"/>
    <w:rsid w:val="002247F0"/>
    <w:rsid w:val="00225C33"/>
    <w:rsid w:val="0022658D"/>
    <w:rsid w:val="00227313"/>
    <w:rsid w:val="00231587"/>
    <w:rsid w:val="002319BB"/>
    <w:rsid w:val="002321AA"/>
    <w:rsid w:val="00232EC3"/>
    <w:rsid w:val="002379FB"/>
    <w:rsid w:val="00237CA1"/>
    <w:rsid w:val="00237E40"/>
    <w:rsid w:val="0024101D"/>
    <w:rsid w:val="00242197"/>
    <w:rsid w:val="002439BF"/>
    <w:rsid w:val="00245935"/>
    <w:rsid w:val="002461E1"/>
    <w:rsid w:val="002504EE"/>
    <w:rsid w:val="00250D51"/>
    <w:rsid w:val="002535DA"/>
    <w:rsid w:val="00254C92"/>
    <w:rsid w:val="00254F1B"/>
    <w:rsid w:val="002555ED"/>
    <w:rsid w:val="0026087F"/>
    <w:rsid w:val="002639CE"/>
    <w:rsid w:val="00263BE8"/>
    <w:rsid w:val="00264D2E"/>
    <w:rsid w:val="00266F22"/>
    <w:rsid w:val="0027065B"/>
    <w:rsid w:val="002710B5"/>
    <w:rsid w:val="002712EE"/>
    <w:rsid w:val="00273F41"/>
    <w:rsid w:val="00275924"/>
    <w:rsid w:val="0027648D"/>
    <w:rsid w:val="00276ED8"/>
    <w:rsid w:val="002806D0"/>
    <w:rsid w:val="002814D5"/>
    <w:rsid w:val="0028757F"/>
    <w:rsid w:val="002875F3"/>
    <w:rsid w:val="00290870"/>
    <w:rsid w:val="002915C8"/>
    <w:rsid w:val="00292B33"/>
    <w:rsid w:val="00293970"/>
    <w:rsid w:val="00295532"/>
    <w:rsid w:val="002A1E3C"/>
    <w:rsid w:val="002A2B15"/>
    <w:rsid w:val="002A49F6"/>
    <w:rsid w:val="002A5A17"/>
    <w:rsid w:val="002A694E"/>
    <w:rsid w:val="002A74DD"/>
    <w:rsid w:val="002A7C38"/>
    <w:rsid w:val="002B0861"/>
    <w:rsid w:val="002B153C"/>
    <w:rsid w:val="002B20EA"/>
    <w:rsid w:val="002B216B"/>
    <w:rsid w:val="002B5FA5"/>
    <w:rsid w:val="002C1714"/>
    <w:rsid w:val="002C48DD"/>
    <w:rsid w:val="002D0411"/>
    <w:rsid w:val="002D4764"/>
    <w:rsid w:val="002D4966"/>
    <w:rsid w:val="002D4C16"/>
    <w:rsid w:val="002D61CC"/>
    <w:rsid w:val="002E10F6"/>
    <w:rsid w:val="002E4F75"/>
    <w:rsid w:val="002E5EA7"/>
    <w:rsid w:val="002E5F6F"/>
    <w:rsid w:val="002E762E"/>
    <w:rsid w:val="002E7978"/>
    <w:rsid w:val="002E7D41"/>
    <w:rsid w:val="002F1968"/>
    <w:rsid w:val="002F2188"/>
    <w:rsid w:val="002F2A7B"/>
    <w:rsid w:val="002F3D3C"/>
    <w:rsid w:val="002F441D"/>
    <w:rsid w:val="002F511C"/>
    <w:rsid w:val="003027A4"/>
    <w:rsid w:val="00303A2B"/>
    <w:rsid w:val="0030453C"/>
    <w:rsid w:val="003045B7"/>
    <w:rsid w:val="003047CC"/>
    <w:rsid w:val="00304E4D"/>
    <w:rsid w:val="003051F2"/>
    <w:rsid w:val="00307D6C"/>
    <w:rsid w:val="003103A8"/>
    <w:rsid w:val="00310C03"/>
    <w:rsid w:val="00311489"/>
    <w:rsid w:val="003149A9"/>
    <w:rsid w:val="00314B7E"/>
    <w:rsid w:val="003161AB"/>
    <w:rsid w:val="00321497"/>
    <w:rsid w:val="003223EC"/>
    <w:rsid w:val="003226D5"/>
    <w:rsid w:val="00323B61"/>
    <w:rsid w:val="00324BE7"/>
    <w:rsid w:val="0032502F"/>
    <w:rsid w:val="00334031"/>
    <w:rsid w:val="00334842"/>
    <w:rsid w:val="0033526C"/>
    <w:rsid w:val="00336249"/>
    <w:rsid w:val="00337BDC"/>
    <w:rsid w:val="00340810"/>
    <w:rsid w:val="00342117"/>
    <w:rsid w:val="00342438"/>
    <w:rsid w:val="00345007"/>
    <w:rsid w:val="003455D6"/>
    <w:rsid w:val="00347EE0"/>
    <w:rsid w:val="0035086F"/>
    <w:rsid w:val="00352FC4"/>
    <w:rsid w:val="003566F5"/>
    <w:rsid w:val="00356B7F"/>
    <w:rsid w:val="00360B35"/>
    <w:rsid w:val="00360FAB"/>
    <w:rsid w:val="00361AEB"/>
    <w:rsid w:val="00366A85"/>
    <w:rsid w:val="00366F89"/>
    <w:rsid w:val="00367EC0"/>
    <w:rsid w:val="0037085B"/>
    <w:rsid w:val="00370A9A"/>
    <w:rsid w:val="003727B6"/>
    <w:rsid w:val="003738E7"/>
    <w:rsid w:val="00373F15"/>
    <w:rsid w:val="00374AED"/>
    <w:rsid w:val="003765E6"/>
    <w:rsid w:val="0038143C"/>
    <w:rsid w:val="00383E27"/>
    <w:rsid w:val="003845FC"/>
    <w:rsid w:val="003908C4"/>
    <w:rsid w:val="003915EA"/>
    <w:rsid w:val="003939CD"/>
    <w:rsid w:val="00395BF4"/>
    <w:rsid w:val="00397689"/>
    <w:rsid w:val="003A1541"/>
    <w:rsid w:val="003A4D8E"/>
    <w:rsid w:val="003A52BD"/>
    <w:rsid w:val="003A54A3"/>
    <w:rsid w:val="003A5550"/>
    <w:rsid w:val="003B4F73"/>
    <w:rsid w:val="003B537D"/>
    <w:rsid w:val="003B63C3"/>
    <w:rsid w:val="003B665B"/>
    <w:rsid w:val="003B70A8"/>
    <w:rsid w:val="003C3667"/>
    <w:rsid w:val="003C50EC"/>
    <w:rsid w:val="003D38EF"/>
    <w:rsid w:val="003E117A"/>
    <w:rsid w:val="003E2D7C"/>
    <w:rsid w:val="003E3200"/>
    <w:rsid w:val="003E33FD"/>
    <w:rsid w:val="003E40C6"/>
    <w:rsid w:val="003E4504"/>
    <w:rsid w:val="003E76CB"/>
    <w:rsid w:val="003F3F58"/>
    <w:rsid w:val="003F5945"/>
    <w:rsid w:val="0040113D"/>
    <w:rsid w:val="004019B2"/>
    <w:rsid w:val="0040384C"/>
    <w:rsid w:val="004051F0"/>
    <w:rsid w:val="00405866"/>
    <w:rsid w:val="004077C4"/>
    <w:rsid w:val="00415D3C"/>
    <w:rsid w:val="004165D1"/>
    <w:rsid w:val="00416906"/>
    <w:rsid w:val="004172F7"/>
    <w:rsid w:val="0042446E"/>
    <w:rsid w:val="00427500"/>
    <w:rsid w:val="004306E8"/>
    <w:rsid w:val="00431B1A"/>
    <w:rsid w:val="00435110"/>
    <w:rsid w:val="004374FC"/>
    <w:rsid w:val="00440EDB"/>
    <w:rsid w:val="00441F16"/>
    <w:rsid w:val="0044501B"/>
    <w:rsid w:val="00452BD8"/>
    <w:rsid w:val="00452D8D"/>
    <w:rsid w:val="00453636"/>
    <w:rsid w:val="004539ED"/>
    <w:rsid w:val="004540DC"/>
    <w:rsid w:val="004544D3"/>
    <w:rsid w:val="00456EF5"/>
    <w:rsid w:val="00457471"/>
    <w:rsid w:val="00457DDE"/>
    <w:rsid w:val="004619AB"/>
    <w:rsid w:val="00461D53"/>
    <w:rsid w:val="00462492"/>
    <w:rsid w:val="00464029"/>
    <w:rsid w:val="00466E13"/>
    <w:rsid w:val="00474F32"/>
    <w:rsid w:val="004764EB"/>
    <w:rsid w:val="00477DF8"/>
    <w:rsid w:val="004822D6"/>
    <w:rsid w:val="00484D86"/>
    <w:rsid w:val="0048728B"/>
    <w:rsid w:val="0049152B"/>
    <w:rsid w:val="00492F13"/>
    <w:rsid w:val="00497AB6"/>
    <w:rsid w:val="004A07B1"/>
    <w:rsid w:val="004A1C57"/>
    <w:rsid w:val="004A2847"/>
    <w:rsid w:val="004A5003"/>
    <w:rsid w:val="004A6D48"/>
    <w:rsid w:val="004A7FD9"/>
    <w:rsid w:val="004B1F72"/>
    <w:rsid w:val="004B2354"/>
    <w:rsid w:val="004B37E4"/>
    <w:rsid w:val="004B3B64"/>
    <w:rsid w:val="004B5568"/>
    <w:rsid w:val="004B77F2"/>
    <w:rsid w:val="004C1C69"/>
    <w:rsid w:val="004C42D3"/>
    <w:rsid w:val="004C5A7F"/>
    <w:rsid w:val="004C6A43"/>
    <w:rsid w:val="004D0E8D"/>
    <w:rsid w:val="004D39F6"/>
    <w:rsid w:val="004D3A4E"/>
    <w:rsid w:val="004D3D22"/>
    <w:rsid w:val="004D5E25"/>
    <w:rsid w:val="004E0DB0"/>
    <w:rsid w:val="004E17F4"/>
    <w:rsid w:val="004E2DC1"/>
    <w:rsid w:val="004E5974"/>
    <w:rsid w:val="004E5A7C"/>
    <w:rsid w:val="004E65DE"/>
    <w:rsid w:val="004F036C"/>
    <w:rsid w:val="004F07B1"/>
    <w:rsid w:val="004F24AA"/>
    <w:rsid w:val="004F2554"/>
    <w:rsid w:val="004F5167"/>
    <w:rsid w:val="004F5EF3"/>
    <w:rsid w:val="004F7CDB"/>
    <w:rsid w:val="00500D1C"/>
    <w:rsid w:val="00501BF8"/>
    <w:rsid w:val="00504A57"/>
    <w:rsid w:val="00507DC6"/>
    <w:rsid w:val="00511A37"/>
    <w:rsid w:val="00511B4B"/>
    <w:rsid w:val="00512CE9"/>
    <w:rsid w:val="005149D2"/>
    <w:rsid w:val="00522FF7"/>
    <w:rsid w:val="00524A3B"/>
    <w:rsid w:val="005250AE"/>
    <w:rsid w:val="00525E19"/>
    <w:rsid w:val="00530C3B"/>
    <w:rsid w:val="00535C5B"/>
    <w:rsid w:val="00535DA7"/>
    <w:rsid w:val="00536357"/>
    <w:rsid w:val="00536A2B"/>
    <w:rsid w:val="00540FFE"/>
    <w:rsid w:val="005415F6"/>
    <w:rsid w:val="00541983"/>
    <w:rsid w:val="00542A69"/>
    <w:rsid w:val="00550932"/>
    <w:rsid w:val="00550EB8"/>
    <w:rsid w:val="00552057"/>
    <w:rsid w:val="005602EC"/>
    <w:rsid w:val="005650D1"/>
    <w:rsid w:val="00567D44"/>
    <w:rsid w:val="0057101E"/>
    <w:rsid w:val="005712C4"/>
    <w:rsid w:val="00571858"/>
    <w:rsid w:val="00572602"/>
    <w:rsid w:val="00577A88"/>
    <w:rsid w:val="005802B3"/>
    <w:rsid w:val="0058136A"/>
    <w:rsid w:val="00582FD6"/>
    <w:rsid w:val="0059110C"/>
    <w:rsid w:val="00591B4D"/>
    <w:rsid w:val="00593FF3"/>
    <w:rsid w:val="00595EF3"/>
    <w:rsid w:val="00596B61"/>
    <w:rsid w:val="0059753E"/>
    <w:rsid w:val="005A0F27"/>
    <w:rsid w:val="005A3C87"/>
    <w:rsid w:val="005A562C"/>
    <w:rsid w:val="005A6EEA"/>
    <w:rsid w:val="005A6EEB"/>
    <w:rsid w:val="005B2542"/>
    <w:rsid w:val="005B4BF2"/>
    <w:rsid w:val="005B60E4"/>
    <w:rsid w:val="005B771A"/>
    <w:rsid w:val="005C0921"/>
    <w:rsid w:val="005C438F"/>
    <w:rsid w:val="005C7372"/>
    <w:rsid w:val="005D0449"/>
    <w:rsid w:val="005D0456"/>
    <w:rsid w:val="005D06D1"/>
    <w:rsid w:val="005D0F71"/>
    <w:rsid w:val="005D2EE5"/>
    <w:rsid w:val="005D3E9D"/>
    <w:rsid w:val="005D4BDB"/>
    <w:rsid w:val="005D57ED"/>
    <w:rsid w:val="005D5834"/>
    <w:rsid w:val="005E10B7"/>
    <w:rsid w:val="005E1929"/>
    <w:rsid w:val="005E227F"/>
    <w:rsid w:val="005E29A2"/>
    <w:rsid w:val="005E4D11"/>
    <w:rsid w:val="005E6B7C"/>
    <w:rsid w:val="005E6F06"/>
    <w:rsid w:val="005E74CC"/>
    <w:rsid w:val="005F0EE2"/>
    <w:rsid w:val="005F1553"/>
    <w:rsid w:val="005F1691"/>
    <w:rsid w:val="005F258D"/>
    <w:rsid w:val="005F3E84"/>
    <w:rsid w:val="005F501F"/>
    <w:rsid w:val="005F5437"/>
    <w:rsid w:val="005F594D"/>
    <w:rsid w:val="005F5F82"/>
    <w:rsid w:val="0060110B"/>
    <w:rsid w:val="006021F6"/>
    <w:rsid w:val="00604545"/>
    <w:rsid w:val="00604FE4"/>
    <w:rsid w:val="006113AD"/>
    <w:rsid w:val="00613743"/>
    <w:rsid w:val="0061479C"/>
    <w:rsid w:val="00614D1F"/>
    <w:rsid w:val="00621470"/>
    <w:rsid w:val="0062398C"/>
    <w:rsid w:val="0062418D"/>
    <w:rsid w:val="00624652"/>
    <w:rsid w:val="00627E61"/>
    <w:rsid w:val="00630648"/>
    <w:rsid w:val="00630CB7"/>
    <w:rsid w:val="00632126"/>
    <w:rsid w:val="00632BD5"/>
    <w:rsid w:val="00633938"/>
    <w:rsid w:val="006408FB"/>
    <w:rsid w:val="006409A1"/>
    <w:rsid w:val="00641402"/>
    <w:rsid w:val="00641407"/>
    <w:rsid w:val="006461E6"/>
    <w:rsid w:val="006462D8"/>
    <w:rsid w:val="00651E07"/>
    <w:rsid w:val="00653010"/>
    <w:rsid w:val="006602DD"/>
    <w:rsid w:val="00663AE7"/>
    <w:rsid w:val="006643CC"/>
    <w:rsid w:val="006644F3"/>
    <w:rsid w:val="00664C10"/>
    <w:rsid w:val="006657C1"/>
    <w:rsid w:val="00672118"/>
    <w:rsid w:val="00672F36"/>
    <w:rsid w:val="006753B1"/>
    <w:rsid w:val="0067582D"/>
    <w:rsid w:val="0067780C"/>
    <w:rsid w:val="0067789E"/>
    <w:rsid w:val="006778F8"/>
    <w:rsid w:val="00677B27"/>
    <w:rsid w:val="00677BAE"/>
    <w:rsid w:val="006804CD"/>
    <w:rsid w:val="006841B9"/>
    <w:rsid w:val="00686B0A"/>
    <w:rsid w:val="0069088B"/>
    <w:rsid w:val="006925C1"/>
    <w:rsid w:val="0069313C"/>
    <w:rsid w:val="00694DE0"/>
    <w:rsid w:val="0069501F"/>
    <w:rsid w:val="00696145"/>
    <w:rsid w:val="006961C9"/>
    <w:rsid w:val="00697499"/>
    <w:rsid w:val="006A3A62"/>
    <w:rsid w:val="006B1CFB"/>
    <w:rsid w:val="006B37EF"/>
    <w:rsid w:val="006B4AEB"/>
    <w:rsid w:val="006C2A4B"/>
    <w:rsid w:val="006C615A"/>
    <w:rsid w:val="006C64E7"/>
    <w:rsid w:val="006C6685"/>
    <w:rsid w:val="006C6EC6"/>
    <w:rsid w:val="006D05FC"/>
    <w:rsid w:val="006D100D"/>
    <w:rsid w:val="006D302D"/>
    <w:rsid w:val="006D7845"/>
    <w:rsid w:val="006D7CB6"/>
    <w:rsid w:val="006E06AB"/>
    <w:rsid w:val="006E67AC"/>
    <w:rsid w:val="006E67EA"/>
    <w:rsid w:val="006E6F8A"/>
    <w:rsid w:val="006E7208"/>
    <w:rsid w:val="006E7328"/>
    <w:rsid w:val="006F120F"/>
    <w:rsid w:val="006F1707"/>
    <w:rsid w:val="006F42AA"/>
    <w:rsid w:val="006F4906"/>
    <w:rsid w:val="006F508A"/>
    <w:rsid w:val="006F5177"/>
    <w:rsid w:val="00702516"/>
    <w:rsid w:val="00706EED"/>
    <w:rsid w:val="00707184"/>
    <w:rsid w:val="00707388"/>
    <w:rsid w:val="00707D13"/>
    <w:rsid w:val="00713985"/>
    <w:rsid w:val="00716656"/>
    <w:rsid w:val="00721CB2"/>
    <w:rsid w:val="00721FE8"/>
    <w:rsid w:val="00726126"/>
    <w:rsid w:val="007261C2"/>
    <w:rsid w:val="00730E68"/>
    <w:rsid w:val="007326B2"/>
    <w:rsid w:val="00736EBC"/>
    <w:rsid w:val="007376A5"/>
    <w:rsid w:val="00742956"/>
    <w:rsid w:val="00743CFC"/>
    <w:rsid w:val="00744309"/>
    <w:rsid w:val="00746DA2"/>
    <w:rsid w:val="00746DFB"/>
    <w:rsid w:val="00750FDF"/>
    <w:rsid w:val="00751A3B"/>
    <w:rsid w:val="00754B16"/>
    <w:rsid w:val="0075545F"/>
    <w:rsid w:val="00756EA1"/>
    <w:rsid w:val="00764F09"/>
    <w:rsid w:val="00766772"/>
    <w:rsid w:val="00767649"/>
    <w:rsid w:val="007677D4"/>
    <w:rsid w:val="00770575"/>
    <w:rsid w:val="007710E1"/>
    <w:rsid w:val="0077133A"/>
    <w:rsid w:val="00773DD1"/>
    <w:rsid w:val="00774E1C"/>
    <w:rsid w:val="00776639"/>
    <w:rsid w:val="00776FE6"/>
    <w:rsid w:val="007805DD"/>
    <w:rsid w:val="007815DB"/>
    <w:rsid w:val="00786A3F"/>
    <w:rsid w:val="0078744D"/>
    <w:rsid w:val="007903DD"/>
    <w:rsid w:val="00795D65"/>
    <w:rsid w:val="00796477"/>
    <w:rsid w:val="007A1D99"/>
    <w:rsid w:val="007A238B"/>
    <w:rsid w:val="007A37C1"/>
    <w:rsid w:val="007A3C3A"/>
    <w:rsid w:val="007A4446"/>
    <w:rsid w:val="007A61E6"/>
    <w:rsid w:val="007B1F06"/>
    <w:rsid w:val="007B2365"/>
    <w:rsid w:val="007B5879"/>
    <w:rsid w:val="007C1278"/>
    <w:rsid w:val="007C1E14"/>
    <w:rsid w:val="007C3D1E"/>
    <w:rsid w:val="007C5BA6"/>
    <w:rsid w:val="007C5CE2"/>
    <w:rsid w:val="007C7484"/>
    <w:rsid w:val="007C7B08"/>
    <w:rsid w:val="007D3312"/>
    <w:rsid w:val="007D4743"/>
    <w:rsid w:val="007E021D"/>
    <w:rsid w:val="007E2431"/>
    <w:rsid w:val="007E2FD8"/>
    <w:rsid w:val="007E3438"/>
    <w:rsid w:val="007E4898"/>
    <w:rsid w:val="007E6100"/>
    <w:rsid w:val="007F2220"/>
    <w:rsid w:val="007F4426"/>
    <w:rsid w:val="007F482A"/>
    <w:rsid w:val="007F7977"/>
    <w:rsid w:val="007F7CD7"/>
    <w:rsid w:val="00803B66"/>
    <w:rsid w:val="0080515A"/>
    <w:rsid w:val="00807793"/>
    <w:rsid w:val="00811E52"/>
    <w:rsid w:val="00815642"/>
    <w:rsid w:val="0081728C"/>
    <w:rsid w:val="00817DFD"/>
    <w:rsid w:val="00821561"/>
    <w:rsid w:val="00821979"/>
    <w:rsid w:val="008252D9"/>
    <w:rsid w:val="0082632D"/>
    <w:rsid w:val="00826EFB"/>
    <w:rsid w:val="008272B9"/>
    <w:rsid w:val="00830407"/>
    <w:rsid w:val="00830CBC"/>
    <w:rsid w:val="0083720C"/>
    <w:rsid w:val="008379CE"/>
    <w:rsid w:val="00840399"/>
    <w:rsid w:val="00840965"/>
    <w:rsid w:val="008410B9"/>
    <w:rsid w:val="00841F25"/>
    <w:rsid w:val="00842902"/>
    <w:rsid w:val="00843D5F"/>
    <w:rsid w:val="008450AA"/>
    <w:rsid w:val="0084521F"/>
    <w:rsid w:val="00846E2E"/>
    <w:rsid w:val="008516CA"/>
    <w:rsid w:val="00852A6C"/>
    <w:rsid w:val="00853476"/>
    <w:rsid w:val="008534CD"/>
    <w:rsid w:val="008548A8"/>
    <w:rsid w:val="00855020"/>
    <w:rsid w:val="0085586F"/>
    <w:rsid w:val="00860A59"/>
    <w:rsid w:val="00860AF0"/>
    <w:rsid w:val="00864AD6"/>
    <w:rsid w:val="00866161"/>
    <w:rsid w:val="00866450"/>
    <w:rsid w:val="0087187A"/>
    <w:rsid w:val="00877963"/>
    <w:rsid w:val="008827F1"/>
    <w:rsid w:val="00883865"/>
    <w:rsid w:val="00884B1A"/>
    <w:rsid w:val="008872C1"/>
    <w:rsid w:val="00890365"/>
    <w:rsid w:val="008903F5"/>
    <w:rsid w:val="00890DBB"/>
    <w:rsid w:val="008966C3"/>
    <w:rsid w:val="00896B28"/>
    <w:rsid w:val="008A281E"/>
    <w:rsid w:val="008A399A"/>
    <w:rsid w:val="008A4BC2"/>
    <w:rsid w:val="008A4E16"/>
    <w:rsid w:val="008A7FD4"/>
    <w:rsid w:val="008B04A0"/>
    <w:rsid w:val="008B08FC"/>
    <w:rsid w:val="008B3011"/>
    <w:rsid w:val="008C04BF"/>
    <w:rsid w:val="008C1CB9"/>
    <w:rsid w:val="008C29B3"/>
    <w:rsid w:val="008C5B20"/>
    <w:rsid w:val="008D0B58"/>
    <w:rsid w:val="008D40A2"/>
    <w:rsid w:val="008D4996"/>
    <w:rsid w:val="008D49CE"/>
    <w:rsid w:val="008D4BB4"/>
    <w:rsid w:val="008D5CFC"/>
    <w:rsid w:val="008D6547"/>
    <w:rsid w:val="008D7676"/>
    <w:rsid w:val="008D782C"/>
    <w:rsid w:val="008D7EE7"/>
    <w:rsid w:val="008E0507"/>
    <w:rsid w:val="008E16E0"/>
    <w:rsid w:val="008E2A8B"/>
    <w:rsid w:val="008E565D"/>
    <w:rsid w:val="008F004F"/>
    <w:rsid w:val="008F218E"/>
    <w:rsid w:val="008F2BE1"/>
    <w:rsid w:val="008F3996"/>
    <w:rsid w:val="008F6CCA"/>
    <w:rsid w:val="008F79BC"/>
    <w:rsid w:val="00900E8A"/>
    <w:rsid w:val="00901480"/>
    <w:rsid w:val="009021B0"/>
    <w:rsid w:val="00902F2E"/>
    <w:rsid w:val="0090384D"/>
    <w:rsid w:val="009114C0"/>
    <w:rsid w:val="00911756"/>
    <w:rsid w:val="00911CC1"/>
    <w:rsid w:val="009165A6"/>
    <w:rsid w:val="00917F24"/>
    <w:rsid w:val="00921DE4"/>
    <w:rsid w:val="00922512"/>
    <w:rsid w:val="009328E4"/>
    <w:rsid w:val="00933122"/>
    <w:rsid w:val="009333FE"/>
    <w:rsid w:val="00934DEA"/>
    <w:rsid w:val="00935863"/>
    <w:rsid w:val="00936337"/>
    <w:rsid w:val="009374CA"/>
    <w:rsid w:val="0094056A"/>
    <w:rsid w:val="0094236D"/>
    <w:rsid w:val="00944193"/>
    <w:rsid w:val="009470D6"/>
    <w:rsid w:val="00947151"/>
    <w:rsid w:val="009472D7"/>
    <w:rsid w:val="00951541"/>
    <w:rsid w:val="00952A1A"/>
    <w:rsid w:val="00953F18"/>
    <w:rsid w:val="00954E0D"/>
    <w:rsid w:val="00955900"/>
    <w:rsid w:val="00957931"/>
    <w:rsid w:val="00960513"/>
    <w:rsid w:val="00961216"/>
    <w:rsid w:val="0096236B"/>
    <w:rsid w:val="00963355"/>
    <w:rsid w:val="00965256"/>
    <w:rsid w:val="00966130"/>
    <w:rsid w:val="0096698D"/>
    <w:rsid w:val="00967389"/>
    <w:rsid w:val="009674D4"/>
    <w:rsid w:val="009712B1"/>
    <w:rsid w:val="00971610"/>
    <w:rsid w:val="00975E2C"/>
    <w:rsid w:val="0097666B"/>
    <w:rsid w:val="00977DA4"/>
    <w:rsid w:val="00980C75"/>
    <w:rsid w:val="0098428E"/>
    <w:rsid w:val="00984CEF"/>
    <w:rsid w:val="0098611F"/>
    <w:rsid w:val="00986551"/>
    <w:rsid w:val="009871D0"/>
    <w:rsid w:val="009875C3"/>
    <w:rsid w:val="00990422"/>
    <w:rsid w:val="00994E66"/>
    <w:rsid w:val="00995EE0"/>
    <w:rsid w:val="00996037"/>
    <w:rsid w:val="0099660B"/>
    <w:rsid w:val="00996DDD"/>
    <w:rsid w:val="009A1A98"/>
    <w:rsid w:val="009A4BE4"/>
    <w:rsid w:val="009A591D"/>
    <w:rsid w:val="009A68F0"/>
    <w:rsid w:val="009A7D27"/>
    <w:rsid w:val="009B3986"/>
    <w:rsid w:val="009B3B9E"/>
    <w:rsid w:val="009B4CD4"/>
    <w:rsid w:val="009B5938"/>
    <w:rsid w:val="009B67B2"/>
    <w:rsid w:val="009B7656"/>
    <w:rsid w:val="009B7EBE"/>
    <w:rsid w:val="009C6DD0"/>
    <w:rsid w:val="009C6F27"/>
    <w:rsid w:val="009D1FC7"/>
    <w:rsid w:val="009D2004"/>
    <w:rsid w:val="009D3E85"/>
    <w:rsid w:val="009D4294"/>
    <w:rsid w:val="009D5D66"/>
    <w:rsid w:val="009D7FE0"/>
    <w:rsid w:val="009E1761"/>
    <w:rsid w:val="009E1D0D"/>
    <w:rsid w:val="009E1F38"/>
    <w:rsid w:val="009E26D1"/>
    <w:rsid w:val="009E28ED"/>
    <w:rsid w:val="009E3369"/>
    <w:rsid w:val="009E36B8"/>
    <w:rsid w:val="009E3CAB"/>
    <w:rsid w:val="009E3E08"/>
    <w:rsid w:val="009E48FB"/>
    <w:rsid w:val="009E7314"/>
    <w:rsid w:val="009E7A26"/>
    <w:rsid w:val="009F2A5F"/>
    <w:rsid w:val="009F4851"/>
    <w:rsid w:val="009F5059"/>
    <w:rsid w:val="009F7116"/>
    <w:rsid w:val="009F7B14"/>
    <w:rsid w:val="00A00B58"/>
    <w:rsid w:val="00A01EF4"/>
    <w:rsid w:val="00A02376"/>
    <w:rsid w:val="00A03B18"/>
    <w:rsid w:val="00A04535"/>
    <w:rsid w:val="00A05A17"/>
    <w:rsid w:val="00A06D9F"/>
    <w:rsid w:val="00A07600"/>
    <w:rsid w:val="00A079B9"/>
    <w:rsid w:val="00A1045C"/>
    <w:rsid w:val="00A1237F"/>
    <w:rsid w:val="00A129D9"/>
    <w:rsid w:val="00A1429E"/>
    <w:rsid w:val="00A148B5"/>
    <w:rsid w:val="00A1528D"/>
    <w:rsid w:val="00A1599D"/>
    <w:rsid w:val="00A160DD"/>
    <w:rsid w:val="00A16857"/>
    <w:rsid w:val="00A16E32"/>
    <w:rsid w:val="00A17824"/>
    <w:rsid w:val="00A17F81"/>
    <w:rsid w:val="00A20C5D"/>
    <w:rsid w:val="00A22B3E"/>
    <w:rsid w:val="00A2340D"/>
    <w:rsid w:val="00A2384E"/>
    <w:rsid w:val="00A2761C"/>
    <w:rsid w:val="00A31760"/>
    <w:rsid w:val="00A31C1F"/>
    <w:rsid w:val="00A34F7F"/>
    <w:rsid w:val="00A37B80"/>
    <w:rsid w:val="00A40BBC"/>
    <w:rsid w:val="00A43751"/>
    <w:rsid w:val="00A45B2F"/>
    <w:rsid w:val="00A45D14"/>
    <w:rsid w:val="00A4701A"/>
    <w:rsid w:val="00A4748E"/>
    <w:rsid w:val="00A518CF"/>
    <w:rsid w:val="00A5584E"/>
    <w:rsid w:val="00A60C0F"/>
    <w:rsid w:val="00A61389"/>
    <w:rsid w:val="00A61881"/>
    <w:rsid w:val="00A6423E"/>
    <w:rsid w:val="00A64F80"/>
    <w:rsid w:val="00A67CC0"/>
    <w:rsid w:val="00A700B7"/>
    <w:rsid w:val="00A70C84"/>
    <w:rsid w:val="00A7150A"/>
    <w:rsid w:val="00A72859"/>
    <w:rsid w:val="00A774BD"/>
    <w:rsid w:val="00A80BAF"/>
    <w:rsid w:val="00A80FD8"/>
    <w:rsid w:val="00A8283E"/>
    <w:rsid w:val="00A83C9A"/>
    <w:rsid w:val="00A86C6D"/>
    <w:rsid w:val="00A87A1C"/>
    <w:rsid w:val="00A9021D"/>
    <w:rsid w:val="00A92B95"/>
    <w:rsid w:val="00A95BB2"/>
    <w:rsid w:val="00A969A8"/>
    <w:rsid w:val="00A96D22"/>
    <w:rsid w:val="00AA5F7C"/>
    <w:rsid w:val="00AA6BDD"/>
    <w:rsid w:val="00AA6E8B"/>
    <w:rsid w:val="00AB36F1"/>
    <w:rsid w:val="00AB464E"/>
    <w:rsid w:val="00AB4A58"/>
    <w:rsid w:val="00AC07D5"/>
    <w:rsid w:val="00AC0CA1"/>
    <w:rsid w:val="00AC0E77"/>
    <w:rsid w:val="00AC100C"/>
    <w:rsid w:val="00AC107D"/>
    <w:rsid w:val="00AC1490"/>
    <w:rsid w:val="00AD19A8"/>
    <w:rsid w:val="00AD228E"/>
    <w:rsid w:val="00AD254E"/>
    <w:rsid w:val="00AD2706"/>
    <w:rsid w:val="00AD36BE"/>
    <w:rsid w:val="00AD582C"/>
    <w:rsid w:val="00AD78E7"/>
    <w:rsid w:val="00AD7DAF"/>
    <w:rsid w:val="00AD7E2C"/>
    <w:rsid w:val="00AE34E8"/>
    <w:rsid w:val="00AE3C64"/>
    <w:rsid w:val="00AE62B9"/>
    <w:rsid w:val="00AE6F24"/>
    <w:rsid w:val="00AF00AB"/>
    <w:rsid w:val="00AF1E5C"/>
    <w:rsid w:val="00AF3261"/>
    <w:rsid w:val="00AF4122"/>
    <w:rsid w:val="00AF4A0A"/>
    <w:rsid w:val="00AF5123"/>
    <w:rsid w:val="00AF56BF"/>
    <w:rsid w:val="00AF6141"/>
    <w:rsid w:val="00AF62AD"/>
    <w:rsid w:val="00AF73CE"/>
    <w:rsid w:val="00B006CD"/>
    <w:rsid w:val="00B01657"/>
    <w:rsid w:val="00B103E2"/>
    <w:rsid w:val="00B138EA"/>
    <w:rsid w:val="00B1587B"/>
    <w:rsid w:val="00B17C48"/>
    <w:rsid w:val="00B212C5"/>
    <w:rsid w:val="00B21504"/>
    <w:rsid w:val="00B24364"/>
    <w:rsid w:val="00B26323"/>
    <w:rsid w:val="00B2739A"/>
    <w:rsid w:val="00B305C5"/>
    <w:rsid w:val="00B31D13"/>
    <w:rsid w:val="00B3269B"/>
    <w:rsid w:val="00B32C55"/>
    <w:rsid w:val="00B33F23"/>
    <w:rsid w:val="00B3516F"/>
    <w:rsid w:val="00B3621D"/>
    <w:rsid w:val="00B40137"/>
    <w:rsid w:val="00B40E6B"/>
    <w:rsid w:val="00B41807"/>
    <w:rsid w:val="00B431E3"/>
    <w:rsid w:val="00B4371B"/>
    <w:rsid w:val="00B46ECC"/>
    <w:rsid w:val="00B4793D"/>
    <w:rsid w:val="00B50594"/>
    <w:rsid w:val="00B5076E"/>
    <w:rsid w:val="00B51EB5"/>
    <w:rsid w:val="00B54844"/>
    <w:rsid w:val="00B578CB"/>
    <w:rsid w:val="00B60799"/>
    <w:rsid w:val="00B67427"/>
    <w:rsid w:val="00B71F15"/>
    <w:rsid w:val="00B743B7"/>
    <w:rsid w:val="00B75F2A"/>
    <w:rsid w:val="00B7631E"/>
    <w:rsid w:val="00B7707A"/>
    <w:rsid w:val="00B7732E"/>
    <w:rsid w:val="00B81C45"/>
    <w:rsid w:val="00B82621"/>
    <w:rsid w:val="00B841E3"/>
    <w:rsid w:val="00B8514F"/>
    <w:rsid w:val="00B85E15"/>
    <w:rsid w:val="00B91A55"/>
    <w:rsid w:val="00B91FF2"/>
    <w:rsid w:val="00B9254E"/>
    <w:rsid w:val="00B94265"/>
    <w:rsid w:val="00B94957"/>
    <w:rsid w:val="00B949E7"/>
    <w:rsid w:val="00B9653A"/>
    <w:rsid w:val="00BA0E4A"/>
    <w:rsid w:val="00BA18AF"/>
    <w:rsid w:val="00BA34AC"/>
    <w:rsid w:val="00BA44F8"/>
    <w:rsid w:val="00BB3964"/>
    <w:rsid w:val="00BB398D"/>
    <w:rsid w:val="00BB3F12"/>
    <w:rsid w:val="00BC17CF"/>
    <w:rsid w:val="00BC6617"/>
    <w:rsid w:val="00BC6618"/>
    <w:rsid w:val="00BC67EA"/>
    <w:rsid w:val="00BC6BB8"/>
    <w:rsid w:val="00BC73DF"/>
    <w:rsid w:val="00BC7E42"/>
    <w:rsid w:val="00BD0B95"/>
    <w:rsid w:val="00BD705B"/>
    <w:rsid w:val="00BD7770"/>
    <w:rsid w:val="00BE0C54"/>
    <w:rsid w:val="00BE4B2F"/>
    <w:rsid w:val="00BF368B"/>
    <w:rsid w:val="00BF474F"/>
    <w:rsid w:val="00BF477E"/>
    <w:rsid w:val="00BF4C84"/>
    <w:rsid w:val="00C00032"/>
    <w:rsid w:val="00C005EB"/>
    <w:rsid w:val="00C014E3"/>
    <w:rsid w:val="00C01DFB"/>
    <w:rsid w:val="00C01E7C"/>
    <w:rsid w:val="00C0245D"/>
    <w:rsid w:val="00C028FE"/>
    <w:rsid w:val="00C04336"/>
    <w:rsid w:val="00C04635"/>
    <w:rsid w:val="00C04A69"/>
    <w:rsid w:val="00C075CA"/>
    <w:rsid w:val="00C075E2"/>
    <w:rsid w:val="00C13291"/>
    <w:rsid w:val="00C14A7B"/>
    <w:rsid w:val="00C1695F"/>
    <w:rsid w:val="00C22BF9"/>
    <w:rsid w:val="00C23A4B"/>
    <w:rsid w:val="00C23EB8"/>
    <w:rsid w:val="00C2465A"/>
    <w:rsid w:val="00C26CC7"/>
    <w:rsid w:val="00C31759"/>
    <w:rsid w:val="00C32AEF"/>
    <w:rsid w:val="00C32C2C"/>
    <w:rsid w:val="00C3485E"/>
    <w:rsid w:val="00C40209"/>
    <w:rsid w:val="00C434E7"/>
    <w:rsid w:val="00C43B66"/>
    <w:rsid w:val="00C43C84"/>
    <w:rsid w:val="00C44555"/>
    <w:rsid w:val="00C50D2A"/>
    <w:rsid w:val="00C529F5"/>
    <w:rsid w:val="00C53D8E"/>
    <w:rsid w:val="00C540F9"/>
    <w:rsid w:val="00C55E1E"/>
    <w:rsid w:val="00C55FDB"/>
    <w:rsid w:val="00C56056"/>
    <w:rsid w:val="00C601B5"/>
    <w:rsid w:val="00C6096F"/>
    <w:rsid w:val="00C665C9"/>
    <w:rsid w:val="00C678F5"/>
    <w:rsid w:val="00C67DC5"/>
    <w:rsid w:val="00C72A12"/>
    <w:rsid w:val="00C73B0D"/>
    <w:rsid w:val="00C743A9"/>
    <w:rsid w:val="00C74E11"/>
    <w:rsid w:val="00C75183"/>
    <w:rsid w:val="00C75D8D"/>
    <w:rsid w:val="00C772C3"/>
    <w:rsid w:val="00C773CE"/>
    <w:rsid w:val="00C80435"/>
    <w:rsid w:val="00C80C13"/>
    <w:rsid w:val="00C823F1"/>
    <w:rsid w:val="00C825E3"/>
    <w:rsid w:val="00C846A4"/>
    <w:rsid w:val="00C8474D"/>
    <w:rsid w:val="00C85F36"/>
    <w:rsid w:val="00C90A10"/>
    <w:rsid w:val="00C91004"/>
    <w:rsid w:val="00C91C42"/>
    <w:rsid w:val="00C94340"/>
    <w:rsid w:val="00C95855"/>
    <w:rsid w:val="00C96832"/>
    <w:rsid w:val="00CA1B73"/>
    <w:rsid w:val="00CA2277"/>
    <w:rsid w:val="00CA2FB7"/>
    <w:rsid w:val="00CA5910"/>
    <w:rsid w:val="00CA76F9"/>
    <w:rsid w:val="00CB02F5"/>
    <w:rsid w:val="00CB27EA"/>
    <w:rsid w:val="00CB3CC9"/>
    <w:rsid w:val="00CB4AAC"/>
    <w:rsid w:val="00CC188B"/>
    <w:rsid w:val="00CC1F28"/>
    <w:rsid w:val="00CC7F04"/>
    <w:rsid w:val="00CD0128"/>
    <w:rsid w:val="00CD01BE"/>
    <w:rsid w:val="00CD08AD"/>
    <w:rsid w:val="00CD0EE5"/>
    <w:rsid w:val="00CD5488"/>
    <w:rsid w:val="00CD5679"/>
    <w:rsid w:val="00CD5CD1"/>
    <w:rsid w:val="00CD6583"/>
    <w:rsid w:val="00CD679B"/>
    <w:rsid w:val="00CD6840"/>
    <w:rsid w:val="00CD6D90"/>
    <w:rsid w:val="00CE121E"/>
    <w:rsid w:val="00CE319E"/>
    <w:rsid w:val="00CE464F"/>
    <w:rsid w:val="00CE59A1"/>
    <w:rsid w:val="00CE6F3D"/>
    <w:rsid w:val="00CF0B41"/>
    <w:rsid w:val="00CF0E31"/>
    <w:rsid w:val="00CF4423"/>
    <w:rsid w:val="00CF56DD"/>
    <w:rsid w:val="00CF5C8F"/>
    <w:rsid w:val="00CF6FDF"/>
    <w:rsid w:val="00D01B49"/>
    <w:rsid w:val="00D01FFB"/>
    <w:rsid w:val="00D02851"/>
    <w:rsid w:val="00D03418"/>
    <w:rsid w:val="00D06F01"/>
    <w:rsid w:val="00D07121"/>
    <w:rsid w:val="00D127EF"/>
    <w:rsid w:val="00D14D07"/>
    <w:rsid w:val="00D17E91"/>
    <w:rsid w:val="00D20743"/>
    <w:rsid w:val="00D21936"/>
    <w:rsid w:val="00D24511"/>
    <w:rsid w:val="00D24DF2"/>
    <w:rsid w:val="00D25D12"/>
    <w:rsid w:val="00D261EA"/>
    <w:rsid w:val="00D3246C"/>
    <w:rsid w:val="00D36E57"/>
    <w:rsid w:val="00D42D3B"/>
    <w:rsid w:val="00D43E4D"/>
    <w:rsid w:val="00D44056"/>
    <w:rsid w:val="00D47CA7"/>
    <w:rsid w:val="00D50F3C"/>
    <w:rsid w:val="00D664EF"/>
    <w:rsid w:val="00D671D6"/>
    <w:rsid w:val="00D67828"/>
    <w:rsid w:val="00D67BE3"/>
    <w:rsid w:val="00D7015E"/>
    <w:rsid w:val="00D73333"/>
    <w:rsid w:val="00D7407E"/>
    <w:rsid w:val="00D75BC6"/>
    <w:rsid w:val="00D76A96"/>
    <w:rsid w:val="00D77E5C"/>
    <w:rsid w:val="00D8026C"/>
    <w:rsid w:val="00D80B35"/>
    <w:rsid w:val="00D828EE"/>
    <w:rsid w:val="00D83F6C"/>
    <w:rsid w:val="00D85EB4"/>
    <w:rsid w:val="00D932E9"/>
    <w:rsid w:val="00D94480"/>
    <w:rsid w:val="00D94C0B"/>
    <w:rsid w:val="00DA180E"/>
    <w:rsid w:val="00DA4A77"/>
    <w:rsid w:val="00DB0471"/>
    <w:rsid w:val="00DB04D4"/>
    <w:rsid w:val="00DB3DFC"/>
    <w:rsid w:val="00DB448E"/>
    <w:rsid w:val="00DB6A57"/>
    <w:rsid w:val="00DB6F92"/>
    <w:rsid w:val="00DC5808"/>
    <w:rsid w:val="00DC5EBD"/>
    <w:rsid w:val="00DC7610"/>
    <w:rsid w:val="00DD1E32"/>
    <w:rsid w:val="00DD54B5"/>
    <w:rsid w:val="00DD61EC"/>
    <w:rsid w:val="00DD6835"/>
    <w:rsid w:val="00DE08F5"/>
    <w:rsid w:val="00DE1095"/>
    <w:rsid w:val="00DE1566"/>
    <w:rsid w:val="00DE4F4B"/>
    <w:rsid w:val="00DE5BD1"/>
    <w:rsid w:val="00DE79C0"/>
    <w:rsid w:val="00DF089B"/>
    <w:rsid w:val="00DF1254"/>
    <w:rsid w:val="00DF257C"/>
    <w:rsid w:val="00DF25F5"/>
    <w:rsid w:val="00DF3C91"/>
    <w:rsid w:val="00DF4FB9"/>
    <w:rsid w:val="00E00BBC"/>
    <w:rsid w:val="00E0139F"/>
    <w:rsid w:val="00E02D33"/>
    <w:rsid w:val="00E04153"/>
    <w:rsid w:val="00E04653"/>
    <w:rsid w:val="00E1084D"/>
    <w:rsid w:val="00E13A04"/>
    <w:rsid w:val="00E15EB0"/>
    <w:rsid w:val="00E16B15"/>
    <w:rsid w:val="00E2062E"/>
    <w:rsid w:val="00E26B82"/>
    <w:rsid w:val="00E27DA8"/>
    <w:rsid w:val="00E31F57"/>
    <w:rsid w:val="00E320B8"/>
    <w:rsid w:val="00E326D2"/>
    <w:rsid w:val="00E32C25"/>
    <w:rsid w:val="00E407BF"/>
    <w:rsid w:val="00E40E29"/>
    <w:rsid w:val="00E440ED"/>
    <w:rsid w:val="00E50F22"/>
    <w:rsid w:val="00E514FB"/>
    <w:rsid w:val="00E57C03"/>
    <w:rsid w:val="00E57D3B"/>
    <w:rsid w:val="00E61F4E"/>
    <w:rsid w:val="00E634C8"/>
    <w:rsid w:val="00E648AB"/>
    <w:rsid w:val="00E66403"/>
    <w:rsid w:val="00E7023E"/>
    <w:rsid w:val="00E703DF"/>
    <w:rsid w:val="00E733F6"/>
    <w:rsid w:val="00E7448B"/>
    <w:rsid w:val="00E744A5"/>
    <w:rsid w:val="00E7480A"/>
    <w:rsid w:val="00E75079"/>
    <w:rsid w:val="00E76608"/>
    <w:rsid w:val="00E80509"/>
    <w:rsid w:val="00E81EBE"/>
    <w:rsid w:val="00E82BC8"/>
    <w:rsid w:val="00E82EE6"/>
    <w:rsid w:val="00E84403"/>
    <w:rsid w:val="00E8554B"/>
    <w:rsid w:val="00E866C2"/>
    <w:rsid w:val="00E86A1B"/>
    <w:rsid w:val="00E87808"/>
    <w:rsid w:val="00E87ED5"/>
    <w:rsid w:val="00E90383"/>
    <w:rsid w:val="00E904A5"/>
    <w:rsid w:val="00E916F4"/>
    <w:rsid w:val="00E93796"/>
    <w:rsid w:val="00E9610D"/>
    <w:rsid w:val="00EA0CD1"/>
    <w:rsid w:val="00EA16D0"/>
    <w:rsid w:val="00EA1947"/>
    <w:rsid w:val="00EA6183"/>
    <w:rsid w:val="00EA6922"/>
    <w:rsid w:val="00EA6A5C"/>
    <w:rsid w:val="00EA6B35"/>
    <w:rsid w:val="00EA7FA0"/>
    <w:rsid w:val="00EB1E78"/>
    <w:rsid w:val="00EB479B"/>
    <w:rsid w:val="00EB5536"/>
    <w:rsid w:val="00EC2DBE"/>
    <w:rsid w:val="00EC3C3D"/>
    <w:rsid w:val="00EC7EC1"/>
    <w:rsid w:val="00ED2F03"/>
    <w:rsid w:val="00ED3A33"/>
    <w:rsid w:val="00ED677E"/>
    <w:rsid w:val="00EE321C"/>
    <w:rsid w:val="00EE383F"/>
    <w:rsid w:val="00EE4BE8"/>
    <w:rsid w:val="00EE51CD"/>
    <w:rsid w:val="00EF45F3"/>
    <w:rsid w:val="00EF4676"/>
    <w:rsid w:val="00F00A03"/>
    <w:rsid w:val="00F01408"/>
    <w:rsid w:val="00F02EF4"/>
    <w:rsid w:val="00F03391"/>
    <w:rsid w:val="00F03992"/>
    <w:rsid w:val="00F06394"/>
    <w:rsid w:val="00F11AD5"/>
    <w:rsid w:val="00F13596"/>
    <w:rsid w:val="00F156EC"/>
    <w:rsid w:val="00F15CC1"/>
    <w:rsid w:val="00F20BD9"/>
    <w:rsid w:val="00F22B38"/>
    <w:rsid w:val="00F23442"/>
    <w:rsid w:val="00F23E56"/>
    <w:rsid w:val="00F23F3F"/>
    <w:rsid w:val="00F24032"/>
    <w:rsid w:val="00F24380"/>
    <w:rsid w:val="00F251E0"/>
    <w:rsid w:val="00F27397"/>
    <w:rsid w:val="00F27CED"/>
    <w:rsid w:val="00F27FC6"/>
    <w:rsid w:val="00F30C2F"/>
    <w:rsid w:val="00F31839"/>
    <w:rsid w:val="00F31DEE"/>
    <w:rsid w:val="00F34569"/>
    <w:rsid w:val="00F3572E"/>
    <w:rsid w:val="00F3622F"/>
    <w:rsid w:val="00F37A4D"/>
    <w:rsid w:val="00F43FF0"/>
    <w:rsid w:val="00F449AD"/>
    <w:rsid w:val="00F4590A"/>
    <w:rsid w:val="00F45CA6"/>
    <w:rsid w:val="00F45E5B"/>
    <w:rsid w:val="00F47EAE"/>
    <w:rsid w:val="00F47F6D"/>
    <w:rsid w:val="00F564B0"/>
    <w:rsid w:val="00F57BDA"/>
    <w:rsid w:val="00F57F0E"/>
    <w:rsid w:val="00F610B8"/>
    <w:rsid w:val="00F61427"/>
    <w:rsid w:val="00F629BC"/>
    <w:rsid w:val="00F645AC"/>
    <w:rsid w:val="00F65618"/>
    <w:rsid w:val="00F66EFF"/>
    <w:rsid w:val="00F70558"/>
    <w:rsid w:val="00F72843"/>
    <w:rsid w:val="00F7284B"/>
    <w:rsid w:val="00F77C75"/>
    <w:rsid w:val="00F81709"/>
    <w:rsid w:val="00F840D3"/>
    <w:rsid w:val="00F8489B"/>
    <w:rsid w:val="00F85D2B"/>
    <w:rsid w:val="00F875DE"/>
    <w:rsid w:val="00F929C8"/>
    <w:rsid w:val="00F9300C"/>
    <w:rsid w:val="00F94252"/>
    <w:rsid w:val="00F95748"/>
    <w:rsid w:val="00F9761A"/>
    <w:rsid w:val="00FA5127"/>
    <w:rsid w:val="00FA5404"/>
    <w:rsid w:val="00FA6127"/>
    <w:rsid w:val="00FB1BDE"/>
    <w:rsid w:val="00FB5747"/>
    <w:rsid w:val="00FB6AD9"/>
    <w:rsid w:val="00FB7571"/>
    <w:rsid w:val="00FB76D4"/>
    <w:rsid w:val="00FC2158"/>
    <w:rsid w:val="00FC441A"/>
    <w:rsid w:val="00FC48F8"/>
    <w:rsid w:val="00FC4C94"/>
    <w:rsid w:val="00FC5E62"/>
    <w:rsid w:val="00FD0AE4"/>
    <w:rsid w:val="00FD0E7D"/>
    <w:rsid w:val="00FD19A2"/>
    <w:rsid w:val="00FD3524"/>
    <w:rsid w:val="00FD52F0"/>
    <w:rsid w:val="00FD74A0"/>
    <w:rsid w:val="00FE078C"/>
    <w:rsid w:val="00FE40BA"/>
    <w:rsid w:val="00FE4DD6"/>
    <w:rsid w:val="00FE6FE2"/>
    <w:rsid w:val="00FF0CB0"/>
    <w:rsid w:val="00FF6C0E"/>
    <w:rsid w:val="01C967AE"/>
    <w:rsid w:val="03F669F7"/>
    <w:rsid w:val="04F168BB"/>
    <w:rsid w:val="05390BC3"/>
    <w:rsid w:val="0681624C"/>
    <w:rsid w:val="07FD30F1"/>
    <w:rsid w:val="088724EF"/>
    <w:rsid w:val="090D2C2E"/>
    <w:rsid w:val="0B5F560B"/>
    <w:rsid w:val="0BCC3413"/>
    <w:rsid w:val="0D441DFC"/>
    <w:rsid w:val="0DCA5F4A"/>
    <w:rsid w:val="0F5FE1EC"/>
    <w:rsid w:val="0FBFA4C1"/>
    <w:rsid w:val="151B644D"/>
    <w:rsid w:val="17DD0488"/>
    <w:rsid w:val="18FF78D9"/>
    <w:rsid w:val="194A7009"/>
    <w:rsid w:val="19DC441F"/>
    <w:rsid w:val="1A7E2DEF"/>
    <w:rsid w:val="1B0D7929"/>
    <w:rsid w:val="1C2E6BC4"/>
    <w:rsid w:val="1D1763F1"/>
    <w:rsid w:val="1DC37D43"/>
    <w:rsid w:val="1F424230"/>
    <w:rsid w:val="1F4D52C9"/>
    <w:rsid w:val="1FE0D265"/>
    <w:rsid w:val="20E073D5"/>
    <w:rsid w:val="210B3A03"/>
    <w:rsid w:val="21FB7A13"/>
    <w:rsid w:val="223A7E81"/>
    <w:rsid w:val="22E04639"/>
    <w:rsid w:val="23F13C67"/>
    <w:rsid w:val="25CB38F8"/>
    <w:rsid w:val="27F626F6"/>
    <w:rsid w:val="285005FD"/>
    <w:rsid w:val="28BFF874"/>
    <w:rsid w:val="292259BB"/>
    <w:rsid w:val="2A5E6AD6"/>
    <w:rsid w:val="2BC838D1"/>
    <w:rsid w:val="2CB90C8F"/>
    <w:rsid w:val="2D8D6698"/>
    <w:rsid w:val="2E1208D2"/>
    <w:rsid w:val="2E1D45F7"/>
    <w:rsid w:val="2E5D7EBE"/>
    <w:rsid w:val="2E6F4D5E"/>
    <w:rsid w:val="2EDD422F"/>
    <w:rsid w:val="302E0B62"/>
    <w:rsid w:val="30436225"/>
    <w:rsid w:val="314B3C0E"/>
    <w:rsid w:val="316E5037"/>
    <w:rsid w:val="322B3A52"/>
    <w:rsid w:val="32FF69A0"/>
    <w:rsid w:val="334D058A"/>
    <w:rsid w:val="33BD558A"/>
    <w:rsid w:val="341414E8"/>
    <w:rsid w:val="37512274"/>
    <w:rsid w:val="3779C071"/>
    <w:rsid w:val="37DD571F"/>
    <w:rsid w:val="37F721EA"/>
    <w:rsid w:val="37FE3822"/>
    <w:rsid w:val="3AAC51BF"/>
    <w:rsid w:val="3AD01B14"/>
    <w:rsid w:val="3ADBD959"/>
    <w:rsid w:val="3BDDA213"/>
    <w:rsid w:val="3BEC77EA"/>
    <w:rsid w:val="3C0D5640"/>
    <w:rsid w:val="3C9963E7"/>
    <w:rsid w:val="3CB37D85"/>
    <w:rsid w:val="3D0E3E15"/>
    <w:rsid w:val="3D0E4C73"/>
    <w:rsid w:val="3D9F3213"/>
    <w:rsid w:val="3DE5488D"/>
    <w:rsid w:val="3E1E7245"/>
    <w:rsid w:val="3EFF2FAF"/>
    <w:rsid w:val="3F3F02A8"/>
    <w:rsid w:val="3F7F74D8"/>
    <w:rsid w:val="3FBB7DC4"/>
    <w:rsid w:val="3FC42F00"/>
    <w:rsid w:val="3FD33080"/>
    <w:rsid w:val="3FF257CD"/>
    <w:rsid w:val="3FFB2D62"/>
    <w:rsid w:val="427E3A8A"/>
    <w:rsid w:val="43200DB2"/>
    <w:rsid w:val="44AC0692"/>
    <w:rsid w:val="451C4C54"/>
    <w:rsid w:val="45784907"/>
    <w:rsid w:val="497F59EF"/>
    <w:rsid w:val="4AE53EF0"/>
    <w:rsid w:val="4B8A47E7"/>
    <w:rsid w:val="4BB0369A"/>
    <w:rsid w:val="4C4565C4"/>
    <w:rsid w:val="4CBE62CD"/>
    <w:rsid w:val="4E6F66A2"/>
    <w:rsid w:val="4FA74331"/>
    <w:rsid w:val="4FDE21D4"/>
    <w:rsid w:val="51FB8AD2"/>
    <w:rsid w:val="533575BC"/>
    <w:rsid w:val="5393159C"/>
    <w:rsid w:val="53C9499A"/>
    <w:rsid w:val="54264999"/>
    <w:rsid w:val="54270BB6"/>
    <w:rsid w:val="542A0BDF"/>
    <w:rsid w:val="547F2C08"/>
    <w:rsid w:val="54D43000"/>
    <w:rsid w:val="55DB6CC5"/>
    <w:rsid w:val="564045F6"/>
    <w:rsid w:val="577F8C9B"/>
    <w:rsid w:val="57DFC31F"/>
    <w:rsid w:val="585D5CCC"/>
    <w:rsid w:val="592571F9"/>
    <w:rsid w:val="597941C1"/>
    <w:rsid w:val="597D20E1"/>
    <w:rsid w:val="5A5F5E53"/>
    <w:rsid w:val="5AF2F0B9"/>
    <w:rsid w:val="5BAFB0F0"/>
    <w:rsid w:val="5BE53DF2"/>
    <w:rsid w:val="5BE95CBD"/>
    <w:rsid w:val="5CE2E2B1"/>
    <w:rsid w:val="5FF7F3E8"/>
    <w:rsid w:val="5FFB43E0"/>
    <w:rsid w:val="60E23F04"/>
    <w:rsid w:val="615C08D8"/>
    <w:rsid w:val="629350E1"/>
    <w:rsid w:val="63BF0C46"/>
    <w:rsid w:val="65FEC71F"/>
    <w:rsid w:val="66D37982"/>
    <w:rsid w:val="66EEF42F"/>
    <w:rsid w:val="677FC3E2"/>
    <w:rsid w:val="682F517D"/>
    <w:rsid w:val="68C14910"/>
    <w:rsid w:val="68FB5A72"/>
    <w:rsid w:val="6913600C"/>
    <w:rsid w:val="6A510566"/>
    <w:rsid w:val="6AD84525"/>
    <w:rsid w:val="6BD342D5"/>
    <w:rsid w:val="6BDF4898"/>
    <w:rsid w:val="6BFB471A"/>
    <w:rsid w:val="6C9F11DA"/>
    <w:rsid w:val="6D334DAE"/>
    <w:rsid w:val="6D6878DA"/>
    <w:rsid w:val="6DFBADF1"/>
    <w:rsid w:val="6E0F6E82"/>
    <w:rsid w:val="6E1F6B15"/>
    <w:rsid w:val="6E9D1D6F"/>
    <w:rsid w:val="6EDF8DB4"/>
    <w:rsid w:val="6F1F5C2A"/>
    <w:rsid w:val="6F97727E"/>
    <w:rsid w:val="6FE7A0FF"/>
    <w:rsid w:val="6FEE0163"/>
    <w:rsid w:val="6FFF8298"/>
    <w:rsid w:val="70151B4F"/>
    <w:rsid w:val="71B704D5"/>
    <w:rsid w:val="729EB201"/>
    <w:rsid w:val="72BDE63D"/>
    <w:rsid w:val="7355410F"/>
    <w:rsid w:val="737B3BF9"/>
    <w:rsid w:val="738B8434"/>
    <w:rsid w:val="73D78306"/>
    <w:rsid w:val="73EA9B5A"/>
    <w:rsid w:val="75AD10AB"/>
    <w:rsid w:val="75D3D5B5"/>
    <w:rsid w:val="75FF10EF"/>
    <w:rsid w:val="76777DC2"/>
    <w:rsid w:val="770F5435"/>
    <w:rsid w:val="778F012B"/>
    <w:rsid w:val="77F57600"/>
    <w:rsid w:val="78992182"/>
    <w:rsid w:val="78FA0F63"/>
    <w:rsid w:val="793B1C31"/>
    <w:rsid w:val="797D42A1"/>
    <w:rsid w:val="79BF046C"/>
    <w:rsid w:val="79FD955D"/>
    <w:rsid w:val="79FE7A92"/>
    <w:rsid w:val="7B7FDCE4"/>
    <w:rsid w:val="7BE3737F"/>
    <w:rsid w:val="7C4F87D3"/>
    <w:rsid w:val="7CE74A76"/>
    <w:rsid w:val="7CFFB78D"/>
    <w:rsid w:val="7D7AB552"/>
    <w:rsid w:val="7DDFA852"/>
    <w:rsid w:val="7DFDDAFB"/>
    <w:rsid w:val="7E670C86"/>
    <w:rsid w:val="7E6C2DB9"/>
    <w:rsid w:val="7E6F132A"/>
    <w:rsid w:val="7EED5B43"/>
    <w:rsid w:val="7F47727D"/>
    <w:rsid w:val="7F6DD538"/>
    <w:rsid w:val="7F7A4CC0"/>
    <w:rsid w:val="7FBF6A96"/>
    <w:rsid w:val="7FCF46B7"/>
    <w:rsid w:val="7FD65619"/>
    <w:rsid w:val="7FDBBCF4"/>
    <w:rsid w:val="7FDDC06E"/>
    <w:rsid w:val="7FE10D21"/>
    <w:rsid w:val="7FF2AFAD"/>
    <w:rsid w:val="7FF616D5"/>
    <w:rsid w:val="7FFC2C52"/>
    <w:rsid w:val="7FFF7EBC"/>
    <w:rsid w:val="865ECFE2"/>
    <w:rsid w:val="89D7001A"/>
    <w:rsid w:val="8EAF6FF0"/>
    <w:rsid w:val="8FDD0644"/>
    <w:rsid w:val="95FE2501"/>
    <w:rsid w:val="99DFEC6F"/>
    <w:rsid w:val="9D7BDAB1"/>
    <w:rsid w:val="9E97EDC5"/>
    <w:rsid w:val="9F76D5FC"/>
    <w:rsid w:val="9F7BE4D4"/>
    <w:rsid w:val="9F9A1ED7"/>
    <w:rsid w:val="A2BFAD95"/>
    <w:rsid w:val="A8EDAE3B"/>
    <w:rsid w:val="ABFF73FE"/>
    <w:rsid w:val="AF5B6F9C"/>
    <w:rsid w:val="B5F6468E"/>
    <w:rsid w:val="B747BCC7"/>
    <w:rsid w:val="B7B77921"/>
    <w:rsid w:val="BB9EA5F1"/>
    <w:rsid w:val="BC77C29F"/>
    <w:rsid w:val="BD6E668A"/>
    <w:rsid w:val="BDDE7C93"/>
    <w:rsid w:val="BE261C33"/>
    <w:rsid w:val="BE9D38AF"/>
    <w:rsid w:val="BF97D429"/>
    <w:rsid w:val="BFDD69C6"/>
    <w:rsid w:val="BFF3996C"/>
    <w:rsid w:val="BFF74404"/>
    <w:rsid w:val="BFF907A5"/>
    <w:rsid w:val="BFFF2297"/>
    <w:rsid w:val="CD7E8204"/>
    <w:rsid w:val="CEB347B7"/>
    <w:rsid w:val="D3F7F9A1"/>
    <w:rsid w:val="D7377989"/>
    <w:rsid w:val="D777C38F"/>
    <w:rsid w:val="D7C72841"/>
    <w:rsid w:val="DDFD05B4"/>
    <w:rsid w:val="DE3FA1D5"/>
    <w:rsid w:val="DE6F3D45"/>
    <w:rsid w:val="DE7B8C9B"/>
    <w:rsid w:val="DE7F65B9"/>
    <w:rsid w:val="DEDB79AB"/>
    <w:rsid w:val="DEF5603E"/>
    <w:rsid w:val="DEF9B5E2"/>
    <w:rsid w:val="DF4F8BA2"/>
    <w:rsid w:val="DF9FAD25"/>
    <w:rsid w:val="DFB9EA12"/>
    <w:rsid w:val="DFC7793C"/>
    <w:rsid w:val="DFCFC9AC"/>
    <w:rsid w:val="DFF5EAEF"/>
    <w:rsid w:val="DFF75600"/>
    <w:rsid w:val="DFFB1BF7"/>
    <w:rsid w:val="DFFBF5FB"/>
    <w:rsid w:val="DFFF2835"/>
    <w:rsid w:val="DFFFBDEE"/>
    <w:rsid w:val="E5F7F35F"/>
    <w:rsid w:val="E77549AB"/>
    <w:rsid w:val="E7DE068F"/>
    <w:rsid w:val="EA33289A"/>
    <w:rsid w:val="EABFED38"/>
    <w:rsid w:val="EB7F2B7A"/>
    <w:rsid w:val="ECB33C63"/>
    <w:rsid w:val="EDFF5667"/>
    <w:rsid w:val="EEBFF573"/>
    <w:rsid w:val="EEFF8301"/>
    <w:rsid w:val="EEFFDF3E"/>
    <w:rsid w:val="EF35C3E3"/>
    <w:rsid w:val="EF7FDB31"/>
    <w:rsid w:val="EFBFB3AB"/>
    <w:rsid w:val="EFF3AFFE"/>
    <w:rsid w:val="F27E54E5"/>
    <w:rsid w:val="F37F62F1"/>
    <w:rsid w:val="F3D3078D"/>
    <w:rsid w:val="F3F631C0"/>
    <w:rsid w:val="F5FD319A"/>
    <w:rsid w:val="F6680BEA"/>
    <w:rsid w:val="F6AFB125"/>
    <w:rsid w:val="F6B77662"/>
    <w:rsid w:val="F6BFEB5C"/>
    <w:rsid w:val="F77DD259"/>
    <w:rsid w:val="F7F10090"/>
    <w:rsid w:val="F7FF1210"/>
    <w:rsid w:val="F9AFA3AA"/>
    <w:rsid w:val="FACFD9C0"/>
    <w:rsid w:val="FAD3B203"/>
    <w:rsid w:val="FB0F906E"/>
    <w:rsid w:val="FB873260"/>
    <w:rsid w:val="FBB74A34"/>
    <w:rsid w:val="FBCD5B5B"/>
    <w:rsid w:val="FBEFB463"/>
    <w:rsid w:val="FBF76083"/>
    <w:rsid w:val="FD4D057D"/>
    <w:rsid w:val="FD6E72B1"/>
    <w:rsid w:val="FD7E82C9"/>
    <w:rsid w:val="FD7FD95D"/>
    <w:rsid w:val="FDA6BD40"/>
    <w:rsid w:val="FDB4562E"/>
    <w:rsid w:val="FDD7F225"/>
    <w:rsid w:val="FDDF3867"/>
    <w:rsid w:val="FDF7466E"/>
    <w:rsid w:val="FDF94CC1"/>
    <w:rsid w:val="FE3FC216"/>
    <w:rsid w:val="FE6E8E2F"/>
    <w:rsid w:val="FE8F980F"/>
    <w:rsid w:val="FEAD5EA4"/>
    <w:rsid w:val="FEB1AB0C"/>
    <w:rsid w:val="FEDE09C9"/>
    <w:rsid w:val="FEF55CE4"/>
    <w:rsid w:val="FEF5BBAC"/>
    <w:rsid w:val="FF3F1FAB"/>
    <w:rsid w:val="FF7774AF"/>
    <w:rsid w:val="FF9FD7E1"/>
    <w:rsid w:val="FFB7C741"/>
    <w:rsid w:val="FFEF0818"/>
    <w:rsid w:val="FFEF9F31"/>
    <w:rsid w:val="FFF94660"/>
    <w:rsid w:val="FFFA2910"/>
    <w:rsid w:val="FFFDBCE4"/>
    <w:rsid w:val="FFFFD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63"/>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6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5"/>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6"/>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7"/>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8"/>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9"/>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70"/>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7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72"/>
    <w:qFormat/>
    <w:uiPriority w:val="0"/>
    <w:pPr>
      <w:shd w:val="clear" w:color="auto" w:fill="000080"/>
    </w:pPr>
  </w:style>
  <w:style w:type="paragraph" w:styleId="15">
    <w:name w:val="annotation text"/>
    <w:basedOn w:val="1"/>
    <w:link w:val="74"/>
    <w:qFormat/>
    <w:uiPriority w:val="99"/>
    <w:pPr>
      <w:jc w:val="left"/>
    </w:pPr>
  </w:style>
  <w:style w:type="paragraph" w:styleId="16">
    <w:name w:val="Body Text 3"/>
    <w:basedOn w:val="1"/>
    <w:link w:val="75"/>
    <w:qFormat/>
    <w:uiPriority w:val="0"/>
    <w:pPr>
      <w:spacing w:after="120"/>
    </w:pPr>
    <w:rPr>
      <w:sz w:val="16"/>
      <w:szCs w:val="16"/>
    </w:rPr>
  </w:style>
  <w:style w:type="paragraph" w:styleId="17">
    <w:name w:val="Body Text"/>
    <w:basedOn w:val="1"/>
    <w:next w:val="1"/>
    <w:link w:val="76"/>
    <w:qFormat/>
    <w:uiPriority w:val="0"/>
    <w:pPr>
      <w:tabs>
        <w:tab w:val="left" w:pos="567"/>
      </w:tabs>
      <w:spacing w:before="120" w:line="22" w:lineRule="atLeast"/>
    </w:pPr>
    <w:rPr>
      <w:rFonts w:ascii="宋体" w:hAnsi="宋体"/>
      <w:sz w:val="24"/>
    </w:rPr>
  </w:style>
  <w:style w:type="paragraph" w:styleId="18">
    <w:name w:val="Body Text Indent"/>
    <w:basedOn w:val="1"/>
    <w:link w:val="7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99"/>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79"/>
    <w:qFormat/>
    <w:uiPriority w:val="0"/>
    <w:rPr>
      <w:rFonts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80"/>
    <w:qFormat/>
    <w:uiPriority w:val="0"/>
    <w:pPr>
      <w:ind w:left="100" w:leftChars="2500"/>
    </w:pPr>
    <w:rPr>
      <w:rFonts w:ascii="仿宋_GB2312" w:hAnsi="宋体" w:eastAsia="仿宋_GB2312"/>
      <w:color w:val="000000"/>
      <w:sz w:val="24"/>
    </w:rPr>
  </w:style>
  <w:style w:type="paragraph" w:styleId="26">
    <w:name w:val="Body Text Indent 2"/>
    <w:basedOn w:val="1"/>
    <w:link w:val="81"/>
    <w:qFormat/>
    <w:uiPriority w:val="0"/>
    <w:pPr>
      <w:ind w:firstLine="480" w:firstLineChars="200"/>
    </w:pPr>
    <w:rPr>
      <w:rFonts w:ascii="仿宋_GB2312" w:eastAsia="仿宋_GB2312"/>
      <w:sz w:val="24"/>
    </w:rPr>
  </w:style>
  <w:style w:type="paragraph" w:styleId="27">
    <w:name w:val="Balloon Text"/>
    <w:basedOn w:val="1"/>
    <w:link w:val="61"/>
    <w:unhideWhenUsed/>
    <w:qFormat/>
    <w:uiPriority w:val="0"/>
    <w:rPr>
      <w:sz w:val="18"/>
      <w:szCs w:val="18"/>
    </w:rPr>
  </w:style>
  <w:style w:type="paragraph" w:styleId="28">
    <w:name w:val="footer"/>
    <w:basedOn w:val="1"/>
    <w:link w:val="60"/>
    <w:unhideWhenUsed/>
    <w:qFormat/>
    <w:uiPriority w:val="99"/>
    <w:pPr>
      <w:tabs>
        <w:tab w:val="center" w:pos="4153"/>
        <w:tab w:val="right" w:pos="8306"/>
      </w:tabs>
      <w:snapToGrid w:val="0"/>
      <w:jc w:val="left"/>
    </w:pPr>
    <w:rPr>
      <w:sz w:val="18"/>
      <w:szCs w:val="18"/>
    </w:rPr>
  </w:style>
  <w:style w:type="paragraph" w:styleId="29">
    <w:name w:val="header"/>
    <w:basedOn w:val="1"/>
    <w:next w:val="30"/>
    <w:link w:val="5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30">
    <w:name w:val="样式5"/>
    <w:basedOn w:val="31"/>
    <w:qFormat/>
    <w:uiPriority w:val="0"/>
    <w:pPr>
      <w:spacing w:line="480" w:lineRule="atLeast"/>
      <w:ind w:firstLine="454"/>
    </w:pPr>
    <w:rPr>
      <w:rFonts w:ascii="Calibri" w:hAnsi="Times New Roman"/>
      <w:sz w:val="24"/>
      <w:szCs w:val="20"/>
    </w:rPr>
  </w:style>
  <w:style w:type="paragraph" w:customStyle="1" w:styleId="31">
    <w:name w:val="正文1"/>
    <w:basedOn w:val="1"/>
    <w:qFormat/>
    <w:uiPriority w:val="0"/>
    <w:pPr>
      <w:spacing w:line="500" w:lineRule="atLeast"/>
      <w:ind w:firstLine="567"/>
    </w:pPr>
    <w:rPr>
      <w:rFonts w:hAnsi="Calibri"/>
      <w:sz w:val="2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8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84"/>
    <w:qFormat/>
    <w:uiPriority w:val="0"/>
    <w:pPr>
      <w:jc w:val="center"/>
      <w:outlineLvl w:val="0"/>
    </w:pPr>
    <w:rPr>
      <w:b/>
      <w:sz w:val="32"/>
      <w:szCs w:val="20"/>
    </w:rPr>
  </w:style>
  <w:style w:type="paragraph" w:styleId="42">
    <w:name w:val="annotation subject"/>
    <w:basedOn w:val="15"/>
    <w:next w:val="15"/>
    <w:link w:val="85"/>
    <w:qFormat/>
    <w:uiPriority w:val="0"/>
    <w:rPr>
      <w:b/>
      <w:bCs/>
    </w:rPr>
  </w:style>
  <w:style w:type="paragraph" w:styleId="43">
    <w:name w:val="Body Text First Indent 2"/>
    <w:basedOn w:val="18"/>
    <w:link w:val="86"/>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basedOn w:val="47"/>
    <w:qFormat/>
    <w:uiPriority w:val="0"/>
    <w:rPr>
      <w:b/>
      <w:bCs/>
    </w:rPr>
  </w:style>
  <w:style w:type="character" w:styleId="49">
    <w:name w:val="page number"/>
    <w:qFormat/>
    <w:uiPriority w:val="0"/>
  </w:style>
  <w:style w:type="character" w:styleId="50">
    <w:name w:val="FollowedHyperlink"/>
    <w:qFormat/>
    <w:uiPriority w:val="99"/>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正文首行缩进 21"/>
    <w:basedOn w:val="56"/>
    <w:qFormat/>
    <w:uiPriority w:val="0"/>
    <w:pPr>
      <w:ind w:firstLine="420"/>
    </w:pPr>
    <w:rPr>
      <w:rFonts w:ascii="Calibri" w:hAnsi="Calibri"/>
      <w:szCs w:val="20"/>
    </w:rPr>
  </w:style>
  <w:style w:type="paragraph" w:customStyle="1" w:styleId="56">
    <w:name w:val="正文文本缩进1"/>
    <w:basedOn w:val="1"/>
    <w:next w:val="29"/>
    <w:link w:val="93"/>
    <w:qFormat/>
    <w:uiPriority w:val="0"/>
    <w:pPr>
      <w:spacing w:line="480" w:lineRule="exact"/>
      <w:ind w:firstLine="480" w:firstLineChars="200"/>
    </w:pPr>
    <w:rPr>
      <w:rFonts w:ascii="宋体" w:hAnsi="宋体" w:cstheme="minorBidi"/>
      <w:sz w:val="24"/>
    </w:rPr>
  </w:style>
  <w:style w:type="paragraph" w:customStyle="1" w:styleId="57">
    <w:name w:val="BodyText1I2"/>
    <w:basedOn w:val="58"/>
    <w:qFormat/>
    <w:uiPriority w:val="0"/>
    <w:pPr>
      <w:spacing w:before="100" w:beforeAutospacing="1" w:after="120"/>
      <w:ind w:left="420" w:leftChars="200" w:firstLine="420"/>
    </w:pPr>
    <w:rPr>
      <w:rFonts w:ascii="Calibri" w:hAnsi="Calibri"/>
      <w:szCs w:val="21"/>
    </w:rPr>
  </w:style>
  <w:style w:type="paragraph" w:customStyle="1" w:styleId="58">
    <w:name w:val="BodyTextIndent"/>
    <w:basedOn w:val="1"/>
    <w:qFormat/>
    <w:uiPriority w:val="0"/>
    <w:pPr>
      <w:ind w:left="400" w:leftChars="400" w:firstLine="195" w:firstLineChars="195"/>
    </w:pPr>
    <w:rPr>
      <w:rFonts w:ascii="宋体"/>
    </w:rPr>
  </w:style>
  <w:style w:type="character" w:customStyle="1" w:styleId="59">
    <w:name w:val="页眉 字符"/>
    <w:basedOn w:val="47"/>
    <w:link w:val="29"/>
    <w:qFormat/>
    <w:uiPriority w:val="99"/>
    <w:rPr>
      <w:sz w:val="18"/>
      <w:szCs w:val="18"/>
    </w:rPr>
  </w:style>
  <w:style w:type="character" w:customStyle="1" w:styleId="60">
    <w:name w:val="页脚 字符"/>
    <w:basedOn w:val="47"/>
    <w:link w:val="28"/>
    <w:qFormat/>
    <w:uiPriority w:val="99"/>
    <w:rPr>
      <w:sz w:val="18"/>
      <w:szCs w:val="18"/>
    </w:rPr>
  </w:style>
  <w:style w:type="character" w:customStyle="1" w:styleId="61">
    <w:name w:val="批注框文本 字符"/>
    <w:basedOn w:val="47"/>
    <w:link w:val="27"/>
    <w:qFormat/>
    <w:uiPriority w:val="0"/>
    <w:rPr>
      <w:sz w:val="18"/>
      <w:szCs w:val="18"/>
    </w:rPr>
  </w:style>
  <w:style w:type="character" w:customStyle="1" w:styleId="62">
    <w:name w:val="标题 1 字符"/>
    <w:basedOn w:val="47"/>
    <w:link w:val="2"/>
    <w:qFormat/>
    <w:uiPriority w:val="9"/>
    <w:rPr>
      <w:rFonts w:ascii="宋体" w:hAnsi="Times New Roman" w:eastAsia="宋体" w:cs="Times New Roman"/>
      <w:b/>
      <w:kern w:val="44"/>
      <w:sz w:val="32"/>
      <w:szCs w:val="20"/>
    </w:rPr>
  </w:style>
  <w:style w:type="character" w:customStyle="1" w:styleId="63">
    <w:name w:val="标题 2 字符"/>
    <w:basedOn w:val="47"/>
    <w:link w:val="3"/>
    <w:qFormat/>
    <w:uiPriority w:val="0"/>
    <w:rPr>
      <w:rFonts w:ascii="Arial" w:hAnsi="Arial" w:eastAsia="黑体" w:cs="Times New Roman"/>
      <w:b/>
      <w:kern w:val="0"/>
      <w:sz w:val="30"/>
      <w:szCs w:val="20"/>
    </w:rPr>
  </w:style>
  <w:style w:type="character" w:customStyle="1" w:styleId="64">
    <w:name w:val="标题 3 字符"/>
    <w:basedOn w:val="47"/>
    <w:link w:val="5"/>
    <w:qFormat/>
    <w:uiPriority w:val="0"/>
    <w:rPr>
      <w:rFonts w:ascii="宋体" w:hAnsi="Times New Roman" w:eastAsia="宋体" w:cs="Times New Roman"/>
      <w:b/>
      <w:kern w:val="0"/>
      <w:sz w:val="24"/>
      <w:szCs w:val="20"/>
      <w:u w:val="single"/>
    </w:rPr>
  </w:style>
  <w:style w:type="character" w:customStyle="1" w:styleId="65">
    <w:name w:val="标题 4 字符"/>
    <w:basedOn w:val="47"/>
    <w:link w:val="6"/>
    <w:qFormat/>
    <w:uiPriority w:val="0"/>
    <w:rPr>
      <w:rFonts w:ascii="Arial" w:hAnsi="Arial" w:eastAsia="黑体" w:cs="Times New Roman"/>
      <w:b/>
      <w:kern w:val="0"/>
      <w:sz w:val="28"/>
      <w:szCs w:val="20"/>
    </w:rPr>
  </w:style>
  <w:style w:type="character" w:customStyle="1" w:styleId="66">
    <w:name w:val="标题 5 字符"/>
    <w:basedOn w:val="47"/>
    <w:link w:val="7"/>
    <w:qFormat/>
    <w:uiPriority w:val="0"/>
    <w:rPr>
      <w:rFonts w:ascii="Times New Roman" w:hAnsi="Times New Roman" w:eastAsia="宋体" w:cs="Times New Roman"/>
      <w:b/>
      <w:kern w:val="0"/>
      <w:sz w:val="28"/>
      <w:szCs w:val="20"/>
    </w:rPr>
  </w:style>
  <w:style w:type="character" w:customStyle="1" w:styleId="67">
    <w:name w:val="标题 6 字符"/>
    <w:basedOn w:val="47"/>
    <w:link w:val="8"/>
    <w:qFormat/>
    <w:uiPriority w:val="0"/>
    <w:rPr>
      <w:rFonts w:ascii="Arial" w:hAnsi="Arial" w:eastAsia="黑体" w:cs="Times New Roman"/>
      <w:b/>
      <w:kern w:val="0"/>
      <w:sz w:val="24"/>
      <w:szCs w:val="20"/>
    </w:rPr>
  </w:style>
  <w:style w:type="character" w:customStyle="1" w:styleId="68">
    <w:name w:val="标题 7 字符"/>
    <w:basedOn w:val="47"/>
    <w:link w:val="9"/>
    <w:qFormat/>
    <w:uiPriority w:val="0"/>
    <w:rPr>
      <w:rFonts w:ascii="Times New Roman" w:hAnsi="Times New Roman" w:eastAsia="宋体" w:cs="Times New Roman"/>
      <w:b/>
      <w:kern w:val="0"/>
      <w:sz w:val="24"/>
      <w:szCs w:val="20"/>
    </w:rPr>
  </w:style>
  <w:style w:type="character" w:customStyle="1" w:styleId="69">
    <w:name w:val="标题 8 字符"/>
    <w:basedOn w:val="47"/>
    <w:link w:val="10"/>
    <w:qFormat/>
    <w:uiPriority w:val="0"/>
    <w:rPr>
      <w:rFonts w:ascii="Arial" w:hAnsi="Arial" w:eastAsia="黑体" w:cs="Times New Roman"/>
      <w:kern w:val="0"/>
      <w:sz w:val="24"/>
      <w:szCs w:val="20"/>
    </w:rPr>
  </w:style>
  <w:style w:type="character" w:customStyle="1" w:styleId="70">
    <w:name w:val="标题 9 字符"/>
    <w:basedOn w:val="47"/>
    <w:link w:val="11"/>
    <w:qFormat/>
    <w:uiPriority w:val="0"/>
    <w:rPr>
      <w:rFonts w:ascii="Arial" w:hAnsi="Arial" w:eastAsia="黑体" w:cs="Times New Roman"/>
      <w:kern w:val="0"/>
      <w:szCs w:val="20"/>
    </w:rPr>
  </w:style>
  <w:style w:type="character" w:customStyle="1" w:styleId="71">
    <w:name w:val="正文缩进 字符"/>
    <w:link w:val="4"/>
    <w:qFormat/>
    <w:uiPriority w:val="0"/>
    <w:rPr>
      <w:rFonts w:ascii="宋体" w:hAnsi="Times New Roman" w:eastAsia="宋体" w:cs="Times New Roman"/>
      <w:sz w:val="24"/>
      <w:szCs w:val="24"/>
    </w:rPr>
  </w:style>
  <w:style w:type="character" w:customStyle="1" w:styleId="72">
    <w:name w:val="文档结构图 字符"/>
    <w:basedOn w:val="47"/>
    <w:link w:val="14"/>
    <w:qFormat/>
    <w:uiPriority w:val="0"/>
    <w:rPr>
      <w:rFonts w:ascii="Times New Roman" w:hAnsi="Times New Roman" w:eastAsia="宋体" w:cs="Times New Roman"/>
      <w:szCs w:val="24"/>
      <w:shd w:val="clear" w:color="auto" w:fill="000080"/>
    </w:rPr>
  </w:style>
  <w:style w:type="character" w:customStyle="1" w:styleId="73">
    <w:name w:val="批注文字 字符"/>
    <w:basedOn w:val="47"/>
    <w:qFormat/>
    <w:uiPriority w:val="99"/>
    <w:rPr>
      <w:rFonts w:ascii="Times New Roman" w:hAnsi="Times New Roman" w:eastAsia="宋体" w:cs="Times New Roman"/>
      <w:szCs w:val="24"/>
    </w:rPr>
  </w:style>
  <w:style w:type="character" w:customStyle="1" w:styleId="74">
    <w:name w:val="批注文字 字符1"/>
    <w:link w:val="15"/>
    <w:qFormat/>
    <w:uiPriority w:val="99"/>
    <w:rPr>
      <w:rFonts w:ascii="Times New Roman" w:hAnsi="Times New Roman" w:eastAsia="宋体" w:cs="Times New Roman"/>
      <w:szCs w:val="24"/>
    </w:rPr>
  </w:style>
  <w:style w:type="character" w:customStyle="1" w:styleId="75">
    <w:name w:val="正文文本 3 字符"/>
    <w:basedOn w:val="47"/>
    <w:link w:val="16"/>
    <w:qFormat/>
    <w:uiPriority w:val="0"/>
    <w:rPr>
      <w:rFonts w:ascii="Times New Roman" w:hAnsi="Times New Roman" w:eastAsia="宋体" w:cs="Times New Roman"/>
      <w:sz w:val="16"/>
      <w:szCs w:val="16"/>
    </w:rPr>
  </w:style>
  <w:style w:type="character" w:customStyle="1" w:styleId="76">
    <w:name w:val="正文文本 字符"/>
    <w:basedOn w:val="47"/>
    <w:link w:val="17"/>
    <w:qFormat/>
    <w:uiPriority w:val="0"/>
    <w:rPr>
      <w:rFonts w:ascii="宋体" w:hAnsi="宋体" w:eastAsia="宋体" w:cs="Times New Roman"/>
      <w:sz w:val="24"/>
      <w:szCs w:val="24"/>
    </w:rPr>
  </w:style>
  <w:style w:type="character" w:customStyle="1" w:styleId="77">
    <w:name w:val="正文文本缩进 字符"/>
    <w:basedOn w:val="47"/>
    <w:link w:val="18"/>
    <w:qFormat/>
    <w:uiPriority w:val="0"/>
    <w:rPr>
      <w:rFonts w:ascii="Times New Roman" w:hAnsi="Times New Roman" w:eastAsia="宋体" w:cs="Times New Roman"/>
      <w:sz w:val="24"/>
      <w:szCs w:val="24"/>
    </w:rPr>
  </w:style>
  <w:style w:type="character" w:customStyle="1" w:styleId="78">
    <w:name w:val="纯文本 字符"/>
    <w:basedOn w:val="47"/>
    <w:qFormat/>
    <w:uiPriority w:val="99"/>
    <w:rPr>
      <w:rFonts w:hAnsi="Courier New" w:cs="Courier New" w:asciiTheme="minorEastAsia"/>
      <w:szCs w:val="24"/>
    </w:rPr>
  </w:style>
  <w:style w:type="character" w:customStyle="1" w:styleId="79">
    <w:name w:val="纯文本 字符2"/>
    <w:link w:val="23"/>
    <w:qFormat/>
    <w:uiPriority w:val="0"/>
    <w:rPr>
      <w:rFonts w:ascii="宋体" w:hAnsi="Courier New" w:eastAsia="宋体" w:cs="Times New Roman"/>
      <w:szCs w:val="20"/>
    </w:rPr>
  </w:style>
  <w:style w:type="character" w:customStyle="1" w:styleId="80">
    <w:name w:val="日期 字符"/>
    <w:basedOn w:val="47"/>
    <w:link w:val="25"/>
    <w:qFormat/>
    <w:uiPriority w:val="0"/>
    <w:rPr>
      <w:rFonts w:ascii="仿宋_GB2312" w:hAnsi="宋体" w:eastAsia="仿宋_GB2312" w:cs="Times New Roman"/>
      <w:color w:val="000000"/>
      <w:sz w:val="24"/>
      <w:szCs w:val="24"/>
    </w:rPr>
  </w:style>
  <w:style w:type="character" w:customStyle="1" w:styleId="81">
    <w:name w:val="正文文本缩进 2 字符"/>
    <w:basedOn w:val="47"/>
    <w:link w:val="26"/>
    <w:qFormat/>
    <w:uiPriority w:val="0"/>
    <w:rPr>
      <w:rFonts w:ascii="仿宋_GB2312" w:hAnsi="Times New Roman" w:eastAsia="仿宋_GB2312" w:cs="Times New Roman"/>
      <w:sz w:val="24"/>
      <w:szCs w:val="24"/>
    </w:rPr>
  </w:style>
  <w:style w:type="character" w:customStyle="1" w:styleId="82">
    <w:name w:val="正文文本缩进 3 字符"/>
    <w:basedOn w:val="47"/>
    <w:link w:val="35"/>
    <w:qFormat/>
    <w:uiPriority w:val="0"/>
    <w:rPr>
      <w:rFonts w:ascii="宋体" w:hAnsi="Times New Roman" w:eastAsia="宋体" w:cs="Times New Roman"/>
      <w:kern w:val="0"/>
      <w:sz w:val="24"/>
      <w:szCs w:val="20"/>
    </w:rPr>
  </w:style>
  <w:style w:type="character" w:customStyle="1" w:styleId="83">
    <w:name w:val="HTML 预设格式 字符"/>
    <w:basedOn w:val="47"/>
    <w:link w:val="38"/>
    <w:qFormat/>
    <w:uiPriority w:val="0"/>
    <w:rPr>
      <w:rFonts w:ascii="宋体" w:hAnsi="宋体" w:eastAsia="宋体" w:cs="宋体"/>
      <w:kern w:val="0"/>
      <w:sz w:val="24"/>
      <w:szCs w:val="24"/>
    </w:rPr>
  </w:style>
  <w:style w:type="character" w:customStyle="1" w:styleId="84">
    <w:name w:val="标题 字符"/>
    <w:basedOn w:val="47"/>
    <w:link w:val="41"/>
    <w:qFormat/>
    <w:uiPriority w:val="0"/>
    <w:rPr>
      <w:rFonts w:ascii="Times New Roman" w:hAnsi="Times New Roman" w:eastAsia="宋体" w:cs="Times New Roman"/>
      <w:b/>
      <w:sz w:val="32"/>
      <w:szCs w:val="20"/>
    </w:rPr>
  </w:style>
  <w:style w:type="character" w:customStyle="1" w:styleId="85">
    <w:name w:val="批注主题 字符"/>
    <w:basedOn w:val="73"/>
    <w:link w:val="42"/>
    <w:qFormat/>
    <w:uiPriority w:val="0"/>
    <w:rPr>
      <w:rFonts w:ascii="Times New Roman" w:hAnsi="Times New Roman" w:eastAsia="宋体" w:cs="Times New Roman"/>
      <w:b/>
      <w:bCs/>
      <w:szCs w:val="24"/>
    </w:rPr>
  </w:style>
  <w:style w:type="character" w:customStyle="1" w:styleId="86">
    <w:name w:val="正文文本首行缩进 2 字符"/>
    <w:basedOn w:val="77"/>
    <w:link w:val="43"/>
    <w:qFormat/>
    <w:uiPriority w:val="0"/>
    <w:rPr>
      <w:rFonts w:ascii="Times New Roman" w:hAnsi="Times New Roman" w:eastAsia="宋体" w:cs="Times New Roman"/>
      <w:sz w:val="24"/>
      <w:szCs w:val="20"/>
    </w:rPr>
  </w:style>
  <w:style w:type="character" w:customStyle="1" w:styleId="87">
    <w:name w:val="c21"/>
    <w:qFormat/>
    <w:uiPriority w:val="0"/>
    <w:rPr>
      <w:rFonts w:hint="default" w:ascii="ˎ̥" w:hAnsi="ˎ̥"/>
      <w:color w:val="000000"/>
      <w:sz w:val="20"/>
      <w:szCs w:val="20"/>
      <w:u w:val="none"/>
    </w:rPr>
  </w:style>
  <w:style w:type="character" w:customStyle="1" w:styleId="88">
    <w:name w:val="title4"/>
    <w:qFormat/>
    <w:uiPriority w:val="0"/>
    <w:rPr>
      <w:b/>
      <w:bCs/>
      <w:color w:val="1D87B3"/>
      <w:sz w:val="15"/>
      <w:szCs w:val="15"/>
    </w:rPr>
  </w:style>
  <w:style w:type="character" w:customStyle="1" w:styleId="89">
    <w:name w:val="标题 2 Char Char"/>
    <w:qFormat/>
    <w:uiPriority w:val="0"/>
    <w:rPr>
      <w:rFonts w:ascii="Arial" w:hAnsi="Arial" w:eastAsia="黑体"/>
      <w:b/>
      <w:bCs/>
      <w:kern w:val="2"/>
      <w:sz w:val="32"/>
      <w:szCs w:val="32"/>
      <w:lang w:val="en-US" w:eastAsia="zh-CN" w:bidi="ar-SA"/>
    </w:rPr>
  </w:style>
  <w:style w:type="character" w:customStyle="1" w:styleId="90">
    <w:name w:val="black1"/>
    <w:qFormat/>
    <w:uiPriority w:val="0"/>
    <w:rPr>
      <w:color w:val="000000"/>
    </w:rPr>
  </w:style>
  <w:style w:type="character" w:customStyle="1" w:styleId="91">
    <w:name w:val="street-address"/>
    <w:qFormat/>
    <w:uiPriority w:val="0"/>
  </w:style>
  <w:style w:type="character" w:customStyle="1" w:styleId="92">
    <w:name w:val="locality"/>
    <w:qFormat/>
    <w:uiPriority w:val="0"/>
  </w:style>
  <w:style w:type="character" w:customStyle="1" w:styleId="93">
    <w:name w:val="正文文本缩进 Char1"/>
    <w:link w:val="56"/>
    <w:qFormat/>
    <w:uiPriority w:val="0"/>
    <w:rPr>
      <w:rFonts w:ascii="宋体" w:hAnsi="宋体" w:eastAsia="宋体"/>
      <w:sz w:val="24"/>
      <w:szCs w:val="24"/>
    </w:rPr>
  </w:style>
  <w:style w:type="character" w:customStyle="1" w:styleId="94">
    <w:name w:val="Char Char11"/>
    <w:qFormat/>
    <w:uiPriority w:val="0"/>
    <w:rPr>
      <w:rFonts w:ascii="宋体" w:eastAsia="宋体"/>
      <w:b/>
      <w:sz w:val="24"/>
      <w:u w:val="single"/>
      <w:lang w:val="en-US" w:eastAsia="zh-CN" w:bidi="ar-SA"/>
    </w:rPr>
  </w:style>
  <w:style w:type="character" w:customStyle="1" w:styleId="95">
    <w:name w:val="txt"/>
    <w:qFormat/>
    <w:uiPriority w:val="0"/>
  </w:style>
  <w:style w:type="character" w:customStyle="1" w:styleId="96">
    <w:name w:val="正文缩进 Char Char"/>
    <w:link w:val="97"/>
    <w:qFormat/>
    <w:uiPriority w:val="0"/>
    <w:rPr>
      <w:rFonts w:ascii="宋体" w:eastAsia="宋体"/>
      <w:snapToGrid w:val="0"/>
      <w:color w:val="000000"/>
      <w:kern w:val="28"/>
      <w:sz w:val="28"/>
    </w:rPr>
  </w:style>
  <w:style w:type="paragraph" w:customStyle="1" w:styleId="97">
    <w:name w:val="正文缩进1"/>
    <w:basedOn w:val="1"/>
    <w:link w:val="96"/>
    <w:qFormat/>
    <w:uiPriority w:val="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98">
    <w:name w:val="普通文字1 Char1"/>
    <w:qFormat/>
    <w:uiPriority w:val="0"/>
    <w:rPr>
      <w:rFonts w:ascii="宋体" w:hAnsi="Courier New" w:eastAsia="宋体"/>
      <w:kern w:val="2"/>
      <w:sz w:val="21"/>
      <w:lang w:val="en-US" w:eastAsia="zh-CN" w:bidi="ar-SA"/>
    </w:rPr>
  </w:style>
  <w:style w:type="character" w:customStyle="1" w:styleId="99">
    <w:name w:val="chanpin1"/>
    <w:qFormat/>
    <w:uiPriority w:val="0"/>
    <w:rPr>
      <w:rFonts w:hint="default" w:ascii="ˎ̥" w:hAnsi="ˎ̥"/>
      <w:color w:val="000000"/>
      <w:sz w:val="20"/>
      <w:szCs w:val="20"/>
      <w:u w:val="none"/>
    </w:rPr>
  </w:style>
  <w:style w:type="character" w:customStyle="1" w:styleId="100">
    <w:name w:val="列表段落 字符"/>
    <w:link w:val="101"/>
    <w:qFormat/>
    <w:uiPriority w:val="34"/>
    <w:rPr>
      <w:rFonts w:ascii="Calibri" w:hAnsi="Calibri" w:eastAsia="宋体"/>
    </w:rPr>
  </w:style>
  <w:style w:type="paragraph" w:styleId="101">
    <w:name w:val="List Paragraph"/>
    <w:basedOn w:val="1"/>
    <w:link w:val="100"/>
    <w:qFormat/>
    <w:uiPriority w:val="34"/>
    <w:pPr>
      <w:ind w:firstLine="420" w:firstLineChars="200"/>
    </w:pPr>
    <w:rPr>
      <w:rFonts w:ascii="Calibri" w:hAnsi="Calibri" w:cstheme="minorBidi"/>
      <w:szCs w:val="22"/>
    </w:rPr>
  </w:style>
  <w:style w:type="character" w:customStyle="1" w:styleId="102">
    <w:name w:val="标题 3 Char Char"/>
    <w:qFormat/>
    <w:uiPriority w:val="0"/>
    <w:rPr>
      <w:rFonts w:eastAsia="宋体"/>
      <w:b/>
      <w:bCs/>
      <w:kern w:val="2"/>
      <w:sz w:val="32"/>
      <w:szCs w:val="32"/>
      <w:lang w:val="en-US" w:eastAsia="zh-CN" w:bidi="ar-SA"/>
    </w:rPr>
  </w:style>
  <w:style w:type="character" w:customStyle="1" w:styleId="103">
    <w:name w:val="段1 Char"/>
    <w:qFormat/>
    <w:uiPriority w:val="0"/>
    <w:rPr>
      <w:rFonts w:ascii="宋体" w:eastAsia="宋体"/>
      <w:sz w:val="24"/>
      <w:lang w:val="en-US" w:eastAsia="zh-CN" w:bidi="ar-SA"/>
    </w:rPr>
  </w:style>
  <w:style w:type="character" w:customStyle="1" w:styleId="104">
    <w:name w:val="chanpin拷贝"/>
    <w:qFormat/>
    <w:uiPriority w:val="0"/>
  </w:style>
  <w:style w:type="character" w:customStyle="1" w:styleId="105">
    <w:name w:val="纯文本 Char1"/>
    <w:qFormat/>
    <w:uiPriority w:val="0"/>
    <w:rPr>
      <w:rFonts w:ascii="宋体" w:hAnsi="Courier New" w:eastAsia="宋体"/>
      <w:kern w:val="2"/>
      <w:sz w:val="21"/>
      <w:lang w:val="en-US" w:eastAsia="zh-CN" w:bidi="ar-SA"/>
    </w:rPr>
  </w:style>
  <w:style w:type="character" w:customStyle="1" w:styleId="106">
    <w:name w:val="apple-style-span"/>
    <w:qFormat/>
    <w:uiPriority w:val="0"/>
    <w:rPr>
      <w:rFonts w:cs="Times New Roman"/>
    </w:rPr>
  </w:style>
  <w:style w:type="paragraph" w:customStyle="1" w:styleId="107">
    <w:name w:val="二级条标题"/>
    <w:basedOn w:val="108"/>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8">
    <w:name w:val="一级条标题"/>
    <w:basedOn w:val="109"/>
    <w:next w:val="1"/>
    <w:qFormat/>
    <w:uiPriority w:val="0"/>
    <w:pPr>
      <w:numPr>
        <w:ilvl w:val="1"/>
      </w:numPr>
      <w:tabs>
        <w:tab w:val="left" w:pos="360"/>
        <w:tab w:val="left" w:pos="840"/>
      </w:tabs>
      <w:ind w:left="0" w:hanging="840"/>
      <w:outlineLvl w:val="1"/>
    </w:pPr>
  </w:style>
  <w:style w:type="paragraph" w:customStyle="1" w:styleId="109">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1">
    <w:name w:val="字元 字元"/>
    <w:basedOn w:val="1"/>
    <w:qFormat/>
    <w:uiPriority w:val="0"/>
    <w:rPr>
      <w:rFonts w:ascii="Tahoma" w:hAnsi="Tahoma"/>
      <w:sz w:val="24"/>
      <w:szCs w:val="20"/>
    </w:rPr>
  </w:style>
  <w:style w:type="paragraph" w:customStyle="1" w:styleId="112">
    <w:name w:val="Char3 Char Char Char"/>
    <w:basedOn w:val="1"/>
    <w:qFormat/>
    <w:uiPriority w:val="0"/>
    <w:rPr>
      <w:rFonts w:ascii="Tahoma" w:hAnsi="Tahoma"/>
      <w:sz w:val="24"/>
      <w:szCs w:val="20"/>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4">
    <w:name w:val="项目编号2"/>
    <w:basedOn w:val="115"/>
    <w:qFormat/>
    <w:uiPriority w:val="0"/>
    <w:pPr>
      <w:numPr>
        <w:numId w:val="2"/>
      </w:numPr>
    </w:pPr>
  </w:style>
  <w:style w:type="paragraph" w:customStyle="1" w:styleId="115">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6">
    <w:name w:val="图中文字"/>
    <w:basedOn w:val="1"/>
    <w:qFormat/>
    <w:uiPriority w:val="0"/>
    <w:pPr>
      <w:adjustRightInd w:val="0"/>
      <w:snapToGrid w:val="0"/>
      <w:spacing w:line="0" w:lineRule="atLeast"/>
      <w:jc w:val="center"/>
    </w:pPr>
    <w:rPr>
      <w:sz w:val="24"/>
      <w:szCs w:val="20"/>
    </w:rPr>
  </w:style>
  <w:style w:type="paragraph" w:customStyle="1" w:styleId="11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9">
    <w:name w:val="Char2"/>
    <w:basedOn w:val="1"/>
    <w:qFormat/>
    <w:uiPriority w:val="0"/>
    <w:rPr>
      <w:rFonts w:ascii="Tahoma" w:hAnsi="Tahoma"/>
      <w:sz w:val="24"/>
      <w:szCs w:val="20"/>
    </w:rPr>
  </w:style>
  <w:style w:type="paragraph" w:customStyle="1" w:styleId="120">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3">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4">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7">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8">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9">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3">
    <w:name w:val="font8"/>
    <w:basedOn w:val="1"/>
    <w:qFormat/>
    <w:uiPriority w:val="0"/>
    <w:pPr>
      <w:widowControl/>
      <w:spacing w:before="100" w:beforeAutospacing="1" w:after="100" w:afterAutospacing="1"/>
      <w:jc w:val="left"/>
    </w:pPr>
    <w:rPr>
      <w:kern w:val="0"/>
      <w:sz w:val="36"/>
      <w:szCs w:val="36"/>
    </w:rPr>
  </w:style>
  <w:style w:type="paragraph" w:customStyle="1" w:styleId="134">
    <w:name w:val="Char"/>
    <w:basedOn w:val="1"/>
    <w:qFormat/>
    <w:uiPriority w:val="0"/>
    <w:pPr>
      <w:tabs>
        <w:tab w:val="left" w:pos="360"/>
      </w:tabs>
    </w:pPr>
    <w:rPr>
      <w:sz w:val="24"/>
    </w:rPr>
  </w:style>
  <w:style w:type="paragraph" w:customStyle="1" w:styleId="135">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6">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7">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8">
    <w:name w:val="Char Char1"/>
    <w:basedOn w:val="14"/>
    <w:qFormat/>
    <w:uiPriority w:val="0"/>
    <w:rPr>
      <w:rFonts w:ascii="Tahoma" w:hAnsi="Tahoma"/>
      <w:sz w:val="24"/>
    </w:rPr>
  </w:style>
  <w:style w:type="paragraph" w:customStyle="1" w:styleId="13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3">
    <w:name w:val="Char1 Char Char Char1"/>
    <w:basedOn w:val="1"/>
    <w:qFormat/>
    <w:uiPriority w:val="0"/>
    <w:rPr>
      <w:rFonts w:ascii="Tahoma" w:hAnsi="Tahoma" w:cs="仿宋_GB2312"/>
      <w:sz w:val="24"/>
      <w:szCs w:val="28"/>
    </w:rPr>
  </w:style>
  <w:style w:type="paragraph" w:customStyle="1" w:styleId="144">
    <w:name w:val="四级条标题"/>
    <w:basedOn w:val="145"/>
    <w:next w:val="1"/>
    <w:qFormat/>
    <w:uiPriority w:val="0"/>
    <w:pPr>
      <w:numPr>
        <w:ilvl w:val="4"/>
      </w:numPr>
      <w:tabs>
        <w:tab w:val="left" w:pos="360"/>
        <w:tab w:val="left" w:pos="840"/>
      </w:tabs>
      <w:ind w:left="0" w:hanging="840"/>
      <w:outlineLvl w:val="4"/>
    </w:pPr>
  </w:style>
  <w:style w:type="paragraph" w:customStyle="1" w:styleId="145">
    <w:name w:val="三级条标题"/>
    <w:basedOn w:val="107"/>
    <w:next w:val="1"/>
    <w:qFormat/>
    <w:uiPriority w:val="0"/>
    <w:pPr>
      <w:numPr>
        <w:ilvl w:val="3"/>
        <w:numId w:val="1"/>
      </w:numPr>
      <w:ind w:left="0" w:hanging="840"/>
      <w:outlineLvl w:val="3"/>
    </w:pPr>
  </w:style>
  <w:style w:type="paragraph" w:customStyle="1" w:styleId="146">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7">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8">
    <w:name w:val="List Paragraph1"/>
    <w:basedOn w:val="1"/>
    <w:qFormat/>
    <w:uiPriority w:val="0"/>
    <w:pPr>
      <w:ind w:firstLine="420" w:firstLineChars="200"/>
    </w:pPr>
    <w:rPr>
      <w:rFonts w:ascii="Calibri" w:hAnsi="Calibri"/>
      <w:szCs w:val="22"/>
    </w:rPr>
  </w:style>
  <w:style w:type="paragraph" w:customStyle="1" w:styleId="149">
    <w:name w:val="项目符号1"/>
    <w:basedOn w:val="150"/>
    <w:qFormat/>
    <w:uiPriority w:val="0"/>
    <w:pPr>
      <w:ind w:left="-25" w:firstLine="0"/>
    </w:pPr>
  </w:style>
  <w:style w:type="paragraph" w:customStyle="1" w:styleId="150">
    <w:name w:val="正文文本样式"/>
    <w:basedOn w:val="1"/>
    <w:qFormat/>
    <w:uiPriority w:val="0"/>
    <w:pPr>
      <w:spacing w:line="360" w:lineRule="auto"/>
      <w:ind w:firstLine="482"/>
    </w:pPr>
    <w:rPr>
      <w:rFonts w:cs="宋体"/>
      <w:sz w:val="24"/>
      <w:szCs w:val="20"/>
    </w:rPr>
  </w:style>
  <w:style w:type="paragraph" w:customStyle="1" w:styleId="15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五级条标题"/>
    <w:basedOn w:val="144"/>
    <w:next w:val="1"/>
    <w:qFormat/>
    <w:uiPriority w:val="0"/>
    <w:pPr>
      <w:numPr>
        <w:ilvl w:val="5"/>
      </w:numPr>
      <w:ind w:left="0" w:hanging="840"/>
      <w:outlineLvl w:val="5"/>
    </w:pPr>
  </w:style>
  <w:style w:type="paragraph" w:customStyle="1" w:styleId="15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5">
    <w:name w:val="文档正文"/>
    <w:basedOn w:val="1"/>
    <w:qFormat/>
    <w:uiPriority w:val="0"/>
    <w:pPr>
      <w:snapToGrid w:val="0"/>
      <w:spacing w:before="120" w:after="120" w:line="180" w:lineRule="auto"/>
    </w:pPr>
    <w:rPr>
      <w:rFonts w:ascii="Arial" w:hAnsi="Arial"/>
      <w:szCs w:val="20"/>
    </w:rPr>
  </w:style>
  <w:style w:type="paragraph" w:customStyle="1" w:styleId="15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7">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8">
    <w:name w:val="Char Char Char1 Char"/>
    <w:basedOn w:val="1"/>
    <w:qFormat/>
    <w:uiPriority w:val="0"/>
    <w:rPr>
      <w:rFonts w:ascii="Tahoma" w:hAnsi="Tahoma"/>
      <w:sz w:val="24"/>
      <w:szCs w:val="20"/>
    </w:rPr>
  </w:style>
  <w:style w:type="paragraph" w:customStyle="1" w:styleId="159">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0">
    <w:name w:val="1名"/>
    <w:basedOn w:val="1"/>
    <w:qFormat/>
    <w:uiPriority w:val="0"/>
    <w:pPr>
      <w:numPr>
        <w:ilvl w:val="0"/>
        <w:numId w:val="5"/>
      </w:numPr>
      <w:spacing w:before="120"/>
    </w:pPr>
    <w:rPr>
      <w:rFonts w:ascii="宋体"/>
      <w:sz w:val="28"/>
      <w:szCs w:val="20"/>
    </w:rPr>
  </w:style>
  <w:style w:type="paragraph" w:customStyle="1" w:styleId="161">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2">
    <w:name w:val="Char Char Char1 Char1"/>
    <w:basedOn w:val="1"/>
    <w:qFormat/>
    <w:uiPriority w:val="0"/>
    <w:rPr>
      <w:rFonts w:ascii="Tahoma" w:hAnsi="Tahoma"/>
      <w:sz w:val="24"/>
      <w:szCs w:val="20"/>
    </w:rPr>
  </w:style>
  <w:style w:type="paragraph" w:customStyle="1" w:styleId="163">
    <w:name w:val="Char Char Char Char Char Char Char Char Char Char"/>
    <w:basedOn w:val="1"/>
    <w:qFormat/>
    <w:uiPriority w:val="0"/>
  </w:style>
  <w:style w:type="paragraph" w:customStyle="1" w:styleId="164">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5">
    <w:name w:val="Char1"/>
    <w:basedOn w:val="1"/>
    <w:qFormat/>
    <w:uiPriority w:val="0"/>
    <w:pPr>
      <w:tabs>
        <w:tab w:val="left" w:pos="360"/>
      </w:tabs>
    </w:pPr>
    <w:rPr>
      <w:sz w:val="24"/>
    </w:rPr>
  </w:style>
  <w:style w:type="paragraph" w:customStyle="1" w:styleId="166">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8">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9">
    <w:name w:val="默认段落字体 Para Char Char Char Char"/>
    <w:basedOn w:val="1"/>
    <w:qFormat/>
    <w:uiPriority w:val="0"/>
    <w:rPr>
      <w:rFonts w:ascii="Arial" w:hAnsi="Arial" w:cs="Arial"/>
      <w:szCs w:val="21"/>
    </w:rPr>
  </w:style>
  <w:style w:type="paragraph" w:customStyle="1" w:styleId="170">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3">
    <w:name w:val="Char Char Char"/>
    <w:basedOn w:val="1"/>
    <w:qFormat/>
    <w:uiPriority w:val="0"/>
    <w:rPr>
      <w:rFonts w:ascii="Tahoma" w:hAnsi="Tahoma"/>
      <w:sz w:val="24"/>
      <w:szCs w:val="20"/>
    </w:rPr>
  </w:style>
  <w:style w:type="paragraph" w:customStyle="1" w:styleId="174">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5">
    <w:name w:val="缺省文本"/>
    <w:basedOn w:val="1"/>
    <w:qFormat/>
    <w:uiPriority w:val="0"/>
    <w:pPr>
      <w:autoSpaceDE w:val="0"/>
      <w:autoSpaceDN w:val="0"/>
      <w:adjustRightInd w:val="0"/>
      <w:jc w:val="left"/>
    </w:pPr>
    <w:rPr>
      <w:kern w:val="0"/>
      <w:sz w:val="24"/>
    </w:rPr>
  </w:style>
  <w:style w:type="paragraph" w:customStyle="1" w:styleId="176">
    <w:name w:val="Char Char Char1"/>
    <w:basedOn w:val="1"/>
    <w:qFormat/>
    <w:uiPriority w:val="0"/>
    <w:rPr>
      <w:rFonts w:ascii="Tahoma" w:hAnsi="Tahoma"/>
      <w:sz w:val="24"/>
      <w:szCs w:val="20"/>
    </w:rPr>
  </w:style>
  <w:style w:type="paragraph" w:customStyle="1" w:styleId="17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9">
    <w:name w:val="样式2"/>
    <w:basedOn w:val="40"/>
    <w:qFormat/>
    <w:uiPriority w:val="0"/>
    <w:pPr>
      <w:spacing w:line="360" w:lineRule="auto"/>
      <w:jc w:val="center"/>
    </w:pPr>
    <w:rPr>
      <w:sz w:val="24"/>
    </w:rPr>
  </w:style>
  <w:style w:type="paragraph" w:customStyle="1" w:styleId="1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2">
    <w:name w:val="正文 + 楷体_GB2312"/>
    <w:basedOn w:val="1"/>
    <w:qFormat/>
    <w:uiPriority w:val="0"/>
    <w:pPr>
      <w:widowControl/>
      <w:jc w:val="left"/>
    </w:pPr>
    <w:rPr>
      <w:rFonts w:ascii="楷体_GB2312" w:eastAsia="楷体_GB2312" w:cs="Arial"/>
      <w:kern w:val="0"/>
      <w:sz w:val="24"/>
    </w:rPr>
  </w:style>
  <w:style w:type="paragraph" w:customStyle="1" w:styleId="18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4">
    <w:name w:val="1 Char Char Char Char"/>
    <w:basedOn w:val="1"/>
    <w:qFormat/>
    <w:uiPriority w:val="0"/>
    <w:rPr>
      <w:rFonts w:ascii="Tahoma" w:hAnsi="Tahoma"/>
      <w:sz w:val="24"/>
      <w:szCs w:val="20"/>
    </w:rPr>
  </w:style>
  <w:style w:type="paragraph" w:customStyle="1" w:styleId="185">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6">
    <w:name w:val="列出段落1"/>
    <w:basedOn w:val="1"/>
    <w:qFormat/>
    <w:uiPriority w:val="34"/>
    <w:pPr>
      <w:ind w:firstLine="420" w:firstLineChars="200"/>
    </w:pPr>
    <w:rPr>
      <w:rFonts w:ascii="Calibri" w:hAnsi="Calibri"/>
      <w:szCs w:val="22"/>
    </w:rPr>
  </w:style>
  <w:style w:type="paragraph" w:customStyle="1" w:styleId="187">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字元 字元1"/>
    <w:basedOn w:val="1"/>
    <w:qFormat/>
    <w:uiPriority w:val="0"/>
    <w:rPr>
      <w:rFonts w:ascii="Tahoma" w:hAnsi="Tahoma"/>
      <w:sz w:val="24"/>
      <w:szCs w:val="20"/>
    </w:rPr>
  </w:style>
  <w:style w:type="paragraph" w:customStyle="1" w:styleId="189">
    <w:name w:val="_Style 160"/>
    <w:qFormat/>
    <w:uiPriority w:val="0"/>
    <w:rPr>
      <w:rFonts w:ascii="Times New Roman" w:hAnsi="Times New Roman" w:eastAsia="宋体" w:cs="Times New Roman"/>
      <w:kern w:val="2"/>
      <w:sz w:val="21"/>
      <w:szCs w:val="24"/>
      <w:lang w:val="en-US" w:eastAsia="zh-CN" w:bidi="ar-SA"/>
    </w:rPr>
  </w:style>
  <w:style w:type="paragraph" w:customStyle="1" w:styleId="190">
    <w:name w:val="项目编号3"/>
    <w:basedOn w:val="150"/>
    <w:qFormat/>
    <w:uiPriority w:val="0"/>
    <w:pPr>
      <w:numPr>
        <w:ilvl w:val="0"/>
        <w:numId w:val="6"/>
      </w:numPr>
    </w:pPr>
  </w:style>
  <w:style w:type="paragraph" w:customStyle="1" w:styleId="191">
    <w:name w:val="Char21"/>
    <w:basedOn w:val="1"/>
    <w:qFormat/>
    <w:uiPriority w:val="0"/>
    <w:rPr>
      <w:rFonts w:ascii="Tahoma" w:hAnsi="Tahoma"/>
      <w:sz w:val="24"/>
      <w:szCs w:val="20"/>
    </w:rPr>
  </w:style>
  <w:style w:type="paragraph" w:customStyle="1" w:styleId="192">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93">
    <w:name w:val="Char Char Char Char Char Char Char Char Char Char1"/>
    <w:basedOn w:val="1"/>
    <w:qFormat/>
    <w:uiPriority w:val="0"/>
    <w:rPr>
      <w:rFonts w:ascii="宋体" w:hAnsi="宋体" w:cs="Courier New"/>
      <w:sz w:val="32"/>
      <w:szCs w:val="32"/>
    </w:rPr>
  </w:style>
  <w:style w:type="paragraph" w:customStyle="1" w:styleId="194">
    <w:name w:val="正文文本样式 加粗"/>
    <w:basedOn w:val="150"/>
    <w:qFormat/>
    <w:uiPriority w:val="0"/>
    <w:rPr>
      <w:b/>
    </w:rPr>
  </w:style>
  <w:style w:type="paragraph" w:customStyle="1" w:styleId="195">
    <w:name w:val="Char2 Char Char Char Char Char Char"/>
    <w:basedOn w:val="1"/>
    <w:qFormat/>
    <w:uiPriority w:val="0"/>
    <w:pPr>
      <w:widowControl/>
      <w:spacing w:line="400" w:lineRule="exact"/>
      <w:jc w:val="center"/>
    </w:pPr>
  </w:style>
  <w:style w:type="paragraph" w:customStyle="1" w:styleId="196">
    <w:name w:val="Char Char4"/>
    <w:basedOn w:val="1"/>
    <w:qFormat/>
    <w:uiPriority w:val="0"/>
    <w:pPr>
      <w:widowControl/>
      <w:spacing w:line="400" w:lineRule="exact"/>
      <w:jc w:val="center"/>
    </w:pPr>
  </w:style>
  <w:style w:type="paragraph" w:customStyle="1" w:styleId="197">
    <w:name w:val="Char3 Char Char Char1"/>
    <w:basedOn w:val="1"/>
    <w:qFormat/>
    <w:uiPriority w:val="0"/>
    <w:rPr>
      <w:rFonts w:ascii="Tahoma" w:hAnsi="Tahoma"/>
      <w:sz w:val="24"/>
      <w:szCs w:val="20"/>
    </w:rPr>
  </w:style>
  <w:style w:type="paragraph" w:styleId="19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00">
    <w:name w:val="中等深浅网格 1 - 强调文字颜色 2 Char"/>
    <w:link w:val="201"/>
    <w:qFormat/>
    <w:uiPriority w:val="0"/>
    <w:rPr>
      <w:szCs w:val="24"/>
      <w:lang w:val="zh-CN"/>
    </w:rPr>
  </w:style>
  <w:style w:type="paragraph" w:customStyle="1" w:styleId="201">
    <w:name w:val="1"/>
    <w:link w:val="200"/>
    <w:qFormat/>
    <w:uiPriority w:val="0"/>
    <w:rPr>
      <w:rFonts w:asciiTheme="minorHAnsi" w:hAnsiTheme="minorHAnsi" w:eastAsiaTheme="minorEastAsia" w:cstheme="minorBidi"/>
      <w:kern w:val="2"/>
      <w:sz w:val="21"/>
      <w:szCs w:val="24"/>
      <w:lang w:val="zh-CN" w:eastAsia="zh-CN" w:bidi="ar-SA"/>
    </w:rPr>
  </w:style>
  <w:style w:type="paragraph" w:customStyle="1" w:styleId="202">
    <w:name w:val="图文"/>
    <w:basedOn w:val="1"/>
    <w:qFormat/>
    <w:uiPriority w:val="0"/>
    <w:pPr>
      <w:adjustRightInd w:val="0"/>
      <w:snapToGrid w:val="0"/>
      <w:spacing w:after="50" w:line="360" w:lineRule="auto"/>
    </w:pPr>
    <w:rPr>
      <w:sz w:val="24"/>
    </w:rPr>
  </w:style>
  <w:style w:type="paragraph" w:customStyle="1" w:styleId="203">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4">
    <w:name w:val="正文表格"/>
    <w:basedOn w:val="1"/>
    <w:link w:val="205"/>
    <w:qFormat/>
    <w:uiPriority w:val="0"/>
    <w:pPr>
      <w:adjustRightInd w:val="0"/>
      <w:snapToGrid w:val="0"/>
      <w:jc w:val="left"/>
    </w:pPr>
    <w:rPr>
      <w:rFonts w:ascii="宋体" w:hAnsi="宋体"/>
      <w:color w:val="000000"/>
      <w:szCs w:val="21"/>
    </w:rPr>
  </w:style>
  <w:style w:type="character" w:customStyle="1" w:styleId="205">
    <w:name w:val="正文表格 Char"/>
    <w:link w:val="204"/>
    <w:qFormat/>
    <w:uiPriority w:val="0"/>
    <w:rPr>
      <w:rFonts w:ascii="宋体" w:hAnsi="宋体" w:eastAsia="宋体" w:cs="Times New Roman"/>
      <w:color w:val="000000"/>
      <w:szCs w:val="21"/>
    </w:rPr>
  </w:style>
  <w:style w:type="paragraph" w:customStyle="1" w:styleId="206">
    <w:name w:val="正文重点"/>
    <w:basedOn w:val="1"/>
    <w:link w:val="207"/>
    <w:qFormat/>
    <w:uiPriority w:val="0"/>
    <w:pPr>
      <w:adjustRightInd w:val="0"/>
      <w:spacing w:line="360" w:lineRule="auto"/>
      <w:ind w:firstLine="482" w:firstLineChars="200"/>
      <w:jc w:val="left"/>
      <w:textAlignment w:val="baseline"/>
    </w:pPr>
    <w:rPr>
      <w:b/>
      <w:kern w:val="0"/>
      <w:sz w:val="24"/>
      <w:szCs w:val="20"/>
    </w:rPr>
  </w:style>
  <w:style w:type="character" w:customStyle="1" w:styleId="207">
    <w:name w:val="正文重点 Char"/>
    <w:link w:val="206"/>
    <w:qFormat/>
    <w:uiPriority w:val="0"/>
    <w:rPr>
      <w:rFonts w:ascii="Times New Roman" w:hAnsi="Times New Roman" w:eastAsia="宋体" w:cs="Times New Roman"/>
      <w:b/>
      <w:kern w:val="0"/>
      <w:sz w:val="24"/>
      <w:szCs w:val="20"/>
    </w:rPr>
  </w:style>
  <w:style w:type="paragraph" w:customStyle="1" w:styleId="208">
    <w:name w:val="标题1-附件"/>
    <w:basedOn w:val="2"/>
    <w:qFormat/>
    <w:uiPriority w:val="0"/>
    <w:pPr>
      <w:jc w:val="left"/>
    </w:pPr>
    <w:rPr>
      <w:sz w:val="24"/>
      <w:szCs w:val="24"/>
    </w:rPr>
  </w:style>
  <w:style w:type="paragraph" w:customStyle="1" w:styleId="209">
    <w:name w:val="正文小标题"/>
    <w:basedOn w:val="1"/>
    <w:next w:val="4"/>
    <w:link w:val="21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0">
    <w:name w:val="正文小标题 Char"/>
    <w:link w:val="209"/>
    <w:qFormat/>
    <w:uiPriority w:val="0"/>
    <w:rPr>
      <w:rFonts w:ascii="宋体" w:hAnsi="宋体" w:eastAsia="宋体" w:cs="Times New Roman"/>
      <w:b/>
      <w:i/>
      <w:color w:val="FF0000"/>
      <w:sz w:val="24"/>
      <w:szCs w:val="20"/>
    </w:rPr>
  </w:style>
  <w:style w:type="paragraph" w:customStyle="1" w:styleId="211">
    <w:name w:val="正文大标题"/>
    <w:basedOn w:val="209"/>
    <w:next w:val="4"/>
    <w:link w:val="212"/>
    <w:qFormat/>
    <w:uiPriority w:val="0"/>
    <w:pPr>
      <w:jc w:val="center"/>
    </w:pPr>
    <w:rPr>
      <w:i w:val="0"/>
      <w:color w:val="000000"/>
      <w:sz w:val="28"/>
      <w:szCs w:val="21"/>
    </w:rPr>
  </w:style>
  <w:style w:type="character" w:customStyle="1" w:styleId="212">
    <w:name w:val="正文大标题 Char"/>
    <w:link w:val="211"/>
    <w:qFormat/>
    <w:uiPriority w:val="0"/>
    <w:rPr>
      <w:rFonts w:ascii="宋体" w:hAnsi="宋体" w:eastAsia="宋体" w:cs="Times New Roman"/>
      <w:b/>
      <w:color w:val="000000"/>
      <w:sz w:val="28"/>
      <w:szCs w:val="21"/>
    </w:rPr>
  </w:style>
  <w:style w:type="paragraph" w:customStyle="1" w:styleId="213">
    <w:name w:val="注释"/>
    <w:basedOn w:val="1"/>
    <w:link w:val="214"/>
    <w:qFormat/>
    <w:uiPriority w:val="0"/>
    <w:pPr>
      <w:adjustRightInd w:val="0"/>
      <w:snapToGrid w:val="0"/>
      <w:ind w:left="420" w:hanging="420" w:hangingChars="200"/>
      <w:jc w:val="left"/>
    </w:pPr>
    <w:rPr>
      <w:rFonts w:ascii="宋体" w:hAnsi="宋体"/>
      <w:szCs w:val="21"/>
    </w:rPr>
  </w:style>
  <w:style w:type="character" w:customStyle="1" w:styleId="214">
    <w:name w:val="注释 Char"/>
    <w:link w:val="213"/>
    <w:qFormat/>
    <w:uiPriority w:val="0"/>
    <w:rPr>
      <w:rFonts w:ascii="宋体" w:hAnsi="宋体" w:eastAsia="宋体" w:cs="Times New Roman"/>
      <w:szCs w:val="21"/>
    </w:rPr>
  </w:style>
  <w:style w:type="paragraph" w:customStyle="1" w:styleId="215">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6">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7">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paragraph" w:customStyle="1" w:styleId="218">
    <w:name w:val="表格1"/>
    <w:basedOn w:val="1"/>
    <w:qFormat/>
    <w:uiPriority w:val="0"/>
    <w:pPr>
      <w:ind w:firstLine="480" w:firstLineChars="200"/>
      <w:jc w:val="center"/>
    </w:pPr>
    <w:rPr>
      <w:sz w:val="24"/>
      <w:szCs w:val="20"/>
    </w:rPr>
  </w:style>
  <w:style w:type="character" w:customStyle="1" w:styleId="219">
    <w:name w:val="纯文本 字符1"/>
    <w:qFormat/>
    <w:uiPriority w:val="0"/>
    <w:rPr>
      <w:rFonts w:ascii="宋体" w:hAnsi="Courier New"/>
    </w:rPr>
  </w:style>
  <w:style w:type="character" w:customStyle="1" w:styleId="220">
    <w:name w:val="bjh-p"/>
    <w:qFormat/>
    <w:uiPriority w:val="0"/>
  </w:style>
  <w:style w:type="paragraph" w:customStyle="1" w:styleId="22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2">
    <w:name w:val="正文格式 Char"/>
    <w:link w:val="223"/>
    <w:qFormat/>
    <w:locked/>
    <w:uiPriority w:val="0"/>
    <w:rPr>
      <w:rFonts w:ascii="宋体" w:hAnsi="宋体"/>
      <w:sz w:val="24"/>
      <w:szCs w:val="24"/>
      <w:lang w:val="en-GB"/>
    </w:rPr>
  </w:style>
  <w:style w:type="paragraph" w:customStyle="1" w:styleId="223">
    <w:name w:val="正文格式"/>
    <w:basedOn w:val="1"/>
    <w:link w:val="222"/>
    <w:qFormat/>
    <w:uiPriority w:val="0"/>
    <w:pPr>
      <w:spacing w:beforeLines="50" w:line="360" w:lineRule="auto"/>
      <w:ind w:firstLine="480" w:firstLineChars="200"/>
    </w:pPr>
    <w:rPr>
      <w:rFonts w:ascii="宋体" w:hAnsi="宋体" w:eastAsiaTheme="minorEastAsia" w:cstheme="minorBidi"/>
      <w:sz w:val="24"/>
      <w:lang w:val="en-GB"/>
    </w:rPr>
  </w:style>
  <w:style w:type="character" w:customStyle="1" w:styleId="224">
    <w:name w:val="标题 3 Char"/>
    <w:qFormat/>
    <w:uiPriority w:val="0"/>
    <w:rPr>
      <w:rFonts w:ascii="宋体" w:eastAsia="宋体"/>
      <w:b/>
      <w:sz w:val="24"/>
      <w:u w:val="single"/>
      <w:lang w:val="en-US" w:eastAsia="zh-CN" w:bidi="ar-SA"/>
    </w:rPr>
  </w:style>
  <w:style w:type="character" w:customStyle="1" w:styleId="225">
    <w:name w:val="正文缩进 Char"/>
    <w:qFormat/>
    <w:uiPriority w:val="0"/>
    <w:rPr>
      <w:rFonts w:ascii="宋体" w:eastAsia="宋体"/>
      <w:kern w:val="2"/>
      <w:sz w:val="24"/>
      <w:szCs w:val="24"/>
      <w:lang w:val="en-US" w:eastAsia="zh-CN" w:bidi="ar-SA"/>
    </w:rPr>
  </w:style>
  <w:style w:type="character" w:customStyle="1" w:styleId="226">
    <w:name w:val="Char Char111"/>
    <w:qFormat/>
    <w:uiPriority w:val="0"/>
    <w:rPr>
      <w:rFonts w:ascii="宋体" w:eastAsia="宋体"/>
      <w:b/>
      <w:sz w:val="24"/>
      <w:u w:val="single"/>
      <w:lang w:val="en-US" w:eastAsia="zh-CN" w:bidi="ar-SA"/>
    </w:rPr>
  </w:style>
  <w:style w:type="character" w:customStyle="1" w:styleId="227">
    <w:name w:val="正文文本缩进 Char"/>
    <w:qFormat/>
    <w:uiPriority w:val="0"/>
    <w:rPr>
      <w:rFonts w:eastAsia="宋体"/>
      <w:kern w:val="2"/>
      <w:sz w:val="24"/>
      <w:szCs w:val="24"/>
      <w:lang w:val="en-US" w:eastAsia="zh-CN" w:bidi="ar-SA"/>
    </w:rPr>
  </w:style>
  <w:style w:type="character" w:customStyle="1" w:styleId="228">
    <w:name w:val="列出段落 Char"/>
    <w:qFormat/>
    <w:uiPriority w:val="34"/>
    <w:rPr>
      <w:rFonts w:ascii="Calibri" w:hAnsi="Calibri" w:eastAsia="宋体"/>
      <w:kern w:val="2"/>
      <w:sz w:val="21"/>
      <w:szCs w:val="22"/>
      <w:lang w:val="en-US" w:eastAsia="zh-CN" w:bidi="ar-SA"/>
    </w:rPr>
  </w:style>
  <w:style w:type="character" w:customStyle="1" w:styleId="229">
    <w:name w:val="页眉 Char"/>
    <w:qFormat/>
    <w:uiPriority w:val="0"/>
    <w:rPr>
      <w:rFonts w:eastAsia="宋体"/>
      <w:kern w:val="2"/>
      <w:sz w:val="18"/>
      <w:szCs w:val="18"/>
      <w:lang w:val="en-US" w:eastAsia="zh-CN" w:bidi="ar-SA"/>
    </w:rPr>
  </w:style>
  <w:style w:type="character" w:customStyle="1" w:styleId="230">
    <w:name w:val="标题 2 Char"/>
    <w:qFormat/>
    <w:uiPriority w:val="0"/>
    <w:rPr>
      <w:rFonts w:ascii="Arial" w:hAnsi="Arial" w:eastAsia="黑体"/>
      <w:b/>
      <w:sz w:val="30"/>
      <w:lang w:val="en-US" w:eastAsia="zh-CN" w:bidi="ar-SA"/>
    </w:rPr>
  </w:style>
  <w:style w:type="paragraph" w:customStyle="1" w:styleId="231">
    <w:name w:val="字元 字元2"/>
    <w:basedOn w:val="1"/>
    <w:qFormat/>
    <w:uiPriority w:val="0"/>
    <w:rPr>
      <w:rFonts w:ascii="Tahoma" w:hAnsi="Tahoma"/>
      <w:sz w:val="24"/>
      <w:szCs w:val="20"/>
    </w:rPr>
  </w:style>
  <w:style w:type="paragraph" w:customStyle="1" w:styleId="232">
    <w:name w:val="Char3 Char Char Char2"/>
    <w:basedOn w:val="1"/>
    <w:qFormat/>
    <w:uiPriority w:val="0"/>
    <w:rPr>
      <w:rFonts w:ascii="Tahoma" w:hAnsi="Tahoma"/>
      <w:sz w:val="24"/>
      <w:szCs w:val="20"/>
    </w:rPr>
  </w:style>
  <w:style w:type="paragraph" w:customStyle="1" w:styleId="23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4">
    <w:name w:val="Char3"/>
    <w:basedOn w:val="1"/>
    <w:qFormat/>
    <w:uiPriority w:val="0"/>
    <w:pPr>
      <w:tabs>
        <w:tab w:val="left" w:pos="360"/>
      </w:tabs>
    </w:pPr>
    <w:rPr>
      <w:sz w:val="24"/>
    </w:rPr>
  </w:style>
  <w:style w:type="paragraph" w:customStyle="1" w:styleId="23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列出段落2"/>
    <w:basedOn w:val="1"/>
    <w:qFormat/>
    <w:uiPriority w:val="0"/>
    <w:pPr>
      <w:ind w:firstLine="420" w:firstLineChars="200"/>
    </w:pPr>
    <w:rPr>
      <w:rFonts w:ascii="Calibri" w:hAnsi="Calibri"/>
      <w:szCs w:val="22"/>
    </w:rPr>
  </w:style>
  <w:style w:type="paragraph" w:customStyle="1" w:styleId="238">
    <w:name w:val="Char Char Char1 Char2"/>
    <w:basedOn w:val="1"/>
    <w:qFormat/>
    <w:uiPriority w:val="0"/>
    <w:rPr>
      <w:rFonts w:ascii="Tahoma" w:hAnsi="Tahoma"/>
      <w:sz w:val="24"/>
      <w:szCs w:val="20"/>
    </w:rPr>
  </w:style>
  <w:style w:type="paragraph" w:customStyle="1" w:styleId="239">
    <w:name w:val="Char Char Char2"/>
    <w:basedOn w:val="1"/>
    <w:qFormat/>
    <w:uiPriority w:val="0"/>
    <w:rPr>
      <w:rFonts w:ascii="Tahoma" w:hAnsi="Tahoma"/>
      <w:sz w:val="24"/>
      <w:szCs w:val="20"/>
    </w:rPr>
  </w:style>
  <w:style w:type="paragraph" w:customStyle="1" w:styleId="24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2">
    <w:name w:val="修订1"/>
    <w:qFormat/>
    <w:uiPriority w:val="0"/>
    <w:rPr>
      <w:rFonts w:ascii="Times New Roman" w:hAnsi="Times New Roman" w:eastAsia="宋体" w:cs="Times New Roman"/>
      <w:kern w:val="2"/>
      <w:sz w:val="21"/>
      <w:szCs w:val="24"/>
      <w:lang w:val="en-US" w:eastAsia="zh-CN" w:bidi="ar-SA"/>
    </w:rPr>
  </w:style>
  <w:style w:type="paragraph" w:customStyle="1" w:styleId="243">
    <w:name w:val="Char22"/>
    <w:basedOn w:val="1"/>
    <w:qFormat/>
    <w:uiPriority w:val="0"/>
    <w:rPr>
      <w:rFonts w:ascii="Tahoma" w:hAnsi="Tahoma"/>
      <w:sz w:val="24"/>
      <w:szCs w:val="20"/>
    </w:rPr>
  </w:style>
  <w:style w:type="paragraph" w:customStyle="1" w:styleId="244">
    <w:name w:val="Char Char Char Char Char Char Char Char Char Char2"/>
    <w:basedOn w:val="1"/>
    <w:qFormat/>
    <w:uiPriority w:val="0"/>
    <w:rPr>
      <w:rFonts w:ascii="宋体" w:hAnsi="宋体" w:cs="Courier New"/>
      <w:sz w:val="32"/>
      <w:szCs w:val="32"/>
    </w:rPr>
  </w:style>
  <w:style w:type="paragraph" w:customStyle="1" w:styleId="245">
    <w:name w:val="Char2 Char Char Char Char Char Char1"/>
    <w:basedOn w:val="1"/>
    <w:qFormat/>
    <w:uiPriority w:val="0"/>
    <w:pPr>
      <w:widowControl/>
      <w:spacing w:line="400" w:lineRule="exact"/>
      <w:jc w:val="center"/>
    </w:pPr>
  </w:style>
  <w:style w:type="character" w:customStyle="1" w:styleId="246">
    <w:name w:val="页脚 Char"/>
    <w:qFormat/>
    <w:uiPriority w:val="0"/>
    <w:rPr>
      <w:rFonts w:ascii="宋体" w:eastAsia="宋体"/>
      <w:sz w:val="18"/>
      <w:lang w:val="en-US" w:eastAsia="zh-CN" w:bidi="ar-SA"/>
    </w:rPr>
  </w:style>
  <w:style w:type="paragraph" w:customStyle="1" w:styleId="247">
    <w:name w:val="Char Char41"/>
    <w:basedOn w:val="1"/>
    <w:qFormat/>
    <w:uiPriority w:val="0"/>
    <w:pPr>
      <w:widowControl/>
      <w:spacing w:line="400" w:lineRule="exact"/>
      <w:jc w:val="center"/>
    </w:pPr>
  </w:style>
  <w:style w:type="character" w:customStyle="1" w:styleId="248">
    <w:name w:val="批注文字 Char"/>
    <w:qFormat/>
    <w:uiPriority w:val="99"/>
    <w:rPr>
      <w:kern w:val="2"/>
      <w:sz w:val="21"/>
      <w:szCs w:val="24"/>
    </w:rPr>
  </w:style>
  <w:style w:type="character" w:customStyle="1" w:styleId="249">
    <w:name w:val="标题 Char"/>
    <w:qFormat/>
    <w:uiPriority w:val="0"/>
    <w:rPr>
      <w:b/>
      <w:kern w:val="2"/>
      <w:sz w:val="32"/>
    </w:rPr>
  </w:style>
  <w:style w:type="paragraph" w:customStyle="1" w:styleId="250">
    <w:name w:val="图例"/>
    <w:basedOn w:val="1"/>
    <w:qFormat/>
    <w:uiPriority w:val="0"/>
    <w:pPr>
      <w:spacing w:before="120" w:after="120" w:line="360" w:lineRule="auto"/>
      <w:jc w:val="center"/>
    </w:pPr>
    <w:rPr>
      <w:rFonts w:eastAsia="仿宋_GB2312"/>
      <w:b/>
      <w:sz w:val="24"/>
      <w:szCs w:val="20"/>
    </w:rPr>
  </w:style>
  <w:style w:type="table" w:customStyle="1" w:styleId="251">
    <w:name w:val="Table Normal_0"/>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252">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3">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54">
    <w:name w:val="font71"/>
    <w:basedOn w:val="47"/>
    <w:qFormat/>
    <w:uiPriority w:val="0"/>
    <w:rPr>
      <w:rFonts w:hint="eastAsia" w:ascii="宋体" w:hAnsi="宋体" w:eastAsia="宋体" w:cs="宋体"/>
      <w:color w:val="000000"/>
      <w:sz w:val="22"/>
      <w:szCs w:val="22"/>
      <w:u w:val="none"/>
    </w:rPr>
  </w:style>
  <w:style w:type="paragraph" w:customStyle="1" w:styleId="255">
    <w:name w:val="TOC 标题1"/>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 w:type="character" w:customStyle="1" w:styleId="256">
    <w:name w:val="标题 2 字符1"/>
    <w:qFormat/>
    <w:uiPriority w:val="0"/>
    <w:rPr>
      <w:rFonts w:ascii="Arial" w:hAnsi="Arial" w:eastAsia="黑体" w:cs="Times New Roman"/>
      <w:b/>
      <w:sz w:val="30"/>
      <w:lang w:val="en-US" w:eastAsia="zh-CN" w:bidi="ar-SA"/>
    </w:rPr>
  </w:style>
  <w:style w:type="paragraph" w:customStyle="1" w:styleId="257">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标题 1 字符1"/>
    <w:qFormat/>
    <w:uiPriority w:val="9"/>
    <w:rPr>
      <w:rFonts w:ascii="宋体"/>
      <w:b/>
      <w:kern w:val="44"/>
      <w:sz w:val="32"/>
    </w:rPr>
  </w:style>
  <w:style w:type="paragraph" w:customStyle="1" w:styleId="25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xl101"/>
    <w:basedOn w:val="1"/>
    <w:qFormat/>
    <w:uiPriority w:val="0"/>
    <w:pPr>
      <w:widowControl/>
      <w:spacing w:before="100" w:beforeAutospacing="1" w:after="100" w:afterAutospacing="1"/>
      <w:jc w:val="center"/>
      <w:textAlignment w:val="center"/>
    </w:pPr>
    <w:rPr>
      <w:rFonts w:ascii="宋体" w:hAnsi="宋体" w:cs="宋体"/>
      <w:b/>
      <w:bCs/>
      <w:kern w:val="0"/>
      <w:sz w:val="20"/>
      <w:szCs w:val="20"/>
    </w:rPr>
  </w:style>
  <w:style w:type="paragraph" w:customStyle="1" w:styleId="262">
    <w:name w:val="xl102"/>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263">
    <w:name w:val="xl103"/>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64">
    <w:name w:val="xl104"/>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6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6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67">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68">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69">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7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71">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7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73">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274">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27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2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customStyle="1" w:styleId="277">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7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79">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28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8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2">
    <w:name w:val="xl122"/>
    <w:basedOn w:val="1"/>
    <w:qFormat/>
    <w:uiPriority w:val="0"/>
    <w:pPr>
      <w:widowControl/>
      <w:spacing w:before="100" w:beforeAutospacing="1" w:after="100" w:afterAutospacing="1"/>
      <w:jc w:val="center"/>
      <w:textAlignment w:val="center"/>
    </w:pPr>
    <w:rPr>
      <w:rFonts w:ascii="宋体" w:hAnsi="宋体" w:cs="宋体"/>
      <w:color w:val="FF0000"/>
      <w:kern w:val="0"/>
      <w:sz w:val="20"/>
      <w:szCs w:val="20"/>
    </w:rPr>
  </w:style>
  <w:style w:type="paragraph" w:customStyle="1" w:styleId="283">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8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8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szCs w:val="20"/>
    </w:rPr>
  </w:style>
  <w:style w:type="paragraph" w:customStyle="1" w:styleId="287">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88">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89">
    <w:name w:val="xl12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90">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91">
    <w:name w:val="xl1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92">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293">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22990</Words>
  <Characters>24087</Characters>
  <Lines>2068</Lines>
  <Paragraphs>2256</Paragraphs>
  <TotalTime>14</TotalTime>
  <ScaleCrop>false</ScaleCrop>
  <LinksUpToDate>false</LinksUpToDate>
  <CharactersWithSpaces>24345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2021-06-25T15:38:00Z</dcterms:created>
  <dc:creator>pc</dc:creator>
  <cp:lastModifiedBy>owner</cp:lastModifiedBy>
  <cp:lastPrinted>2024-11-07T08:50:00Z</cp:lastPrinted>
  <dcterms:modified xsi:type="dcterms:W3CDTF">2026-07-23T09:46:03Z</dcterms:modified>
  <cp:revision>944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72AAD8F179F8416FB162C0CE1D8BF0B4_13</vt:lpwstr>
  </property>
  <property fmtid="{D5CDD505-2E9C-101B-9397-08002B2CF9AE}" pid="3" name="KSOProductBuildVer">
    <vt:lpwstr>2052-11.8.2.9849</vt:lpwstr>
  </property>
  <property fmtid="{D5CDD505-2E9C-101B-9397-08002B2CF9AE}" pid="4" name="KSOTemplateDocerSaveRecord">
    <vt:lpwstr>eyJoZGlkIjoiMGY3OTQyY2RhZWEwZTQ0OWIxZTM1YzI0OTlkNmQ5NGYiLCJ1c2VySWQiOiIzMjIyNDUwNjUifQ==</vt:lpwstr>
  </property>
</Properties>
</file>