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0D0F8D">
      <w:pPr>
        <w:spacing w:line="360" w:lineRule="auto"/>
        <w:rPr>
          <w:rFonts w:eastAsiaTheme="minorEastAsia"/>
          <w:sz w:val="60"/>
          <w:szCs w:val="60"/>
        </w:rPr>
      </w:pPr>
    </w:p>
    <w:p w14:paraId="1F1A72B6">
      <w:pPr>
        <w:spacing w:line="360" w:lineRule="auto"/>
        <w:rPr>
          <w:rFonts w:eastAsiaTheme="minorEastAsia"/>
          <w:sz w:val="60"/>
          <w:szCs w:val="60"/>
        </w:rPr>
      </w:pPr>
    </w:p>
    <w:p w14:paraId="54AF6577">
      <w:pPr>
        <w:jc w:val="center"/>
        <w:rPr>
          <w:rFonts w:eastAsiaTheme="minorEastAsia"/>
          <w:b/>
          <w:bCs/>
          <w:sz w:val="60"/>
          <w:szCs w:val="60"/>
        </w:rPr>
      </w:pPr>
      <w:bookmarkStart w:id="0" w:name="OLE_LINK20"/>
      <w:bookmarkStart w:id="1" w:name="OLE_LINK21"/>
      <w:r>
        <w:rPr>
          <w:rFonts w:eastAsiaTheme="minorEastAsia"/>
          <w:b/>
          <w:bCs/>
          <w:sz w:val="60"/>
          <w:szCs w:val="60"/>
        </w:rPr>
        <w:t>北京市政府采购项目</w:t>
      </w:r>
    </w:p>
    <w:p w14:paraId="67D46CA8">
      <w:pPr>
        <w:jc w:val="center"/>
        <w:rPr>
          <w:b/>
          <w:bCs/>
          <w:sz w:val="60"/>
          <w:szCs w:val="60"/>
        </w:rPr>
      </w:pPr>
      <w:r>
        <w:rPr>
          <w:rFonts w:eastAsiaTheme="minorEastAsia"/>
          <w:b/>
          <w:bCs/>
          <w:sz w:val="60"/>
          <w:szCs w:val="60"/>
        </w:rPr>
        <w:t>竞争性磋商文件</w:t>
      </w:r>
    </w:p>
    <w:p w14:paraId="5B594E7C">
      <w:pPr>
        <w:spacing w:line="360" w:lineRule="auto"/>
        <w:jc w:val="center"/>
        <w:rPr>
          <w:rFonts w:eastAsiaTheme="majorEastAsia"/>
          <w:b/>
          <w:bCs/>
          <w:sz w:val="60"/>
          <w:szCs w:val="60"/>
        </w:rPr>
      </w:pPr>
    </w:p>
    <w:p w14:paraId="0C24C2A4">
      <w:pPr>
        <w:spacing w:line="360" w:lineRule="auto"/>
        <w:jc w:val="center"/>
        <w:rPr>
          <w:rFonts w:eastAsiaTheme="majorEastAsia"/>
          <w:b/>
          <w:bCs/>
          <w:sz w:val="60"/>
          <w:szCs w:val="60"/>
        </w:rPr>
      </w:pPr>
    </w:p>
    <w:p w14:paraId="794BCE03">
      <w:pPr>
        <w:spacing w:line="360" w:lineRule="auto"/>
        <w:rPr>
          <w:rFonts w:eastAsiaTheme="majorEastAsia"/>
          <w:b/>
          <w:bCs/>
          <w:sz w:val="60"/>
          <w:szCs w:val="60"/>
        </w:rPr>
      </w:pPr>
    </w:p>
    <w:p w14:paraId="6C2B5162">
      <w:pPr>
        <w:spacing w:line="360" w:lineRule="auto"/>
        <w:rPr>
          <w:rFonts w:eastAsiaTheme="majorEastAsia"/>
          <w:b/>
          <w:bCs/>
          <w:sz w:val="60"/>
          <w:szCs w:val="60"/>
        </w:rPr>
      </w:pPr>
    </w:p>
    <w:p w14:paraId="54DE0606">
      <w:pPr>
        <w:tabs>
          <w:tab w:val="left" w:pos="5609"/>
        </w:tabs>
        <w:spacing w:line="480" w:lineRule="auto"/>
        <w:ind w:left="2125" w:leftChars="136" w:hanging="1839" w:hangingChars="511"/>
        <w:jc w:val="left"/>
        <w:rPr>
          <w:rFonts w:hint="eastAsia" w:eastAsiaTheme="minorEastAsia"/>
          <w:bCs/>
          <w:sz w:val="36"/>
          <w:szCs w:val="36"/>
          <w:lang w:eastAsia="zh-CN"/>
        </w:rPr>
      </w:pPr>
      <w:r>
        <w:rPr>
          <w:rFonts w:eastAsiaTheme="minorEastAsia"/>
          <w:bCs/>
          <w:sz w:val="36"/>
          <w:szCs w:val="36"/>
        </w:rPr>
        <w:t>项目名称：</w:t>
      </w:r>
      <w:r>
        <w:rPr>
          <w:rFonts w:hint="eastAsia" w:eastAsiaTheme="minorEastAsia"/>
          <w:sz w:val="36"/>
          <w:szCs w:val="36"/>
          <w:lang w:eastAsia="zh-CN"/>
        </w:rPr>
        <w:t>基建科保开学项目装修工程采购项目-2026年昌平区教委两所幼儿园保开学项目</w:t>
      </w:r>
    </w:p>
    <w:p w14:paraId="649A03E5">
      <w:pPr>
        <w:tabs>
          <w:tab w:val="left" w:pos="3240"/>
          <w:tab w:val="left" w:pos="3420"/>
        </w:tabs>
        <w:spacing w:line="480" w:lineRule="auto"/>
        <w:ind w:left="2834" w:leftChars="136" w:hanging="2548" w:hangingChars="708"/>
        <w:jc w:val="left"/>
        <w:rPr>
          <w:rFonts w:hint="eastAsia" w:eastAsiaTheme="minorEastAsia"/>
          <w:bCs/>
          <w:sz w:val="36"/>
          <w:szCs w:val="36"/>
          <w:lang w:eastAsia="zh-CN"/>
        </w:rPr>
      </w:pPr>
      <w:r>
        <w:rPr>
          <w:rFonts w:eastAsiaTheme="minorEastAsia"/>
          <w:bCs/>
          <w:sz w:val="36"/>
          <w:szCs w:val="36"/>
        </w:rPr>
        <w:t>项目编号/包号：</w:t>
      </w:r>
      <w:r>
        <w:rPr>
          <w:rFonts w:hint="eastAsia" w:eastAsiaTheme="minorEastAsia"/>
          <w:bCs/>
          <w:sz w:val="36"/>
          <w:szCs w:val="36"/>
          <w:lang w:eastAsia="zh-CN"/>
        </w:rPr>
        <w:t>11011426210200034914-XM001</w:t>
      </w:r>
    </w:p>
    <w:p w14:paraId="039461BB">
      <w:pPr>
        <w:tabs>
          <w:tab w:val="left" w:pos="3240"/>
          <w:tab w:val="left" w:pos="3420"/>
        </w:tabs>
        <w:spacing w:line="480" w:lineRule="auto"/>
        <w:ind w:left="2834" w:leftChars="136" w:hanging="2548" w:hangingChars="708"/>
        <w:jc w:val="left"/>
        <w:rPr>
          <w:rFonts w:eastAsiaTheme="minorEastAsia"/>
          <w:bCs/>
          <w:sz w:val="36"/>
          <w:szCs w:val="36"/>
        </w:rPr>
      </w:pPr>
      <w:r>
        <w:rPr>
          <w:rFonts w:eastAsiaTheme="minorEastAsia"/>
          <w:bCs/>
          <w:sz w:val="36"/>
          <w:szCs w:val="36"/>
        </w:rPr>
        <w:t>采 购 人：</w:t>
      </w:r>
      <w:r>
        <w:rPr>
          <w:rFonts w:hint="eastAsia" w:eastAsiaTheme="minorEastAsia"/>
          <w:sz w:val="36"/>
          <w:szCs w:val="36"/>
        </w:rPr>
        <w:t>北京市昌平区教育委员会</w:t>
      </w:r>
    </w:p>
    <w:p w14:paraId="6E75E7DF">
      <w:pPr>
        <w:tabs>
          <w:tab w:val="left" w:pos="3240"/>
          <w:tab w:val="left" w:pos="3420"/>
        </w:tabs>
        <w:spacing w:line="480" w:lineRule="auto"/>
        <w:ind w:left="2834" w:leftChars="136" w:hanging="2548" w:hangingChars="708"/>
        <w:jc w:val="left"/>
        <w:rPr>
          <w:rFonts w:eastAsiaTheme="minorEastAsia"/>
          <w:bCs/>
          <w:sz w:val="36"/>
          <w:szCs w:val="36"/>
        </w:rPr>
      </w:pPr>
      <w:r>
        <w:rPr>
          <w:rFonts w:eastAsiaTheme="minorEastAsia"/>
          <w:bCs/>
          <w:sz w:val="36"/>
          <w:szCs w:val="36"/>
        </w:rPr>
        <w:t>采购代理机构：</w:t>
      </w:r>
      <w:r>
        <w:rPr>
          <w:rFonts w:hint="eastAsia" w:eastAsiaTheme="minorEastAsia"/>
          <w:bCs/>
          <w:sz w:val="36"/>
          <w:szCs w:val="36"/>
        </w:rPr>
        <w:t>北京博审千询工程咨询有限公司</w:t>
      </w:r>
    </w:p>
    <w:p w14:paraId="3C4D44E8">
      <w:pPr>
        <w:tabs>
          <w:tab w:val="left" w:pos="3240"/>
          <w:tab w:val="left" w:pos="3420"/>
        </w:tabs>
        <w:spacing w:line="480" w:lineRule="auto"/>
        <w:ind w:left="2834" w:leftChars="136" w:hanging="2548" w:hangingChars="708"/>
        <w:jc w:val="left"/>
        <w:rPr>
          <w:rFonts w:eastAsiaTheme="minorEastAsia"/>
          <w:bCs/>
          <w:sz w:val="36"/>
          <w:szCs w:val="36"/>
        </w:rPr>
      </w:pPr>
      <w:r>
        <w:rPr>
          <w:rFonts w:hint="eastAsia" w:eastAsiaTheme="minorEastAsia"/>
          <w:bCs/>
          <w:sz w:val="36"/>
          <w:szCs w:val="36"/>
        </w:rPr>
        <w:t>日        期： 2026年</w:t>
      </w:r>
      <w:r>
        <w:rPr>
          <w:rFonts w:eastAsiaTheme="minorEastAsia"/>
          <w:bCs/>
          <w:sz w:val="36"/>
          <w:szCs w:val="36"/>
        </w:rPr>
        <w:t>8</w:t>
      </w:r>
      <w:r>
        <w:rPr>
          <w:rFonts w:hint="eastAsia" w:eastAsiaTheme="minorEastAsia"/>
          <w:bCs/>
          <w:sz w:val="36"/>
          <w:szCs w:val="36"/>
        </w:rPr>
        <w:t>月</w:t>
      </w:r>
      <w:bookmarkEnd w:id="0"/>
    </w:p>
    <w:bookmarkEnd w:id="1"/>
    <w:p w14:paraId="7B594B86">
      <w:pPr>
        <w:widowControl/>
        <w:jc w:val="left"/>
        <w:rPr>
          <w:rFonts w:eastAsiaTheme="minorEastAsia"/>
        </w:rPr>
        <w:sectPr>
          <w:headerReference r:id="rId3" w:type="default"/>
          <w:type w:val="nextColumn"/>
          <w:pgSz w:w="11906" w:h="16838"/>
          <w:pgMar w:top="1418" w:right="1134" w:bottom="1418" w:left="1701" w:header="851" w:footer="992" w:gutter="0"/>
          <w:cols w:space="425" w:num="1"/>
          <w:docGrid w:linePitch="312" w:charSpace="0"/>
        </w:sectPr>
      </w:pPr>
      <w:r>
        <w:rPr>
          <w:rFonts w:eastAsiaTheme="minorEastAsia"/>
          <w:b/>
          <w:bCs/>
          <w:sz w:val="44"/>
        </w:rPr>
        <w:br w:type="page"/>
      </w:r>
    </w:p>
    <w:p w14:paraId="2BB34C51">
      <w:pPr>
        <w:pStyle w:val="169"/>
        <w:spacing w:line="360" w:lineRule="auto"/>
        <w:rPr>
          <w:rFonts w:ascii="Times New Roman" w:hAnsi="Times New Roman" w:cs="Times New Roman" w:eastAsiaTheme="minorEastAsia"/>
          <w:color w:val="auto"/>
        </w:rPr>
      </w:pPr>
    </w:p>
    <w:p w14:paraId="188383FD">
      <w:pPr>
        <w:spacing w:line="360" w:lineRule="auto"/>
        <w:jc w:val="center"/>
        <w:outlineLvl w:val="0"/>
        <w:rPr>
          <w:rFonts w:eastAsiaTheme="minorEastAsia"/>
          <w:b/>
          <w:sz w:val="36"/>
          <w:szCs w:val="36"/>
        </w:rPr>
      </w:pPr>
      <w:r>
        <w:rPr>
          <w:rFonts w:eastAsiaTheme="minorEastAsia"/>
          <w:b/>
          <w:sz w:val="36"/>
          <w:szCs w:val="36"/>
        </w:rPr>
        <w:t>目      录</w:t>
      </w:r>
    </w:p>
    <w:p w14:paraId="086B3C1B">
      <w:pPr>
        <w:rPr>
          <w:rFonts w:eastAsiaTheme="minorEastAsia"/>
        </w:rPr>
      </w:pPr>
    </w:p>
    <w:p w14:paraId="14ED9E52">
      <w:pPr>
        <w:rPr>
          <w:rFonts w:eastAsiaTheme="minorEastAsia"/>
        </w:rPr>
      </w:pPr>
    </w:p>
    <w:p w14:paraId="7ADF6057">
      <w:pPr>
        <w:rPr>
          <w:rFonts w:eastAsiaTheme="minorEastAsia"/>
        </w:rPr>
      </w:pPr>
    </w:p>
    <w:p w14:paraId="667FDE6B">
      <w:pPr>
        <w:rPr>
          <w:rFonts w:eastAsiaTheme="minorEastAsia"/>
        </w:rPr>
      </w:pPr>
    </w:p>
    <w:p w14:paraId="52848F9A">
      <w:pPr>
        <w:pStyle w:val="32"/>
        <w:spacing w:line="360" w:lineRule="auto"/>
        <w:rPr>
          <w:rFonts w:ascii="Times New Roman" w:hAnsi="Times New Roman" w:eastAsiaTheme="minorEastAsia"/>
          <w:b w:val="0"/>
          <w:sz w:val="21"/>
          <w:szCs w:val="22"/>
        </w:rPr>
      </w:pPr>
      <w:r>
        <w:rPr>
          <w:rFonts w:ascii="Times New Roman" w:hAnsi="Times New Roman" w:eastAsiaTheme="minorEastAsia"/>
          <w:b w:val="0"/>
        </w:rPr>
        <w:fldChar w:fldCharType="begin"/>
      </w:r>
      <w:r>
        <w:rPr>
          <w:rFonts w:ascii="Times New Roman" w:hAnsi="Times New Roman" w:eastAsiaTheme="minorEastAsia"/>
          <w:b w:val="0"/>
        </w:rPr>
        <w:instrText xml:space="preserve"> TOC \o "1-1" \h \z \u </w:instrText>
      </w:r>
      <w:r>
        <w:rPr>
          <w:rFonts w:ascii="Times New Roman" w:hAnsi="Times New Roman" w:eastAsiaTheme="minorEastAsia"/>
          <w:b w:val="0"/>
        </w:rPr>
        <w:fldChar w:fldCharType="separate"/>
      </w:r>
      <w:r>
        <w:fldChar w:fldCharType="begin"/>
      </w:r>
      <w:r>
        <w:instrText xml:space="preserve"> HYPERLINK \l "_Toc97371941" </w:instrText>
      </w:r>
      <w:r>
        <w:fldChar w:fldCharType="separate"/>
      </w:r>
      <w:r>
        <w:rPr>
          <w:rStyle w:val="61"/>
          <w:rFonts w:ascii="Times New Roman" w:hAnsi="Times New Roman" w:eastAsiaTheme="minorEastAsia"/>
          <w:color w:val="auto"/>
        </w:rPr>
        <w:t>第一章   采购邀请</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_Toc97371941 \h </w:instrText>
      </w:r>
      <w:r>
        <w:rPr>
          <w:rFonts w:ascii="Times New Roman" w:hAnsi="Times New Roman" w:eastAsiaTheme="minorEastAsia"/>
        </w:rPr>
        <w:fldChar w:fldCharType="separate"/>
      </w:r>
      <w:r>
        <w:rPr>
          <w:rFonts w:ascii="Times New Roman" w:hAnsi="Times New Roman" w:eastAsiaTheme="minorEastAsia"/>
        </w:rPr>
        <w:t>1</w:t>
      </w:r>
      <w:r>
        <w:rPr>
          <w:rFonts w:ascii="Times New Roman" w:hAnsi="Times New Roman" w:eastAsiaTheme="minorEastAsia"/>
        </w:rPr>
        <w:fldChar w:fldCharType="end"/>
      </w:r>
      <w:r>
        <w:rPr>
          <w:rFonts w:ascii="Times New Roman" w:hAnsi="Times New Roman" w:eastAsiaTheme="minorEastAsia"/>
        </w:rPr>
        <w:fldChar w:fldCharType="end"/>
      </w:r>
    </w:p>
    <w:p w14:paraId="4285F3E4">
      <w:pPr>
        <w:pStyle w:val="32"/>
        <w:spacing w:line="360" w:lineRule="auto"/>
        <w:rPr>
          <w:rFonts w:ascii="Times New Roman" w:hAnsi="Times New Roman" w:eastAsiaTheme="minorEastAsia"/>
          <w:b w:val="0"/>
          <w:sz w:val="21"/>
          <w:szCs w:val="22"/>
        </w:rPr>
      </w:pPr>
      <w:r>
        <w:fldChar w:fldCharType="begin"/>
      </w:r>
      <w:r>
        <w:instrText xml:space="preserve"> HYPERLINK \l "_Toc97371942" </w:instrText>
      </w:r>
      <w:r>
        <w:fldChar w:fldCharType="separate"/>
      </w:r>
      <w:r>
        <w:rPr>
          <w:rStyle w:val="61"/>
          <w:rFonts w:ascii="Times New Roman" w:hAnsi="Times New Roman" w:eastAsiaTheme="minorEastAsia"/>
          <w:color w:val="auto"/>
        </w:rPr>
        <w:t>第二章   供应商须知</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_Toc97371942 \h </w:instrText>
      </w:r>
      <w:r>
        <w:rPr>
          <w:rFonts w:ascii="Times New Roman" w:hAnsi="Times New Roman" w:eastAsiaTheme="minorEastAsia"/>
        </w:rPr>
        <w:fldChar w:fldCharType="separate"/>
      </w:r>
      <w:r>
        <w:rPr>
          <w:rFonts w:ascii="Times New Roman" w:hAnsi="Times New Roman" w:eastAsiaTheme="minorEastAsia"/>
        </w:rPr>
        <w:t>6</w:t>
      </w:r>
      <w:r>
        <w:rPr>
          <w:rFonts w:ascii="Times New Roman" w:hAnsi="Times New Roman" w:eastAsiaTheme="minorEastAsia"/>
        </w:rPr>
        <w:fldChar w:fldCharType="end"/>
      </w:r>
      <w:r>
        <w:rPr>
          <w:rFonts w:ascii="Times New Roman" w:hAnsi="Times New Roman" w:eastAsiaTheme="minorEastAsia"/>
        </w:rPr>
        <w:fldChar w:fldCharType="end"/>
      </w:r>
    </w:p>
    <w:p w14:paraId="27EA4FB7">
      <w:pPr>
        <w:pStyle w:val="32"/>
        <w:spacing w:line="360" w:lineRule="auto"/>
        <w:rPr>
          <w:rFonts w:ascii="Times New Roman" w:hAnsi="Times New Roman" w:eastAsiaTheme="minorEastAsia"/>
          <w:b w:val="0"/>
          <w:sz w:val="21"/>
          <w:szCs w:val="22"/>
        </w:rPr>
      </w:pPr>
      <w:r>
        <w:fldChar w:fldCharType="begin"/>
      </w:r>
      <w:r>
        <w:instrText xml:space="preserve"> HYPERLINK \l "_Toc97371943" </w:instrText>
      </w:r>
      <w:r>
        <w:fldChar w:fldCharType="separate"/>
      </w:r>
      <w:r>
        <w:rPr>
          <w:rStyle w:val="61"/>
          <w:rFonts w:ascii="Times New Roman" w:hAnsi="Times New Roman" w:eastAsiaTheme="minorEastAsia"/>
          <w:color w:val="auto"/>
        </w:rPr>
        <w:t>第三章   评审方法和评审标准</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_Toc97371943 \h </w:instrText>
      </w:r>
      <w:r>
        <w:rPr>
          <w:rFonts w:ascii="Times New Roman" w:hAnsi="Times New Roman" w:eastAsiaTheme="minorEastAsia"/>
        </w:rPr>
        <w:fldChar w:fldCharType="separate"/>
      </w:r>
      <w:r>
        <w:rPr>
          <w:rFonts w:ascii="Times New Roman" w:hAnsi="Times New Roman" w:eastAsiaTheme="minorEastAsia"/>
        </w:rPr>
        <w:t>23</w:t>
      </w:r>
      <w:r>
        <w:rPr>
          <w:rFonts w:ascii="Times New Roman" w:hAnsi="Times New Roman" w:eastAsiaTheme="minorEastAsia"/>
        </w:rPr>
        <w:fldChar w:fldCharType="end"/>
      </w:r>
      <w:r>
        <w:rPr>
          <w:rFonts w:ascii="Times New Roman" w:hAnsi="Times New Roman" w:eastAsiaTheme="minorEastAsia"/>
        </w:rPr>
        <w:fldChar w:fldCharType="end"/>
      </w:r>
    </w:p>
    <w:p w14:paraId="6300E9CF">
      <w:pPr>
        <w:pStyle w:val="32"/>
        <w:spacing w:line="360" w:lineRule="auto"/>
        <w:rPr>
          <w:rFonts w:ascii="Times New Roman" w:hAnsi="Times New Roman" w:eastAsiaTheme="minorEastAsia"/>
          <w:b w:val="0"/>
          <w:sz w:val="21"/>
          <w:szCs w:val="22"/>
        </w:rPr>
      </w:pPr>
      <w:r>
        <w:fldChar w:fldCharType="begin"/>
      </w:r>
      <w:r>
        <w:instrText xml:space="preserve"> HYPERLINK \l "_Toc97371945" </w:instrText>
      </w:r>
      <w:r>
        <w:fldChar w:fldCharType="separate"/>
      </w:r>
      <w:r>
        <w:rPr>
          <w:rStyle w:val="61"/>
          <w:rFonts w:ascii="Times New Roman" w:hAnsi="Times New Roman" w:eastAsiaTheme="minorEastAsia"/>
          <w:color w:val="auto"/>
        </w:rPr>
        <w:t>第四章   采购需求</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_Toc97371945 \h </w:instrText>
      </w:r>
      <w:r>
        <w:rPr>
          <w:rFonts w:ascii="Times New Roman" w:hAnsi="Times New Roman" w:eastAsiaTheme="minorEastAsia"/>
        </w:rPr>
        <w:fldChar w:fldCharType="separate"/>
      </w:r>
      <w:r>
        <w:rPr>
          <w:rFonts w:ascii="Times New Roman" w:hAnsi="Times New Roman" w:eastAsiaTheme="minorEastAsia"/>
        </w:rPr>
        <w:t>37</w:t>
      </w:r>
      <w:r>
        <w:rPr>
          <w:rFonts w:ascii="Times New Roman" w:hAnsi="Times New Roman" w:eastAsiaTheme="minorEastAsia"/>
        </w:rPr>
        <w:fldChar w:fldCharType="end"/>
      </w:r>
      <w:r>
        <w:rPr>
          <w:rFonts w:ascii="Times New Roman" w:hAnsi="Times New Roman" w:eastAsiaTheme="minorEastAsia"/>
        </w:rPr>
        <w:fldChar w:fldCharType="end"/>
      </w:r>
    </w:p>
    <w:p w14:paraId="35168B3B">
      <w:pPr>
        <w:pStyle w:val="32"/>
        <w:spacing w:line="360" w:lineRule="auto"/>
        <w:rPr>
          <w:rFonts w:ascii="Times New Roman" w:hAnsi="Times New Roman" w:eastAsiaTheme="minorEastAsia"/>
          <w:b w:val="0"/>
          <w:sz w:val="21"/>
          <w:szCs w:val="22"/>
        </w:rPr>
      </w:pPr>
      <w:r>
        <w:fldChar w:fldCharType="begin"/>
      </w:r>
      <w:r>
        <w:instrText xml:space="preserve"> HYPERLINK \l "_Toc97371946" </w:instrText>
      </w:r>
      <w:r>
        <w:fldChar w:fldCharType="separate"/>
      </w:r>
      <w:r>
        <w:rPr>
          <w:rStyle w:val="61"/>
          <w:rFonts w:ascii="Times New Roman" w:hAnsi="Times New Roman" w:eastAsiaTheme="minorEastAsia"/>
          <w:color w:val="auto"/>
        </w:rPr>
        <w:t>第五章   合同草案条款</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_Toc97371946 \h </w:instrText>
      </w:r>
      <w:r>
        <w:rPr>
          <w:rFonts w:ascii="Times New Roman" w:hAnsi="Times New Roman" w:eastAsiaTheme="minorEastAsia"/>
        </w:rPr>
        <w:fldChar w:fldCharType="separate"/>
      </w:r>
      <w:r>
        <w:rPr>
          <w:rFonts w:ascii="Times New Roman" w:hAnsi="Times New Roman" w:eastAsiaTheme="minorEastAsia"/>
        </w:rPr>
        <w:t>40</w:t>
      </w:r>
      <w:r>
        <w:rPr>
          <w:rFonts w:ascii="Times New Roman" w:hAnsi="Times New Roman" w:eastAsiaTheme="minorEastAsia"/>
        </w:rPr>
        <w:fldChar w:fldCharType="end"/>
      </w:r>
      <w:r>
        <w:rPr>
          <w:rFonts w:ascii="Times New Roman" w:hAnsi="Times New Roman" w:eastAsiaTheme="minorEastAsia"/>
        </w:rPr>
        <w:fldChar w:fldCharType="end"/>
      </w:r>
    </w:p>
    <w:p w14:paraId="3CE838E4">
      <w:pPr>
        <w:pStyle w:val="32"/>
        <w:spacing w:line="360" w:lineRule="auto"/>
        <w:rPr>
          <w:rFonts w:ascii="Times New Roman" w:hAnsi="Times New Roman" w:eastAsiaTheme="minorEastAsia"/>
          <w:b w:val="0"/>
          <w:sz w:val="21"/>
          <w:szCs w:val="22"/>
        </w:rPr>
      </w:pPr>
      <w:r>
        <w:fldChar w:fldCharType="begin"/>
      </w:r>
      <w:r>
        <w:instrText xml:space="preserve"> HYPERLINK \l "_Toc97371947" </w:instrText>
      </w:r>
      <w:r>
        <w:fldChar w:fldCharType="separate"/>
      </w:r>
      <w:r>
        <w:rPr>
          <w:rStyle w:val="61"/>
          <w:rFonts w:ascii="Times New Roman" w:hAnsi="Times New Roman" w:eastAsiaTheme="minorEastAsia"/>
          <w:color w:val="auto"/>
        </w:rPr>
        <w:t>第六章   响应文件格式</w:t>
      </w:r>
      <w:r>
        <w:rPr>
          <w:rFonts w:ascii="Times New Roman" w:hAnsi="Times New Roman" w:eastAsiaTheme="minorEastAsia"/>
        </w:rPr>
        <w:tab/>
      </w:r>
      <w:r>
        <w:rPr>
          <w:rFonts w:hint="eastAsia" w:ascii="Times New Roman" w:hAnsi="Times New Roman" w:eastAsiaTheme="minorEastAsia"/>
        </w:rPr>
        <w:t>80</w:t>
      </w:r>
      <w:r>
        <w:rPr>
          <w:rFonts w:hint="eastAsia" w:ascii="Times New Roman" w:hAnsi="Times New Roman" w:eastAsiaTheme="minorEastAsia"/>
        </w:rPr>
        <w:fldChar w:fldCharType="end"/>
      </w:r>
    </w:p>
    <w:p w14:paraId="33DB503B">
      <w:pPr>
        <w:pStyle w:val="32"/>
        <w:spacing w:line="480" w:lineRule="auto"/>
        <w:rPr>
          <w:rFonts w:ascii="Times New Roman" w:hAnsi="Times New Roman" w:eastAsiaTheme="minorEastAsia"/>
          <w:b w:val="0"/>
        </w:rPr>
      </w:pPr>
      <w:r>
        <w:rPr>
          <w:rFonts w:ascii="Times New Roman" w:hAnsi="Times New Roman" w:eastAsiaTheme="minorEastAsia"/>
          <w:b w:val="0"/>
        </w:rPr>
        <w:fldChar w:fldCharType="end"/>
      </w:r>
    </w:p>
    <w:p w14:paraId="7FA1B342"/>
    <w:p w14:paraId="7966E448">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7B50A15A">
      <w:pPr>
        <w:pStyle w:val="32"/>
        <w:spacing w:line="360" w:lineRule="auto"/>
        <w:rPr>
          <w:rFonts w:ascii="Times New Roman" w:hAnsi="Times New Roman" w:eastAsiaTheme="minorEastAsia"/>
          <w:b w:val="0"/>
        </w:rPr>
      </w:pPr>
    </w:p>
    <w:p w14:paraId="5F4AFBFE">
      <w:pPr>
        <w:pStyle w:val="32"/>
        <w:spacing w:line="360" w:lineRule="auto"/>
        <w:rPr>
          <w:rFonts w:ascii="Times New Roman" w:hAnsi="Times New Roman" w:eastAsiaTheme="minorEastAsia"/>
          <w:b w:val="0"/>
          <w:sz w:val="36"/>
          <w:szCs w:val="36"/>
        </w:rPr>
      </w:pPr>
      <w:bookmarkStart w:id="2" w:name="_Toc97371941"/>
    </w:p>
    <w:p w14:paraId="5AB23AAE">
      <w:pPr>
        <w:spacing w:line="360" w:lineRule="auto"/>
        <w:jc w:val="center"/>
        <w:outlineLvl w:val="0"/>
        <w:rPr>
          <w:rFonts w:eastAsiaTheme="minorEastAsia"/>
          <w:b/>
          <w:sz w:val="36"/>
          <w:szCs w:val="36"/>
        </w:rPr>
      </w:pPr>
    </w:p>
    <w:p w14:paraId="02820546">
      <w:pPr>
        <w:spacing w:line="360" w:lineRule="auto"/>
        <w:jc w:val="center"/>
        <w:outlineLvl w:val="0"/>
        <w:rPr>
          <w:rFonts w:eastAsiaTheme="minorEastAsia"/>
          <w:b/>
          <w:sz w:val="36"/>
          <w:szCs w:val="36"/>
        </w:rPr>
        <w:sectPr>
          <w:headerReference r:id="rId5" w:type="first"/>
          <w:footerReference r:id="rId8" w:type="first"/>
          <w:headerReference r:id="rId4" w:type="default"/>
          <w:footerReference r:id="rId6" w:type="default"/>
          <w:footerReference r:id="rId7" w:type="even"/>
          <w:type w:val="nextColumn"/>
          <w:pgSz w:w="11907" w:h="16840"/>
          <w:pgMar w:top="1418" w:right="1134" w:bottom="1418" w:left="1701" w:header="851" w:footer="851" w:gutter="0"/>
          <w:pgNumType w:start="1"/>
          <w:cols w:space="720" w:num="1"/>
          <w:titlePg/>
          <w:docGrid w:linePitch="462" w:charSpace="0"/>
        </w:sectPr>
      </w:pPr>
    </w:p>
    <w:p w14:paraId="5110FCA9">
      <w:pPr>
        <w:spacing w:line="360" w:lineRule="auto"/>
        <w:jc w:val="center"/>
        <w:outlineLvl w:val="0"/>
        <w:rPr>
          <w:rFonts w:eastAsiaTheme="minorEastAsia"/>
          <w:b/>
          <w:sz w:val="36"/>
          <w:szCs w:val="36"/>
        </w:rPr>
      </w:pPr>
      <w:r>
        <w:rPr>
          <w:rFonts w:eastAsiaTheme="minorEastAsia"/>
          <w:b/>
          <w:sz w:val="36"/>
          <w:szCs w:val="36"/>
        </w:rPr>
        <w:t>第一章   采购邀请</w:t>
      </w:r>
      <w:bookmarkEnd w:id="2"/>
      <w:bookmarkStart w:id="3" w:name="_Toc28359079"/>
      <w:bookmarkStart w:id="4" w:name="_Toc35393790"/>
      <w:bookmarkStart w:id="5" w:name="_Toc28359002"/>
      <w:bookmarkStart w:id="6" w:name="_Toc35393621"/>
      <w:bookmarkStart w:id="7" w:name="_Hlk24379207"/>
    </w:p>
    <w:p w14:paraId="13B9BC03">
      <w:pPr>
        <w:spacing w:line="360" w:lineRule="auto"/>
        <w:ind w:firstLine="480" w:firstLineChars="200"/>
        <w:rPr>
          <w:rFonts w:eastAsiaTheme="minorEastAsia"/>
          <w:sz w:val="24"/>
        </w:rPr>
      </w:pPr>
    </w:p>
    <w:p w14:paraId="576E76AF">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一、项目基本情况</w:t>
      </w:r>
      <w:bookmarkEnd w:id="3"/>
      <w:bookmarkEnd w:id="4"/>
      <w:bookmarkEnd w:id="5"/>
      <w:bookmarkEnd w:id="6"/>
    </w:p>
    <w:p w14:paraId="43CC0F3C">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1.项目编号：</w:t>
      </w:r>
      <w:r>
        <w:fldChar w:fldCharType="begin"/>
      </w:r>
      <w:r>
        <w:instrText xml:space="preserve"> HYPERLINK "http://219.232.204.193:8080/frontend/plan/project_detail.html?projectUuid=1e25d84f-329e-45f4-bc38-17d5096466cf" </w:instrText>
      </w:r>
      <w:r>
        <w:fldChar w:fldCharType="separate"/>
      </w:r>
      <w:r>
        <w:rPr>
          <w:rFonts w:hint="eastAsia" w:asciiTheme="minorEastAsia" w:hAnsiTheme="minorEastAsia" w:eastAsiaTheme="minorEastAsia" w:cstheme="minorEastAsia"/>
          <w:sz w:val="24"/>
          <w:lang w:eastAsia="zh-CN"/>
        </w:rPr>
        <w:t>11011426210200034914-XM001</w:t>
      </w:r>
      <w:r>
        <w:rPr>
          <w:rFonts w:asciiTheme="minorEastAsia" w:hAnsiTheme="minorEastAsia" w:eastAsiaTheme="minorEastAsia" w:cstheme="minorEastAsia"/>
          <w:sz w:val="24"/>
        </w:rPr>
        <w:fldChar w:fldCharType="end"/>
      </w:r>
    </w:p>
    <w:p w14:paraId="06714DB6">
      <w:pPr>
        <w:spacing w:line="360" w:lineRule="auto"/>
        <w:ind w:firstLine="480" w:firstLineChars="200"/>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2.项目名称：</w:t>
      </w:r>
      <w:r>
        <w:rPr>
          <w:rFonts w:hint="eastAsia" w:asciiTheme="minorEastAsia" w:hAnsiTheme="minorEastAsia" w:eastAsiaTheme="minorEastAsia" w:cstheme="minorEastAsia"/>
          <w:sz w:val="24"/>
          <w:lang w:eastAsia="zh-CN"/>
        </w:rPr>
        <w:t>基建科保开学项目装修工程采购项目-2026年昌平区教委两所幼儿园保开学项目</w:t>
      </w:r>
    </w:p>
    <w:p w14:paraId="43BEFB96">
      <w:pPr>
        <w:spacing w:line="360" w:lineRule="auto"/>
        <w:ind w:firstLine="480" w:firstLineChars="20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sz w:val="24"/>
          <w:highlight w:val="none"/>
        </w:rPr>
        <w:t>采购方式：竞争性磋商</w:t>
      </w:r>
    </w:p>
    <w:bookmarkEnd w:id="7"/>
    <w:p w14:paraId="10C67360">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4.项目预算金额：</w:t>
      </w:r>
      <w:bookmarkStart w:id="8" w:name="OLE_LINK32"/>
      <w:r>
        <w:rPr>
          <w:rFonts w:hint="eastAsia" w:asciiTheme="minorEastAsia" w:hAnsiTheme="minorEastAsia" w:eastAsiaTheme="minorEastAsia" w:cstheme="minorEastAsia"/>
          <w:sz w:val="24"/>
        </w:rPr>
        <w:t>304.804392万元</w:t>
      </w:r>
      <w:bookmarkEnd w:id="8"/>
      <w:r>
        <w:rPr>
          <w:rFonts w:hint="eastAsia" w:asciiTheme="minorEastAsia" w:hAnsiTheme="minorEastAsia" w:eastAsiaTheme="minorEastAsia" w:cstheme="minorEastAsia"/>
          <w:sz w:val="24"/>
        </w:rPr>
        <w:t>、项目最高限价（如有）：</w:t>
      </w:r>
      <w:r>
        <w:rPr>
          <w:rFonts w:hint="eastAsia" w:asciiTheme="minorEastAsia" w:hAnsiTheme="minorEastAsia" w:eastAsiaTheme="minorEastAsia" w:cstheme="minorEastAsia"/>
          <w:sz w:val="24"/>
          <w:lang w:eastAsia="zh-CN"/>
        </w:rPr>
        <w:t>304.804392</w:t>
      </w:r>
      <w:r>
        <w:rPr>
          <w:rFonts w:hint="eastAsia" w:asciiTheme="minorEastAsia" w:hAnsiTheme="minorEastAsia" w:eastAsiaTheme="minorEastAsia" w:cstheme="minorEastAsia"/>
          <w:sz w:val="24"/>
        </w:rPr>
        <w:t>万元</w:t>
      </w:r>
    </w:p>
    <w:p w14:paraId="2844E119">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5.采购需求：</w:t>
      </w:r>
    </w:p>
    <w:tbl>
      <w:tblPr>
        <w:tblStyle w:val="49"/>
        <w:tblW w:w="4652" w:type="pct"/>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203"/>
        <w:gridCol w:w="1480"/>
        <w:gridCol w:w="853"/>
        <w:gridCol w:w="3260"/>
      </w:tblGrid>
      <w:tr w14:paraId="2E95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trPr>
        <w:tc>
          <w:tcPr>
            <w:tcW w:w="489" w:type="pct"/>
            <w:vAlign w:val="center"/>
          </w:tcPr>
          <w:p w14:paraId="757C50E6">
            <w:pPr>
              <w:jc w:val="center"/>
              <w:rPr>
                <w:rFonts w:asciiTheme="minorEastAsia" w:hAnsiTheme="minorEastAsia" w:eastAsiaTheme="minorEastAsia" w:cstheme="minorEastAsia"/>
                <w:bCs/>
                <w:sz w:val="24"/>
              </w:rPr>
            </w:pPr>
            <w:r>
              <w:rPr>
                <w:rFonts w:ascii="宋体" w:hAnsi="宋体"/>
                <w:bCs/>
                <w:sz w:val="24"/>
              </w:rPr>
              <w:t>包号</w:t>
            </w:r>
          </w:p>
        </w:tc>
        <w:tc>
          <w:tcPr>
            <w:tcW w:w="1274" w:type="pct"/>
            <w:vAlign w:val="center"/>
          </w:tcPr>
          <w:p w14:paraId="3D387912">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标的名称</w:t>
            </w:r>
          </w:p>
        </w:tc>
        <w:tc>
          <w:tcPr>
            <w:tcW w:w="856" w:type="pct"/>
            <w:vAlign w:val="center"/>
          </w:tcPr>
          <w:p w14:paraId="3A898892">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采购包预算金额</w:t>
            </w:r>
          </w:p>
          <w:p w14:paraId="49492B7F">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（万元）</w:t>
            </w:r>
          </w:p>
        </w:tc>
        <w:tc>
          <w:tcPr>
            <w:tcW w:w="493" w:type="pct"/>
            <w:vAlign w:val="center"/>
          </w:tcPr>
          <w:p w14:paraId="1716748A">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数量</w:t>
            </w:r>
          </w:p>
        </w:tc>
        <w:tc>
          <w:tcPr>
            <w:tcW w:w="1885" w:type="pct"/>
            <w:vAlign w:val="center"/>
          </w:tcPr>
          <w:p w14:paraId="53819DF6">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简要技术需求或服务要求</w:t>
            </w:r>
          </w:p>
        </w:tc>
      </w:tr>
      <w:tr w14:paraId="40B4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trPr>
        <w:tc>
          <w:tcPr>
            <w:tcW w:w="489" w:type="pct"/>
            <w:vAlign w:val="center"/>
          </w:tcPr>
          <w:p w14:paraId="40F30ED3">
            <w:pPr>
              <w:jc w:val="center"/>
              <w:rPr>
                <w:rFonts w:asciiTheme="minorEastAsia" w:hAnsiTheme="minorEastAsia" w:eastAsiaTheme="minorEastAsia" w:cstheme="minorEastAsia"/>
                <w:sz w:val="24"/>
              </w:rPr>
            </w:pPr>
            <w:r>
              <w:rPr>
                <w:rFonts w:ascii="宋体" w:hAnsi="宋体"/>
                <w:bCs/>
                <w:sz w:val="24"/>
              </w:rPr>
              <w:t>01</w:t>
            </w:r>
          </w:p>
        </w:tc>
        <w:tc>
          <w:tcPr>
            <w:tcW w:w="1274" w:type="pct"/>
            <w:vAlign w:val="center"/>
          </w:tcPr>
          <w:p w14:paraId="478C898C">
            <w:pPr>
              <w:jc w:val="center"/>
              <w:rPr>
                <w:rFonts w:hint="eastAsia" w:asciiTheme="minorEastAsia" w:hAnsiTheme="minorEastAsia" w:eastAsiaTheme="minorEastAsia" w:cstheme="minorEastAsia"/>
                <w:bCs/>
                <w:sz w:val="24"/>
                <w:lang w:eastAsia="zh-CN"/>
              </w:rPr>
            </w:pPr>
            <w:r>
              <w:rPr>
                <w:rFonts w:hint="eastAsia" w:asciiTheme="minorEastAsia" w:hAnsiTheme="minorEastAsia" w:eastAsiaTheme="minorEastAsia" w:cstheme="minorEastAsia"/>
                <w:sz w:val="24"/>
                <w:lang w:eastAsia="zh-CN"/>
              </w:rPr>
              <w:t>基建科保开学项目装修工程采购项目-2026年昌平区教委两所幼儿园保开学项目</w:t>
            </w:r>
          </w:p>
        </w:tc>
        <w:tc>
          <w:tcPr>
            <w:tcW w:w="856" w:type="pct"/>
            <w:vAlign w:val="center"/>
          </w:tcPr>
          <w:p w14:paraId="758591FA">
            <w:pPr>
              <w:jc w:val="center"/>
              <w:rPr>
                <w:rFonts w:hint="eastAsia" w:asciiTheme="minorEastAsia" w:hAnsiTheme="minorEastAsia" w:eastAsiaTheme="minorEastAsia" w:cstheme="minorEastAsia"/>
                <w:bCs/>
                <w:sz w:val="24"/>
                <w:lang w:eastAsia="zh-CN"/>
              </w:rPr>
            </w:pPr>
            <w:r>
              <w:rPr>
                <w:rFonts w:hint="eastAsia" w:asciiTheme="minorEastAsia" w:hAnsiTheme="minorEastAsia" w:eastAsiaTheme="minorEastAsia" w:cstheme="minorEastAsia"/>
                <w:sz w:val="24"/>
                <w:lang w:val="en-US" w:eastAsia="zh-CN"/>
              </w:rPr>
              <w:t>304.804392</w:t>
            </w:r>
          </w:p>
        </w:tc>
        <w:tc>
          <w:tcPr>
            <w:tcW w:w="493" w:type="pct"/>
            <w:vAlign w:val="center"/>
          </w:tcPr>
          <w:p w14:paraId="203E2706">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w:t>
            </w:r>
          </w:p>
        </w:tc>
        <w:tc>
          <w:tcPr>
            <w:tcW w:w="1885" w:type="pct"/>
            <w:vAlign w:val="center"/>
          </w:tcPr>
          <w:p w14:paraId="0B6BC6C2">
            <w:pPr>
              <w:jc w:val="left"/>
              <w:rPr>
                <w:rFonts w:asciiTheme="minorEastAsia" w:hAnsiTheme="minorEastAsia" w:eastAsiaTheme="minorEastAsia" w:cstheme="minorEastAsia"/>
                <w:kern w:val="0"/>
                <w:sz w:val="24"/>
              </w:rPr>
            </w:pPr>
            <w:r>
              <w:rPr>
                <w:rFonts w:hint="eastAsia" w:ascii="宋体" w:hAnsi="宋体"/>
                <w:bCs/>
                <w:sz w:val="24"/>
                <w:lang w:val="en-US" w:eastAsia="zh-CN"/>
              </w:rPr>
              <w:t>拆除工程</w:t>
            </w:r>
            <w:r>
              <w:rPr>
                <w:rFonts w:hint="eastAsia" w:ascii="宋体" w:hAnsi="宋体"/>
                <w:bCs/>
                <w:sz w:val="24"/>
              </w:rPr>
              <w:t>、</w:t>
            </w:r>
            <w:r>
              <w:rPr>
                <w:rFonts w:hint="eastAsia" w:ascii="宋体" w:hAnsi="宋体"/>
                <w:bCs/>
                <w:sz w:val="24"/>
                <w:lang w:val="en-US" w:eastAsia="zh-CN"/>
              </w:rPr>
              <w:t>装饰工程</w:t>
            </w:r>
            <w:r>
              <w:rPr>
                <w:rFonts w:hint="eastAsia" w:ascii="宋体" w:hAnsi="宋体"/>
                <w:bCs/>
                <w:sz w:val="24"/>
              </w:rPr>
              <w:t>、</w:t>
            </w:r>
            <w:r>
              <w:rPr>
                <w:rFonts w:hint="eastAsia" w:ascii="宋体" w:hAnsi="宋体"/>
                <w:bCs/>
                <w:sz w:val="24"/>
                <w:lang w:val="en-US" w:eastAsia="zh-CN"/>
              </w:rPr>
              <w:t>室外工程、电气工程、给排水工程</w:t>
            </w:r>
            <w:r>
              <w:rPr>
                <w:rFonts w:hint="eastAsia" w:ascii="宋体" w:hAnsi="宋体"/>
                <w:bCs/>
                <w:sz w:val="24"/>
              </w:rPr>
              <w:t>等设计图纸及工程量清单中包含的全部工程内容</w:t>
            </w:r>
            <w:r>
              <w:rPr>
                <w:rFonts w:hint="eastAsia" w:asciiTheme="minorEastAsia" w:hAnsiTheme="minorEastAsia" w:eastAsiaTheme="minorEastAsia" w:cstheme="minorEastAsia"/>
                <w:kern w:val="0"/>
                <w:sz w:val="24"/>
              </w:rPr>
              <w:t>。</w:t>
            </w:r>
          </w:p>
        </w:tc>
      </w:tr>
    </w:tbl>
    <w:p w14:paraId="688B7ADC">
      <w:pPr>
        <w:spacing w:line="360" w:lineRule="auto"/>
        <w:ind w:firstLine="480" w:firstLineChars="200"/>
        <w:rPr>
          <w:rFonts w:eastAsiaTheme="minorEastAsia"/>
          <w:sz w:val="24"/>
        </w:rPr>
      </w:pPr>
    </w:p>
    <w:p w14:paraId="13BC1890">
      <w:pPr>
        <w:spacing w:line="360" w:lineRule="auto"/>
        <w:ind w:firstLine="480" w:firstLineChars="200"/>
        <w:rPr>
          <w:rFonts w:eastAsiaTheme="minorEastAsia"/>
          <w:sz w:val="24"/>
          <w:highlight w:val="none"/>
          <w:u w:val="single"/>
        </w:rPr>
      </w:pPr>
      <w:r>
        <w:rPr>
          <w:rFonts w:eastAsiaTheme="minorEastAsia"/>
          <w:sz w:val="24"/>
        </w:rPr>
        <w:t>6.</w:t>
      </w:r>
      <w:r>
        <w:rPr>
          <w:rFonts w:eastAsiaTheme="minorEastAsia"/>
          <w:sz w:val="24"/>
          <w:highlight w:val="none"/>
        </w:rPr>
        <w:t>合同履行期限：</w:t>
      </w:r>
      <w:r>
        <w:rPr>
          <w:rFonts w:hint="eastAsia" w:eastAsiaTheme="minorEastAsia"/>
          <w:sz w:val="24"/>
          <w:highlight w:val="none"/>
        </w:rPr>
        <w:t>工期：</w:t>
      </w:r>
      <w:r>
        <w:rPr>
          <w:rFonts w:hint="eastAsia" w:eastAsiaTheme="minorEastAsia"/>
          <w:sz w:val="24"/>
          <w:highlight w:val="none"/>
          <w:lang w:val="en-US" w:eastAsia="zh-CN"/>
        </w:rPr>
        <w:t>104</w:t>
      </w:r>
      <w:r>
        <w:rPr>
          <w:rFonts w:hint="eastAsia" w:eastAsiaTheme="minorEastAsia"/>
          <w:sz w:val="24"/>
          <w:highlight w:val="none"/>
        </w:rPr>
        <w:t>天（计划开工日期：2026年</w:t>
      </w:r>
      <w:r>
        <w:rPr>
          <w:rFonts w:hint="eastAsia" w:eastAsiaTheme="minorEastAsia"/>
          <w:sz w:val="24"/>
          <w:highlight w:val="none"/>
          <w:lang w:val="en-US" w:eastAsia="zh-CN"/>
        </w:rPr>
        <w:t>09</w:t>
      </w:r>
      <w:r>
        <w:rPr>
          <w:rFonts w:hint="eastAsia" w:eastAsiaTheme="minorEastAsia"/>
          <w:sz w:val="24"/>
          <w:highlight w:val="none"/>
        </w:rPr>
        <w:t>月</w:t>
      </w:r>
      <w:r>
        <w:rPr>
          <w:rFonts w:hint="eastAsia" w:eastAsiaTheme="minorEastAsia"/>
          <w:sz w:val="24"/>
          <w:highlight w:val="none"/>
          <w:lang w:val="en-US" w:eastAsia="zh-CN"/>
        </w:rPr>
        <w:t>07</w:t>
      </w:r>
      <w:r>
        <w:rPr>
          <w:rFonts w:hint="eastAsia" w:eastAsiaTheme="minorEastAsia"/>
          <w:sz w:val="24"/>
          <w:highlight w:val="none"/>
        </w:rPr>
        <w:t>日，计划竣工时间：2026年</w:t>
      </w:r>
      <w:r>
        <w:rPr>
          <w:rFonts w:hint="eastAsia" w:eastAsiaTheme="minorEastAsia"/>
          <w:sz w:val="24"/>
          <w:highlight w:val="none"/>
          <w:lang w:val="en-US" w:eastAsia="zh-CN"/>
        </w:rPr>
        <w:t>12</w:t>
      </w:r>
      <w:r>
        <w:rPr>
          <w:rFonts w:hint="eastAsia" w:eastAsiaTheme="minorEastAsia"/>
          <w:sz w:val="24"/>
          <w:highlight w:val="none"/>
        </w:rPr>
        <w:t>月</w:t>
      </w:r>
      <w:r>
        <w:rPr>
          <w:rFonts w:hint="eastAsia" w:eastAsiaTheme="minorEastAsia"/>
          <w:sz w:val="24"/>
          <w:highlight w:val="none"/>
          <w:lang w:val="en-US" w:eastAsia="zh-CN"/>
        </w:rPr>
        <w:t>20</w:t>
      </w:r>
      <w:r>
        <w:rPr>
          <w:rFonts w:hint="eastAsia" w:eastAsiaTheme="minorEastAsia"/>
          <w:sz w:val="24"/>
          <w:highlight w:val="none"/>
        </w:rPr>
        <w:t>日）</w:t>
      </w:r>
      <w:r>
        <w:rPr>
          <w:rFonts w:eastAsiaTheme="minorEastAsia"/>
          <w:sz w:val="24"/>
          <w:highlight w:val="none"/>
        </w:rPr>
        <w:t xml:space="preserve"> </w:t>
      </w:r>
    </w:p>
    <w:p w14:paraId="32070230">
      <w:pPr>
        <w:spacing w:line="360" w:lineRule="auto"/>
        <w:ind w:firstLine="480" w:firstLineChars="200"/>
        <w:rPr>
          <w:rFonts w:eastAsiaTheme="minorEastAsia"/>
          <w:sz w:val="24"/>
        </w:rPr>
      </w:pPr>
      <w:r>
        <w:rPr>
          <w:rFonts w:eastAsiaTheme="minorEastAsia"/>
          <w:sz w:val="24"/>
        </w:rPr>
        <w:t>7.本项目是否接受联合体：</w:t>
      </w:r>
      <w:r>
        <w:rPr>
          <w:rFonts w:eastAsiaTheme="minorEastAsia"/>
        </w:rPr>
        <w:t>□</w:t>
      </w:r>
      <w:r>
        <w:rPr>
          <w:rFonts w:eastAsiaTheme="minorEastAsia"/>
          <w:sz w:val="24"/>
        </w:rPr>
        <w:t xml:space="preserve">是  </w:t>
      </w:r>
      <w:bookmarkStart w:id="9" w:name="OLE_LINK29"/>
      <w:r>
        <w:rPr>
          <w:rFonts w:eastAsiaTheme="minorEastAsia"/>
        </w:rPr>
        <w:t>■</w:t>
      </w:r>
      <w:bookmarkEnd w:id="9"/>
      <w:r>
        <w:rPr>
          <w:rFonts w:eastAsiaTheme="minorEastAsia"/>
          <w:sz w:val="24"/>
        </w:rPr>
        <w:t>否。</w:t>
      </w:r>
    </w:p>
    <w:p w14:paraId="51EBB5EA">
      <w:pPr>
        <w:spacing w:line="360" w:lineRule="auto"/>
        <w:rPr>
          <w:rFonts w:eastAsiaTheme="minorEastAsia"/>
          <w:sz w:val="24"/>
        </w:rPr>
      </w:pPr>
    </w:p>
    <w:p w14:paraId="5AAEC0FA">
      <w:pPr>
        <w:pStyle w:val="3"/>
        <w:spacing w:before="0" w:line="360" w:lineRule="auto"/>
        <w:jc w:val="left"/>
        <w:rPr>
          <w:rFonts w:ascii="Times New Roman" w:hAnsi="Times New Roman" w:eastAsiaTheme="minorEastAsia"/>
          <w:sz w:val="24"/>
          <w:szCs w:val="24"/>
        </w:rPr>
      </w:pPr>
      <w:bookmarkStart w:id="10" w:name="_Toc28359003"/>
      <w:bookmarkStart w:id="11" w:name="_Toc28359080"/>
      <w:bookmarkStart w:id="12" w:name="_Toc35393622"/>
      <w:bookmarkStart w:id="13" w:name="_Toc35393791"/>
      <w:r>
        <w:rPr>
          <w:rFonts w:ascii="Times New Roman" w:hAnsi="Times New Roman" w:eastAsiaTheme="minorEastAsia"/>
          <w:sz w:val="24"/>
          <w:szCs w:val="24"/>
        </w:rPr>
        <w:t>二、申请人的资格要求（须同时满足）</w:t>
      </w:r>
      <w:bookmarkEnd w:id="10"/>
      <w:bookmarkEnd w:id="11"/>
      <w:bookmarkEnd w:id="12"/>
      <w:bookmarkEnd w:id="13"/>
    </w:p>
    <w:p w14:paraId="7D2E1108">
      <w:pPr>
        <w:spacing w:line="360" w:lineRule="auto"/>
        <w:ind w:firstLine="480" w:firstLineChars="200"/>
        <w:rPr>
          <w:rFonts w:eastAsiaTheme="minorEastAsia"/>
          <w:sz w:val="24"/>
        </w:rPr>
      </w:pPr>
      <w:r>
        <w:rPr>
          <w:rFonts w:eastAsiaTheme="minorEastAsia"/>
          <w:sz w:val="24"/>
        </w:rPr>
        <w:t>1.满足《中华人民共和国政府采购法》第二十二条规定；</w:t>
      </w:r>
    </w:p>
    <w:p w14:paraId="6B50546B">
      <w:pPr>
        <w:spacing w:line="360" w:lineRule="auto"/>
        <w:ind w:firstLine="480" w:firstLineChars="200"/>
        <w:rPr>
          <w:rFonts w:eastAsiaTheme="minorEastAsia"/>
          <w:sz w:val="24"/>
        </w:rPr>
      </w:pPr>
      <w:bookmarkStart w:id="14" w:name="_Toc28359081"/>
      <w:bookmarkStart w:id="15" w:name="_Toc28359004"/>
      <w:r>
        <w:rPr>
          <w:rFonts w:eastAsiaTheme="minorEastAsia"/>
          <w:sz w:val="24"/>
        </w:rPr>
        <w:t>2.落实政府采购政策需满足的资格要求：</w:t>
      </w:r>
    </w:p>
    <w:p w14:paraId="03C37819">
      <w:pPr>
        <w:spacing w:line="360" w:lineRule="auto"/>
        <w:ind w:firstLine="480" w:firstLineChars="200"/>
        <w:rPr>
          <w:rFonts w:eastAsiaTheme="minorEastAsia"/>
          <w:sz w:val="24"/>
        </w:rPr>
      </w:pPr>
      <w:bookmarkStart w:id="16" w:name="OLE_LINK70"/>
      <w:r>
        <w:rPr>
          <w:rFonts w:eastAsiaTheme="minorEastAsia"/>
          <w:sz w:val="24"/>
        </w:rPr>
        <w:t>2.1 中小企业政策</w:t>
      </w:r>
    </w:p>
    <w:p w14:paraId="7CE307DB">
      <w:pPr>
        <w:spacing w:line="360" w:lineRule="auto"/>
        <w:ind w:firstLine="420" w:firstLineChars="200"/>
        <w:rPr>
          <w:rFonts w:eastAsiaTheme="minorEastAsia"/>
          <w:sz w:val="24"/>
        </w:rPr>
      </w:pPr>
      <w:r>
        <w:rPr>
          <w:rFonts w:eastAsiaTheme="minorEastAsia"/>
        </w:rPr>
        <w:t>□</w:t>
      </w:r>
      <w:r>
        <w:rPr>
          <w:rFonts w:eastAsiaTheme="minorEastAsia"/>
          <w:sz w:val="24"/>
        </w:rPr>
        <w:t>本项目不专门面向中小企业预留采购份额。</w:t>
      </w:r>
    </w:p>
    <w:p w14:paraId="2CB16647">
      <w:pPr>
        <w:spacing w:line="360" w:lineRule="auto"/>
        <w:ind w:firstLine="420" w:firstLineChars="200"/>
        <w:rPr>
          <w:rFonts w:eastAsiaTheme="minorEastAsia"/>
          <w:sz w:val="24"/>
        </w:rPr>
      </w:pPr>
      <w:bookmarkStart w:id="17" w:name="OLE_LINK30"/>
      <w:bookmarkStart w:id="18" w:name="OLE_LINK55"/>
      <w:bookmarkStart w:id="19" w:name="OLE_LINK10"/>
      <w:r>
        <w:rPr>
          <w:rFonts w:eastAsiaTheme="minorEastAsia"/>
          <w:highlight w:val="none"/>
        </w:rPr>
        <w:t>■</w:t>
      </w:r>
      <w:bookmarkEnd w:id="17"/>
      <w:bookmarkEnd w:id="18"/>
      <w:bookmarkEnd w:id="19"/>
      <w:r>
        <w:rPr>
          <w:rFonts w:eastAsiaTheme="minorEastAsia"/>
          <w:sz w:val="24"/>
          <w:highlight w:val="none"/>
        </w:rPr>
        <w:t xml:space="preserve">本项目专门面向  </w:t>
      </w:r>
      <w:r>
        <w:rPr>
          <w:rFonts w:eastAsiaTheme="minorEastAsia"/>
          <w:highlight w:val="none"/>
        </w:rPr>
        <w:t>□</w:t>
      </w:r>
      <w:r>
        <w:rPr>
          <w:rFonts w:eastAsiaTheme="minorEastAsia"/>
          <w:sz w:val="24"/>
          <w:highlight w:val="none"/>
        </w:rPr>
        <w:t xml:space="preserve">中小 </w:t>
      </w:r>
      <w:r>
        <w:rPr>
          <w:rFonts w:eastAsiaTheme="minorEastAsia"/>
          <w:highlight w:val="none"/>
        </w:rPr>
        <w:t>■</w:t>
      </w:r>
      <w:r>
        <w:rPr>
          <w:rFonts w:eastAsiaTheme="minorEastAsia"/>
          <w:sz w:val="24"/>
          <w:highlight w:val="none"/>
        </w:rPr>
        <w:t>小微企业</w:t>
      </w:r>
      <w:r>
        <w:rPr>
          <w:rFonts w:eastAsiaTheme="minorEastAsia"/>
          <w:sz w:val="24"/>
        </w:rPr>
        <w:t xml:space="preserve">  采购。即：提供的货物全部由符合政策要求的中小/小微企业制造、服务全部由符合政策要求的中小/小微企业承接。</w:t>
      </w:r>
    </w:p>
    <w:p w14:paraId="2CAD863D">
      <w:pPr>
        <w:spacing w:line="360" w:lineRule="auto"/>
        <w:ind w:firstLine="420" w:firstLineChars="200"/>
        <w:rPr>
          <w:rFonts w:eastAsiaTheme="minorEastAsia"/>
          <w:sz w:val="24"/>
        </w:rPr>
      </w:pPr>
      <w:r>
        <w:rPr>
          <w:rFonts w:eastAsiaTheme="minorEastAsia"/>
        </w:rPr>
        <w:t>□</w:t>
      </w: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eastAsiaTheme="minorEastAsia"/>
          <w:sz w:val="24"/>
          <w:u w:val="single"/>
        </w:rPr>
        <w:t xml:space="preserve">   /   </w:t>
      </w:r>
      <w:r>
        <w:rPr>
          <w:rFonts w:eastAsiaTheme="minorEastAsia"/>
          <w:sz w:val="24"/>
        </w:rPr>
        <w:t>。</w:t>
      </w:r>
    </w:p>
    <w:p w14:paraId="1803A0D6">
      <w:pPr>
        <w:spacing w:line="360" w:lineRule="auto"/>
        <w:ind w:firstLine="480" w:firstLineChars="200"/>
        <w:rPr>
          <w:rFonts w:eastAsiaTheme="minorEastAsia"/>
          <w:sz w:val="24"/>
        </w:rPr>
      </w:pPr>
      <w:r>
        <w:rPr>
          <w:rFonts w:eastAsiaTheme="minorEastAsia"/>
          <w:sz w:val="24"/>
        </w:rPr>
        <w:t>2.2 其它落实政府采购政策的资格要求（如有）：</w:t>
      </w:r>
      <w:r>
        <w:rPr>
          <w:rFonts w:hint="eastAsia" w:eastAsiaTheme="minorEastAsia"/>
          <w:sz w:val="24"/>
          <w:u w:val="single"/>
        </w:rPr>
        <w:t xml:space="preserve">   /   </w:t>
      </w:r>
      <w:r>
        <w:rPr>
          <w:rFonts w:eastAsiaTheme="minorEastAsia"/>
          <w:sz w:val="24"/>
        </w:rPr>
        <w:t>。</w:t>
      </w:r>
      <w:bookmarkEnd w:id="16"/>
    </w:p>
    <w:p w14:paraId="5E3E00F1">
      <w:pPr>
        <w:spacing w:line="360" w:lineRule="auto"/>
        <w:ind w:firstLine="480" w:firstLineChars="200"/>
        <w:rPr>
          <w:rFonts w:eastAsiaTheme="minorEastAsia"/>
          <w:i/>
          <w:iCs/>
          <w:sz w:val="24"/>
          <w:u w:val="single"/>
        </w:rPr>
      </w:pPr>
      <w:r>
        <w:rPr>
          <w:rFonts w:eastAsiaTheme="minorEastAsia"/>
          <w:sz w:val="24"/>
        </w:rPr>
        <w:t>3.本项目的特定资格要求：</w:t>
      </w:r>
    </w:p>
    <w:p w14:paraId="0BB6F72B">
      <w:pPr>
        <w:tabs>
          <w:tab w:val="left" w:pos="900"/>
          <w:tab w:val="left" w:pos="1134"/>
          <w:tab w:val="left" w:pos="1589"/>
          <w:tab w:val="left" w:pos="5521"/>
        </w:tabs>
        <w:snapToGrid w:val="0"/>
        <w:spacing w:line="360" w:lineRule="auto"/>
        <w:ind w:firstLine="480" w:firstLineChars="200"/>
        <w:rPr>
          <w:rFonts w:eastAsiaTheme="minorEastAsia"/>
          <w:sz w:val="24"/>
        </w:rPr>
      </w:pPr>
      <w:bookmarkStart w:id="20" w:name="OLE_LINK62"/>
      <w:r>
        <w:rPr>
          <w:rFonts w:eastAsiaTheme="minorEastAsia"/>
          <w:sz w:val="24"/>
        </w:rPr>
        <w:t>3.1本项目是否属于政府购买服务：</w:t>
      </w:r>
    </w:p>
    <w:p w14:paraId="0534E964">
      <w:pPr>
        <w:tabs>
          <w:tab w:val="left" w:pos="900"/>
          <w:tab w:val="left" w:pos="1134"/>
          <w:tab w:val="left" w:pos="1589"/>
          <w:tab w:val="left" w:pos="5521"/>
        </w:tabs>
        <w:snapToGrid w:val="0"/>
        <w:spacing w:line="360" w:lineRule="auto"/>
        <w:ind w:left="991" w:leftChars="472" w:firstLine="2"/>
        <w:rPr>
          <w:rFonts w:eastAsiaTheme="minorEastAsia"/>
          <w:sz w:val="24"/>
        </w:rPr>
      </w:pPr>
      <w:r>
        <w:rPr>
          <w:rFonts w:eastAsiaTheme="minorEastAsia"/>
        </w:rPr>
        <w:t>■</w:t>
      </w:r>
      <w:r>
        <w:rPr>
          <w:rFonts w:eastAsiaTheme="minorEastAsia"/>
          <w:sz w:val="24"/>
        </w:rPr>
        <w:t>否</w:t>
      </w:r>
    </w:p>
    <w:p w14:paraId="59EA60B7">
      <w:pPr>
        <w:tabs>
          <w:tab w:val="left" w:pos="900"/>
          <w:tab w:val="left" w:pos="1134"/>
          <w:tab w:val="left" w:pos="1589"/>
          <w:tab w:val="left" w:pos="5521"/>
        </w:tabs>
        <w:snapToGrid w:val="0"/>
        <w:spacing w:line="360" w:lineRule="auto"/>
        <w:ind w:left="991" w:leftChars="472" w:firstLine="2"/>
        <w:rPr>
          <w:rFonts w:eastAsiaTheme="minorEastAsia"/>
          <w:sz w:val="24"/>
        </w:rPr>
      </w:pPr>
      <w:r>
        <w:rPr>
          <w:rFonts w:eastAsiaTheme="minorEastAsia"/>
        </w:rPr>
        <w:t>□</w:t>
      </w:r>
      <w:r>
        <w:rPr>
          <w:rFonts w:eastAsiaTheme="minorEastAsia"/>
          <w:sz w:val="24"/>
        </w:rPr>
        <w:t>是，公益一类事业单位、使用事业编制且由财政拨款保障的群团组织，不得作为承接主体；</w:t>
      </w:r>
    </w:p>
    <w:p w14:paraId="0F8D3FF3">
      <w:pPr>
        <w:tabs>
          <w:tab w:val="left" w:pos="900"/>
          <w:tab w:val="left" w:pos="1134"/>
          <w:tab w:val="left" w:pos="1589"/>
          <w:tab w:val="left" w:pos="5521"/>
        </w:tabs>
        <w:snapToGrid w:val="0"/>
        <w:spacing w:line="360" w:lineRule="auto"/>
        <w:ind w:firstLine="480" w:firstLineChars="200"/>
        <w:rPr>
          <w:rFonts w:eastAsiaTheme="minorEastAsia"/>
          <w:sz w:val="24"/>
          <w:u w:val="single"/>
        </w:rPr>
      </w:pPr>
      <w:r>
        <w:rPr>
          <w:rFonts w:eastAsiaTheme="minorEastAsia"/>
          <w:sz w:val="24"/>
        </w:rPr>
        <w:t>3.2其他特定资格要求：</w:t>
      </w:r>
    </w:p>
    <w:bookmarkEnd w:id="14"/>
    <w:bookmarkEnd w:id="15"/>
    <w:bookmarkEnd w:id="20"/>
    <w:p w14:paraId="38DAFD3B">
      <w:pPr>
        <w:spacing w:line="360" w:lineRule="auto"/>
        <w:ind w:firstLine="480" w:firstLineChars="200"/>
        <w:rPr>
          <w:rFonts w:ascii="宋体" w:hAnsi="宋体"/>
          <w:sz w:val="24"/>
        </w:rPr>
      </w:pPr>
      <w:bookmarkStart w:id="21" w:name="_Toc35393792"/>
      <w:bookmarkStart w:id="22" w:name="_Toc35393623"/>
      <w:r>
        <w:rPr>
          <w:rFonts w:hint="eastAsia" w:ascii="宋体" w:hAnsi="宋体"/>
          <w:sz w:val="24"/>
        </w:rPr>
        <w:t>（1）在中华人民共和国境内合法注册的法人、其他组织或者自然人；</w:t>
      </w:r>
    </w:p>
    <w:p w14:paraId="4431A3DD">
      <w:pPr>
        <w:spacing w:line="360" w:lineRule="auto"/>
        <w:ind w:firstLine="480" w:firstLineChars="200"/>
        <w:rPr>
          <w:rFonts w:ascii="宋体" w:hAnsi="宋体"/>
          <w:sz w:val="24"/>
          <w:highlight w:val="none"/>
        </w:rPr>
      </w:pPr>
      <w:r>
        <w:rPr>
          <w:rFonts w:hint="eastAsia" w:ascii="宋体" w:hAnsi="宋体"/>
          <w:sz w:val="24"/>
          <w:highlight w:val="none"/>
        </w:rPr>
        <w:t>（2）建设行政主管部门核发的</w:t>
      </w:r>
      <w:r>
        <w:rPr>
          <w:rFonts w:hint="eastAsia" w:ascii="宋体" w:hAnsi="宋体"/>
          <w:sz w:val="24"/>
          <w:highlight w:val="none"/>
          <w:lang w:val="en-US" w:eastAsia="zh-CN"/>
        </w:rPr>
        <w:t>建筑</w:t>
      </w:r>
      <w:r>
        <w:rPr>
          <w:rFonts w:hint="eastAsia" w:ascii="宋体" w:hAnsi="宋体"/>
          <w:sz w:val="24"/>
          <w:highlight w:val="none"/>
        </w:rPr>
        <w:t>工程施工总承包三级及以上资质；</w:t>
      </w:r>
    </w:p>
    <w:p w14:paraId="3F68308C">
      <w:pPr>
        <w:spacing w:line="360" w:lineRule="auto"/>
        <w:ind w:firstLine="480" w:firstLineChars="200"/>
        <w:rPr>
          <w:rFonts w:ascii="宋体" w:hAnsi="宋体"/>
          <w:sz w:val="24"/>
          <w:highlight w:val="none"/>
        </w:rPr>
      </w:pPr>
      <w:r>
        <w:rPr>
          <w:rFonts w:hint="eastAsia" w:ascii="宋体" w:hAnsi="宋体"/>
          <w:sz w:val="24"/>
          <w:highlight w:val="none"/>
        </w:rPr>
        <w:t>（3）具备有效的建设行政主管部门颁发的安全生产许可证；</w:t>
      </w:r>
    </w:p>
    <w:p w14:paraId="1B1B4DD8">
      <w:pPr>
        <w:spacing w:line="360" w:lineRule="auto"/>
        <w:ind w:firstLine="480" w:firstLineChars="200"/>
        <w:rPr>
          <w:rFonts w:ascii="宋体" w:hAnsi="宋体"/>
          <w:sz w:val="24"/>
          <w:highlight w:val="none"/>
        </w:rPr>
      </w:pPr>
      <w:r>
        <w:rPr>
          <w:rFonts w:hint="eastAsia" w:ascii="宋体" w:hAnsi="宋体"/>
          <w:sz w:val="24"/>
          <w:highlight w:val="none"/>
        </w:rPr>
        <w:t>（4）拟派的项目负责人具有</w:t>
      </w:r>
      <w:r>
        <w:rPr>
          <w:rFonts w:hint="eastAsia" w:ascii="宋体" w:hAnsi="宋体"/>
          <w:sz w:val="24"/>
          <w:highlight w:val="none"/>
          <w:lang w:val="en-US" w:eastAsia="zh-CN"/>
        </w:rPr>
        <w:t>建筑</w:t>
      </w:r>
      <w:r>
        <w:rPr>
          <w:rFonts w:hint="eastAsia" w:ascii="宋体" w:hAnsi="宋体"/>
          <w:sz w:val="24"/>
          <w:highlight w:val="none"/>
        </w:rPr>
        <w:t>工程专业二级及以上注册建造师执业资格且注册证书在有效期内，具备有效的安全生产考核合格证书（B本），且在确定成交人时不得担任其他在施建设工程的项目经理</w:t>
      </w:r>
      <w:r>
        <w:rPr>
          <w:rFonts w:hint="eastAsia"/>
          <w:sz w:val="24"/>
          <w:highlight w:val="none"/>
        </w:rPr>
        <w:t>。</w:t>
      </w:r>
    </w:p>
    <w:p w14:paraId="018608ED">
      <w:pPr>
        <w:tabs>
          <w:tab w:val="left" w:pos="900"/>
          <w:tab w:val="left" w:pos="1134"/>
          <w:tab w:val="left" w:pos="1589"/>
          <w:tab w:val="left" w:pos="5521"/>
        </w:tabs>
        <w:snapToGrid w:val="0"/>
        <w:spacing w:line="360" w:lineRule="auto"/>
        <w:ind w:firstLine="480" w:firstLineChars="200"/>
        <w:rPr>
          <w:sz w:val="24"/>
        </w:rPr>
      </w:pPr>
      <w:r>
        <w:rPr>
          <w:rFonts w:hint="eastAsia" w:ascii="宋体" w:hAnsi="宋体"/>
          <w:sz w:val="24"/>
        </w:rPr>
        <w:t>（5）</w:t>
      </w:r>
      <w:r>
        <w:rPr>
          <w:rFonts w:hint="eastAsia"/>
          <w:sz w:val="24"/>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0E111B15">
      <w:pPr>
        <w:spacing w:line="360" w:lineRule="auto"/>
        <w:ind w:firstLine="480" w:firstLineChars="200"/>
        <w:rPr>
          <w:rFonts w:ascii="宋体" w:hAnsi="宋体"/>
          <w:sz w:val="24"/>
        </w:rPr>
      </w:pPr>
      <w:r>
        <w:rPr>
          <w:rFonts w:hint="eastAsia" w:ascii="宋体" w:hAnsi="宋体"/>
          <w:sz w:val="24"/>
        </w:rPr>
        <w:t>（6）</w:t>
      </w:r>
      <w:r>
        <w:rPr>
          <w:rFonts w:hint="eastAsia"/>
          <w:sz w:val="24"/>
        </w:rPr>
        <w:t>在“信用中国”网站(www.creditchina.gov.cn)信用报告中，中国政府采购网(www.ccgp.gov.cn)查询信用记录，未列入失信被执行人、重大税收违法失信主体名单、政府采购严重违法失信行为记录名单的供应商</w:t>
      </w:r>
      <w:r>
        <w:rPr>
          <w:rFonts w:hint="eastAsia" w:ascii="宋体" w:hAnsi="宋体"/>
          <w:sz w:val="24"/>
        </w:rPr>
        <w:t>；</w:t>
      </w:r>
    </w:p>
    <w:p w14:paraId="4148A3D6">
      <w:pPr>
        <w:spacing w:line="360" w:lineRule="auto"/>
        <w:ind w:firstLine="480" w:firstLineChars="200"/>
        <w:rPr>
          <w:rFonts w:ascii="宋体" w:hAnsi="宋体"/>
          <w:i/>
          <w:iCs/>
          <w:sz w:val="24"/>
          <w:u w:val="single"/>
        </w:rPr>
      </w:pPr>
      <w:r>
        <w:rPr>
          <w:rFonts w:hint="eastAsia" w:ascii="宋体" w:hAnsi="宋体"/>
          <w:sz w:val="24"/>
        </w:rPr>
        <w:t>（7）符合法律、法规规定的其它要求。</w:t>
      </w:r>
    </w:p>
    <w:p w14:paraId="1AC2185B">
      <w:pPr>
        <w:pStyle w:val="3"/>
        <w:widowControl/>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三、获取采购文件</w:t>
      </w:r>
      <w:bookmarkEnd w:id="21"/>
      <w:bookmarkEnd w:id="22"/>
    </w:p>
    <w:p w14:paraId="232D217E">
      <w:pPr>
        <w:adjustRightInd w:val="0"/>
        <w:snapToGrid w:val="0"/>
        <w:spacing w:line="360" w:lineRule="auto"/>
        <w:ind w:firstLine="480" w:firstLineChars="200"/>
        <w:jc w:val="left"/>
        <w:rPr>
          <w:rFonts w:eastAsiaTheme="minorEastAsia"/>
          <w:sz w:val="24"/>
          <w:lang w:bidi="ar"/>
        </w:rPr>
      </w:pPr>
      <w:r>
        <w:rPr>
          <w:rFonts w:eastAsiaTheme="minorEastAsia"/>
          <w:sz w:val="24"/>
          <w:lang w:bidi="ar"/>
        </w:rPr>
        <w:t>1.时间：</w:t>
      </w:r>
      <w:bookmarkStart w:id="23" w:name="OLE_LINK36"/>
      <w:r>
        <w:rPr>
          <w:rFonts w:hint="eastAsia" w:eastAsiaTheme="minorEastAsia"/>
          <w:sz w:val="24"/>
        </w:rPr>
        <w:t>2026</w:t>
      </w:r>
      <w:r>
        <w:rPr>
          <w:rFonts w:eastAsiaTheme="minorEastAsia"/>
          <w:sz w:val="24"/>
          <w:lang w:bidi="ar"/>
        </w:rPr>
        <w:t>年</w:t>
      </w:r>
      <w:r>
        <w:rPr>
          <w:rFonts w:hint="eastAsia" w:eastAsiaTheme="minorEastAsia"/>
          <w:sz w:val="24"/>
        </w:rPr>
        <w:t>0</w:t>
      </w:r>
      <w:r>
        <w:rPr>
          <w:rFonts w:eastAsiaTheme="minorEastAsia"/>
          <w:sz w:val="24"/>
        </w:rPr>
        <w:t>8</w:t>
      </w:r>
      <w:r>
        <w:rPr>
          <w:rFonts w:eastAsiaTheme="minorEastAsia"/>
          <w:sz w:val="24"/>
          <w:lang w:bidi="ar"/>
        </w:rPr>
        <w:t>月</w:t>
      </w:r>
      <w:r>
        <w:rPr>
          <w:rFonts w:hint="eastAsia" w:eastAsiaTheme="minorEastAsia"/>
          <w:sz w:val="24"/>
          <w:lang w:val="en-US" w:eastAsia="zh-CN"/>
        </w:rPr>
        <w:t>12</w:t>
      </w:r>
      <w:r>
        <w:rPr>
          <w:rFonts w:eastAsiaTheme="minorEastAsia"/>
          <w:sz w:val="24"/>
          <w:lang w:bidi="ar"/>
        </w:rPr>
        <w:t>日</w:t>
      </w:r>
      <w:bookmarkEnd w:id="23"/>
      <w:r>
        <w:rPr>
          <w:rFonts w:eastAsiaTheme="minorEastAsia"/>
          <w:sz w:val="24"/>
          <w:lang w:bidi="ar"/>
        </w:rPr>
        <w:t>至</w:t>
      </w:r>
      <w:r>
        <w:rPr>
          <w:rFonts w:hint="eastAsia" w:eastAsiaTheme="minorEastAsia"/>
          <w:sz w:val="24"/>
        </w:rPr>
        <w:t>2026</w:t>
      </w:r>
      <w:r>
        <w:rPr>
          <w:rFonts w:eastAsiaTheme="minorEastAsia"/>
          <w:sz w:val="24"/>
          <w:lang w:bidi="ar"/>
        </w:rPr>
        <w:t>年</w:t>
      </w:r>
      <w:r>
        <w:rPr>
          <w:rFonts w:hint="eastAsia" w:eastAsiaTheme="minorEastAsia"/>
          <w:sz w:val="24"/>
        </w:rPr>
        <w:t>0</w:t>
      </w:r>
      <w:r>
        <w:rPr>
          <w:rFonts w:eastAsiaTheme="minorEastAsia"/>
          <w:sz w:val="24"/>
        </w:rPr>
        <w:t>8</w:t>
      </w:r>
      <w:r>
        <w:rPr>
          <w:rFonts w:eastAsiaTheme="minorEastAsia"/>
          <w:sz w:val="24"/>
          <w:lang w:bidi="ar"/>
        </w:rPr>
        <w:t>月</w:t>
      </w:r>
      <w:r>
        <w:rPr>
          <w:rFonts w:hint="eastAsia" w:eastAsiaTheme="minorEastAsia"/>
          <w:sz w:val="24"/>
          <w:lang w:val="en-US" w:eastAsia="zh-CN"/>
        </w:rPr>
        <w:t>18</w:t>
      </w:r>
      <w:bookmarkStart w:id="2735" w:name="_GoBack"/>
      <w:bookmarkEnd w:id="2735"/>
      <w:r>
        <w:rPr>
          <w:rFonts w:eastAsiaTheme="minorEastAsia"/>
          <w:sz w:val="24"/>
          <w:lang w:bidi="ar"/>
        </w:rPr>
        <w:t>日，每天上午</w:t>
      </w:r>
      <w:r>
        <w:rPr>
          <w:rFonts w:eastAsiaTheme="minorEastAsia"/>
          <w:sz w:val="24"/>
        </w:rPr>
        <w:t>9：00</w:t>
      </w:r>
      <w:r>
        <w:rPr>
          <w:rFonts w:eastAsiaTheme="minorEastAsia"/>
          <w:sz w:val="24"/>
          <w:lang w:bidi="ar"/>
        </w:rPr>
        <w:t>至</w:t>
      </w:r>
      <w:r>
        <w:rPr>
          <w:rFonts w:hint="eastAsia" w:eastAsiaTheme="minorEastAsia"/>
          <w:sz w:val="24"/>
        </w:rPr>
        <w:t>12：00</w:t>
      </w:r>
      <w:r>
        <w:rPr>
          <w:rFonts w:eastAsiaTheme="minorEastAsia"/>
          <w:sz w:val="24"/>
          <w:lang w:bidi="ar"/>
        </w:rPr>
        <w:t>，下午</w:t>
      </w:r>
      <w:r>
        <w:rPr>
          <w:rFonts w:hint="eastAsia" w:eastAsiaTheme="minorEastAsia"/>
          <w:sz w:val="24"/>
        </w:rPr>
        <w:t>12：00</w:t>
      </w:r>
      <w:r>
        <w:rPr>
          <w:rFonts w:eastAsiaTheme="minorEastAsia"/>
          <w:sz w:val="24"/>
          <w:lang w:bidi="ar"/>
        </w:rPr>
        <w:t>至</w:t>
      </w:r>
      <w:r>
        <w:rPr>
          <w:rFonts w:hint="eastAsia" w:eastAsiaTheme="minorEastAsia"/>
          <w:sz w:val="24"/>
        </w:rPr>
        <w:t>17：00</w:t>
      </w:r>
      <w:r>
        <w:rPr>
          <w:rFonts w:eastAsiaTheme="minorEastAsia"/>
          <w:sz w:val="24"/>
          <w:lang w:bidi="ar"/>
        </w:rPr>
        <w:t>（北京时间，法定节假日除外）。</w:t>
      </w:r>
    </w:p>
    <w:p w14:paraId="156AAEBA">
      <w:pPr>
        <w:adjustRightInd w:val="0"/>
        <w:snapToGrid w:val="0"/>
        <w:spacing w:line="360" w:lineRule="auto"/>
        <w:ind w:firstLine="480" w:firstLineChars="200"/>
        <w:rPr>
          <w:rFonts w:eastAsiaTheme="minorEastAsia"/>
          <w:sz w:val="24"/>
        </w:rPr>
      </w:pPr>
      <w:r>
        <w:rPr>
          <w:rFonts w:eastAsiaTheme="minorEastAsia"/>
          <w:sz w:val="24"/>
          <w:lang w:bidi="ar"/>
        </w:rPr>
        <w:t>2.地点：北京市政府采购电子交易平台</w:t>
      </w:r>
    </w:p>
    <w:p w14:paraId="38BDC1C7">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3.方式：供应商使用CA数字证书</w:t>
      </w:r>
      <w:r>
        <w:rPr>
          <w:sz w:val="24"/>
          <w:lang w:bidi="ar"/>
        </w:rPr>
        <w:t>或电子营业执照</w:t>
      </w:r>
      <w:r>
        <w:rPr>
          <w:rFonts w:eastAsiaTheme="minorEastAsia"/>
          <w:sz w:val="24"/>
          <w:lang w:bidi="ar"/>
        </w:rPr>
        <w:t>登录北京市政府采购电子交易平台（http://zbcg-bjzc.zhongcy.com/bjczj-portal-site/index.html#/home）获取电子版竞争性磋商文件。</w:t>
      </w:r>
    </w:p>
    <w:p w14:paraId="62BFCF93">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4.售价：0元。</w:t>
      </w:r>
    </w:p>
    <w:p w14:paraId="738B23E6">
      <w:pPr>
        <w:tabs>
          <w:tab w:val="left" w:pos="900"/>
          <w:tab w:val="left" w:pos="1980"/>
        </w:tabs>
        <w:snapToGrid w:val="0"/>
        <w:spacing w:line="360" w:lineRule="auto"/>
        <w:ind w:left="840"/>
        <w:rPr>
          <w:rFonts w:eastAsiaTheme="minorEastAsia"/>
          <w:sz w:val="24"/>
        </w:rPr>
      </w:pPr>
    </w:p>
    <w:p w14:paraId="3BED252B">
      <w:pPr>
        <w:pStyle w:val="3"/>
        <w:widowControl/>
        <w:spacing w:before="0" w:line="360" w:lineRule="auto"/>
        <w:jc w:val="left"/>
        <w:rPr>
          <w:rFonts w:ascii="Times New Roman" w:hAnsi="Times New Roman" w:eastAsiaTheme="minorEastAsia"/>
          <w:sz w:val="24"/>
          <w:szCs w:val="24"/>
        </w:rPr>
      </w:pPr>
      <w:bookmarkStart w:id="24" w:name="_Toc28359005"/>
      <w:bookmarkStart w:id="25" w:name="_Toc35393793"/>
      <w:bookmarkStart w:id="26" w:name="_Toc28359082"/>
      <w:bookmarkStart w:id="27" w:name="_Toc35393624"/>
      <w:r>
        <w:rPr>
          <w:rFonts w:ascii="Times New Roman" w:hAnsi="Times New Roman" w:eastAsiaTheme="minorEastAsia"/>
          <w:sz w:val="24"/>
          <w:szCs w:val="24"/>
        </w:rPr>
        <w:t>四、</w:t>
      </w:r>
      <w:bookmarkEnd w:id="24"/>
      <w:bookmarkEnd w:id="25"/>
      <w:bookmarkEnd w:id="26"/>
      <w:bookmarkEnd w:id="27"/>
      <w:r>
        <w:rPr>
          <w:rFonts w:ascii="Times New Roman" w:hAnsi="Times New Roman" w:eastAsiaTheme="minorEastAsia"/>
          <w:sz w:val="24"/>
          <w:szCs w:val="24"/>
        </w:rPr>
        <w:t>响应文件提交</w:t>
      </w:r>
    </w:p>
    <w:p w14:paraId="13B7AAC8">
      <w:pPr>
        <w:spacing w:line="360" w:lineRule="auto"/>
        <w:ind w:firstLine="480" w:firstLineChars="200"/>
        <w:rPr>
          <w:rFonts w:eastAsiaTheme="minorEastAsia"/>
          <w:bCs/>
          <w:sz w:val="24"/>
          <w:u w:val="single"/>
        </w:rPr>
      </w:pPr>
      <w:r>
        <w:rPr>
          <w:rFonts w:eastAsiaTheme="minorEastAsia"/>
          <w:sz w:val="24"/>
          <w:lang w:bidi="ar"/>
        </w:rPr>
        <w:t>截止时间：</w:t>
      </w:r>
      <w:r>
        <w:rPr>
          <w:rFonts w:hint="eastAsia" w:eastAsiaTheme="minorEastAsia"/>
          <w:sz w:val="24"/>
        </w:rPr>
        <w:t>2026年0</w:t>
      </w:r>
      <w:r>
        <w:rPr>
          <w:rFonts w:eastAsiaTheme="minorEastAsia"/>
          <w:sz w:val="24"/>
        </w:rPr>
        <w:t>8</w:t>
      </w:r>
      <w:r>
        <w:rPr>
          <w:rFonts w:hint="eastAsia" w:eastAsiaTheme="minorEastAsia"/>
          <w:sz w:val="24"/>
        </w:rPr>
        <w:t>月</w:t>
      </w:r>
      <w:r>
        <w:rPr>
          <w:rFonts w:hint="eastAsia" w:eastAsiaTheme="minorEastAsia"/>
          <w:sz w:val="24"/>
          <w:lang w:val="en-US" w:eastAsia="zh-CN"/>
        </w:rPr>
        <w:t>24</w:t>
      </w:r>
      <w:r>
        <w:rPr>
          <w:rFonts w:hint="eastAsia" w:eastAsiaTheme="minorEastAsia"/>
          <w:sz w:val="24"/>
        </w:rPr>
        <w:t>日09点30分</w:t>
      </w:r>
      <w:r>
        <w:rPr>
          <w:rFonts w:eastAsiaTheme="minorEastAsia"/>
          <w:bCs/>
          <w:sz w:val="24"/>
          <w:lang w:bidi="ar"/>
        </w:rPr>
        <w:t>（北京时间）</w:t>
      </w:r>
      <w:r>
        <w:rPr>
          <w:rFonts w:eastAsiaTheme="minorEastAsia"/>
          <w:iCs/>
          <w:sz w:val="24"/>
          <w:lang w:bidi="ar"/>
        </w:rPr>
        <w:t>。</w:t>
      </w:r>
    </w:p>
    <w:p w14:paraId="081F6B10">
      <w:pPr>
        <w:spacing w:line="360" w:lineRule="auto"/>
        <w:ind w:firstLine="480" w:firstLineChars="200"/>
        <w:rPr>
          <w:rFonts w:eastAsiaTheme="minorEastAsia"/>
          <w:sz w:val="24"/>
          <w:lang w:val="zh-TW" w:bidi="ar"/>
        </w:rPr>
      </w:pPr>
      <w:r>
        <w:rPr>
          <w:rFonts w:eastAsiaTheme="minorEastAsia"/>
          <w:sz w:val="24"/>
          <w:lang w:bidi="ar"/>
        </w:rPr>
        <w:t>地点：</w:t>
      </w:r>
      <w:r>
        <w:rPr>
          <w:rFonts w:hint="eastAsia" w:eastAsiaTheme="minorEastAsia"/>
          <w:sz w:val="24"/>
        </w:rPr>
        <w:t>北京市政府采购电子交易平台。采用远程电子开标方式，供应商远程自行对电子响应文件进行解密，不接受纸质文件。逾期提交或未按规定时间解密的响应文件视为无效</w:t>
      </w:r>
      <w:r>
        <w:rPr>
          <w:rFonts w:eastAsiaTheme="minorEastAsia"/>
          <w:sz w:val="24"/>
          <w:lang w:val="zh-TW" w:bidi="ar"/>
        </w:rPr>
        <w:t>。</w:t>
      </w:r>
    </w:p>
    <w:p w14:paraId="385B0554">
      <w:pPr>
        <w:spacing w:line="360" w:lineRule="auto"/>
        <w:ind w:firstLine="480" w:firstLineChars="200"/>
        <w:rPr>
          <w:rFonts w:eastAsiaTheme="minorEastAsia"/>
          <w:sz w:val="24"/>
          <w:lang w:val="zh-TW" w:bidi="ar"/>
        </w:rPr>
      </w:pPr>
    </w:p>
    <w:p w14:paraId="16E82A0E">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五、开启</w:t>
      </w:r>
    </w:p>
    <w:p w14:paraId="63A219F3">
      <w:pPr>
        <w:spacing w:line="360" w:lineRule="auto"/>
        <w:ind w:firstLine="480" w:firstLineChars="200"/>
        <w:rPr>
          <w:rFonts w:eastAsiaTheme="minorEastAsia"/>
          <w:bCs/>
          <w:sz w:val="24"/>
          <w:u w:val="single"/>
        </w:rPr>
      </w:pPr>
      <w:r>
        <w:rPr>
          <w:rFonts w:eastAsiaTheme="minorEastAsia"/>
          <w:sz w:val="24"/>
          <w:lang w:bidi="ar"/>
        </w:rPr>
        <w:t>时间：</w:t>
      </w:r>
      <w:r>
        <w:rPr>
          <w:rFonts w:eastAsiaTheme="minorEastAsia"/>
          <w:sz w:val="24"/>
        </w:rPr>
        <w:t>2026年</w:t>
      </w:r>
      <w:r>
        <w:rPr>
          <w:rFonts w:hint="eastAsia" w:eastAsiaTheme="minorEastAsia"/>
          <w:sz w:val="24"/>
        </w:rPr>
        <w:t>0</w:t>
      </w:r>
      <w:r>
        <w:rPr>
          <w:rFonts w:eastAsiaTheme="minorEastAsia"/>
          <w:sz w:val="24"/>
        </w:rPr>
        <w:t>8</w:t>
      </w:r>
      <w:r>
        <w:rPr>
          <w:rFonts w:hint="eastAsia" w:eastAsiaTheme="minorEastAsia"/>
          <w:sz w:val="24"/>
        </w:rPr>
        <w:t>月</w:t>
      </w:r>
      <w:r>
        <w:rPr>
          <w:rFonts w:hint="eastAsia" w:eastAsiaTheme="minorEastAsia"/>
          <w:sz w:val="24"/>
          <w:lang w:val="en-US" w:eastAsia="zh-CN"/>
        </w:rPr>
        <w:t>24</w:t>
      </w:r>
      <w:r>
        <w:rPr>
          <w:rFonts w:hint="eastAsia" w:eastAsiaTheme="minorEastAsia"/>
          <w:sz w:val="24"/>
        </w:rPr>
        <w:t>日</w:t>
      </w:r>
      <w:r>
        <w:rPr>
          <w:rFonts w:eastAsiaTheme="minorEastAsia"/>
          <w:sz w:val="24"/>
        </w:rPr>
        <w:t>09点30分</w:t>
      </w:r>
      <w:r>
        <w:rPr>
          <w:rFonts w:eastAsiaTheme="minorEastAsia"/>
          <w:bCs/>
          <w:sz w:val="24"/>
          <w:lang w:bidi="ar"/>
        </w:rPr>
        <w:t>（北京时间）</w:t>
      </w:r>
      <w:r>
        <w:rPr>
          <w:rFonts w:eastAsiaTheme="minorEastAsia"/>
          <w:iCs/>
          <w:sz w:val="24"/>
          <w:lang w:bidi="ar"/>
        </w:rPr>
        <w:t>。</w:t>
      </w:r>
    </w:p>
    <w:p w14:paraId="5CCA6853">
      <w:pPr>
        <w:spacing w:line="360" w:lineRule="auto"/>
        <w:ind w:firstLine="480" w:firstLineChars="200"/>
        <w:rPr>
          <w:rFonts w:eastAsiaTheme="minorEastAsia"/>
          <w:sz w:val="24"/>
          <w:lang w:val="zh-TW" w:bidi="ar"/>
        </w:rPr>
      </w:pPr>
      <w:r>
        <w:rPr>
          <w:rFonts w:eastAsiaTheme="minorEastAsia"/>
          <w:sz w:val="24"/>
          <w:lang w:bidi="ar"/>
        </w:rPr>
        <w:t>地点：</w:t>
      </w:r>
      <w:r>
        <w:rPr>
          <w:rFonts w:hint="eastAsia" w:eastAsiaTheme="minorEastAsia"/>
          <w:b/>
          <w:sz w:val="24"/>
        </w:rPr>
        <w:t>北京市政府采购电子交易平台，本项目采用远程解密、磋商方式为线上二次（最终）报价，由供应商自行对电子响应文件进行解密，不接受纸质文件。请供应商务必远程参加并保持联系人电话畅通，同时确保使用 CA 数字证书或电子营业执照登录北京市政府采购电子交易平台自行进行解密操作</w:t>
      </w:r>
      <w:r>
        <w:rPr>
          <w:rFonts w:eastAsiaTheme="minorEastAsia"/>
          <w:b/>
          <w:sz w:val="24"/>
          <w:lang w:val="zh-TW" w:bidi="ar"/>
        </w:rPr>
        <w:t>。</w:t>
      </w:r>
    </w:p>
    <w:p w14:paraId="5C112B51">
      <w:pPr>
        <w:spacing w:line="360" w:lineRule="auto"/>
        <w:ind w:firstLine="480" w:firstLineChars="200"/>
        <w:rPr>
          <w:rFonts w:eastAsiaTheme="minorEastAsia"/>
          <w:bCs/>
          <w:sz w:val="24"/>
          <w:u w:val="single"/>
        </w:rPr>
      </w:pPr>
    </w:p>
    <w:p w14:paraId="19B7A33C">
      <w:pPr>
        <w:pStyle w:val="3"/>
        <w:spacing w:before="0" w:line="360" w:lineRule="auto"/>
        <w:jc w:val="left"/>
        <w:rPr>
          <w:rFonts w:ascii="Times New Roman" w:hAnsi="Times New Roman" w:eastAsiaTheme="minorEastAsia"/>
          <w:sz w:val="24"/>
          <w:szCs w:val="24"/>
        </w:rPr>
      </w:pPr>
      <w:bookmarkStart w:id="28" w:name="_Toc35393794"/>
      <w:bookmarkStart w:id="29" w:name="_Toc28359007"/>
      <w:bookmarkStart w:id="30" w:name="_Toc28359084"/>
      <w:bookmarkStart w:id="31" w:name="_Toc35393625"/>
      <w:r>
        <w:rPr>
          <w:rFonts w:ascii="Times New Roman" w:hAnsi="Times New Roman" w:eastAsiaTheme="minorEastAsia"/>
          <w:sz w:val="24"/>
          <w:szCs w:val="24"/>
        </w:rPr>
        <w:t>六、公告期限</w:t>
      </w:r>
      <w:bookmarkEnd w:id="28"/>
      <w:bookmarkEnd w:id="29"/>
      <w:bookmarkEnd w:id="30"/>
      <w:bookmarkEnd w:id="31"/>
    </w:p>
    <w:p w14:paraId="34FE0259">
      <w:pPr>
        <w:spacing w:line="360" w:lineRule="auto"/>
        <w:ind w:firstLine="480" w:firstLineChars="200"/>
        <w:rPr>
          <w:rFonts w:eastAsiaTheme="minorEastAsia"/>
          <w:kern w:val="0"/>
          <w:sz w:val="24"/>
        </w:rPr>
      </w:pPr>
      <w:r>
        <w:rPr>
          <w:rFonts w:eastAsiaTheme="minorEastAsia"/>
          <w:kern w:val="0"/>
          <w:sz w:val="24"/>
        </w:rPr>
        <w:t>自本公告发布之日起3个工作日。</w:t>
      </w:r>
    </w:p>
    <w:p w14:paraId="0FACEA19">
      <w:pPr>
        <w:spacing w:line="360" w:lineRule="auto"/>
        <w:ind w:firstLine="480" w:firstLineChars="200"/>
        <w:rPr>
          <w:rFonts w:eastAsiaTheme="minorEastAsia"/>
          <w:kern w:val="0"/>
          <w:sz w:val="24"/>
        </w:rPr>
      </w:pPr>
    </w:p>
    <w:p w14:paraId="779D8BC8">
      <w:pPr>
        <w:pStyle w:val="3"/>
        <w:spacing w:before="0" w:line="360" w:lineRule="auto"/>
        <w:jc w:val="left"/>
        <w:rPr>
          <w:rFonts w:ascii="Times New Roman" w:hAnsi="Times New Roman" w:eastAsiaTheme="minorEastAsia"/>
          <w:sz w:val="24"/>
          <w:szCs w:val="24"/>
        </w:rPr>
      </w:pPr>
      <w:bookmarkStart w:id="32" w:name="_Toc35393795"/>
      <w:bookmarkStart w:id="33" w:name="_Toc35393626"/>
      <w:r>
        <w:rPr>
          <w:rFonts w:ascii="Times New Roman" w:hAnsi="Times New Roman" w:eastAsiaTheme="minorEastAsia"/>
          <w:sz w:val="24"/>
          <w:szCs w:val="24"/>
        </w:rPr>
        <w:t>七、其他补充事宜</w:t>
      </w:r>
      <w:bookmarkEnd w:id="32"/>
      <w:bookmarkEnd w:id="33"/>
    </w:p>
    <w:p w14:paraId="72087B87">
      <w:pPr>
        <w:spacing w:line="360" w:lineRule="auto"/>
        <w:ind w:firstLine="480" w:firstLineChars="200"/>
        <w:rPr>
          <w:sz w:val="24"/>
          <w:lang w:bidi="ar"/>
        </w:rPr>
      </w:pPr>
      <w:bookmarkStart w:id="34" w:name="OLE_LINK44"/>
      <w:r>
        <w:rPr>
          <w:rFonts w:eastAsiaTheme="minorEastAsia"/>
          <w:sz w:val="24"/>
        </w:rPr>
        <w:t>1.</w:t>
      </w:r>
      <w:bookmarkEnd w:id="34"/>
      <w:r>
        <w:rPr>
          <w:rFonts w:eastAsiaTheme="minorEastAsia"/>
          <w:sz w:val="24"/>
        </w:rPr>
        <w:t>本项目需要落实的政府采购政策：</w:t>
      </w:r>
    </w:p>
    <w:p w14:paraId="4A77DE42">
      <w:pPr>
        <w:spacing w:line="360" w:lineRule="auto"/>
        <w:ind w:firstLine="480" w:firstLineChars="200"/>
        <w:rPr>
          <w:rFonts w:ascii="宋体" w:hAnsi="宋体"/>
          <w:kern w:val="0"/>
          <w:sz w:val="24"/>
        </w:rPr>
      </w:pPr>
      <w:r>
        <w:rPr>
          <w:rFonts w:hint="eastAsia" w:ascii="宋体" w:hAnsi="宋体"/>
          <w:kern w:val="0"/>
          <w:sz w:val="24"/>
        </w:rPr>
        <w:t>(1)《政府采购促进中小企业发展管理办法》财库（2020）46号；</w:t>
      </w:r>
    </w:p>
    <w:p w14:paraId="73965953">
      <w:pPr>
        <w:spacing w:line="360" w:lineRule="auto"/>
        <w:ind w:firstLine="480" w:firstLineChars="200"/>
        <w:rPr>
          <w:rFonts w:ascii="宋体" w:hAnsi="宋体"/>
          <w:kern w:val="0"/>
          <w:sz w:val="24"/>
        </w:rPr>
      </w:pPr>
      <w:r>
        <w:rPr>
          <w:rFonts w:hint="eastAsia" w:ascii="宋体" w:hAnsi="宋体"/>
          <w:kern w:val="0"/>
          <w:sz w:val="24"/>
        </w:rPr>
        <w:t>(2)《财政部司法部关于政府采购支持监狱企业发展有关问题的通知》-财库〔2014〕68号；</w:t>
      </w:r>
    </w:p>
    <w:p w14:paraId="69EDACB3">
      <w:pPr>
        <w:spacing w:line="360" w:lineRule="auto"/>
        <w:ind w:firstLine="480" w:firstLineChars="200"/>
        <w:rPr>
          <w:rFonts w:ascii="宋体" w:hAnsi="宋体"/>
          <w:kern w:val="0"/>
          <w:sz w:val="24"/>
        </w:rPr>
      </w:pPr>
      <w:r>
        <w:rPr>
          <w:rFonts w:hint="eastAsia" w:ascii="宋体" w:hAnsi="宋体"/>
          <w:kern w:val="0"/>
          <w:sz w:val="24"/>
        </w:rPr>
        <w:t>(3)《国务院办公厅关于建立政府强制采购节能产品制度的通知》-国办发〔2007〕51号；</w:t>
      </w:r>
    </w:p>
    <w:p w14:paraId="5E07506D">
      <w:pPr>
        <w:spacing w:line="360" w:lineRule="auto"/>
        <w:ind w:firstLine="480" w:firstLineChars="200"/>
        <w:rPr>
          <w:rFonts w:ascii="宋体" w:hAnsi="宋体"/>
          <w:kern w:val="0"/>
          <w:sz w:val="24"/>
        </w:rPr>
      </w:pPr>
      <w:r>
        <w:rPr>
          <w:rFonts w:hint="eastAsia" w:ascii="宋体" w:hAnsi="宋体"/>
          <w:kern w:val="0"/>
          <w:sz w:val="24"/>
        </w:rPr>
        <w:t>(4)《环境标志产品政府采购实施的意见》-财库[2006]90号；</w:t>
      </w:r>
    </w:p>
    <w:p w14:paraId="59A55A09">
      <w:pPr>
        <w:spacing w:line="360" w:lineRule="auto"/>
        <w:ind w:firstLine="480" w:firstLineChars="200"/>
        <w:rPr>
          <w:rFonts w:ascii="宋体" w:hAnsi="宋体"/>
          <w:kern w:val="0"/>
          <w:sz w:val="24"/>
        </w:rPr>
      </w:pPr>
      <w:r>
        <w:rPr>
          <w:rFonts w:hint="eastAsia" w:ascii="宋体" w:hAnsi="宋体"/>
          <w:kern w:val="0"/>
          <w:sz w:val="24"/>
        </w:rPr>
        <w:t>(5)《关于促进残疾人就业政府采购政策的通知》-财库〔2017〕141号；</w:t>
      </w:r>
    </w:p>
    <w:p w14:paraId="289DE300">
      <w:pPr>
        <w:spacing w:line="360" w:lineRule="auto"/>
        <w:ind w:firstLine="480" w:firstLineChars="200"/>
        <w:rPr>
          <w:rFonts w:ascii="宋体" w:hAnsi="宋体"/>
          <w:kern w:val="0"/>
          <w:sz w:val="24"/>
        </w:rPr>
      </w:pPr>
      <w:r>
        <w:rPr>
          <w:rFonts w:hint="eastAsia" w:ascii="宋体" w:hAnsi="宋体"/>
          <w:kern w:val="0"/>
          <w:sz w:val="24"/>
        </w:rPr>
        <w:t>(6)《财政部办公厅关于落实财政支持贫困村微小型项目村级组织自建自营有关政策的通知》-财办库〔2019〕75号；</w:t>
      </w:r>
    </w:p>
    <w:p w14:paraId="4C1A30C5">
      <w:pPr>
        <w:widowControl/>
        <w:adjustRightInd w:val="0"/>
        <w:snapToGrid w:val="0"/>
        <w:spacing w:line="360" w:lineRule="auto"/>
        <w:ind w:firstLine="480" w:firstLineChars="200"/>
        <w:jc w:val="left"/>
        <w:rPr>
          <w:rFonts w:eastAsiaTheme="minorEastAsia"/>
          <w:bCs/>
          <w:sz w:val="24"/>
          <w:lang w:bidi="ar"/>
        </w:rPr>
      </w:pPr>
      <w:r>
        <w:rPr>
          <w:rFonts w:hint="eastAsia" w:eastAsiaTheme="minorEastAsia"/>
          <w:sz w:val="24"/>
          <w:lang w:bidi="ar"/>
        </w:rPr>
        <w:t>2</w:t>
      </w:r>
      <w:r>
        <w:rPr>
          <w:rFonts w:eastAsiaTheme="minorEastAsia"/>
          <w:sz w:val="24"/>
          <w:lang w:bidi="ar"/>
        </w:rPr>
        <w:t>.本项目采用全流程电子化采购方式，请供应商认真学习北京市政府采购电子交易平台发布的相关操作手册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，办理CA数字证书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CA数字证书</w:t>
      </w:r>
      <w:r>
        <w:rPr>
          <w:sz w:val="24"/>
          <w:lang w:bidi="ar"/>
        </w:rPr>
        <w:t>或电子营业执照</w:t>
      </w:r>
      <w:r>
        <w:rPr>
          <w:rFonts w:eastAsiaTheme="minorEastAsia"/>
          <w:bCs/>
          <w:sz w:val="24"/>
          <w:lang w:bidi="ar"/>
        </w:rPr>
        <w:t>情况确认是否符合本项目电子化采购流程要求。</w:t>
      </w:r>
    </w:p>
    <w:p w14:paraId="23CDD121">
      <w:pPr>
        <w:adjustRightInd w:val="0"/>
        <w:snapToGrid w:val="0"/>
        <w:spacing w:line="360" w:lineRule="auto"/>
        <w:ind w:firstLine="480" w:firstLineChars="200"/>
        <w:rPr>
          <w:rFonts w:eastAsiaTheme="minorEastAsia"/>
          <w:sz w:val="24"/>
        </w:rPr>
      </w:pPr>
      <w:r>
        <w:rPr>
          <w:rFonts w:eastAsiaTheme="minorEastAsia"/>
          <w:sz w:val="24"/>
          <w:lang w:bidi="ar"/>
        </w:rPr>
        <w:t>CA数字证书服务热线 010-58511086</w:t>
      </w:r>
    </w:p>
    <w:p w14:paraId="29DCB77B">
      <w:pPr>
        <w:adjustRightInd w:val="0"/>
        <w:snapToGrid w:val="0"/>
        <w:spacing w:line="360" w:lineRule="auto"/>
        <w:ind w:firstLine="480" w:firstLineChars="200"/>
        <w:rPr>
          <w:sz w:val="24"/>
        </w:rPr>
      </w:pPr>
      <w:r>
        <w:rPr>
          <w:sz w:val="24"/>
          <w:lang w:bidi="ar"/>
        </w:rPr>
        <w:t>电子营业执照服务热线 400-699-7000</w:t>
      </w:r>
    </w:p>
    <w:p w14:paraId="1377B105">
      <w:pPr>
        <w:adjustRightInd w:val="0"/>
        <w:snapToGrid w:val="0"/>
        <w:spacing w:line="360" w:lineRule="auto"/>
        <w:ind w:firstLine="480" w:firstLineChars="200"/>
        <w:rPr>
          <w:rFonts w:eastAsiaTheme="minorEastAsia"/>
          <w:sz w:val="24"/>
        </w:rPr>
      </w:pPr>
      <w:r>
        <w:rPr>
          <w:rFonts w:eastAsiaTheme="minorEastAsia"/>
          <w:sz w:val="24"/>
          <w:lang w:bidi="ar"/>
        </w:rPr>
        <w:t xml:space="preserve">技术支持服务热线    010-86483801    </w:t>
      </w:r>
    </w:p>
    <w:p w14:paraId="71CEBD4B">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2</w:t>
      </w:r>
      <w:r>
        <w:rPr>
          <w:rFonts w:eastAsiaTheme="minorEastAsia"/>
          <w:sz w:val="24"/>
          <w:lang w:bidi="ar"/>
        </w:rPr>
        <w:t>.1办理CA数字证书</w:t>
      </w:r>
      <w:r>
        <w:rPr>
          <w:sz w:val="24"/>
          <w:lang w:bidi="ar"/>
        </w:rPr>
        <w:t>或电子营业执照</w:t>
      </w:r>
    </w:p>
    <w:p w14:paraId="2340D418">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供应商登录北京市政府采购电子交易平台查阅 “用户指南”—“操作指南”—“市场主体CA办理操作流程指引”</w:t>
      </w:r>
      <w:r>
        <w:rPr>
          <w:sz w:val="24"/>
          <w:lang w:bidi="ar"/>
        </w:rPr>
        <w:t xml:space="preserve"> /“电子营业执照使用指南”</w:t>
      </w:r>
      <w:r>
        <w:rPr>
          <w:rFonts w:eastAsiaTheme="minorEastAsia"/>
          <w:sz w:val="24"/>
          <w:lang w:bidi="ar"/>
        </w:rPr>
        <w:t>，按照程序要求办理。</w:t>
      </w:r>
    </w:p>
    <w:p w14:paraId="09155B4A">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.2注册</w:t>
      </w:r>
    </w:p>
    <w:p w14:paraId="135BCCB3">
      <w:pPr>
        <w:adjustRightInd w:val="0"/>
        <w:snapToGrid w:val="0"/>
        <w:spacing w:line="360" w:lineRule="auto"/>
        <w:ind w:firstLine="480" w:firstLineChars="200"/>
        <w:rPr>
          <w:rFonts w:eastAsiaTheme="minorEastAsia"/>
          <w:sz w:val="24"/>
        </w:rPr>
      </w:pPr>
      <w:r>
        <w:rPr>
          <w:rFonts w:eastAsiaTheme="minorEastAsia"/>
          <w:sz w:val="24"/>
          <w:lang w:bidi="ar"/>
        </w:rPr>
        <w:t>供应商登录北京市政府采购电子交易平台“用户指南”—“操作指南”—“市场主体注册入库操作流程指引”进行自助注册绑定。</w:t>
      </w:r>
    </w:p>
    <w:p w14:paraId="43C8A5F3">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2</w:t>
      </w:r>
      <w:r>
        <w:rPr>
          <w:rFonts w:eastAsiaTheme="minorEastAsia"/>
          <w:sz w:val="24"/>
          <w:lang w:bidi="ar"/>
        </w:rPr>
        <w:t>.3驱动、客户端下载</w:t>
      </w:r>
    </w:p>
    <w:p w14:paraId="03933A97">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供应商登录北京市政府采购电子交易平台“用户指南”—“工具下载”—“招标采购系统文件驱动安装包”下载相关驱动。</w:t>
      </w:r>
    </w:p>
    <w:p w14:paraId="423B6821">
      <w:pPr>
        <w:adjustRightInd w:val="0"/>
        <w:snapToGrid w:val="0"/>
        <w:spacing w:line="360" w:lineRule="auto"/>
        <w:ind w:firstLine="480" w:firstLineChars="200"/>
        <w:rPr>
          <w:rFonts w:eastAsiaTheme="minorEastAsia"/>
          <w:sz w:val="24"/>
          <w:lang w:bidi="ar"/>
        </w:rPr>
      </w:pPr>
      <w:r>
        <w:rPr>
          <w:rFonts w:eastAsiaTheme="minorEastAsia"/>
          <w:sz w:val="24"/>
          <w:lang w:bidi="ar"/>
        </w:rPr>
        <w:t>供应商登录北京市政府采购电子交易平台“用户指南”—“工具下载”—“投标文件编制工具”下载相关客户端。</w:t>
      </w:r>
    </w:p>
    <w:p w14:paraId="7C169972">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.4 获取电子竞争性磋商文件</w:t>
      </w:r>
    </w:p>
    <w:p w14:paraId="0A0993FE">
      <w:pPr>
        <w:adjustRightInd w:val="0"/>
        <w:snapToGrid w:val="0"/>
        <w:spacing w:line="360" w:lineRule="auto"/>
        <w:ind w:firstLine="480" w:firstLineChars="200"/>
        <w:rPr>
          <w:rFonts w:eastAsiaTheme="minorEastAsia"/>
          <w:sz w:val="24"/>
          <w:lang w:bidi="ar"/>
        </w:rPr>
      </w:pPr>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登录北京市政府采购电子交易平台获取电子竞争性磋商文件。</w:t>
      </w:r>
    </w:p>
    <w:p w14:paraId="2C7F2834">
      <w:pPr>
        <w:adjustRightInd w:val="0"/>
        <w:snapToGrid w:val="0"/>
        <w:spacing w:line="360" w:lineRule="auto"/>
        <w:ind w:firstLine="480" w:firstLineChars="20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25361DD2">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.5编制电子响应文件</w:t>
      </w:r>
    </w:p>
    <w:p w14:paraId="2822CD58">
      <w:pPr>
        <w:adjustRightInd w:val="0"/>
        <w:snapToGrid w:val="0"/>
        <w:spacing w:line="360" w:lineRule="auto"/>
        <w:ind w:firstLine="480" w:firstLineChars="20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，如无法按照要求在电子响应文件中加盖电子签章和加密，请及时通过技术支持服务热线联系技术人员</w:t>
      </w:r>
      <w:r>
        <w:rPr>
          <w:rFonts w:eastAsiaTheme="minorEastAsia"/>
          <w:sz w:val="24"/>
          <w:lang w:bidi="ar"/>
        </w:rPr>
        <w:t>。</w:t>
      </w:r>
    </w:p>
    <w:p w14:paraId="5A2C6A74">
      <w:pPr>
        <w:widowControl/>
        <w:spacing w:line="360" w:lineRule="auto"/>
        <w:ind w:firstLine="480" w:firstLineChars="200"/>
        <w:jc w:val="left"/>
        <w:rPr>
          <w:rFonts w:eastAsiaTheme="minorEastAsia"/>
          <w:sz w:val="24"/>
          <w:lang w:val="zh-TW" w:bidi="ar"/>
        </w:rPr>
      </w:pPr>
      <w:r>
        <w:rPr>
          <w:rFonts w:hint="eastAsia" w:eastAsiaTheme="minorEastAsia"/>
          <w:sz w:val="24"/>
          <w:lang w:val="zh-TW" w:bidi="ar"/>
        </w:rPr>
        <w:t>2</w:t>
      </w:r>
      <w:r>
        <w:rPr>
          <w:rFonts w:eastAsiaTheme="minorEastAsia"/>
          <w:sz w:val="24"/>
          <w:lang w:val="zh-TW" w:eastAsia="zh-TW" w:bidi="ar"/>
        </w:rPr>
        <w:t>.6</w:t>
      </w:r>
      <w:r>
        <w:rPr>
          <w:rFonts w:eastAsiaTheme="minorEastAsia"/>
          <w:sz w:val="24"/>
          <w:lang w:val="zh-TW" w:bidi="ar"/>
        </w:rPr>
        <w:t>提交电子响应文件</w:t>
      </w:r>
    </w:p>
    <w:p w14:paraId="74FCDAE6">
      <w:pPr>
        <w:widowControl/>
        <w:spacing w:line="360" w:lineRule="auto"/>
        <w:ind w:firstLine="480" w:firstLineChars="20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14:paraId="2366A5F0">
      <w:pPr>
        <w:spacing w:line="360" w:lineRule="auto"/>
        <w:ind w:firstLine="480" w:firstLineChars="200"/>
        <w:rPr>
          <w:rFonts w:eastAsiaTheme="minorEastAsia"/>
          <w:sz w:val="24"/>
          <w:lang w:eastAsia="zh-TW"/>
        </w:rPr>
      </w:pPr>
      <w:r>
        <w:rPr>
          <w:rFonts w:hint="eastAsia" w:eastAsiaTheme="minorEastAsia"/>
          <w:sz w:val="24"/>
          <w:lang w:val="zh-TW" w:bidi="ar"/>
        </w:rPr>
        <w:t>2</w:t>
      </w:r>
      <w:r>
        <w:rPr>
          <w:rFonts w:eastAsiaTheme="minorEastAsia"/>
          <w:sz w:val="24"/>
          <w:lang w:val="zh-TW" w:bidi="ar"/>
        </w:rPr>
        <w:t>.</w:t>
      </w:r>
      <w:r>
        <w:rPr>
          <w:rFonts w:eastAsiaTheme="minorEastAsia"/>
          <w:sz w:val="24"/>
          <w:lang w:val="zh-TW" w:eastAsia="zh-TW" w:bidi="ar"/>
        </w:rPr>
        <w:t xml:space="preserve">7 </w:t>
      </w:r>
      <w:r>
        <w:rPr>
          <w:rFonts w:eastAsiaTheme="minorEastAsia"/>
          <w:sz w:val="24"/>
          <w:lang w:val="zh-TW" w:bidi="ar"/>
        </w:rPr>
        <w:t>开启响应文件</w:t>
      </w:r>
    </w:p>
    <w:p w14:paraId="33F8AFBF">
      <w:pPr>
        <w:spacing w:line="360" w:lineRule="auto"/>
        <w:ind w:firstLine="480" w:firstLineChars="20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p w14:paraId="667AF7C5">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3</w:t>
      </w:r>
      <w:r>
        <w:rPr>
          <w:rFonts w:eastAsiaTheme="minorEastAsia"/>
          <w:sz w:val="24"/>
          <w:lang w:bidi="ar"/>
        </w:rPr>
        <w:t>.</w:t>
      </w:r>
      <w:r>
        <w:rPr>
          <w:rFonts w:hint="eastAsia" w:eastAsiaTheme="minorEastAsia"/>
          <w:sz w:val="24"/>
          <w:lang w:bidi="ar"/>
        </w:rPr>
        <w:t>评审办法：综合评分法</w:t>
      </w:r>
    </w:p>
    <w:p w14:paraId="1680220D">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4</w:t>
      </w:r>
      <w:r>
        <w:rPr>
          <w:rFonts w:eastAsiaTheme="minorEastAsia"/>
          <w:sz w:val="24"/>
          <w:lang w:bidi="ar"/>
        </w:rPr>
        <w:t>.</w:t>
      </w:r>
      <w:r>
        <w:rPr>
          <w:rFonts w:hint="eastAsia" w:eastAsiaTheme="minorEastAsia"/>
          <w:sz w:val="24"/>
          <w:lang w:bidi="ar"/>
        </w:rPr>
        <w:t>本项目磋商保证金响应政策要求，鼓励供应商以出具保函（保险）形式提交磋商保证金，供应商无法出具保函（保险），确需银行转账、支票等方式缴纳保证金的，供应商应出具说明函（格式自拟）。</w:t>
      </w:r>
    </w:p>
    <w:p w14:paraId="4CA70C43">
      <w:pPr>
        <w:spacing w:line="360" w:lineRule="auto"/>
        <w:ind w:firstLine="480" w:firstLineChars="200"/>
        <w:rPr>
          <w:rFonts w:eastAsiaTheme="minorEastAsia"/>
          <w:sz w:val="24"/>
        </w:rPr>
      </w:pPr>
    </w:p>
    <w:p w14:paraId="3F8E4161">
      <w:pPr>
        <w:pStyle w:val="3"/>
        <w:spacing w:before="0" w:line="360" w:lineRule="auto"/>
        <w:jc w:val="left"/>
        <w:rPr>
          <w:rFonts w:ascii="Times New Roman" w:hAnsi="Times New Roman" w:eastAsiaTheme="minorEastAsia"/>
          <w:sz w:val="24"/>
          <w:szCs w:val="24"/>
        </w:rPr>
      </w:pPr>
      <w:bookmarkStart w:id="35" w:name="_Toc35393627"/>
      <w:bookmarkStart w:id="36" w:name="_Toc28359008"/>
      <w:bookmarkStart w:id="37" w:name="_Toc35393796"/>
      <w:bookmarkStart w:id="38" w:name="_Toc28359085"/>
      <w:r>
        <w:rPr>
          <w:rFonts w:ascii="Times New Roman" w:hAnsi="Times New Roman" w:eastAsiaTheme="minorEastAsia"/>
          <w:sz w:val="24"/>
          <w:szCs w:val="24"/>
        </w:rPr>
        <w:t>八、对本次采购提出询问，请按以下方式联系。</w:t>
      </w:r>
      <w:bookmarkEnd w:id="35"/>
      <w:bookmarkEnd w:id="36"/>
      <w:bookmarkEnd w:id="37"/>
      <w:bookmarkEnd w:id="38"/>
    </w:p>
    <w:p w14:paraId="4F6EF450">
      <w:pPr>
        <w:widowControl/>
        <w:spacing w:line="360" w:lineRule="auto"/>
        <w:jc w:val="left"/>
        <w:rPr>
          <w:rFonts w:eastAsiaTheme="minorEastAsia"/>
          <w:b/>
          <w:sz w:val="24"/>
        </w:rPr>
      </w:pPr>
      <w:r>
        <w:rPr>
          <w:rFonts w:eastAsiaTheme="minorEastAsia"/>
          <w:sz w:val="24"/>
        </w:rPr>
        <w:t>　　　</w:t>
      </w:r>
      <w:r>
        <w:rPr>
          <w:rFonts w:eastAsiaTheme="minorEastAsia"/>
          <w:b/>
          <w:sz w:val="24"/>
        </w:rPr>
        <w:t>1.采购人信息</w:t>
      </w:r>
    </w:p>
    <w:p w14:paraId="6E9F853D">
      <w:pPr>
        <w:spacing w:line="360" w:lineRule="auto"/>
        <w:ind w:left="1079" w:leftChars="371" w:hanging="300" w:hangingChars="125"/>
        <w:jc w:val="left"/>
        <w:rPr>
          <w:rFonts w:eastAsiaTheme="minorEastAsia"/>
          <w:sz w:val="24"/>
        </w:rPr>
      </w:pPr>
      <w:bookmarkStart w:id="39" w:name="_Toc28359086"/>
      <w:bookmarkStart w:id="40" w:name="_Toc28359009"/>
      <w:r>
        <w:rPr>
          <w:rFonts w:eastAsiaTheme="minorEastAsia"/>
          <w:sz w:val="24"/>
        </w:rPr>
        <w:t>名    称：</w:t>
      </w:r>
      <w:r>
        <w:rPr>
          <w:rFonts w:hint="eastAsia" w:eastAsiaTheme="minorEastAsia"/>
          <w:sz w:val="24"/>
          <w:u w:val="single"/>
        </w:rPr>
        <w:t>北京市昌平区教育委员会</w:t>
      </w:r>
    </w:p>
    <w:p w14:paraId="78C76FBD">
      <w:pPr>
        <w:spacing w:line="360" w:lineRule="auto"/>
        <w:ind w:left="1079" w:leftChars="371" w:hanging="300" w:hangingChars="125"/>
        <w:jc w:val="left"/>
        <w:rPr>
          <w:rFonts w:eastAsiaTheme="minorEastAsia"/>
          <w:sz w:val="24"/>
        </w:rPr>
      </w:pPr>
      <w:r>
        <w:rPr>
          <w:rFonts w:eastAsiaTheme="minorEastAsia"/>
          <w:sz w:val="24"/>
        </w:rPr>
        <w:t>地    址：</w:t>
      </w:r>
      <w:r>
        <w:rPr>
          <w:sz w:val="24"/>
          <w:u w:val="single"/>
        </w:rPr>
        <w:t>北京市昌平区南环东路1号广电大厦</w:t>
      </w:r>
    </w:p>
    <w:p w14:paraId="1616AC29">
      <w:pPr>
        <w:spacing w:line="360" w:lineRule="auto"/>
        <w:ind w:left="1079" w:leftChars="371" w:hanging="300" w:hangingChars="125"/>
        <w:jc w:val="left"/>
        <w:rPr>
          <w:rFonts w:eastAsiaTheme="minorEastAsia"/>
          <w:sz w:val="24"/>
          <w:u w:val="single"/>
        </w:rPr>
      </w:pPr>
      <w:r>
        <w:rPr>
          <w:rFonts w:eastAsiaTheme="minorEastAsia"/>
          <w:sz w:val="24"/>
        </w:rPr>
        <w:t>联系方式：</w:t>
      </w:r>
      <w:r>
        <w:rPr>
          <w:rFonts w:hint="eastAsia" w:eastAsiaTheme="minorEastAsia"/>
          <w:sz w:val="24"/>
          <w:u w:val="single"/>
        </w:rPr>
        <w:t>高</w:t>
      </w:r>
      <w:r>
        <w:rPr>
          <w:rFonts w:eastAsiaTheme="minorEastAsia"/>
          <w:sz w:val="24"/>
          <w:u w:val="single"/>
        </w:rPr>
        <w:t>老师</w:t>
      </w:r>
      <w:r>
        <w:rPr>
          <w:rFonts w:hint="eastAsia" w:eastAsiaTheme="minorEastAsia"/>
          <w:sz w:val="24"/>
          <w:u w:val="single"/>
        </w:rPr>
        <w:t>，</w:t>
      </w:r>
      <w:r>
        <w:rPr>
          <w:rFonts w:eastAsiaTheme="minorEastAsia"/>
          <w:sz w:val="24"/>
          <w:u w:val="single"/>
        </w:rPr>
        <w:t>010-69719442</w:t>
      </w:r>
    </w:p>
    <w:p w14:paraId="7ED7562A">
      <w:pPr>
        <w:spacing w:line="360" w:lineRule="auto"/>
        <w:ind w:left="1078" w:leftChars="371" w:hanging="299" w:hangingChars="124"/>
        <w:jc w:val="left"/>
        <w:rPr>
          <w:rFonts w:eastAsiaTheme="minorEastAsia"/>
          <w:b/>
          <w:sz w:val="24"/>
        </w:rPr>
      </w:pPr>
      <w:r>
        <w:rPr>
          <w:rFonts w:eastAsiaTheme="minorEastAsia"/>
          <w:b/>
          <w:sz w:val="24"/>
        </w:rPr>
        <w:t>2.采购代理机构信息</w:t>
      </w:r>
      <w:bookmarkEnd w:id="39"/>
      <w:bookmarkEnd w:id="40"/>
    </w:p>
    <w:p w14:paraId="26118F15">
      <w:pPr>
        <w:spacing w:line="360" w:lineRule="auto"/>
        <w:ind w:left="1076" w:leftChars="371" w:hanging="297" w:hangingChars="124"/>
        <w:jc w:val="left"/>
        <w:rPr>
          <w:rFonts w:eastAsiaTheme="minorEastAsia"/>
          <w:sz w:val="24"/>
        </w:rPr>
      </w:pPr>
      <w:bookmarkStart w:id="41" w:name="_Toc28359087"/>
      <w:bookmarkStart w:id="42" w:name="_Toc28359010"/>
      <w:r>
        <w:rPr>
          <w:rFonts w:eastAsiaTheme="minorEastAsia"/>
          <w:sz w:val="24"/>
        </w:rPr>
        <w:t>名    称：</w:t>
      </w:r>
      <w:r>
        <w:rPr>
          <w:rFonts w:hint="eastAsia" w:eastAsiaTheme="minorEastAsia"/>
          <w:sz w:val="24"/>
          <w:u w:val="single"/>
        </w:rPr>
        <w:t>北京博审千询工程咨询有限公司</w:t>
      </w:r>
    </w:p>
    <w:p w14:paraId="0AAADBFE">
      <w:pPr>
        <w:spacing w:line="360" w:lineRule="auto"/>
        <w:ind w:left="1076" w:leftChars="371" w:hanging="297" w:hangingChars="124"/>
        <w:jc w:val="left"/>
        <w:rPr>
          <w:rFonts w:eastAsiaTheme="minorEastAsia"/>
          <w:sz w:val="24"/>
        </w:rPr>
      </w:pPr>
      <w:r>
        <w:rPr>
          <w:rFonts w:eastAsiaTheme="minorEastAsia"/>
          <w:sz w:val="24"/>
        </w:rPr>
        <w:t>地    址：</w:t>
      </w:r>
      <w:r>
        <w:rPr>
          <w:rFonts w:hint="eastAsia" w:eastAsiaTheme="minorEastAsia"/>
          <w:sz w:val="24"/>
          <w:u w:val="single"/>
        </w:rPr>
        <w:t>北京市西城区广安门南滨河路27号贵都国际中心A座501</w:t>
      </w:r>
    </w:p>
    <w:p w14:paraId="57C65E10">
      <w:pPr>
        <w:spacing w:line="360" w:lineRule="auto"/>
        <w:ind w:left="1076" w:leftChars="371" w:hanging="297" w:hangingChars="124"/>
        <w:jc w:val="left"/>
        <w:rPr>
          <w:rFonts w:eastAsiaTheme="minorEastAsia"/>
          <w:sz w:val="24"/>
          <w:u w:val="single"/>
        </w:rPr>
      </w:pPr>
      <w:r>
        <w:rPr>
          <w:rFonts w:eastAsiaTheme="minorEastAsia"/>
          <w:sz w:val="24"/>
        </w:rPr>
        <w:t>联系方式：</w:t>
      </w:r>
      <w:r>
        <w:rPr>
          <w:rFonts w:hint="eastAsia" w:eastAsiaTheme="minorEastAsia"/>
          <w:sz w:val="24"/>
          <w:u w:val="single"/>
        </w:rPr>
        <w:t>王工，010-53397765</w:t>
      </w:r>
    </w:p>
    <w:p w14:paraId="70136DE4">
      <w:pPr>
        <w:spacing w:line="360" w:lineRule="auto"/>
        <w:ind w:left="1078" w:leftChars="371" w:hanging="299" w:hangingChars="124"/>
        <w:rPr>
          <w:rFonts w:eastAsiaTheme="minorEastAsia"/>
          <w:b/>
          <w:sz w:val="24"/>
          <w:u w:val="single"/>
        </w:rPr>
      </w:pPr>
      <w:r>
        <w:rPr>
          <w:rFonts w:eastAsiaTheme="minorEastAsia"/>
          <w:b/>
          <w:sz w:val="24"/>
        </w:rPr>
        <w:t>3.项目联系方式</w:t>
      </w:r>
      <w:bookmarkEnd w:id="41"/>
      <w:bookmarkEnd w:id="42"/>
    </w:p>
    <w:p w14:paraId="346BBB1D">
      <w:pPr>
        <w:pStyle w:val="25"/>
        <w:spacing w:line="360" w:lineRule="auto"/>
        <w:ind w:left="1076" w:leftChars="371" w:hanging="297" w:hangingChars="124"/>
        <w:rPr>
          <w:rFonts w:hint="default" w:ascii="Times New Roman" w:hAnsi="Times New Roman" w:eastAsiaTheme="minorEastAsia"/>
          <w:sz w:val="24"/>
          <w:u w:val="single"/>
          <w:lang w:bidi="ar"/>
        </w:rPr>
      </w:pPr>
      <w:r>
        <w:rPr>
          <w:rFonts w:hint="default" w:ascii="Times New Roman" w:hAnsi="Times New Roman" w:eastAsiaTheme="minorEastAsia"/>
          <w:sz w:val="24"/>
          <w:szCs w:val="24"/>
        </w:rPr>
        <w:t>项目联系人：</w:t>
      </w:r>
      <w:r>
        <w:rPr>
          <w:rFonts w:eastAsiaTheme="minorEastAsia"/>
          <w:sz w:val="24"/>
          <w:u w:val="single"/>
        </w:rPr>
        <w:t>王工</w:t>
      </w:r>
    </w:p>
    <w:p w14:paraId="23F627F8">
      <w:pPr>
        <w:pStyle w:val="25"/>
        <w:spacing w:line="360" w:lineRule="auto"/>
        <w:ind w:left="1076" w:leftChars="371" w:hanging="297" w:hangingChars="124"/>
        <w:rPr>
          <w:rFonts w:hint="default" w:ascii="Times New Roman" w:hAnsi="Times New Roman" w:eastAsiaTheme="minorEastAsia"/>
          <w:sz w:val="24"/>
          <w:szCs w:val="24"/>
        </w:rPr>
      </w:pPr>
      <w:r>
        <w:rPr>
          <w:rFonts w:hint="default" w:ascii="Times New Roman" w:hAnsi="Times New Roman" w:eastAsiaTheme="minorEastAsia"/>
          <w:sz w:val="24"/>
        </w:rPr>
        <w:t>电      话：</w:t>
      </w:r>
      <w:r>
        <w:rPr>
          <w:rFonts w:ascii="Times New Roman" w:hAnsi="Times New Roman" w:eastAsiaTheme="minorEastAsia"/>
          <w:sz w:val="24"/>
          <w:u w:val="single"/>
        </w:rPr>
        <w:t>010-53397765</w:t>
      </w:r>
      <w:r>
        <w:rPr>
          <w:rFonts w:hint="default" w:ascii="Times New Roman" w:hAnsi="Times New Roman" w:eastAsiaTheme="minorEastAsia"/>
          <w:sz w:val="24"/>
          <w:szCs w:val="24"/>
        </w:rPr>
        <w:t xml:space="preserve"> </w:t>
      </w:r>
    </w:p>
    <w:p w14:paraId="3568262B">
      <w:pPr>
        <w:spacing w:line="360" w:lineRule="auto"/>
        <w:ind w:firstLine="5880" w:firstLineChars="2450"/>
        <w:jc w:val="right"/>
        <w:rPr>
          <w:rFonts w:eastAsiaTheme="minorEastAsia"/>
          <w:sz w:val="24"/>
        </w:rPr>
      </w:pPr>
    </w:p>
    <w:p w14:paraId="778D07A0">
      <w:pPr>
        <w:spacing w:line="360" w:lineRule="auto"/>
        <w:jc w:val="center"/>
        <w:outlineLvl w:val="0"/>
        <w:rPr>
          <w:rFonts w:eastAsiaTheme="minorEastAsia"/>
          <w:b/>
          <w:sz w:val="32"/>
          <w:szCs w:val="32"/>
        </w:rPr>
      </w:pPr>
      <w:r>
        <w:rPr>
          <w:rFonts w:eastAsiaTheme="minorEastAsia"/>
          <w:sz w:val="24"/>
        </w:rPr>
        <w:br w:type="page"/>
      </w:r>
      <w:bookmarkStart w:id="43" w:name="_Toc97371942"/>
      <w:bookmarkStart w:id="44" w:name="_Toc195842950"/>
      <w:bookmarkStart w:id="45" w:name="_Toc353873938"/>
      <w:bookmarkStart w:id="46" w:name="_Toc226965856"/>
      <w:bookmarkStart w:id="47" w:name="_Toc305158854"/>
      <w:bookmarkStart w:id="48" w:name="_Toc265228423"/>
      <w:bookmarkStart w:id="49" w:name="_Toc305158928"/>
      <w:bookmarkStart w:id="50" w:name="_Toc127151777"/>
      <w:bookmarkStart w:id="51" w:name="_Toc150774783"/>
      <w:bookmarkStart w:id="52" w:name="_Toc512937850"/>
      <w:bookmarkStart w:id="53" w:name="_Toc127161488"/>
      <w:bookmarkStart w:id="54" w:name="_Toc264969275"/>
      <w:bookmarkStart w:id="55" w:name="_Toc353825548"/>
      <w:r>
        <w:rPr>
          <w:rFonts w:eastAsiaTheme="minorEastAsia"/>
          <w:b/>
          <w:sz w:val="36"/>
          <w:szCs w:val="36"/>
        </w:rPr>
        <w:t>第二章   供应商须知</w:t>
      </w:r>
      <w:bookmarkEnd w:id="43"/>
      <w:bookmarkEnd w:id="44"/>
      <w:bookmarkEnd w:id="45"/>
      <w:bookmarkEnd w:id="46"/>
      <w:bookmarkEnd w:id="47"/>
      <w:bookmarkEnd w:id="48"/>
      <w:bookmarkEnd w:id="49"/>
      <w:bookmarkEnd w:id="50"/>
      <w:bookmarkEnd w:id="51"/>
      <w:bookmarkEnd w:id="52"/>
      <w:bookmarkEnd w:id="53"/>
      <w:bookmarkEnd w:id="54"/>
      <w:bookmarkEnd w:id="55"/>
    </w:p>
    <w:p w14:paraId="786A7451">
      <w:pPr>
        <w:pStyle w:val="3"/>
        <w:tabs>
          <w:tab w:val="center" w:pos="4592"/>
          <w:tab w:val="left" w:pos="7860"/>
        </w:tabs>
        <w:spacing w:before="0" w:line="360" w:lineRule="auto"/>
        <w:rPr>
          <w:rFonts w:ascii="Times New Roman" w:hAnsi="Times New Roman" w:eastAsiaTheme="minorEastAsia"/>
          <w:b w:val="0"/>
          <w:sz w:val="28"/>
        </w:rPr>
      </w:pPr>
      <w:bookmarkStart w:id="56" w:name="_Toc164351613"/>
      <w:bookmarkStart w:id="57" w:name="_Toc127151519"/>
      <w:bookmarkStart w:id="58" w:name="_Toc150509270"/>
      <w:bookmarkStart w:id="59" w:name="_Toc520356144"/>
      <w:bookmarkStart w:id="60" w:name="_Toc164229214"/>
      <w:bookmarkStart w:id="61" w:name="_Toc164608788"/>
      <w:bookmarkStart w:id="62" w:name="_Toc150774724"/>
      <w:bookmarkStart w:id="63" w:name="_Toc151193833"/>
      <w:bookmarkStart w:id="64" w:name="_Toc151193907"/>
      <w:bookmarkStart w:id="65" w:name="_Toc195842884"/>
      <w:bookmarkStart w:id="66" w:name="_Toc127161433"/>
      <w:bookmarkStart w:id="67" w:name="_Toc127151720"/>
      <w:bookmarkStart w:id="68" w:name="_Toc151193761"/>
      <w:bookmarkStart w:id="69" w:name="_Toc164229360"/>
      <w:bookmarkStart w:id="70" w:name="_Toc226337215"/>
      <w:bookmarkStart w:id="71" w:name="_Toc142311021"/>
      <w:bookmarkStart w:id="72" w:name="_Toc226309763"/>
      <w:bookmarkStart w:id="73" w:name="_Toc164608633"/>
      <w:bookmarkStart w:id="74" w:name="_Toc151193617"/>
      <w:bookmarkStart w:id="75" w:name="_Toc150480757"/>
      <w:bookmarkStart w:id="76" w:name="_Toc149720812"/>
      <w:bookmarkStart w:id="77" w:name="_Toc151190146"/>
      <w:bookmarkStart w:id="78" w:name="_Toc226965709"/>
      <w:bookmarkStart w:id="79" w:name="_Toc150774619"/>
      <w:bookmarkStart w:id="80" w:name="_Toc151193689"/>
      <w:bookmarkStart w:id="81" w:name="_Toc226965792"/>
      <w:r>
        <w:rPr>
          <w:rFonts w:ascii="Times New Roman" w:hAnsi="Times New Roman" w:eastAsiaTheme="minorEastAsia"/>
          <w:sz w:val="28"/>
        </w:rPr>
        <w:t>供应商须知资料表</w:t>
      </w:r>
    </w:p>
    <w:p w14:paraId="26FD368C">
      <w:pPr>
        <w:jc w:val="center"/>
        <w:rPr>
          <w:rFonts w:eastAsiaTheme="minorEastAsia"/>
          <w:b/>
          <w:sz w:val="28"/>
          <w:szCs w:val="28"/>
        </w:rPr>
      </w:pPr>
    </w:p>
    <w:p w14:paraId="5B225AB8">
      <w:pPr>
        <w:spacing w:line="360" w:lineRule="auto"/>
        <w:ind w:firstLine="480"/>
        <w:rPr>
          <w:rFonts w:eastAsiaTheme="minorEastAsia"/>
          <w:sz w:val="24"/>
        </w:rPr>
      </w:pPr>
      <w:r>
        <w:rPr>
          <w:rFonts w:eastAsiaTheme="minorEastAsia"/>
          <w:sz w:val="24"/>
        </w:rPr>
        <w:t>本表是对供应商须知的具体补充和修改，如有矛盾，均以本资料表为准。</w:t>
      </w:r>
    </w:p>
    <w:tbl>
      <w:tblPr>
        <w:tblStyle w:val="49"/>
        <w:tblW w:w="10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93"/>
      </w:tblGrid>
      <w:tr w14:paraId="126C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4FFF3815">
            <w:pPr>
              <w:jc w:val="center"/>
              <w:rPr>
                <w:rFonts w:eastAsiaTheme="minorEastAsia"/>
                <w:b/>
                <w:bCs/>
                <w:sz w:val="24"/>
              </w:rPr>
            </w:pPr>
            <w:r>
              <w:rPr>
                <w:rFonts w:eastAsiaTheme="minorEastAsia"/>
                <w:b/>
                <w:sz w:val="24"/>
              </w:rPr>
              <w:t>条款号</w:t>
            </w:r>
          </w:p>
        </w:tc>
        <w:tc>
          <w:tcPr>
            <w:tcW w:w="1701" w:type="dxa"/>
            <w:vAlign w:val="center"/>
          </w:tcPr>
          <w:p w14:paraId="0D176568">
            <w:pPr>
              <w:jc w:val="center"/>
              <w:rPr>
                <w:rFonts w:eastAsiaTheme="minorEastAsia"/>
                <w:b/>
                <w:bCs/>
                <w:sz w:val="24"/>
              </w:rPr>
            </w:pPr>
            <w:r>
              <w:rPr>
                <w:rFonts w:eastAsiaTheme="minorEastAsia"/>
                <w:b/>
                <w:bCs/>
                <w:sz w:val="24"/>
              </w:rPr>
              <w:t>条目</w:t>
            </w:r>
          </w:p>
        </w:tc>
        <w:tc>
          <w:tcPr>
            <w:tcW w:w="7593" w:type="dxa"/>
            <w:vAlign w:val="center"/>
          </w:tcPr>
          <w:p w14:paraId="559A1036">
            <w:pPr>
              <w:jc w:val="center"/>
              <w:rPr>
                <w:rFonts w:eastAsiaTheme="minorEastAsia"/>
                <w:b/>
                <w:bCs/>
                <w:sz w:val="24"/>
              </w:rPr>
            </w:pPr>
            <w:r>
              <w:rPr>
                <w:rFonts w:eastAsiaTheme="minorEastAsia"/>
                <w:b/>
                <w:bCs/>
                <w:sz w:val="24"/>
              </w:rPr>
              <w:t>内容</w:t>
            </w:r>
          </w:p>
        </w:tc>
      </w:tr>
      <w:tr w14:paraId="1A3B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151F6A8">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2.2</w:t>
            </w:r>
          </w:p>
        </w:tc>
        <w:tc>
          <w:tcPr>
            <w:tcW w:w="1701" w:type="dxa"/>
            <w:vAlign w:val="center"/>
          </w:tcPr>
          <w:p w14:paraId="70707A4C">
            <w:pPr>
              <w:jc w:val="center"/>
              <w:rPr>
                <w:rFonts w:eastAsiaTheme="minorEastAsia"/>
                <w:sz w:val="24"/>
              </w:rPr>
            </w:pPr>
            <w:r>
              <w:rPr>
                <w:rFonts w:eastAsiaTheme="minorEastAsia"/>
                <w:sz w:val="24"/>
              </w:rPr>
              <w:t>项目属性</w:t>
            </w:r>
          </w:p>
        </w:tc>
        <w:tc>
          <w:tcPr>
            <w:tcW w:w="7593" w:type="dxa"/>
            <w:vAlign w:val="center"/>
          </w:tcPr>
          <w:p w14:paraId="2610ABC6">
            <w:pPr>
              <w:spacing w:line="276" w:lineRule="auto"/>
              <w:jc w:val="left"/>
              <w:rPr>
                <w:rFonts w:eastAsiaTheme="minorEastAsia"/>
                <w:sz w:val="24"/>
              </w:rPr>
            </w:pPr>
            <w:r>
              <w:rPr>
                <w:rFonts w:eastAsiaTheme="minorEastAsia"/>
                <w:sz w:val="24"/>
              </w:rPr>
              <w:t>项目属性：</w:t>
            </w:r>
          </w:p>
          <w:p w14:paraId="689A8FA3">
            <w:pPr>
              <w:spacing w:line="276" w:lineRule="auto"/>
              <w:jc w:val="left"/>
              <w:rPr>
                <w:rFonts w:eastAsiaTheme="minorEastAsia"/>
                <w:sz w:val="24"/>
              </w:rPr>
            </w:pPr>
            <w:r>
              <w:rPr>
                <w:rFonts w:eastAsiaTheme="minorEastAsia"/>
              </w:rPr>
              <w:t>□</w:t>
            </w:r>
            <w:r>
              <w:rPr>
                <w:rFonts w:eastAsiaTheme="minorEastAsia"/>
                <w:sz w:val="24"/>
              </w:rPr>
              <w:t>服务</w:t>
            </w:r>
          </w:p>
          <w:p w14:paraId="0C854FB6">
            <w:pPr>
              <w:spacing w:line="276" w:lineRule="auto"/>
              <w:jc w:val="left"/>
              <w:rPr>
                <w:rFonts w:eastAsiaTheme="minorEastAsia"/>
                <w:sz w:val="24"/>
              </w:rPr>
            </w:pPr>
            <w:r>
              <w:rPr>
                <w:rFonts w:eastAsiaTheme="minorEastAsia"/>
              </w:rPr>
              <w:t>□</w:t>
            </w:r>
            <w:r>
              <w:rPr>
                <w:rFonts w:eastAsiaTheme="minorEastAsia"/>
                <w:sz w:val="24"/>
              </w:rPr>
              <w:t>货物</w:t>
            </w:r>
          </w:p>
          <w:p w14:paraId="714FB761">
            <w:pPr>
              <w:spacing w:line="276" w:lineRule="auto"/>
              <w:jc w:val="left"/>
              <w:rPr>
                <w:rFonts w:eastAsiaTheme="minorEastAsia"/>
                <w:sz w:val="24"/>
              </w:rPr>
            </w:pPr>
            <w:r>
              <w:rPr>
                <w:rFonts w:eastAsiaTheme="minorEastAsia"/>
              </w:rPr>
              <w:t>■</w:t>
            </w:r>
            <w:r>
              <w:rPr>
                <w:sz w:val="24"/>
              </w:rPr>
              <w:t>工程</w:t>
            </w:r>
          </w:p>
        </w:tc>
      </w:tr>
      <w:tr w14:paraId="295A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4D2D89F">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w:t>
            </w:r>
          </w:p>
        </w:tc>
        <w:tc>
          <w:tcPr>
            <w:tcW w:w="1701" w:type="dxa"/>
            <w:vAlign w:val="center"/>
          </w:tcPr>
          <w:p w14:paraId="07CD3783">
            <w:pPr>
              <w:jc w:val="center"/>
              <w:rPr>
                <w:rFonts w:eastAsiaTheme="minorEastAsia"/>
                <w:sz w:val="24"/>
              </w:rPr>
            </w:pPr>
            <w:r>
              <w:rPr>
                <w:rFonts w:eastAsiaTheme="minorEastAsia"/>
                <w:sz w:val="24"/>
              </w:rPr>
              <w:t>科研仪器设备</w:t>
            </w:r>
          </w:p>
        </w:tc>
        <w:tc>
          <w:tcPr>
            <w:tcW w:w="7593" w:type="dxa"/>
            <w:vAlign w:val="center"/>
          </w:tcPr>
          <w:p w14:paraId="66D757B5">
            <w:pPr>
              <w:spacing w:line="276" w:lineRule="auto"/>
              <w:jc w:val="left"/>
              <w:rPr>
                <w:rFonts w:eastAsiaTheme="minorEastAsia"/>
                <w:sz w:val="24"/>
              </w:rPr>
            </w:pPr>
            <w:r>
              <w:rPr>
                <w:rFonts w:eastAsiaTheme="minorEastAsia"/>
                <w:sz w:val="24"/>
              </w:rPr>
              <w:t>是否属于科研仪器设备采购项目：</w:t>
            </w:r>
          </w:p>
          <w:p w14:paraId="6E4CA0A7">
            <w:pPr>
              <w:spacing w:line="276" w:lineRule="auto"/>
              <w:jc w:val="left"/>
              <w:rPr>
                <w:rFonts w:eastAsiaTheme="minorEastAsia"/>
                <w:sz w:val="24"/>
              </w:rPr>
            </w:pPr>
            <w:r>
              <w:rPr>
                <w:rFonts w:eastAsiaTheme="minorEastAsia"/>
              </w:rPr>
              <w:t>□</w:t>
            </w:r>
            <w:r>
              <w:rPr>
                <w:rFonts w:eastAsiaTheme="minorEastAsia"/>
                <w:sz w:val="24"/>
              </w:rPr>
              <w:t>是</w:t>
            </w:r>
          </w:p>
          <w:p w14:paraId="0CBC2813">
            <w:pPr>
              <w:spacing w:line="276" w:lineRule="auto"/>
              <w:jc w:val="left"/>
              <w:rPr>
                <w:rFonts w:eastAsiaTheme="minorEastAsia"/>
                <w:sz w:val="24"/>
              </w:rPr>
            </w:pPr>
            <w:r>
              <w:rPr>
                <w:rFonts w:eastAsiaTheme="minorEastAsia"/>
              </w:rPr>
              <w:t>■</w:t>
            </w:r>
            <w:r>
              <w:rPr>
                <w:rFonts w:eastAsiaTheme="minorEastAsia"/>
                <w:sz w:val="24"/>
              </w:rPr>
              <w:t>否</w:t>
            </w:r>
          </w:p>
        </w:tc>
      </w:tr>
      <w:tr w14:paraId="4B3A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7E0C3315">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3.1</w:t>
            </w:r>
          </w:p>
        </w:tc>
        <w:tc>
          <w:tcPr>
            <w:tcW w:w="1701" w:type="dxa"/>
            <w:vAlign w:val="center"/>
          </w:tcPr>
          <w:p w14:paraId="3510A317">
            <w:pPr>
              <w:jc w:val="center"/>
              <w:rPr>
                <w:rFonts w:eastAsiaTheme="minorEastAsia"/>
                <w:sz w:val="24"/>
              </w:rPr>
            </w:pPr>
            <w:r>
              <w:rPr>
                <w:rFonts w:eastAsiaTheme="minorEastAsia"/>
                <w:sz w:val="24"/>
              </w:rPr>
              <w:t>现场考察</w:t>
            </w:r>
          </w:p>
        </w:tc>
        <w:tc>
          <w:tcPr>
            <w:tcW w:w="7593" w:type="dxa"/>
            <w:vAlign w:val="center"/>
          </w:tcPr>
          <w:p w14:paraId="5A4D89F0">
            <w:pPr>
              <w:spacing w:line="276" w:lineRule="auto"/>
              <w:jc w:val="left"/>
              <w:rPr>
                <w:rFonts w:eastAsiaTheme="minorEastAsia"/>
                <w:sz w:val="24"/>
              </w:rPr>
            </w:pPr>
            <w:r>
              <w:rPr>
                <w:rFonts w:eastAsiaTheme="minorEastAsia"/>
              </w:rPr>
              <w:t>■</w:t>
            </w:r>
            <w:r>
              <w:rPr>
                <w:rFonts w:eastAsiaTheme="minorEastAsia"/>
                <w:sz w:val="24"/>
              </w:rPr>
              <w:t>不组织</w:t>
            </w:r>
          </w:p>
          <w:p w14:paraId="6BB19B32">
            <w:pPr>
              <w:spacing w:line="276" w:lineRule="auto"/>
              <w:jc w:val="left"/>
              <w:rPr>
                <w:rFonts w:eastAsiaTheme="minorEastAsia"/>
                <w:bCs/>
                <w:sz w:val="24"/>
              </w:rPr>
            </w:pPr>
            <w:r>
              <w:rPr>
                <w:rFonts w:eastAsiaTheme="minorEastAsia"/>
              </w:rPr>
              <w:t>□</w:t>
            </w:r>
            <w:r>
              <w:rPr>
                <w:rFonts w:eastAsiaTheme="minorEastAsia"/>
                <w:sz w:val="24"/>
              </w:rPr>
              <w:t>组织，考察时间：___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179BB34B">
            <w:pPr>
              <w:pStyle w:val="25"/>
              <w:adjustRightInd w:val="0"/>
              <w:snapToGrid w:val="0"/>
              <w:spacing w:line="276" w:lineRule="auto"/>
              <w:rPr>
                <w:rFonts w:hint="default" w:ascii="Times New Roman" w:hAnsi="Times New Roman" w:eastAsiaTheme="minorEastAsia"/>
                <w:sz w:val="24"/>
              </w:rPr>
            </w:pPr>
            <w:r>
              <w:rPr>
                <w:rFonts w:hint="default" w:ascii="Times New Roman" w:hAnsi="Times New Roman" w:eastAsiaTheme="minorEastAsia"/>
                <w:sz w:val="24"/>
              </w:rPr>
              <w:t>考察地点：___________。</w:t>
            </w:r>
          </w:p>
        </w:tc>
      </w:tr>
      <w:tr w14:paraId="0CDD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0D341F9A">
            <w:pPr>
              <w:pStyle w:val="25"/>
              <w:adjustRightInd w:val="0"/>
              <w:snapToGrid w:val="0"/>
              <w:jc w:val="center"/>
              <w:rPr>
                <w:rFonts w:hint="default" w:ascii="Times New Roman" w:hAnsi="Times New Roman" w:eastAsiaTheme="minorEastAsia"/>
                <w:sz w:val="24"/>
                <w:szCs w:val="24"/>
              </w:rPr>
            </w:pPr>
          </w:p>
        </w:tc>
        <w:tc>
          <w:tcPr>
            <w:tcW w:w="1701" w:type="dxa"/>
            <w:vAlign w:val="center"/>
          </w:tcPr>
          <w:p w14:paraId="23AD11C4">
            <w:pPr>
              <w:jc w:val="center"/>
              <w:rPr>
                <w:rFonts w:eastAsiaTheme="minorEastAsia"/>
                <w:sz w:val="24"/>
              </w:rPr>
            </w:pPr>
            <w:r>
              <w:rPr>
                <w:rFonts w:eastAsiaTheme="minorEastAsia"/>
                <w:sz w:val="24"/>
              </w:rPr>
              <w:t>磋商前答疑会</w:t>
            </w:r>
          </w:p>
        </w:tc>
        <w:tc>
          <w:tcPr>
            <w:tcW w:w="7593" w:type="dxa"/>
            <w:vAlign w:val="center"/>
          </w:tcPr>
          <w:p w14:paraId="418F563C">
            <w:pPr>
              <w:spacing w:line="276" w:lineRule="auto"/>
              <w:jc w:val="left"/>
              <w:rPr>
                <w:rFonts w:eastAsiaTheme="minorEastAsia"/>
                <w:sz w:val="24"/>
              </w:rPr>
            </w:pPr>
            <w:bookmarkStart w:id="82" w:name="OLE_LINK58"/>
            <w:r>
              <w:rPr>
                <w:rFonts w:eastAsiaTheme="minorEastAsia"/>
              </w:rPr>
              <w:t>■</w:t>
            </w:r>
            <w:bookmarkEnd w:id="82"/>
            <w:r>
              <w:rPr>
                <w:rFonts w:eastAsiaTheme="minorEastAsia"/>
                <w:sz w:val="24"/>
              </w:rPr>
              <w:t>不召开</w:t>
            </w:r>
          </w:p>
          <w:p w14:paraId="32EC00F5">
            <w:pPr>
              <w:spacing w:line="276" w:lineRule="auto"/>
              <w:jc w:val="left"/>
              <w:rPr>
                <w:rFonts w:eastAsiaTheme="minorEastAsia"/>
                <w:sz w:val="24"/>
              </w:rPr>
            </w:pPr>
            <w:r>
              <w:rPr>
                <w:rFonts w:eastAsiaTheme="minorEastAsia"/>
              </w:rPr>
              <w:t>□</w:t>
            </w:r>
            <w:r>
              <w:rPr>
                <w:rFonts w:eastAsiaTheme="minorEastAsia"/>
                <w:sz w:val="24"/>
              </w:rPr>
              <w:t>召开，召开时间：___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22ED8395">
            <w:pPr>
              <w:spacing w:line="276" w:lineRule="auto"/>
              <w:jc w:val="left"/>
              <w:rPr>
                <w:rFonts w:eastAsiaTheme="minorEastAsia"/>
                <w:sz w:val="24"/>
              </w:rPr>
            </w:pPr>
            <w:r>
              <w:rPr>
                <w:rFonts w:eastAsiaTheme="minorEastAsia"/>
                <w:sz w:val="24"/>
              </w:rPr>
              <w:t>召开地点：___________。</w:t>
            </w:r>
          </w:p>
        </w:tc>
      </w:tr>
      <w:tr w14:paraId="3D99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30C387D2">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4.3.5</w:t>
            </w:r>
          </w:p>
        </w:tc>
        <w:tc>
          <w:tcPr>
            <w:tcW w:w="1701" w:type="dxa"/>
            <w:vAlign w:val="center"/>
          </w:tcPr>
          <w:p w14:paraId="583E5BEE">
            <w:pPr>
              <w:jc w:val="center"/>
              <w:rPr>
                <w:rFonts w:eastAsiaTheme="minorEastAsia"/>
                <w:sz w:val="24"/>
              </w:rPr>
            </w:pPr>
            <w:r>
              <w:rPr>
                <w:rFonts w:eastAsiaTheme="minorEastAsia"/>
                <w:sz w:val="24"/>
              </w:rPr>
              <w:t>标的所属行业</w:t>
            </w:r>
          </w:p>
        </w:tc>
        <w:tc>
          <w:tcPr>
            <w:tcW w:w="7593" w:type="dxa"/>
            <w:vAlign w:val="center"/>
          </w:tcPr>
          <w:p w14:paraId="6B598EBA">
            <w:pPr>
              <w:spacing w:line="276" w:lineRule="auto"/>
              <w:jc w:val="left"/>
              <w:rPr>
                <w:rFonts w:eastAsiaTheme="minorEastAsia"/>
                <w:sz w:val="24"/>
              </w:rPr>
            </w:pPr>
            <w:r>
              <w:rPr>
                <w:rFonts w:eastAsiaTheme="minorEastAsia"/>
                <w:sz w:val="24"/>
              </w:rPr>
              <w:t>本项目采购标的对应的中小企业划分标准所属行业：</w:t>
            </w:r>
          </w:p>
          <w:tbl>
            <w:tblPr>
              <w:tblStyle w:val="49"/>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4031"/>
              <w:gridCol w:w="2050"/>
            </w:tblGrid>
            <w:tr w14:paraId="70CC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pct"/>
                  <w:tcBorders>
                    <w:top w:val="single" w:color="auto" w:sz="4" w:space="0"/>
                    <w:left w:val="single" w:color="auto" w:sz="4" w:space="0"/>
                    <w:bottom w:val="single" w:color="auto" w:sz="4" w:space="0"/>
                    <w:right w:val="single" w:color="auto" w:sz="4" w:space="0"/>
                  </w:tcBorders>
                  <w:vAlign w:val="center"/>
                </w:tcPr>
                <w:p w14:paraId="65C56A88">
                  <w:pPr>
                    <w:spacing w:line="276" w:lineRule="auto"/>
                    <w:jc w:val="center"/>
                    <w:rPr>
                      <w:rFonts w:eastAsiaTheme="minorEastAsia"/>
                      <w:bCs/>
                      <w:sz w:val="24"/>
                    </w:rPr>
                  </w:pPr>
                  <w:r>
                    <w:rPr>
                      <w:rFonts w:eastAsiaTheme="minorEastAsia"/>
                      <w:bCs/>
                      <w:sz w:val="24"/>
                    </w:rPr>
                    <w:t>包号</w:t>
                  </w:r>
                </w:p>
              </w:tc>
              <w:tc>
                <w:tcPr>
                  <w:tcW w:w="2942" w:type="pct"/>
                  <w:tcBorders>
                    <w:top w:val="single" w:color="auto" w:sz="4" w:space="0"/>
                    <w:left w:val="single" w:color="auto" w:sz="4" w:space="0"/>
                    <w:bottom w:val="single" w:color="auto" w:sz="4" w:space="0"/>
                    <w:right w:val="single" w:color="auto" w:sz="4" w:space="0"/>
                  </w:tcBorders>
                  <w:vAlign w:val="center"/>
                </w:tcPr>
                <w:p w14:paraId="6194D213">
                  <w:pPr>
                    <w:spacing w:line="276" w:lineRule="auto"/>
                    <w:jc w:val="center"/>
                    <w:rPr>
                      <w:rFonts w:eastAsiaTheme="minorEastAsia"/>
                      <w:bCs/>
                      <w:sz w:val="24"/>
                    </w:rPr>
                  </w:pPr>
                  <w:r>
                    <w:rPr>
                      <w:rFonts w:eastAsiaTheme="minorEastAsia"/>
                      <w:bCs/>
                      <w:sz w:val="24"/>
                    </w:rPr>
                    <w:t>标的名称</w:t>
                  </w:r>
                </w:p>
              </w:tc>
              <w:tc>
                <w:tcPr>
                  <w:tcW w:w="1497" w:type="pct"/>
                  <w:tcBorders>
                    <w:top w:val="single" w:color="auto" w:sz="4" w:space="0"/>
                    <w:left w:val="single" w:color="auto" w:sz="4" w:space="0"/>
                    <w:bottom w:val="single" w:color="auto" w:sz="4" w:space="0"/>
                    <w:right w:val="single" w:color="auto" w:sz="4" w:space="0"/>
                  </w:tcBorders>
                  <w:vAlign w:val="center"/>
                </w:tcPr>
                <w:p w14:paraId="254C079C">
                  <w:pPr>
                    <w:spacing w:line="276" w:lineRule="auto"/>
                    <w:jc w:val="center"/>
                    <w:rPr>
                      <w:rFonts w:eastAsiaTheme="minorEastAsia"/>
                      <w:sz w:val="24"/>
                    </w:rPr>
                  </w:pPr>
                  <w:r>
                    <w:rPr>
                      <w:rFonts w:eastAsiaTheme="minorEastAsia"/>
                      <w:sz w:val="24"/>
                    </w:rPr>
                    <w:t>中小企业划分标准所属行业</w:t>
                  </w:r>
                </w:p>
              </w:tc>
            </w:tr>
            <w:tr w14:paraId="17F0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2" w:type="pct"/>
                  <w:tcBorders>
                    <w:top w:val="single" w:color="auto" w:sz="4" w:space="0"/>
                    <w:left w:val="single" w:color="auto" w:sz="4" w:space="0"/>
                    <w:bottom w:val="single" w:color="auto" w:sz="4" w:space="0"/>
                    <w:right w:val="single" w:color="auto" w:sz="4" w:space="0"/>
                  </w:tcBorders>
                  <w:vAlign w:val="center"/>
                </w:tcPr>
                <w:p w14:paraId="75BA3E32">
                  <w:pPr>
                    <w:spacing w:line="276" w:lineRule="auto"/>
                    <w:jc w:val="center"/>
                    <w:rPr>
                      <w:rFonts w:eastAsiaTheme="minorEastAsia"/>
                      <w:bCs/>
                      <w:sz w:val="24"/>
                    </w:rPr>
                  </w:pPr>
                  <w:r>
                    <w:rPr>
                      <w:rFonts w:hint="eastAsia" w:eastAsiaTheme="minorEastAsia"/>
                      <w:bCs/>
                      <w:sz w:val="24"/>
                    </w:rPr>
                    <w:t>1</w:t>
                  </w:r>
                </w:p>
              </w:tc>
              <w:tc>
                <w:tcPr>
                  <w:tcW w:w="2942" w:type="pct"/>
                  <w:tcBorders>
                    <w:top w:val="single" w:color="auto" w:sz="4" w:space="0"/>
                    <w:left w:val="single" w:color="auto" w:sz="4" w:space="0"/>
                    <w:bottom w:val="single" w:color="auto" w:sz="4" w:space="0"/>
                    <w:right w:val="single" w:color="auto" w:sz="4" w:space="0"/>
                  </w:tcBorders>
                  <w:vAlign w:val="center"/>
                </w:tcPr>
                <w:p w14:paraId="04F108DE">
                  <w:pPr>
                    <w:spacing w:line="276" w:lineRule="auto"/>
                    <w:jc w:val="center"/>
                    <w:rPr>
                      <w:rFonts w:hint="eastAsia" w:eastAsiaTheme="minorEastAsia"/>
                      <w:bCs/>
                      <w:sz w:val="24"/>
                      <w:lang w:eastAsia="zh-CN"/>
                    </w:rPr>
                  </w:pPr>
                  <w:r>
                    <w:rPr>
                      <w:rFonts w:hint="eastAsia" w:eastAsiaTheme="minorEastAsia"/>
                      <w:sz w:val="24"/>
                      <w:lang w:eastAsia="zh-CN"/>
                    </w:rPr>
                    <w:t>基建科保开学项目装修工程采购项目-2026年昌平区教委两所幼儿园保开学项目</w:t>
                  </w:r>
                </w:p>
              </w:tc>
              <w:tc>
                <w:tcPr>
                  <w:tcW w:w="1497" w:type="pct"/>
                  <w:tcBorders>
                    <w:top w:val="single" w:color="auto" w:sz="4" w:space="0"/>
                    <w:left w:val="single" w:color="auto" w:sz="4" w:space="0"/>
                    <w:bottom w:val="single" w:color="auto" w:sz="4" w:space="0"/>
                    <w:right w:val="single" w:color="auto" w:sz="4" w:space="0"/>
                  </w:tcBorders>
                  <w:vAlign w:val="center"/>
                </w:tcPr>
                <w:p w14:paraId="2DEDD423">
                  <w:pPr>
                    <w:spacing w:line="276" w:lineRule="auto"/>
                    <w:jc w:val="center"/>
                    <w:rPr>
                      <w:rFonts w:eastAsiaTheme="minorEastAsia"/>
                      <w:kern w:val="0"/>
                      <w:sz w:val="24"/>
                    </w:rPr>
                  </w:pPr>
                  <w:r>
                    <w:rPr>
                      <w:rFonts w:hint="eastAsia" w:eastAsiaTheme="minorEastAsia"/>
                      <w:kern w:val="0"/>
                      <w:sz w:val="24"/>
                    </w:rPr>
                    <w:t>建筑业</w:t>
                  </w:r>
                </w:p>
              </w:tc>
            </w:tr>
          </w:tbl>
          <w:p w14:paraId="6FEEF77D">
            <w:pPr>
              <w:spacing w:line="276" w:lineRule="auto"/>
              <w:jc w:val="left"/>
              <w:rPr>
                <w:rFonts w:eastAsiaTheme="minorEastAsia"/>
                <w:sz w:val="24"/>
              </w:rPr>
            </w:pPr>
          </w:p>
        </w:tc>
      </w:tr>
      <w:tr w14:paraId="41F1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442E8DC9">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10.2</w:t>
            </w:r>
          </w:p>
        </w:tc>
        <w:tc>
          <w:tcPr>
            <w:tcW w:w="1701" w:type="dxa"/>
            <w:vAlign w:val="center"/>
          </w:tcPr>
          <w:p w14:paraId="49022199">
            <w:pPr>
              <w:jc w:val="center"/>
              <w:rPr>
                <w:rFonts w:eastAsiaTheme="minorEastAsia"/>
                <w:sz w:val="24"/>
              </w:rPr>
            </w:pPr>
            <w:r>
              <w:rPr>
                <w:rFonts w:eastAsiaTheme="minorEastAsia"/>
                <w:sz w:val="24"/>
              </w:rPr>
              <w:t>报价</w:t>
            </w:r>
          </w:p>
        </w:tc>
        <w:tc>
          <w:tcPr>
            <w:tcW w:w="7593" w:type="dxa"/>
            <w:vAlign w:val="center"/>
          </w:tcPr>
          <w:p w14:paraId="71CFD2A8">
            <w:pPr>
              <w:spacing w:line="276" w:lineRule="auto"/>
              <w:jc w:val="left"/>
              <w:rPr>
                <w:rFonts w:eastAsiaTheme="minorEastAsia"/>
                <w:sz w:val="24"/>
              </w:rPr>
            </w:pPr>
            <w:r>
              <w:rPr>
                <w:rFonts w:eastAsiaTheme="minorEastAsia"/>
                <w:sz w:val="24"/>
              </w:rPr>
              <w:t>报价的特殊规定：</w:t>
            </w:r>
          </w:p>
          <w:p w14:paraId="4CD15C55">
            <w:pPr>
              <w:spacing w:line="276" w:lineRule="auto"/>
              <w:jc w:val="left"/>
              <w:rPr>
                <w:rFonts w:eastAsiaTheme="minorEastAsia"/>
                <w:sz w:val="24"/>
              </w:rPr>
            </w:pPr>
            <w:r>
              <w:rPr>
                <w:rFonts w:eastAsiaTheme="minorEastAsia"/>
              </w:rPr>
              <w:t>□</w:t>
            </w:r>
            <w:r>
              <w:rPr>
                <w:rFonts w:eastAsiaTheme="minorEastAsia"/>
                <w:sz w:val="24"/>
              </w:rPr>
              <w:t>无</w:t>
            </w:r>
          </w:p>
          <w:p w14:paraId="16D018E6">
            <w:pPr>
              <w:spacing w:line="276" w:lineRule="auto"/>
              <w:jc w:val="left"/>
              <w:rPr>
                <w:rFonts w:ascii="宋体" w:hAnsi="宋体"/>
                <w:sz w:val="24"/>
              </w:rPr>
            </w:pPr>
            <w:bookmarkStart w:id="83" w:name="OLE_LINK64"/>
            <w:bookmarkStart w:id="84" w:name="OLE_LINK65"/>
            <w:r>
              <w:rPr>
                <w:rFonts w:eastAsiaTheme="minorEastAsia"/>
              </w:rPr>
              <w:t>■</w:t>
            </w:r>
            <w:bookmarkEnd w:id="83"/>
            <w:bookmarkEnd w:id="84"/>
            <w:r>
              <w:rPr>
                <w:rFonts w:eastAsiaTheme="minorEastAsia"/>
                <w:sz w:val="24"/>
              </w:rPr>
              <w:t>有，具体情形：</w:t>
            </w:r>
            <w:r>
              <w:rPr>
                <w:rFonts w:hint="eastAsia" w:ascii="宋体" w:hAnsi="宋体"/>
                <w:sz w:val="24"/>
              </w:rPr>
              <w:t>本项目最高限价为</w:t>
            </w:r>
            <w:r>
              <w:rPr>
                <w:rFonts w:hint="eastAsia" w:ascii="宋体" w:hAnsi="宋体"/>
                <w:sz w:val="24"/>
                <w:u w:val="single"/>
              </w:rPr>
              <w:t>：</w:t>
            </w:r>
            <w:r>
              <w:rPr>
                <w:rFonts w:hint="eastAsia" w:ascii="宋体" w:hAnsi="宋体"/>
                <w:sz w:val="24"/>
                <w:u w:val="single"/>
                <w:lang w:eastAsia="zh-CN"/>
              </w:rPr>
              <w:t>304.804392</w:t>
            </w:r>
            <w:r>
              <w:rPr>
                <w:rFonts w:hint="eastAsia" w:ascii="宋体" w:hAnsi="宋体"/>
                <w:sz w:val="24"/>
                <w:u w:val="single"/>
              </w:rPr>
              <w:t>万元</w:t>
            </w:r>
            <w:r>
              <w:rPr>
                <w:rFonts w:hint="eastAsia" w:ascii="宋体" w:hAnsi="宋体"/>
                <w:sz w:val="24"/>
              </w:rPr>
              <w:t>，其中：</w:t>
            </w:r>
          </w:p>
          <w:p w14:paraId="4857F83C">
            <w:pPr>
              <w:spacing w:line="288" w:lineRule="auto"/>
              <w:ind w:firstLine="48" w:firstLineChars="20"/>
              <w:jc w:val="left"/>
              <w:rPr>
                <w:rFonts w:ascii="宋体" w:hAnsi="宋体"/>
                <w:sz w:val="24"/>
              </w:rPr>
            </w:pPr>
            <w:r>
              <w:rPr>
                <w:rFonts w:hint="eastAsia" w:ascii="宋体" w:hAnsi="宋体"/>
                <w:sz w:val="24"/>
              </w:rPr>
              <w:t>1</w:t>
            </w:r>
            <w:r>
              <w:rPr>
                <w:rFonts w:ascii="宋体" w:hAnsi="宋体"/>
                <w:sz w:val="24"/>
              </w:rPr>
              <w:t>.</w:t>
            </w:r>
            <w:r>
              <w:rPr>
                <w:rFonts w:hint="eastAsia"/>
              </w:rPr>
              <w:t xml:space="preserve"> </w:t>
            </w:r>
            <w:r>
              <w:rPr>
                <w:rFonts w:hint="eastAsia" w:ascii="宋体" w:hAnsi="宋体"/>
                <w:sz w:val="24"/>
                <w:lang w:val="en-US" w:eastAsia="zh-CN"/>
              </w:rPr>
              <w:t>北京市昌平区沙河镇第一幼儿园开园基础改造项目</w:t>
            </w:r>
            <w:r>
              <w:rPr>
                <w:rFonts w:hint="eastAsia" w:ascii="宋体" w:hAnsi="宋体"/>
                <w:sz w:val="24"/>
              </w:rPr>
              <w:t>最高限价:</w:t>
            </w:r>
            <w:r>
              <w:t xml:space="preserve"> </w:t>
            </w:r>
            <w:r>
              <w:rPr>
                <w:rFonts w:hint="eastAsia" w:ascii="宋体" w:hAnsi="宋体"/>
                <w:sz w:val="24"/>
                <w:u w:val="single"/>
                <w:lang w:val="en-US" w:eastAsia="zh-CN"/>
              </w:rPr>
              <w:t>1374909.70</w:t>
            </w:r>
            <w:r>
              <w:rPr>
                <w:rFonts w:hint="eastAsia" w:ascii="宋体" w:hAnsi="宋体"/>
                <w:sz w:val="24"/>
                <w:u w:val="single"/>
              </w:rPr>
              <w:t>元</w:t>
            </w:r>
            <w:r>
              <w:rPr>
                <w:rFonts w:hint="eastAsia" w:ascii="宋体" w:hAnsi="宋体"/>
                <w:sz w:val="24"/>
              </w:rPr>
              <w:t>；</w:t>
            </w:r>
          </w:p>
          <w:p w14:paraId="7841C536">
            <w:pPr>
              <w:spacing w:line="288" w:lineRule="auto"/>
              <w:ind w:firstLine="48" w:firstLineChars="20"/>
              <w:jc w:val="left"/>
              <w:rPr>
                <w:rFonts w:ascii="宋体" w:hAnsi="宋体"/>
                <w:sz w:val="24"/>
              </w:rPr>
            </w:pPr>
            <w:r>
              <w:rPr>
                <w:rFonts w:hint="eastAsia" w:ascii="宋体" w:hAnsi="宋体"/>
                <w:sz w:val="24"/>
              </w:rPr>
              <w:t>2</w:t>
            </w:r>
            <w:r>
              <w:rPr>
                <w:rFonts w:ascii="宋体" w:hAnsi="宋体"/>
                <w:sz w:val="24"/>
              </w:rPr>
              <w:t>.</w:t>
            </w:r>
            <w:r>
              <w:rPr>
                <w:rFonts w:hint="eastAsia"/>
              </w:rPr>
              <w:t xml:space="preserve"> </w:t>
            </w:r>
            <w:r>
              <w:rPr>
                <w:rFonts w:hint="eastAsia" w:ascii="宋体" w:hAnsi="宋体"/>
                <w:sz w:val="24"/>
                <w:lang w:val="en-US" w:eastAsia="zh-CN"/>
              </w:rPr>
              <w:t>北京市昌平区马池口镇奤夿屯幼儿园开园基础改造项目</w:t>
            </w:r>
            <w:r>
              <w:rPr>
                <w:rFonts w:hint="eastAsia" w:ascii="宋体" w:hAnsi="宋体"/>
                <w:sz w:val="24"/>
              </w:rPr>
              <w:t>最高限价:</w:t>
            </w:r>
            <w:r>
              <w:t xml:space="preserve"> </w:t>
            </w:r>
            <w:r>
              <w:rPr>
                <w:rFonts w:hint="eastAsia" w:ascii="宋体" w:hAnsi="宋体"/>
                <w:sz w:val="24"/>
                <w:u w:val="single"/>
                <w:lang w:val="en-US" w:eastAsia="zh-CN"/>
              </w:rPr>
              <w:t>1673134.22</w:t>
            </w:r>
            <w:r>
              <w:rPr>
                <w:rFonts w:hint="eastAsia" w:ascii="宋体" w:hAnsi="宋体"/>
                <w:sz w:val="24"/>
                <w:u w:val="single"/>
              </w:rPr>
              <w:t>元</w:t>
            </w:r>
            <w:r>
              <w:rPr>
                <w:rFonts w:hint="eastAsia" w:ascii="宋体" w:hAnsi="宋体"/>
                <w:sz w:val="24"/>
              </w:rPr>
              <w:t>；</w:t>
            </w:r>
          </w:p>
          <w:p w14:paraId="053AF5BC">
            <w:pPr>
              <w:spacing w:line="276" w:lineRule="auto"/>
              <w:jc w:val="left"/>
              <w:rPr>
                <w:rFonts w:ascii="宋体" w:hAnsi="宋体"/>
                <w:sz w:val="24"/>
              </w:rPr>
            </w:pPr>
            <w:r>
              <w:rPr>
                <w:rFonts w:hint="eastAsia" w:ascii="宋体" w:hAnsi="宋体"/>
                <w:sz w:val="24"/>
              </w:rPr>
              <w:t>注意：超过各学校最高限价或本项目最高限价的响应报价，其响应文件将作为无效处理</w:t>
            </w:r>
            <w:r>
              <w:rPr>
                <w:rFonts w:ascii="宋体" w:hAnsi="宋体"/>
                <w:sz w:val="24"/>
              </w:rPr>
              <w:t>。</w:t>
            </w:r>
          </w:p>
        </w:tc>
      </w:tr>
      <w:tr w14:paraId="3717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63D89A0">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11.1</w:t>
            </w:r>
          </w:p>
        </w:tc>
        <w:tc>
          <w:tcPr>
            <w:tcW w:w="1701" w:type="dxa"/>
            <w:vMerge w:val="restart"/>
            <w:vAlign w:val="center"/>
          </w:tcPr>
          <w:p w14:paraId="31D5BE81">
            <w:pPr>
              <w:jc w:val="center"/>
              <w:rPr>
                <w:rFonts w:eastAsiaTheme="minorEastAsia"/>
                <w:sz w:val="24"/>
              </w:rPr>
            </w:pPr>
            <w:r>
              <w:rPr>
                <w:rFonts w:eastAsiaTheme="minorEastAsia"/>
                <w:sz w:val="24"/>
              </w:rPr>
              <w:t>磋商保证金</w:t>
            </w:r>
          </w:p>
        </w:tc>
        <w:tc>
          <w:tcPr>
            <w:tcW w:w="7593" w:type="dxa"/>
            <w:vAlign w:val="center"/>
          </w:tcPr>
          <w:p w14:paraId="6FFA2C9C">
            <w:pPr>
              <w:pStyle w:val="25"/>
              <w:adjustRightInd w:val="0"/>
              <w:snapToGrid w:val="0"/>
              <w:spacing w:line="276" w:lineRule="auto"/>
              <w:rPr>
                <w:rFonts w:hint="default" w:ascii="Times New Roman" w:hAnsi="Times New Roman" w:eastAsiaTheme="minorEastAsia"/>
                <w:sz w:val="24"/>
                <w:szCs w:val="24"/>
              </w:rPr>
            </w:pPr>
            <w:r>
              <w:rPr>
                <w:rFonts w:hint="default" w:ascii="Times New Roman" w:hAnsi="Times New Roman" w:eastAsiaTheme="minorEastAsia"/>
                <w:sz w:val="24"/>
                <w:szCs w:val="24"/>
              </w:rPr>
              <w:t>磋商保证金金额：</w:t>
            </w:r>
            <w:r>
              <w:rPr>
                <w:rFonts w:hint="default" w:hAnsi="宋体"/>
                <w:sz w:val="24"/>
                <w:szCs w:val="24"/>
              </w:rPr>
              <w:t>人民币</w:t>
            </w:r>
            <w:r>
              <w:rPr>
                <w:rFonts w:hAnsi="宋体"/>
                <w:sz w:val="24"/>
                <w:szCs w:val="24"/>
                <w:u w:val="single"/>
              </w:rPr>
              <w:t xml:space="preserve"> </w:t>
            </w:r>
            <w:r>
              <w:rPr>
                <w:rFonts w:hint="eastAsia" w:hAnsi="宋体"/>
                <w:sz w:val="24"/>
                <w:szCs w:val="24"/>
                <w:u w:val="single"/>
                <w:lang w:val="en-US" w:eastAsia="zh-CN"/>
              </w:rPr>
              <w:t>60000</w:t>
            </w:r>
            <w:r>
              <w:rPr>
                <w:rFonts w:hAnsi="宋体"/>
                <w:sz w:val="24"/>
                <w:szCs w:val="24"/>
                <w:u w:val="single"/>
              </w:rPr>
              <w:t xml:space="preserve">  </w:t>
            </w:r>
            <w:r>
              <w:rPr>
                <w:rFonts w:hAnsi="宋体"/>
                <w:sz w:val="24"/>
                <w:szCs w:val="24"/>
              </w:rPr>
              <w:t>元</w:t>
            </w:r>
            <w:r>
              <w:rPr>
                <w:rFonts w:hint="default" w:hAnsi="宋体"/>
                <w:sz w:val="24"/>
                <w:szCs w:val="24"/>
              </w:rPr>
              <w:t>；</w:t>
            </w:r>
          </w:p>
          <w:p w14:paraId="6B8E3D07">
            <w:pPr>
              <w:pStyle w:val="25"/>
              <w:adjustRightInd w:val="0"/>
              <w:snapToGrid w:val="0"/>
              <w:spacing w:line="276" w:lineRule="auto"/>
              <w:rPr>
                <w:rFonts w:hint="default" w:eastAsiaTheme="minorEastAsia"/>
                <w:sz w:val="24"/>
              </w:rPr>
            </w:pPr>
            <w:r>
              <w:rPr>
                <w:rFonts w:eastAsiaTheme="minorEastAsia"/>
                <w:sz w:val="24"/>
              </w:rPr>
              <w:t>磋商保证金收受人信息：</w:t>
            </w:r>
          </w:p>
          <w:p w14:paraId="4AC82629">
            <w:pPr>
              <w:pStyle w:val="25"/>
              <w:adjustRightInd w:val="0"/>
              <w:snapToGrid w:val="0"/>
              <w:spacing w:line="276" w:lineRule="auto"/>
              <w:rPr>
                <w:rFonts w:hint="default" w:hAnsi="宋体"/>
                <w:sz w:val="24"/>
                <w:szCs w:val="24"/>
              </w:rPr>
            </w:pPr>
            <w:r>
              <w:rPr>
                <w:rFonts w:hAnsi="宋体"/>
                <w:sz w:val="24"/>
                <w:szCs w:val="24"/>
              </w:rPr>
              <w:t>磋商保证金的形式： 磋商保证金提交方式应采用支票、汇票、本票、网上银行支付或者金融机构、担保机构出具的保函等非现金形式交纳。</w:t>
            </w:r>
            <w:r>
              <w:rPr>
                <w:rFonts w:hAnsi="宋体"/>
                <w:b/>
                <w:sz w:val="24"/>
                <w:szCs w:val="24"/>
              </w:rPr>
              <w:t>（采用电汇形式的，应在用途/附言/备注位置注明：***项目磋商保证金）</w:t>
            </w:r>
          </w:p>
          <w:p w14:paraId="7B6CCD08">
            <w:pPr>
              <w:pStyle w:val="25"/>
              <w:adjustRightInd w:val="0"/>
              <w:snapToGrid w:val="0"/>
              <w:spacing w:line="276" w:lineRule="auto"/>
              <w:rPr>
                <w:rFonts w:hint="default" w:hAnsi="宋体"/>
                <w:sz w:val="24"/>
                <w:szCs w:val="24"/>
              </w:rPr>
            </w:pPr>
            <w:r>
              <w:rPr>
                <w:rFonts w:hAnsi="宋体"/>
                <w:sz w:val="24"/>
                <w:szCs w:val="24"/>
              </w:rPr>
              <w:t>转账支付的汇入以下银行账户</w:t>
            </w:r>
          </w:p>
          <w:p w14:paraId="18029974">
            <w:pPr>
              <w:spacing w:line="276" w:lineRule="auto"/>
              <w:rPr>
                <w:rFonts w:ascii="宋体" w:hAnsi="宋体"/>
                <w:sz w:val="24"/>
                <w:u w:val="single"/>
              </w:rPr>
            </w:pPr>
            <w:r>
              <w:rPr>
                <w:rFonts w:hint="eastAsia" w:ascii="宋体" w:hAnsi="宋体"/>
                <w:sz w:val="24"/>
              </w:rPr>
              <w:t>收款单位：</w:t>
            </w:r>
            <w:r>
              <w:rPr>
                <w:rFonts w:hint="eastAsia" w:ascii="宋体" w:hAnsi="宋体"/>
                <w:sz w:val="24"/>
                <w:u w:val="single"/>
              </w:rPr>
              <w:t>北京博审千询工程咨询有限公司</w:t>
            </w:r>
          </w:p>
          <w:p w14:paraId="36C5C032">
            <w:pPr>
              <w:spacing w:line="276" w:lineRule="auto"/>
              <w:rPr>
                <w:rFonts w:ascii="宋体" w:hAnsi="宋体"/>
                <w:sz w:val="24"/>
                <w:u w:val="single"/>
              </w:rPr>
            </w:pPr>
            <w:r>
              <w:rPr>
                <w:rFonts w:hint="eastAsia" w:ascii="宋体" w:hAnsi="宋体"/>
                <w:sz w:val="24"/>
              </w:rPr>
              <w:t>开户银行：</w:t>
            </w:r>
            <w:r>
              <w:rPr>
                <w:rFonts w:hint="eastAsia"/>
                <w:sz w:val="24"/>
                <w:u w:val="single"/>
              </w:rPr>
              <w:t>工商银行广安门朗琴园支行</w:t>
            </w:r>
          </w:p>
          <w:p w14:paraId="5B6B1BD3">
            <w:pPr>
              <w:pStyle w:val="25"/>
              <w:adjustRightInd w:val="0"/>
              <w:snapToGrid w:val="0"/>
              <w:spacing w:line="276" w:lineRule="auto"/>
              <w:rPr>
                <w:rFonts w:hint="default" w:eastAsiaTheme="minorEastAsia"/>
                <w:sz w:val="24"/>
              </w:rPr>
            </w:pPr>
            <w:r>
              <w:rPr>
                <w:rFonts w:hAnsi="宋体"/>
                <w:sz w:val="24"/>
              </w:rPr>
              <w:t>帐    号：</w:t>
            </w:r>
            <w:r>
              <w:rPr>
                <w:sz w:val="24"/>
                <w:u w:val="single"/>
              </w:rPr>
              <w:t>0200 2042 1920 0101720</w:t>
            </w:r>
          </w:p>
        </w:tc>
      </w:tr>
      <w:tr w14:paraId="0E13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3693B16">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w:t>
            </w:r>
            <w:r>
              <w:rPr>
                <w:rFonts w:ascii="Times New Roman" w:hAnsi="Times New Roman" w:eastAsiaTheme="minorEastAsia"/>
                <w:sz w:val="24"/>
                <w:szCs w:val="24"/>
              </w:rPr>
              <w:t>8</w:t>
            </w:r>
            <w:r>
              <w:rPr>
                <w:rFonts w:hint="default" w:ascii="Times New Roman" w:hAnsi="Times New Roman" w:eastAsiaTheme="minorEastAsia"/>
                <w:sz w:val="24"/>
                <w:szCs w:val="24"/>
              </w:rPr>
              <w:t>.5</w:t>
            </w:r>
          </w:p>
        </w:tc>
        <w:tc>
          <w:tcPr>
            <w:tcW w:w="1701" w:type="dxa"/>
            <w:vMerge w:val="continue"/>
            <w:vAlign w:val="center"/>
          </w:tcPr>
          <w:p w14:paraId="470C75F6">
            <w:pPr>
              <w:jc w:val="center"/>
              <w:rPr>
                <w:rFonts w:eastAsiaTheme="minorEastAsia"/>
                <w:sz w:val="24"/>
              </w:rPr>
            </w:pPr>
          </w:p>
        </w:tc>
        <w:tc>
          <w:tcPr>
            <w:tcW w:w="7593" w:type="dxa"/>
            <w:vAlign w:val="center"/>
          </w:tcPr>
          <w:p w14:paraId="44163655">
            <w:pPr>
              <w:spacing w:line="276" w:lineRule="auto"/>
              <w:jc w:val="left"/>
              <w:rPr>
                <w:rFonts w:eastAsiaTheme="minorEastAsia"/>
                <w:sz w:val="24"/>
              </w:rPr>
            </w:pPr>
            <w:r>
              <w:rPr>
                <w:rFonts w:eastAsiaTheme="minorEastAsia"/>
                <w:sz w:val="24"/>
              </w:rPr>
              <w:t>磋商保证金不予退还的其他情形：</w:t>
            </w:r>
          </w:p>
          <w:p w14:paraId="232F3E29">
            <w:pPr>
              <w:spacing w:line="288" w:lineRule="auto"/>
              <w:jc w:val="left"/>
              <w:rPr>
                <w:rFonts w:ascii="宋体" w:hAnsi="宋体"/>
                <w:sz w:val="24"/>
              </w:rPr>
            </w:pPr>
            <w:r>
              <w:rPr>
                <w:rFonts w:ascii="宋体" w:hAnsi="宋体"/>
              </w:rPr>
              <w:t>□</w:t>
            </w:r>
            <w:r>
              <w:rPr>
                <w:rFonts w:ascii="宋体" w:hAnsi="宋体"/>
                <w:sz w:val="24"/>
              </w:rPr>
              <w:t>无</w:t>
            </w:r>
          </w:p>
          <w:p w14:paraId="66707838">
            <w:pPr>
              <w:pStyle w:val="25"/>
              <w:adjustRightInd w:val="0"/>
              <w:snapToGrid w:val="0"/>
              <w:spacing w:line="288" w:lineRule="auto"/>
              <w:rPr>
                <w:rFonts w:hint="default" w:hAnsi="宋体"/>
                <w:sz w:val="24"/>
              </w:rPr>
            </w:pPr>
            <w:r>
              <w:rPr>
                <w:rFonts w:hAnsi="宋体"/>
              </w:rPr>
              <w:t>■</w:t>
            </w:r>
            <w:r>
              <w:rPr>
                <w:rFonts w:hint="default" w:hAnsi="宋体"/>
                <w:sz w:val="24"/>
              </w:rPr>
              <w:t>有，具体情形：</w:t>
            </w:r>
          </w:p>
          <w:p w14:paraId="03C0E792">
            <w:pPr>
              <w:pStyle w:val="25"/>
              <w:adjustRightInd w:val="0"/>
              <w:snapToGrid w:val="0"/>
              <w:spacing w:line="288" w:lineRule="auto"/>
              <w:rPr>
                <w:rFonts w:hint="default" w:hAnsi="宋体"/>
                <w:sz w:val="24"/>
              </w:rPr>
            </w:pPr>
            <w:r>
              <w:rPr>
                <w:rFonts w:hAnsi="宋体"/>
                <w:sz w:val="24"/>
              </w:rPr>
              <w:t>（1）成交人不按本须知第</w:t>
            </w:r>
            <w:r>
              <w:rPr>
                <w:rFonts w:hint="default" w:hAnsi="宋体"/>
                <w:sz w:val="24"/>
              </w:rPr>
              <w:t>23</w:t>
            </w:r>
            <w:r>
              <w:rPr>
                <w:rFonts w:hAnsi="宋体"/>
                <w:sz w:val="24"/>
              </w:rPr>
              <w:t>条的规定与采购人签订合同的；</w:t>
            </w:r>
          </w:p>
          <w:p w14:paraId="1A807CBF">
            <w:pPr>
              <w:pStyle w:val="25"/>
              <w:adjustRightInd w:val="0"/>
              <w:snapToGrid w:val="0"/>
              <w:spacing w:line="288" w:lineRule="auto"/>
              <w:rPr>
                <w:rFonts w:hint="default" w:hAnsi="宋体"/>
                <w:sz w:val="24"/>
              </w:rPr>
            </w:pPr>
            <w:r>
              <w:rPr>
                <w:rFonts w:hAnsi="宋体"/>
                <w:sz w:val="24"/>
              </w:rPr>
              <w:t>（2）成交人不按规定提交履约保证金的；</w:t>
            </w:r>
          </w:p>
          <w:p w14:paraId="4E3E6169">
            <w:pPr>
              <w:pStyle w:val="25"/>
              <w:adjustRightInd w:val="0"/>
              <w:snapToGrid w:val="0"/>
              <w:spacing w:line="288" w:lineRule="auto"/>
              <w:rPr>
                <w:rFonts w:hint="default" w:hAnsi="宋体"/>
                <w:sz w:val="24"/>
              </w:rPr>
            </w:pPr>
            <w:r>
              <w:rPr>
                <w:rFonts w:hAnsi="宋体"/>
                <w:sz w:val="24"/>
              </w:rPr>
              <w:t>（3）存在的串通投标情形的；</w:t>
            </w:r>
          </w:p>
          <w:p w14:paraId="4A2BD18F">
            <w:pPr>
              <w:pStyle w:val="25"/>
              <w:adjustRightInd w:val="0"/>
              <w:snapToGrid w:val="0"/>
              <w:spacing w:line="276" w:lineRule="auto"/>
              <w:rPr>
                <w:rFonts w:hint="default" w:ascii="Times New Roman" w:hAnsi="Times New Roman" w:eastAsiaTheme="minorEastAsia"/>
                <w:sz w:val="24"/>
              </w:rPr>
            </w:pPr>
            <w:r>
              <w:rPr>
                <w:rFonts w:hAnsi="宋体"/>
                <w:sz w:val="24"/>
              </w:rPr>
              <w:t>（</w:t>
            </w:r>
            <w:r>
              <w:rPr>
                <w:rFonts w:hint="default" w:hAnsi="宋体"/>
                <w:sz w:val="24"/>
              </w:rPr>
              <w:t>4</w:t>
            </w:r>
            <w:r>
              <w:rPr>
                <w:rFonts w:hAnsi="宋体"/>
                <w:sz w:val="24"/>
              </w:rPr>
              <w:t>）存在向采购人、代理机构或评标专家行贿事实的。</w:t>
            </w:r>
          </w:p>
        </w:tc>
      </w:tr>
      <w:tr w14:paraId="3A90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3CB64D0">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12.1</w:t>
            </w:r>
          </w:p>
        </w:tc>
        <w:tc>
          <w:tcPr>
            <w:tcW w:w="1701" w:type="dxa"/>
            <w:vAlign w:val="center"/>
          </w:tcPr>
          <w:p w14:paraId="7CE746AB">
            <w:pPr>
              <w:jc w:val="center"/>
              <w:rPr>
                <w:rFonts w:eastAsiaTheme="minorEastAsia"/>
                <w:sz w:val="24"/>
              </w:rPr>
            </w:pPr>
            <w:r>
              <w:rPr>
                <w:rFonts w:eastAsiaTheme="minorEastAsia"/>
                <w:sz w:val="24"/>
              </w:rPr>
              <w:t>响应有效期</w:t>
            </w:r>
          </w:p>
        </w:tc>
        <w:tc>
          <w:tcPr>
            <w:tcW w:w="7593" w:type="dxa"/>
            <w:vAlign w:val="center"/>
          </w:tcPr>
          <w:p w14:paraId="4F8EF66C">
            <w:pPr>
              <w:spacing w:line="276" w:lineRule="auto"/>
              <w:jc w:val="left"/>
              <w:rPr>
                <w:rFonts w:eastAsiaTheme="minorEastAsia"/>
                <w:sz w:val="24"/>
              </w:rPr>
            </w:pPr>
            <w:r>
              <w:rPr>
                <w:rFonts w:eastAsiaTheme="minorEastAsia"/>
                <w:sz w:val="24"/>
              </w:rPr>
              <w:t>自响应文件提交截止之日起算</w:t>
            </w:r>
            <w:r>
              <w:rPr>
                <w:rFonts w:eastAsiaTheme="minorEastAsia"/>
                <w:sz w:val="24"/>
                <w:u w:val="single"/>
              </w:rPr>
              <w:t>_</w:t>
            </w:r>
            <w:r>
              <w:rPr>
                <w:rFonts w:hint="eastAsia" w:eastAsiaTheme="minorEastAsia"/>
                <w:sz w:val="24"/>
                <w:u w:val="single"/>
              </w:rPr>
              <w:t>90</w:t>
            </w:r>
            <w:r>
              <w:rPr>
                <w:rFonts w:eastAsiaTheme="minorEastAsia"/>
                <w:sz w:val="24"/>
                <w:u w:val="single"/>
              </w:rPr>
              <w:t>__</w:t>
            </w:r>
            <w:r>
              <w:rPr>
                <w:rFonts w:eastAsiaTheme="minorEastAsia"/>
                <w:sz w:val="24"/>
              </w:rPr>
              <w:t>日历天。</w:t>
            </w:r>
          </w:p>
        </w:tc>
      </w:tr>
      <w:tr w14:paraId="2B4D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FE91FEB">
            <w:pPr>
              <w:pStyle w:val="25"/>
              <w:adjustRightInd w:val="0"/>
              <w:snapToGrid w:val="0"/>
              <w:jc w:val="center"/>
              <w:rPr>
                <w:rFonts w:hint="default" w:ascii="Times New Roman" w:hAnsi="Times New Roman" w:eastAsiaTheme="minorEastAsia"/>
                <w:sz w:val="24"/>
                <w:szCs w:val="24"/>
              </w:rPr>
            </w:pPr>
            <w:r>
              <w:rPr>
                <w:rFonts w:ascii="Times New Roman" w:hAnsi="Times New Roman" w:eastAsiaTheme="minorEastAsia"/>
                <w:sz w:val="24"/>
                <w:szCs w:val="24"/>
              </w:rPr>
              <w:t>17.2</w:t>
            </w:r>
          </w:p>
        </w:tc>
        <w:tc>
          <w:tcPr>
            <w:tcW w:w="1701" w:type="dxa"/>
            <w:vAlign w:val="center"/>
          </w:tcPr>
          <w:p w14:paraId="3D7A6A8A">
            <w:pPr>
              <w:jc w:val="center"/>
              <w:rPr>
                <w:rFonts w:eastAsiaTheme="minorEastAsia"/>
                <w:sz w:val="24"/>
              </w:rPr>
            </w:pPr>
            <w:r>
              <w:rPr>
                <w:rFonts w:hint="eastAsia" w:eastAsiaTheme="minorEastAsia"/>
                <w:sz w:val="24"/>
              </w:rPr>
              <w:t>解密时间</w:t>
            </w:r>
          </w:p>
        </w:tc>
        <w:tc>
          <w:tcPr>
            <w:tcW w:w="7593" w:type="dxa"/>
            <w:vAlign w:val="center"/>
          </w:tcPr>
          <w:p w14:paraId="1C5606C1">
            <w:pPr>
              <w:spacing w:line="276" w:lineRule="auto"/>
              <w:jc w:val="left"/>
              <w:rPr>
                <w:rFonts w:eastAsiaTheme="minorEastAsia"/>
                <w:sz w:val="24"/>
              </w:rPr>
            </w:pPr>
            <w:r>
              <w:rPr>
                <w:rFonts w:hint="eastAsia" w:ascii="宋体" w:hAnsi="宋体"/>
                <w:sz w:val="24"/>
              </w:rPr>
              <w:t>解密时间：</w:t>
            </w:r>
            <w:r>
              <w:rPr>
                <w:rFonts w:hint="eastAsia" w:ascii="宋体" w:hAnsi="宋体"/>
                <w:sz w:val="24"/>
                <w:u w:val="single"/>
              </w:rPr>
              <w:t xml:space="preserve"> 30 </w:t>
            </w:r>
            <w:r>
              <w:rPr>
                <w:rFonts w:hint="eastAsia" w:ascii="宋体" w:hAnsi="宋体"/>
                <w:sz w:val="24"/>
              </w:rPr>
              <w:t>分钟</w:t>
            </w:r>
            <w:r>
              <w:rPr>
                <w:rFonts w:hint="eastAsia" w:ascii="宋体" w:hAnsi="宋体"/>
                <w:iCs/>
                <w:sz w:val="24"/>
              </w:rPr>
              <w:t>（建议不少于10分钟）</w:t>
            </w:r>
          </w:p>
        </w:tc>
      </w:tr>
      <w:tr w14:paraId="5F87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2B26D14">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20.1</w:t>
            </w:r>
          </w:p>
        </w:tc>
        <w:tc>
          <w:tcPr>
            <w:tcW w:w="1701" w:type="dxa"/>
            <w:vAlign w:val="center"/>
          </w:tcPr>
          <w:p w14:paraId="720F7CBE">
            <w:pPr>
              <w:jc w:val="center"/>
              <w:rPr>
                <w:rFonts w:eastAsiaTheme="minorEastAsia"/>
                <w:sz w:val="24"/>
              </w:rPr>
            </w:pPr>
            <w:r>
              <w:rPr>
                <w:sz w:val="24"/>
              </w:rPr>
              <w:t>确定成交供应商</w:t>
            </w:r>
          </w:p>
        </w:tc>
        <w:tc>
          <w:tcPr>
            <w:tcW w:w="7593" w:type="dxa"/>
            <w:vAlign w:val="center"/>
          </w:tcPr>
          <w:p w14:paraId="5731751D">
            <w:pPr>
              <w:pStyle w:val="25"/>
              <w:adjustRightInd w:val="0"/>
              <w:snapToGrid w:val="0"/>
              <w:spacing w:line="276" w:lineRule="auto"/>
              <w:rPr>
                <w:rFonts w:hint="default" w:ascii="Times New Roman" w:hAnsi="Times New Roman" w:eastAsiaTheme="minorEastAsia"/>
                <w:sz w:val="24"/>
              </w:rPr>
            </w:pPr>
            <w:r>
              <w:rPr>
                <w:rFonts w:hint="default" w:ascii="Times New Roman" w:hAnsi="Times New Roman" w:eastAsiaTheme="minorEastAsia"/>
                <w:sz w:val="24"/>
              </w:rPr>
              <w:t>采购人是否授权磋商小组直接确定成交供应商：</w:t>
            </w:r>
          </w:p>
          <w:p w14:paraId="1F66CF8D">
            <w:pPr>
              <w:pStyle w:val="25"/>
              <w:adjustRightInd w:val="0"/>
              <w:snapToGrid w:val="0"/>
              <w:spacing w:line="276" w:lineRule="auto"/>
              <w:rPr>
                <w:rFonts w:hint="default" w:ascii="Times New Roman" w:hAnsi="Times New Roman" w:eastAsiaTheme="minorEastAsia"/>
                <w:sz w:val="24"/>
              </w:rPr>
            </w:pPr>
            <w:bookmarkStart w:id="85" w:name="OLE_LINK69"/>
            <w:r>
              <w:rPr>
                <w:rFonts w:hint="default" w:ascii="Times New Roman" w:hAnsi="Times New Roman" w:eastAsiaTheme="minorEastAsia"/>
              </w:rPr>
              <w:t>■</w:t>
            </w:r>
            <w:bookmarkEnd w:id="85"/>
            <w:r>
              <w:rPr>
                <w:rFonts w:hint="default" w:ascii="Times New Roman" w:hAnsi="Times New Roman" w:eastAsiaTheme="minorEastAsia"/>
                <w:sz w:val="24"/>
              </w:rPr>
              <w:t>否</w:t>
            </w:r>
          </w:p>
          <w:p w14:paraId="46350AEC">
            <w:pPr>
              <w:spacing w:line="276" w:lineRule="auto"/>
              <w:jc w:val="left"/>
              <w:rPr>
                <w:rFonts w:eastAsiaTheme="minorEastAsia"/>
                <w:sz w:val="24"/>
              </w:rPr>
            </w:pPr>
            <w:r>
              <w:rPr>
                <w:rFonts w:eastAsiaTheme="minorEastAsia"/>
              </w:rPr>
              <w:t>□</w:t>
            </w:r>
            <w:r>
              <w:rPr>
                <w:rFonts w:eastAsiaTheme="minorEastAsia"/>
                <w:sz w:val="24"/>
              </w:rPr>
              <w:t>是</w:t>
            </w:r>
          </w:p>
          <w:p w14:paraId="7BF0CA23">
            <w:pPr>
              <w:spacing w:line="276" w:lineRule="auto"/>
              <w:jc w:val="left"/>
              <w:rPr>
                <w:rFonts w:eastAsiaTheme="minorEastAsia"/>
                <w:sz w:val="24"/>
                <w:u w:val="single"/>
              </w:rPr>
            </w:pPr>
            <w:r>
              <w:rPr>
                <w:rFonts w:eastAsiaTheme="minorEastAsia"/>
                <w:sz w:val="24"/>
              </w:rPr>
              <w:t>成交候选人并列的，按照以下方式确定成交供应商：</w:t>
            </w:r>
            <w:r>
              <w:rPr>
                <w:rFonts w:hint="eastAsia" w:ascii="宋体" w:hAnsi="宋体"/>
                <w:sz w:val="24"/>
                <w:u w:val="single"/>
              </w:rPr>
              <w:t>得分相同的，按最后报价由低到高顺序依次确定成交供应商；得分与最后报价均相同的，按技术部分评审得分由高到低依次确定成交供应商</w:t>
            </w:r>
            <w:r>
              <w:rPr>
                <w:rFonts w:ascii="宋体" w:hAnsi="宋体"/>
                <w:sz w:val="24"/>
                <w:u w:val="single"/>
              </w:rPr>
              <w:t xml:space="preserve"> </w:t>
            </w:r>
            <w:r>
              <w:rPr>
                <w:rFonts w:ascii="宋体" w:hAnsi="宋体"/>
                <w:sz w:val="24"/>
              </w:rPr>
              <w:t>。</w:t>
            </w:r>
          </w:p>
        </w:tc>
      </w:tr>
      <w:tr w14:paraId="3D58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D94B2D0">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23.5</w:t>
            </w:r>
          </w:p>
        </w:tc>
        <w:tc>
          <w:tcPr>
            <w:tcW w:w="1701" w:type="dxa"/>
            <w:vAlign w:val="center"/>
          </w:tcPr>
          <w:p w14:paraId="7C9CC9B3">
            <w:pPr>
              <w:jc w:val="center"/>
              <w:rPr>
                <w:rFonts w:eastAsiaTheme="minorEastAsia"/>
                <w:sz w:val="24"/>
              </w:rPr>
            </w:pPr>
            <w:r>
              <w:rPr>
                <w:rFonts w:eastAsiaTheme="minorEastAsia"/>
                <w:sz w:val="24"/>
              </w:rPr>
              <w:t>分包</w:t>
            </w:r>
          </w:p>
        </w:tc>
        <w:tc>
          <w:tcPr>
            <w:tcW w:w="7593" w:type="dxa"/>
            <w:vAlign w:val="center"/>
          </w:tcPr>
          <w:p w14:paraId="25F2C6D9">
            <w:pPr>
              <w:spacing w:line="276" w:lineRule="auto"/>
              <w:jc w:val="left"/>
              <w:rPr>
                <w:rFonts w:eastAsiaTheme="minorEastAsia"/>
                <w:sz w:val="24"/>
              </w:rPr>
            </w:pPr>
            <w:r>
              <w:rPr>
                <w:rFonts w:eastAsiaTheme="minorEastAsia"/>
                <w:sz w:val="24"/>
              </w:rPr>
              <w:t xml:space="preserve">本项目是否允许分包： </w:t>
            </w:r>
          </w:p>
          <w:p w14:paraId="6DC33F2E">
            <w:pPr>
              <w:spacing w:line="276" w:lineRule="auto"/>
              <w:jc w:val="left"/>
              <w:rPr>
                <w:rFonts w:eastAsiaTheme="minorEastAsia"/>
                <w:sz w:val="24"/>
              </w:rPr>
            </w:pPr>
            <w:r>
              <w:rPr>
                <w:rFonts w:eastAsiaTheme="minorEastAsia"/>
              </w:rPr>
              <w:t>■</w:t>
            </w:r>
            <w:r>
              <w:rPr>
                <w:rFonts w:eastAsiaTheme="minorEastAsia"/>
                <w:sz w:val="24"/>
              </w:rPr>
              <w:t>不允许</w:t>
            </w:r>
          </w:p>
          <w:p w14:paraId="765BCB6F">
            <w:pPr>
              <w:spacing w:line="276" w:lineRule="auto"/>
              <w:jc w:val="left"/>
              <w:rPr>
                <w:rFonts w:eastAsiaTheme="minorEastAsia"/>
                <w:sz w:val="24"/>
              </w:rPr>
            </w:pPr>
            <w:r>
              <w:rPr>
                <w:rFonts w:eastAsiaTheme="minorEastAsia"/>
              </w:rPr>
              <w:t>□</w:t>
            </w:r>
            <w:r>
              <w:rPr>
                <w:rFonts w:eastAsiaTheme="minorEastAsia"/>
                <w:sz w:val="24"/>
              </w:rPr>
              <w:t>允许，具体要求：_______。</w:t>
            </w:r>
          </w:p>
          <w:p w14:paraId="3A9847C0">
            <w:pPr>
              <w:spacing w:line="276" w:lineRule="auto"/>
              <w:jc w:val="left"/>
              <w:rPr>
                <w:rFonts w:eastAsiaTheme="minorEastAsia"/>
                <w:sz w:val="24"/>
              </w:rPr>
            </w:pPr>
            <w:r>
              <w:rPr>
                <w:rFonts w:eastAsiaTheme="minorEastAsia"/>
                <w:sz w:val="24"/>
              </w:rPr>
              <w:t>（1）可以分包履行的具体内容：_______；</w:t>
            </w:r>
          </w:p>
          <w:p w14:paraId="7F057646">
            <w:pPr>
              <w:spacing w:line="276" w:lineRule="auto"/>
              <w:jc w:val="left"/>
              <w:rPr>
                <w:rFonts w:eastAsiaTheme="minorEastAsia"/>
                <w:sz w:val="24"/>
              </w:rPr>
            </w:pPr>
            <w:r>
              <w:rPr>
                <w:rFonts w:eastAsiaTheme="minorEastAsia"/>
                <w:sz w:val="24"/>
              </w:rPr>
              <w:t>（2）允许分包的金额或者比例：_______；</w:t>
            </w:r>
          </w:p>
          <w:p w14:paraId="0F97605B">
            <w:pPr>
              <w:spacing w:line="276" w:lineRule="auto"/>
              <w:jc w:val="left"/>
              <w:rPr>
                <w:rFonts w:eastAsiaTheme="minorEastAsia"/>
                <w:sz w:val="24"/>
                <w:u w:val="single"/>
              </w:rPr>
            </w:pPr>
            <w:r>
              <w:rPr>
                <w:rFonts w:eastAsiaTheme="minorEastAsia"/>
                <w:sz w:val="24"/>
              </w:rPr>
              <w:t>（3）其他要求：_______。</w:t>
            </w:r>
          </w:p>
        </w:tc>
      </w:tr>
      <w:tr w14:paraId="3C51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D89E7EB">
            <w:pPr>
              <w:pStyle w:val="25"/>
              <w:adjustRightInd w:val="0"/>
              <w:snapToGrid w:val="0"/>
              <w:jc w:val="center"/>
              <w:rPr>
                <w:rFonts w:hint="default" w:ascii="Times New Roman" w:hAnsi="Times New Roman" w:eastAsiaTheme="minorEastAsia"/>
                <w:sz w:val="24"/>
                <w:szCs w:val="24"/>
              </w:rPr>
            </w:pPr>
            <w:r>
              <w:rPr>
                <w:rFonts w:ascii="Times New Roman" w:hAnsi="Times New Roman"/>
                <w:sz w:val="24"/>
                <w:szCs w:val="24"/>
              </w:rPr>
              <w:t>2</w:t>
            </w:r>
            <w:r>
              <w:rPr>
                <w:rFonts w:hint="default" w:ascii="Times New Roman" w:hAnsi="Times New Roman"/>
                <w:sz w:val="24"/>
                <w:szCs w:val="24"/>
              </w:rPr>
              <w:t>3</w:t>
            </w:r>
            <w:r>
              <w:rPr>
                <w:rFonts w:ascii="Times New Roman" w:hAnsi="Times New Roman"/>
                <w:sz w:val="24"/>
                <w:szCs w:val="24"/>
              </w:rPr>
              <w:t>.6</w:t>
            </w:r>
          </w:p>
        </w:tc>
        <w:tc>
          <w:tcPr>
            <w:tcW w:w="1701" w:type="dxa"/>
            <w:vAlign w:val="center"/>
          </w:tcPr>
          <w:p w14:paraId="2E932652">
            <w:pPr>
              <w:jc w:val="center"/>
              <w:rPr>
                <w:rFonts w:eastAsiaTheme="minorEastAsia"/>
                <w:sz w:val="24"/>
              </w:rPr>
            </w:pPr>
            <w:r>
              <w:rPr>
                <w:rFonts w:hint="eastAsia"/>
                <w:sz w:val="24"/>
              </w:rPr>
              <w:t>政采贷</w:t>
            </w:r>
          </w:p>
        </w:tc>
        <w:tc>
          <w:tcPr>
            <w:tcW w:w="7593" w:type="dxa"/>
            <w:vAlign w:val="center"/>
          </w:tcPr>
          <w:p w14:paraId="5E31ECAE">
            <w:pPr>
              <w:spacing w:line="276" w:lineRule="auto"/>
              <w:jc w:val="left"/>
              <w:rPr>
                <w:rFonts w:eastAsiaTheme="minorEastAsia"/>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695A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866D481">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24.1.1</w:t>
            </w:r>
          </w:p>
        </w:tc>
        <w:tc>
          <w:tcPr>
            <w:tcW w:w="1701" w:type="dxa"/>
            <w:vAlign w:val="center"/>
          </w:tcPr>
          <w:p w14:paraId="0BF30E5E">
            <w:pPr>
              <w:jc w:val="center"/>
              <w:rPr>
                <w:rFonts w:eastAsiaTheme="minorEastAsia"/>
                <w:sz w:val="24"/>
              </w:rPr>
            </w:pPr>
            <w:r>
              <w:rPr>
                <w:rFonts w:eastAsiaTheme="minorEastAsia"/>
                <w:sz w:val="24"/>
              </w:rPr>
              <w:t>询问</w:t>
            </w:r>
          </w:p>
        </w:tc>
        <w:tc>
          <w:tcPr>
            <w:tcW w:w="7593" w:type="dxa"/>
            <w:vAlign w:val="center"/>
          </w:tcPr>
          <w:p w14:paraId="067AD3CA">
            <w:pPr>
              <w:jc w:val="left"/>
              <w:rPr>
                <w:rFonts w:ascii="宋体" w:hAnsi="宋体"/>
                <w:sz w:val="24"/>
              </w:rPr>
            </w:pPr>
            <w:r>
              <w:rPr>
                <w:sz w:val="24"/>
              </w:rPr>
              <w:t>询问</w:t>
            </w:r>
            <w:r>
              <w:rPr>
                <w:rFonts w:hint="eastAsia"/>
                <w:sz w:val="24"/>
              </w:rPr>
              <w:t>提出</w:t>
            </w:r>
            <w:r>
              <w:rPr>
                <w:sz w:val="24"/>
              </w:rPr>
              <w:t>形式：</w:t>
            </w:r>
            <w:r>
              <w:rPr>
                <w:rFonts w:hint="eastAsia" w:ascii="宋体" w:hAnsi="宋体"/>
                <w:sz w:val="24"/>
              </w:rPr>
              <w:t>供应商对政府采购活动事项有疑问的，可依法提出询问，以书面形式送达采购人或采购代理机构并进行登记。</w:t>
            </w:r>
          </w:p>
          <w:p w14:paraId="311BA33B">
            <w:pPr>
              <w:ind w:firstLine="480" w:firstLineChars="200"/>
              <w:jc w:val="left"/>
              <w:rPr>
                <w:rFonts w:ascii="宋体" w:hAnsi="宋体"/>
                <w:sz w:val="24"/>
              </w:rPr>
            </w:pPr>
            <w:r>
              <w:rPr>
                <w:rFonts w:hint="eastAsia" w:ascii="宋体" w:hAnsi="宋体"/>
                <w:sz w:val="24"/>
              </w:rPr>
              <w:t>询问函内容应包括但不限于：</w:t>
            </w:r>
          </w:p>
          <w:p w14:paraId="0C51E6C7">
            <w:pPr>
              <w:ind w:firstLine="480" w:firstLineChars="200"/>
              <w:jc w:val="left"/>
              <w:rPr>
                <w:rFonts w:ascii="宋体" w:hAnsi="宋体"/>
                <w:sz w:val="24"/>
              </w:rPr>
            </w:pPr>
            <w:r>
              <w:rPr>
                <w:rFonts w:hint="eastAsia" w:ascii="宋体" w:hAnsi="宋体"/>
                <w:sz w:val="24"/>
              </w:rPr>
              <w:t>(1)询问人和被询问人的名称、地址、电话等；</w:t>
            </w:r>
          </w:p>
          <w:p w14:paraId="3D0F19B0">
            <w:pPr>
              <w:ind w:firstLine="480" w:firstLineChars="200"/>
              <w:jc w:val="left"/>
              <w:rPr>
                <w:rFonts w:ascii="宋体" w:hAnsi="宋体"/>
                <w:sz w:val="24"/>
              </w:rPr>
            </w:pPr>
            <w:r>
              <w:rPr>
                <w:rFonts w:hint="eastAsia" w:ascii="宋体" w:hAnsi="宋体"/>
                <w:sz w:val="24"/>
              </w:rPr>
              <w:t>(2)具体事项及事实依据；</w:t>
            </w:r>
          </w:p>
          <w:p w14:paraId="07595406">
            <w:pPr>
              <w:ind w:firstLine="480" w:firstLineChars="200"/>
              <w:jc w:val="left"/>
              <w:rPr>
                <w:rFonts w:ascii="宋体" w:hAnsi="宋体"/>
                <w:sz w:val="24"/>
              </w:rPr>
            </w:pPr>
            <w:r>
              <w:rPr>
                <w:rFonts w:hint="eastAsia" w:ascii="宋体" w:hAnsi="宋体"/>
                <w:sz w:val="24"/>
              </w:rPr>
              <w:t>(3)相关证明材料；</w:t>
            </w:r>
          </w:p>
          <w:p w14:paraId="08F930EA">
            <w:pPr>
              <w:ind w:firstLine="480" w:firstLineChars="200"/>
              <w:jc w:val="left"/>
              <w:rPr>
                <w:rFonts w:ascii="宋体" w:hAnsi="宋体"/>
                <w:sz w:val="24"/>
              </w:rPr>
            </w:pPr>
            <w:r>
              <w:rPr>
                <w:rFonts w:hint="eastAsia" w:ascii="宋体" w:hAnsi="宋体"/>
                <w:sz w:val="24"/>
              </w:rPr>
              <w:t>(4)提起询问的日期。</w:t>
            </w:r>
          </w:p>
          <w:p w14:paraId="5AD64677">
            <w:pPr>
              <w:spacing w:line="276" w:lineRule="auto"/>
              <w:jc w:val="left"/>
              <w:rPr>
                <w:rFonts w:eastAsiaTheme="minorEastAsia"/>
                <w:sz w:val="24"/>
              </w:rPr>
            </w:pPr>
            <w:r>
              <w:rPr>
                <w:rFonts w:hint="eastAsia" w:ascii="宋体" w:hAnsi="宋体"/>
                <w:sz w:val="24"/>
              </w:rPr>
              <w:t>询问函应当由法定代表人或授权委托人签字并加盖单位公章，由授权委托人签字的需出具法定代表人授权委托书、身份证原件及身份证复印件加盖单位公章。</w:t>
            </w:r>
          </w:p>
        </w:tc>
      </w:tr>
      <w:tr w14:paraId="653D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34A93FE">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24.3</w:t>
            </w:r>
          </w:p>
        </w:tc>
        <w:tc>
          <w:tcPr>
            <w:tcW w:w="1701" w:type="dxa"/>
            <w:vAlign w:val="center"/>
          </w:tcPr>
          <w:p w14:paraId="1F1C52B0">
            <w:pPr>
              <w:jc w:val="center"/>
              <w:rPr>
                <w:rFonts w:eastAsiaTheme="minorEastAsia"/>
                <w:sz w:val="24"/>
              </w:rPr>
            </w:pPr>
            <w:r>
              <w:rPr>
                <w:rFonts w:eastAsiaTheme="minorEastAsia"/>
                <w:sz w:val="24"/>
              </w:rPr>
              <w:t>联系方式</w:t>
            </w:r>
          </w:p>
        </w:tc>
        <w:tc>
          <w:tcPr>
            <w:tcW w:w="7593" w:type="dxa"/>
            <w:vAlign w:val="center"/>
          </w:tcPr>
          <w:p w14:paraId="1C9CF47E">
            <w:pPr>
              <w:spacing w:line="276" w:lineRule="auto"/>
              <w:jc w:val="left"/>
              <w:rPr>
                <w:rFonts w:eastAsiaTheme="minorEastAsia"/>
                <w:sz w:val="24"/>
              </w:rPr>
            </w:pPr>
            <w:r>
              <w:rPr>
                <w:rFonts w:eastAsiaTheme="minorEastAsia"/>
                <w:sz w:val="24"/>
              </w:rPr>
              <w:t>接收询问和质疑的联系方式</w:t>
            </w:r>
          </w:p>
          <w:p w14:paraId="4C5C5559">
            <w:pPr>
              <w:jc w:val="left"/>
              <w:rPr>
                <w:sz w:val="24"/>
              </w:rPr>
            </w:pPr>
            <w:r>
              <w:rPr>
                <w:rFonts w:hint="eastAsia"/>
                <w:sz w:val="24"/>
              </w:rPr>
              <w:t>联系部门：招标代理部；</w:t>
            </w:r>
          </w:p>
          <w:p w14:paraId="0D430D6E">
            <w:pPr>
              <w:jc w:val="left"/>
              <w:rPr>
                <w:sz w:val="24"/>
              </w:rPr>
            </w:pPr>
            <w:r>
              <w:rPr>
                <w:rFonts w:hint="eastAsia"/>
                <w:sz w:val="24"/>
              </w:rPr>
              <w:t>联系电话：010-53397765；</w:t>
            </w:r>
          </w:p>
          <w:p w14:paraId="6066DD1F">
            <w:pPr>
              <w:spacing w:line="276" w:lineRule="auto"/>
              <w:jc w:val="left"/>
              <w:rPr>
                <w:rFonts w:eastAsiaTheme="minorEastAsia"/>
                <w:sz w:val="24"/>
              </w:rPr>
            </w:pPr>
            <w:r>
              <w:rPr>
                <w:rFonts w:eastAsiaTheme="minorEastAsia"/>
                <w:sz w:val="24"/>
              </w:rPr>
              <w:t>通讯地址：</w:t>
            </w:r>
            <w:r>
              <w:rPr>
                <w:rFonts w:hint="eastAsia" w:eastAsiaTheme="minorEastAsia"/>
                <w:sz w:val="24"/>
                <w:u w:val="single"/>
              </w:rPr>
              <w:t>北京市西城区广安门南滨河路27号贵都国际中心A座501</w:t>
            </w:r>
            <w:r>
              <w:rPr>
                <w:rFonts w:eastAsiaTheme="minorEastAsia"/>
                <w:sz w:val="24"/>
              </w:rPr>
              <w:t>。</w:t>
            </w:r>
          </w:p>
        </w:tc>
      </w:tr>
      <w:tr w14:paraId="006C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0434753">
            <w:pPr>
              <w:pStyle w:val="25"/>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25</w:t>
            </w:r>
          </w:p>
        </w:tc>
        <w:tc>
          <w:tcPr>
            <w:tcW w:w="1701" w:type="dxa"/>
            <w:vAlign w:val="center"/>
          </w:tcPr>
          <w:p w14:paraId="0013F72D">
            <w:pPr>
              <w:jc w:val="center"/>
              <w:rPr>
                <w:rFonts w:eastAsiaTheme="minorEastAsia"/>
                <w:sz w:val="24"/>
              </w:rPr>
            </w:pPr>
            <w:r>
              <w:rPr>
                <w:rFonts w:eastAsiaTheme="minorEastAsia"/>
                <w:sz w:val="24"/>
              </w:rPr>
              <w:t>代理费</w:t>
            </w:r>
          </w:p>
        </w:tc>
        <w:tc>
          <w:tcPr>
            <w:tcW w:w="7593" w:type="dxa"/>
            <w:vAlign w:val="center"/>
          </w:tcPr>
          <w:p w14:paraId="18FE196B">
            <w:pPr>
              <w:spacing w:line="276" w:lineRule="auto"/>
              <w:jc w:val="left"/>
              <w:rPr>
                <w:rFonts w:eastAsiaTheme="minorEastAsia"/>
                <w:sz w:val="24"/>
              </w:rPr>
            </w:pPr>
            <w:r>
              <w:rPr>
                <w:rFonts w:eastAsiaTheme="minorEastAsia"/>
                <w:sz w:val="24"/>
              </w:rPr>
              <w:t>收费对象：</w:t>
            </w:r>
          </w:p>
          <w:p w14:paraId="6721EDD2">
            <w:pPr>
              <w:spacing w:line="276" w:lineRule="auto"/>
              <w:jc w:val="left"/>
              <w:rPr>
                <w:rFonts w:eastAsiaTheme="minorEastAsia"/>
                <w:sz w:val="24"/>
              </w:rPr>
            </w:pPr>
            <w:r>
              <w:rPr>
                <w:rFonts w:eastAsiaTheme="minorEastAsia"/>
              </w:rPr>
              <w:t>□</w:t>
            </w:r>
            <w:r>
              <w:rPr>
                <w:rFonts w:eastAsiaTheme="minorEastAsia"/>
                <w:sz w:val="24"/>
              </w:rPr>
              <w:t>采购人</w:t>
            </w:r>
          </w:p>
          <w:p w14:paraId="1BAD7185">
            <w:pPr>
              <w:spacing w:line="276" w:lineRule="auto"/>
              <w:jc w:val="left"/>
              <w:rPr>
                <w:rFonts w:eastAsiaTheme="minorEastAsia"/>
                <w:sz w:val="24"/>
              </w:rPr>
            </w:pPr>
            <w:r>
              <w:rPr>
                <w:rFonts w:eastAsiaTheme="minorEastAsia"/>
              </w:rPr>
              <w:t>■</w:t>
            </w:r>
            <w:r>
              <w:rPr>
                <w:rFonts w:eastAsiaTheme="minorEastAsia"/>
                <w:sz w:val="24"/>
              </w:rPr>
              <w:t>成交供应商</w:t>
            </w:r>
          </w:p>
          <w:p w14:paraId="67E8AF9D">
            <w:pPr>
              <w:spacing w:line="276" w:lineRule="auto"/>
              <w:jc w:val="left"/>
              <w:rPr>
                <w:rFonts w:eastAsiaTheme="minorEastAsia"/>
                <w:sz w:val="24"/>
              </w:rPr>
            </w:pPr>
            <w:r>
              <w:rPr>
                <w:rFonts w:eastAsiaTheme="minorEastAsia"/>
                <w:sz w:val="24"/>
              </w:rPr>
              <w:t>收费标准：</w:t>
            </w:r>
          </w:p>
          <w:p w14:paraId="64A611FE">
            <w:pPr>
              <w:spacing w:line="276" w:lineRule="auto"/>
              <w:jc w:val="left"/>
              <w:rPr>
                <w:rFonts w:eastAsiaTheme="minorEastAsia"/>
                <w:sz w:val="24"/>
                <w:u w:val="single"/>
              </w:rPr>
            </w:pPr>
            <w:r>
              <w:rPr>
                <w:rFonts w:hint="eastAsia" w:eastAsiaTheme="minorEastAsia"/>
                <w:sz w:val="24"/>
                <w:u w:val="single"/>
              </w:rPr>
              <w:t xml:space="preserve">招标代理费：参照国家发改委颁发的《招标代理服务费管理暂行办法》（计价格[2002]1980号）文件、国家发展改革委办公厅关于招标代理服务收费有关问题的通知（发改办价格[2003]857号）文件及《关于降低部分建设项目收费标准规范收费行为等有关问题的通知》发改价格[2011]534号文件规定计取，执行工程类招标相应费率，最终以实际成交价为基数据实计算。 </w:t>
            </w:r>
          </w:p>
          <w:p w14:paraId="2367F07D">
            <w:pPr>
              <w:spacing w:line="276" w:lineRule="auto"/>
              <w:jc w:val="left"/>
              <w:rPr>
                <w:rFonts w:eastAsiaTheme="minorEastAsia"/>
                <w:sz w:val="24"/>
                <w:u w:val="single"/>
              </w:rPr>
            </w:pPr>
            <w:r>
              <w:rPr>
                <w:rFonts w:eastAsiaTheme="minorEastAsia"/>
                <w:sz w:val="24"/>
              </w:rPr>
              <w:t>缴纳时间：</w:t>
            </w:r>
            <w:r>
              <w:rPr>
                <w:rFonts w:hint="eastAsia" w:eastAsiaTheme="minorEastAsia"/>
                <w:sz w:val="24"/>
                <w:u w:val="single"/>
              </w:rPr>
              <w:t>成交供应商自成交通知书发出之日起3个工作日内向采购代理机构一次性支付上述招标代理费及工程量清单及最高投标限价编制费</w:t>
            </w:r>
            <w:r>
              <w:rPr>
                <w:rFonts w:eastAsiaTheme="minorEastAsia"/>
                <w:sz w:val="24"/>
                <w:u w:val="single"/>
              </w:rPr>
              <w:t>。</w:t>
            </w:r>
          </w:p>
          <w:p w14:paraId="6581BAE8">
            <w:pPr>
              <w:spacing w:line="276" w:lineRule="auto"/>
              <w:jc w:val="left"/>
              <w:rPr>
                <w:rFonts w:eastAsiaTheme="minorEastAsia"/>
                <w:sz w:val="24"/>
                <w:u w:val="single"/>
              </w:rPr>
            </w:pPr>
            <w:r>
              <w:rPr>
                <w:rFonts w:hint="eastAsia" w:eastAsiaTheme="minorEastAsia"/>
                <w:sz w:val="24"/>
              </w:rPr>
              <w:t>开户银行：中国光大银行北京宣武支行</w:t>
            </w:r>
          </w:p>
          <w:p w14:paraId="3CEC4BC5">
            <w:pPr>
              <w:spacing w:line="276" w:lineRule="auto"/>
              <w:jc w:val="left"/>
              <w:rPr>
                <w:rFonts w:eastAsiaTheme="minorEastAsia"/>
                <w:sz w:val="24"/>
              </w:rPr>
            </w:pPr>
            <w:r>
              <w:rPr>
                <w:rFonts w:hint="eastAsia" w:eastAsiaTheme="minorEastAsia"/>
                <w:sz w:val="24"/>
              </w:rPr>
              <w:t>帐    号：35040180809167266</w:t>
            </w:r>
          </w:p>
          <w:p w14:paraId="50239736">
            <w:pPr>
              <w:spacing w:line="276" w:lineRule="auto"/>
              <w:jc w:val="left"/>
              <w:rPr>
                <w:rFonts w:eastAsiaTheme="minorEastAsia"/>
                <w:sz w:val="24"/>
              </w:rPr>
            </w:pPr>
            <w:r>
              <w:rPr>
                <w:rFonts w:hint="eastAsia" w:eastAsiaTheme="minorEastAsia"/>
                <w:sz w:val="24"/>
              </w:rPr>
              <w:t>缴纳方式：电汇或现金</w:t>
            </w:r>
          </w:p>
        </w:tc>
      </w:tr>
    </w:tbl>
    <w:p w14:paraId="24BB906E">
      <w:pPr>
        <w:tabs>
          <w:tab w:val="left" w:pos="5580"/>
        </w:tabs>
        <w:adjustRightInd w:val="0"/>
        <w:spacing w:line="360" w:lineRule="auto"/>
        <w:jc w:val="distribute"/>
        <w:rPr>
          <w:rFonts w:eastAsiaTheme="minorEastAsia"/>
          <w:sz w:val="24"/>
        </w:rPr>
        <w:sectPr>
          <w:footerReference r:id="rId10" w:type="first"/>
          <w:footerReference r:id="rId9" w:type="default"/>
          <w:pgSz w:w="11907" w:h="16840"/>
          <w:pgMar w:top="1418" w:right="1134" w:bottom="1418" w:left="1701" w:header="851" w:footer="851" w:gutter="0"/>
          <w:pgNumType w:start="1"/>
          <w:cols w:space="720" w:num="1"/>
          <w:titlePg/>
          <w:docGrid w:linePitch="462" w:charSpace="0"/>
        </w:sectPr>
      </w:pPr>
    </w:p>
    <w:p w14:paraId="4AA0849B">
      <w:pPr>
        <w:spacing w:before="240" w:beforeLines="100" w:after="240" w:afterLines="100"/>
        <w:jc w:val="center"/>
        <w:rPr>
          <w:rFonts w:eastAsiaTheme="minorEastAsia"/>
          <w:b/>
          <w:sz w:val="28"/>
          <w:szCs w:val="28"/>
        </w:rPr>
      </w:pPr>
      <w:r>
        <w:rPr>
          <w:rFonts w:eastAsiaTheme="minorEastAsia"/>
          <w:b/>
          <w:sz w:val="28"/>
          <w:szCs w:val="28"/>
        </w:rPr>
        <w:t>供应商须知</w:t>
      </w:r>
    </w:p>
    <w:p w14:paraId="0B0C1470">
      <w:pPr>
        <w:pStyle w:val="3"/>
        <w:tabs>
          <w:tab w:val="center" w:pos="4592"/>
          <w:tab w:val="left" w:pos="7860"/>
        </w:tabs>
        <w:spacing w:before="0" w:line="360" w:lineRule="auto"/>
        <w:jc w:val="left"/>
        <w:rPr>
          <w:rFonts w:ascii="Times New Roman" w:hAnsi="Times New Roman" w:eastAsiaTheme="minorEastAsia"/>
          <w:sz w:val="28"/>
        </w:rPr>
      </w:pPr>
      <w:bookmarkStart w:id="86" w:name="_Toc520356143"/>
      <w:bookmarkStart w:id="87" w:name="_Toc127151518"/>
      <w:r>
        <w:rPr>
          <w:rFonts w:ascii="Times New Roman" w:hAnsi="Times New Roman" w:eastAsiaTheme="minorEastAsia"/>
          <w:sz w:val="28"/>
        </w:rPr>
        <w:tab/>
      </w:r>
      <w:bookmarkStart w:id="88" w:name="_Toc151193688"/>
      <w:bookmarkStart w:id="89" w:name="_Toc150774618"/>
      <w:bookmarkStart w:id="90" w:name="_Toc150480756"/>
      <w:bookmarkStart w:id="91" w:name="_Toc195842883"/>
      <w:bookmarkStart w:id="92" w:name="_Toc150774723"/>
      <w:bookmarkStart w:id="93" w:name="_Toc305158860"/>
      <w:bookmarkStart w:id="94" w:name="_Toc142311020"/>
      <w:bookmarkStart w:id="95" w:name="_Toc226337214"/>
      <w:bookmarkStart w:id="96" w:name="_Toc265228356"/>
      <w:bookmarkStart w:id="97" w:name="_Toc151193832"/>
      <w:bookmarkStart w:id="98" w:name="_Toc151193760"/>
      <w:bookmarkStart w:id="99" w:name="_Toc150509269"/>
      <w:bookmarkStart w:id="100" w:name="_Toc226309762"/>
      <w:bookmarkStart w:id="101" w:name="_Toc226965708"/>
      <w:bookmarkStart w:id="102" w:name="_Toc264969208"/>
      <w:bookmarkStart w:id="103" w:name="_Toc151193906"/>
      <w:bookmarkStart w:id="104" w:name="_Toc151193616"/>
      <w:bookmarkStart w:id="105" w:name="_Toc305158786"/>
      <w:bookmarkStart w:id="106" w:name="_Toc151190145"/>
      <w:bookmarkStart w:id="107" w:name="_Toc226965791"/>
      <w:r>
        <w:rPr>
          <w:rFonts w:ascii="Times New Roman" w:hAnsi="Times New Roman" w:eastAsiaTheme="minorEastAsia"/>
          <w:sz w:val="28"/>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hAnsi="Times New Roman" w:eastAsiaTheme="minorEastAsia"/>
          <w:sz w:val="28"/>
        </w:rPr>
        <w:tab/>
      </w:r>
    </w:p>
    <w:p w14:paraId="6978D644">
      <w:pPr>
        <w:numPr>
          <w:ilvl w:val="0"/>
          <w:numId w:val="8"/>
        </w:numPr>
        <w:tabs>
          <w:tab w:val="left" w:pos="360"/>
          <w:tab w:val="clear" w:pos="900"/>
        </w:tabs>
        <w:snapToGrid w:val="0"/>
        <w:spacing w:line="360" w:lineRule="auto"/>
        <w:ind w:left="357" w:hanging="357"/>
        <w:outlineLvl w:val="1"/>
        <w:rPr>
          <w:rFonts w:eastAsiaTheme="minorEastAsia"/>
          <w:sz w:val="24"/>
        </w:rPr>
      </w:pPr>
      <w:bookmarkStart w:id="108" w:name="_Toc264969209"/>
      <w:bookmarkStart w:id="109" w:name="_Toc265228357"/>
      <w:bookmarkStart w:id="110" w:name="_Toc305158861"/>
      <w:bookmarkStart w:id="111" w:name="_Toc305158787"/>
      <w:r>
        <w:rPr>
          <w:rFonts w:eastAsiaTheme="minorEastAsia"/>
          <w:sz w:val="24"/>
        </w:rPr>
        <w:t>采购人、采购代理机构、供应商</w:t>
      </w:r>
      <w:bookmarkEnd w:id="108"/>
      <w:bookmarkEnd w:id="109"/>
      <w:bookmarkEnd w:id="110"/>
      <w:bookmarkEnd w:id="111"/>
      <w:r>
        <w:rPr>
          <w:rFonts w:eastAsiaTheme="minorEastAsia"/>
          <w:sz w:val="24"/>
        </w:rPr>
        <w:t>、联合体</w:t>
      </w:r>
    </w:p>
    <w:p w14:paraId="5BC0D6C7">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14:paraId="0FFC7599">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供应商（也称“申请人”）：指向采购人提供货物、工程或者服务的法人、其他组织或者自然人。</w:t>
      </w:r>
    </w:p>
    <w:p w14:paraId="6338383C">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14:paraId="7ED244D6">
      <w:pPr>
        <w:numPr>
          <w:ilvl w:val="0"/>
          <w:numId w:val="8"/>
        </w:numPr>
        <w:tabs>
          <w:tab w:val="left" w:pos="360"/>
          <w:tab w:val="clear" w:pos="900"/>
        </w:tabs>
        <w:snapToGrid w:val="0"/>
        <w:spacing w:line="360" w:lineRule="auto"/>
        <w:ind w:left="357" w:hanging="357"/>
        <w:outlineLvl w:val="1"/>
        <w:rPr>
          <w:rFonts w:eastAsiaTheme="minorEastAsia"/>
          <w:sz w:val="24"/>
        </w:rPr>
      </w:pPr>
      <w:bookmarkStart w:id="112" w:name="_Toc127151520"/>
      <w:bookmarkStart w:id="113" w:name="_Toc150774725"/>
      <w:bookmarkStart w:id="114" w:name="_Toc127151721"/>
      <w:bookmarkStart w:id="115" w:name="_Toc164608789"/>
      <w:bookmarkStart w:id="116" w:name="_Toc164608634"/>
      <w:bookmarkStart w:id="117" w:name="_Toc164351614"/>
      <w:bookmarkStart w:id="118" w:name="_Toc151190147"/>
      <w:bookmarkStart w:id="119" w:name="_Toc151193690"/>
      <w:bookmarkStart w:id="120" w:name="_Toc151193834"/>
      <w:bookmarkStart w:id="121" w:name="_Toc150774620"/>
      <w:bookmarkStart w:id="122" w:name="_Toc226965710"/>
      <w:bookmarkStart w:id="123" w:name="_Toc226337216"/>
      <w:bookmarkStart w:id="124" w:name="_Toc149720813"/>
      <w:bookmarkStart w:id="125" w:name="_Toc151193908"/>
      <w:bookmarkStart w:id="126" w:name="_Toc265228358"/>
      <w:bookmarkStart w:id="127" w:name="_Toc151193762"/>
      <w:bookmarkStart w:id="128" w:name="_Toc150509271"/>
      <w:bookmarkStart w:id="129" w:name="_Toc305158788"/>
      <w:bookmarkStart w:id="130" w:name="_Toc142311022"/>
      <w:bookmarkStart w:id="131" w:name="_Toc226309764"/>
      <w:bookmarkStart w:id="132" w:name="_Toc226965793"/>
      <w:bookmarkStart w:id="133" w:name="_Toc195842885"/>
      <w:bookmarkStart w:id="134" w:name="_Toc127161434"/>
      <w:bookmarkStart w:id="135" w:name="_Toc164229215"/>
      <w:bookmarkStart w:id="136" w:name="_Toc150480758"/>
      <w:bookmarkStart w:id="137" w:name="_Toc151193618"/>
      <w:bookmarkStart w:id="138" w:name="_Toc305158862"/>
      <w:bookmarkStart w:id="139" w:name="_Toc264969210"/>
      <w:bookmarkStart w:id="140" w:name="_Toc164229361"/>
      <w:r>
        <w:rPr>
          <w:rFonts w:eastAsiaTheme="minorEastAsia"/>
          <w:sz w:val="24"/>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Fonts w:eastAsiaTheme="minorEastAsia"/>
          <w:sz w:val="24"/>
        </w:rPr>
        <w:t>、项目属性、科研仪器设备采购</w:t>
      </w:r>
    </w:p>
    <w:p w14:paraId="63A7CD49">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资金来源为财政性资金和/或本项目采购中无法与财政性资金分割的非财政性资金。</w:t>
      </w:r>
    </w:p>
    <w:p w14:paraId="377B59FD">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项目属性见《供应商须知资料表》。</w:t>
      </w:r>
    </w:p>
    <w:p w14:paraId="12380B0A">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14:paraId="0B0C471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现场考察、磋商前答疑会</w:t>
      </w:r>
    </w:p>
    <w:p w14:paraId="711009A1">
      <w:pPr>
        <w:numPr>
          <w:ilvl w:val="1"/>
          <w:numId w:val="8"/>
        </w:numPr>
        <w:tabs>
          <w:tab w:val="left" w:pos="1080"/>
          <w:tab w:val="left" w:pos="2014"/>
        </w:tabs>
        <w:snapToGrid w:val="0"/>
        <w:spacing w:line="360" w:lineRule="auto"/>
        <w:ind w:left="1080" w:hanging="720"/>
        <w:rPr>
          <w:rFonts w:eastAsiaTheme="minorEastAsia"/>
          <w:sz w:val="28"/>
        </w:rPr>
      </w:pPr>
      <w:r>
        <w:rPr>
          <w:rFonts w:eastAsiaTheme="minorEastAsia"/>
          <w:sz w:val="24"/>
        </w:rPr>
        <w:t>若《供应商须知资料表》中规定了组织现场考察、召开磋商前答疑会，则供应商应按要求在规定的时间和地点参加。</w:t>
      </w:r>
      <w:bookmarkStart w:id="141" w:name="_Toc226965712"/>
      <w:bookmarkStart w:id="142" w:name="_Toc226965795"/>
      <w:bookmarkStart w:id="143" w:name="_Toc150480760"/>
      <w:bookmarkStart w:id="144" w:name="_Toc151193836"/>
      <w:bookmarkStart w:id="145" w:name="_Toc305158790"/>
      <w:bookmarkStart w:id="146" w:name="_Toc150774622"/>
      <w:bookmarkStart w:id="147" w:name="_Toc127151522"/>
      <w:bookmarkStart w:id="148" w:name="_Toc226309766"/>
      <w:bookmarkStart w:id="149" w:name="_Toc305158864"/>
      <w:bookmarkStart w:id="150" w:name="_Toc150774727"/>
      <w:bookmarkStart w:id="151" w:name="_Toc151193620"/>
      <w:bookmarkStart w:id="152" w:name="_Toc151193692"/>
      <w:bookmarkStart w:id="153" w:name="_Toc151193764"/>
      <w:bookmarkStart w:id="154" w:name="_Toc520356146"/>
      <w:bookmarkStart w:id="155" w:name="_Toc264969212"/>
      <w:bookmarkStart w:id="156" w:name="_Toc151190149"/>
      <w:bookmarkStart w:id="157" w:name="_Toc142311024"/>
      <w:bookmarkStart w:id="158" w:name="_Toc195842887"/>
      <w:bookmarkStart w:id="159" w:name="_Toc150509273"/>
      <w:bookmarkStart w:id="160" w:name="_Toc226337218"/>
      <w:bookmarkStart w:id="161" w:name="_Toc151193910"/>
      <w:bookmarkStart w:id="162" w:name="_Toc265228360"/>
    </w:p>
    <w:p w14:paraId="0F4E623F">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14:paraId="4D1BCEFF">
      <w:pPr>
        <w:numPr>
          <w:ilvl w:val="0"/>
          <w:numId w:val="8"/>
        </w:numPr>
        <w:tabs>
          <w:tab w:val="left" w:pos="360"/>
          <w:tab w:val="clear" w:pos="900"/>
        </w:tabs>
        <w:snapToGrid w:val="0"/>
        <w:spacing w:line="360" w:lineRule="auto"/>
        <w:ind w:left="357" w:hanging="357"/>
        <w:outlineLvl w:val="1"/>
        <w:rPr>
          <w:rFonts w:eastAsiaTheme="minorEastAsia"/>
          <w:sz w:val="24"/>
        </w:rPr>
      </w:pPr>
      <w:r>
        <w:rPr>
          <w:rFonts w:eastAsiaTheme="minorEastAsia"/>
          <w:sz w:val="24"/>
        </w:rPr>
        <w:t>政府采购政策（包括但不限于下列具体政策要求）</w:t>
      </w:r>
    </w:p>
    <w:p w14:paraId="3EE0EABF">
      <w:pPr>
        <w:numPr>
          <w:ilvl w:val="1"/>
          <w:numId w:val="8"/>
        </w:numPr>
        <w:tabs>
          <w:tab w:val="left" w:pos="1080"/>
          <w:tab w:val="left" w:pos="2014"/>
        </w:tabs>
        <w:snapToGrid w:val="0"/>
        <w:spacing w:line="360" w:lineRule="auto"/>
        <w:ind w:left="1080" w:hanging="720"/>
        <w:rPr>
          <w:rFonts w:eastAsiaTheme="minorEastAsia"/>
          <w:sz w:val="24"/>
        </w:rPr>
      </w:pPr>
      <w:r>
        <w:rPr>
          <w:sz w:val="24"/>
        </w:rPr>
        <w:t>采购本国货物、工程和服务</w:t>
      </w:r>
    </w:p>
    <w:p w14:paraId="559A809F">
      <w:pPr>
        <w:numPr>
          <w:ilvl w:val="2"/>
          <w:numId w:val="8"/>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2345286F">
      <w:pPr>
        <w:numPr>
          <w:ilvl w:val="2"/>
          <w:numId w:val="8"/>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14:paraId="2F2CE78B">
      <w:pPr>
        <w:numPr>
          <w:ilvl w:val="2"/>
          <w:numId w:val="8"/>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68BB8254">
      <w:pPr>
        <w:numPr>
          <w:ilvl w:val="1"/>
          <w:numId w:val="8"/>
        </w:numPr>
        <w:tabs>
          <w:tab w:val="left" w:pos="1080"/>
        </w:tabs>
        <w:snapToGrid w:val="0"/>
        <w:spacing w:line="360" w:lineRule="auto"/>
        <w:rPr>
          <w:sz w:val="24"/>
        </w:rPr>
      </w:pPr>
      <w:r>
        <w:rPr>
          <w:rFonts w:hint="eastAsia"/>
          <w:sz w:val="24"/>
        </w:rPr>
        <w:t>本国产品</w:t>
      </w:r>
    </w:p>
    <w:p w14:paraId="7C83D19D">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680D72F6">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14:paraId="67003C2E">
      <w:pPr>
        <w:numPr>
          <w:ilvl w:val="2"/>
          <w:numId w:val="8"/>
        </w:numPr>
        <w:snapToGrid w:val="0"/>
        <w:spacing w:line="360" w:lineRule="auto"/>
        <w:rPr>
          <w:rFonts w:eastAsiaTheme="minorEastAsia"/>
          <w:sz w:val="24"/>
        </w:rPr>
      </w:pPr>
      <w:r>
        <w:rPr>
          <w:rFonts w:eastAsiaTheme="minorEastAsia"/>
          <w:sz w:val="24"/>
        </w:rPr>
        <w:t>中小企业定义：</w:t>
      </w:r>
    </w:p>
    <w:p w14:paraId="0F11915F">
      <w:pPr>
        <w:pStyle w:val="84"/>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sz w:val="24"/>
          <w:szCs w:val="24"/>
        </w:rPr>
      </w:pPr>
    </w:p>
    <w:p w14:paraId="3002A921">
      <w:pPr>
        <w:pStyle w:val="84"/>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sz w:val="24"/>
          <w:szCs w:val="24"/>
        </w:rPr>
      </w:pPr>
    </w:p>
    <w:p w14:paraId="711F12A1">
      <w:pPr>
        <w:pStyle w:val="84"/>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sz w:val="24"/>
          <w:szCs w:val="24"/>
        </w:rPr>
      </w:pPr>
    </w:p>
    <w:p w14:paraId="501A9ACE">
      <w:pPr>
        <w:pStyle w:val="84"/>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sz w:val="24"/>
          <w:szCs w:val="24"/>
        </w:rPr>
      </w:pPr>
    </w:p>
    <w:p w14:paraId="27B1B577">
      <w:pPr>
        <w:pStyle w:val="84"/>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sz w:val="24"/>
          <w:szCs w:val="24"/>
        </w:rPr>
      </w:pPr>
    </w:p>
    <w:p w14:paraId="678B6DE5">
      <w:pPr>
        <w:pStyle w:val="84"/>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sz w:val="24"/>
          <w:szCs w:val="24"/>
        </w:rPr>
      </w:pPr>
    </w:p>
    <w:p w14:paraId="6B03D7F6">
      <w:pPr>
        <w:pStyle w:val="84"/>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sz w:val="24"/>
          <w:szCs w:val="24"/>
        </w:rPr>
      </w:pPr>
    </w:p>
    <w:p w14:paraId="0D80D62E">
      <w:pPr>
        <w:pStyle w:val="84"/>
        <w:numPr>
          <w:ilvl w:val="2"/>
          <w:numId w:val="9"/>
        </w:numPr>
        <w:tabs>
          <w:tab w:val="left" w:pos="900"/>
          <w:tab w:val="left" w:pos="1589"/>
          <w:tab w:val="left" w:pos="2035"/>
          <w:tab w:val="left" w:pos="2977"/>
        </w:tabs>
        <w:snapToGrid w:val="0"/>
        <w:spacing w:line="360" w:lineRule="auto"/>
        <w:ind w:firstLineChars="0"/>
        <w:rPr>
          <w:rFonts w:ascii="Times New Roman" w:hAnsi="Times New Roman" w:eastAsiaTheme="minorEastAsia"/>
          <w:vanish/>
          <w:sz w:val="24"/>
          <w:szCs w:val="24"/>
        </w:rPr>
      </w:pPr>
    </w:p>
    <w:p w14:paraId="22A56613">
      <w:pPr>
        <w:numPr>
          <w:ilvl w:val="3"/>
          <w:numId w:val="9"/>
        </w:numPr>
        <w:tabs>
          <w:tab w:val="left" w:pos="1589"/>
          <w:tab w:val="left" w:pos="1988"/>
          <w:tab w:val="left" w:pos="2035"/>
          <w:tab w:val="left" w:pos="2977"/>
        </w:tabs>
        <w:snapToGrid w:val="0"/>
        <w:spacing w:line="360" w:lineRule="auto"/>
        <w:ind w:left="2885"/>
        <w:rPr>
          <w:rFonts w:eastAsiaTheme="minorEastAsia"/>
          <w:sz w:val="24"/>
        </w:rPr>
      </w:pPr>
      <w:r>
        <w:rPr>
          <w:rFonts w:eastAsiaTheme="minorEastAsia"/>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eastAsiaTheme="minorEastAsia"/>
          <w:sz w:val="24"/>
        </w:rPr>
        <w:t>判定</w:t>
      </w:r>
      <w:r>
        <w:rPr>
          <w:rFonts w:eastAsiaTheme="minorEastAsia"/>
          <w:sz w:val="24"/>
        </w:rPr>
        <w:t>依据《中华人民共和国中小企业促进法》、</w:t>
      </w:r>
      <w:r>
        <w:rPr>
          <w:sz w:val="24"/>
        </w:rPr>
        <w:t>《关于进一步加大政府采购支持中小企业力度的通知》（财库〔2022〕19号）、</w:t>
      </w:r>
      <w:r>
        <w:rPr>
          <w:rFonts w:eastAsiaTheme="minorEastAsia"/>
          <w:sz w:val="24"/>
        </w:rPr>
        <w:t>《政府采购促进中小企业发展管理办法》（财库〔2020〕46号）、《关于印发中小企业划型标准规定的通知》（工信部联企业〔2011〕300 号）</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rFonts w:eastAsiaTheme="minorEastAsia"/>
          <w:sz w:val="24"/>
        </w:rPr>
        <w:t>。</w:t>
      </w:r>
    </w:p>
    <w:p w14:paraId="3E49A5B1">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供应商提供的货物、工程或者服务符合下列情形的，享受中小企业扶持政策：</w:t>
      </w:r>
    </w:p>
    <w:p w14:paraId="2A665962">
      <w:pPr>
        <w:tabs>
          <w:tab w:val="left" w:pos="1980"/>
        </w:tabs>
        <w:snapToGrid w:val="0"/>
        <w:spacing w:line="360" w:lineRule="auto"/>
        <w:ind w:left="2835" w:leftChars="1350"/>
        <w:rPr>
          <w:rFonts w:eastAsiaTheme="minorEastAsia"/>
          <w:sz w:val="24"/>
        </w:rPr>
      </w:pPr>
      <w:r>
        <w:rPr>
          <w:rFonts w:eastAsiaTheme="minorEastAsia"/>
          <w:sz w:val="24"/>
        </w:rPr>
        <w:t>（1）在货物采购项目中，货物由中小企业制造，即货物由中小企业生产且使用该中小企业商号或者注册商标；</w:t>
      </w:r>
    </w:p>
    <w:p w14:paraId="337FD586">
      <w:pPr>
        <w:tabs>
          <w:tab w:val="left" w:pos="1980"/>
        </w:tabs>
        <w:snapToGrid w:val="0"/>
        <w:spacing w:line="360" w:lineRule="auto"/>
        <w:ind w:left="2835" w:leftChars="1350"/>
        <w:rPr>
          <w:rFonts w:eastAsiaTheme="minorEastAsia"/>
          <w:sz w:val="24"/>
        </w:rPr>
      </w:pPr>
      <w:r>
        <w:rPr>
          <w:rFonts w:eastAsiaTheme="minorEastAsia"/>
          <w:sz w:val="24"/>
        </w:rPr>
        <w:t>（2）在工程采购项目中，工程由中小企业承建，即工程施工单位为中小企业；</w:t>
      </w:r>
    </w:p>
    <w:p w14:paraId="4A2F561D">
      <w:pPr>
        <w:tabs>
          <w:tab w:val="left" w:pos="1980"/>
        </w:tabs>
        <w:snapToGrid w:val="0"/>
        <w:spacing w:line="360" w:lineRule="auto"/>
        <w:ind w:left="2835" w:leftChars="1350"/>
        <w:rPr>
          <w:rFonts w:eastAsiaTheme="minorEastAsia"/>
          <w:sz w:val="24"/>
        </w:rPr>
      </w:pPr>
      <w:r>
        <w:rPr>
          <w:rFonts w:eastAsiaTheme="minorEastAsia"/>
          <w:sz w:val="24"/>
        </w:rPr>
        <w:t>（3）在服务采购项目中，服务由中小企业承接，即提供服务的人员为中小企业依照《中华人民共和国劳动合同法》订立劳动合同的从业人员。</w:t>
      </w:r>
    </w:p>
    <w:p w14:paraId="1507679C">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14:paraId="581E93AD">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以联合体形式参加政府采购活动，联合体各方均为中小企业的，联合体视同中小企业。其中，联合体各方均为小微企业的，联合体视同小微企业。</w:t>
      </w:r>
    </w:p>
    <w:p w14:paraId="2814430B">
      <w:pPr>
        <w:numPr>
          <w:ilvl w:val="2"/>
          <w:numId w:val="8"/>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C5CC5C1">
      <w:pPr>
        <w:numPr>
          <w:ilvl w:val="2"/>
          <w:numId w:val="8"/>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14:paraId="7E1B3EE6">
      <w:pPr>
        <w:pStyle w:val="84"/>
        <w:numPr>
          <w:ilvl w:val="2"/>
          <w:numId w:val="9"/>
        </w:numPr>
        <w:tabs>
          <w:tab w:val="left" w:pos="2035"/>
          <w:tab w:val="left" w:pos="2977"/>
        </w:tabs>
        <w:snapToGrid w:val="0"/>
        <w:spacing w:line="360" w:lineRule="auto"/>
        <w:ind w:firstLineChars="0"/>
        <w:rPr>
          <w:rFonts w:ascii="Times New Roman" w:hAnsi="Times New Roman" w:eastAsiaTheme="minorEastAsia"/>
          <w:vanish/>
          <w:sz w:val="24"/>
          <w:szCs w:val="24"/>
        </w:rPr>
      </w:pPr>
    </w:p>
    <w:p w14:paraId="7648E9D3">
      <w:pPr>
        <w:pStyle w:val="84"/>
        <w:numPr>
          <w:ilvl w:val="2"/>
          <w:numId w:val="9"/>
        </w:numPr>
        <w:tabs>
          <w:tab w:val="left" w:pos="2035"/>
          <w:tab w:val="left" w:pos="2977"/>
        </w:tabs>
        <w:snapToGrid w:val="0"/>
        <w:spacing w:line="360" w:lineRule="auto"/>
        <w:ind w:firstLineChars="0"/>
        <w:rPr>
          <w:rFonts w:ascii="Times New Roman" w:hAnsi="Times New Roman" w:eastAsiaTheme="minorEastAsia"/>
          <w:vanish/>
          <w:sz w:val="24"/>
          <w:szCs w:val="24"/>
        </w:rPr>
      </w:pPr>
    </w:p>
    <w:p w14:paraId="663F2F9F">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安置的残疾人占本单位在职职工人数的比例不低于25%（含25%），并且安置的残疾人人数不少于10 人（含10 人）；</w:t>
      </w:r>
    </w:p>
    <w:p w14:paraId="2112DD3A">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依法与安置的每位残疾人签订了一年以上（含一年）的劳动合同或服务协议；</w:t>
      </w:r>
    </w:p>
    <w:p w14:paraId="6BBDB436">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为安置的每位残疾人按月足额缴纳了基本养老保险、基本医疗保险、失业保险、工伤保险和生育保险等社会保险费；</w:t>
      </w:r>
    </w:p>
    <w:p w14:paraId="67B77A05">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通过银行等金融机构向安置的每位残疾人，按月支付了不低于单位所在区县适用的经省级人民政府批准的月最低工资标准的工资；</w:t>
      </w:r>
    </w:p>
    <w:p w14:paraId="04D0FC25">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14:paraId="6065C140">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AB39BBA">
      <w:pPr>
        <w:numPr>
          <w:ilvl w:val="2"/>
          <w:numId w:val="8"/>
        </w:numPr>
        <w:snapToGrid w:val="0"/>
        <w:spacing w:line="360" w:lineRule="auto"/>
        <w:rPr>
          <w:rFonts w:eastAsiaTheme="minorEastAsia"/>
          <w:sz w:val="24"/>
        </w:rPr>
      </w:pPr>
      <w:r>
        <w:rPr>
          <w:rFonts w:eastAsiaTheme="minorEastAsia"/>
          <w:sz w:val="24"/>
        </w:rPr>
        <w:t>本项目是否专门面向中小企业预留采购份额见第一章《采购邀请》。</w:t>
      </w:r>
    </w:p>
    <w:p w14:paraId="176A027E">
      <w:pPr>
        <w:numPr>
          <w:ilvl w:val="2"/>
          <w:numId w:val="8"/>
        </w:numPr>
        <w:snapToGrid w:val="0"/>
        <w:spacing w:line="360" w:lineRule="auto"/>
        <w:rPr>
          <w:rFonts w:eastAsiaTheme="minorEastAsia"/>
          <w:sz w:val="24"/>
        </w:rPr>
      </w:pPr>
      <w:r>
        <w:rPr>
          <w:rFonts w:eastAsiaTheme="minorEastAsia"/>
          <w:sz w:val="24"/>
        </w:rPr>
        <w:t>采购标的对应的中小企业划分标准所属行业见《供应商须知资料表》。</w:t>
      </w:r>
    </w:p>
    <w:p w14:paraId="58EE6008">
      <w:pPr>
        <w:numPr>
          <w:ilvl w:val="2"/>
          <w:numId w:val="8"/>
        </w:numPr>
        <w:snapToGrid w:val="0"/>
        <w:spacing w:line="360" w:lineRule="auto"/>
        <w:rPr>
          <w:rFonts w:eastAsiaTheme="minorEastAsia"/>
          <w:sz w:val="24"/>
        </w:rPr>
      </w:pPr>
      <w:r>
        <w:rPr>
          <w:rFonts w:eastAsiaTheme="minorEastAsia"/>
          <w:sz w:val="24"/>
        </w:rPr>
        <w:t>小微企业价格评审优惠的政策调整：见第三章《评审方法和评审标准》。</w:t>
      </w:r>
    </w:p>
    <w:p w14:paraId="4BE6FEF4">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14:paraId="77CFADA1">
      <w:pPr>
        <w:numPr>
          <w:ilvl w:val="2"/>
          <w:numId w:val="8"/>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544F544">
      <w:pPr>
        <w:numPr>
          <w:ilvl w:val="2"/>
          <w:numId w:val="8"/>
        </w:numPr>
        <w:snapToGrid w:val="0"/>
        <w:spacing w:line="360" w:lineRule="auto"/>
        <w:rPr>
          <w:rFonts w:eastAsiaTheme="minorEastAsia"/>
          <w:sz w:val="24"/>
        </w:rPr>
      </w:pPr>
      <w:r>
        <w:rPr>
          <w:rFonts w:eastAsiaTheme="minor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7182349A">
      <w:pPr>
        <w:numPr>
          <w:ilvl w:val="2"/>
          <w:numId w:val="8"/>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14:paraId="2B28DE60">
      <w:pPr>
        <w:numPr>
          <w:ilvl w:val="2"/>
          <w:numId w:val="8"/>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14:paraId="59E7C80A">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14:paraId="2BF20632">
      <w:pPr>
        <w:numPr>
          <w:ilvl w:val="2"/>
          <w:numId w:val="8"/>
        </w:numPr>
        <w:snapToGrid w:val="0"/>
        <w:spacing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7EE4687A">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14:paraId="1B8918FE">
      <w:pPr>
        <w:numPr>
          <w:ilvl w:val="2"/>
          <w:numId w:val="8"/>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759087BC">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推广使用低挥发性有机化合物（VOCs）</w:t>
      </w:r>
    </w:p>
    <w:p w14:paraId="44B431BB">
      <w:pPr>
        <w:numPr>
          <w:ilvl w:val="2"/>
          <w:numId w:val="8"/>
        </w:numPr>
        <w:snapToGrid w:val="0"/>
        <w:spacing w:line="360" w:lineRule="auto"/>
        <w:rPr>
          <w:rFonts w:eastAsiaTheme="minorEastAsia"/>
          <w:sz w:val="24"/>
        </w:rPr>
      </w:pPr>
      <w:r>
        <w:rPr>
          <w:rFonts w:eastAsiaTheme="minor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14:paraId="4FE4A547">
      <w:pPr>
        <w:numPr>
          <w:ilvl w:val="1"/>
          <w:numId w:val="8"/>
        </w:numPr>
        <w:tabs>
          <w:tab w:val="left" w:pos="1080"/>
        </w:tabs>
        <w:snapToGrid w:val="0"/>
        <w:spacing w:line="360" w:lineRule="auto"/>
        <w:rPr>
          <w:sz w:val="24"/>
        </w:rPr>
      </w:pPr>
      <w:r>
        <w:rPr>
          <w:sz w:val="24"/>
        </w:rPr>
        <w:t>采购需求标准</w:t>
      </w:r>
    </w:p>
    <w:p w14:paraId="11A5868A">
      <w:pPr>
        <w:numPr>
          <w:ilvl w:val="2"/>
          <w:numId w:val="8"/>
        </w:numPr>
        <w:snapToGrid w:val="0"/>
        <w:spacing w:line="360" w:lineRule="auto"/>
        <w:rPr>
          <w:sz w:val="24"/>
        </w:rPr>
      </w:pPr>
      <w:r>
        <w:rPr>
          <w:sz w:val="24"/>
        </w:rPr>
        <w:t>商品包装、快递包装政府采购需求标准（试行）</w:t>
      </w:r>
    </w:p>
    <w:p w14:paraId="16270545">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14:paraId="7201F730">
      <w:pPr>
        <w:numPr>
          <w:ilvl w:val="2"/>
          <w:numId w:val="8"/>
        </w:numPr>
        <w:tabs>
          <w:tab w:val="left" w:pos="2014"/>
        </w:tabs>
        <w:snapToGrid w:val="0"/>
        <w:spacing w:line="360" w:lineRule="auto"/>
        <w:rPr>
          <w:sz w:val="24"/>
        </w:rPr>
      </w:pPr>
      <w:r>
        <w:rPr>
          <w:rFonts w:hint="eastAsia"/>
          <w:sz w:val="24"/>
        </w:rPr>
        <w:t>其他</w:t>
      </w:r>
      <w:r>
        <w:rPr>
          <w:sz w:val="24"/>
        </w:rPr>
        <w:t>政府采购需求标准</w:t>
      </w:r>
      <w:r>
        <w:rPr>
          <w:rFonts w:hint="eastAsia"/>
          <w:sz w:val="24"/>
        </w:rPr>
        <w:t xml:space="preserve"> </w:t>
      </w:r>
    </w:p>
    <w:p w14:paraId="5074E572">
      <w:pPr>
        <w:tabs>
          <w:tab w:val="left" w:pos="900"/>
          <w:tab w:val="left" w:pos="1980"/>
        </w:tabs>
        <w:snapToGrid w:val="0"/>
        <w:spacing w:line="360" w:lineRule="auto"/>
        <w:ind w:left="1980"/>
        <w:rPr>
          <w:rFonts w:eastAsiaTheme="minorEastAsia"/>
          <w:sz w:val="24"/>
        </w:rPr>
      </w:pPr>
      <w:r>
        <w:rPr>
          <w:rFonts w:hint="eastAsia"/>
          <w:sz w:val="24"/>
        </w:rPr>
        <w:t>为贯彻落实《深化政府采购制度改革方案》有关要求，推动政府采购需求标准建设，</w:t>
      </w:r>
      <w:bookmarkStart w:id="163" w:name="_Hlk168431650"/>
      <w:r>
        <w:rPr>
          <w:rFonts w:hint="eastAsia"/>
          <w:sz w:val="24"/>
        </w:rPr>
        <w:t>财政部门会同有关部门制定发布的</w:t>
      </w:r>
      <w:bookmarkEnd w:id="163"/>
      <w:r>
        <w:rPr>
          <w:rFonts w:hint="eastAsia"/>
          <w:sz w:val="24"/>
        </w:rPr>
        <w:t>其他政府采购需求标准，</w:t>
      </w:r>
      <w:r>
        <w:rPr>
          <w:sz w:val="24"/>
        </w:rPr>
        <w:t>本项目如涉及，则具体要求见第四章《采购需求》。</w:t>
      </w:r>
    </w:p>
    <w:p w14:paraId="2F932DBE">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响应费用</w:t>
      </w:r>
    </w:p>
    <w:p w14:paraId="3C4E9802">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14:paraId="2E2A513B">
      <w:pPr>
        <w:tabs>
          <w:tab w:val="left" w:pos="1080"/>
        </w:tabs>
        <w:snapToGrid w:val="0"/>
        <w:spacing w:line="360" w:lineRule="auto"/>
        <w:ind w:left="1080"/>
        <w:rPr>
          <w:rFonts w:eastAsiaTheme="minorEastAsia"/>
          <w:sz w:val="28"/>
        </w:rPr>
      </w:pPr>
      <w:bookmarkStart w:id="164" w:name="_1.8_计量单位"/>
      <w:bookmarkEnd w:id="164"/>
    </w:p>
    <w:p w14:paraId="287B095F">
      <w:pPr>
        <w:pStyle w:val="3"/>
        <w:spacing w:before="0" w:line="360" w:lineRule="auto"/>
        <w:rPr>
          <w:rFonts w:ascii="Times New Roman" w:hAnsi="Times New Roman" w:eastAsiaTheme="minorEastAsia"/>
          <w:sz w:val="28"/>
        </w:rPr>
      </w:pPr>
      <w:r>
        <w:rPr>
          <w:rFonts w:ascii="Times New Roman" w:hAnsi="Times New Roman" w:eastAsiaTheme="minorEastAsia"/>
          <w:sz w:val="28"/>
        </w:rPr>
        <w:t>二   竞争性磋商文件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13233930">
      <w:pPr>
        <w:numPr>
          <w:ilvl w:val="0"/>
          <w:numId w:val="8"/>
        </w:numPr>
        <w:tabs>
          <w:tab w:val="left" w:pos="360"/>
        </w:tabs>
        <w:snapToGrid w:val="0"/>
        <w:spacing w:line="360" w:lineRule="auto"/>
        <w:ind w:left="357" w:hanging="357"/>
        <w:outlineLvl w:val="1"/>
        <w:rPr>
          <w:rFonts w:eastAsiaTheme="minorEastAsia"/>
          <w:sz w:val="24"/>
        </w:rPr>
      </w:pPr>
      <w:bookmarkStart w:id="165" w:name="_Toc127161437"/>
      <w:bookmarkStart w:id="166" w:name="_Toc520356147"/>
      <w:bookmarkStart w:id="167" w:name="_Toc127151724"/>
      <w:bookmarkStart w:id="168" w:name="_Toc150509274"/>
      <w:bookmarkStart w:id="169" w:name="_Toc195842888"/>
      <w:bookmarkStart w:id="170" w:name="_Toc151193693"/>
      <w:bookmarkStart w:id="171" w:name="_Toc127151523"/>
      <w:bookmarkStart w:id="172" w:name="_Toc164229364"/>
      <w:bookmarkStart w:id="173" w:name="_Toc151193837"/>
      <w:bookmarkStart w:id="174" w:name="_Toc150774728"/>
      <w:bookmarkStart w:id="175" w:name="_Toc164608637"/>
      <w:bookmarkStart w:id="176" w:name="_Toc226965713"/>
      <w:bookmarkStart w:id="177" w:name="_Toc142311025"/>
      <w:bookmarkStart w:id="178" w:name="_Toc151193765"/>
      <w:bookmarkStart w:id="179" w:name="_Toc150480761"/>
      <w:bookmarkStart w:id="180" w:name="_Toc149720816"/>
      <w:bookmarkStart w:id="181" w:name="_Toc265228361"/>
      <w:bookmarkStart w:id="182" w:name="_Toc151193621"/>
      <w:bookmarkStart w:id="183" w:name="_Toc226965796"/>
      <w:bookmarkStart w:id="184" w:name="_Toc305158791"/>
      <w:bookmarkStart w:id="185" w:name="_Toc305158865"/>
      <w:bookmarkStart w:id="186" w:name="_Toc151193911"/>
      <w:bookmarkStart w:id="187" w:name="_Toc264969213"/>
      <w:bookmarkStart w:id="188" w:name="_Toc164229218"/>
      <w:bookmarkStart w:id="189" w:name="_Toc150774623"/>
      <w:bookmarkStart w:id="190" w:name="_Toc226309767"/>
      <w:bookmarkStart w:id="191" w:name="_Toc164351617"/>
      <w:bookmarkStart w:id="192" w:name="_Toc164608792"/>
      <w:bookmarkStart w:id="193" w:name="_Toc151190150"/>
      <w:bookmarkStart w:id="194" w:name="_Toc226337219"/>
      <w:r>
        <w:rPr>
          <w:rFonts w:eastAsiaTheme="minorEastAsia"/>
          <w:sz w:val="24"/>
        </w:rPr>
        <w:t>竞争性磋商文件构</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Pr>
          <w:rFonts w:eastAsiaTheme="minorEastAsia"/>
          <w:sz w:val="24"/>
        </w:rPr>
        <w:t>成</w:t>
      </w:r>
    </w:p>
    <w:p w14:paraId="49559857">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竞争性磋商文件包括以下部分：</w:t>
      </w:r>
    </w:p>
    <w:p w14:paraId="73C21A65">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14:paraId="787B77E5">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14:paraId="33B378EA">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评审方法和评审标准</w:t>
      </w:r>
    </w:p>
    <w:p w14:paraId="07327211">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14:paraId="354EAD79">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14:paraId="2661D6BF">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14:paraId="1278246C">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14:paraId="2619FE34">
      <w:pPr>
        <w:numPr>
          <w:ilvl w:val="0"/>
          <w:numId w:val="8"/>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对竞争性磋商文件的澄清或修改</w:t>
      </w:r>
    </w:p>
    <w:p w14:paraId="4E39E8DB">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1EA6FCD7">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上述书面通知，按照获取竞争性磋商文件的潜在供应商提供的联系方式发出，因提供的信息有误导致通知延迟或无法通知的，采购人或采购代理机构不承担责任。</w:t>
      </w:r>
    </w:p>
    <w:p w14:paraId="073E916F">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kern w:val="0"/>
          <w:sz w:val="24"/>
        </w:rPr>
        <w:t>以书面形式通知所有获取磋商文件的供应商</w:t>
      </w:r>
      <w:r>
        <w:rPr>
          <w:rFonts w:eastAsiaTheme="minorEastAsia"/>
          <w:sz w:val="24"/>
        </w:rPr>
        <w:t>；不足上述时间的，将顺延提交</w:t>
      </w:r>
      <w:r>
        <w:rPr>
          <w:rFonts w:hint="eastAsia" w:eastAsiaTheme="minorEastAsia"/>
          <w:sz w:val="24"/>
        </w:rPr>
        <w:t>首次</w:t>
      </w:r>
      <w:r>
        <w:rPr>
          <w:rFonts w:eastAsiaTheme="minorEastAsia"/>
          <w:sz w:val="24"/>
        </w:rPr>
        <w:t>响应文件截止时间。</w:t>
      </w:r>
    </w:p>
    <w:p w14:paraId="065E1430">
      <w:pPr>
        <w:tabs>
          <w:tab w:val="left" w:pos="1080"/>
          <w:tab w:val="left" w:pos="1561"/>
        </w:tabs>
        <w:snapToGrid w:val="0"/>
        <w:spacing w:line="360" w:lineRule="auto"/>
        <w:ind w:left="1080"/>
        <w:rPr>
          <w:rFonts w:eastAsiaTheme="minorEastAsia"/>
          <w:sz w:val="28"/>
        </w:rPr>
      </w:pPr>
      <w:bookmarkStart w:id="195" w:name="_Toc516367020"/>
      <w:bookmarkStart w:id="196" w:name="_Toc150480764"/>
      <w:bookmarkStart w:id="197" w:name="_Toc305158868"/>
      <w:bookmarkStart w:id="198" w:name="_Toc151193840"/>
      <w:bookmarkStart w:id="199" w:name="_Toc195842891"/>
      <w:bookmarkStart w:id="200" w:name="_Toc226309770"/>
      <w:bookmarkStart w:id="201" w:name="_Toc264969216"/>
      <w:bookmarkStart w:id="202" w:name="_Toc151190153"/>
      <w:bookmarkStart w:id="203" w:name="_Toc151193696"/>
      <w:bookmarkStart w:id="204" w:name="_Toc151193624"/>
      <w:bookmarkStart w:id="205" w:name="_Toc151193768"/>
      <w:bookmarkStart w:id="206" w:name="_Toc226337222"/>
      <w:bookmarkStart w:id="207" w:name="_Toc127151526"/>
      <w:bookmarkStart w:id="208" w:name="_Toc150509277"/>
      <w:bookmarkStart w:id="209" w:name="_Toc226965716"/>
      <w:bookmarkStart w:id="210" w:name="_Toc142311028"/>
      <w:bookmarkStart w:id="211" w:name="_Toc150774731"/>
      <w:bookmarkStart w:id="212" w:name="_Toc265228364"/>
      <w:bookmarkStart w:id="213" w:name="_Toc226965799"/>
      <w:bookmarkStart w:id="214" w:name="_Toc305158794"/>
      <w:bookmarkStart w:id="215" w:name="_Toc520356150"/>
      <w:bookmarkStart w:id="216" w:name="_Toc150774626"/>
      <w:bookmarkStart w:id="217" w:name="_Toc151193914"/>
    </w:p>
    <w:p w14:paraId="62392624">
      <w:pPr>
        <w:pStyle w:val="3"/>
        <w:spacing w:before="0" w:line="360" w:lineRule="auto"/>
        <w:rPr>
          <w:rFonts w:ascii="Times New Roman" w:hAnsi="Times New Roman" w:eastAsiaTheme="minorEastAsia"/>
          <w:sz w:val="28"/>
        </w:rPr>
      </w:pPr>
      <w:r>
        <w:rPr>
          <w:rFonts w:ascii="Times New Roman" w:hAnsi="Times New Roman" w:eastAsiaTheme="minorEastAsia"/>
          <w:sz w:val="28"/>
        </w:rPr>
        <w:t>三   响应文件</w:t>
      </w:r>
      <w:bookmarkEnd w:id="195"/>
      <w:r>
        <w:rPr>
          <w:rFonts w:ascii="Times New Roman" w:hAnsi="Times New Roman" w:eastAsiaTheme="minorEastAsia"/>
          <w:sz w:val="28"/>
        </w:rPr>
        <w:t>的编制</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45790F77">
      <w:pPr>
        <w:numPr>
          <w:ilvl w:val="0"/>
          <w:numId w:val="8"/>
        </w:numPr>
        <w:tabs>
          <w:tab w:val="left" w:pos="360"/>
        </w:tabs>
        <w:snapToGrid w:val="0"/>
        <w:spacing w:line="360" w:lineRule="auto"/>
        <w:ind w:left="357" w:hanging="357"/>
        <w:outlineLvl w:val="1"/>
        <w:rPr>
          <w:rFonts w:eastAsiaTheme="minorEastAsia"/>
          <w:sz w:val="24"/>
        </w:rPr>
      </w:pPr>
      <w:bookmarkStart w:id="218" w:name="_Toc164229368"/>
      <w:bookmarkStart w:id="219" w:name="_Toc516367021"/>
      <w:bookmarkStart w:id="220" w:name="_Toc151190154"/>
      <w:bookmarkStart w:id="221" w:name="_Toc150480765"/>
      <w:bookmarkStart w:id="222" w:name="_Toc127151527"/>
      <w:bookmarkStart w:id="223" w:name="_Toc195842892"/>
      <w:bookmarkStart w:id="224" w:name="_Toc265228365"/>
      <w:bookmarkStart w:id="225" w:name="_Toc164608641"/>
      <w:bookmarkStart w:id="226" w:name="_Toc151193697"/>
      <w:bookmarkStart w:id="227" w:name="_Toc226309771"/>
      <w:bookmarkStart w:id="228" w:name="_Toc305158869"/>
      <w:bookmarkStart w:id="229" w:name="_Toc142311029"/>
      <w:bookmarkStart w:id="230" w:name="_Toc164608796"/>
      <w:bookmarkStart w:id="231" w:name="_Toc127151728"/>
      <w:bookmarkStart w:id="232" w:name="_Toc264969217"/>
      <w:bookmarkStart w:id="233" w:name="_Toc520356151"/>
      <w:bookmarkStart w:id="234" w:name="_Toc226337223"/>
      <w:bookmarkStart w:id="235" w:name="_Toc151193915"/>
      <w:bookmarkStart w:id="236" w:name="_Toc149720820"/>
      <w:bookmarkStart w:id="237" w:name="_Toc164351621"/>
      <w:bookmarkStart w:id="238" w:name="_Toc226965800"/>
      <w:bookmarkStart w:id="239" w:name="_Toc226965717"/>
      <w:bookmarkStart w:id="240" w:name="_Toc127161441"/>
      <w:bookmarkStart w:id="241" w:name="_Toc151193841"/>
      <w:bookmarkStart w:id="242" w:name="_Toc150774627"/>
      <w:bookmarkStart w:id="243" w:name="_Toc164229222"/>
      <w:bookmarkStart w:id="244" w:name="_Toc151193769"/>
      <w:bookmarkStart w:id="245" w:name="_Toc150509278"/>
      <w:bookmarkStart w:id="246" w:name="_Toc150774732"/>
      <w:bookmarkStart w:id="247" w:name="_Toc151193625"/>
      <w:bookmarkStart w:id="248" w:name="_Toc305158795"/>
      <w:r>
        <w:rPr>
          <w:rFonts w:eastAsiaTheme="minorEastAsia"/>
          <w:sz w:val="24"/>
        </w:rPr>
        <w:t>响应范围、竞争性磋商文件中计量单位的使用</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rFonts w:eastAsiaTheme="minorEastAsia"/>
          <w:sz w:val="24"/>
        </w:rPr>
        <w:t>及磋商语言</w:t>
      </w:r>
    </w:p>
    <w:p w14:paraId="505320A5">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14:paraId="201840AC">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14:paraId="5D75BB15">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0897021A">
      <w:pPr>
        <w:numPr>
          <w:ilvl w:val="0"/>
          <w:numId w:val="8"/>
        </w:numPr>
        <w:tabs>
          <w:tab w:val="left" w:pos="360"/>
        </w:tabs>
        <w:snapToGrid w:val="0"/>
        <w:spacing w:line="360" w:lineRule="auto"/>
        <w:ind w:left="357" w:hanging="357"/>
        <w:outlineLvl w:val="1"/>
        <w:rPr>
          <w:rFonts w:eastAsiaTheme="minorEastAsia"/>
          <w:sz w:val="24"/>
        </w:rPr>
      </w:pPr>
      <w:bookmarkStart w:id="249" w:name="_Ref467306676"/>
      <w:bookmarkStart w:id="250" w:name="_Toc516367022"/>
      <w:bookmarkStart w:id="251" w:name="_Ref467306195"/>
      <w:bookmarkStart w:id="252" w:name="_Toc150509279"/>
      <w:bookmarkStart w:id="253" w:name="_Toc149720821"/>
      <w:bookmarkStart w:id="254" w:name="_Toc164229223"/>
      <w:bookmarkStart w:id="255" w:name="_Toc520356152"/>
      <w:bookmarkStart w:id="256" w:name="_Toc226965801"/>
      <w:bookmarkStart w:id="257" w:name="_Toc305158870"/>
      <w:bookmarkStart w:id="258" w:name="_Toc265228366"/>
      <w:bookmarkStart w:id="259" w:name="_Toc195842893"/>
      <w:bookmarkStart w:id="260" w:name="_Toc127161442"/>
      <w:bookmarkStart w:id="261" w:name="_Toc127151729"/>
      <w:bookmarkStart w:id="262" w:name="_Toc305158796"/>
      <w:bookmarkStart w:id="263" w:name="_Toc127151528"/>
      <w:bookmarkStart w:id="264" w:name="_Toc142311030"/>
      <w:bookmarkStart w:id="265" w:name="_Toc151193698"/>
      <w:bookmarkStart w:id="266" w:name="_Toc164351622"/>
      <w:bookmarkStart w:id="267" w:name="_Toc226337224"/>
      <w:bookmarkStart w:id="268" w:name="_Toc150774628"/>
      <w:bookmarkStart w:id="269" w:name="_Toc151193770"/>
      <w:bookmarkStart w:id="270" w:name="_Toc150774733"/>
      <w:bookmarkStart w:id="271" w:name="_Toc226309772"/>
      <w:bookmarkStart w:id="272" w:name="_Toc164229369"/>
      <w:bookmarkStart w:id="273" w:name="_Toc264969218"/>
      <w:bookmarkStart w:id="274" w:name="_Toc151190155"/>
      <w:bookmarkStart w:id="275" w:name="_Toc151193916"/>
      <w:bookmarkStart w:id="276" w:name="_Toc226965718"/>
      <w:bookmarkStart w:id="277" w:name="_Toc164608797"/>
      <w:bookmarkStart w:id="278" w:name="_Toc150480766"/>
      <w:bookmarkStart w:id="279" w:name="_Toc164608642"/>
      <w:bookmarkStart w:id="280" w:name="_Toc151193626"/>
      <w:bookmarkStart w:id="281" w:name="_Toc151193842"/>
      <w:r>
        <w:rPr>
          <w:rFonts w:eastAsiaTheme="minorEastAsia"/>
          <w:sz w:val="24"/>
        </w:rPr>
        <w:t>响应文件</w:t>
      </w:r>
      <w:bookmarkEnd w:id="249"/>
      <w:bookmarkEnd w:id="250"/>
      <w:bookmarkEnd w:id="251"/>
      <w:r>
        <w:rPr>
          <w:rFonts w:eastAsiaTheme="minorEastAsia"/>
          <w:sz w:val="24"/>
        </w:rPr>
        <w:t>构成</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24386162">
      <w:pPr>
        <w:numPr>
          <w:ilvl w:val="1"/>
          <w:numId w:val="8"/>
        </w:numPr>
        <w:tabs>
          <w:tab w:val="left" w:pos="1080"/>
          <w:tab w:val="left" w:pos="2014"/>
        </w:tabs>
        <w:snapToGrid w:val="0"/>
        <w:spacing w:line="360" w:lineRule="auto"/>
        <w:ind w:left="1077" w:hanging="720"/>
        <w:rPr>
          <w:rFonts w:eastAsiaTheme="minorEastAsia"/>
          <w:sz w:val="24"/>
        </w:rPr>
      </w:pPr>
      <w:bookmarkStart w:id="282"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14:paraId="21FCC073">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对于竞争性磋商文件中标记了“实质性格式”文件的，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14:paraId="786FB91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第三章《评审方法和评审标准》中涉及的证明文件。</w:t>
      </w:r>
    </w:p>
    <w:p w14:paraId="711BB15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E6F53A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282"/>
    </w:p>
    <w:p w14:paraId="1FE95A61">
      <w:pPr>
        <w:numPr>
          <w:ilvl w:val="0"/>
          <w:numId w:val="8"/>
        </w:numPr>
        <w:tabs>
          <w:tab w:val="left" w:pos="360"/>
        </w:tabs>
        <w:snapToGrid w:val="0"/>
        <w:spacing w:line="360" w:lineRule="auto"/>
        <w:ind w:left="357" w:hanging="357"/>
        <w:outlineLvl w:val="1"/>
        <w:rPr>
          <w:rFonts w:eastAsiaTheme="minorEastAsia"/>
          <w:sz w:val="24"/>
        </w:rPr>
      </w:pPr>
      <w:bookmarkStart w:id="283" w:name="_Toc150509281"/>
      <w:bookmarkStart w:id="284" w:name="_Toc127161444"/>
      <w:bookmarkStart w:id="285" w:name="_Toc127151731"/>
      <w:bookmarkStart w:id="286" w:name="_Toc150480768"/>
      <w:bookmarkStart w:id="287" w:name="_Toc150774735"/>
      <w:bookmarkStart w:id="288" w:name="_Toc151190157"/>
      <w:bookmarkStart w:id="289" w:name="_Toc151193700"/>
      <w:bookmarkStart w:id="290" w:name="_Toc164608644"/>
      <w:bookmarkStart w:id="291" w:name="_Toc150774630"/>
      <w:bookmarkStart w:id="292" w:name="_Toc164608799"/>
      <w:bookmarkStart w:id="293" w:name="_Toc142311032"/>
      <w:bookmarkStart w:id="294" w:name="_Toc127151530"/>
      <w:bookmarkStart w:id="295" w:name="_Toc195842895"/>
      <w:bookmarkStart w:id="296" w:name="_Toc151193918"/>
      <w:bookmarkStart w:id="297" w:name="_Toc164229371"/>
      <w:bookmarkStart w:id="298" w:name="_Toc149720823"/>
      <w:bookmarkStart w:id="299" w:name="_Toc520356155"/>
      <w:bookmarkStart w:id="300" w:name="_Toc151193628"/>
      <w:bookmarkStart w:id="301" w:name="_Toc164351624"/>
      <w:bookmarkStart w:id="302" w:name="_Toc151193772"/>
      <w:bookmarkStart w:id="303" w:name="_Toc151193844"/>
      <w:bookmarkStart w:id="304" w:name="_Toc164229225"/>
      <w:r>
        <w:rPr>
          <w:rFonts w:eastAsiaTheme="minorEastAsia"/>
          <w:sz w:val="24"/>
        </w:rPr>
        <w:t>报价</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563D08DD">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hint="eastAsia" w:eastAsiaTheme="minorEastAsia"/>
          <w:sz w:val="24"/>
        </w:rPr>
        <w:t>为计价货币</w:t>
      </w:r>
      <w:r>
        <w:rPr>
          <w:rFonts w:eastAsiaTheme="minorEastAsia"/>
          <w:sz w:val="24"/>
        </w:rPr>
        <w:t>。</w:t>
      </w:r>
    </w:p>
    <w:p w14:paraId="7E89E704">
      <w:pPr>
        <w:numPr>
          <w:ilvl w:val="1"/>
          <w:numId w:val="8"/>
        </w:numPr>
        <w:tabs>
          <w:tab w:val="left" w:pos="1080"/>
        </w:tabs>
        <w:snapToGrid w:val="0"/>
        <w:spacing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0B707167">
      <w:pPr>
        <w:numPr>
          <w:ilvl w:val="2"/>
          <w:numId w:val="8"/>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3BB3416">
      <w:pPr>
        <w:numPr>
          <w:ilvl w:val="2"/>
          <w:numId w:val="8"/>
        </w:numPr>
        <w:snapToGrid w:val="0"/>
        <w:spacing w:line="360" w:lineRule="auto"/>
        <w:rPr>
          <w:rFonts w:eastAsiaTheme="minorEastAsia"/>
          <w:sz w:val="24"/>
        </w:rPr>
      </w:pPr>
      <w:r>
        <w:rPr>
          <w:rFonts w:eastAsiaTheme="minorEastAsia"/>
          <w:sz w:val="24"/>
        </w:rPr>
        <w:t>按照竞争性磋商文件要求完成本项目的全部相关费用。</w:t>
      </w:r>
    </w:p>
    <w:p w14:paraId="6FCA2E9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14:paraId="3A6B62B4">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14:paraId="44B65E3E">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磋商保证金</w:t>
      </w:r>
    </w:p>
    <w:p w14:paraId="234A5BF9">
      <w:pPr>
        <w:numPr>
          <w:ilvl w:val="1"/>
          <w:numId w:val="8"/>
        </w:numPr>
        <w:tabs>
          <w:tab w:val="left" w:pos="1080"/>
          <w:tab w:val="left" w:pos="2014"/>
        </w:tabs>
        <w:snapToGrid w:val="0"/>
        <w:spacing w:line="360" w:lineRule="auto"/>
        <w:ind w:left="1077" w:hanging="720"/>
        <w:rPr>
          <w:rFonts w:eastAsiaTheme="minorEastAsia"/>
          <w:sz w:val="24"/>
        </w:rPr>
      </w:pPr>
      <w:bookmarkStart w:id="305" w:name="_Ref467306302"/>
      <w:r>
        <w:rPr>
          <w:rFonts w:eastAsiaTheme="minorEastAsia"/>
          <w:sz w:val="24"/>
        </w:rPr>
        <w:t>供应商应按《供应商须知资料表》中规定的金额及要求交纳磋商保证金</w:t>
      </w:r>
      <w:bookmarkEnd w:id="305"/>
      <w:r>
        <w:rPr>
          <w:rFonts w:eastAsiaTheme="minorEastAsia"/>
          <w:sz w:val="24"/>
        </w:rPr>
        <w:t>。</w:t>
      </w:r>
      <w:r>
        <w:rPr>
          <w:rFonts w:hint="eastAsia" w:eastAsiaTheme="minorEastAsia"/>
          <w:sz w:val="24"/>
        </w:rPr>
        <w:t>供应商自愿超额缴纳磋商保证金的，响应文件不做无效处理。</w:t>
      </w:r>
    </w:p>
    <w:p w14:paraId="76B7251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14:paraId="6B15CD3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等形式提交磋商保证金的，应在首次响应文件提交截止时间前到账；</w:t>
      </w:r>
      <w:r>
        <w:rPr>
          <w:sz w:val="24"/>
        </w:rPr>
        <w:t>以金融机构、担保机构出具的</w:t>
      </w:r>
      <w:r>
        <w:rPr>
          <w:rFonts w:hint="eastAsia"/>
          <w:sz w:val="24"/>
        </w:rPr>
        <w:t>纸质</w:t>
      </w:r>
      <w:r>
        <w:rPr>
          <w:sz w:val="24"/>
        </w:rPr>
        <w:t>保函等形式提交磋商保证金的，应在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306" w:name="_Hlk164959831"/>
      <w:r>
        <w:rPr>
          <w:rFonts w:hint="eastAsia"/>
          <w:sz w:val="24"/>
        </w:rPr>
        <w:t>以电子保函形式提交磋商保证金的，应在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306"/>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14:paraId="3E6DF711">
      <w:pPr>
        <w:numPr>
          <w:ilvl w:val="1"/>
          <w:numId w:val="8"/>
        </w:numPr>
        <w:tabs>
          <w:tab w:val="left" w:pos="1080"/>
          <w:tab w:val="left" w:pos="2014"/>
        </w:tabs>
        <w:snapToGrid w:val="0"/>
        <w:spacing w:line="360" w:lineRule="auto"/>
        <w:ind w:left="1077" w:hanging="720"/>
        <w:rPr>
          <w:sz w:val="24"/>
        </w:rPr>
      </w:pPr>
      <w:bookmarkStart w:id="307" w:name="_Hlk168432698"/>
      <w:r>
        <w:rPr>
          <w:rFonts w:hint="eastAsia"/>
          <w:sz w:val="24"/>
        </w:rPr>
        <w:t>供应商</w:t>
      </w:r>
      <w:r>
        <w:rPr>
          <w:sz w:val="24"/>
        </w:rPr>
        <w:t>除</w:t>
      </w:r>
      <w:r>
        <w:rPr>
          <w:rFonts w:hint="eastAsia"/>
          <w:sz w:val="24"/>
        </w:rPr>
        <w:t>需在响应</w:t>
      </w:r>
      <w:r>
        <w:rPr>
          <w:sz w:val="24"/>
        </w:rPr>
        <w:t>文件中</w:t>
      </w:r>
      <w:r>
        <w:rPr>
          <w:rFonts w:hint="eastAsia"/>
          <w:sz w:val="24"/>
        </w:rPr>
        <w:t>提供“</w:t>
      </w:r>
      <w:r>
        <w:rPr>
          <w:rFonts w:hint="eastAsia"/>
          <w:sz w:val="24"/>
          <w:szCs w:val="20"/>
        </w:rPr>
        <w:t>磋商</w:t>
      </w:r>
      <w:r>
        <w:rPr>
          <w:sz w:val="24"/>
          <w:szCs w:val="20"/>
        </w:rPr>
        <w:t>保证金凭证/交款单据电子件</w:t>
      </w:r>
      <w:r>
        <w:rPr>
          <w:rFonts w:hint="eastAsia"/>
          <w:sz w:val="24"/>
        </w:rPr>
        <w:t>”</w:t>
      </w:r>
      <w:r>
        <w:rPr>
          <w:sz w:val="24"/>
        </w:rPr>
        <w:t>，</w:t>
      </w:r>
      <w:r>
        <w:rPr>
          <w:rFonts w:hint="eastAsia"/>
          <w:sz w:val="24"/>
        </w:rPr>
        <w:t>还需在</w:t>
      </w:r>
      <w:r>
        <w:rPr>
          <w:sz w:val="24"/>
        </w:rPr>
        <w:t>首次响应文件提交截止时间</w:t>
      </w:r>
      <w:r>
        <w:rPr>
          <w:rFonts w:hint="eastAsia"/>
          <w:sz w:val="24"/>
        </w:rPr>
        <w:t>前，通过电子交易平台上传“</w:t>
      </w:r>
      <w:r>
        <w:rPr>
          <w:rFonts w:hint="eastAsia"/>
          <w:sz w:val="24"/>
          <w:szCs w:val="20"/>
        </w:rPr>
        <w:t>磋商</w:t>
      </w:r>
      <w:r>
        <w:rPr>
          <w:sz w:val="24"/>
          <w:szCs w:val="20"/>
        </w:rPr>
        <w:t>保证金凭证/交款单据电子件</w:t>
      </w:r>
      <w:r>
        <w:rPr>
          <w:rFonts w:hint="eastAsia"/>
          <w:sz w:val="24"/>
        </w:rPr>
        <w:t>”。</w:t>
      </w:r>
    </w:p>
    <w:bookmarkEnd w:id="307"/>
    <w:p w14:paraId="1BAC236A">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磋商保证金有效期同响应有效期。</w:t>
      </w:r>
    </w:p>
    <w:p w14:paraId="35D763FD">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14:paraId="2323A98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2A2B072B">
      <w:pPr>
        <w:numPr>
          <w:ilvl w:val="2"/>
          <w:numId w:val="8"/>
        </w:numPr>
        <w:snapToGrid w:val="0"/>
        <w:spacing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已提交响应文件的供应商，在提交最后报价之前，可以根据磋商情况退出磋商。采购人、采购代理机构将退还退出磋商的供应商的磋商保证金；</w:t>
      </w:r>
    </w:p>
    <w:p w14:paraId="4FBECAC5">
      <w:pPr>
        <w:numPr>
          <w:ilvl w:val="2"/>
          <w:numId w:val="8"/>
        </w:numPr>
        <w:snapToGrid w:val="0"/>
        <w:spacing w:line="360" w:lineRule="auto"/>
        <w:rPr>
          <w:rFonts w:eastAsiaTheme="minorEastAsia"/>
          <w:sz w:val="24"/>
        </w:rPr>
      </w:pPr>
      <w:r>
        <w:rPr>
          <w:rFonts w:eastAsiaTheme="minorEastAsia"/>
          <w:sz w:val="24"/>
        </w:rPr>
        <w:t>成交供应商的磋商保证金，在采购合同签订后5个工作日内退还成交供应商；</w:t>
      </w:r>
    </w:p>
    <w:p w14:paraId="6575D2B6">
      <w:pPr>
        <w:numPr>
          <w:ilvl w:val="2"/>
          <w:numId w:val="8"/>
        </w:numPr>
        <w:snapToGrid w:val="0"/>
        <w:spacing w:line="360" w:lineRule="auto"/>
        <w:rPr>
          <w:rFonts w:eastAsiaTheme="minorEastAsia"/>
          <w:sz w:val="24"/>
        </w:rPr>
      </w:pPr>
      <w:r>
        <w:rPr>
          <w:rFonts w:eastAsiaTheme="minorEastAsia"/>
          <w:sz w:val="24"/>
        </w:rPr>
        <w:t>未成交供应商的磋商保证金，在成交通知书发出后5个工作日内退还。</w:t>
      </w:r>
    </w:p>
    <w:p w14:paraId="74218693">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有下列情形之一的，采购人或采购代理机构不予退还磋商保证金：</w:t>
      </w:r>
    </w:p>
    <w:p w14:paraId="4534BC46">
      <w:pPr>
        <w:numPr>
          <w:ilvl w:val="2"/>
          <w:numId w:val="8"/>
        </w:numPr>
        <w:snapToGrid w:val="0"/>
        <w:spacing w:line="360" w:lineRule="auto"/>
        <w:rPr>
          <w:rFonts w:eastAsiaTheme="minorEastAsia"/>
          <w:sz w:val="24"/>
        </w:rPr>
      </w:pPr>
      <w:r>
        <w:rPr>
          <w:rFonts w:eastAsiaTheme="minorEastAsia"/>
          <w:sz w:val="24"/>
        </w:rPr>
        <w:t>供应商在响应文件提交截止时间后撤回响应文件的；</w:t>
      </w:r>
    </w:p>
    <w:p w14:paraId="1327A179">
      <w:pPr>
        <w:numPr>
          <w:ilvl w:val="2"/>
          <w:numId w:val="8"/>
        </w:numPr>
        <w:snapToGrid w:val="0"/>
        <w:spacing w:line="360" w:lineRule="auto"/>
        <w:rPr>
          <w:rFonts w:eastAsiaTheme="minorEastAsia"/>
          <w:sz w:val="24"/>
        </w:rPr>
      </w:pPr>
      <w:r>
        <w:rPr>
          <w:rFonts w:eastAsiaTheme="minorEastAsia"/>
          <w:sz w:val="24"/>
        </w:rPr>
        <w:t>供应商在响应文件中提供虚假材料的；</w:t>
      </w:r>
    </w:p>
    <w:p w14:paraId="726A62D7">
      <w:pPr>
        <w:numPr>
          <w:ilvl w:val="2"/>
          <w:numId w:val="8"/>
        </w:numPr>
        <w:snapToGrid w:val="0"/>
        <w:spacing w:line="360" w:lineRule="auto"/>
        <w:rPr>
          <w:rFonts w:eastAsiaTheme="minorEastAsia"/>
          <w:sz w:val="24"/>
        </w:rPr>
      </w:pPr>
      <w:r>
        <w:rPr>
          <w:rFonts w:eastAsiaTheme="minorEastAsia"/>
          <w:sz w:val="24"/>
        </w:rPr>
        <w:t>除因不可抗力或磋商文件认可的情形以外，成交供应商不与采购人签订合同的；</w:t>
      </w:r>
    </w:p>
    <w:p w14:paraId="765EC1AC">
      <w:pPr>
        <w:numPr>
          <w:ilvl w:val="2"/>
          <w:numId w:val="8"/>
        </w:numPr>
        <w:snapToGrid w:val="0"/>
        <w:spacing w:line="360" w:lineRule="auto"/>
        <w:rPr>
          <w:rFonts w:eastAsiaTheme="minorEastAsia"/>
          <w:sz w:val="24"/>
        </w:rPr>
      </w:pPr>
      <w:r>
        <w:rPr>
          <w:rFonts w:eastAsiaTheme="minorEastAsia"/>
          <w:sz w:val="24"/>
        </w:rPr>
        <w:t>供应商与采购人、其他供应商或者采购代理机构恶意串通的；</w:t>
      </w:r>
    </w:p>
    <w:p w14:paraId="2C38CF28">
      <w:pPr>
        <w:numPr>
          <w:ilvl w:val="2"/>
          <w:numId w:val="8"/>
        </w:numPr>
        <w:snapToGrid w:val="0"/>
        <w:spacing w:line="360" w:lineRule="auto"/>
        <w:rPr>
          <w:rFonts w:eastAsiaTheme="minorEastAsia"/>
          <w:sz w:val="24"/>
        </w:rPr>
      </w:pPr>
      <w:r>
        <w:rPr>
          <w:rFonts w:eastAsiaTheme="minorEastAsia"/>
          <w:sz w:val="24"/>
        </w:rPr>
        <w:t>《供应商须知资料表》规定的其他情形。</w:t>
      </w:r>
    </w:p>
    <w:p w14:paraId="1A700C1F">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响应有效期</w:t>
      </w:r>
    </w:p>
    <w:p w14:paraId="578DCBE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14:paraId="75D3C05E">
      <w:pPr>
        <w:numPr>
          <w:ilvl w:val="0"/>
          <w:numId w:val="8"/>
        </w:numPr>
        <w:tabs>
          <w:tab w:val="left" w:pos="360"/>
        </w:tabs>
        <w:snapToGrid w:val="0"/>
        <w:spacing w:line="360" w:lineRule="auto"/>
        <w:ind w:left="357" w:hanging="357"/>
        <w:outlineLvl w:val="1"/>
        <w:rPr>
          <w:rFonts w:eastAsiaTheme="minorEastAsia"/>
          <w:sz w:val="24"/>
        </w:rPr>
      </w:pPr>
      <w:bookmarkStart w:id="308" w:name="_Toc151190160"/>
      <w:bookmarkStart w:id="309" w:name="_Toc127151533"/>
      <w:bookmarkStart w:id="310" w:name="_Toc164608647"/>
      <w:bookmarkStart w:id="311" w:name="_Toc164229374"/>
      <w:bookmarkStart w:id="312" w:name="_Toc127151734"/>
      <w:bookmarkStart w:id="313" w:name="_Toc264969223"/>
      <w:bookmarkStart w:id="314" w:name="_Toc151193847"/>
      <w:bookmarkStart w:id="315" w:name="_Toc164608802"/>
      <w:bookmarkStart w:id="316" w:name="_Toc150774633"/>
      <w:bookmarkStart w:id="317" w:name="_Toc150480771"/>
      <w:bookmarkStart w:id="318" w:name="_Toc164229228"/>
      <w:bookmarkStart w:id="319" w:name="_Toc149720826"/>
      <w:bookmarkStart w:id="320" w:name="_Toc226337229"/>
      <w:bookmarkStart w:id="321" w:name="_Toc150509284"/>
      <w:bookmarkStart w:id="322" w:name="_Toc142311035"/>
      <w:bookmarkStart w:id="323" w:name="_Toc265228371"/>
      <w:bookmarkStart w:id="324" w:name="_Toc151193775"/>
      <w:bookmarkStart w:id="325" w:name="_Toc226965806"/>
      <w:bookmarkStart w:id="326" w:name="_Toc151193631"/>
      <w:bookmarkStart w:id="327" w:name="_Toc127161447"/>
      <w:bookmarkStart w:id="328" w:name="_Toc164351627"/>
      <w:bookmarkStart w:id="329" w:name="_Toc226965723"/>
      <w:bookmarkStart w:id="330" w:name="_Toc226309777"/>
      <w:bookmarkStart w:id="331" w:name="_Toc151193921"/>
      <w:bookmarkStart w:id="332" w:name="_Toc305158801"/>
      <w:bookmarkStart w:id="333" w:name="_Toc195842898"/>
      <w:bookmarkStart w:id="334" w:name="_Toc520356158"/>
      <w:bookmarkStart w:id="335" w:name="_Toc305158875"/>
      <w:bookmarkStart w:id="336" w:name="_Toc150774738"/>
      <w:bookmarkStart w:id="337" w:name="_Toc151193703"/>
      <w:r>
        <w:rPr>
          <w:rFonts w:eastAsiaTheme="minorEastAsia"/>
          <w:sz w:val="24"/>
        </w:rPr>
        <w:t>响应文件的签署</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Fonts w:eastAsiaTheme="minorEastAsia"/>
          <w:sz w:val="24"/>
        </w:rPr>
        <w:t>、盖章</w:t>
      </w:r>
    </w:p>
    <w:p w14:paraId="5787CE7B">
      <w:pPr>
        <w:numPr>
          <w:ilvl w:val="1"/>
          <w:numId w:val="8"/>
        </w:numPr>
        <w:tabs>
          <w:tab w:val="left" w:pos="1080"/>
        </w:tabs>
        <w:snapToGrid w:val="0"/>
        <w:spacing w:line="360" w:lineRule="auto"/>
        <w:rPr>
          <w:rFonts w:eastAsiaTheme="minorEastAsia"/>
          <w:sz w:val="24"/>
        </w:rPr>
      </w:pPr>
      <w:bookmarkStart w:id="338" w:name="_Toc305158802"/>
      <w:bookmarkStart w:id="339" w:name="_Toc151193922"/>
      <w:bookmarkStart w:id="340" w:name="_Toc226965724"/>
      <w:bookmarkStart w:id="341" w:name="_Toc226965807"/>
      <w:bookmarkStart w:id="342" w:name="_Toc151190161"/>
      <w:bookmarkStart w:id="343" w:name="_Toc265228372"/>
      <w:bookmarkStart w:id="344" w:name="_Toc142311036"/>
      <w:bookmarkStart w:id="345" w:name="_Toc150774634"/>
      <w:bookmarkStart w:id="346" w:name="_Toc150480772"/>
      <w:bookmarkStart w:id="347" w:name="_Toc151193632"/>
      <w:bookmarkStart w:id="348" w:name="_Toc151193776"/>
      <w:bookmarkStart w:id="349" w:name="_Toc226337230"/>
      <w:bookmarkStart w:id="350" w:name="_Toc520356159"/>
      <w:bookmarkStart w:id="351" w:name="_Toc150509285"/>
      <w:bookmarkStart w:id="352" w:name="_Toc264969224"/>
      <w:bookmarkStart w:id="353" w:name="_Toc150774739"/>
      <w:bookmarkStart w:id="354" w:name="_Toc195842899"/>
      <w:bookmarkStart w:id="355" w:name="_Toc305158876"/>
      <w:bookmarkStart w:id="356" w:name="_Toc151193704"/>
      <w:bookmarkStart w:id="357" w:name="_Toc226309778"/>
      <w:bookmarkStart w:id="358" w:name="_Toc151193848"/>
      <w:bookmarkStart w:id="359" w:name="_Toc127151534"/>
      <w:r>
        <w:rPr>
          <w:rFonts w:eastAsiaTheme="minorEastAsia"/>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10093A1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14:paraId="4D069CC2">
      <w:pPr>
        <w:tabs>
          <w:tab w:val="left" w:pos="900"/>
          <w:tab w:val="left" w:pos="1080"/>
        </w:tabs>
        <w:snapToGrid w:val="0"/>
        <w:spacing w:line="360" w:lineRule="auto"/>
        <w:ind w:left="357"/>
        <w:rPr>
          <w:rFonts w:eastAsiaTheme="minorEastAsia"/>
        </w:rPr>
      </w:pPr>
    </w:p>
    <w:p w14:paraId="11B8A9DA">
      <w:pPr>
        <w:pStyle w:val="3"/>
        <w:spacing w:before="0" w:line="360" w:lineRule="auto"/>
        <w:rPr>
          <w:rFonts w:ascii="Times New Roman" w:hAnsi="Times New Roman" w:eastAsiaTheme="minorEastAsia"/>
          <w:sz w:val="28"/>
        </w:rPr>
      </w:pPr>
      <w:r>
        <w:rPr>
          <w:rFonts w:ascii="Times New Roman" w:hAnsi="Times New Roman" w:eastAsiaTheme="minorEastAsia"/>
          <w:sz w:val="28"/>
        </w:rPr>
        <w:t>四   响应文件的提交</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7458CED5">
      <w:pPr>
        <w:numPr>
          <w:ilvl w:val="0"/>
          <w:numId w:val="8"/>
        </w:numPr>
        <w:tabs>
          <w:tab w:val="left" w:pos="360"/>
        </w:tabs>
        <w:snapToGrid w:val="0"/>
        <w:spacing w:line="360" w:lineRule="auto"/>
        <w:ind w:left="357" w:hanging="357"/>
        <w:outlineLvl w:val="1"/>
        <w:rPr>
          <w:rFonts w:eastAsiaTheme="minorEastAsia"/>
          <w:sz w:val="24"/>
        </w:rPr>
      </w:pPr>
      <w:bookmarkStart w:id="360" w:name="_Toc150509286"/>
      <w:bookmarkStart w:id="361" w:name="_Toc127151535"/>
      <w:bookmarkStart w:id="362" w:name="_Toc151193705"/>
      <w:bookmarkStart w:id="363" w:name="_Toc305158877"/>
      <w:bookmarkStart w:id="364" w:name="_Toc150480773"/>
      <w:bookmarkStart w:id="365" w:name="_Toc127151736"/>
      <w:bookmarkStart w:id="366" w:name="_Toc127161449"/>
      <w:bookmarkStart w:id="367" w:name="_Toc150774740"/>
      <w:bookmarkStart w:id="368" w:name="_Toc164229230"/>
      <w:bookmarkStart w:id="369" w:name="_Toc151193777"/>
      <w:bookmarkStart w:id="370" w:name="_Toc164229376"/>
      <w:bookmarkStart w:id="371" w:name="_Toc226337231"/>
      <w:bookmarkStart w:id="372" w:name="_Toc264969225"/>
      <w:bookmarkStart w:id="373" w:name="_Toc151190162"/>
      <w:bookmarkStart w:id="374" w:name="_Toc150774635"/>
      <w:bookmarkStart w:id="375" w:name="_Toc151193923"/>
      <w:bookmarkStart w:id="376" w:name="_Toc305158803"/>
      <w:bookmarkStart w:id="377" w:name="_Toc520356160"/>
      <w:bookmarkStart w:id="378" w:name="_Toc164608804"/>
      <w:bookmarkStart w:id="379" w:name="_Toc164351629"/>
      <w:bookmarkStart w:id="380" w:name="_Toc151193633"/>
      <w:bookmarkStart w:id="381" w:name="_Toc151193849"/>
      <w:bookmarkStart w:id="382" w:name="_Toc226965808"/>
      <w:bookmarkStart w:id="383" w:name="_Toc149720828"/>
      <w:bookmarkStart w:id="384" w:name="_Toc226309779"/>
      <w:bookmarkStart w:id="385" w:name="_Toc164608649"/>
      <w:bookmarkStart w:id="386" w:name="_Toc195842900"/>
      <w:bookmarkStart w:id="387" w:name="_Toc226965725"/>
      <w:bookmarkStart w:id="388" w:name="_Toc142311037"/>
      <w:bookmarkStart w:id="389" w:name="_Toc265228373"/>
      <w:r>
        <w:rPr>
          <w:rFonts w:eastAsiaTheme="minorEastAsia"/>
          <w:sz w:val="24"/>
        </w:rPr>
        <w:t>响应文件的</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Fonts w:eastAsiaTheme="minorEastAsia"/>
          <w:sz w:val="24"/>
        </w:rPr>
        <w:t>提交</w:t>
      </w:r>
    </w:p>
    <w:p w14:paraId="0E03BBE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14:paraId="404BCCB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hint="eastAsia" w:eastAsiaTheme="minorEastAsia"/>
          <w:sz w:val="24"/>
        </w:rPr>
        <w:t>首次</w:t>
      </w:r>
      <w:r>
        <w:rPr>
          <w:rFonts w:eastAsiaTheme="minorEastAsia"/>
          <w:sz w:val="24"/>
        </w:rPr>
        <w:t>响应文件，磋商保证金除外。</w:t>
      </w:r>
    </w:p>
    <w:p w14:paraId="36F8FC0B">
      <w:pPr>
        <w:numPr>
          <w:ilvl w:val="0"/>
          <w:numId w:val="8"/>
        </w:numPr>
        <w:tabs>
          <w:tab w:val="left" w:pos="360"/>
        </w:tabs>
        <w:snapToGrid w:val="0"/>
        <w:spacing w:line="360" w:lineRule="auto"/>
        <w:ind w:left="357" w:hanging="357"/>
        <w:outlineLvl w:val="1"/>
        <w:rPr>
          <w:rFonts w:eastAsiaTheme="minorEastAsia"/>
          <w:sz w:val="24"/>
        </w:rPr>
      </w:pPr>
      <w:bookmarkStart w:id="390" w:name="_Toc164608650"/>
      <w:bookmarkStart w:id="391" w:name="_Toc151190163"/>
      <w:bookmarkStart w:id="392" w:name="_Toc164608805"/>
      <w:bookmarkStart w:id="393" w:name="_Toc151193850"/>
      <w:bookmarkStart w:id="394" w:name="_Toc127151536"/>
      <w:bookmarkStart w:id="395" w:name="_Toc151193634"/>
      <w:bookmarkStart w:id="396" w:name="_Toc151193778"/>
      <w:bookmarkStart w:id="397" w:name="_Toc226309780"/>
      <w:bookmarkStart w:id="398" w:name="_Toc195842901"/>
      <w:bookmarkStart w:id="399" w:name="_Toc226337232"/>
      <w:bookmarkStart w:id="400" w:name="_Toc150480774"/>
      <w:bookmarkStart w:id="401" w:name="_Toc305158878"/>
      <w:bookmarkStart w:id="402" w:name="_Toc305158804"/>
      <w:bookmarkStart w:id="403" w:name="_Toc127161450"/>
      <w:bookmarkStart w:id="404" w:name="_Toc142311038"/>
      <w:bookmarkStart w:id="405" w:name="_Toc151193924"/>
      <w:bookmarkStart w:id="406" w:name="_Toc150509287"/>
      <w:bookmarkStart w:id="407" w:name="_Toc520356161"/>
      <w:bookmarkStart w:id="408" w:name="_Toc264969226"/>
      <w:bookmarkStart w:id="409" w:name="_Toc226965809"/>
      <w:bookmarkStart w:id="410" w:name="_Toc265228374"/>
      <w:bookmarkStart w:id="411" w:name="_Toc150774636"/>
      <w:bookmarkStart w:id="412" w:name="_Toc164229231"/>
      <w:bookmarkStart w:id="413" w:name="_Toc151193706"/>
      <w:bookmarkStart w:id="414" w:name="_Toc226965726"/>
      <w:bookmarkStart w:id="415" w:name="_Toc149720829"/>
      <w:bookmarkStart w:id="416" w:name="_Toc127151737"/>
      <w:bookmarkStart w:id="417" w:name="_Toc150774741"/>
      <w:bookmarkStart w:id="418" w:name="_Toc164229377"/>
      <w:bookmarkStart w:id="419" w:name="_Toc164351630"/>
      <w:r>
        <w:rPr>
          <w:rFonts w:eastAsiaTheme="minorEastAsia"/>
          <w:sz w:val="24"/>
        </w:rPr>
        <w:t>响应文件提交截止</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Fonts w:eastAsiaTheme="minorEastAsia"/>
          <w:sz w:val="24"/>
        </w:rPr>
        <w:t>时间</w:t>
      </w:r>
    </w:p>
    <w:p w14:paraId="08EA05F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14:paraId="14F4AC81">
      <w:pPr>
        <w:numPr>
          <w:ilvl w:val="0"/>
          <w:numId w:val="8"/>
        </w:numPr>
        <w:tabs>
          <w:tab w:val="left" w:pos="360"/>
        </w:tabs>
        <w:snapToGrid w:val="0"/>
        <w:spacing w:line="360" w:lineRule="auto"/>
        <w:ind w:left="357" w:hanging="357"/>
        <w:outlineLvl w:val="1"/>
        <w:rPr>
          <w:rFonts w:eastAsiaTheme="minorEastAsia"/>
          <w:sz w:val="24"/>
        </w:rPr>
      </w:pPr>
      <w:bookmarkStart w:id="420" w:name="_Toc520356162"/>
      <w:bookmarkStart w:id="421" w:name="_Toc226965727"/>
      <w:bookmarkStart w:id="422" w:name="_Toc226309781"/>
      <w:bookmarkStart w:id="423" w:name="_Toc127161451"/>
      <w:bookmarkStart w:id="424" w:name="_Toc150480775"/>
      <w:bookmarkStart w:id="425" w:name="_Toc195842902"/>
      <w:bookmarkStart w:id="426" w:name="_Toc164229232"/>
      <w:bookmarkStart w:id="427" w:name="_Toc151190164"/>
      <w:bookmarkStart w:id="428" w:name="_Toc151193851"/>
      <w:bookmarkStart w:id="429" w:name="_Toc150774637"/>
      <w:bookmarkStart w:id="430" w:name="_Toc164229378"/>
      <w:bookmarkStart w:id="431" w:name="_Toc127151738"/>
      <w:bookmarkStart w:id="432" w:name="_Toc164608806"/>
      <w:bookmarkStart w:id="433" w:name="_Toc151193779"/>
      <w:bookmarkStart w:id="434" w:name="_Toc149720830"/>
      <w:bookmarkStart w:id="435" w:name="_Toc305158879"/>
      <w:bookmarkStart w:id="436" w:name="_Toc226337233"/>
      <w:bookmarkStart w:id="437" w:name="_Toc142311039"/>
      <w:bookmarkStart w:id="438" w:name="_Toc151193635"/>
      <w:bookmarkStart w:id="439" w:name="_Toc226965810"/>
      <w:bookmarkStart w:id="440" w:name="_Toc150774742"/>
      <w:bookmarkStart w:id="441" w:name="_Toc151193925"/>
      <w:bookmarkStart w:id="442" w:name="_Toc265228375"/>
      <w:bookmarkStart w:id="443" w:name="_Toc164608651"/>
      <w:bookmarkStart w:id="444" w:name="_Toc305158805"/>
      <w:bookmarkStart w:id="445" w:name="_Toc151193707"/>
      <w:bookmarkStart w:id="446" w:name="_Toc150509288"/>
      <w:bookmarkStart w:id="447" w:name="_Toc127151537"/>
      <w:bookmarkStart w:id="448" w:name="_Toc264969227"/>
      <w:bookmarkStart w:id="449" w:name="_Toc164351631"/>
      <w:r>
        <w:rPr>
          <w:rFonts w:eastAsiaTheme="minorEastAsia"/>
          <w:sz w:val="24"/>
        </w:rPr>
        <w:t>响应文件的修改与撤回</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098A926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响应文件提交截止时间前，供应商可以通过电子交易平台对所提交的响应文件进行补充、修改或者撤回。磋商保证金的补充、修改或者撤回</w:t>
      </w:r>
      <w:r>
        <w:rPr>
          <w:sz w:val="24"/>
        </w:rPr>
        <w:t>无需通过电子交易平台，但应就其补充、修改或者撤回通知采购人或采购代理机构</w:t>
      </w:r>
      <w:r>
        <w:rPr>
          <w:rFonts w:eastAsiaTheme="minorEastAsia"/>
          <w:sz w:val="24"/>
        </w:rPr>
        <w:t>。</w:t>
      </w:r>
    </w:p>
    <w:p w14:paraId="242036F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14:paraId="02E973A2">
      <w:pPr>
        <w:tabs>
          <w:tab w:val="left" w:pos="900"/>
          <w:tab w:val="left" w:pos="1080"/>
          <w:tab w:val="left" w:pos="1589"/>
        </w:tabs>
        <w:snapToGrid w:val="0"/>
        <w:spacing w:line="360" w:lineRule="auto"/>
        <w:ind w:left="357"/>
        <w:rPr>
          <w:rFonts w:eastAsiaTheme="minorEastAsia"/>
          <w:sz w:val="24"/>
        </w:rPr>
      </w:pPr>
    </w:p>
    <w:p w14:paraId="5105AF6B">
      <w:pPr>
        <w:pStyle w:val="3"/>
        <w:spacing w:before="0" w:line="360" w:lineRule="auto"/>
        <w:rPr>
          <w:rFonts w:ascii="Times New Roman" w:hAnsi="Times New Roman" w:eastAsiaTheme="minorEastAsia"/>
          <w:sz w:val="28"/>
        </w:rPr>
      </w:pPr>
      <w:bookmarkStart w:id="450" w:name="_Toc305158806"/>
      <w:bookmarkStart w:id="451" w:name="_Toc195842903"/>
      <w:bookmarkStart w:id="452" w:name="_Toc150480776"/>
      <w:bookmarkStart w:id="453" w:name="_Toc264969228"/>
      <w:bookmarkStart w:id="454" w:name="_Toc265228376"/>
      <w:bookmarkStart w:id="455" w:name="_Toc151193852"/>
      <w:bookmarkStart w:id="456" w:name="_Toc142311040"/>
      <w:bookmarkStart w:id="457" w:name="_Toc150509289"/>
      <w:bookmarkStart w:id="458" w:name="_Toc151193708"/>
      <w:bookmarkStart w:id="459" w:name="_Toc305158880"/>
      <w:bookmarkStart w:id="460" w:name="_Toc226965811"/>
      <w:bookmarkStart w:id="461" w:name="_Toc151193926"/>
      <w:bookmarkStart w:id="462" w:name="_Toc151190165"/>
      <w:bookmarkStart w:id="463" w:name="_Toc520356163"/>
      <w:bookmarkStart w:id="464" w:name="_Toc150774743"/>
      <w:bookmarkStart w:id="465" w:name="_Toc226965728"/>
      <w:bookmarkStart w:id="466" w:name="_Toc151193780"/>
      <w:bookmarkStart w:id="467" w:name="_Toc150774638"/>
      <w:bookmarkStart w:id="468" w:name="_Toc151193636"/>
      <w:bookmarkStart w:id="469" w:name="_Toc127151538"/>
      <w:bookmarkStart w:id="470" w:name="_Toc226337234"/>
      <w:bookmarkStart w:id="471" w:name="_Toc226309782"/>
      <w:r>
        <w:rPr>
          <w:rFonts w:ascii="Times New Roman" w:hAnsi="Times New Roman" w:eastAsiaTheme="minorEastAsia"/>
          <w:sz w:val="28"/>
        </w:rPr>
        <w:t xml:space="preserve">五   </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rPr>
          <w:rFonts w:ascii="Times New Roman" w:hAnsi="Times New Roman" w:eastAsiaTheme="minorEastAsia"/>
          <w:sz w:val="28"/>
        </w:rPr>
        <w:t>评审</w:t>
      </w:r>
    </w:p>
    <w:p w14:paraId="62278419">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响应文件的解密与开启</w:t>
      </w:r>
    </w:p>
    <w:p w14:paraId="210396F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14:paraId="21C33A1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14:paraId="5997DB8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31CD576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供应商不足3家的，不予解密。</w:t>
      </w:r>
    </w:p>
    <w:p w14:paraId="2D9E0AD1">
      <w:pPr>
        <w:numPr>
          <w:ilvl w:val="1"/>
          <w:numId w:val="8"/>
        </w:numPr>
        <w:tabs>
          <w:tab w:val="left" w:pos="1080"/>
          <w:tab w:val="left" w:pos="2014"/>
        </w:tabs>
        <w:snapToGrid w:val="0"/>
        <w:spacing w:line="360" w:lineRule="auto"/>
        <w:ind w:left="1077" w:hanging="720"/>
        <w:rPr>
          <w:rFonts w:eastAsiaTheme="minorEastAsia"/>
          <w:sz w:val="24"/>
        </w:rPr>
      </w:pPr>
      <w:bookmarkStart w:id="472" w:name="_Toc520356165"/>
      <w:r>
        <w:rPr>
          <w:rFonts w:eastAsiaTheme="minorEastAsia"/>
          <w:sz w:val="24"/>
        </w:rPr>
        <w:t>本项目不公开报价。</w:t>
      </w:r>
    </w:p>
    <w:bookmarkEnd w:id="472"/>
    <w:p w14:paraId="2311C0F4">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磋商小组</w:t>
      </w:r>
    </w:p>
    <w:p w14:paraId="7B241FFD">
      <w:pPr>
        <w:numPr>
          <w:ilvl w:val="1"/>
          <w:numId w:val="8"/>
        </w:numPr>
        <w:tabs>
          <w:tab w:val="left" w:pos="1080"/>
          <w:tab w:val="left" w:pos="2014"/>
        </w:tabs>
        <w:snapToGrid w:val="0"/>
        <w:spacing w:line="360" w:lineRule="auto"/>
        <w:rPr>
          <w:rFonts w:eastAsiaTheme="minorEastAsia"/>
          <w:sz w:val="24"/>
        </w:rPr>
      </w:pPr>
      <w:r>
        <w:rPr>
          <w:rFonts w:eastAsiaTheme="minorEastAsia"/>
          <w:sz w:val="24"/>
        </w:rPr>
        <w:t>磋商小组根据政府采购有关规定和本次采购项目的特点进行组建，并负责具体评审</w:t>
      </w:r>
      <w:r>
        <w:rPr>
          <w:rFonts w:hint="eastAsia" w:eastAsiaTheme="minorEastAsia"/>
          <w:sz w:val="24"/>
        </w:rPr>
        <w:t>与磋商</w:t>
      </w:r>
      <w:r>
        <w:rPr>
          <w:rFonts w:eastAsiaTheme="minorEastAsia"/>
          <w:sz w:val="24"/>
        </w:rPr>
        <w:t>事务，独立履行职责。</w:t>
      </w:r>
      <w:bookmarkStart w:id="473" w:name="_Toc520356166"/>
    </w:p>
    <w:p w14:paraId="33EC147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73"/>
      <w:bookmarkStart w:id="474" w:name="_Toc520356169"/>
    </w:p>
    <w:p w14:paraId="02D9CDE9">
      <w:pPr>
        <w:numPr>
          <w:ilvl w:val="0"/>
          <w:numId w:val="8"/>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78BD0B5A">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见第三章《评审方法和评审标准》。</w:t>
      </w:r>
    </w:p>
    <w:p w14:paraId="0769863E">
      <w:pPr>
        <w:tabs>
          <w:tab w:val="left" w:pos="360"/>
          <w:tab w:val="left" w:pos="1080"/>
        </w:tabs>
        <w:snapToGrid w:val="0"/>
        <w:spacing w:line="360" w:lineRule="auto"/>
        <w:ind w:left="1080"/>
        <w:rPr>
          <w:rFonts w:eastAsiaTheme="minorEastAsia"/>
          <w:sz w:val="24"/>
        </w:rPr>
      </w:pPr>
    </w:p>
    <w:p w14:paraId="764FBD61">
      <w:pPr>
        <w:pStyle w:val="3"/>
        <w:spacing w:before="0" w:line="360" w:lineRule="auto"/>
        <w:rPr>
          <w:rFonts w:ascii="Times New Roman" w:hAnsi="Times New Roman" w:eastAsiaTheme="minorEastAsia"/>
          <w:sz w:val="28"/>
        </w:rPr>
      </w:pPr>
      <w:bookmarkStart w:id="475" w:name="_Toc151193859"/>
      <w:bookmarkStart w:id="476" w:name="_Toc151193715"/>
      <w:bookmarkStart w:id="477" w:name="_Toc226965818"/>
      <w:bookmarkStart w:id="478" w:name="_Toc195842910"/>
      <w:bookmarkStart w:id="479" w:name="_Toc150774750"/>
      <w:bookmarkStart w:id="480" w:name="_Toc151193643"/>
      <w:bookmarkStart w:id="481" w:name="_Toc226309789"/>
      <w:bookmarkStart w:id="482" w:name="_Toc150509296"/>
      <w:bookmarkStart w:id="483" w:name="_Toc127151545"/>
      <w:bookmarkStart w:id="484" w:name="_Toc142311047"/>
      <w:bookmarkStart w:id="485" w:name="_Toc226337241"/>
      <w:bookmarkStart w:id="486" w:name="_Toc305158813"/>
      <w:bookmarkStart w:id="487" w:name="_Toc151193787"/>
      <w:bookmarkStart w:id="488" w:name="_Toc150774645"/>
      <w:bookmarkStart w:id="489" w:name="_Toc264969235"/>
      <w:bookmarkStart w:id="490" w:name="_Toc265228383"/>
      <w:bookmarkStart w:id="491" w:name="_Toc150480783"/>
      <w:bookmarkStart w:id="492" w:name="_Toc305158887"/>
      <w:bookmarkStart w:id="493" w:name="_Toc151190172"/>
      <w:bookmarkStart w:id="494" w:name="_Toc151193933"/>
      <w:bookmarkStart w:id="495" w:name="_Toc226965735"/>
      <w:r>
        <w:rPr>
          <w:rFonts w:ascii="Times New Roman" w:hAnsi="Times New Roman" w:eastAsiaTheme="minorEastAsia"/>
          <w:sz w:val="28"/>
        </w:rPr>
        <w:t xml:space="preserve">六   </w:t>
      </w:r>
      <w:bookmarkEnd w:id="474"/>
      <w:r>
        <w:rPr>
          <w:rFonts w:ascii="Times New Roman" w:hAnsi="Times New Roman" w:eastAsiaTheme="minorEastAsia"/>
          <w:sz w:val="28"/>
        </w:rPr>
        <w:t>确定</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Pr>
          <w:rFonts w:ascii="Times New Roman" w:hAnsi="Times New Roman" w:eastAsiaTheme="minorEastAsia"/>
          <w:sz w:val="28"/>
        </w:rPr>
        <w:t>成交</w:t>
      </w:r>
    </w:p>
    <w:p w14:paraId="6C212FAA">
      <w:pPr>
        <w:numPr>
          <w:ilvl w:val="0"/>
          <w:numId w:val="8"/>
        </w:numPr>
        <w:tabs>
          <w:tab w:val="left" w:pos="360"/>
        </w:tabs>
        <w:snapToGrid w:val="0"/>
        <w:spacing w:line="360" w:lineRule="auto"/>
        <w:ind w:left="357" w:hanging="357"/>
        <w:outlineLvl w:val="1"/>
        <w:rPr>
          <w:rFonts w:eastAsiaTheme="minorEastAsia"/>
          <w:sz w:val="24"/>
        </w:rPr>
      </w:pPr>
      <w:bookmarkStart w:id="496" w:name="_Toc151193789"/>
      <w:bookmarkStart w:id="497" w:name="_Toc305158815"/>
      <w:bookmarkStart w:id="498" w:name="_Toc164608816"/>
      <w:bookmarkStart w:id="499" w:name="_Toc151193717"/>
      <w:bookmarkStart w:id="500" w:name="_Toc226965737"/>
      <w:bookmarkStart w:id="501" w:name="_Toc127151547"/>
      <w:bookmarkStart w:id="502" w:name="_Toc164608661"/>
      <w:bookmarkStart w:id="503" w:name="_Toc127151748"/>
      <w:bookmarkStart w:id="504" w:name="_Toc264969237"/>
      <w:bookmarkStart w:id="505" w:name="_Toc127161461"/>
      <w:bookmarkStart w:id="506" w:name="_Toc150509298"/>
      <w:bookmarkStart w:id="507" w:name="_Toc151190174"/>
      <w:bookmarkStart w:id="508" w:name="_Toc151193935"/>
      <w:bookmarkStart w:id="509" w:name="_Toc151193645"/>
      <w:bookmarkStart w:id="510" w:name="_Toc226965820"/>
      <w:bookmarkStart w:id="511" w:name="_Toc265228385"/>
      <w:bookmarkStart w:id="512" w:name="_Toc226337243"/>
      <w:bookmarkStart w:id="513" w:name="_Toc150774647"/>
      <w:bookmarkStart w:id="514" w:name="_Toc305158889"/>
      <w:bookmarkStart w:id="515" w:name="_Toc142311049"/>
      <w:bookmarkStart w:id="516" w:name="_Toc151193861"/>
      <w:bookmarkStart w:id="517" w:name="_Toc164351641"/>
      <w:bookmarkStart w:id="518" w:name="_Toc164229388"/>
      <w:bookmarkStart w:id="519" w:name="_Toc150774752"/>
      <w:bookmarkStart w:id="520" w:name="_Toc150480785"/>
      <w:bookmarkStart w:id="521" w:name="_Toc226309791"/>
      <w:bookmarkStart w:id="522" w:name="_Toc195842912"/>
      <w:bookmarkStart w:id="523" w:name="_Toc164229242"/>
      <w:bookmarkStart w:id="524" w:name="_Toc149720840"/>
      <w:r>
        <w:rPr>
          <w:rFonts w:eastAsiaTheme="minorEastAsia"/>
          <w:sz w:val="24"/>
        </w:rPr>
        <w:t>确定成交供应商</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502E8FA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254A0676">
      <w:pPr>
        <w:numPr>
          <w:ilvl w:val="0"/>
          <w:numId w:val="8"/>
        </w:numPr>
        <w:tabs>
          <w:tab w:val="left" w:pos="360"/>
        </w:tabs>
        <w:snapToGrid w:val="0"/>
        <w:spacing w:line="360" w:lineRule="auto"/>
        <w:ind w:left="357" w:hanging="357"/>
        <w:outlineLvl w:val="1"/>
        <w:rPr>
          <w:rFonts w:eastAsiaTheme="minorEastAsia"/>
          <w:sz w:val="24"/>
        </w:rPr>
      </w:pPr>
      <w:bookmarkStart w:id="525" w:name="_Toc305158891"/>
      <w:bookmarkStart w:id="526" w:name="_Toc305158817"/>
      <w:bookmarkStart w:id="527" w:name="_Toc150774754"/>
      <w:bookmarkStart w:id="528" w:name="_Toc151193719"/>
      <w:bookmarkStart w:id="529" w:name="_Toc151193791"/>
      <w:bookmarkStart w:id="530" w:name="_Toc151193647"/>
      <w:bookmarkStart w:id="531" w:name="_Toc226309793"/>
      <w:bookmarkStart w:id="532" w:name="_Toc226965739"/>
      <w:bookmarkStart w:id="533" w:name="_Toc164229244"/>
      <w:bookmarkStart w:id="534" w:name="_Toc164608663"/>
      <w:bookmarkStart w:id="535" w:name="_Toc264969239"/>
      <w:bookmarkStart w:id="536" w:name="_Toc151193863"/>
      <w:bookmarkStart w:id="537" w:name="_Toc127151549"/>
      <w:bookmarkStart w:id="538" w:name="_Toc226337245"/>
      <w:bookmarkStart w:id="539" w:name="_Toc151190176"/>
      <w:bookmarkStart w:id="540" w:name="_Toc149720842"/>
      <w:bookmarkStart w:id="541" w:name="_Toc164229390"/>
      <w:bookmarkStart w:id="542" w:name="_Toc127161463"/>
      <w:bookmarkStart w:id="543" w:name="_Toc226965822"/>
      <w:bookmarkStart w:id="544" w:name="_Toc150480787"/>
      <w:bookmarkStart w:id="545" w:name="_Toc150509300"/>
      <w:bookmarkStart w:id="546" w:name="_Toc150774649"/>
      <w:bookmarkStart w:id="547" w:name="_Toc195842914"/>
      <w:bookmarkStart w:id="548" w:name="_Toc151193937"/>
      <w:bookmarkStart w:id="549" w:name="_Toc164608818"/>
      <w:bookmarkStart w:id="550" w:name="_Toc142311051"/>
      <w:bookmarkStart w:id="551" w:name="_Toc127151750"/>
      <w:bookmarkStart w:id="552" w:name="_Toc265228387"/>
      <w:bookmarkStart w:id="553" w:name="_Toc164351643"/>
      <w:bookmarkStart w:id="554" w:name="_Toc520356176"/>
      <w:bookmarkStart w:id="555" w:name="_Ref467307090"/>
      <w:bookmarkStart w:id="556" w:name="_Ref467306425"/>
      <w:r>
        <w:rPr>
          <w:rFonts w:eastAsiaTheme="minorEastAsia"/>
          <w:sz w:val="24"/>
        </w:rPr>
        <w:t>成交公告与成交通知书</w:t>
      </w:r>
      <w:bookmarkEnd w:id="525"/>
      <w:bookmarkEnd w:id="526"/>
    </w:p>
    <w:p w14:paraId="23E69BF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在成交供应商确定后2个工作日内，在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成交公告期限为1个工作日。</w:t>
      </w:r>
    </w:p>
    <w:p w14:paraId="60F9DD9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14:paraId="6CB6F705">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终止</w:t>
      </w:r>
    </w:p>
    <w:p w14:paraId="422F5CB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14:paraId="2E05F4D0">
      <w:pPr>
        <w:numPr>
          <w:ilvl w:val="2"/>
          <w:numId w:val="8"/>
        </w:numPr>
        <w:snapToGrid w:val="0"/>
        <w:spacing w:line="360" w:lineRule="auto"/>
        <w:rPr>
          <w:rFonts w:eastAsiaTheme="minorEastAsia"/>
          <w:sz w:val="24"/>
        </w:rPr>
      </w:pPr>
      <w:r>
        <w:rPr>
          <w:rFonts w:eastAsiaTheme="minorEastAsia"/>
          <w:sz w:val="24"/>
        </w:rPr>
        <w:t>因情况变化，不再符合规定的竞争性磋商采购方式适用情形的；</w:t>
      </w:r>
    </w:p>
    <w:p w14:paraId="358D98D8">
      <w:pPr>
        <w:numPr>
          <w:ilvl w:val="2"/>
          <w:numId w:val="8"/>
        </w:numPr>
        <w:snapToGrid w:val="0"/>
        <w:spacing w:line="360" w:lineRule="auto"/>
        <w:rPr>
          <w:rFonts w:eastAsiaTheme="minorEastAsia"/>
          <w:sz w:val="24"/>
        </w:rPr>
      </w:pPr>
      <w:r>
        <w:rPr>
          <w:rFonts w:eastAsiaTheme="minorEastAsia"/>
          <w:sz w:val="24"/>
        </w:rPr>
        <w:t>出现影响采购公正的违法、违规行为的；</w:t>
      </w:r>
    </w:p>
    <w:p w14:paraId="142D62AC">
      <w:pPr>
        <w:numPr>
          <w:ilvl w:val="2"/>
          <w:numId w:val="8"/>
        </w:numPr>
        <w:snapToGrid w:val="0"/>
        <w:spacing w:line="360" w:lineRule="auto"/>
        <w:rPr>
          <w:rFonts w:eastAsiaTheme="minorEastAsia"/>
          <w:sz w:val="24"/>
        </w:rPr>
      </w:pPr>
      <w:r>
        <w:rPr>
          <w:rFonts w:eastAsiaTheme="minorEastAsia"/>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14:paraId="2C2F2FE9">
      <w:pPr>
        <w:numPr>
          <w:ilvl w:val="0"/>
          <w:numId w:val="8"/>
        </w:numPr>
        <w:tabs>
          <w:tab w:val="left" w:pos="360"/>
        </w:tabs>
        <w:snapToGrid w:val="0"/>
        <w:spacing w:line="360" w:lineRule="auto"/>
        <w:ind w:left="357" w:hanging="357"/>
        <w:outlineLvl w:val="1"/>
        <w:rPr>
          <w:rFonts w:eastAsiaTheme="minorEastAsia"/>
          <w:sz w:val="24"/>
        </w:rPr>
      </w:pPr>
      <w:bookmarkStart w:id="557" w:name="_Toc164608819"/>
      <w:bookmarkStart w:id="558" w:name="_Ref467307062"/>
      <w:bookmarkStart w:id="559" w:name="_Toc164608664"/>
      <w:bookmarkStart w:id="560" w:name="_Ref467306377"/>
      <w:bookmarkStart w:id="561" w:name="_Toc151193648"/>
      <w:bookmarkStart w:id="562" w:name="_Toc164351644"/>
      <w:bookmarkStart w:id="563" w:name="_Toc150774755"/>
      <w:bookmarkStart w:id="564" w:name="_Toc305158818"/>
      <w:bookmarkStart w:id="565" w:name="_Ref467306978"/>
      <w:bookmarkStart w:id="566" w:name="_Toc164229391"/>
      <w:bookmarkStart w:id="567" w:name="_Toc127151751"/>
      <w:bookmarkStart w:id="568" w:name="_Toc265228388"/>
      <w:bookmarkStart w:id="569" w:name="_Toc150480788"/>
      <w:bookmarkStart w:id="570" w:name="_Toc142311052"/>
      <w:bookmarkStart w:id="571" w:name="_Toc226965823"/>
      <w:bookmarkStart w:id="572" w:name="_Toc151190177"/>
      <w:bookmarkStart w:id="573" w:name="_Toc226337246"/>
      <w:bookmarkStart w:id="574" w:name="_Toc226309794"/>
      <w:bookmarkStart w:id="575" w:name="_Toc264969240"/>
      <w:bookmarkStart w:id="576" w:name="_Toc164229245"/>
      <w:bookmarkStart w:id="577" w:name="_Toc151193720"/>
      <w:bookmarkStart w:id="578" w:name="_Toc127151550"/>
      <w:bookmarkStart w:id="579" w:name="_Ref467307204"/>
      <w:bookmarkStart w:id="580" w:name="_Toc151193792"/>
      <w:bookmarkStart w:id="581" w:name="_Toc520356175"/>
      <w:bookmarkStart w:id="582" w:name="_Toc151193938"/>
      <w:bookmarkStart w:id="583" w:name="_Toc150509301"/>
      <w:bookmarkStart w:id="584" w:name="_Toc151193864"/>
      <w:bookmarkStart w:id="585" w:name="_Toc150774650"/>
      <w:bookmarkStart w:id="586" w:name="_Toc195842915"/>
      <w:bookmarkStart w:id="587" w:name="_Toc127161464"/>
      <w:bookmarkStart w:id="588" w:name="_Toc226965740"/>
      <w:bookmarkStart w:id="589" w:name="_Toc305158892"/>
      <w:bookmarkStart w:id="590" w:name="_Toc149720843"/>
      <w:r>
        <w:rPr>
          <w:rFonts w:eastAsiaTheme="minorEastAsia"/>
          <w:sz w:val="24"/>
        </w:rPr>
        <w:t>签订合同</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14:paraId="294DC5CD">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采购人与成交供应商应当在成交通知书发出之日起30日内，按照磋商文件确定的合同文本以及采购标的、规格型号、采购金额、采购数量、技术和服务要求等事项签订政府采购合同。</w:t>
      </w:r>
    </w:p>
    <w:p w14:paraId="27AA203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4A3AB0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14:paraId="55E5612B">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14:paraId="5BCD93D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14:paraId="78ADD4E1">
      <w:pPr>
        <w:numPr>
          <w:ilvl w:val="1"/>
          <w:numId w:val="8"/>
        </w:numPr>
        <w:tabs>
          <w:tab w:val="left" w:pos="1080"/>
          <w:tab w:val="left" w:pos="2014"/>
        </w:tabs>
        <w:snapToGrid w:val="0"/>
        <w:spacing w:line="360" w:lineRule="auto"/>
        <w:ind w:left="1077" w:hanging="720"/>
        <w:rPr>
          <w:sz w:val="24"/>
        </w:rPr>
      </w:pPr>
      <w:r>
        <w:rPr>
          <w:rFonts w:hint="eastAsia" w:ascii="宋体" w:hAnsi="宋体"/>
          <w:sz w:val="24"/>
        </w:rPr>
        <w:t>“政采贷”融资指引：详见</w:t>
      </w:r>
      <w:r>
        <w:rPr>
          <w:rFonts w:eastAsiaTheme="minorEastAsia"/>
          <w:sz w:val="24"/>
        </w:rPr>
        <w:t>《</w:t>
      </w:r>
      <w:r>
        <w:rPr>
          <w:rFonts w:hint="eastAsia" w:eastAsiaTheme="minorEastAsia"/>
          <w:sz w:val="24"/>
        </w:rPr>
        <w:t>供应商</w:t>
      </w:r>
      <w:r>
        <w:rPr>
          <w:rFonts w:eastAsiaTheme="minorEastAsia"/>
          <w:sz w:val="24"/>
        </w:rPr>
        <w:t>须知资料表》</w:t>
      </w:r>
      <w:r>
        <w:rPr>
          <w:rFonts w:hint="eastAsia" w:eastAsiaTheme="minorEastAsia"/>
          <w:sz w:val="24"/>
        </w:rPr>
        <w:t>。</w:t>
      </w:r>
    </w:p>
    <w:bookmarkEnd w:id="554"/>
    <w:bookmarkEnd w:id="555"/>
    <w:bookmarkEnd w:id="556"/>
    <w:p w14:paraId="3FCCAEE7">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14:paraId="2A5EB4CD">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14:paraId="0E4AF0FF">
      <w:pPr>
        <w:numPr>
          <w:ilvl w:val="2"/>
          <w:numId w:val="8"/>
        </w:numPr>
        <w:snapToGrid w:val="0"/>
        <w:spacing w:line="360" w:lineRule="auto"/>
        <w:rPr>
          <w:rFonts w:eastAsiaTheme="minorEastAsia"/>
          <w:sz w:val="24"/>
        </w:rPr>
      </w:pPr>
      <w:bookmarkStart w:id="591"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91"/>
    </w:p>
    <w:p w14:paraId="6C0C15EA">
      <w:pPr>
        <w:numPr>
          <w:ilvl w:val="2"/>
          <w:numId w:val="8"/>
        </w:numPr>
        <w:snapToGrid w:val="0"/>
        <w:spacing w:line="360" w:lineRule="auto"/>
        <w:rPr>
          <w:rFonts w:eastAsiaTheme="minorEastAsia"/>
          <w:sz w:val="24"/>
        </w:rPr>
      </w:pPr>
      <w:r>
        <w:rPr>
          <w:rFonts w:eastAsiaTheme="minorEastAsia"/>
          <w:sz w:val="24"/>
        </w:rPr>
        <w:t>采购人或采购代理机构对供应商依法提出的询问，在3个工作日内作出答复，但答复的内容不得涉及商业秘密。</w:t>
      </w:r>
    </w:p>
    <w:p w14:paraId="26B1A373">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14:paraId="07D84CEB">
      <w:pPr>
        <w:numPr>
          <w:ilvl w:val="2"/>
          <w:numId w:val="8"/>
        </w:numPr>
        <w:snapToGrid w:val="0"/>
        <w:spacing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100B9A8E">
      <w:pPr>
        <w:numPr>
          <w:ilvl w:val="2"/>
          <w:numId w:val="8"/>
        </w:numPr>
        <w:snapToGrid w:val="0"/>
        <w:spacing w:line="360" w:lineRule="auto"/>
        <w:rPr>
          <w:rFonts w:eastAsiaTheme="minorEastAsia"/>
          <w:sz w:val="24"/>
        </w:rPr>
      </w:pPr>
      <w:r>
        <w:rPr>
          <w:rFonts w:eastAsiaTheme="minor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2835027E">
      <w:pPr>
        <w:numPr>
          <w:ilvl w:val="2"/>
          <w:numId w:val="8"/>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14AD6B80">
      <w:pPr>
        <w:numPr>
          <w:ilvl w:val="2"/>
          <w:numId w:val="8"/>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14:paraId="5C01CB2A">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接收询问和质疑的联系部门、联系电话和通讯地址见《供应商须知资料表》。</w:t>
      </w:r>
    </w:p>
    <w:p w14:paraId="4BDBF6E7">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14:paraId="509BE44B">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收费对象、收费标准及缴纳时间见《供应商须知资料表》。由成交供应商支付的，成交供应商须一次性向采购代理机构缴纳代理费，报价应包含代理费用。</w:t>
      </w:r>
    </w:p>
    <w:p w14:paraId="0791EC10">
      <w:pPr>
        <w:tabs>
          <w:tab w:val="left" w:pos="360"/>
          <w:tab w:val="left" w:pos="1080"/>
        </w:tabs>
        <w:snapToGrid w:val="0"/>
        <w:spacing w:line="360" w:lineRule="auto"/>
        <w:ind w:left="360"/>
        <w:rPr>
          <w:rFonts w:eastAsiaTheme="minorEastAsia"/>
          <w:sz w:val="24"/>
        </w:rPr>
      </w:pPr>
    </w:p>
    <w:p w14:paraId="0419DAFD">
      <w:pPr>
        <w:spacing w:line="360" w:lineRule="auto"/>
        <w:jc w:val="center"/>
        <w:outlineLvl w:val="0"/>
        <w:rPr>
          <w:rFonts w:eastAsiaTheme="minorEastAsia"/>
          <w:b/>
          <w:sz w:val="36"/>
          <w:szCs w:val="36"/>
        </w:rPr>
      </w:pPr>
      <w:bookmarkStart w:id="592" w:name="_Toc142311056"/>
      <w:bookmarkStart w:id="593" w:name="_Toc226965827"/>
      <w:bookmarkStart w:id="594" w:name="_Toc353873664"/>
      <w:bookmarkStart w:id="595" w:name="_Toc305158896"/>
      <w:bookmarkStart w:id="596" w:name="_Toc353873934"/>
      <w:bookmarkStart w:id="597" w:name="_Toc264969244"/>
      <w:bookmarkStart w:id="598" w:name="_Toc305158822"/>
      <w:bookmarkStart w:id="599" w:name="_Toc127151554"/>
      <w:bookmarkStart w:id="600" w:name="_Toc150774759"/>
      <w:bookmarkStart w:id="601" w:name="_Toc265228392"/>
      <w:bookmarkStart w:id="602" w:name="_Toc226337250"/>
      <w:bookmarkStart w:id="603" w:name="_Toc353825544"/>
      <w:bookmarkStart w:id="604" w:name="_Toc150480792"/>
      <w:r>
        <w:rPr>
          <w:rFonts w:eastAsiaTheme="minorEastAsia"/>
          <w:sz w:val="24"/>
        </w:rPr>
        <w:br w:type="page"/>
      </w:r>
      <w:bookmarkStart w:id="605" w:name="_Toc97371943"/>
      <w:r>
        <w:rPr>
          <w:rFonts w:eastAsiaTheme="minorEastAsia"/>
          <w:b/>
          <w:sz w:val="36"/>
          <w:szCs w:val="36"/>
        </w:rPr>
        <w:t xml:space="preserve">第三章   </w:t>
      </w:r>
      <w:bookmarkEnd w:id="592"/>
      <w:bookmarkEnd w:id="593"/>
      <w:bookmarkEnd w:id="594"/>
      <w:bookmarkEnd w:id="595"/>
      <w:bookmarkEnd w:id="596"/>
      <w:bookmarkEnd w:id="597"/>
      <w:bookmarkEnd w:id="598"/>
      <w:bookmarkEnd w:id="599"/>
      <w:bookmarkEnd w:id="600"/>
      <w:bookmarkEnd w:id="601"/>
      <w:bookmarkEnd w:id="602"/>
      <w:bookmarkEnd w:id="603"/>
      <w:bookmarkEnd w:id="604"/>
      <w:r>
        <w:rPr>
          <w:rFonts w:eastAsiaTheme="minorEastAsia"/>
          <w:b/>
          <w:sz w:val="36"/>
          <w:szCs w:val="36"/>
        </w:rPr>
        <w:t>评审方法和评审标准</w:t>
      </w:r>
      <w:bookmarkEnd w:id="605"/>
      <w:bookmarkStart w:id="606" w:name="_Toc487900382"/>
    </w:p>
    <w:p w14:paraId="6EF2BFB9">
      <w:pPr>
        <w:pStyle w:val="3"/>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一、</w:t>
      </w:r>
      <w:r>
        <w:rPr>
          <w:rFonts w:hint="eastAsia" w:ascii="Times New Roman" w:hAnsi="Times New Roman" w:eastAsiaTheme="minorEastAsia"/>
          <w:sz w:val="24"/>
          <w:szCs w:val="24"/>
        </w:rPr>
        <w:t>评审程序和方法</w:t>
      </w:r>
    </w:p>
    <w:p w14:paraId="71B215AA">
      <w:pPr>
        <w:tabs>
          <w:tab w:val="left" w:pos="1080"/>
        </w:tabs>
        <w:snapToGrid w:val="0"/>
        <w:jc w:val="left"/>
        <w:rPr>
          <w:rFonts w:eastAsiaTheme="minorEastAsia"/>
          <w:b/>
          <w:sz w:val="24"/>
        </w:rPr>
      </w:pPr>
      <w:r>
        <w:rPr>
          <w:rFonts w:eastAsiaTheme="minorEastAsia"/>
          <w:b/>
          <w:sz w:val="24"/>
        </w:rPr>
        <w:tab/>
      </w:r>
    </w:p>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606"/>
    <w:p w14:paraId="57F60588">
      <w:pPr>
        <w:numPr>
          <w:ilvl w:val="0"/>
          <w:numId w:val="11"/>
        </w:numPr>
        <w:tabs>
          <w:tab w:val="left" w:pos="360"/>
        </w:tabs>
        <w:snapToGrid w:val="0"/>
        <w:spacing w:line="360" w:lineRule="auto"/>
        <w:outlineLvl w:val="1"/>
        <w:rPr>
          <w:rFonts w:eastAsiaTheme="minorEastAsia"/>
          <w:sz w:val="24"/>
        </w:rPr>
      </w:pPr>
      <w:bookmarkStart w:id="607" w:name="_Toc127151541"/>
      <w:bookmarkStart w:id="608" w:name="_Toc164608655"/>
      <w:bookmarkStart w:id="609" w:name="_Toc164351635"/>
      <w:bookmarkStart w:id="610" w:name="_Toc164229236"/>
      <w:bookmarkStart w:id="611" w:name="_Toc149720834"/>
      <w:bookmarkStart w:id="612" w:name="_Toc151190168"/>
      <w:bookmarkStart w:id="613" w:name="_Toc164608810"/>
      <w:bookmarkStart w:id="614" w:name="_Toc305158883"/>
      <w:bookmarkStart w:id="615" w:name="_Toc151193639"/>
      <w:bookmarkStart w:id="616" w:name="_Toc226965731"/>
      <w:bookmarkStart w:id="617" w:name="_Toc150774746"/>
      <w:bookmarkStart w:id="618" w:name="_Toc151193929"/>
      <w:bookmarkStart w:id="619" w:name="_Toc127161455"/>
      <w:bookmarkStart w:id="620" w:name="_Toc150509292"/>
      <w:bookmarkStart w:id="621" w:name="_Toc226965814"/>
      <w:bookmarkStart w:id="622" w:name="_Toc195842906"/>
      <w:bookmarkStart w:id="623" w:name="_Toc226337237"/>
      <w:bookmarkStart w:id="624" w:name="_Toc305158809"/>
      <w:bookmarkStart w:id="625" w:name="_Toc164229382"/>
      <w:bookmarkStart w:id="626" w:name="_Toc226309785"/>
      <w:bookmarkStart w:id="627" w:name="_Toc265228379"/>
      <w:bookmarkStart w:id="628" w:name="_Toc151193855"/>
      <w:bookmarkStart w:id="629" w:name="_Toc264969231"/>
      <w:bookmarkStart w:id="630" w:name="_Toc151193783"/>
      <w:bookmarkStart w:id="631" w:name="_Toc142311043"/>
      <w:bookmarkStart w:id="632" w:name="_Toc151193711"/>
      <w:bookmarkStart w:id="633" w:name="_Toc150480779"/>
      <w:bookmarkStart w:id="634" w:name="_Toc150774641"/>
      <w:bookmarkStart w:id="635" w:name="_Toc127151742"/>
      <w:bookmarkStart w:id="636" w:name="_Toc353825551"/>
      <w:bookmarkStart w:id="637" w:name="_Toc353873941"/>
      <w:bookmarkStart w:id="638" w:name="_Toc226337251"/>
      <w:bookmarkStart w:id="639" w:name="_Toc195842920"/>
      <w:bookmarkStart w:id="640" w:name="_Toc353873665"/>
      <w:bookmarkStart w:id="641" w:name="_Toc150774760"/>
      <w:bookmarkStart w:id="642" w:name="_Toc127151555"/>
      <w:bookmarkStart w:id="643" w:name="_Toc264969245"/>
      <w:bookmarkStart w:id="644" w:name="_Toc226965828"/>
      <w:bookmarkStart w:id="645" w:name="_Toc305158823"/>
      <w:bookmarkStart w:id="646" w:name="_Toc265228393"/>
      <w:bookmarkStart w:id="647" w:name="_Toc305158897"/>
      <w:bookmarkStart w:id="648" w:name="_Toc353873935"/>
      <w:bookmarkStart w:id="649" w:name="_Toc150480793"/>
      <w:bookmarkStart w:id="650" w:name="_Toc353825545"/>
      <w:bookmarkStart w:id="651" w:name="_Toc142311057"/>
      <w:r>
        <w:rPr>
          <w:rFonts w:eastAsiaTheme="minorEastAsia"/>
          <w:sz w:val="24"/>
        </w:rPr>
        <w:t>响应文件的</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Fonts w:eastAsiaTheme="minorEastAsia"/>
          <w:sz w:val="24"/>
        </w:rPr>
        <w:t>资格审查和符合性审查</w:t>
      </w:r>
    </w:p>
    <w:p w14:paraId="143F061B">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hint="eastAsia" w:eastAsiaTheme="minorEastAsia"/>
          <w:sz w:val="24"/>
        </w:rPr>
        <w:t>处理</w:t>
      </w:r>
      <w:r>
        <w:rPr>
          <w:rFonts w:eastAsiaTheme="minorEastAsia"/>
          <w:sz w:val="24"/>
        </w:rPr>
        <w:t>，磋商小组应当告知提交响应文件的供应商。</w:t>
      </w:r>
    </w:p>
    <w:p w14:paraId="50D9E92A">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《资格审查要求》中对格式有要求的，除竞争性磋商文件另有规定外，均为“实质性格式”文件。</w:t>
      </w:r>
    </w:p>
    <w:p w14:paraId="52D2C24E">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《资格审查要求》见后附表：</w:t>
      </w:r>
    </w:p>
    <w:p w14:paraId="7A750033">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《符合性审查要求》见后附表：</w:t>
      </w:r>
    </w:p>
    <w:p w14:paraId="7595AADF">
      <w:pPr>
        <w:numPr>
          <w:ilvl w:val="0"/>
          <w:numId w:val="11"/>
        </w:numPr>
        <w:tabs>
          <w:tab w:val="left" w:pos="360"/>
        </w:tabs>
        <w:snapToGrid w:val="0"/>
        <w:spacing w:line="360" w:lineRule="auto"/>
        <w:outlineLvl w:val="1"/>
        <w:rPr>
          <w:rFonts w:eastAsiaTheme="minorEastAsia"/>
          <w:sz w:val="24"/>
        </w:rPr>
      </w:pPr>
      <w:r>
        <w:rPr>
          <w:rFonts w:eastAsiaTheme="minorEastAsia"/>
          <w:sz w:val="24"/>
        </w:rPr>
        <w:t>磋商、响应文件有关事项的澄清、说明或者更正和最后报价</w:t>
      </w:r>
    </w:p>
    <w:p w14:paraId="09C92114">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14:paraId="0406BDAF">
      <w:pPr>
        <w:numPr>
          <w:ilvl w:val="1"/>
          <w:numId w:val="11"/>
        </w:numPr>
        <w:tabs>
          <w:tab w:val="left" w:pos="1080"/>
          <w:tab w:val="left" w:pos="1872"/>
        </w:tabs>
        <w:snapToGrid w:val="0"/>
        <w:spacing w:line="360" w:lineRule="auto"/>
        <w:ind w:left="1077" w:hanging="720"/>
        <w:rPr>
          <w:rFonts w:eastAsiaTheme="minorEastAsia"/>
          <w:sz w:val="24"/>
        </w:rPr>
      </w:pPr>
      <w:r>
        <w:rPr>
          <w:rFonts w:hint="eastAsia" w:eastAsiaTheme="minor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11A785A5">
      <w:pPr>
        <w:numPr>
          <w:ilvl w:val="1"/>
          <w:numId w:val="11"/>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对磋商文件作出的实质性变动是磋商文件的有效组成部分，磋商小组应当及时以书面形式同时通知所有参加磋商的供应商。</w:t>
      </w:r>
    </w:p>
    <w:p w14:paraId="62BEBEB7">
      <w:pPr>
        <w:numPr>
          <w:ilvl w:val="1"/>
          <w:numId w:val="11"/>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供应商应当按照磋商文件的变动情况和磋商小组的要求重新提交响应文件，并由其法定代表人（</w:t>
      </w:r>
      <w:r>
        <w:rPr>
          <w:rFonts w:hint="eastAsia"/>
          <w:sz w:val="24"/>
          <w:szCs w:val="20"/>
        </w:rPr>
        <w:t>若供应商为事业单位或其他组织或分支机构，可为单位负责人</w:t>
      </w:r>
      <w:r>
        <w:rPr>
          <w:rFonts w:hint="eastAsia" w:eastAsiaTheme="minorEastAsia"/>
          <w:kern w:val="0"/>
          <w:sz w:val="24"/>
        </w:rPr>
        <w:t>）或授权代表签字或者加盖公章。由授权代表签字的，应当附授权委托书。供应商为自然人的，应当由本人签字并附身份证明。</w:t>
      </w:r>
    </w:p>
    <w:p w14:paraId="4AA76006">
      <w:pPr>
        <w:numPr>
          <w:ilvl w:val="1"/>
          <w:numId w:val="11"/>
        </w:numPr>
        <w:tabs>
          <w:tab w:val="left" w:pos="1080"/>
          <w:tab w:val="left" w:pos="1872"/>
        </w:tabs>
        <w:snapToGrid w:val="0"/>
        <w:spacing w:line="360" w:lineRule="auto"/>
        <w:ind w:left="1077" w:hanging="720"/>
        <w:rPr>
          <w:rFonts w:eastAsiaTheme="minorEastAsia"/>
          <w:sz w:val="24"/>
        </w:rPr>
      </w:pPr>
      <w:r>
        <w:rPr>
          <w:rFonts w:hint="eastAsia" w:eastAsiaTheme="minorEastAsia"/>
          <w:sz w:val="24"/>
        </w:rPr>
        <w:t>响应文件的澄清、说明或者更正：</w:t>
      </w:r>
    </w:p>
    <w:p w14:paraId="121BB574">
      <w:pPr>
        <w:numPr>
          <w:ilvl w:val="2"/>
          <w:numId w:val="11"/>
        </w:numPr>
        <w:snapToGrid w:val="0"/>
        <w:spacing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4C0CCC80">
      <w:pPr>
        <w:numPr>
          <w:ilvl w:val="2"/>
          <w:numId w:val="11"/>
        </w:numPr>
        <w:snapToGrid w:val="0"/>
        <w:spacing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磋商小组对响应文件进行审查，如发现供应商提交的响应文件存在不满足《符合性审查要求》的内容，如属于表中“不允许”澄清、说明或者更正的内容，则供应商响应文件按</w:t>
      </w:r>
      <w:r>
        <w:rPr>
          <w:rFonts w:eastAsiaTheme="minorEastAsia"/>
          <w:b/>
          <w:sz w:val="24"/>
        </w:rPr>
        <w:t>无效处理</w:t>
      </w:r>
      <w:r>
        <w:rPr>
          <w:rFonts w:eastAsiaTheme="minorEastAsia"/>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14:paraId="220E2E88">
      <w:pPr>
        <w:numPr>
          <w:ilvl w:val="2"/>
          <w:numId w:val="11"/>
        </w:numPr>
        <w:snapToGrid w:val="0"/>
        <w:spacing w:line="360"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eastAsiaTheme="minorEastAsia"/>
          <w:kern w:val="0"/>
          <w:sz w:val="24"/>
        </w:rPr>
        <w:t>（</w:t>
      </w:r>
      <w:r>
        <w:rPr>
          <w:sz w:val="24"/>
          <w:szCs w:val="20"/>
        </w:rPr>
        <w:t>若</w:t>
      </w:r>
      <w:r>
        <w:rPr>
          <w:rFonts w:hint="eastAsia"/>
          <w:sz w:val="24"/>
          <w:szCs w:val="20"/>
        </w:rPr>
        <w:t>供应商</w:t>
      </w:r>
      <w:r>
        <w:rPr>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14:paraId="151BDDB1">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14:paraId="6914914F">
      <w:pPr>
        <w:numPr>
          <w:ilvl w:val="1"/>
          <w:numId w:val="11"/>
        </w:numPr>
        <w:tabs>
          <w:tab w:val="left" w:pos="1080"/>
          <w:tab w:val="left" w:pos="1872"/>
        </w:tabs>
        <w:snapToGrid w:val="0"/>
        <w:spacing w:line="360" w:lineRule="auto"/>
        <w:ind w:left="1077" w:hanging="720"/>
        <w:rPr>
          <w:rFonts w:eastAsiaTheme="minorEastAsia"/>
          <w:snapToGrid w:val="0"/>
          <w:sz w:val="24"/>
        </w:rPr>
      </w:pPr>
      <w:bookmarkStart w:id="652" w:name="_Hlk220085436"/>
      <w:r>
        <w:rPr>
          <w:rFonts w:hint="eastAsia" w:eastAsiaTheme="minorEastAsia"/>
          <w:snapToGrid w:val="0"/>
          <w:sz w:val="24"/>
        </w:rPr>
        <w:t>异常低价处理</w:t>
      </w:r>
    </w:p>
    <w:p w14:paraId="551784E0">
      <w:pPr>
        <w:numPr>
          <w:ilvl w:val="2"/>
          <w:numId w:val="11"/>
        </w:numPr>
        <w:snapToGrid w:val="0"/>
        <w:spacing w:line="360" w:lineRule="auto"/>
        <w:rPr>
          <w:rFonts w:eastAsiaTheme="minorEastAsia"/>
          <w:sz w:val="24"/>
        </w:rPr>
      </w:pPr>
      <w:r>
        <w:rPr>
          <w:rFonts w:hint="eastAsia" w:eastAsiaTheme="minorEastAsia"/>
          <w:sz w:val="24"/>
        </w:rPr>
        <w:t>政府采购评审中出现下列情形之一的，评审委员会应当启动异常低价投标（响应）审查程序：</w:t>
      </w:r>
    </w:p>
    <w:p w14:paraId="025164EA">
      <w:pPr>
        <w:snapToGrid w:val="0"/>
        <w:spacing w:line="360" w:lineRule="auto"/>
        <w:ind w:left="1980"/>
        <w:rPr>
          <w:rFonts w:eastAsiaTheme="minorEastAsia"/>
          <w:sz w:val="24"/>
        </w:rPr>
      </w:pPr>
      <w:r>
        <w:rPr>
          <w:rFonts w:hint="eastAsia" w:eastAsiaTheme="minorEastAsia"/>
          <w:sz w:val="24"/>
        </w:rPr>
        <w:t>（</w:t>
      </w:r>
      <w:r>
        <w:rPr>
          <w:rFonts w:eastAsiaTheme="minorEastAsia"/>
          <w:sz w:val="24"/>
        </w:rPr>
        <w:t>1</w:t>
      </w:r>
      <w:r>
        <w:rPr>
          <w:rFonts w:hint="eastAsia" w:eastAsiaTheme="minorEastAsia"/>
          <w:sz w:val="24"/>
        </w:rPr>
        <w:t>）投标（响应）报价低于全部通过符合性审查供应商投标（响应）报价平均值</w:t>
      </w:r>
      <w:r>
        <w:rPr>
          <w:rFonts w:eastAsiaTheme="minorEastAsia"/>
          <w:sz w:val="24"/>
          <w:u w:val="single"/>
        </w:rPr>
        <w:t>_</w:t>
      </w:r>
      <w:r>
        <w:rPr>
          <w:rFonts w:hint="eastAsia" w:eastAsiaTheme="minorEastAsia"/>
          <w:sz w:val="24"/>
          <w:u w:val="single"/>
        </w:rPr>
        <w:t>50</w:t>
      </w:r>
      <w:r>
        <w:rPr>
          <w:rFonts w:eastAsiaTheme="minorEastAsia"/>
          <w:sz w:val="24"/>
          <w:u w:val="single"/>
        </w:rPr>
        <w:t>_</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全部通过符合性审查供应商投标（响应）报价平均值×</w:t>
      </w:r>
      <w:r>
        <w:rPr>
          <w:rFonts w:eastAsiaTheme="minorEastAsia"/>
          <w:sz w:val="24"/>
          <w:u w:val="single"/>
        </w:rPr>
        <w:t>_</w:t>
      </w:r>
      <w:r>
        <w:rPr>
          <w:rFonts w:hint="eastAsia" w:eastAsiaTheme="minorEastAsia"/>
          <w:sz w:val="24"/>
          <w:u w:val="single"/>
        </w:rPr>
        <w:t>50</w:t>
      </w:r>
      <w:r>
        <w:rPr>
          <w:rFonts w:eastAsiaTheme="minorEastAsia"/>
          <w:sz w:val="24"/>
          <w:u w:val="single"/>
        </w:rPr>
        <w:t>_</w:t>
      </w:r>
      <w:r>
        <w:rPr>
          <w:rFonts w:eastAsiaTheme="minorEastAsia"/>
          <w:sz w:val="24"/>
        </w:rPr>
        <w:t>%</w:t>
      </w:r>
      <w:r>
        <w:rPr>
          <w:rFonts w:hint="eastAsia" w:eastAsiaTheme="minorEastAsia"/>
          <w:sz w:val="24"/>
        </w:rPr>
        <w:t>；</w:t>
      </w:r>
    </w:p>
    <w:p w14:paraId="079908D4">
      <w:pPr>
        <w:snapToGrid w:val="0"/>
        <w:spacing w:line="360" w:lineRule="auto"/>
        <w:ind w:left="1980"/>
        <w:rPr>
          <w:rFonts w:eastAsiaTheme="minorEastAsia"/>
          <w:sz w:val="24"/>
        </w:rPr>
      </w:pPr>
      <w:r>
        <w:rPr>
          <w:rFonts w:hint="eastAsia" w:eastAsiaTheme="minorEastAsia"/>
          <w:sz w:val="24"/>
        </w:rPr>
        <w:t>（</w:t>
      </w:r>
      <w:r>
        <w:rPr>
          <w:rFonts w:eastAsiaTheme="minorEastAsia"/>
          <w:sz w:val="24"/>
        </w:rPr>
        <w:t>2</w:t>
      </w:r>
      <w:r>
        <w:rPr>
          <w:rFonts w:hint="eastAsia" w:eastAsiaTheme="minorEastAsia"/>
          <w:sz w:val="24"/>
        </w:rPr>
        <w:t>）投标（响应）报价低于通过符合性审查的次低报价供应商投标（响应）报价</w:t>
      </w:r>
      <w:r>
        <w:rPr>
          <w:rFonts w:eastAsiaTheme="minorEastAsia"/>
          <w:sz w:val="24"/>
          <w:u w:val="single"/>
        </w:rPr>
        <w:t>_</w:t>
      </w:r>
      <w:r>
        <w:rPr>
          <w:rFonts w:hint="eastAsia" w:eastAsiaTheme="minorEastAsia"/>
          <w:sz w:val="24"/>
          <w:u w:val="single"/>
        </w:rPr>
        <w:t>50</w:t>
      </w:r>
      <w:r>
        <w:rPr>
          <w:rFonts w:eastAsiaTheme="minorEastAsia"/>
          <w:sz w:val="24"/>
          <w:u w:val="single"/>
        </w:rPr>
        <w:t>_</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通过符合性审查的次低报价供应商投标（响应）报价×</w:t>
      </w:r>
      <w:r>
        <w:rPr>
          <w:rFonts w:eastAsiaTheme="minorEastAsia"/>
          <w:sz w:val="24"/>
          <w:u w:val="single"/>
        </w:rPr>
        <w:t>_</w:t>
      </w:r>
      <w:r>
        <w:rPr>
          <w:rFonts w:hint="eastAsia" w:eastAsiaTheme="minorEastAsia"/>
          <w:sz w:val="24"/>
          <w:u w:val="single"/>
        </w:rPr>
        <w:t>50</w:t>
      </w:r>
      <w:r>
        <w:rPr>
          <w:rFonts w:eastAsiaTheme="minorEastAsia"/>
          <w:sz w:val="24"/>
          <w:u w:val="single"/>
        </w:rPr>
        <w:t>_</w:t>
      </w:r>
      <w:r>
        <w:rPr>
          <w:rFonts w:eastAsiaTheme="minorEastAsia"/>
          <w:sz w:val="24"/>
        </w:rPr>
        <w:t>%</w:t>
      </w:r>
      <w:r>
        <w:rPr>
          <w:rFonts w:hint="eastAsia" w:eastAsiaTheme="minorEastAsia"/>
          <w:sz w:val="24"/>
        </w:rPr>
        <w:t>；</w:t>
      </w:r>
    </w:p>
    <w:p w14:paraId="14F459C1">
      <w:pPr>
        <w:snapToGrid w:val="0"/>
        <w:spacing w:line="360" w:lineRule="auto"/>
        <w:ind w:left="1980"/>
        <w:rPr>
          <w:rFonts w:eastAsiaTheme="minorEastAsia"/>
          <w:sz w:val="24"/>
        </w:rPr>
      </w:pPr>
      <w:r>
        <w:rPr>
          <w:rFonts w:hint="eastAsia" w:eastAsiaTheme="minorEastAsia"/>
          <w:sz w:val="24"/>
        </w:rPr>
        <w:t>（</w:t>
      </w:r>
      <w:r>
        <w:rPr>
          <w:rFonts w:eastAsiaTheme="minorEastAsia"/>
          <w:sz w:val="24"/>
        </w:rPr>
        <w:t>3</w:t>
      </w:r>
      <w:r>
        <w:rPr>
          <w:rFonts w:hint="eastAsia" w:eastAsiaTheme="minorEastAsia"/>
          <w:sz w:val="24"/>
        </w:rPr>
        <w:t>）投标（响应）报价低于采购项目最高限价</w:t>
      </w:r>
      <w:r>
        <w:rPr>
          <w:rFonts w:eastAsiaTheme="minorEastAsia"/>
          <w:sz w:val="24"/>
          <w:u w:val="single"/>
        </w:rPr>
        <w:t>_</w:t>
      </w:r>
      <w:r>
        <w:rPr>
          <w:rFonts w:hint="eastAsia" w:eastAsiaTheme="minorEastAsia"/>
          <w:sz w:val="24"/>
          <w:u w:val="single"/>
        </w:rPr>
        <w:t>45</w:t>
      </w:r>
      <w:r>
        <w:rPr>
          <w:rFonts w:eastAsiaTheme="minorEastAsia"/>
          <w:sz w:val="24"/>
          <w:u w:val="single"/>
        </w:rPr>
        <w:t>_</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采购项目最高限价×</w:t>
      </w:r>
      <w:r>
        <w:rPr>
          <w:rFonts w:eastAsiaTheme="minorEastAsia"/>
          <w:sz w:val="24"/>
          <w:u w:val="single"/>
        </w:rPr>
        <w:t>_</w:t>
      </w:r>
      <w:r>
        <w:rPr>
          <w:rFonts w:hint="eastAsia" w:eastAsiaTheme="minorEastAsia"/>
          <w:sz w:val="24"/>
          <w:u w:val="single"/>
        </w:rPr>
        <w:t>45</w:t>
      </w:r>
      <w:r>
        <w:rPr>
          <w:rFonts w:eastAsiaTheme="minorEastAsia"/>
          <w:sz w:val="24"/>
          <w:u w:val="single"/>
        </w:rPr>
        <w:t>_</w:t>
      </w:r>
      <w:r>
        <w:rPr>
          <w:rFonts w:eastAsiaTheme="minorEastAsia"/>
          <w:sz w:val="24"/>
        </w:rPr>
        <w:t>%</w:t>
      </w:r>
      <w:r>
        <w:rPr>
          <w:rFonts w:hint="eastAsia" w:eastAsiaTheme="minorEastAsia"/>
          <w:sz w:val="24"/>
        </w:rPr>
        <w:t>；未设定最高限价的采购项目，以采购项目预算金额作为最高限价；</w:t>
      </w:r>
    </w:p>
    <w:p w14:paraId="7D23F613">
      <w:pPr>
        <w:snapToGrid w:val="0"/>
        <w:spacing w:line="360" w:lineRule="auto"/>
        <w:ind w:left="1980"/>
        <w:rPr>
          <w:rFonts w:eastAsiaTheme="minorEastAsia"/>
          <w:sz w:val="24"/>
        </w:rPr>
      </w:pPr>
      <w:r>
        <w:rPr>
          <w:rFonts w:hint="eastAsia" w:eastAsiaTheme="minorEastAsia"/>
          <w:sz w:val="24"/>
        </w:rPr>
        <w:t>（</w:t>
      </w:r>
      <w:r>
        <w:rPr>
          <w:rFonts w:eastAsiaTheme="minorEastAsia"/>
          <w:sz w:val="24"/>
        </w:rPr>
        <w:t>4</w:t>
      </w:r>
      <w:r>
        <w:rPr>
          <w:rFonts w:hint="eastAsia" w:eastAsiaTheme="minorEastAsia"/>
          <w:sz w:val="24"/>
        </w:rPr>
        <w:t>）评审委员会基于专业判断，认为供应商报价过低，有可能影响产品质量或者不能诚信履约的其他情形。</w:t>
      </w:r>
    </w:p>
    <w:p w14:paraId="67A437F7">
      <w:pPr>
        <w:numPr>
          <w:ilvl w:val="2"/>
          <w:numId w:val="11"/>
        </w:numPr>
        <w:snapToGrid w:val="0"/>
        <w:spacing w:line="360" w:lineRule="auto"/>
        <w:rPr>
          <w:rFonts w:eastAsiaTheme="minorEastAsia"/>
          <w:sz w:val="24"/>
        </w:rPr>
      </w:pPr>
      <w:r>
        <w:rPr>
          <w:rFonts w:hint="eastAsia" w:eastAsiaTheme="minorEastAsia"/>
          <w:sz w:val="24"/>
        </w:rPr>
        <w:t>评审委员会启动异常低价投标（响应）审查后，属于前述第（</w:t>
      </w:r>
      <w:r>
        <w:rPr>
          <w:rFonts w:eastAsiaTheme="minorEastAsia"/>
          <w:sz w:val="24"/>
        </w:rPr>
        <w:t>1</w:t>
      </w:r>
      <w:r>
        <w:rPr>
          <w:rFonts w:hint="eastAsia" w:eastAsiaTheme="minorEastAsia"/>
          <w:sz w:val="24"/>
        </w:rPr>
        <w:t>）项至第（</w:t>
      </w:r>
      <w:r>
        <w:rPr>
          <w:rFonts w:eastAsiaTheme="minorEastAsia"/>
          <w:sz w:val="24"/>
        </w:rPr>
        <w:t>4</w:t>
      </w:r>
      <w:r>
        <w:rPr>
          <w:rFonts w:hint="eastAsia" w:eastAsia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hint="eastAsia" w:eastAsiaTheme="minorEastAsia"/>
          <w:sz w:val="24"/>
        </w:rPr>
        <w:t>分钟。其中，属于第（</w:t>
      </w:r>
      <w:r>
        <w:rPr>
          <w:rFonts w:eastAsiaTheme="minorEastAsia"/>
          <w:sz w:val="24"/>
        </w:rPr>
        <w:t>3</w:t>
      </w:r>
      <w:r>
        <w:rPr>
          <w:rFonts w:hint="eastAsia" w:eastAsiaTheme="minorEastAsia"/>
          <w:sz w:val="24"/>
        </w:rPr>
        <w:t>）项情形，供应商已随投标（响应）文件一并提交相关书面说明及必要的证明材料的，在评审现场可不再重复提交。</w:t>
      </w:r>
    </w:p>
    <w:p w14:paraId="2203E71C">
      <w:pPr>
        <w:numPr>
          <w:ilvl w:val="2"/>
          <w:numId w:val="11"/>
        </w:numPr>
        <w:snapToGrid w:val="0"/>
        <w:spacing w:line="360" w:lineRule="auto"/>
        <w:rPr>
          <w:rFonts w:eastAsiaTheme="minorEastAsia"/>
          <w:sz w:val="24"/>
        </w:rPr>
      </w:pPr>
      <w:r>
        <w:rPr>
          <w:rFonts w:hint="eastAsia" w:eastAsia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AC5D1A0">
      <w:pPr>
        <w:numPr>
          <w:ilvl w:val="2"/>
          <w:numId w:val="11"/>
        </w:numPr>
        <w:snapToGrid w:val="0"/>
        <w:spacing w:line="360" w:lineRule="auto"/>
        <w:rPr>
          <w:rFonts w:eastAsiaTheme="minorEastAsia"/>
          <w:sz w:val="24"/>
        </w:rPr>
      </w:pPr>
      <w:bookmarkStart w:id="653" w:name="_Hlk190337965"/>
      <w:r>
        <w:rPr>
          <w:rFonts w:hint="eastAsia" w:eastAsiaTheme="minorEastAsia"/>
          <w:sz w:val="24"/>
        </w:rPr>
        <w:t>上述投标（响应）报价指按照本章</w:t>
      </w:r>
      <w:r>
        <w:rPr>
          <w:rFonts w:eastAsiaTheme="minorEastAsia"/>
          <w:sz w:val="24"/>
        </w:rPr>
        <w:t>3.2</w:t>
      </w:r>
      <w:r>
        <w:rPr>
          <w:rFonts w:hint="eastAsia" w:eastAsiaTheme="minorEastAsia"/>
          <w:sz w:val="24"/>
        </w:rPr>
        <w:t>修正后的报价</w:t>
      </w:r>
      <w:bookmarkEnd w:id="653"/>
      <w:r>
        <w:rPr>
          <w:rFonts w:hint="eastAsia" w:eastAsiaTheme="minorEastAsia"/>
          <w:sz w:val="24"/>
        </w:rPr>
        <w:t>。</w:t>
      </w:r>
      <w:bookmarkEnd w:id="652"/>
    </w:p>
    <w:p w14:paraId="6207A04B">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599D4DCA">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最后报价是供应商响应文件的有效组成部分。</w:t>
      </w:r>
    </w:p>
    <w:p w14:paraId="02BE117B">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14:paraId="50B16004">
      <w:pPr>
        <w:numPr>
          <w:ilvl w:val="0"/>
          <w:numId w:val="11"/>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14:paraId="3FBD6C79">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14:paraId="60F72177">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最后报价出现前后不一致的，按照下列规定修正：</w:t>
      </w:r>
    </w:p>
    <w:p w14:paraId="03CBC553">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14:paraId="3B5DB4A1">
      <w:pPr>
        <w:tabs>
          <w:tab w:val="left" w:pos="1080"/>
          <w:tab w:val="left" w:pos="1589"/>
          <w:tab w:val="left" w:pos="2035"/>
          <w:tab w:val="left" w:pos="2114"/>
        </w:tabs>
        <w:snapToGrid w:val="0"/>
        <w:spacing w:line="360" w:lineRule="auto"/>
        <w:ind w:left="2035"/>
        <w:rPr>
          <w:rFonts w:eastAsiaTheme="minorEastAsia"/>
          <w:sz w:val="24"/>
          <w:u w:val="single"/>
        </w:rPr>
      </w:pPr>
      <w:r>
        <w:rPr>
          <w:rFonts w:eastAsiaTheme="minorEastAsia"/>
          <w:sz w:val="24"/>
        </w:rPr>
        <w:t>□有，具体规定为：___________</w:t>
      </w:r>
    </w:p>
    <w:p w14:paraId="14E7562A">
      <w:p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■无，按下述3.2.2-3.2.5项规定修正。</w:t>
      </w:r>
    </w:p>
    <w:p w14:paraId="09E13C4A">
      <w:pPr>
        <w:numPr>
          <w:ilvl w:val="2"/>
          <w:numId w:val="11"/>
        </w:numPr>
        <w:tabs>
          <w:tab w:val="left" w:pos="2035"/>
          <w:tab w:val="left" w:pos="2114"/>
          <w:tab w:val="left" w:pos="2977"/>
        </w:tabs>
        <w:snapToGrid w:val="0"/>
        <w:spacing w:line="360" w:lineRule="auto"/>
        <w:ind w:left="2035"/>
        <w:rPr>
          <w:rFonts w:eastAsiaTheme="minorEastAsia"/>
          <w:sz w:val="24"/>
        </w:rPr>
      </w:pPr>
      <w:r>
        <w:rPr>
          <w:rFonts w:eastAsiaTheme="minorEastAsia"/>
          <w:sz w:val="24"/>
        </w:rPr>
        <w:t>大写金额和小写金额不一致的，以大写金额为准；</w:t>
      </w:r>
    </w:p>
    <w:p w14:paraId="20D28ABF">
      <w:pPr>
        <w:numPr>
          <w:ilvl w:val="2"/>
          <w:numId w:val="11"/>
        </w:numPr>
        <w:tabs>
          <w:tab w:val="left" w:pos="2035"/>
          <w:tab w:val="left" w:pos="2114"/>
          <w:tab w:val="left" w:pos="2977"/>
        </w:tabs>
        <w:snapToGrid w:val="0"/>
        <w:spacing w:line="360" w:lineRule="auto"/>
        <w:ind w:left="2035"/>
        <w:rPr>
          <w:rFonts w:eastAsiaTheme="minorEastAsia"/>
          <w:sz w:val="24"/>
        </w:rPr>
      </w:pPr>
      <w:r>
        <w:rPr>
          <w:rFonts w:eastAsiaTheme="minorEastAsia"/>
          <w:sz w:val="24"/>
        </w:rPr>
        <w:t>单价金额小数点或者百分比有明显错位的，以总价为准，并修改单价；</w:t>
      </w:r>
    </w:p>
    <w:p w14:paraId="48218D24">
      <w:pPr>
        <w:numPr>
          <w:ilvl w:val="2"/>
          <w:numId w:val="11"/>
        </w:numPr>
        <w:tabs>
          <w:tab w:val="left" w:pos="2035"/>
          <w:tab w:val="left" w:pos="2114"/>
          <w:tab w:val="left" w:pos="2977"/>
        </w:tabs>
        <w:snapToGrid w:val="0"/>
        <w:spacing w:line="360" w:lineRule="auto"/>
        <w:ind w:left="2035"/>
        <w:rPr>
          <w:rFonts w:eastAsiaTheme="minorEastAsia"/>
          <w:sz w:val="24"/>
        </w:rPr>
      </w:pPr>
      <w:r>
        <w:rPr>
          <w:rFonts w:eastAsiaTheme="minorEastAsia"/>
          <w:sz w:val="24"/>
        </w:rPr>
        <w:t>总价金额与按单价汇总金额不一致的，以单价金额计算结果为准。</w:t>
      </w:r>
    </w:p>
    <w:p w14:paraId="4A306A0E">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14:paraId="3E617BF8">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修正后的报价经供应商书面确认后产生约束力，供应商不确认的，</w:t>
      </w:r>
      <w:r>
        <w:rPr>
          <w:rFonts w:eastAsiaTheme="minorEastAsia"/>
          <w:b/>
          <w:sz w:val="24"/>
        </w:rPr>
        <w:t>其响应无效</w:t>
      </w:r>
      <w:r>
        <w:rPr>
          <w:rFonts w:eastAsiaTheme="minorEastAsia"/>
          <w:sz w:val="24"/>
        </w:rPr>
        <w:t>。</w:t>
      </w:r>
    </w:p>
    <w:p w14:paraId="3CDDAD9D">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落实政府采购政策的价格调整：只有符合第二章《供应商须知》4.3条规定情形的，可以享受中小企业扶持政策，用扣除后的价格参加评审；否则，评审时价格不予扣除。</w:t>
      </w:r>
    </w:p>
    <w:p w14:paraId="1F5A35AE">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对于未预留份额专门面向中小企业采购的采购项目，以及预留份额项目中的非预留部分采购包，对小微企业报价</w:t>
      </w:r>
      <w:r>
        <w:rPr>
          <w:rFonts w:eastAsiaTheme="minorEastAsia"/>
          <w:b/>
          <w:sz w:val="24"/>
        </w:rPr>
        <w:t>给予__</w:t>
      </w:r>
      <w:r>
        <w:rPr>
          <w:rFonts w:hint="eastAsia" w:eastAsiaTheme="minorEastAsia"/>
          <w:b/>
          <w:sz w:val="24"/>
          <w:u w:val="single"/>
        </w:rPr>
        <w:t>3</w:t>
      </w:r>
      <w:r>
        <w:rPr>
          <w:rFonts w:eastAsiaTheme="minorEastAsia"/>
          <w:b/>
          <w:sz w:val="24"/>
          <w:u w:val="single"/>
        </w:rPr>
        <w:t>_</w:t>
      </w:r>
      <w:r>
        <w:rPr>
          <w:rFonts w:eastAsiaTheme="minorEastAsia"/>
          <w:b/>
          <w:sz w:val="24"/>
        </w:rPr>
        <w:t>_%的扣除</w:t>
      </w:r>
      <w:r>
        <w:rPr>
          <w:rFonts w:eastAsiaTheme="minorEastAsia"/>
          <w:sz w:val="24"/>
        </w:rPr>
        <w:t>，用扣除后的价格参加评审。</w:t>
      </w:r>
    </w:p>
    <w:p w14:paraId="62CA1F4A">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w:t>
      </w:r>
      <w:r>
        <w:rPr>
          <w:rFonts w:eastAsiaTheme="minorEastAsia"/>
          <w:b/>
          <w:sz w:val="24"/>
        </w:rPr>
        <w:t>给予_</w:t>
      </w:r>
      <w:r>
        <w:rPr>
          <w:rFonts w:hint="eastAsia" w:eastAsiaTheme="minorEastAsia"/>
          <w:b/>
          <w:sz w:val="24"/>
          <w:u w:val="single"/>
        </w:rPr>
        <w:t>1</w:t>
      </w:r>
      <w:r>
        <w:rPr>
          <w:rFonts w:eastAsiaTheme="minorEastAsia"/>
          <w:b/>
          <w:sz w:val="24"/>
          <w:u w:val="single"/>
        </w:rPr>
        <w:t>_</w:t>
      </w:r>
      <w:r>
        <w:rPr>
          <w:rFonts w:eastAsiaTheme="minorEastAsia"/>
          <w:b/>
          <w:sz w:val="24"/>
        </w:rPr>
        <w:t>%的扣除</w:t>
      </w:r>
      <w:r>
        <w:rPr>
          <w:rFonts w:eastAsiaTheme="minorEastAsia"/>
          <w:sz w:val="24"/>
        </w:rPr>
        <w:t>，用扣除后的价格参加评审。</w:t>
      </w:r>
    </w:p>
    <w:p w14:paraId="7F1F33DE">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组成联合体或者接受分包的小微企业与联合体内其他企业、分包企业之间存在直接控股、管理关系的，不享受价格扣除优惠政策。</w:t>
      </w:r>
    </w:p>
    <w:p w14:paraId="6B15D19E">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14:paraId="3F1791E9">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中小企业参加政府采购活动，应当按照竞争性磋商文件给定的格式出具《中小企业声明函》，否则不得享受相关中小企业扶持政策。</w:t>
      </w:r>
    </w:p>
    <w:p w14:paraId="064566B3">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14:paraId="2F818658">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14:paraId="170BA2FB">
      <w:pPr>
        <w:numPr>
          <w:ilvl w:val="2"/>
          <w:numId w:val="11"/>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若供应商同时属于小型或微型企业、监狱企业、残疾人福利性单位中的两种及以上，将不重复享受小微企业价格扣减的优惠政策。</w:t>
      </w:r>
    </w:p>
    <w:p w14:paraId="347835D3">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须知》4.2条规定情形的，可以享受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14:paraId="02B5B3CD">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0FBF7247">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8FC71E">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14:paraId="2CD692A8">
      <w:pPr>
        <w:numPr>
          <w:ilvl w:val="0"/>
          <w:numId w:val="11"/>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14:paraId="3EC4F8D2">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供应商对实质性变动不予确认的；</w:t>
      </w:r>
    </w:p>
    <w:p w14:paraId="258A5633">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不满足磋商文件</w:t>
      </w:r>
      <w:r>
        <w:rPr>
          <w:rFonts w:ascii="Segoe UI Symbol" w:hAnsi="Segoe UI Symbol" w:cs="Segoe UI Symbol" w:eastAsiaTheme="minorEastAsia"/>
          <w:sz w:val="24"/>
        </w:rPr>
        <w:t>★</w:t>
      </w:r>
      <w:r>
        <w:rPr>
          <w:rFonts w:eastAsiaTheme="minorEastAsia"/>
          <w:sz w:val="24"/>
        </w:rPr>
        <w:t>号条款或磋商文件技术指标超出磋商文件《采购需求》中主要技术参数允许偏差的最大范围的（如有）；</w:t>
      </w:r>
    </w:p>
    <w:p w14:paraId="4719A810">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未按照磋商小组规定的时间、逾期提交最后报价的；</w:t>
      </w:r>
    </w:p>
    <w:p w14:paraId="3E5136DE">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如供应商的最后报价超过竞争性磋商文件中规定的项目/采购包预算金额或者项目/采购包最高限价的；</w:t>
      </w:r>
    </w:p>
    <w:p w14:paraId="4CB2C04F">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14:paraId="0088727E">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最后报价出现前后不一致，供应商对修正后的报价不予确认的；</w:t>
      </w:r>
    </w:p>
    <w:p w14:paraId="0D9CEC72">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其他：_</w:t>
      </w:r>
      <w:r>
        <w:rPr>
          <w:rFonts w:eastAsiaTheme="minorEastAsia"/>
          <w:sz w:val="24"/>
          <w:u w:val="single"/>
        </w:rPr>
        <w:t>_</w:t>
      </w:r>
      <w:r>
        <w:rPr>
          <w:rFonts w:hint="eastAsia" w:eastAsiaTheme="minorEastAsia"/>
          <w:sz w:val="24"/>
          <w:u w:val="single"/>
        </w:rPr>
        <w:t>/</w:t>
      </w:r>
      <w:r>
        <w:rPr>
          <w:rFonts w:eastAsiaTheme="minorEastAsia"/>
          <w:sz w:val="24"/>
          <w:u w:val="single"/>
        </w:rPr>
        <w:t>_</w:t>
      </w:r>
      <w:r>
        <w:rPr>
          <w:rFonts w:eastAsiaTheme="minorEastAsia"/>
          <w:sz w:val="24"/>
        </w:rPr>
        <w:t>_。</w:t>
      </w:r>
    </w:p>
    <w:bookmarkEnd w:id="636"/>
    <w:bookmarkEnd w:id="637"/>
    <w:p w14:paraId="58278C62">
      <w:pPr>
        <w:numPr>
          <w:ilvl w:val="0"/>
          <w:numId w:val="11"/>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00416F13">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694ED111">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竞争性磋商文件中没有规定的评审标准不得作为评审依据。</w:t>
      </w:r>
    </w:p>
    <w:p w14:paraId="0FB7569E">
      <w:pPr>
        <w:numPr>
          <w:ilvl w:val="1"/>
          <w:numId w:val="11"/>
        </w:numPr>
        <w:tabs>
          <w:tab w:val="left" w:pos="1080"/>
          <w:tab w:val="left" w:pos="1872"/>
        </w:tabs>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rFonts w:hint="eastAsia" w:eastAsiaTheme="minorEastAsia"/>
          <w:sz w:val="24"/>
          <w:u w:val="single"/>
        </w:rPr>
        <w:t>不涉及</w:t>
      </w:r>
      <w:r>
        <w:rPr>
          <w:rFonts w:eastAsiaTheme="minorEastAsia"/>
          <w:sz w:val="24"/>
        </w:rPr>
        <w:t>。</w:t>
      </w:r>
    </w:p>
    <w:p w14:paraId="07829A4F">
      <w:pPr>
        <w:numPr>
          <w:ilvl w:val="1"/>
          <w:numId w:val="11"/>
        </w:numPr>
        <w:tabs>
          <w:tab w:val="left" w:pos="1080"/>
          <w:tab w:val="left" w:pos="1872"/>
        </w:tabs>
        <w:snapToGrid w:val="0"/>
        <w:spacing w:line="360" w:lineRule="auto"/>
        <w:rPr>
          <w:rFonts w:eastAsiaTheme="minorEastAsia"/>
          <w:sz w:val="24"/>
        </w:rPr>
      </w:pPr>
      <w:r>
        <w:rPr>
          <w:rFonts w:hint="eastAsia" w:eastAsiaTheme="minorEastAsia"/>
          <w:sz w:val="24"/>
        </w:rPr>
        <w:t>综合评分的主要因素包括价格、施工方案、人员配备、业绩等对磋商文件的响应程度，以及响应的比重或权值等。上述因素和权重在磋商文件中规定。具体按评审标准进行量化打分。</w:t>
      </w:r>
    </w:p>
    <w:p w14:paraId="386670F0">
      <w:pPr>
        <w:numPr>
          <w:ilvl w:val="1"/>
          <w:numId w:val="11"/>
        </w:numPr>
        <w:tabs>
          <w:tab w:val="left" w:pos="1080"/>
          <w:tab w:val="left" w:pos="1872"/>
        </w:tabs>
        <w:snapToGrid w:val="0"/>
        <w:spacing w:line="360" w:lineRule="auto"/>
        <w:rPr>
          <w:rFonts w:eastAsiaTheme="minorEastAsia"/>
          <w:sz w:val="24"/>
        </w:rPr>
      </w:pPr>
      <w:r>
        <w:rPr>
          <w:rFonts w:hint="eastAsia" w:eastAsiaTheme="minorEastAsia"/>
          <w:sz w:val="24"/>
        </w:rPr>
        <w:t>磋商原则</w:t>
      </w:r>
    </w:p>
    <w:p w14:paraId="4D076F6B">
      <w:pPr>
        <w:tabs>
          <w:tab w:val="left" w:pos="1080"/>
          <w:tab w:val="left" w:pos="1872"/>
        </w:tabs>
        <w:snapToGrid w:val="0"/>
        <w:spacing w:line="360" w:lineRule="auto"/>
        <w:ind w:left="1468"/>
        <w:rPr>
          <w:rFonts w:eastAsiaTheme="minorEastAsia"/>
          <w:sz w:val="24"/>
        </w:rPr>
      </w:pPr>
      <w:r>
        <w:rPr>
          <w:rFonts w:hint="eastAsia" w:eastAsiaTheme="minorEastAsia"/>
          <w:sz w:val="24"/>
        </w:rPr>
        <w:t>磋商小组成员遵循客观、公正、审慎的原则，根据磋商文件规定的评审程序、评审方法和评审标准进行独立评审。未实质性响应磋商文件的响应文件按无效响应处理，磋商小组应当告知提交响应文件的供应商。</w:t>
      </w:r>
    </w:p>
    <w:p w14:paraId="314A399C">
      <w:pPr>
        <w:tabs>
          <w:tab w:val="left" w:pos="1080"/>
          <w:tab w:val="left" w:pos="1872"/>
        </w:tabs>
        <w:snapToGrid w:val="0"/>
        <w:spacing w:line="360" w:lineRule="auto"/>
        <w:ind w:left="1468"/>
        <w:rPr>
          <w:rFonts w:eastAsiaTheme="minorEastAsia"/>
          <w:sz w:val="24"/>
        </w:rPr>
      </w:pPr>
      <w:r>
        <w:rPr>
          <w:rFonts w:hint="eastAsia" w:eastAsiaTheme="minorEastAsia"/>
          <w:sz w:val="24"/>
        </w:rPr>
        <w:t>磋商文件内容违反国家有关强制性规定的，磋商小组应当停止评审并向采购人或者采购代理机构说明情况。</w:t>
      </w:r>
    </w:p>
    <w:p w14:paraId="0790D211">
      <w:pPr>
        <w:numPr>
          <w:ilvl w:val="1"/>
          <w:numId w:val="11"/>
        </w:numPr>
        <w:tabs>
          <w:tab w:val="left" w:pos="1080"/>
          <w:tab w:val="left" w:pos="1872"/>
        </w:tabs>
        <w:snapToGrid w:val="0"/>
        <w:spacing w:line="360" w:lineRule="auto"/>
        <w:rPr>
          <w:rFonts w:eastAsiaTheme="minorEastAsia"/>
          <w:sz w:val="24"/>
        </w:rPr>
      </w:pPr>
      <w:r>
        <w:rPr>
          <w:rFonts w:hint="eastAsia" w:eastAsiaTheme="minorEastAsia"/>
          <w:sz w:val="24"/>
        </w:rPr>
        <w:t>评审标准</w:t>
      </w:r>
    </w:p>
    <w:p w14:paraId="59D79916">
      <w:pPr>
        <w:tabs>
          <w:tab w:val="left" w:pos="1080"/>
          <w:tab w:val="left" w:pos="1872"/>
        </w:tabs>
        <w:snapToGrid w:val="0"/>
        <w:spacing w:line="360" w:lineRule="auto"/>
        <w:ind w:left="1468"/>
        <w:rPr>
          <w:rFonts w:eastAsiaTheme="minorEastAsia"/>
          <w:sz w:val="24"/>
        </w:rPr>
      </w:pPr>
      <w:r>
        <w:rPr>
          <w:rFonts w:hint="eastAsia" w:eastAsiaTheme="minorEastAsia"/>
          <w:sz w:val="24"/>
        </w:rPr>
        <w:t>（1）资格审查要求</w:t>
      </w:r>
    </w:p>
    <w:p w14:paraId="3F18C2B3">
      <w:pPr>
        <w:tabs>
          <w:tab w:val="left" w:pos="1080"/>
          <w:tab w:val="left" w:pos="1872"/>
        </w:tabs>
        <w:snapToGrid w:val="0"/>
        <w:spacing w:line="360" w:lineRule="auto"/>
        <w:ind w:left="1468"/>
        <w:rPr>
          <w:rFonts w:eastAsiaTheme="minorEastAsia"/>
          <w:sz w:val="24"/>
        </w:rPr>
      </w:pPr>
      <w:r>
        <w:rPr>
          <w:rFonts w:hint="eastAsia" w:eastAsiaTheme="minorEastAsia"/>
          <w:sz w:val="24"/>
        </w:rPr>
        <w:t>磋商小组对响应文件进行《资格审查要求》评审，审查响应文件的有效性。响应文件出现《资格审查要求》中任何一项不符合要求的，视为未实质性响应磋商文件，未实质性响应磋商文件的响应文件按无效响应处理，磋商小组应当告知提交响应文件的供应商。</w:t>
      </w:r>
    </w:p>
    <w:p w14:paraId="33F22179">
      <w:pPr>
        <w:tabs>
          <w:tab w:val="left" w:pos="1080"/>
          <w:tab w:val="left" w:pos="1872"/>
        </w:tabs>
        <w:snapToGrid w:val="0"/>
        <w:spacing w:line="360" w:lineRule="auto"/>
        <w:ind w:left="1468"/>
        <w:rPr>
          <w:rFonts w:eastAsiaTheme="minorEastAsia"/>
          <w:sz w:val="24"/>
        </w:rPr>
      </w:pPr>
      <w:r>
        <w:rPr>
          <w:rFonts w:hint="eastAsia" w:eastAsiaTheme="minorEastAsia"/>
          <w:sz w:val="24"/>
        </w:rPr>
        <w:t>具体内容详见《资格审查要求》表。</w:t>
      </w:r>
    </w:p>
    <w:p w14:paraId="6AFAEDA1">
      <w:pPr>
        <w:tabs>
          <w:tab w:val="left" w:pos="1080"/>
          <w:tab w:val="left" w:pos="1872"/>
        </w:tabs>
        <w:snapToGrid w:val="0"/>
        <w:spacing w:line="360" w:lineRule="auto"/>
        <w:ind w:left="1468"/>
        <w:rPr>
          <w:rFonts w:eastAsiaTheme="minorEastAsia"/>
          <w:sz w:val="24"/>
        </w:rPr>
      </w:pPr>
      <w:r>
        <w:rPr>
          <w:rFonts w:hint="eastAsia" w:eastAsiaTheme="minorEastAsia"/>
          <w:sz w:val="24"/>
        </w:rPr>
        <w:t>（2）符合性审查要求</w:t>
      </w:r>
    </w:p>
    <w:p w14:paraId="377B2F0D">
      <w:pPr>
        <w:tabs>
          <w:tab w:val="left" w:pos="1080"/>
          <w:tab w:val="left" w:pos="1872"/>
        </w:tabs>
        <w:snapToGrid w:val="0"/>
        <w:spacing w:line="360" w:lineRule="auto"/>
        <w:ind w:left="1468"/>
        <w:rPr>
          <w:rFonts w:eastAsiaTheme="minorEastAsia"/>
          <w:sz w:val="24"/>
        </w:rPr>
      </w:pPr>
      <w:r>
        <w:rPr>
          <w:rFonts w:hint="eastAsia" w:eastAsiaTheme="minorEastAsia"/>
          <w:sz w:val="24"/>
        </w:rPr>
        <w:t>磋商小组对已通过《资格审查要求》的响应文件进行《符合性审查要求》评审。响应文件出现《符合性审查要求》中任何一项不符合要求的，视为未实质性响应磋商文件，未实质性响应磋商文件的响应文件按无效响应处理，磋商小组应当告知提交响应文件的供应商。</w:t>
      </w:r>
    </w:p>
    <w:p w14:paraId="0BC8DF6A">
      <w:pPr>
        <w:tabs>
          <w:tab w:val="left" w:pos="1080"/>
          <w:tab w:val="left" w:pos="1872"/>
        </w:tabs>
        <w:snapToGrid w:val="0"/>
        <w:spacing w:line="360" w:lineRule="auto"/>
        <w:ind w:left="1468"/>
        <w:rPr>
          <w:rFonts w:eastAsiaTheme="minorEastAsia"/>
          <w:sz w:val="24"/>
        </w:rPr>
      </w:pPr>
      <w:r>
        <w:rPr>
          <w:rFonts w:hint="eastAsia" w:eastAsiaTheme="minorEastAsia"/>
          <w:sz w:val="24"/>
        </w:rPr>
        <w:t>具体内容详见《符合性审查要求》表。</w:t>
      </w:r>
    </w:p>
    <w:p w14:paraId="342FA93E">
      <w:pPr>
        <w:tabs>
          <w:tab w:val="left" w:pos="1080"/>
          <w:tab w:val="left" w:pos="1872"/>
        </w:tabs>
        <w:snapToGrid w:val="0"/>
        <w:spacing w:line="360" w:lineRule="auto"/>
        <w:ind w:left="1468"/>
        <w:rPr>
          <w:rFonts w:eastAsiaTheme="minorEastAsia"/>
          <w:sz w:val="24"/>
        </w:rPr>
      </w:pPr>
      <w:r>
        <w:rPr>
          <w:rFonts w:hint="eastAsia" w:eastAsiaTheme="minorEastAsia"/>
          <w:sz w:val="24"/>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237C9128">
      <w:pPr>
        <w:tabs>
          <w:tab w:val="left" w:pos="1080"/>
          <w:tab w:val="left" w:pos="1872"/>
        </w:tabs>
        <w:snapToGrid w:val="0"/>
        <w:spacing w:line="360" w:lineRule="auto"/>
        <w:ind w:left="1468"/>
        <w:rPr>
          <w:rFonts w:eastAsiaTheme="minorEastAsia"/>
          <w:sz w:val="24"/>
        </w:rPr>
      </w:pPr>
      <w:r>
        <w:rPr>
          <w:rFonts w:hint="eastAsia" w:eastAsiaTheme="minorEastAsia"/>
          <w:sz w:val="24"/>
        </w:rPr>
        <w:t>（3）澄清、说明或者更正。磋商小组在对响应文件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磋商小组要求供应商澄清、说明或者更正响应文件应当以书面形式做出。供应商的澄清、说明或者更正应当由法定代表人（若供应商为事业单位或其他组织或分支机构，可为单位负责人）或其授权代表签字或者加盖公章。由授权代表签字的，应当附授权委托书。供应商为自然人的，应当由本人签字并附身份证明。澄清、说明或者更正文件将作为响应文件内容的一部分</w:t>
      </w:r>
    </w:p>
    <w:p w14:paraId="7CD97901">
      <w:pPr>
        <w:tabs>
          <w:tab w:val="left" w:pos="1080"/>
          <w:tab w:val="left" w:pos="1872"/>
        </w:tabs>
        <w:snapToGrid w:val="0"/>
        <w:spacing w:line="360" w:lineRule="auto"/>
        <w:ind w:left="1468"/>
        <w:rPr>
          <w:rFonts w:eastAsiaTheme="minorEastAsia"/>
          <w:sz w:val="24"/>
        </w:rPr>
      </w:pPr>
      <w:r>
        <w:rPr>
          <w:rFonts w:hint="eastAsia" w:eastAsiaTheme="minorEastAsia"/>
          <w:sz w:val="24"/>
        </w:rPr>
        <w:t>（4）磋商小组在《资格审查要求》和《符合性审查要求》的基础上，对供应商提交的最终响应文件进行综合评审，出具评审意见并推荐成交供应商；</w:t>
      </w:r>
    </w:p>
    <w:p w14:paraId="3E041486">
      <w:pPr>
        <w:tabs>
          <w:tab w:val="left" w:pos="1080"/>
          <w:tab w:val="left" w:pos="1872"/>
        </w:tabs>
        <w:snapToGrid w:val="0"/>
        <w:spacing w:line="360" w:lineRule="auto"/>
        <w:ind w:left="1468"/>
        <w:rPr>
          <w:rFonts w:eastAsiaTheme="minorEastAsia"/>
          <w:sz w:val="24"/>
        </w:rPr>
      </w:pPr>
      <w:r>
        <w:rPr>
          <w:rFonts w:hint="eastAsia" w:eastAsiaTheme="minorEastAsia"/>
          <w:sz w:val="24"/>
        </w:rPr>
        <w:t>（5）采购人从磋商小组推荐的成交候选供应商中，按照排序由高到低的原则确定成交供应商。</w:t>
      </w:r>
    </w:p>
    <w:p w14:paraId="3D942794">
      <w:pPr>
        <w:numPr>
          <w:ilvl w:val="1"/>
          <w:numId w:val="11"/>
        </w:numPr>
        <w:tabs>
          <w:tab w:val="left" w:pos="1080"/>
          <w:tab w:val="left" w:pos="1872"/>
        </w:tabs>
        <w:snapToGrid w:val="0"/>
        <w:spacing w:line="360" w:lineRule="auto"/>
        <w:rPr>
          <w:rFonts w:eastAsiaTheme="minorEastAsia"/>
          <w:sz w:val="24"/>
        </w:rPr>
      </w:pPr>
      <w:r>
        <w:rPr>
          <w:rFonts w:hint="eastAsia" w:eastAsiaTheme="minorEastAsia"/>
          <w:sz w:val="24"/>
        </w:rPr>
        <w:t>分值构成与评分标准</w:t>
      </w:r>
    </w:p>
    <w:p w14:paraId="77BF3CDE">
      <w:pPr>
        <w:tabs>
          <w:tab w:val="left" w:pos="1080"/>
          <w:tab w:val="left" w:pos="1872"/>
        </w:tabs>
        <w:snapToGrid w:val="0"/>
        <w:spacing w:line="360" w:lineRule="auto"/>
        <w:ind w:left="1468"/>
        <w:rPr>
          <w:rFonts w:eastAsiaTheme="minorEastAsia"/>
          <w:sz w:val="24"/>
        </w:rPr>
      </w:pPr>
      <w:r>
        <w:rPr>
          <w:rFonts w:hint="eastAsia" w:eastAsiaTheme="minorEastAsia"/>
          <w:sz w:val="24"/>
        </w:rPr>
        <w:t>5.7.1分值构成</w:t>
      </w:r>
    </w:p>
    <w:p w14:paraId="7E8F0442">
      <w:pPr>
        <w:tabs>
          <w:tab w:val="left" w:pos="1080"/>
          <w:tab w:val="left" w:pos="1872"/>
        </w:tabs>
        <w:snapToGrid w:val="0"/>
        <w:spacing w:line="360" w:lineRule="auto"/>
        <w:ind w:left="1468"/>
        <w:rPr>
          <w:rFonts w:eastAsiaTheme="minorEastAsia"/>
          <w:sz w:val="24"/>
        </w:rPr>
      </w:pPr>
      <w:r>
        <w:rPr>
          <w:rFonts w:hint="eastAsia" w:eastAsiaTheme="minorEastAsia"/>
          <w:sz w:val="24"/>
        </w:rPr>
        <w:t>（1）商务部分：55分；</w:t>
      </w:r>
    </w:p>
    <w:p w14:paraId="4FA362AB">
      <w:pPr>
        <w:tabs>
          <w:tab w:val="left" w:pos="1080"/>
          <w:tab w:val="left" w:pos="1872"/>
        </w:tabs>
        <w:snapToGrid w:val="0"/>
        <w:spacing w:line="360" w:lineRule="auto"/>
        <w:ind w:left="1468"/>
        <w:rPr>
          <w:rFonts w:eastAsiaTheme="minorEastAsia"/>
          <w:sz w:val="24"/>
        </w:rPr>
      </w:pPr>
      <w:r>
        <w:rPr>
          <w:rFonts w:hint="eastAsia" w:eastAsiaTheme="minorEastAsia"/>
          <w:sz w:val="24"/>
        </w:rPr>
        <w:t>（2）施工组织设计：35分；</w:t>
      </w:r>
    </w:p>
    <w:p w14:paraId="4A0D1C5A">
      <w:pPr>
        <w:tabs>
          <w:tab w:val="left" w:pos="1080"/>
          <w:tab w:val="left" w:pos="1872"/>
        </w:tabs>
        <w:snapToGrid w:val="0"/>
        <w:spacing w:line="360" w:lineRule="auto"/>
        <w:ind w:left="1468"/>
        <w:rPr>
          <w:rFonts w:eastAsiaTheme="minorEastAsia"/>
          <w:sz w:val="24"/>
        </w:rPr>
      </w:pPr>
      <w:r>
        <w:rPr>
          <w:rFonts w:hint="eastAsia" w:eastAsiaTheme="minorEastAsia"/>
          <w:sz w:val="24"/>
        </w:rPr>
        <w:t>（3）价格部分：10分；</w:t>
      </w:r>
    </w:p>
    <w:p w14:paraId="7405878D">
      <w:pPr>
        <w:tabs>
          <w:tab w:val="left" w:pos="1080"/>
          <w:tab w:val="left" w:pos="1872"/>
        </w:tabs>
        <w:snapToGrid w:val="0"/>
        <w:spacing w:line="360" w:lineRule="auto"/>
        <w:ind w:left="1468"/>
        <w:rPr>
          <w:rFonts w:eastAsiaTheme="minorEastAsia"/>
          <w:sz w:val="24"/>
        </w:rPr>
      </w:pPr>
      <w:r>
        <w:rPr>
          <w:rFonts w:hint="eastAsia" w:eastAsiaTheme="minorEastAsia"/>
          <w:sz w:val="24"/>
        </w:rPr>
        <w:t>5.7.2评分标准</w:t>
      </w:r>
    </w:p>
    <w:p w14:paraId="132E2AC8">
      <w:pPr>
        <w:tabs>
          <w:tab w:val="left" w:pos="1080"/>
          <w:tab w:val="left" w:pos="1872"/>
        </w:tabs>
        <w:snapToGrid w:val="0"/>
        <w:spacing w:line="360" w:lineRule="auto"/>
        <w:ind w:left="1468"/>
        <w:rPr>
          <w:rFonts w:eastAsiaTheme="minorEastAsia"/>
          <w:sz w:val="24"/>
        </w:rPr>
      </w:pPr>
      <w:r>
        <w:rPr>
          <w:rFonts w:hint="eastAsia" w:eastAsiaTheme="minorEastAsia"/>
          <w:sz w:val="24"/>
        </w:rPr>
        <w:t>（1）商务部分评分标准见 “商务部分评审记录表”；</w:t>
      </w:r>
    </w:p>
    <w:p w14:paraId="6D2BE630">
      <w:pPr>
        <w:tabs>
          <w:tab w:val="left" w:pos="1080"/>
          <w:tab w:val="left" w:pos="1872"/>
        </w:tabs>
        <w:snapToGrid w:val="0"/>
        <w:spacing w:line="360" w:lineRule="auto"/>
        <w:ind w:left="1468"/>
        <w:rPr>
          <w:rFonts w:eastAsiaTheme="minorEastAsia"/>
          <w:sz w:val="24"/>
        </w:rPr>
      </w:pPr>
      <w:r>
        <w:rPr>
          <w:rFonts w:hint="eastAsia" w:eastAsiaTheme="minorEastAsia"/>
          <w:sz w:val="24"/>
        </w:rPr>
        <w:t>（2）施工组织设计评审标准见 “施工组织设计评审记录表”；</w:t>
      </w:r>
    </w:p>
    <w:p w14:paraId="482AADBB">
      <w:pPr>
        <w:tabs>
          <w:tab w:val="left" w:pos="900"/>
          <w:tab w:val="left" w:pos="1080"/>
          <w:tab w:val="left" w:pos="1589"/>
          <w:tab w:val="left" w:pos="1872"/>
        </w:tabs>
        <w:snapToGrid w:val="0"/>
        <w:spacing w:line="360" w:lineRule="auto"/>
        <w:ind w:left="1468"/>
        <w:rPr>
          <w:rFonts w:eastAsiaTheme="minorEastAsia"/>
          <w:sz w:val="24"/>
        </w:rPr>
      </w:pPr>
      <w:r>
        <w:rPr>
          <w:rFonts w:hint="eastAsia" w:eastAsiaTheme="minorEastAsia"/>
          <w:sz w:val="24"/>
        </w:rPr>
        <w:t>（3）价格部分评分标准见 “价格部分评审记录表”。</w:t>
      </w:r>
    </w:p>
    <w:p w14:paraId="2857C729">
      <w:pPr>
        <w:numPr>
          <w:ilvl w:val="0"/>
          <w:numId w:val="11"/>
        </w:numPr>
        <w:tabs>
          <w:tab w:val="left" w:pos="360"/>
        </w:tabs>
        <w:snapToGrid w:val="0"/>
        <w:spacing w:line="360" w:lineRule="auto"/>
        <w:outlineLvl w:val="1"/>
        <w:rPr>
          <w:rFonts w:eastAsiaTheme="minorEastAsia"/>
          <w:sz w:val="24"/>
        </w:rPr>
      </w:pPr>
      <w:r>
        <w:rPr>
          <w:rFonts w:eastAsiaTheme="minorEastAsia"/>
          <w:sz w:val="24"/>
        </w:rPr>
        <w:t>确定</w:t>
      </w:r>
      <w:bookmarkStart w:id="654" w:name="_Toc151190173"/>
      <w:bookmarkStart w:id="655" w:name="_Toc151193934"/>
      <w:bookmarkStart w:id="656" w:name="_Toc151193860"/>
      <w:bookmarkStart w:id="657" w:name="_Toc151193644"/>
      <w:bookmarkStart w:id="658" w:name="_Toc150480784"/>
      <w:bookmarkStart w:id="659" w:name="_Toc164229387"/>
      <w:bookmarkStart w:id="660" w:name="_Toc226337242"/>
      <w:bookmarkStart w:id="661" w:name="_Toc305158888"/>
      <w:bookmarkStart w:id="662" w:name="_Toc150774751"/>
      <w:bookmarkStart w:id="663" w:name="_Toc264969236"/>
      <w:bookmarkStart w:id="664" w:name="_Toc265228384"/>
      <w:bookmarkStart w:id="665" w:name="_Toc226965819"/>
      <w:bookmarkStart w:id="666" w:name="_Toc151193788"/>
      <w:bookmarkStart w:id="667" w:name="_Toc142311048"/>
      <w:bookmarkStart w:id="668" w:name="_Toc305158814"/>
      <w:bookmarkStart w:id="669" w:name="_Toc127161460"/>
      <w:bookmarkStart w:id="670" w:name="_Toc150509297"/>
      <w:bookmarkStart w:id="671" w:name="_Toc195842911"/>
      <w:bookmarkStart w:id="672" w:name="_Toc520356170"/>
      <w:bookmarkStart w:id="673" w:name="_Toc164229241"/>
      <w:bookmarkStart w:id="674" w:name="_Toc127151546"/>
      <w:bookmarkStart w:id="675" w:name="_Toc150774646"/>
      <w:bookmarkStart w:id="676" w:name="_Toc164351640"/>
      <w:bookmarkStart w:id="677" w:name="_Toc151193716"/>
      <w:bookmarkStart w:id="678" w:name="_Toc127151747"/>
      <w:bookmarkStart w:id="679" w:name="_Toc164608660"/>
      <w:bookmarkStart w:id="680" w:name="_Toc226309790"/>
      <w:bookmarkStart w:id="681" w:name="_Toc164608815"/>
      <w:bookmarkStart w:id="682" w:name="_Toc149720839"/>
      <w:bookmarkStart w:id="683" w:name="_Ref467307010"/>
      <w:bookmarkStart w:id="684" w:name="_Toc226965736"/>
      <w:r>
        <w:rPr>
          <w:rFonts w:eastAsiaTheme="minorEastAsia"/>
          <w:sz w:val="24"/>
        </w:rPr>
        <w:t>成交候选人名单</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14:paraId="4A803CC5">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34A8395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kern w:val="0"/>
          <w:sz w:val="24"/>
          <w:szCs w:val="20"/>
        </w:rPr>
        <w:t>磋商小组根据上述供应商排序，依次推荐排序前</w:t>
      </w:r>
      <w:r>
        <w:rPr>
          <w:sz w:val="24"/>
          <w:u w:val="single"/>
        </w:rPr>
        <w:t>_</w:t>
      </w:r>
      <w:r>
        <w:rPr>
          <w:rFonts w:hint="eastAsia"/>
          <w:sz w:val="24"/>
          <w:u w:val="single"/>
        </w:rPr>
        <w:t>3</w:t>
      </w:r>
      <w:r>
        <w:rPr>
          <w:sz w:val="24"/>
          <w:u w:val="single"/>
        </w:rPr>
        <w:t>_</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14:paraId="34ACAE66">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14:paraId="5FAB5931">
      <w:pPr>
        <w:numPr>
          <w:ilvl w:val="0"/>
          <w:numId w:val="11"/>
        </w:numPr>
        <w:tabs>
          <w:tab w:val="left" w:pos="360"/>
        </w:tabs>
        <w:snapToGrid w:val="0"/>
        <w:spacing w:line="360" w:lineRule="auto"/>
        <w:outlineLvl w:val="1"/>
        <w:rPr>
          <w:rFonts w:eastAsiaTheme="minorEastAsia"/>
          <w:sz w:val="24"/>
        </w:rPr>
      </w:pPr>
      <w:r>
        <w:rPr>
          <w:rFonts w:eastAsiaTheme="minorEastAsia"/>
          <w:sz w:val="24"/>
        </w:rPr>
        <w:t>报告违法行为</w:t>
      </w:r>
    </w:p>
    <w:p w14:paraId="4B899A58">
      <w:pPr>
        <w:widowControl/>
        <w:numPr>
          <w:ilvl w:val="1"/>
          <w:numId w:val="11"/>
        </w:numPr>
        <w:tabs>
          <w:tab w:val="left" w:pos="1080"/>
          <w:tab w:val="left" w:pos="1872"/>
        </w:tabs>
        <w:snapToGrid w:val="0"/>
        <w:spacing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14:paraId="78F3113C">
      <w:pPr>
        <w:widowControl/>
        <w:tabs>
          <w:tab w:val="left" w:pos="1080"/>
          <w:tab w:val="left" w:pos="1589"/>
          <w:tab w:val="left" w:pos="1872"/>
        </w:tabs>
        <w:snapToGrid w:val="0"/>
        <w:spacing w:line="360" w:lineRule="auto"/>
        <w:jc w:val="left"/>
        <w:rPr>
          <w:rFonts w:ascii="宋体" w:hAnsi="宋体"/>
          <w:b/>
          <w:sz w:val="24"/>
        </w:rPr>
      </w:pPr>
      <w:r>
        <w:rPr>
          <w:rFonts w:hint="eastAsia" w:ascii="宋体" w:hAnsi="宋体"/>
          <w:b/>
          <w:sz w:val="24"/>
        </w:rPr>
        <w:t>一、《资格审查要求》和《符合性审查要求》</w:t>
      </w:r>
    </w:p>
    <w:p w14:paraId="1FE920E3">
      <w:pPr>
        <w:tabs>
          <w:tab w:val="left" w:pos="900"/>
          <w:tab w:val="left" w:pos="1080"/>
        </w:tabs>
        <w:snapToGrid w:val="0"/>
        <w:spacing w:line="360" w:lineRule="auto"/>
        <w:rPr>
          <w:rFonts w:ascii="宋体" w:hAnsi="宋体"/>
          <w:b/>
          <w:sz w:val="24"/>
        </w:rPr>
      </w:pPr>
      <w:r>
        <w:rPr>
          <w:rFonts w:hint="eastAsia" w:ascii="宋体" w:hAnsi="宋体"/>
          <w:b/>
          <w:sz w:val="24"/>
        </w:rPr>
        <w:t>1. 资格审查要求</w:t>
      </w:r>
    </w:p>
    <w:tbl>
      <w:tblPr>
        <w:tblStyle w:val="49"/>
        <w:tblW w:w="526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0"/>
        <w:gridCol w:w="2117"/>
        <w:gridCol w:w="5857"/>
        <w:gridCol w:w="1401"/>
      </w:tblGrid>
      <w:tr w14:paraId="2FE25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6" w:type="pct"/>
            <w:vAlign w:val="center"/>
          </w:tcPr>
          <w:p w14:paraId="4D9F6221">
            <w:pPr>
              <w:tabs>
                <w:tab w:val="left" w:pos="1080"/>
              </w:tabs>
              <w:snapToGrid w:val="0"/>
              <w:jc w:val="center"/>
              <w:rPr>
                <w:rFonts w:ascii="宋体" w:hAnsi="宋体"/>
                <w:szCs w:val="21"/>
              </w:rPr>
            </w:pPr>
            <w:r>
              <w:rPr>
                <w:rFonts w:ascii="宋体" w:hAnsi="宋体"/>
                <w:szCs w:val="21"/>
              </w:rPr>
              <w:t>序号</w:t>
            </w:r>
          </w:p>
        </w:tc>
        <w:tc>
          <w:tcPr>
            <w:tcW w:w="1026" w:type="pct"/>
            <w:vAlign w:val="center"/>
          </w:tcPr>
          <w:p w14:paraId="768478A2">
            <w:pPr>
              <w:tabs>
                <w:tab w:val="left" w:pos="1080"/>
              </w:tabs>
              <w:snapToGrid w:val="0"/>
              <w:jc w:val="center"/>
              <w:rPr>
                <w:rFonts w:ascii="宋体" w:hAnsi="宋体"/>
                <w:szCs w:val="21"/>
              </w:rPr>
            </w:pPr>
            <w:r>
              <w:rPr>
                <w:rFonts w:ascii="宋体" w:hAnsi="宋体"/>
                <w:szCs w:val="21"/>
              </w:rPr>
              <w:t>检查因素</w:t>
            </w:r>
          </w:p>
        </w:tc>
        <w:tc>
          <w:tcPr>
            <w:tcW w:w="2839" w:type="pct"/>
            <w:vAlign w:val="center"/>
          </w:tcPr>
          <w:p w14:paraId="5314C73A">
            <w:pPr>
              <w:tabs>
                <w:tab w:val="left" w:pos="1080"/>
              </w:tabs>
              <w:snapToGrid w:val="0"/>
              <w:jc w:val="center"/>
              <w:rPr>
                <w:rFonts w:ascii="宋体" w:hAnsi="宋体"/>
                <w:szCs w:val="21"/>
              </w:rPr>
            </w:pPr>
            <w:r>
              <w:rPr>
                <w:rFonts w:ascii="宋体" w:hAnsi="宋体"/>
                <w:szCs w:val="21"/>
              </w:rPr>
              <w:t>检查内容</w:t>
            </w:r>
          </w:p>
        </w:tc>
        <w:tc>
          <w:tcPr>
            <w:tcW w:w="679" w:type="pct"/>
            <w:vAlign w:val="center"/>
          </w:tcPr>
          <w:p w14:paraId="5F2BD6F5">
            <w:pPr>
              <w:tabs>
                <w:tab w:val="left" w:pos="1080"/>
              </w:tabs>
              <w:snapToGrid w:val="0"/>
              <w:jc w:val="center"/>
              <w:rPr>
                <w:rFonts w:ascii="宋体" w:hAnsi="宋体"/>
                <w:szCs w:val="21"/>
              </w:rPr>
            </w:pPr>
            <w:r>
              <w:rPr>
                <w:rFonts w:ascii="宋体" w:hAnsi="宋体"/>
                <w:szCs w:val="21"/>
              </w:rPr>
              <w:t>格式要求</w:t>
            </w:r>
          </w:p>
        </w:tc>
      </w:tr>
      <w:tr w14:paraId="1E17B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70" w:hRule="atLeast"/>
        </w:trPr>
        <w:tc>
          <w:tcPr>
            <w:tcW w:w="456" w:type="pct"/>
            <w:vAlign w:val="center"/>
          </w:tcPr>
          <w:p w14:paraId="19DD504A">
            <w:pPr>
              <w:tabs>
                <w:tab w:val="left" w:pos="1080"/>
              </w:tabs>
              <w:snapToGrid w:val="0"/>
              <w:jc w:val="center"/>
              <w:rPr>
                <w:rFonts w:ascii="宋体" w:hAnsi="宋体"/>
                <w:szCs w:val="21"/>
              </w:rPr>
            </w:pPr>
            <w:r>
              <w:rPr>
                <w:rFonts w:ascii="宋体" w:hAnsi="宋体"/>
                <w:szCs w:val="21"/>
              </w:rPr>
              <w:t>1</w:t>
            </w:r>
          </w:p>
        </w:tc>
        <w:tc>
          <w:tcPr>
            <w:tcW w:w="1026" w:type="pct"/>
            <w:vAlign w:val="center"/>
          </w:tcPr>
          <w:p w14:paraId="5A5DD3FD">
            <w:pPr>
              <w:tabs>
                <w:tab w:val="left" w:pos="1080"/>
              </w:tabs>
              <w:snapToGrid w:val="0"/>
              <w:jc w:val="left"/>
              <w:rPr>
                <w:rFonts w:ascii="宋体" w:hAnsi="宋体"/>
                <w:szCs w:val="21"/>
              </w:rPr>
            </w:pPr>
            <w:r>
              <w:rPr>
                <w:rFonts w:ascii="宋体" w:hAnsi="宋体"/>
                <w:szCs w:val="21"/>
              </w:rPr>
              <w:t>满足《中华人民共和国政府采购法》第二十二条规定</w:t>
            </w:r>
          </w:p>
        </w:tc>
        <w:tc>
          <w:tcPr>
            <w:tcW w:w="2839" w:type="pct"/>
            <w:vAlign w:val="center"/>
          </w:tcPr>
          <w:p w14:paraId="5C9A7816">
            <w:pPr>
              <w:tabs>
                <w:tab w:val="left" w:pos="1080"/>
              </w:tabs>
              <w:snapToGrid w:val="0"/>
              <w:jc w:val="left"/>
              <w:rPr>
                <w:rFonts w:ascii="宋体" w:hAnsi="宋体"/>
                <w:szCs w:val="21"/>
              </w:rPr>
            </w:pPr>
            <w:r>
              <w:rPr>
                <w:rFonts w:ascii="宋体" w:hAnsi="宋体"/>
                <w:szCs w:val="21"/>
              </w:rPr>
              <w:t>具体规定见第一章《采购邀请》</w:t>
            </w:r>
          </w:p>
        </w:tc>
        <w:tc>
          <w:tcPr>
            <w:tcW w:w="679" w:type="pct"/>
            <w:vAlign w:val="center"/>
          </w:tcPr>
          <w:p w14:paraId="2CFDC267">
            <w:pPr>
              <w:tabs>
                <w:tab w:val="left" w:pos="1080"/>
              </w:tabs>
              <w:snapToGrid w:val="0"/>
              <w:jc w:val="left"/>
              <w:rPr>
                <w:rFonts w:ascii="宋体" w:hAnsi="宋体"/>
                <w:szCs w:val="21"/>
              </w:rPr>
            </w:pPr>
          </w:p>
        </w:tc>
      </w:tr>
      <w:tr w14:paraId="7C9B8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17" w:hRule="atLeast"/>
        </w:trPr>
        <w:tc>
          <w:tcPr>
            <w:tcW w:w="456" w:type="pct"/>
            <w:vAlign w:val="center"/>
          </w:tcPr>
          <w:p w14:paraId="0FE71572">
            <w:pPr>
              <w:tabs>
                <w:tab w:val="left" w:pos="1080"/>
              </w:tabs>
              <w:snapToGrid w:val="0"/>
              <w:jc w:val="center"/>
              <w:rPr>
                <w:rFonts w:ascii="宋体" w:hAnsi="宋体"/>
                <w:szCs w:val="21"/>
              </w:rPr>
            </w:pPr>
            <w:r>
              <w:rPr>
                <w:rFonts w:ascii="宋体" w:hAnsi="宋体"/>
                <w:szCs w:val="21"/>
              </w:rPr>
              <w:t>1-1</w:t>
            </w:r>
          </w:p>
        </w:tc>
        <w:tc>
          <w:tcPr>
            <w:tcW w:w="1026" w:type="pct"/>
            <w:vAlign w:val="center"/>
          </w:tcPr>
          <w:p w14:paraId="2F2E7521">
            <w:pPr>
              <w:tabs>
                <w:tab w:val="left" w:pos="1080"/>
              </w:tabs>
              <w:snapToGrid w:val="0"/>
              <w:jc w:val="left"/>
              <w:rPr>
                <w:rFonts w:ascii="宋体" w:hAnsi="宋体"/>
                <w:szCs w:val="21"/>
              </w:rPr>
            </w:pPr>
            <w:r>
              <w:rPr>
                <w:rFonts w:ascii="宋体" w:hAnsi="宋体"/>
                <w:szCs w:val="21"/>
              </w:rPr>
              <w:t>营业执照等证明文件</w:t>
            </w:r>
          </w:p>
        </w:tc>
        <w:tc>
          <w:tcPr>
            <w:tcW w:w="2839" w:type="pct"/>
            <w:vAlign w:val="center"/>
          </w:tcPr>
          <w:p w14:paraId="24504E1A">
            <w:pPr>
              <w:tabs>
                <w:tab w:val="left" w:pos="1080"/>
              </w:tabs>
              <w:snapToGrid w:val="0"/>
              <w:jc w:val="left"/>
              <w:rPr>
                <w:rFonts w:ascii="宋体" w:hAnsi="宋体"/>
                <w:szCs w:val="21"/>
              </w:rPr>
            </w:pPr>
            <w:r>
              <w:rPr>
                <w:rFonts w:ascii="宋体" w:hAnsi="宋体"/>
                <w:szCs w:val="21"/>
              </w:rPr>
              <w:t>供应商为企业（包括合伙企业）的，应提供有效的</w:t>
            </w:r>
            <w:r>
              <w:rPr>
                <w:rFonts w:hint="eastAsia" w:ascii="宋体" w:hAnsi="宋体"/>
                <w:szCs w:val="21"/>
              </w:rPr>
              <w:t>“</w:t>
            </w:r>
            <w:r>
              <w:rPr>
                <w:rFonts w:ascii="宋体" w:hAnsi="宋体"/>
                <w:szCs w:val="21"/>
              </w:rPr>
              <w:t>营业执照</w:t>
            </w:r>
            <w:r>
              <w:rPr>
                <w:rFonts w:hint="eastAsia" w:ascii="宋体" w:hAnsi="宋体"/>
                <w:szCs w:val="21"/>
              </w:rPr>
              <w:t>”</w:t>
            </w:r>
            <w:r>
              <w:rPr>
                <w:rFonts w:ascii="宋体" w:hAnsi="宋体"/>
                <w:szCs w:val="21"/>
              </w:rPr>
              <w:t>；</w:t>
            </w:r>
          </w:p>
          <w:p w14:paraId="37D1107D">
            <w:pPr>
              <w:tabs>
                <w:tab w:val="left" w:pos="1080"/>
              </w:tabs>
              <w:snapToGrid w:val="0"/>
              <w:jc w:val="left"/>
              <w:rPr>
                <w:rFonts w:ascii="宋体" w:hAnsi="宋体"/>
                <w:szCs w:val="21"/>
              </w:rPr>
            </w:pPr>
            <w:r>
              <w:rPr>
                <w:rFonts w:ascii="宋体" w:hAnsi="宋体"/>
                <w:szCs w:val="21"/>
              </w:rPr>
              <w:t>供应商为事业单位的，应提供有效的</w:t>
            </w:r>
            <w:r>
              <w:rPr>
                <w:rFonts w:hint="eastAsia" w:ascii="宋体" w:hAnsi="宋体"/>
                <w:szCs w:val="21"/>
              </w:rPr>
              <w:t>“</w:t>
            </w:r>
            <w:r>
              <w:rPr>
                <w:rFonts w:ascii="宋体" w:hAnsi="宋体"/>
                <w:szCs w:val="21"/>
              </w:rPr>
              <w:t>事业单位法人证书</w:t>
            </w:r>
            <w:r>
              <w:rPr>
                <w:rFonts w:hint="eastAsia" w:ascii="宋体" w:hAnsi="宋体"/>
                <w:szCs w:val="21"/>
              </w:rPr>
              <w:t>”</w:t>
            </w:r>
            <w:r>
              <w:rPr>
                <w:rFonts w:ascii="宋体" w:hAnsi="宋体"/>
                <w:szCs w:val="21"/>
              </w:rPr>
              <w:t>；</w:t>
            </w:r>
          </w:p>
          <w:p w14:paraId="6A726B77">
            <w:pPr>
              <w:tabs>
                <w:tab w:val="left" w:pos="1080"/>
              </w:tabs>
              <w:snapToGrid w:val="0"/>
              <w:jc w:val="left"/>
              <w:rPr>
                <w:rFonts w:ascii="宋体" w:hAnsi="宋体"/>
                <w:szCs w:val="21"/>
              </w:rPr>
            </w:pPr>
            <w:r>
              <w:rPr>
                <w:rFonts w:ascii="宋体" w:hAnsi="宋体"/>
                <w:szCs w:val="21"/>
              </w:rPr>
              <w:t>供应商</w:t>
            </w:r>
            <w:r>
              <w:rPr>
                <w:rFonts w:hint="eastAsia" w:ascii="宋体" w:hAnsi="宋体"/>
                <w:szCs w:val="21"/>
              </w:rPr>
              <w:t>是非企业机构的，应提供有效的“执业许可证”、“登记证书”等证明文件</w:t>
            </w:r>
            <w:r>
              <w:rPr>
                <w:rFonts w:ascii="宋体" w:hAnsi="宋体"/>
                <w:szCs w:val="21"/>
              </w:rPr>
              <w:t>；</w:t>
            </w:r>
          </w:p>
          <w:p w14:paraId="4291AF30">
            <w:pPr>
              <w:tabs>
                <w:tab w:val="left" w:pos="1080"/>
              </w:tabs>
              <w:snapToGrid w:val="0"/>
              <w:jc w:val="left"/>
              <w:rPr>
                <w:rFonts w:ascii="宋体" w:hAnsi="宋体"/>
                <w:szCs w:val="21"/>
              </w:rPr>
            </w:pPr>
            <w:r>
              <w:rPr>
                <w:rFonts w:ascii="宋体" w:hAnsi="宋体"/>
                <w:szCs w:val="21"/>
              </w:rPr>
              <w:t>供应商是个体工商户的，应提供有效的</w:t>
            </w:r>
            <w:r>
              <w:rPr>
                <w:rFonts w:hint="eastAsia" w:ascii="宋体" w:hAnsi="宋体"/>
                <w:szCs w:val="21"/>
              </w:rPr>
              <w:t>“</w:t>
            </w:r>
            <w:r>
              <w:rPr>
                <w:rFonts w:ascii="宋体" w:hAnsi="宋体"/>
                <w:szCs w:val="21"/>
              </w:rPr>
              <w:t>个体工商户营业执照</w:t>
            </w:r>
            <w:r>
              <w:rPr>
                <w:rFonts w:hint="eastAsia" w:ascii="宋体" w:hAnsi="宋体"/>
                <w:szCs w:val="21"/>
              </w:rPr>
              <w:t>”</w:t>
            </w:r>
            <w:r>
              <w:rPr>
                <w:rFonts w:ascii="宋体" w:hAnsi="宋体"/>
                <w:szCs w:val="21"/>
              </w:rPr>
              <w:t>；</w:t>
            </w:r>
          </w:p>
          <w:p w14:paraId="69FAA10C">
            <w:pPr>
              <w:tabs>
                <w:tab w:val="left" w:pos="1080"/>
              </w:tabs>
              <w:snapToGrid w:val="0"/>
              <w:jc w:val="left"/>
              <w:rPr>
                <w:rFonts w:ascii="宋体" w:hAnsi="宋体"/>
                <w:szCs w:val="21"/>
              </w:rPr>
            </w:pPr>
            <w:r>
              <w:rPr>
                <w:rFonts w:ascii="宋体" w:hAnsi="宋体"/>
                <w:szCs w:val="21"/>
              </w:rPr>
              <w:t>供应商是自然人的，</w:t>
            </w:r>
            <w:r>
              <w:rPr>
                <w:rFonts w:hint="eastAsia" w:ascii="宋体" w:hAnsi="宋体"/>
                <w:szCs w:val="21"/>
              </w:rPr>
              <w:t>应提供有效的自然人身份证明。分支机构参加响应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c>
          <w:tcPr>
            <w:tcW w:w="679" w:type="pct"/>
            <w:vAlign w:val="center"/>
          </w:tcPr>
          <w:p w14:paraId="4F0136AE">
            <w:pPr>
              <w:tabs>
                <w:tab w:val="left" w:pos="1080"/>
              </w:tabs>
              <w:snapToGrid w:val="0"/>
              <w:jc w:val="left"/>
              <w:rPr>
                <w:rFonts w:ascii="宋体" w:hAnsi="宋体"/>
                <w:szCs w:val="21"/>
              </w:rPr>
            </w:pPr>
            <w:bookmarkStart w:id="685" w:name="OLE_LINK80"/>
            <w:bookmarkStart w:id="686" w:name="OLE_LINK81"/>
            <w:r>
              <w:rPr>
                <w:rFonts w:hint="eastAsia" w:ascii="宋体" w:hAnsi="宋体"/>
                <w:szCs w:val="21"/>
              </w:rPr>
              <w:t>提供证明文件的电子件或电子证照</w:t>
            </w:r>
            <w:bookmarkEnd w:id="685"/>
            <w:bookmarkEnd w:id="686"/>
          </w:p>
        </w:tc>
      </w:tr>
      <w:tr w14:paraId="2FADC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trPr>
        <w:tc>
          <w:tcPr>
            <w:tcW w:w="456" w:type="pct"/>
            <w:vAlign w:val="center"/>
          </w:tcPr>
          <w:p w14:paraId="7646627C">
            <w:pPr>
              <w:tabs>
                <w:tab w:val="left" w:pos="1080"/>
              </w:tabs>
              <w:snapToGrid w:val="0"/>
              <w:jc w:val="center"/>
              <w:rPr>
                <w:rFonts w:ascii="宋体" w:hAnsi="宋体"/>
                <w:szCs w:val="21"/>
              </w:rPr>
            </w:pPr>
            <w:r>
              <w:rPr>
                <w:rFonts w:ascii="宋体" w:hAnsi="宋体"/>
                <w:szCs w:val="21"/>
              </w:rPr>
              <w:t>1-2</w:t>
            </w:r>
          </w:p>
        </w:tc>
        <w:tc>
          <w:tcPr>
            <w:tcW w:w="1026" w:type="pct"/>
            <w:vAlign w:val="center"/>
          </w:tcPr>
          <w:p w14:paraId="053D3865">
            <w:pPr>
              <w:tabs>
                <w:tab w:val="left" w:pos="1080"/>
              </w:tabs>
              <w:snapToGrid w:val="0"/>
              <w:jc w:val="left"/>
              <w:rPr>
                <w:rFonts w:ascii="宋体" w:hAnsi="宋体"/>
                <w:szCs w:val="21"/>
              </w:rPr>
            </w:pPr>
            <w:r>
              <w:rPr>
                <w:rFonts w:ascii="宋体" w:hAnsi="宋体"/>
                <w:szCs w:val="21"/>
              </w:rPr>
              <w:t>供应商资格声明书</w:t>
            </w:r>
          </w:p>
        </w:tc>
        <w:tc>
          <w:tcPr>
            <w:tcW w:w="2839" w:type="pct"/>
            <w:vAlign w:val="center"/>
          </w:tcPr>
          <w:p w14:paraId="18A92C39">
            <w:pPr>
              <w:tabs>
                <w:tab w:val="left" w:pos="1080"/>
              </w:tabs>
              <w:snapToGrid w:val="0"/>
              <w:jc w:val="left"/>
              <w:rPr>
                <w:rFonts w:ascii="宋体" w:hAnsi="宋体"/>
                <w:szCs w:val="21"/>
              </w:rPr>
            </w:pPr>
            <w:r>
              <w:rPr>
                <w:rFonts w:ascii="宋体" w:hAnsi="宋体"/>
                <w:szCs w:val="21"/>
              </w:rPr>
              <w:t>提供了符合竞争性磋商文件要求的《供应商资格声明书》。</w:t>
            </w:r>
          </w:p>
        </w:tc>
        <w:tc>
          <w:tcPr>
            <w:tcW w:w="679" w:type="pct"/>
            <w:vAlign w:val="center"/>
          </w:tcPr>
          <w:p w14:paraId="2D123CA8">
            <w:pPr>
              <w:tabs>
                <w:tab w:val="left" w:pos="1080"/>
              </w:tabs>
              <w:snapToGrid w:val="0"/>
              <w:jc w:val="left"/>
              <w:rPr>
                <w:rFonts w:ascii="宋体" w:hAnsi="宋体"/>
                <w:szCs w:val="21"/>
              </w:rPr>
            </w:pPr>
            <w:r>
              <w:rPr>
                <w:rFonts w:ascii="宋体" w:hAnsi="宋体"/>
                <w:szCs w:val="21"/>
              </w:rPr>
              <w:t>格式见《响应文件格式》</w:t>
            </w:r>
          </w:p>
        </w:tc>
      </w:tr>
      <w:tr w14:paraId="47278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6" w:type="pct"/>
            <w:vAlign w:val="center"/>
          </w:tcPr>
          <w:p w14:paraId="393D952B">
            <w:pPr>
              <w:tabs>
                <w:tab w:val="left" w:pos="1080"/>
              </w:tabs>
              <w:snapToGrid w:val="0"/>
              <w:jc w:val="center"/>
              <w:rPr>
                <w:rFonts w:ascii="宋体" w:hAnsi="宋体"/>
                <w:szCs w:val="21"/>
              </w:rPr>
            </w:pPr>
            <w:r>
              <w:rPr>
                <w:rFonts w:ascii="宋体" w:hAnsi="宋体"/>
                <w:szCs w:val="21"/>
              </w:rPr>
              <w:t>1-3</w:t>
            </w:r>
          </w:p>
        </w:tc>
        <w:tc>
          <w:tcPr>
            <w:tcW w:w="1026" w:type="pct"/>
            <w:vAlign w:val="center"/>
          </w:tcPr>
          <w:p w14:paraId="0A906D37">
            <w:pPr>
              <w:tabs>
                <w:tab w:val="left" w:pos="1080"/>
              </w:tabs>
              <w:snapToGrid w:val="0"/>
              <w:rPr>
                <w:rFonts w:ascii="宋体" w:hAnsi="宋体"/>
                <w:szCs w:val="21"/>
              </w:rPr>
            </w:pPr>
            <w:r>
              <w:rPr>
                <w:rFonts w:ascii="宋体" w:hAnsi="宋体"/>
                <w:szCs w:val="21"/>
              </w:rPr>
              <w:t>供应商信用记录</w:t>
            </w:r>
          </w:p>
        </w:tc>
        <w:tc>
          <w:tcPr>
            <w:tcW w:w="2839" w:type="pct"/>
            <w:vAlign w:val="center"/>
          </w:tcPr>
          <w:p w14:paraId="61BA7B3E">
            <w:pPr>
              <w:tabs>
                <w:tab w:val="left" w:pos="1080"/>
              </w:tabs>
              <w:snapToGrid w:val="0"/>
              <w:rPr>
                <w:rFonts w:ascii="宋体" w:hAnsi="宋体"/>
                <w:szCs w:val="21"/>
              </w:rPr>
            </w:pPr>
            <w:r>
              <w:rPr>
                <w:rFonts w:ascii="宋体" w:hAnsi="宋体"/>
                <w:szCs w:val="21"/>
              </w:rPr>
              <w:t>查询渠道：信用中国网站和中国政府采购网</w:t>
            </w:r>
          </w:p>
          <w:p w14:paraId="4A16F66E">
            <w:pPr>
              <w:tabs>
                <w:tab w:val="left" w:pos="1080"/>
              </w:tabs>
              <w:snapToGrid w:val="0"/>
              <w:rPr>
                <w:rFonts w:ascii="宋体" w:hAnsi="宋体"/>
                <w:szCs w:val="21"/>
              </w:rPr>
            </w:pPr>
            <w:r>
              <w:rPr>
                <w:rFonts w:ascii="宋体" w:hAnsi="宋体"/>
                <w:szCs w:val="21"/>
              </w:rPr>
              <w:t>（www.creditchina.gov.cn、www.ccgp.gov.cn）；</w:t>
            </w:r>
          </w:p>
          <w:p w14:paraId="6DF8ABEE">
            <w:pPr>
              <w:tabs>
                <w:tab w:val="left" w:pos="900"/>
                <w:tab w:val="left" w:pos="1980"/>
              </w:tabs>
              <w:snapToGrid w:val="0"/>
              <w:rPr>
                <w:rFonts w:ascii="宋体" w:hAnsi="宋体"/>
                <w:szCs w:val="21"/>
              </w:rPr>
            </w:pPr>
            <w:r>
              <w:rPr>
                <w:rFonts w:ascii="宋体" w:hAnsi="宋体"/>
                <w:szCs w:val="21"/>
              </w:rPr>
              <w:t>截止时点：</w:t>
            </w:r>
            <w:r>
              <w:rPr>
                <w:rFonts w:ascii="宋体" w:hAnsi="宋体"/>
                <w:kern w:val="0"/>
                <w:szCs w:val="21"/>
              </w:rPr>
              <w:t>首次响应文件提交截止时间以后</w:t>
            </w:r>
            <w:r>
              <w:rPr>
                <w:rFonts w:ascii="宋体" w:hAnsi="宋体"/>
                <w:szCs w:val="21"/>
              </w:rPr>
              <w:t>、资格</w:t>
            </w:r>
            <w:r>
              <w:rPr>
                <w:rFonts w:hint="eastAsia" w:ascii="宋体" w:hAnsi="宋体"/>
                <w:szCs w:val="21"/>
              </w:rPr>
              <w:t>审</w:t>
            </w:r>
            <w:r>
              <w:rPr>
                <w:rFonts w:ascii="宋体" w:hAnsi="宋体"/>
                <w:szCs w:val="21"/>
              </w:rPr>
              <w:t>查阶段采购人或采购代理机构的实际查询时间；</w:t>
            </w:r>
          </w:p>
          <w:p w14:paraId="77E8BEB8">
            <w:pPr>
              <w:tabs>
                <w:tab w:val="left" w:pos="900"/>
                <w:tab w:val="left" w:pos="1980"/>
              </w:tabs>
              <w:snapToGrid w:val="0"/>
              <w:rPr>
                <w:rFonts w:ascii="宋体" w:hAnsi="宋体"/>
                <w:szCs w:val="21"/>
              </w:rPr>
            </w:pPr>
            <w:r>
              <w:rPr>
                <w:rFonts w:ascii="宋体" w:hAnsi="宋体"/>
                <w:szCs w:val="21"/>
              </w:rPr>
              <w:t>信用信息查询记录和证据留存具体方式：查询结果网页打印页作为查询记录和证据，与其他竞争性磋商文件一并保存；</w:t>
            </w:r>
          </w:p>
          <w:p w14:paraId="36E9A363">
            <w:pPr>
              <w:tabs>
                <w:tab w:val="left" w:pos="1080"/>
              </w:tabs>
              <w:snapToGrid w:val="0"/>
              <w:rPr>
                <w:rFonts w:ascii="宋体" w:hAnsi="宋体"/>
                <w:szCs w:val="21"/>
              </w:rPr>
            </w:pPr>
            <w:r>
              <w:rPr>
                <w:rFonts w:ascii="宋体" w:hAnsi="宋体"/>
                <w:szCs w:val="21"/>
              </w:rPr>
              <w:t>信用信息的使用原则：经认定的被列入失信被执行人、重大税收违法案件当事人名单、政府采购严重违法失信行为记录名单的供应商，其</w:t>
            </w:r>
            <w:r>
              <w:rPr>
                <w:rFonts w:ascii="宋体" w:hAnsi="宋体"/>
                <w:b/>
                <w:szCs w:val="21"/>
              </w:rPr>
              <w:t>响应无效</w:t>
            </w:r>
            <w:r>
              <w:rPr>
                <w:rFonts w:ascii="宋体" w:hAnsi="宋体"/>
                <w:szCs w:val="21"/>
              </w:rPr>
              <w:t>。联合体形式磋商的，联合体成员存在不良信用记录，视同联合体存在不良信用记录。</w:t>
            </w:r>
          </w:p>
        </w:tc>
        <w:tc>
          <w:tcPr>
            <w:tcW w:w="679" w:type="pct"/>
            <w:vAlign w:val="center"/>
          </w:tcPr>
          <w:p w14:paraId="3C2DE142">
            <w:pPr>
              <w:tabs>
                <w:tab w:val="left" w:pos="1080"/>
              </w:tabs>
              <w:snapToGrid w:val="0"/>
              <w:rPr>
                <w:rFonts w:ascii="宋体" w:hAnsi="宋体"/>
                <w:szCs w:val="21"/>
              </w:rPr>
            </w:pPr>
            <w:r>
              <w:rPr>
                <w:rFonts w:ascii="宋体" w:hAnsi="宋体"/>
                <w:szCs w:val="21"/>
              </w:rPr>
              <w:t>无须供应商提供，由采购人或采购代理机构查询。</w:t>
            </w:r>
          </w:p>
        </w:tc>
      </w:tr>
      <w:tr w14:paraId="54DC6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6" w:type="pct"/>
            <w:vAlign w:val="center"/>
          </w:tcPr>
          <w:p w14:paraId="529C3EB5">
            <w:pPr>
              <w:tabs>
                <w:tab w:val="left" w:pos="1080"/>
              </w:tabs>
              <w:snapToGrid w:val="0"/>
              <w:jc w:val="center"/>
              <w:rPr>
                <w:rFonts w:ascii="宋体" w:hAnsi="宋体"/>
                <w:szCs w:val="21"/>
              </w:rPr>
            </w:pPr>
            <w:r>
              <w:rPr>
                <w:rFonts w:hint="eastAsia" w:ascii="宋体" w:hAnsi="宋体"/>
                <w:szCs w:val="21"/>
              </w:rPr>
              <w:t>1-4</w:t>
            </w:r>
          </w:p>
        </w:tc>
        <w:tc>
          <w:tcPr>
            <w:tcW w:w="1026" w:type="pct"/>
            <w:vAlign w:val="center"/>
          </w:tcPr>
          <w:p w14:paraId="4F1E7E9E">
            <w:pPr>
              <w:tabs>
                <w:tab w:val="left" w:pos="1080"/>
              </w:tabs>
              <w:snapToGrid w:val="0"/>
              <w:rPr>
                <w:rFonts w:ascii="宋体" w:hAnsi="宋体"/>
                <w:szCs w:val="21"/>
              </w:rPr>
            </w:pPr>
            <w:r>
              <w:rPr>
                <w:rFonts w:hint="eastAsia" w:ascii="宋体" w:hAnsi="宋体"/>
                <w:szCs w:val="21"/>
              </w:rPr>
              <w:t>法律、行政法规规定的其他条件</w:t>
            </w:r>
          </w:p>
        </w:tc>
        <w:tc>
          <w:tcPr>
            <w:tcW w:w="2839" w:type="pct"/>
            <w:vAlign w:val="center"/>
          </w:tcPr>
          <w:p w14:paraId="5FEC5D92">
            <w:pPr>
              <w:tabs>
                <w:tab w:val="left" w:pos="1080"/>
              </w:tabs>
              <w:snapToGrid w:val="0"/>
              <w:rPr>
                <w:rFonts w:ascii="宋体" w:hAnsi="宋体"/>
                <w:szCs w:val="21"/>
              </w:rPr>
            </w:pPr>
            <w:r>
              <w:rPr>
                <w:rFonts w:hint="eastAsia" w:ascii="宋体" w:hAnsi="宋体"/>
                <w:szCs w:val="21"/>
              </w:rPr>
              <w:t>法律、行政法规规定的其他条件</w:t>
            </w:r>
          </w:p>
        </w:tc>
        <w:tc>
          <w:tcPr>
            <w:tcW w:w="679" w:type="pct"/>
            <w:vAlign w:val="center"/>
          </w:tcPr>
          <w:p w14:paraId="09CE92A5">
            <w:pPr>
              <w:tabs>
                <w:tab w:val="left" w:pos="1080"/>
              </w:tabs>
              <w:snapToGrid w:val="0"/>
              <w:jc w:val="center"/>
              <w:rPr>
                <w:rFonts w:ascii="宋体" w:hAnsi="宋体"/>
                <w:szCs w:val="21"/>
              </w:rPr>
            </w:pPr>
            <w:r>
              <w:rPr>
                <w:rFonts w:hint="eastAsia" w:ascii="宋体" w:hAnsi="宋体"/>
                <w:szCs w:val="21"/>
              </w:rPr>
              <w:t>/</w:t>
            </w:r>
          </w:p>
        </w:tc>
      </w:tr>
      <w:tr w14:paraId="73019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6" w:type="pct"/>
            <w:vAlign w:val="center"/>
          </w:tcPr>
          <w:p w14:paraId="2665B1FF">
            <w:pPr>
              <w:tabs>
                <w:tab w:val="left" w:pos="1080"/>
              </w:tabs>
              <w:snapToGrid w:val="0"/>
              <w:jc w:val="center"/>
              <w:rPr>
                <w:rFonts w:ascii="宋体" w:hAnsi="宋体"/>
                <w:szCs w:val="21"/>
              </w:rPr>
            </w:pPr>
            <w:r>
              <w:rPr>
                <w:rFonts w:ascii="宋体" w:hAnsi="宋体"/>
                <w:szCs w:val="21"/>
              </w:rPr>
              <w:t>2</w:t>
            </w:r>
          </w:p>
        </w:tc>
        <w:tc>
          <w:tcPr>
            <w:tcW w:w="1026" w:type="pct"/>
            <w:vAlign w:val="center"/>
          </w:tcPr>
          <w:p w14:paraId="266A4EF1">
            <w:pPr>
              <w:tabs>
                <w:tab w:val="left" w:pos="1080"/>
              </w:tabs>
              <w:snapToGrid w:val="0"/>
              <w:jc w:val="left"/>
              <w:rPr>
                <w:rFonts w:ascii="宋体" w:hAnsi="宋体"/>
                <w:szCs w:val="21"/>
              </w:rPr>
            </w:pPr>
            <w:r>
              <w:rPr>
                <w:rFonts w:ascii="宋体" w:hAnsi="宋体"/>
                <w:szCs w:val="21"/>
              </w:rPr>
              <w:t>落实政府采购政策需满足的资格要求</w:t>
            </w:r>
          </w:p>
        </w:tc>
        <w:tc>
          <w:tcPr>
            <w:tcW w:w="2839" w:type="pct"/>
            <w:vAlign w:val="center"/>
          </w:tcPr>
          <w:p w14:paraId="57633C15">
            <w:pPr>
              <w:tabs>
                <w:tab w:val="left" w:pos="1080"/>
              </w:tabs>
              <w:snapToGrid w:val="0"/>
              <w:jc w:val="left"/>
              <w:rPr>
                <w:rFonts w:ascii="宋体" w:hAnsi="宋体"/>
                <w:szCs w:val="21"/>
              </w:rPr>
            </w:pPr>
            <w:r>
              <w:rPr>
                <w:rFonts w:ascii="宋体" w:hAnsi="宋体"/>
                <w:szCs w:val="21"/>
              </w:rPr>
              <w:t>具体要求见第一章《采购邀请》</w:t>
            </w:r>
          </w:p>
        </w:tc>
        <w:tc>
          <w:tcPr>
            <w:tcW w:w="679" w:type="pct"/>
            <w:vAlign w:val="center"/>
          </w:tcPr>
          <w:p w14:paraId="1504C4E1">
            <w:pPr>
              <w:tabs>
                <w:tab w:val="left" w:pos="1080"/>
              </w:tabs>
              <w:snapToGrid w:val="0"/>
              <w:jc w:val="left"/>
              <w:rPr>
                <w:rFonts w:ascii="宋体" w:hAnsi="宋体"/>
                <w:sz w:val="24"/>
              </w:rPr>
            </w:pPr>
          </w:p>
        </w:tc>
      </w:tr>
      <w:tr w14:paraId="281EA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6" w:type="pct"/>
            <w:vAlign w:val="center"/>
          </w:tcPr>
          <w:p w14:paraId="1F237FB7">
            <w:pPr>
              <w:tabs>
                <w:tab w:val="left" w:pos="1080"/>
              </w:tabs>
              <w:snapToGrid w:val="0"/>
              <w:jc w:val="center"/>
              <w:rPr>
                <w:rFonts w:ascii="宋体" w:hAnsi="宋体"/>
                <w:szCs w:val="21"/>
              </w:rPr>
            </w:pPr>
            <w:r>
              <w:rPr>
                <w:rFonts w:hint="eastAsia" w:ascii="宋体" w:hAnsi="宋体"/>
                <w:szCs w:val="21"/>
              </w:rPr>
              <w:t>2-1</w:t>
            </w:r>
          </w:p>
        </w:tc>
        <w:tc>
          <w:tcPr>
            <w:tcW w:w="1026" w:type="pct"/>
            <w:vAlign w:val="center"/>
          </w:tcPr>
          <w:p w14:paraId="2FE7632D">
            <w:pPr>
              <w:tabs>
                <w:tab w:val="left" w:pos="1080"/>
              </w:tabs>
              <w:snapToGrid w:val="0"/>
              <w:spacing w:line="260" w:lineRule="exact"/>
              <w:jc w:val="left"/>
              <w:rPr>
                <w:rFonts w:eastAsiaTheme="minorEastAsia"/>
                <w:szCs w:val="21"/>
              </w:rPr>
            </w:pPr>
            <w:r>
              <w:rPr>
                <w:rFonts w:eastAsiaTheme="minorEastAsia"/>
                <w:szCs w:val="21"/>
              </w:rPr>
              <w:t>中小企业政策</w:t>
            </w:r>
            <w:r>
              <w:rPr>
                <w:rFonts w:hint="eastAsia" w:eastAsiaTheme="minorEastAsia"/>
                <w:szCs w:val="21"/>
              </w:rPr>
              <w:t>证明文件</w:t>
            </w:r>
          </w:p>
        </w:tc>
        <w:tc>
          <w:tcPr>
            <w:tcW w:w="2839" w:type="pct"/>
            <w:vAlign w:val="center"/>
          </w:tcPr>
          <w:p w14:paraId="5AD48B10">
            <w:pPr>
              <w:tabs>
                <w:tab w:val="left" w:pos="1080"/>
              </w:tabs>
              <w:snapToGrid w:val="0"/>
              <w:spacing w:line="260" w:lineRule="exact"/>
              <w:jc w:val="left"/>
              <w:rPr>
                <w:rFonts w:eastAsiaTheme="minorEastAsia"/>
                <w:szCs w:val="21"/>
              </w:rPr>
            </w:pPr>
            <w:r>
              <w:rPr>
                <w:rFonts w:eastAsiaTheme="minorEastAsia"/>
                <w:szCs w:val="21"/>
              </w:rPr>
              <w:t>具体要求见第一章《采购邀请》</w:t>
            </w:r>
          </w:p>
        </w:tc>
        <w:tc>
          <w:tcPr>
            <w:tcW w:w="679" w:type="pct"/>
            <w:vAlign w:val="center"/>
          </w:tcPr>
          <w:p w14:paraId="26E7DD39">
            <w:pPr>
              <w:tabs>
                <w:tab w:val="left" w:pos="1080"/>
              </w:tabs>
              <w:snapToGrid w:val="0"/>
              <w:jc w:val="left"/>
              <w:rPr>
                <w:rFonts w:ascii="宋体" w:hAnsi="宋体"/>
                <w:sz w:val="24"/>
              </w:rPr>
            </w:pPr>
          </w:p>
        </w:tc>
      </w:tr>
      <w:tr w14:paraId="47364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58" w:hRule="atLeast"/>
        </w:trPr>
        <w:tc>
          <w:tcPr>
            <w:tcW w:w="456" w:type="pct"/>
            <w:vAlign w:val="center"/>
          </w:tcPr>
          <w:p w14:paraId="3B5C4C63">
            <w:pPr>
              <w:tabs>
                <w:tab w:val="left" w:pos="1080"/>
              </w:tabs>
              <w:snapToGrid w:val="0"/>
              <w:jc w:val="center"/>
              <w:rPr>
                <w:rFonts w:ascii="宋体" w:hAnsi="宋体"/>
                <w:szCs w:val="21"/>
              </w:rPr>
            </w:pPr>
            <w:r>
              <w:rPr>
                <w:rFonts w:ascii="宋体" w:hAnsi="宋体"/>
                <w:szCs w:val="21"/>
              </w:rPr>
              <w:t>2-</w:t>
            </w:r>
            <w:r>
              <w:rPr>
                <w:rFonts w:hint="eastAsia" w:ascii="宋体" w:hAnsi="宋体"/>
                <w:szCs w:val="21"/>
              </w:rPr>
              <w:t>1-1</w:t>
            </w:r>
          </w:p>
        </w:tc>
        <w:tc>
          <w:tcPr>
            <w:tcW w:w="1026" w:type="pct"/>
            <w:vAlign w:val="center"/>
          </w:tcPr>
          <w:p w14:paraId="5EEB3F97">
            <w:pPr>
              <w:tabs>
                <w:tab w:val="left" w:pos="1080"/>
              </w:tabs>
              <w:snapToGrid w:val="0"/>
              <w:jc w:val="left"/>
              <w:rPr>
                <w:rFonts w:ascii="宋体" w:hAnsi="宋体"/>
                <w:szCs w:val="21"/>
              </w:rPr>
            </w:pPr>
            <w:r>
              <w:rPr>
                <w:rFonts w:hint="eastAsia" w:ascii="宋体" w:hAnsi="宋体"/>
                <w:szCs w:val="21"/>
              </w:rPr>
              <w:t>中小企业证明文件</w:t>
            </w:r>
          </w:p>
        </w:tc>
        <w:tc>
          <w:tcPr>
            <w:tcW w:w="2839" w:type="pct"/>
            <w:vAlign w:val="center"/>
          </w:tcPr>
          <w:p w14:paraId="01F36498">
            <w:pPr>
              <w:tabs>
                <w:tab w:val="left" w:pos="1080"/>
              </w:tabs>
              <w:snapToGrid w:val="0"/>
              <w:spacing w:line="360" w:lineRule="exact"/>
              <w:jc w:val="left"/>
              <w:rPr>
                <w:rFonts w:ascii="宋体" w:hAnsi="宋体"/>
                <w:szCs w:val="21"/>
              </w:rPr>
            </w:pPr>
            <w:r>
              <w:rPr>
                <w:rFonts w:hint="eastAsia" w:ascii="宋体" w:hAnsi="宋体"/>
                <w:szCs w:val="21"/>
              </w:rPr>
              <w:t>当本项目(包)涉及预留份额专门面向中小企业采购，提供如下资料：</w:t>
            </w:r>
          </w:p>
          <w:p w14:paraId="7166BB6F">
            <w:pPr>
              <w:tabs>
                <w:tab w:val="left" w:pos="1080"/>
              </w:tabs>
              <w:snapToGrid w:val="0"/>
              <w:spacing w:line="360" w:lineRule="exact"/>
              <w:jc w:val="left"/>
              <w:rPr>
                <w:rFonts w:ascii="宋体" w:hAnsi="宋体"/>
                <w:szCs w:val="21"/>
              </w:rPr>
            </w:pPr>
            <w:r>
              <w:rPr>
                <w:rFonts w:hint="eastAsia" w:ascii="宋体" w:hAnsi="宋体"/>
                <w:szCs w:val="21"/>
              </w:rPr>
              <w:t>1、供应商单独响应的，应提供《中小企业声明函》或《残疾人福利性单位声明函》或由省级以上监狱管理局、戒毒管理局(含新疆生产建设兵团)出具的属于监狱企业的证明文件。</w:t>
            </w:r>
          </w:p>
          <w:p w14:paraId="0D319594">
            <w:pPr>
              <w:tabs>
                <w:tab w:val="left" w:pos="1080"/>
              </w:tabs>
              <w:snapToGrid w:val="0"/>
              <w:spacing w:line="360" w:lineRule="exact"/>
              <w:jc w:val="left"/>
              <w:rPr>
                <w:rFonts w:ascii="宋体" w:hAnsi="宋体"/>
                <w:szCs w:val="21"/>
              </w:rPr>
            </w:pPr>
            <w:r>
              <w:rPr>
                <w:rFonts w:hint="eastAsia" w:ascii="宋体" w:hAnsi="宋体"/>
                <w:szCs w:val="21"/>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679" w:type="pct"/>
            <w:vAlign w:val="center"/>
          </w:tcPr>
          <w:p w14:paraId="424409BC">
            <w:pPr>
              <w:tabs>
                <w:tab w:val="left" w:pos="1080"/>
              </w:tabs>
              <w:snapToGrid w:val="0"/>
              <w:jc w:val="left"/>
              <w:rPr>
                <w:rFonts w:ascii="宋体" w:hAnsi="宋体"/>
                <w:szCs w:val="21"/>
              </w:rPr>
            </w:pPr>
            <w:r>
              <w:rPr>
                <w:rFonts w:ascii="宋体" w:hAnsi="宋体"/>
                <w:szCs w:val="21"/>
              </w:rPr>
              <w:t>格式见《响应文件格式》</w:t>
            </w:r>
          </w:p>
        </w:tc>
      </w:tr>
      <w:tr w14:paraId="25550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86" w:hRule="atLeast"/>
        </w:trPr>
        <w:tc>
          <w:tcPr>
            <w:tcW w:w="456" w:type="pct"/>
            <w:vAlign w:val="center"/>
          </w:tcPr>
          <w:p w14:paraId="08A572A0">
            <w:pPr>
              <w:tabs>
                <w:tab w:val="left" w:pos="1080"/>
              </w:tabs>
              <w:snapToGrid w:val="0"/>
              <w:jc w:val="center"/>
              <w:rPr>
                <w:rFonts w:ascii="宋体" w:hAnsi="宋体"/>
                <w:szCs w:val="21"/>
              </w:rPr>
            </w:pPr>
            <w:r>
              <w:rPr>
                <w:rFonts w:ascii="宋体" w:hAnsi="宋体"/>
                <w:szCs w:val="21"/>
              </w:rPr>
              <w:t>2-1-2</w:t>
            </w:r>
          </w:p>
        </w:tc>
        <w:tc>
          <w:tcPr>
            <w:tcW w:w="1026" w:type="pct"/>
            <w:vAlign w:val="center"/>
          </w:tcPr>
          <w:p w14:paraId="4E2B0B16">
            <w:pPr>
              <w:tabs>
                <w:tab w:val="left" w:pos="1080"/>
              </w:tabs>
              <w:snapToGrid w:val="0"/>
              <w:jc w:val="left"/>
              <w:rPr>
                <w:rFonts w:ascii="宋体" w:hAnsi="宋体"/>
                <w:szCs w:val="21"/>
              </w:rPr>
            </w:pPr>
            <w:r>
              <w:rPr>
                <w:rFonts w:ascii="宋体" w:hAnsi="宋体"/>
                <w:szCs w:val="21"/>
              </w:rPr>
              <w:t>拟分包情况说明及分包意向协议</w:t>
            </w:r>
          </w:p>
        </w:tc>
        <w:tc>
          <w:tcPr>
            <w:tcW w:w="2839" w:type="pct"/>
            <w:vAlign w:val="center"/>
          </w:tcPr>
          <w:p w14:paraId="64553636">
            <w:pPr>
              <w:tabs>
                <w:tab w:val="left" w:pos="1080"/>
              </w:tabs>
              <w:snapToGrid w:val="0"/>
              <w:jc w:val="left"/>
              <w:rPr>
                <w:rFonts w:ascii="宋体" w:hAnsi="宋体"/>
                <w:szCs w:val="21"/>
              </w:rPr>
            </w:pPr>
            <w:r>
              <w:rPr>
                <w:rFonts w:ascii="宋体" w:hAnsi="宋体"/>
                <w:szCs w:val="21"/>
              </w:rPr>
              <w:t>如本项目（包）要求通过分包措施预留部分采购份额面向中小企业采购、且供应商因落实政府采购政策拟进行分包的，必须提供；否则无须提供。</w:t>
            </w:r>
          </w:p>
          <w:p w14:paraId="340DB30C">
            <w:pPr>
              <w:tabs>
                <w:tab w:val="left" w:pos="1080"/>
              </w:tabs>
              <w:snapToGrid w:val="0"/>
              <w:spacing w:line="360" w:lineRule="exact"/>
              <w:jc w:val="left"/>
              <w:rPr>
                <w:rFonts w:ascii="宋体" w:hAnsi="宋体"/>
                <w:szCs w:val="21"/>
              </w:rPr>
            </w:pPr>
            <w:r>
              <w:rPr>
                <w:rFonts w:ascii="宋体" w:hAnsi="宋体"/>
                <w:szCs w:val="21"/>
              </w:rPr>
              <w:t>对于预留份额专门面向中小企业采购的项目（包），组成联合体或者接受分包合同的中小企业与联合体内其他企业、分包企业之间不得存在直接控股、管理关系。</w:t>
            </w:r>
          </w:p>
        </w:tc>
        <w:tc>
          <w:tcPr>
            <w:tcW w:w="679" w:type="pct"/>
            <w:vAlign w:val="center"/>
          </w:tcPr>
          <w:p w14:paraId="0C9AAFC0">
            <w:pPr>
              <w:tabs>
                <w:tab w:val="left" w:pos="1080"/>
              </w:tabs>
              <w:snapToGrid w:val="0"/>
              <w:jc w:val="left"/>
              <w:rPr>
                <w:rFonts w:ascii="宋体" w:hAnsi="宋体"/>
                <w:szCs w:val="21"/>
              </w:rPr>
            </w:pPr>
            <w:r>
              <w:rPr>
                <w:rFonts w:ascii="宋体" w:hAnsi="宋体"/>
                <w:szCs w:val="21"/>
              </w:rPr>
              <w:t>格式见《响应文件格式》</w:t>
            </w:r>
          </w:p>
        </w:tc>
      </w:tr>
      <w:tr w14:paraId="0BE7F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72" w:hRule="atLeast"/>
        </w:trPr>
        <w:tc>
          <w:tcPr>
            <w:tcW w:w="456" w:type="pct"/>
            <w:vAlign w:val="center"/>
          </w:tcPr>
          <w:p w14:paraId="4A8C4133">
            <w:pPr>
              <w:tabs>
                <w:tab w:val="left" w:pos="1080"/>
              </w:tabs>
              <w:snapToGrid w:val="0"/>
              <w:jc w:val="center"/>
              <w:rPr>
                <w:rFonts w:ascii="宋体" w:hAnsi="宋体"/>
                <w:szCs w:val="21"/>
              </w:rPr>
            </w:pPr>
            <w:r>
              <w:rPr>
                <w:rFonts w:ascii="宋体" w:hAnsi="宋体"/>
                <w:szCs w:val="21"/>
              </w:rPr>
              <w:t>2-2</w:t>
            </w:r>
          </w:p>
        </w:tc>
        <w:tc>
          <w:tcPr>
            <w:tcW w:w="1026" w:type="pct"/>
            <w:vAlign w:val="center"/>
          </w:tcPr>
          <w:p w14:paraId="01AE1C7F">
            <w:pPr>
              <w:tabs>
                <w:tab w:val="left" w:pos="1080"/>
              </w:tabs>
              <w:snapToGrid w:val="0"/>
              <w:jc w:val="left"/>
              <w:rPr>
                <w:rFonts w:ascii="宋体" w:hAnsi="宋体"/>
                <w:szCs w:val="21"/>
              </w:rPr>
            </w:pPr>
            <w:r>
              <w:rPr>
                <w:rFonts w:ascii="宋体" w:hAnsi="宋体"/>
                <w:szCs w:val="21"/>
              </w:rPr>
              <w:t>其它落实政府采购政策的资格要求</w:t>
            </w:r>
          </w:p>
        </w:tc>
        <w:tc>
          <w:tcPr>
            <w:tcW w:w="2839" w:type="pct"/>
            <w:vAlign w:val="center"/>
          </w:tcPr>
          <w:p w14:paraId="0F87D4E2">
            <w:pPr>
              <w:tabs>
                <w:tab w:val="left" w:pos="1080"/>
              </w:tabs>
              <w:snapToGrid w:val="0"/>
              <w:jc w:val="left"/>
              <w:rPr>
                <w:rFonts w:ascii="宋体" w:hAnsi="宋体"/>
                <w:szCs w:val="21"/>
              </w:rPr>
            </w:pPr>
            <w:r>
              <w:rPr>
                <w:rFonts w:ascii="宋体" w:hAnsi="宋体"/>
                <w:szCs w:val="21"/>
              </w:rPr>
              <w:t>如有，见第一章《采购邀请》</w:t>
            </w:r>
          </w:p>
        </w:tc>
        <w:tc>
          <w:tcPr>
            <w:tcW w:w="679" w:type="pct"/>
            <w:vAlign w:val="center"/>
          </w:tcPr>
          <w:p w14:paraId="68FEA40A">
            <w:pPr>
              <w:tabs>
                <w:tab w:val="left" w:pos="1080"/>
              </w:tabs>
              <w:snapToGrid w:val="0"/>
              <w:jc w:val="left"/>
              <w:rPr>
                <w:rFonts w:ascii="宋体" w:hAnsi="宋体"/>
                <w:szCs w:val="21"/>
              </w:rPr>
            </w:pPr>
            <w:bookmarkStart w:id="687" w:name="OLE_LINK82"/>
            <w:r>
              <w:rPr>
                <w:rFonts w:hint="eastAsia" w:ascii="宋体" w:hAnsi="宋体"/>
                <w:szCs w:val="21"/>
              </w:rPr>
              <w:t>提供证明文件的电子件或电子证照</w:t>
            </w:r>
            <w:bookmarkEnd w:id="687"/>
          </w:p>
        </w:tc>
      </w:tr>
      <w:tr w14:paraId="0962F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03" w:hRule="atLeast"/>
        </w:trPr>
        <w:tc>
          <w:tcPr>
            <w:tcW w:w="456" w:type="pct"/>
            <w:vAlign w:val="center"/>
          </w:tcPr>
          <w:p w14:paraId="5E1A8F45">
            <w:pPr>
              <w:tabs>
                <w:tab w:val="left" w:pos="1080"/>
              </w:tabs>
              <w:snapToGrid w:val="0"/>
              <w:jc w:val="center"/>
              <w:rPr>
                <w:rFonts w:ascii="宋体" w:hAnsi="宋体"/>
                <w:szCs w:val="21"/>
              </w:rPr>
            </w:pPr>
            <w:r>
              <w:rPr>
                <w:rFonts w:ascii="宋体" w:hAnsi="宋体"/>
                <w:szCs w:val="21"/>
              </w:rPr>
              <w:t>3</w:t>
            </w:r>
          </w:p>
        </w:tc>
        <w:tc>
          <w:tcPr>
            <w:tcW w:w="1026" w:type="pct"/>
            <w:vAlign w:val="center"/>
          </w:tcPr>
          <w:p w14:paraId="3BF73B0F">
            <w:pPr>
              <w:tabs>
                <w:tab w:val="left" w:pos="1080"/>
              </w:tabs>
              <w:snapToGrid w:val="0"/>
              <w:jc w:val="left"/>
              <w:rPr>
                <w:rFonts w:ascii="宋体" w:hAnsi="宋体"/>
                <w:szCs w:val="21"/>
              </w:rPr>
            </w:pPr>
            <w:r>
              <w:rPr>
                <w:rFonts w:ascii="宋体" w:hAnsi="宋体"/>
                <w:szCs w:val="21"/>
              </w:rPr>
              <w:t>本项目的特定资格要求</w:t>
            </w:r>
          </w:p>
        </w:tc>
        <w:tc>
          <w:tcPr>
            <w:tcW w:w="2839" w:type="pct"/>
            <w:vAlign w:val="center"/>
          </w:tcPr>
          <w:p w14:paraId="16A184FF">
            <w:pPr>
              <w:tabs>
                <w:tab w:val="left" w:pos="1080"/>
              </w:tabs>
              <w:snapToGrid w:val="0"/>
              <w:jc w:val="left"/>
              <w:rPr>
                <w:rFonts w:ascii="宋体" w:hAnsi="宋体"/>
                <w:szCs w:val="21"/>
              </w:rPr>
            </w:pPr>
            <w:r>
              <w:rPr>
                <w:rFonts w:ascii="宋体" w:hAnsi="宋体"/>
                <w:szCs w:val="21"/>
              </w:rPr>
              <w:t>如有，见第一章《采购邀请》</w:t>
            </w:r>
          </w:p>
        </w:tc>
        <w:tc>
          <w:tcPr>
            <w:tcW w:w="679" w:type="pct"/>
            <w:vAlign w:val="center"/>
          </w:tcPr>
          <w:p w14:paraId="4D77D63F">
            <w:pPr>
              <w:tabs>
                <w:tab w:val="left" w:pos="1080"/>
              </w:tabs>
              <w:snapToGrid w:val="0"/>
              <w:jc w:val="left"/>
              <w:rPr>
                <w:rFonts w:ascii="宋体" w:hAnsi="宋体"/>
                <w:szCs w:val="21"/>
              </w:rPr>
            </w:pPr>
          </w:p>
        </w:tc>
      </w:tr>
      <w:tr w14:paraId="059FD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03" w:hRule="atLeast"/>
        </w:trPr>
        <w:tc>
          <w:tcPr>
            <w:tcW w:w="456" w:type="pct"/>
            <w:vAlign w:val="center"/>
          </w:tcPr>
          <w:p w14:paraId="35AEEC20">
            <w:pPr>
              <w:tabs>
                <w:tab w:val="left" w:pos="1080"/>
              </w:tabs>
              <w:snapToGrid w:val="0"/>
              <w:jc w:val="center"/>
              <w:rPr>
                <w:rFonts w:ascii="宋体" w:hAnsi="宋体"/>
                <w:szCs w:val="21"/>
              </w:rPr>
            </w:pPr>
            <w:r>
              <w:rPr>
                <w:rFonts w:hint="eastAsia" w:ascii="宋体" w:hAnsi="宋体"/>
                <w:szCs w:val="21"/>
              </w:rPr>
              <w:t>3-1</w:t>
            </w:r>
          </w:p>
        </w:tc>
        <w:tc>
          <w:tcPr>
            <w:tcW w:w="1026" w:type="pct"/>
            <w:vAlign w:val="center"/>
          </w:tcPr>
          <w:p w14:paraId="12A554E1">
            <w:pPr>
              <w:tabs>
                <w:tab w:val="left" w:pos="1080"/>
              </w:tabs>
              <w:snapToGrid w:val="0"/>
              <w:jc w:val="left"/>
              <w:rPr>
                <w:rFonts w:ascii="宋体" w:hAnsi="宋体"/>
                <w:szCs w:val="21"/>
              </w:rPr>
            </w:pPr>
            <w:r>
              <w:rPr>
                <w:rFonts w:hint="eastAsia" w:ascii="宋体" w:hAnsi="宋体"/>
                <w:szCs w:val="21"/>
              </w:rPr>
              <w:t>本项目对于联合体的要求（本项目不适用）</w:t>
            </w:r>
          </w:p>
        </w:tc>
        <w:tc>
          <w:tcPr>
            <w:tcW w:w="2839" w:type="pct"/>
            <w:vAlign w:val="center"/>
          </w:tcPr>
          <w:p w14:paraId="6BB5F9A0">
            <w:pPr>
              <w:tabs>
                <w:tab w:val="left" w:pos="1080"/>
              </w:tabs>
              <w:snapToGrid w:val="0"/>
              <w:jc w:val="left"/>
              <w:rPr>
                <w:rFonts w:ascii="宋体" w:hAnsi="宋体"/>
                <w:szCs w:val="21"/>
              </w:rPr>
            </w:pPr>
            <w:bookmarkStart w:id="688" w:name="_Hlk223969695"/>
            <w:r>
              <w:rPr>
                <w:rFonts w:ascii="宋体" w:hAnsi="宋体"/>
                <w:szCs w:val="21"/>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3F3670AD">
            <w:pPr>
              <w:tabs>
                <w:tab w:val="left" w:pos="1080"/>
              </w:tabs>
              <w:snapToGrid w:val="0"/>
              <w:jc w:val="left"/>
              <w:rPr>
                <w:rFonts w:ascii="宋体" w:hAnsi="宋体"/>
                <w:szCs w:val="21"/>
              </w:rPr>
            </w:pPr>
            <w:r>
              <w:rPr>
                <w:rFonts w:ascii="宋体" w:hAnsi="宋体"/>
                <w:szCs w:val="21"/>
              </w:rPr>
              <w:t>2、联合体各成员单位均须提供本表中序号1-1、1-2的证明文件。联合体各成员单位均应满足本表3-2项规定。</w:t>
            </w:r>
          </w:p>
          <w:p w14:paraId="268D78F0">
            <w:pPr>
              <w:tabs>
                <w:tab w:val="left" w:pos="1080"/>
              </w:tabs>
              <w:snapToGrid w:val="0"/>
              <w:jc w:val="left"/>
              <w:rPr>
                <w:rFonts w:ascii="宋体" w:hAnsi="宋体"/>
                <w:szCs w:val="21"/>
              </w:rPr>
            </w:pPr>
            <w:r>
              <w:rPr>
                <w:rFonts w:ascii="宋体" w:hAnsi="宋体"/>
                <w:szCs w:val="21"/>
              </w:rPr>
              <w:t>3、本表序号3-3项规定的其他特定资格要求中的每一小项要求，联合体各方中至少应当有一方符合本表中其他资格要求并提供证明文件。</w:t>
            </w:r>
          </w:p>
          <w:p w14:paraId="1C654BBB">
            <w:pPr>
              <w:tabs>
                <w:tab w:val="left" w:pos="1080"/>
              </w:tabs>
              <w:snapToGrid w:val="0"/>
              <w:jc w:val="left"/>
              <w:rPr>
                <w:rFonts w:ascii="宋体" w:hAnsi="宋体"/>
                <w:szCs w:val="21"/>
              </w:rPr>
            </w:pPr>
            <w:r>
              <w:rPr>
                <w:rFonts w:ascii="宋体" w:hAnsi="宋体"/>
                <w:szCs w:val="21"/>
              </w:rPr>
              <w:t>4、联合体中有同类资质的供应商按照联合体分工承担相同工作的，应当按照资质等级较低的供应商确定资质等级。</w:t>
            </w:r>
          </w:p>
          <w:p w14:paraId="751715C7">
            <w:pPr>
              <w:tabs>
                <w:tab w:val="left" w:pos="1080"/>
              </w:tabs>
              <w:snapToGrid w:val="0"/>
              <w:jc w:val="left"/>
              <w:rPr>
                <w:rFonts w:ascii="宋体" w:hAnsi="宋体"/>
                <w:szCs w:val="21"/>
              </w:rPr>
            </w:pPr>
            <w:r>
              <w:rPr>
                <w:rFonts w:ascii="宋体" w:hAnsi="宋体"/>
                <w:szCs w:val="21"/>
              </w:rPr>
              <w:t>5、以联合体形式参加政府采购活动的，联合体各方不得再单独参加或者与其他供应商另外组成联合体参加同一合同项下的政府采购活动。</w:t>
            </w:r>
          </w:p>
          <w:p w14:paraId="11AB7320">
            <w:pPr>
              <w:tabs>
                <w:tab w:val="left" w:pos="1080"/>
              </w:tabs>
              <w:snapToGrid w:val="0"/>
              <w:jc w:val="left"/>
              <w:rPr>
                <w:rFonts w:ascii="宋体" w:hAnsi="宋体"/>
                <w:szCs w:val="21"/>
              </w:rPr>
            </w:pPr>
            <w:r>
              <w:rPr>
                <w:rFonts w:ascii="宋体" w:hAnsi="宋体"/>
                <w:szCs w:val="21"/>
              </w:rPr>
              <w:t>6、若联合体中任一成员单位中途退出，则该联合体的</w:t>
            </w:r>
            <w:r>
              <w:rPr>
                <w:rFonts w:ascii="宋体" w:hAnsi="宋体"/>
                <w:b/>
                <w:szCs w:val="21"/>
              </w:rPr>
              <w:t>响应无效</w:t>
            </w:r>
            <w:r>
              <w:rPr>
                <w:rFonts w:ascii="宋体" w:hAnsi="宋体"/>
                <w:szCs w:val="21"/>
              </w:rPr>
              <w:t>。</w:t>
            </w:r>
          </w:p>
          <w:p w14:paraId="796C419A">
            <w:pPr>
              <w:tabs>
                <w:tab w:val="left" w:pos="1080"/>
              </w:tabs>
              <w:snapToGrid w:val="0"/>
              <w:jc w:val="left"/>
              <w:rPr>
                <w:rFonts w:ascii="宋体" w:hAnsi="宋体"/>
                <w:szCs w:val="21"/>
              </w:rPr>
            </w:pPr>
            <w:r>
              <w:rPr>
                <w:rFonts w:ascii="宋体" w:hAnsi="宋体"/>
                <w:szCs w:val="21"/>
              </w:rPr>
              <w:t>7、本项目不接受联合体响应时，供应商不得为联合体。</w:t>
            </w:r>
            <w:bookmarkEnd w:id="688"/>
          </w:p>
        </w:tc>
        <w:tc>
          <w:tcPr>
            <w:tcW w:w="679" w:type="pct"/>
            <w:vAlign w:val="center"/>
          </w:tcPr>
          <w:p w14:paraId="491DACE0">
            <w:pPr>
              <w:tabs>
                <w:tab w:val="left" w:pos="1080"/>
              </w:tabs>
              <w:snapToGrid w:val="0"/>
              <w:spacing w:line="260" w:lineRule="exact"/>
              <w:rPr>
                <w:rFonts w:eastAsiaTheme="minorEastAsia"/>
                <w:szCs w:val="21"/>
              </w:rPr>
            </w:pPr>
            <w:bookmarkStart w:id="689" w:name="OLE_LINK113"/>
            <w:r>
              <w:rPr>
                <w:rFonts w:eastAsiaTheme="minorEastAsia"/>
                <w:szCs w:val="21"/>
              </w:rPr>
              <w:t>提供《联合协议》原件的电子件</w:t>
            </w:r>
          </w:p>
          <w:p w14:paraId="127DF800">
            <w:pPr>
              <w:tabs>
                <w:tab w:val="left" w:pos="1080"/>
              </w:tabs>
              <w:snapToGrid w:val="0"/>
              <w:jc w:val="left"/>
              <w:rPr>
                <w:rFonts w:ascii="宋体" w:hAnsi="宋体"/>
                <w:szCs w:val="21"/>
              </w:rPr>
            </w:pPr>
            <w:r>
              <w:rPr>
                <w:rFonts w:eastAsiaTheme="minorEastAsia"/>
                <w:szCs w:val="21"/>
              </w:rPr>
              <w:t>格式见《响应文件格式》</w:t>
            </w:r>
            <w:bookmarkEnd w:id="689"/>
          </w:p>
        </w:tc>
      </w:tr>
      <w:tr w14:paraId="6BB66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03" w:hRule="atLeast"/>
        </w:trPr>
        <w:tc>
          <w:tcPr>
            <w:tcW w:w="456" w:type="pct"/>
            <w:vAlign w:val="center"/>
          </w:tcPr>
          <w:p w14:paraId="61085990">
            <w:pPr>
              <w:tabs>
                <w:tab w:val="left" w:pos="1080"/>
              </w:tabs>
              <w:snapToGrid w:val="0"/>
              <w:jc w:val="center"/>
              <w:rPr>
                <w:rFonts w:ascii="宋体" w:hAnsi="宋体"/>
                <w:szCs w:val="21"/>
              </w:rPr>
            </w:pPr>
            <w:r>
              <w:rPr>
                <w:rFonts w:hint="eastAsia" w:ascii="宋体" w:hAnsi="宋体"/>
                <w:szCs w:val="21"/>
              </w:rPr>
              <w:t>3-2</w:t>
            </w:r>
          </w:p>
        </w:tc>
        <w:tc>
          <w:tcPr>
            <w:tcW w:w="1026" w:type="pct"/>
            <w:vAlign w:val="center"/>
          </w:tcPr>
          <w:p w14:paraId="1860E519">
            <w:pPr>
              <w:tabs>
                <w:tab w:val="left" w:pos="1080"/>
              </w:tabs>
              <w:snapToGrid w:val="0"/>
              <w:jc w:val="left"/>
              <w:rPr>
                <w:rFonts w:ascii="宋体" w:hAnsi="宋体"/>
                <w:szCs w:val="21"/>
              </w:rPr>
            </w:pPr>
            <w:r>
              <w:rPr>
                <w:rFonts w:hint="eastAsia" w:ascii="宋体" w:hAnsi="宋体"/>
                <w:szCs w:val="21"/>
              </w:rPr>
              <w:t>政府购买服务承接主体的要求（本项目不适用）</w:t>
            </w:r>
          </w:p>
        </w:tc>
        <w:tc>
          <w:tcPr>
            <w:tcW w:w="2839" w:type="pct"/>
            <w:vAlign w:val="center"/>
          </w:tcPr>
          <w:p w14:paraId="5841A641">
            <w:pPr>
              <w:tabs>
                <w:tab w:val="left" w:pos="1080"/>
              </w:tabs>
              <w:snapToGrid w:val="0"/>
              <w:jc w:val="left"/>
              <w:rPr>
                <w:rFonts w:ascii="宋体" w:hAnsi="宋体"/>
                <w:szCs w:val="21"/>
              </w:rPr>
            </w:pPr>
            <w:r>
              <w:rPr>
                <w:rFonts w:hint="eastAsia" w:ascii="宋体" w:hAnsi="宋体"/>
                <w:szCs w:val="21"/>
              </w:rPr>
              <w:t>如本项目属于政府购买服务，供应商不属于公益一类事业单位、使用事业编制且由财政拨款保障的群团组织。</w:t>
            </w:r>
          </w:p>
        </w:tc>
        <w:tc>
          <w:tcPr>
            <w:tcW w:w="679" w:type="pct"/>
            <w:vAlign w:val="center"/>
          </w:tcPr>
          <w:p w14:paraId="6993F1F7">
            <w:pPr>
              <w:tabs>
                <w:tab w:val="left" w:pos="1080"/>
              </w:tabs>
              <w:snapToGrid w:val="0"/>
              <w:jc w:val="left"/>
              <w:rPr>
                <w:rFonts w:ascii="宋体" w:hAnsi="宋体"/>
                <w:szCs w:val="21"/>
              </w:rPr>
            </w:pPr>
            <w:bookmarkStart w:id="690" w:name="_Hlk223969742"/>
            <w:r>
              <w:rPr>
                <w:szCs w:val="21"/>
              </w:rPr>
              <w:t>格式见《响应文件格式》</w:t>
            </w:r>
            <w:r>
              <w:rPr>
                <w:rFonts w:hint="eastAsia"/>
                <w:szCs w:val="21"/>
              </w:rPr>
              <w:t>“</w:t>
            </w:r>
            <w:r>
              <w:rPr>
                <w:szCs w:val="21"/>
              </w:rPr>
              <w:t xml:space="preserve">1-2 </w:t>
            </w:r>
            <w:r>
              <w:rPr>
                <w:rFonts w:hint="eastAsia"/>
                <w:szCs w:val="21"/>
              </w:rPr>
              <w:t>供应商资格声明书”</w:t>
            </w:r>
            <w:bookmarkEnd w:id="690"/>
          </w:p>
        </w:tc>
      </w:tr>
      <w:tr w14:paraId="6C1D7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03" w:hRule="atLeast"/>
        </w:trPr>
        <w:tc>
          <w:tcPr>
            <w:tcW w:w="456" w:type="pct"/>
            <w:vAlign w:val="center"/>
          </w:tcPr>
          <w:p w14:paraId="50D56CB1">
            <w:pPr>
              <w:tabs>
                <w:tab w:val="left" w:pos="1080"/>
              </w:tabs>
              <w:snapToGrid w:val="0"/>
              <w:jc w:val="center"/>
              <w:rPr>
                <w:rFonts w:ascii="宋体" w:hAnsi="宋体"/>
                <w:szCs w:val="21"/>
              </w:rPr>
            </w:pPr>
            <w:r>
              <w:rPr>
                <w:rFonts w:eastAsiaTheme="minorEastAsia"/>
                <w:szCs w:val="21"/>
              </w:rPr>
              <w:t>3-3</w:t>
            </w:r>
          </w:p>
        </w:tc>
        <w:tc>
          <w:tcPr>
            <w:tcW w:w="1026" w:type="pct"/>
            <w:vAlign w:val="center"/>
          </w:tcPr>
          <w:p w14:paraId="26B7A8BB">
            <w:pPr>
              <w:tabs>
                <w:tab w:val="left" w:pos="1080"/>
              </w:tabs>
              <w:snapToGrid w:val="0"/>
              <w:jc w:val="left"/>
              <w:rPr>
                <w:rFonts w:ascii="宋体" w:hAnsi="宋体"/>
                <w:szCs w:val="21"/>
              </w:rPr>
            </w:pPr>
            <w:r>
              <w:rPr>
                <w:rFonts w:eastAsiaTheme="minorEastAsia"/>
                <w:szCs w:val="21"/>
              </w:rPr>
              <w:t>其他特定资格要求</w:t>
            </w:r>
          </w:p>
        </w:tc>
        <w:tc>
          <w:tcPr>
            <w:tcW w:w="2839" w:type="pct"/>
            <w:vAlign w:val="center"/>
          </w:tcPr>
          <w:p w14:paraId="6ED0CD05">
            <w:pPr>
              <w:tabs>
                <w:tab w:val="left" w:pos="1080"/>
              </w:tabs>
              <w:snapToGrid w:val="0"/>
              <w:rPr>
                <w:rFonts w:eastAsiaTheme="minorEastAsia"/>
                <w:szCs w:val="21"/>
              </w:rPr>
            </w:pPr>
            <w:r>
              <w:rPr>
                <w:rFonts w:eastAsiaTheme="minorEastAsia"/>
                <w:szCs w:val="21"/>
              </w:rPr>
              <w:t>如有，见第一章《采购邀请》</w:t>
            </w:r>
          </w:p>
          <w:p w14:paraId="5B5636C5">
            <w:pPr>
              <w:tabs>
                <w:tab w:val="left" w:pos="1080"/>
              </w:tabs>
              <w:snapToGrid w:val="0"/>
              <w:jc w:val="left"/>
              <w:rPr>
                <w:rFonts w:ascii="宋体" w:hAnsi="宋体"/>
                <w:szCs w:val="21"/>
              </w:rPr>
            </w:pPr>
            <w:r>
              <w:rPr>
                <w:rFonts w:hint="eastAsia"/>
                <w:szCs w:val="21"/>
              </w:rPr>
              <w:t>注：如</w:t>
            </w:r>
            <w:r>
              <w:rPr>
                <w:szCs w:val="21"/>
              </w:rPr>
              <w:t>联合体中有同类资质的供应商按照联合体分工承担相同工作的，</w:t>
            </w:r>
            <w:r>
              <w:rPr>
                <w:rFonts w:hint="eastAsia"/>
                <w:szCs w:val="21"/>
              </w:rPr>
              <w:t>均</w:t>
            </w:r>
            <w:r>
              <w:rPr>
                <w:szCs w:val="21"/>
              </w:rPr>
              <w:t>应当</w:t>
            </w:r>
            <w:r>
              <w:rPr>
                <w:rFonts w:hint="eastAsia"/>
                <w:szCs w:val="21"/>
              </w:rPr>
              <w:t>提供资质证书电子件或电子证照。</w:t>
            </w:r>
          </w:p>
        </w:tc>
        <w:tc>
          <w:tcPr>
            <w:tcW w:w="679" w:type="pct"/>
            <w:vAlign w:val="center"/>
          </w:tcPr>
          <w:p w14:paraId="15800A72">
            <w:pPr>
              <w:tabs>
                <w:tab w:val="left" w:pos="1080"/>
              </w:tabs>
              <w:snapToGrid w:val="0"/>
              <w:jc w:val="left"/>
              <w:rPr>
                <w:szCs w:val="21"/>
              </w:rPr>
            </w:pPr>
            <w:r>
              <w:rPr>
                <w:rFonts w:eastAsiaTheme="minorEastAsia"/>
                <w:szCs w:val="21"/>
              </w:rPr>
              <w:t>提供证明文件的电子件或电子证照</w:t>
            </w:r>
          </w:p>
        </w:tc>
      </w:tr>
      <w:tr w14:paraId="75A63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32" w:hRule="atLeast"/>
        </w:trPr>
        <w:tc>
          <w:tcPr>
            <w:tcW w:w="456" w:type="pct"/>
            <w:vAlign w:val="center"/>
          </w:tcPr>
          <w:p w14:paraId="41DC4481">
            <w:pPr>
              <w:tabs>
                <w:tab w:val="left" w:pos="1080"/>
              </w:tabs>
              <w:snapToGrid w:val="0"/>
              <w:jc w:val="center"/>
              <w:rPr>
                <w:rFonts w:ascii="宋体" w:hAnsi="宋体"/>
                <w:szCs w:val="21"/>
              </w:rPr>
            </w:pPr>
            <w:r>
              <w:rPr>
                <w:rFonts w:hint="eastAsia" w:ascii="宋体" w:hAnsi="宋体"/>
                <w:szCs w:val="21"/>
              </w:rPr>
              <w:t>4</w:t>
            </w:r>
          </w:p>
        </w:tc>
        <w:tc>
          <w:tcPr>
            <w:tcW w:w="1026" w:type="pct"/>
            <w:vAlign w:val="center"/>
          </w:tcPr>
          <w:p w14:paraId="3A3CF1FD">
            <w:pPr>
              <w:tabs>
                <w:tab w:val="left" w:pos="1080"/>
              </w:tabs>
              <w:snapToGrid w:val="0"/>
              <w:rPr>
                <w:rFonts w:ascii="宋体" w:hAnsi="宋体"/>
                <w:szCs w:val="21"/>
              </w:rPr>
            </w:pPr>
            <w:r>
              <w:rPr>
                <w:rFonts w:hint="eastAsia" w:ascii="宋体" w:hAnsi="宋体"/>
                <w:szCs w:val="21"/>
              </w:rPr>
              <w:t>磋商保证金</w:t>
            </w:r>
          </w:p>
        </w:tc>
        <w:tc>
          <w:tcPr>
            <w:tcW w:w="2839" w:type="pct"/>
            <w:vAlign w:val="center"/>
          </w:tcPr>
          <w:p w14:paraId="4F1C4AAE">
            <w:pPr>
              <w:tabs>
                <w:tab w:val="left" w:pos="1080"/>
              </w:tabs>
              <w:snapToGrid w:val="0"/>
              <w:rPr>
                <w:rFonts w:ascii="宋体" w:hAnsi="宋体"/>
                <w:szCs w:val="21"/>
              </w:rPr>
            </w:pPr>
            <w:r>
              <w:rPr>
                <w:rFonts w:hint="eastAsia" w:ascii="宋体" w:hAnsi="宋体"/>
                <w:szCs w:val="21"/>
              </w:rPr>
              <w:t>按照竞争性磋商文件的要求提交磋商保证金。</w:t>
            </w:r>
          </w:p>
        </w:tc>
        <w:tc>
          <w:tcPr>
            <w:tcW w:w="679" w:type="pct"/>
            <w:vAlign w:val="center"/>
          </w:tcPr>
          <w:p w14:paraId="0B69D1E7">
            <w:pPr>
              <w:tabs>
                <w:tab w:val="left" w:pos="1080"/>
              </w:tabs>
              <w:snapToGrid w:val="0"/>
              <w:rPr>
                <w:rFonts w:ascii="宋体" w:hAnsi="宋体"/>
                <w:szCs w:val="21"/>
              </w:rPr>
            </w:pPr>
          </w:p>
        </w:tc>
      </w:tr>
      <w:tr w14:paraId="13848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1" w:hRule="atLeast"/>
        </w:trPr>
        <w:tc>
          <w:tcPr>
            <w:tcW w:w="456" w:type="pct"/>
            <w:vAlign w:val="center"/>
          </w:tcPr>
          <w:p w14:paraId="03EB6EEE">
            <w:pPr>
              <w:tabs>
                <w:tab w:val="left" w:pos="1080"/>
              </w:tabs>
              <w:snapToGrid w:val="0"/>
              <w:jc w:val="center"/>
              <w:rPr>
                <w:rFonts w:ascii="宋体" w:hAnsi="宋体"/>
                <w:szCs w:val="21"/>
              </w:rPr>
            </w:pPr>
            <w:r>
              <w:rPr>
                <w:rFonts w:hint="eastAsia" w:ascii="宋体" w:hAnsi="宋体"/>
                <w:szCs w:val="21"/>
              </w:rPr>
              <w:t>5</w:t>
            </w:r>
          </w:p>
        </w:tc>
        <w:tc>
          <w:tcPr>
            <w:tcW w:w="1026" w:type="pct"/>
            <w:vAlign w:val="center"/>
          </w:tcPr>
          <w:p w14:paraId="7A0B56A2">
            <w:pPr>
              <w:tabs>
                <w:tab w:val="left" w:pos="1080"/>
              </w:tabs>
              <w:snapToGrid w:val="0"/>
              <w:rPr>
                <w:rFonts w:ascii="宋体" w:hAnsi="宋体"/>
                <w:szCs w:val="21"/>
              </w:rPr>
            </w:pPr>
            <w:r>
              <w:rPr>
                <w:rFonts w:hint="eastAsia" w:ascii="宋体" w:hAnsi="宋体"/>
                <w:szCs w:val="21"/>
              </w:rPr>
              <w:t>获取磋商文件</w:t>
            </w:r>
          </w:p>
        </w:tc>
        <w:tc>
          <w:tcPr>
            <w:tcW w:w="2839" w:type="pct"/>
            <w:vAlign w:val="center"/>
          </w:tcPr>
          <w:p w14:paraId="20076B35">
            <w:pPr>
              <w:tabs>
                <w:tab w:val="left" w:pos="1080"/>
              </w:tabs>
              <w:snapToGrid w:val="0"/>
              <w:rPr>
                <w:rFonts w:ascii="宋体" w:hAnsi="宋体"/>
                <w:szCs w:val="21"/>
              </w:rPr>
            </w:pPr>
            <w:r>
              <w:rPr>
                <w:rFonts w:hint="eastAsia" w:ascii="宋体" w:hAnsi="宋体"/>
                <w:szCs w:val="21"/>
              </w:rPr>
              <w:t>在规定期限内通过北京市政府采购电子交易平台获取所参与包的磋商文件。</w:t>
            </w:r>
          </w:p>
          <w:p w14:paraId="57A88886">
            <w:pPr>
              <w:tabs>
                <w:tab w:val="left" w:pos="1080"/>
              </w:tabs>
              <w:snapToGrid w:val="0"/>
              <w:rPr>
                <w:rFonts w:ascii="宋体" w:hAnsi="宋体"/>
                <w:szCs w:val="21"/>
              </w:rPr>
            </w:pPr>
            <w:r>
              <w:rPr>
                <w:rFonts w:hint="eastAsia"/>
                <w:kern w:val="0"/>
                <w:szCs w:val="21"/>
              </w:rPr>
              <w:t>注：如本项目接受联合体，且供应商为联合体时，联合体中任一成员获取文件即视为满足要求。</w:t>
            </w:r>
          </w:p>
        </w:tc>
        <w:tc>
          <w:tcPr>
            <w:tcW w:w="679" w:type="pct"/>
            <w:vAlign w:val="center"/>
          </w:tcPr>
          <w:p w14:paraId="778A6653">
            <w:pPr>
              <w:tabs>
                <w:tab w:val="left" w:pos="1080"/>
              </w:tabs>
              <w:snapToGrid w:val="0"/>
              <w:rPr>
                <w:rFonts w:ascii="宋体" w:hAnsi="宋体"/>
                <w:szCs w:val="21"/>
              </w:rPr>
            </w:pPr>
          </w:p>
        </w:tc>
      </w:tr>
    </w:tbl>
    <w:p w14:paraId="5D96F34E">
      <w:pPr>
        <w:pStyle w:val="84"/>
        <w:widowControl/>
        <w:numPr>
          <w:ilvl w:val="0"/>
          <w:numId w:val="11"/>
        </w:numPr>
        <w:ind w:firstLineChars="0"/>
        <w:jc w:val="left"/>
        <w:rPr>
          <w:rFonts w:ascii="宋体" w:hAnsi="宋体"/>
          <w:sz w:val="24"/>
        </w:rPr>
      </w:pPr>
      <w:r>
        <w:rPr>
          <w:rFonts w:ascii="宋体" w:hAnsi="宋体"/>
          <w:sz w:val="24"/>
        </w:rPr>
        <w:br w:type="page"/>
      </w:r>
    </w:p>
    <w:p w14:paraId="0300CEDB">
      <w:pPr>
        <w:tabs>
          <w:tab w:val="left" w:pos="1080"/>
          <w:tab w:val="left" w:pos="1589"/>
        </w:tabs>
        <w:snapToGrid w:val="0"/>
        <w:spacing w:line="360" w:lineRule="auto"/>
        <w:rPr>
          <w:rFonts w:ascii="宋体" w:hAnsi="宋体"/>
          <w:b/>
          <w:sz w:val="24"/>
        </w:rPr>
      </w:pPr>
      <w:r>
        <w:rPr>
          <w:rFonts w:hint="eastAsia" w:ascii="宋体" w:hAnsi="宋体"/>
          <w:b/>
          <w:sz w:val="24"/>
        </w:rPr>
        <w:t>2.</w:t>
      </w:r>
      <w:r>
        <w:rPr>
          <w:rFonts w:ascii="宋体" w:hAnsi="宋体"/>
          <w:b/>
          <w:sz w:val="24"/>
        </w:rPr>
        <w:t>《符合性审查要求》</w:t>
      </w:r>
    </w:p>
    <w:p w14:paraId="510C6107">
      <w:pPr>
        <w:widowControl/>
        <w:spacing w:line="360" w:lineRule="auto"/>
        <w:jc w:val="center"/>
        <w:rPr>
          <w:rFonts w:ascii="宋体" w:hAnsi="宋体"/>
          <w:b/>
          <w:kern w:val="0"/>
          <w:sz w:val="24"/>
        </w:rPr>
      </w:pPr>
      <w:r>
        <w:rPr>
          <w:rFonts w:hint="eastAsia" w:ascii="宋体" w:hAnsi="宋体"/>
          <w:b/>
          <w:kern w:val="0"/>
          <w:sz w:val="24"/>
        </w:rPr>
        <w:t>符合性审查要求</w:t>
      </w:r>
    </w:p>
    <w:tbl>
      <w:tblPr>
        <w:tblStyle w:val="49"/>
        <w:tblW w:w="10215" w:type="dxa"/>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1"/>
        <w:gridCol w:w="2877"/>
        <w:gridCol w:w="4916"/>
        <w:gridCol w:w="1701"/>
      </w:tblGrid>
      <w:tr w14:paraId="363DE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1" w:hRule="atLeast"/>
        </w:trPr>
        <w:tc>
          <w:tcPr>
            <w:tcW w:w="721" w:type="dxa"/>
            <w:vAlign w:val="center"/>
          </w:tcPr>
          <w:p w14:paraId="62F32F99">
            <w:pPr>
              <w:ind w:firstLine="28"/>
              <w:jc w:val="center"/>
              <w:rPr>
                <w:rFonts w:ascii="宋体" w:hAnsi="宋体"/>
                <w:szCs w:val="21"/>
              </w:rPr>
            </w:pPr>
            <w:r>
              <w:rPr>
                <w:rFonts w:hint="eastAsia" w:ascii="宋体" w:hAnsi="宋体"/>
                <w:szCs w:val="21"/>
              </w:rPr>
              <w:t>序号</w:t>
            </w:r>
          </w:p>
        </w:tc>
        <w:tc>
          <w:tcPr>
            <w:tcW w:w="2877" w:type="dxa"/>
            <w:vAlign w:val="center"/>
          </w:tcPr>
          <w:p w14:paraId="2675DA33">
            <w:pPr>
              <w:ind w:firstLine="28"/>
              <w:jc w:val="center"/>
              <w:rPr>
                <w:rFonts w:ascii="宋体" w:hAnsi="宋体"/>
                <w:szCs w:val="21"/>
              </w:rPr>
            </w:pPr>
            <w:r>
              <w:rPr>
                <w:rFonts w:hint="eastAsia" w:ascii="宋体" w:hAnsi="宋体"/>
                <w:szCs w:val="21"/>
              </w:rPr>
              <w:t>检查因素</w:t>
            </w:r>
          </w:p>
        </w:tc>
        <w:tc>
          <w:tcPr>
            <w:tcW w:w="4916" w:type="dxa"/>
            <w:vAlign w:val="center"/>
          </w:tcPr>
          <w:p w14:paraId="1240934C">
            <w:pPr>
              <w:ind w:firstLine="28"/>
              <w:jc w:val="center"/>
              <w:rPr>
                <w:rFonts w:ascii="宋体" w:hAnsi="宋体"/>
                <w:szCs w:val="21"/>
              </w:rPr>
            </w:pPr>
            <w:r>
              <w:rPr>
                <w:rFonts w:hint="eastAsia" w:ascii="宋体" w:hAnsi="宋体"/>
                <w:szCs w:val="21"/>
              </w:rPr>
              <w:t>检查内容</w:t>
            </w:r>
          </w:p>
        </w:tc>
        <w:tc>
          <w:tcPr>
            <w:tcW w:w="1701" w:type="dxa"/>
            <w:vAlign w:val="center"/>
          </w:tcPr>
          <w:p w14:paraId="525F89FF">
            <w:pPr>
              <w:ind w:firstLine="28"/>
              <w:jc w:val="center"/>
              <w:rPr>
                <w:rFonts w:ascii="宋体" w:hAnsi="宋体"/>
                <w:szCs w:val="21"/>
              </w:rPr>
            </w:pPr>
            <w:r>
              <w:rPr>
                <w:rFonts w:hint="eastAsia" w:ascii="宋体" w:hAnsi="宋体"/>
                <w:szCs w:val="21"/>
              </w:rPr>
              <w:t>是否允许澄清、说明或者更正</w:t>
            </w:r>
          </w:p>
        </w:tc>
      </w:tr>
      <w:tr w14:paraId="4AA2C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721" w:type="dxa"/>
            <w:vAlign w:val="center"/>
          </w:tcPr>
          <w:p w14:paraId="010A8EC4">
            <w:pPr>
              <w:ind w:firstLine="28"/>
              <w:jc w:val="center"/>
              <w:rPr>
                <w:rFonts w:ascii="宋体" w:hAnsi="宋体"/>
                <w:szCs w:val="21"/>
              </w:rPr>
            </w:pPr>
            <w:r>
              <w:rPr>
                <w:rFonts w:hint="eastAsia" w:ascii="宋体" w:hAnsi="宋体"/>
                <w:szCs w:val="21"/>
              </w:rPr>
              <w:t>1</w:t>
            </w:r>
          </w:p>
        </w:tc>
        <w:tc>
          <w:tcPr>
            <w:tcW w:w="2877" w:type="dxa"/>
            <w:vAlign w:val="center"/>
          </w:tcPr>
          <w:p w14:paraId="0D13B246">
            <w:pPr>
              <w:ind w:firstLine="28"/>
              <w:jc w:val="center"/>
              <w:rPr>
                <w:rFonts w:ascii="宋体" w:hAnsi="宋体"/>
                <w:szCs w:val="21"/>
              </w:rPr>
            </w:pPr>
            <w:r>
              <w:rPr>
                <w:rFonts w:ascii="宋体" w:hAnsi="宋体"/>
                <w:szCs w:val="21"/>
              </w:rPr>
              <w:t>授权委托书</w:t>
            </w:r>
          </w:p>
        </w:tc>
        <w:tc>
          <w:tcPr>
            <w:tcW w:w="4916" w:type="dxa"/>
            <w:vAlign w:val="center"/>
          </w:tcPr>
          <w:p w14:paraId="47AADC55">
            <w:pPr>
              <w:ind w:firstLine="28"/>
              <w:jc w:val="left"/>
              <w:rPr>
                <w:rFonts w:ascii="宋体" w:hAnsi="宋体"/>
                <w:szCs w:val="21"/>
              </w:rPr>
            </w:pPr>
            <w:r>
              <w:rPr>
                <w:rFonts w:ascii="宋体" w:hAnsi="宋体"/>
                <w:szCs w:val="21"/>
              </w:rPr>
              <w:t>按</w:t>
            </w:r>
            <w:r>
              <w:rPr>
                <w:rFonts w:hint="eastAsia" w:ascii="宋体" w:hAnsi="宋体"/>
                <w:szCs w:val="21"/>
              </w:rPr>
              <w:t>磋商</w:t>
            </w:r>
            <w:r>
              <w:rPr>
                <w:rFonts w:ascii="宋体" w:hAnsi="宋体"/>
                <w:szCs w:val="21"/>
              </w:rPr>
              <w:t>文件要求提供授权委托书；</w:t>
            </w:r>
          </w:p>
        </w:tc>
        <w:tc>
          <w:tcPr>
            <w:tcW w:w="1701" w:type="dxa"/>
            <w:vAlign w:val="center"/>
          </w:tcPr>
          <w:p w14:paraId="00D37100">
            <w:pPr>
              <w:ind w:firstLine="28"/>
              <w:jc w:val="center"/>
              <w:rPr>
                <w:rFonts w:ascii="宋体" w:hAnsi="宋体"/>
                <w:szCs w:val="21"/>
              </w:rPr>
            </w:pPr>
            <w:r>
              <w:rPr>
                <w:rFonts w:hint="eastAsia" w:ascii="宋体" w:hAnsi="宋体"/>
                <w:szCs w:val="21"/>
              </w:rPr>
              <w:t>否</w:t>
            </w:r>
          </w:p>
        </w:tc>
      </w:tr>
      <w:tr w14:paraId="0C6BD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721" w:type="dxa"/>
            <w:vAlign w:val="center"/>
          </w:tcPr>
          <w:p w14:paraId="62A4A423">
            <w:pPr>
              <w:ind w:firstLine="28"/>
              <w:jc w:val="center"/>
              <w:rPr>
                <w:rFonts w:ascii="宋体" w:hAnsi="宋体"/>
                <w:szCs w:val="21"/>
              </w:rPr>
            </w:pPr>
            <w:r>
              <w:rPr>
                <w:rFonts w:hint="eastAsia" w:ascii="宋体" w:hAnsi="宋体"/>
                <w:szCs w:val="21"/>
              </w:rPr>
              <w:t>2</w:t>
            </w:r>
          </w:p>
        </w:tc>
        <w:tc>
          <w:tcPr>
            <w:tcW w:w="2877" w:type="dxa"/>
            <w:vAlign w:val="center"/>
          </w:tcPr>
          <w:p w14:paraId="6139B1A6">
            <w:pPr>
              <w:ind w:firstLine="28"/>
              <w:jc w:val="center"/>
              <w:rPr>
                <w:rFonts w:ascii="宋体" w:hAnsi="宋体"/>
                <w:szCs w:val="21"/>
              </w:rPr>
            </w:pPr>
            <w:r>
              <w:rPr>
                <w:rFonts w:hint="eastAsia" w:ascii="宋体" w:hAnsi="宋体"/>
                <w:szCs w:val="21"/>
              </w:rPr>
              <w:t>响应</w:t>
            </w:r>
            <w:r>
              <w:rPr>
                <w:rFonts w:ascii="宋体" w:hAnsi="宋体"/>
                <w:szCs w:val="21"/>
              </w:rPr>
              <w:t>完整性</w:t>
            </w:r>
          </w:p>
        </w:tc>
        <w:tc>
          <w:tcPr>
            <w:tcW w:w="4916" w:type="dxa"/>
            <w:vAlign w:val="center"/>
          </w:tcPr>
          <w:p w14:paraId="7D610C76">
            <w:pPr>
              <w:ind w:firstLine="28"/>
              <w:jc w:val="left"/>
              <w:rPr>
                <w:rFonts w:ascii="宋体" w:hAnsi="宋体"/>
                <w:szCs w:val="21"/>
              </w:rPr>
            </w:pPr>
            <w:r>
              <w:rPr>
                <w:rFonts w:hint="eastAsia" w:ascii="宋体" w:hAnsi="宋体"/>
                <w:szCs w:val="21"/>
              </w:rPr>
              <w:t>未</w:t>
            </w:r>
            <w:r>
              <w:rPr>
                <w:rFonts w:ascii="宋体" w:hAnsi="宋体"/>
                <w:szCs w:val="21"/>
              </w:rPr>
              <w:t>将一个采购包中的内容拆开</w:t>
            </w:r>
            <w:r>
              <w:rPr>
                <w:rFonts w:hint="eastAsia" w:ascii="宋体" w:hAnsi="宋体"/>
                <w:szCs w:val="21"/>
              </w:rPr>
              <w:t>响应</w:t>
            </w:r>
            <w:r>
              <w:rPr>
                <w:rFonts w:ascii="宋体" w:hAnsi="宋体"/>
                <w:szCs w:val="21"/>
              </w:rPr>
              <w:t>；</w:t>
            </w:r>
          </w:p>
        </w:tc>
        <w:tc>
          <w:tcPr>
            <w:tcW w:w="1701" w:type="dxa"/>
            <w:vAlign w:val="center"/>
          </w:tcPr>
          <w:p w14:paraId="0F27FEEF">
            <w:pPr>
              <w:ind w:firstLine="28"/>
              <w:jc w:val="center"/>
              <w:rPr>
                <w:rFonts w:ascii="宋体" w:hAnsi="宋体"/>
                <w:szCs w:val="21"/>
              </w:rPr>
            </w:pPr>
            <w:r>
              <w:rPr>
                <w:rFonts w:hint="eastAsia" w:ascii="宋体" w:hAnsi="宋体"/>
                <w:szCs w:val="21"/>
              </w:rPr>
              <w:t>否</w:t>
            </w:r>
          </w:p>
        </w:tc>
      </w:tr>
      <w:tr w14:paraId="2D596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7" w:hRule="atLeast"/>
        </w:trPr>
        <w:tc>
          <w:tcPr>
            <w:tcW w:w="721" w:type="dxa"/>
            <w:vAlign w:val="center"/>
          </w:tcPr>
          <w:p w14:paraId="20536598">
            <w:pPr>
              <w:ind w:firstLine="28"/>
              <w:jc w:val="center"/>
              <w:rPr>
                <w:rFonts w:ascii="宋体" w:hAnsi="宋体"/>
                <w:szCs w:val="21"/>
              </w:rPr>
            </w:pPr>
            <w:r>
              <w:rPr>
                <w:rFonts w:hint="eastAsia" w:ascii="宋体" w:hAnsi="宋体"/>
                <w:szCs w:val="21"/>
              </w:rPr>
              <w:t>3</w:t>
            </w:r>
          </w:p>
        </w:tc>
        <w:tc>
          <w:tcPr>
            <w:tcW w:w="2877" w:type="dxa"/>
            <w:vAlign w:val="center"/>
          </w:tcPr>
          <w:p w14:paraId="3A6D2BFF">
            <w:pPr>
              <w:ind w:firstLine="28"/>
              <w:jc w:val="center"/>
              <w:rPr>
                <w:rFonts w:ascii="宋体" w:hAnsi="宋体"/>
                <w:szCs w:val="21"/>
              </w:rPr>
            </w:pPr>
            <w:r>
              <w:rPr>
                <w:rFonts w:ascii="宋体" w:hAnsi="宋体"/>
                <w:szCs w:val="21"/>
              </w:rPr>
              <w:t>报价</w:t>
            </w:r>
          </w:p>
        </w:tc>
        <w:tc>
          <w:tcPr>
            <w:tcW w:w="4916" w:type="dxa"/>
            <w:vAlign w:val="center"/>
          </w:tcPr>
          <w:p w14:paraId="093D9CD3">
            <w:pPr>
              <w:ind w:firstLine="28"/>
              <w:jc w:val="left"/>
              <w:rPr>
                <w:rFonts w:ascii="宋体" w:hAnsi="宋体"/>
                <w:szCs w:val="21"/>
              </w:rPr>
            </w:pPr>
            <w:r>
              <w:rPr>
                <w:rFonts w:ascii="宋体" w:hAnsi="宋体"/>
                <w:szCs w:val="21"/>
              </w:rPr>
              <w:t>报价</w:t>
            </w:r>
            <w:r>
              <w:rPr>
                <w:rFonts w:hint="eastAsia" w:ascii="宋体" w:hAnsi="宋体"/>
                <w:szCs w:val="21"/>
              </w:rPr>
              <w:t>未</w:t>
            </w:r>
            <w:r>
              <w:rPr>
                <w:rFonts w:ascii="宋体" w:hAnsi="宋体"/>
                <w:szCs w:val="21"/>
              </w:rPr>
              <w:t>超过</w:t>
            </w:r>
            <w:r>
              <w:rPr>
                <w:rFonts w:hint="eastAsia" w:ascii="宋体" w:hAnsi="宋体"/>
                <w:szCs w:val="21"/>
              </w:rPr>
              <w:t>磋商</w:t>
            </w:r>
            <w:r>
              <w:rPr>
                <w:rFonts w:ascii="宋体" w:hAnsi="宋体"/>
                <w:szCs w:val="21"/>
              </w:rPr>
              <w:t>文件中规定的项目/采购包预算金额或者项目/采购包最高限价</w:t>
            </w:r>
            <w:r>
              <w:rPr>
                <w:rFonts w:hint="eastAsia" w:ascii="宋体" w:hAnsi="宋体"/>
                <w:szCs w:val="21"/>
              </w:rPr>
              <w:t>，且未</w:t>
            </w:r>
            <w:r>
              <w:rPr>
                <w:rFonts w:ascii="宋体" w:hAnsi="宋体"/>
                <w:szCs w:val="21"/>
              </w:rPr>
              <w:t>超过</w:t>
            </w:r>
            <w:r>
              <w:rPr>
                <w:rFonts w:hint="eastAsia" w:ascii="宋体" w:hAnsi="宋体"/>
                <w:szCs w:val="21"/>
              </w:rPr>
              <w:t>各学校最高限价</w:t>
            </w:r>
            <w:r>
              <w:rPr>
                <w:rFonts w:ascii="宋体" w:hAnsi="宋体"/>
                <w:szCs w:val="21"/>
              </w:rPr>
              <w:t>；</w:t>
            </w:r>
          </w:p>
        </w:tc>
        <w:tc>
          <w:tcPr>
            <w:tcW w:w="1701" w:type="dxa"/>
            <w:vAlign w:val="center"/>
          </w:tcPr>
          <w:p w14:paraId="1BB5ED32">
            <w:pPr>
              <w:ind w:firstLine="28"/>
              <w:jc w:val="center"/>
              <w:rPr>
                <w:rFonts w:ascii="宋体" w:hAnsi="宋体"/>
                <w:szCs w:val="21"/>
              </w:rPr>
            </w:pPr>
            <w:r>
              <w:rPr>
                <w:rFonts w:hint="eastAsia" w:ascii="宋体" w:hAnsi="宋体"/>
                <w:szCs w:val="21"/>
              </w:rPr>
              <w:t>否</w:t>
            </w:r>
          </w:p>
        </w:tc>
      </w:tr>
      <w:tr w14:paraId="69E70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1" w:hRule="atLeast"/>
        </w:trPr>
        <w:tc>
          <w:tcPr>
            <w:tcW w:w="721" w:type="dxa"/>
            <w:vAlign w:val="center"/>
          </w:tcPr>
          <w:p w14:paraId="59CCF67E">
            <w:pPr>
              <w:ind w:firstLine="28"/>
              <w:jc w:val="center"/>
              <w:rPr>
                <w:rFonts w:ascii="宋体" w:hAnsi="宋体"/>
                <w:szCs w:val="21"/>
              </w:rPr>
            </w:pPr>
            <w:r>
              <w:rPr>
                <w:rFonts w:hint="eastAsia" w:ascii="宋体" w:hAnsi="宋体"/>
                <w:szCs w:val="21"/>
              </w:rPr>
              <w:t>4</w:t>
            </w:r>
          </w:p>
        </w:tc>
        <w:tc>
          <w:tcPr>
            <w:tcW w:w="2877" w:type="dxa"/>
            <w:vAlign w:val="center"/>
          </w:tcPr>
          <w:p w14:paraId="27192C6C">
            <w:pPr>
              <w:ind w:firstLine="28"/>
              <w:jc w:val="center"/>
              <w:rPr>
                <w:rFonts w:ascii="宋体" w:hAnsi="宋体"/>
                <w:szCs w:val="21"/>
              </w:rPr>
            </w:pPr>
            <w:r>
              <w:rPr>
                <w:rFonts w:hint="eastAsia" w:ascii="宋体" w:hAnsi="宋体"/>
                <w:szCs w:val="21"/>
              </w:rPr>
              <w:t>工程质量标准、施工现场安全生产标准化管理目标等级</w:t>
            </w:r>
          </w:p>
        </w:tc>
        <w:tc>
          <w:tcPr>
            <w:tcW w:w="4916" w:type="dxa"/>
            <w:vAlign w:val="center"/>
          </w:tcPr>
          <w:p w14:paraId="0BC9ED40">
            <w:pPr>
              <w:ind w:firstLine="28"/>
              <w:jc w:val="left"/>
              <w:rPr>
                <w:rFonts w:ascii="宋体" w:hAnsi="宋体"/>
                <w:szCs w:val="21"/>
              </w:rPr>
            </w:pPr>
            <w:r>
              <w:rPr>
                <w:rFonts w:hint="eastAsia" w:ascii="宋体" w:hAnsi="宋体"/>
                <w:szCs w:val="21"/>
              </w:rPr>
              <w:t>符合竞争性磋商文件要求；</w:t>
            </w:r>
          </w:p>
        </w:tc>
        <w:tc>
          <w:tcPr>
            <w:tcW w:w="1701" w:type="dxa"/>
            <w:vAlign w:val="center"/>
          </w:tcPr>
          <w:p w14:paraId="5C9F64B3">
            <w:pPr>
              <w:ind w:firstLine="28"/>
              <w:jc w:val="center"/>
              <w:rPr>
                <w:rFonts w:ascii="宋体" w:hAnsi="宋体"/>
                <w:szCs w:val="21"/>
              </w:rPr>
            </w:pPr>
          </w:p>
        </w:tc>
      </w:tr>
      <w:tr w14:paraId="001AA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721" w:type="dxa"/>
            <w:vAlign w:val="center"/>
          </w:tcPr>
          <w:p w14:paraId="5EF38C7D">
            <w:pPr>
              <w:ind w:firstLine="28"/>
              <w:jc w:val="center"/>
              <w:rPr>
                <w:rFonts w:ascii="宋体" w:hAnsi="宋体"/>
                <w:szCs w:val="21"/>
              </w:rPr>
            </w:pPr>
            <w:r>
              <w:rPr>
                <w:rFonts w:hint="eastAsia" w:ascii="宋体" w:hAnsi="宋体"/>
                <w:szCs w:val="21"/>
              </w:rPr>
              <w:t>5</w:t>
            </w:r>
          </w:p>
        </w:tc>
        <w:tc>
          <w:tcPr>
            <w:tcW w:w="2877" w:type="dxa"/>
            <w:vAlign w:val="center"/>
          </w:tcPr>
          <w:p w14:paraId="406190DF">
            <w:pPr>
              <w:ind w:firstLine="28"/>
              <w:jc w:val="center"/>
              <w:rPr>
                <w:rFonts w:ascii="宋体" w:hAnsi="宋体"/>
                <w:szCs w:val="21"/>
              </w:rPr>
            </w:pPr>
            <w:r>
              <w:rPr>
                <w:rFonts w:hint="eastAsia" w:ascii="宋体" w:hAnsi="宋体"/>
                <w:szCs w:val="21"/>
              </w:rPr>
              <w:t>合同履行期限</w:t>
            </w:r>
          </w:p>
        </w:tc>
        <w:tc>
          <w:tcPr>
            <w:tcW w:w="4916" w:type="dxa"/>
            <w:vAlign w:val="center"/>
          </w:tcPr>
          <w:p w14:paraId="79FF7F58">
            <w:pPr>
              <w:ind w:firstLine="28"/>
              <w:jc w:val="left"/>
              <w:rPr>
                <w:rFonts w:ascii="宋体" w:hAnsi="宋体"/>
                <w:szCs w:val="21"/>
              </w:rPr>
            </w:pPr>
            <w:r>
              <w:rPr>
                <w:rFonts w:hint="eastAsia" w:ascii="宋体" w:hAnsi="宋体"/>
                <w:szCs w:val="21"/>
              </w:rPr>
              <w:t>符合竞争性磋商文件要求；</w:t>
            </w:r>
          </w:p>
        </w:tc>
        <w:tc>
          <w:tcPr>
            <w:tcW w:w="1701" w:type="dxa"/>
            <w:vAlign w:val="center"/>
          </w:tcPr>
          <w:p w14:paraId="59C545FC">
            <w:pPr>
              <w:ind w:firstLine="28"/>
              <w:jc w:val="center"/>
              <w:rPr>
                <w:rFonts w:ascii="宋体" w:hAnsi="宋体"/>
                <w:szCs w:val="21"/>
              </w:rPr>
            </w:pPr>
            <w:r>
              <w:rPr>
                <w:rFonts w:hint="eastAsia" w:ascii="宋体" w:hAnsi="宋体"/>
                <w:szCs w:val="21"/>
              </w:rPr>
              <w:t>否</w:t>
            </w:r>
          </w:p>
        </w:tc>
      </w:tr>
      <w:tr w14:paraId="4CE7D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2" w:hRule="atLeast"/>
        </w:trPr>
        <w:tc>
          <w:tcPr>
            <w:tcW w:w="721" w:type="dxa"/>
            <w:vAlign w:val="center"/>
          </w:tcPr>
          <w:p w14:paraId="1998698A">
            <w:pPr>
              <w:ind w:firstLine="28"/>
              <w:jc w:val="center"/>
              <w:rPr>
                <w:rFonts w:ascii="宋体" w:hAnsi="宋体"/>
                <w:szCs w:val="21"/>
              </w:rPr>
            </w:pPr>
            <w:r>
              <w:rPr>
                <w:rFonts w:hint="eastAsia" w:ascii="宋体" w:hAnsi="宋体"/>
                <w:szCs w:val="21"/>
              </w:rPr>
              <w:t>6</w:t>
            </w:r>
          </w:p>
        </w:tc>
        <w:tc>
          <w:tcPr>
            <w:tcW w:w="2877" w:type="dxa"/>
            <w:vAlign w:val="center"/>
          </w:tcPr>
          <w:p w14:paraId="071581AB">
            <w:pPr>
              <w:ind w:firstLine="28"/>
              <w:jc w:val="center"/>
              <w:rPr>
                <w:rFonts w:ascii="宋体" w:hAnsi="宋体"/>
                <w:szCs w:val="21"/>
              </w:rPr>
            </w:pPr>
            <w:r>
              <w:rPr>
                <w:rFonts w:hint="eastAsia" w:ascii="宋体" w:hAnsi="宋体"/>
                <w:szCs w:val="21"/>
              </w:rPr>
              <w:t>响应</w:t>
            </w:r>
            <w:r>
              <w:rPr>
                <w:rFonts w:ascii="宋体" w:hAnsi="宋体"/>
                <w:szCs w:val="21"/>
              </w:rPr>
              <w:t>有效期</w:t>
            </w:r>
          </w:p>
        </w:tc>
        <w:tc>
          <w:tcPr>
            <w:tcW w:w="4916" w:type="dxa"/>
            <w:vAlign w:val="center"/>
          </w:tcPr>
          <w:p w14:paraId="5F1C373F">
            <w:pPr>
              <w:ind w:firstLine="28"/>
              <w:jc w:val="left"/>
              <w:rPr>
                <w:rFonts w:ascii="宋体" w:hAnsi="宋体"/>
                <w:szCs w:val="21"/>
              </w:rPr>
            </w:pPr>
            <w:r>
              <w:rPr>
                <w:rFonts w:hint="eastAsia" w:ascii="宋体" w:hAnsi="宋体"/>
                <w:szCs w:val="21"/>
              </w:rPr>
              <w:t>响应</w:t>
            </w:r>
            <w:r>
              <w:rPr>
                <w:rFonts w:ascii="宋体" w:hAnsi="宋体"/>
                <w:szCs w:val="21"/>
              </w:rPr>
              <w:t>文件中承诺的</w:t>
            </w:r>
            <w:r>
              <w:rPr>
                <w:rFonts w:hint="eastAsia" w:ascii="宋体" w:hAnsi="宋体"/>
                <w:szCs w:val="21"/>
              </w:rPr>
              <w:t>响应</w:t>
            </w:r>
            <w:r>
              <w:rPr>
                <w:rFonts w:ascii="宋体" w:hAnsi="宋体"/>
                <w:szCs w:val="21"/>
              </w:rPr>
              <w:t>有效期</w:t>
            </w:r>
            <w:r>
              <w:rPr>
                <w:rFonts w:hint="eastAsia" w:ascii="宋体" w:hAnsi="宋体"/>
                <w:szCs w:val="21"/>
              </w:rPr>
              <w:t>满足磋商</w:t>
            </w:r>
            <w:r>
              <w:rPr>
                <w:rFonts w:ascii="宋体" w:hAnsi="宋体"/>
                <w:szCs w:val="21"/>
              </w:rPr>
              <w:t>文件中载明的</w:t>
            </w:r>
            <w:r>
              <w:rPr>
                <w:rFonts w:hint="eastAsia" w:ascii="宋体" w:hAnsi="宋体"/>
                <w:szCs w:val="21"/>
              </w:rPr>
              <w:t>响应</w:t>
            </w:r>
            <w:r>
              <w:rPr>
                <w:rFonts w:ascii="宋体" w:hAnsi="宋体"/>
                <w:szCs w:val="21"/>
              </w:rPr>
              <w:t>有效期的；</w:t>
            </w:r>
          </w:p>
        </w:tc>
        <w:tc>
          <w:tcPr>
            <w:tcW w:w="1701" w:type="dxa"/>
            <w:vAlign w:val="center"/>
          </w:tcPr>
          <w:p w14:paraId="58804BC6">
            <w:pPr>
              <w:ind w:firstLine="28"/>
              <w:jc w:val="center"/>
              <w:rPr>
                <w:rFonts w:ascii="宋体" w:hAnsi="宋体"/>
                <w:szCs w:val="21"/>
              </w:rPr>
            </w:pPr>
            <w:r>
              <w:rPr>
                <w:rFonts w:hint="eastAsia" w:ascii="宋体" w:hAnsi="宋体"/>
                <w:szCs w:val="21"/>
              </w:rPr>
              <w:t>否</w:t>
            </w:r>
          </w:p>
        </w:tc>
      </w:tr>
      <w:tr w14:paraId="7C17D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trPr>
        <w:tc>
          <w:tcPr>
            <w:tcW w:w="721" w:type="dxa"/>
            <w:vAlign w:val="center"/>
          </w:tcPr>
          <w:p w14:paraId="76823C8C">
            <w:pPr>
              <w:ind w:firstLine="28"/>
              <w:jc w:val="center"/>
              <w:rPr>
                <w:rFonts w:ascii="宋体" w:hAnsi="宋体"/>
                <w:szCs w:val="21"/>
              </w:rPr>
            </w:pPr>
            <w:r>
              <w:rPr>
                <w:rFonts w:hint="eastAsia" w:ascii="宋体" w:hAnsi="宋体"/>
                <w:szCs w:val="21"/>
              </w:rPr>
              <w:t>7</w:t>
            </w:r>
          </w:p>
        </w:tc>
        <w:tc>
          <w:tcPr>
            <w:tcW w:w="2877" w:type="dxa"/>
            <w:vAlign w:val="center"/>
          </w:tcPr>
          <w:p w14:paraId="7D59CF13">
            <w:pPr>
              <w:ind w:firstLine="28"/>
              <w:jc w:val="center"/>
              <w:rPr>
                <w:rFonts w:ascii="宋体" w:hAnsi="宋体"/>
                <w:szCs w:val="21"/>
              </w:rPr>
            </w:pPr>
            <w:r>
              <w:rPr>
                <w:rFonts w:ascii="宋体" w:hAnsi="宋体"/>
                <w:szCs w:val="21"/>
              </w:rPr>
              <w:t>签署、盖章</w:t>
            </w:r>
          </w:p>
        </w:tc>
        <w:tc>
          <w:tcPr>
            <w:tcW w:w="4916" w:type="dxa"/>
            <w:vAlign w:val="center"/>
          </w:tcPr>
          <w:p w14:paraId="796A14CB">
            <w:pPr>
              <w:ind w:firstLine="28"/>
              <w:jc w:val="left"/>
              <w:rPr>
                <w:rFonts w:ascii="宋体" w:hAnsi="宋体"/>
                <w:szCs w:val="21"/>
              </w:rPr>
            </w:pPr>
            <w:r>
              <w:rPr>
                <w:rFonts w:ascii="宋体" w:hAnsi="宋体"/>
                <w:szCs w:val="21"/>
              </w:rPr>
              <w:t>按照</w:t>
            </w:r>
            <w:r>
              <w:rPr>
                <w:rFonts w:hint="eastAsia" w:ascii="宋体" w:hAnsi="宋体"/>
                <w:szCs w:val="21"/>
              </w:rPr>
              <w:t>磋商</w:t>
            </w:r>
            <w:r>
              <w:rPr>
                <w:rFonts w:ascii="宋体" w:hAnsi="宋体"/>
                <w:szCs w:val="21"/>
              </w:rPr>
              <w:t>文件要求签署、盖章的；</w:t>
            </w:r>
          </w:p>
        </w:tc>
        <w:tc>
          <w:tcPr>
            <w:tcW w:w="1701" w:type="dxa"/>
            <w:vAlign w:val="center"/>
          </w:tcPr>
          <w:p w14:paraId="75ACAA8D">
            <w:pPr>
              <w:ind w:firstLine="28"/>
              <w:jc w:val="center"/>
              <w:rPr>
                <w:rFonts w:ascii="宋体" w:hAnsi="宋体"/>
                <w:szCs w:val="21"/>
              </w:rPr>
            </w:pPr>
            <w:r>
              <w:rPr>
                <w:rFonts w:hint="eastAsia" w:ascii="宋体" w:hAnsi="宋体"/>
                <w:szCs w:val="21"/>
              </w:rPr>
              <w:t>否</w:t>
            </w:r>
          </w:p>
        </w:tc>
      </w:tr>
      <w:tr w14:paraId="3A67C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trPr>
        <w:tc>
          <w:tcPr>
            <w:tcW w:w="721" w:type="dxa"/>
            <w:vAlign w:val="center"/>
          </w:tcPr>
          <w:p w14:paraId="39D3317C">
            <w:pPr>
              <w:ind w:firstLine="28"/>
              <w:jc w:val="center"/>
              <w:rPr>
                <w:rFonts w:ascii="宋体" w:hAnsi="宋体"/>
                <w:szCs w:val="21"/>
              </w:rPr>
            </w:pPr>
            <w:r>
              <w:rPr>
                <w:rFonts w:hint="eastAsia" w:ascii="宋体" w:hAnsi="宋体"/>
                <w:szCs w:val="21"/>
              </w:rPr>
              <w:t>8</w:t>
            </w:r>
          </w:p>
        </w:tc>
        <w:tc>
          <w:tcPr>
            <w:tcW w:w="2877" w:type="dxa"/>
            <w:vAlign w:val="center"/>
          </w:tcPr>
          <w:p w14:paraId="761E3E95">
            <w:pPr>
              <w:ind w:firstLine="28"/>
              <w:jc w:val="center"/>
              <w:rPr>
                <w:rFonts w:ascii="宋体" w:hAnsi="宋体"/>
                <w:szCs w:val="21"/>
              </w:rPr>
            </w:pPr>
            <w:r>
              <w:rPr>
                <w:rFonts w:hint="eastAsia" w:ascii="宋体" w:hAnsi="宋体"/>
                <w:szCs w:val="21"/>
              </w:rPr>
              <w:t>实质性格式</w:t>
            </w:r>
          </w:p>
        </w:tc>
        <w:tc>
          <w:tcPr>
            <w:tcW w:w="4916" w:type="dxa"/>
            <w:vAlign w:val="center"/>
          </w:tcPr>
          <w:p w14:paraId="0153C07C">
            <w:pPr>
              <w:ind w:firstLine="28"/>
              <w:jc w:val="left"/>
              <w:rPr>
                <w:rFonts w:ascii="宋体" w:hAnsi="宋体"/>
                <w:szCs w:val="21"/>
              </w:rPr>
            </w:pPr>
            <w:r>
              <w:rPr>
                <w:rFonts w:hint="eastAsia" w:ascii="宋体" w:hAnsi="宋体"/>
                <w:szCs w:val="21"/>
              </w:rPr>
              <w:t>标记为</w:t>
            </w:r>
            <w:r>
              <w:rPr>
                <w:rFonts w:ascii="宋体" w:hAnsi="宋体"/>
                <w:szCs w:val="21"/>
              </w:rPr>
              <w:t>“实质性格式”的</w:t>
            </w:r>
            <w:r>
              <w:rPr>
                <w:rFonts w:hint="eastAsia" w:ascii="宋体" w:hAnsi="宋体"/>
                <w:szCs w:val="21"/>
              </w:rPr>
              <w:t>文件均按磋商</w:t>
            </w:r>
            <w:r>
              <w:rPr>
                <w:rFonts w:ascii="宋体" w:hAnsi="宋体"/>
                <w:szCs w:val="21"/>
              </w:rPr>
              <w:t>文件</w:t>
            </w:r>
            <w:r>
              <w:rPr>
                <w:rFonts w:hint="eastAsia" w:ascii="宋体" w:hAnsi="宋体"/>
                <w:szCs w:val="21"/>
              </w:rPr>
              <w:t>要求提供；</w:t>
            </w:r>
          </w:p>
        </w:tc>
        <w:tc>
          <w:tcPr>
            <w:tcW w:w="1701" w:type="dxa"/>
            <w:vAlign w:val="center"/>
          </w:tcPr>
          <w:p w14:paraId="050C0D52">
            <w:pPr>
              <w:ind w:firstLine="28"/>
              <w:jc w:val="center"/>
              <w:rPr>
                <w:rFonts w:ascii="宋体" w:hAnsi="宋体"/>
                <w:szCs w:val="21"/>
              </w:rPr>
            </w:pPr>
            <w:r>
              <w:rPr>
                <w:rFonts w:hint="eastAsia" w:ascii="宋体" w:hAnsi="宋体"/>
                <w:szCs w:val="21"/>
              </w:rPr>
              <w:t>否</w:t>
            </w:r>
          </w:p>
        </w:tc>
      </w:tr>
      <w:tr w14:paraId="6C9CD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trPr>
        <w:tc>
          <w:tcPr>
            <w:tcW w:w="721" w:type="dxa"/>
            <w:vAlign w:val="center"/>
          </w:tcPr>
          <w:p w14:paraId="3A26B096">
            <w:pPr>
              <w:ind w:firstLine="28"/>
              <w:jc w:val="center"/>
              <w:rPr>
                <w:rFonts w:ascii="宋体" w:hAnsi="宋体"/>
                <w:szCs w:val="21"/>
              </w:rPr>
            </w:pPr>
            <w:r>
              <w:rPr>
                <w:rFonts w:hint="eastAsia" w:ascii="宋体" w:hAnsi="宋体"/>
                <w:szCs w:val="21"/>
              </w:rPr>
              <w:t>9</w:t>
            </w:r>
          </w:p>
        </w:tc>
        <w:tc>
          <w:tcPr>
            <w:tcW w:w="2877" w:type="dxa"/>
            <w:vAlign w:val="center"/>
          </w:tcPr>
          <w:p w14:paraId="7951315F">
            <w:pPr>
              <w:widowControl/>
              <w:jc w:val="center"/>
              <w:rPr>
                <w:rFonts w:ascii="宋体" w:hAnsi="宋体"/>
                <w:szCs w:val="21"/>
              </w:rPr>
            </w:pPr>
            <w:r>
              <w:rPr>
                <w:rFonts w:ascii="宋体" w:hAnsi="宋体"/>
                <w:szCs w:val="21"/>
              </w:rPr>
              <w:t>报价的修正</w:t>
            </w:r>
          </w:p>
          <w:p w14:paraId="3AE00345">
            <w:pPr>
              <w:ind w:firstLine="28"/>
              <w:jc w:val="center"/>
              <w:rPr>
                <w:rFonts w:ascii="宋体" w:hAnsi="宋体"/>
                <w:szCs w:val="21"/>
              </w:rPr>
            </w:pPr>
            <w:r>
              <w:rPr>
                <w:rFonts w:ascii="宋体" w:hAnsi="宋体"/>
                <w:szCs w:val="21"/>
              </w:rPr>
              <w:t>（如有）</w:t>
            </w:r>
          </w:p>
        </w:tc>
        <w:tc>
          <w:tcPr>
            <w:tcW w:w="4916" w:type="dxa"/>
            <w:vAlign w:val="center"/>
          </w:tcPr>
          <w:p w14:paraId="3EEA4E5A">
            <w:pPr>
              <w:ind w:firstLine="28"/>
              <w:jc w:val="left"/>
              <w:rPr>
                <w:rFonts w:ascii="宋体" w:hAnsi="宋体"/>
                <w:szCs w:val="21"/>
              </w:rPr>
            </w:pPr>
            <w:r>
              <w:rPr>
                <w:rFonts w:hint="eastAsia" w:ascii="宋体" w:hAnsi="宋体"/>
                <w:szCs w:val="21"/>
              </w:rPr>
              <w:t>不涉及报价修正</w:t>
            </w:r>
            <w:r>
              <w:rPr>
                <w:rFonts w:ascii="宋体" w:hAnsi="宋体"/>
                <w:szCs w:val="21"/>
              </w:rPr>
              <w:t>，或</w:t>
            </w:r>
            <w:r>
              <w:rPr>
                <w:rFonts w:hint="eastAsia" w:ascii="宋体" w:hAnsi="宋体"/>
                <w:szCs w:val="21"/>
              </w:rPr>
              <w:t>响应</w:t>
            </w:r>
            <w:r>
              <w:rPr>
                <w:rFonts w:ascii="宋体" w:hAnsi="宋体"/>
                <w:szCs w:val="21"/>
              </w:rPr>
              <w:t>文件报价出现前后不一致</w:t>
            </w:r>
            <w:r>
              <w:rPr>
                <w:rFonts w:hint="eastAsia" w:ascii="宋体" w:hAnsi="宋体"/>
                <w:szCs w:val="21"/>
              </w:rPr>
              <w:t>时</w:t>
            </w:r>
            <w:r>
              <w:rPr>
                <w:rFonts w:ascii="宋体" w:hAnsi="宋体"/>
                <w:szCs w:val="21"/>
              </w:rPr>
              <w:t>，</w:t>
            </w:r>
            <w:r>
              <w:rPr>
                <w:rFonts w:hint="eastAsia" w:ascii="宋体" w:hAnsi="宋体"/>
                <w:szCs w:val="21"/>
              </w:rPr>
              <w:t>供应商</w:t>
            </w:r>
            <w:r>
              <w:rPr>
                <w:rFonts w:ascii="宋体" w:hAnsi="宋体"/>
                <w:szCs w:val="21"/>
              </w:rPr>
              <w:t>对修正后的报价予</w:t>
            </w:r>
            <w:r>
              <w:rPr>
                <w:rFonts w:hint="eastAsia" w:ascii="宋体" w:hAnsi="宋体"/>
                <w:szCs w:val="21"/>
              </w:rPr>
              <w:t>以</w:t>
            </w:r>
            <w:r>
              <w:rPr>
                <w:rFonts w:ascii="宋体" w:hAnsi="宋体"/>
                <w:szCs w:val="21"/>
              </w:rPr>
              <w:t>确认；（如有）</w:t>
            </w:r>
          </w:p>
        </w:tc>
        <w:tc>
          <w:tcPr>
            <w:tcW w:w="1701" w:type="dxa"/>
            <w:vAlign w:val="center"/>
          </w:tcPr>
          <w:p w14:paraId="3DCC95D5">
            <w:pPr>
              <w:ind w:firstLine="28"/>
              <w:jc w:val="center"/>
              <w:rPr>
                <w:rFonts w:ascii="宋体" w:hAnsi="宋体"/>
                <w:szCs w:val="21"/>
              </w:rPr>
            </w:pPr>
            <w:r>
              <w:rPr>
                <w:rFonts w:ascii="宋体" w:hAnsi="宋体"/>
                <w:szCs w:val="21"/>
              </w:rPr>
              <w:t>应磋商小组要求</w:t>
            </w:r>
            <w:r>
              <w:rPr>
                <w:rFonts w:hint="eastAsia" w:ascii="宋体" w:hAnsi="宋体"/>
                <w:szCs w:val="21"/>
              </w:rPr>
              <w:t>供应商对修正后的报价予以确认。</w:t>
            </w:r>
            <w:r>
              <w:rPr>
                <w:rFonts w:ascii="宋体" w:hAnsi="宋体"/>
                <w:szCs w:val="21"/>
              </w:rPr>
              <w:t>（如有）</w:t>
            </w:r>
          </w:p>
        </w:tc>
      </w:tr>
      <w:tr w14:paraId="29356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7" w:hRule="atLeast"/>
        </w:trPr>
        <w:tc>
          <w:tcPr>
            <w:tcW w:w="721" w:type="dxa"/>
            <w:vAlign w:val="center"/>
          </w:tcPr>
          <w:p w14:paraId="58C8D491">
            <w:pPr>
              <w:ind w:firstLine="28"/>
              <w:jc w:val="center"/>
              <w:rPr>
                <w:rFonts w:ascii="宋体" w:hAnsi="宋体"/>
                <w:szCs w:val="21"/>
              </w:rPr>
            </w:pPr>
            <w:r>
              <w:rPr>
                <w:rFonts w:hint="eastAsia" w:ascii="宋体" w:hAnsi="宋体"/>
                <w:szCs w:val="21"/>
              </w:rPr>
              <w:t>10</w:t>
            </w:r>
          </w:p>
        </w:tc>
        <w:tc>
          <w:tcPr>
            <w:tcW w:w="2877" w:type="dxa"/>
            <w:vAlign w:val="center"/>
          </w:tcPr>
          <w:p w14:paraId="2B8FB4FD">
            <w:pPr>
              <w:ind w:firstLine="28"/>
              <w:jc w:val="center"/>
              <w:rPr>
                <w:rFonts w:ascii="宋体" w:hAnsi="宋体"/>
                <w:szCs w:val="21"/>
              </w:rPr>
            </w:pPr>
            <w:r>
              <w:rPr>
                <w:rFonts w:ascii="宋体" w:hAnsi="宋体"/>
                <w:szCs w:val="21"/>
              </w:rPr>
              <w:t>报价合理性</w:t>
            </w:r>
          </w:p>
        </w:tc>
        <w:tc>
          <w:tcPr>
            <w:tcW w:w="4916" w:type="dxa"/>
            <w:vAlign w:val="center"/>
          </w:tcPr>
          <w:p w14:paraId="431F207B">
            <w:pPr>
              <w:ind w:firstLine="28"/>
              <w:jc w:val="center"/>
              <w:rPr>
                <w:rFonts w:ascii="宋体" w:hAnsi="宋体"/>
                <w:szCs w:val="21"/>
              </w:rPr>
            </w:pPr>
            <w:r>
              <w:rPr>
                <w:rFonts w:ascii="宋体" w:hAnsi="宋体"/>
                <w:szCs w:val="21"/>
              </w:rPr>
              <w:t>报价合理，或</w:t>
            </w:r>
            <w:r>
              <w:rPr>
                <w:rFonts w:hint="eastAsia" w:ascii="宋体" w:hAnsi="宋体"/>
                <w:szCs w:val="21"/>
              </w:rPr>
              <w:t>供应商的报价明显低于其他通过符合性审查供应商的报价，</w:t>
            </w:r>
            <w:r>
              <w:rPr>
                <w:rFonts w:ascii="宋体" w:hAnsi="宋体"/>
                <w:szCs w:val="21"/>
              </w:rPr>
              <w:t>有可能影响产品质量或者不能诚信履约的</w:t>
            </w:r>
            <w:r>
              <w:rPr>
                <w:rFonts w:hint="eastAsia" w:ascii="宋体" w:hAnsi="宋体"/>
                <w:szCs w:val="21"/>
              </w:rPr>
              <w:t>，能够应评标委员会要求在规定时间内证明其报价合理性的</w:t>
            </w:r>
            <w:r>
              <w:rPr>
                <w:rFonts w:ascii="宋体" w:hAnsi="宋体"/>
                <w:szCs w:val="21"/>
              </w:rPr>
              <w:t>；</w:t>
            </w:r>
          </w:p>
        </w:tc>
        <w:tc>
          <w:tcPr>
            <w:tcW w:w="1701" w:type="dxa"/>
            <w:vAlign w:val="center"/>
          </w:tcPr>
          <w:p w14:paraId="1C2DEEF8">
            <w:pPr>
              <w:ind w:firstLine="28"/>
              <w:jc w:val="center"/>
              <w:rPr>
                <w:rFonts w:ascii="宋体" w:hAnsi="宋体"/>
                <w:szCs w:val="21"/>
              </w:rPr>
            </w:pPr>
            <w:r>
              <w:rPr>
                <w:rFonts w:ascii="宋体" w:hAnsi="宋体"/>
                <w:szCs w:val="21"/>
              </w:rPr>
              <w:t>应磋商小组要求在规定时间内证明其报价合理性。</w:t>
            </w:r>
          </w:p>
        </w:tc>
      </w:tr>
      <w:tr w14:paraId="29FA1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8" w:hRule="atLeast"/>
        </w:trPr>
        <w:tc>
          <w:tcPr>
            <w:tcW w:w="721" w:type="dxa"/>
            <w:vAlign w:val="center"/>
          </w:tcPr>
          <w:p w14:paraId="002C9EB0">
            <w:pPr>
              <w:ind w:firstLine="28"/>
              <w:jc w:val="center"/>
              <w:rPr>
                <w:rFonts w:ascii="宋体" w:hAnsi="宋体"/>
                <w:szCs w:val="21"/>
              </w:rPr>
            </w:pPr>
            <w:r>
              <w:rPr>
                <w:rFonts w:hint="eastAsia" w:ascii="宋体" w:hAnsi="宋体"/>
                <w:szCs w:val="21"/>
              </w:rPr>
              <w:t>11</w:t>
            </w:r>
          </w:p>
        </w:tc>
        <w:tc>
          <w:tcPr>
            <w:tcW w:w="2877" w:type="dxa"/>
            <w:vAlign w:val="center"/>
          </w:tcPr>
          <w:p w14:paraId="4AD067A8">
            <w:pPr>
              <w:ind w:firstLine="28"/>
              <w:jc w:val="center"/>
              <w:rPr>
                <w:rFonts w:ascii="宋体" w:hAnsi="宋体"/>
                <w:szCs w:val="21"/>
              </w:rPr>
            </w:pPr>
            <w:r>
              <w:rPr>
                <w:rFonts w:ascii="宋体" w:hAnsi="宋体"/>
                <w:szCs w:val="21"/>
              </w:rPr>
              <w:t>公平竞争</w:t>
            </w:r>
          </w:p>
        </w:tc>
        <w:tc>
          <w:tcPr>
            <w:tcW w:w="4916" w:type="dxa"/>
            <w:vAlign w:val="center"/>
          </w:tcPr>
          <w:p w14:paraId="382567D5">
            <w:pPr>
              <w:widowControl/>
              <w:jc w:val="left"/>
              <w:rPr>
                <w:rFonts w:ascii="宋体" w:hAnsi="宋体"/>
                <w:szCs w:val="21"/>
              </w:rPr>
            </w:pPr>
            <w:r>
              <w:rPr>
                <w:rFonts w:ascii="宋体" w:hAnsi="宋体"/>
                <w:szCs w:val="21"/>
              </w:rPr>
              <w:t>供应商遵循公平竞争的原则，不存在恶意串通，妨碍其他供应商的竞争行为，不存在损害采购人或者其他供应商的合法权益情形的；</w:t>
            </w:r>
          </w:p>
        </w:tc>
        <w:tc>
          <w:tcPr>
            <w:tcW w:w="1701" w:type="dxa"/>
            <w:vAlign w:val="center"/>
          </w:tcPr>
          <w:p w14:paraId="0E0D2967">
            <w:pPr>
              <w:ind w:firstLine="28"/>
              <w:jc w:val="center"/>
              <w:rPr>
                <w:rFonts w:ascii="宋体" w:hAnsi="宋体"/>
                <w:szCs w:val="21"/>
              </w:rPr>
            </w:pPr>
            <w:r>
              <w:rPr>
                <w:rFonts w:hint="eastAsia" w:ascii="宋体" w:hAnsi="宋体"/>
                <w:szCs w:val="21"/>
              </w:rPr>
              <w:t>否</w:t>
            </w:r>
          </w:p>
        </w:tc>
      </w:tr>
      <w:tr w14:paraId="1D485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trPr>
        <w:tc>
          <w:tcPr>
            <w:tcW w:w="721" w:type="dxa"/>
            <w:vAlign w:val="center"/>
          </w:tcPr>
          <w:p w14:paraId="79891CCA">
            <w:pPr>
              <w:ind w:firstLine="28"/>
              <w:jc w:val="center"/>
              <w:rPr>
                <w:rFonts w:ascii="宋体" w:hAnsi="宋体"/>
                <w:szCs w:val="21"/>
              </w:rPr>
            </w:pPr>
            <w:r>
              <w:rPr>
                <w:rFonts w:hint="eastAsia" w:ascii="宋体" w:hAnsi="宋体"/>
                <w:szCs w:val="21"/>
              </w:rPr>
              <w:t>12</w:t>
            </w:r>
          </w:p>
        </w:tc>
        <w:tc>
          <w:tcPr>
            <w:tcW w:w="2877" w:type="dxa"/>
            <w:vAlign w:val="center"/>
          </w:tcPr>
          <w:p w14:paraId="1C226A3F">
            <w:pPr>
              <w:ind w:firstLine="28"/>
              <w:jc w:val="center"/>
              <w:rPr>
                <w:rFonts w:ascii="宋体" w:hAnsi="宋体"/>
                <w:szCs w:val="21"/>
              </w:rPr>
            </w:pPr>
            <w:r>
              <w:rPr>
                <w:rFonts w:ascii="宋体" w:hAnsi="宋体"/>
                <w:szCs w:val="21"/>
              </w:rPr>
              <w:t>附加条件</w:t>
            </w:r>
          </w:p>
        </w:tc>
        <w:tc>
          <w:tcPr>
            <w:tcW w:w="4916" w:type="dxa"/>
            <w:vAlign w:val="center"/>
          </w:tcPr>
          <w:p w14:paraId="6F52A5E9">
            <w:pPr>
              <w:widowControl/>
              <w:jc w:val="left"/>
              <w:rPr>
                <w:rFonts w:ascii="宋体" w:hAnsi="宋体"/>
                <w:szCs w:val="21"/>
              </w:rPr>
            </w:pPr>
            <w:r>
              <w:rPr>
                <w:rFonts w:hint="eastAsia" w:ascii="宋体" w:hAnsi="宋体"/>
                <w:szCs w:val="21"/>
              </w:rPr>
              <w:t>响应</w:t>
            </w:r>
            <w:r>
              <w:rPr>
                <w:rFonts w:ascii="宋体" w:hAnsi="宋体"/>
                <w:szCs w:val="21"/>
              </w:rPr>
              <w:t>文件</w:t>
            </w:r>
            <w:r>
              <w:rPr>
                <w:rFonts w:hint="eastAsia" w:ascii="宋体" w:hAnsi="宋体"/>
                <w:szCs w:val="21"/>
              </w:rPr>
              <w:t>未</w:t>
            </w:r>
            <w:r>
              <w:rPr>
                <w:rFonts w:ascii="宋体" w:hAnsi="宋体"/>
                <w:szCs w:val="21"/>
              </w:rPr>
              <w:t>含有采购人不能接受的附加条件的；</w:t>
            </w:r>
          </w:p>
        </w:tc>
        <w:tc>
          <w:tcPr>
            <w:tcW w:w="1701" w:type="dxa"/>
            <w:vAlign w:val="center"/>
          </w:tcPr>
          <w:p w14:paraId="50B3D03B">
            <w:pPr>
              <w:ind w:firstLine="28"/>
              <w:jc w:val="center"/>
              <w:rPr>
                <w:rFonts w:ascii="宋体" w:hAnsi="宋体"/>
                <w:szCs w:val="21"/>
              </w:rPr>
            </w:pPr>
            <w:r>
              <w:rPr>
                <w:rFonts w:hint="eastAsia" w:ascii="宋体" w:hAnsi="宋体"/>
                <w:szCs w:val="21"/>
              </w:rPr>
              <w:t>是</w:t>
            </w:r>
          </w:p>
        </w:tc>
      </w:tr>
      <w:tr w14:paraId="3C76E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8" w:hRule="atLeast"/>
        </w:trPr>
        <w:tc>
          <w:tcPr>
            <w:tcW w:w="721" w:type="dxa"/>
            <w:vAlign w:val="center"/>
          </w:tcPr>
          <w:p w14:paraId="7BA04232">
            <w:pPr>
              <w:ind w:firstLine="28"/>
              <w:jc w:val="center"/>
              <w:rPr>
                <w:kern w:val="0"/>
                <w:szCs w:val="21"/>
              </w:rPr>
            </w:pPr>
            <w:r>
              <w:rPr>
                <w:rFonts w:hint="eastAsia" w:ascii="宋体" w:hAnsi="宋体"/>
                <w:szCs w:val="21"/>
              </w:rPr>
              <w:t>13</w:t>
            </w:r>
          </w:p>
        </w:tc>
        <w:tc>
          <w:tcPr>
            <w:tcW w:w="2877" w:type="dxa"/>
            <w:vAlign w:val="center"/>
          </w:tcPr>
          <w:p w14:paraId="4E187F69">
            <w:pPr>
              <w:ind w:firstLine="28"/>
              <w:jc w:val="center"/>
              <w:rPr>
                <w:rFonts w:ascii="宋体" w:hAnsi="宋体"/>
                <w:szCs w:val="21"/>
              </w:rPr>
            </w:pPr>
            <w:r>
              <w:rPr>
                <w:rFonts w:hint="eastAsia"/>
                <w:kern w:val="0"/>
                <w:szCs w:val="21"/>
              </w:rPr>
              <w:t>资质标注异常</w:t>
            </w:r>
          </w:p>
        </w:tc>
        <w:tc>
          <w:tcPr>
            <w:tcW w:w="4916" w:type="dxa"/>
            <w:vAlign w:val="center"/>
          </w:tcPr>
          <w:p w14:paraId="1CDCB3BE">
            <w:pPr>
              <w:widowControl/>
              <w:jc w:val="left"/>
              <w:rPr>
                <w:kern w:val="0"/>
                <w:szCs w:val="21"/>
              </w:rPr>
            </w:pPr>
            <w:r>
              <w:rPr>
                <w:rFonts w:hint="eastAsia"/>
                <w:kern w:val="0"/>
                <w:szCs w:val="21"/>
              </w:rPr>
              <w:t>不存在采购人或采购代理机构在资格性检查阶段登录“北京市住房和城乡建设委员会官网”查询供应商资质异常情况，被记录为资质标注异常供应商的</w:t>
            </w:r>
          </w:p>
        </w:tc>
        <w:tc>
          <w:tcPr>
            <w:tcW w:w="1701" w:type="dxa"/>
            <w:vAlign w:val="center"/>
          </w:tcPr>
          <w:p w14:paraId="59E83645">
            <w:pPr>
              <w:ind w:firstLine="28"/>
              <w:jc w:val="center"/>
              <w:rPr>
                <w:kern w:val="0"/>
                <w:szCs w:val="21"/>
              </w:rPr>
            </w:pPr>
            <w:r>
              <w:rPr>
                <w:rFonts w:hint="eastAsia"/>
                <w:kern w:val="0"/>
                <w:szCs w:val="21"/>
              </w:rPr>
              <w:t>否</w:t>
            </w:r>
          </w:p>
        </w:tc>
      </w:tr>
      <w:tr w14:paraId="71AAC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2" w:hRule="atLeast"/>
        </w:trPr>
        <w:tc>
          <w:tcPr>
            <w:tcW w:w="721" w:type="dxa"/>
            <w:vAlign w:val="center"/>
          </w:tcPr>
          <w:p w14:paraId="7B24E50F">
            <w:pPr>
              <w:ind w:firstLine="28"/>
              <w:jc w:val="center"/>
              <w:rPr>
                <w:rFonts w:ascii="宋体" w:hAnsi="宋体"/>
                <w:szCs w:val="21"/>
              </w:rPr>
            </w:pPr>
            <w:r>
              <w:rPr>
                <w:rFonts w:hint="eastAsia" w:ascii="宋体" w:hAnsi="宋体"/>
                <w:szCs w:val="21"/>
              </w:rPr>
              <w:t>1</w:t>
            </w:r>
            <w:r>
              <w:rPr>
                <w:rFonts w:ascii="宋体" w:hAnsi="宋体"/>
                <w:szCs w:val="21"/>
              </w:rPr>
              <w:t>4</w:t>
            </w:r>
          </w:p>
        </w:tc>
        <w:tc>
          <w:tcPr>
            <w:tcW w:w="2877" w:type="dxa"/>
            <w:vAlign w:val="center"/>
          </w:tcPr>
          <w:p w14:paraId="51745E71">
            <w:pPr>
              <w:ind w:firstLine="28"/>
              <w:jc w:val="center"/>
              <w:rPr>
                <w:rFonts w:ascii="宋体" w:hAnsi="宋体"/>
                <w:szCs w:val="21"/>
              </w:rPr>
            </w:pPr>
            <w:r>
              <w:rPr>
                <w:rFonts w:hint="eastAsia"/>
              </w:rPr>
              <w:t>其他无效情形</w:t>
            </w:r>
          </w:p>
        </w:tc>
        <w:tc>
          <w:tcPr>
            <w:tcW w:w="4916" w:type="dxa"/>
            <w:vAlign w:val="center"/>
          </w:tcPr>
          <w:p w14:paraId="785807C3">
            <w:pPr>
              <w:ind w:firstLine="28"/>
              <w:jc w:val="left"/>
              <w:rPr>
                <w:rFonts w:ascii="宋体" w:hAnsi="宋体"/>
                <w:szCs w:val="21"/>
              </w:rPr>
            </w:pPr>
            <w:r>
              <w:rPr>
                <w:rFonts w:hint="eastAsia"/>
              </w:rPr>
              <w:t>响应文件不存在不符合法律、法规和竞争性磋商文件规定的其他无效情形。</w:t>
            </w:r>
          </w:p>
        </w:tc>
        <w:tc>
          <w:tcPr>
            <w:tcW w:w="1701" w:type="dxa"/>
            <w:vAlign w:val="center"/>
          </w:tcPr>
          <w:p w14:paraId="642EC790">
            <w:pPr>
              <w:ind w:firstLine="28"/>
              <w:jc w:val="center"/>
              <w:rPr>
                <w:rFonts w:ascii="宋体" w:hAnsi="宋体"/>
                <w:szCs w:val="21"/>
              </w:rPr>
            </w:pPr>
            <w:r>
              <w:rPr>
                <w:rFonts w:hint="eastAsia"/>
                <w:kern w:val="0"/>
                <w:szCs w:val="21"/>
              </w:rPr>
              <w:t>否</w:t>
            </w:r>
          </w:p>
        </w:tc>
      </w:tr>
    </w:tbl>
    <w:p w14:paraId="3F70C91D">
      <w:pPr>
        <w:widowControl/>
        <w:jc w:val="left"/>
        <w:rPr>
          <w:rFonts w:eastAsiaTheme="minorEastAsia"/>
          <w:b/>
          <w:kern w:val="0"/>
          <w:sz w:val="24"/>
        </w:rPr>
      </w:pPr>
    </w:p>
    <w:p w14:paraId="64E03546">
      <w:pPr>
        <w:pStyle w:val="3"/>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二、评审标准</w:t>
      </w:r>
    </w:p>
    <w:p w14:paraId="0868B32C">
      <w:pPr>
        <w:tabs>
          <w:tab w:val="left" w:pos="360"/>
          <w:tab w:val="left" w:pos="900"/>
          <w:tab w:val="left" w:pos="1080"/>
          <w:tab w:val="left" w:pos="2014"/>
        </w:tabs>
        <w:snapToGrid w:val="0"/>
        <w:spacing w:line="360" w:lineRule="auto"/>
        <w:rPr>
          <w:rFonts w:ascii="宋体" w:hAnsi="宋体"/>
          <w:sz w:val="24"/>
        </w:rPr>
      </w:pPr>
      <w:r>
        <w:rPr>
          <w:rFonts w:hint="eastAsia" w:ascii="宋体" w:hAnsi="宋体"/>
          <w:sz w:val="24"/>
        </w:rPr>
        <w:t>1.价格部分评审标准（10分）</w:t>
      </w:r>
    </w:p>
    <w:tbl>
      <w:tblPr>
        <w:tblStyle w:val="49"/>
        <w:tblW w:w="978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992"/>
        <w:gridCol w:w="992"/>
        <w:gridCol w:w="3686"/>
        <w:gridCol w:w="3118"/>
      </w:tblGrid>
      <w:tr w14:paraId="2BB4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3" w:type="dxa"/>
            <w:vAlign w:val="center"/>
          </w:tcPr>
          <w:p w14:paraId="33AE5250">
            <w:pPr>
              <w:ind w:firstLine="28"/>
              <w:jc w:val="center"/>
              <w:rPr>
                <w:rFonts w:ascii="宋体" w:hAnsi="宋体"/>
                <w:szCs w:val="21"/>
              </w:rPr>
            </w:pPr>
            <w:r>
              <w:rPr>
                <w:rFonts w:ascii="宋体" w:hAnsi="宋体"/>
                <w:szCs w:val="21"/>
              </w:rPr>
              <w:t>序号</w:t>
            </w:r>
          </w:p>
        </w:tc>
        <w:tc>
          <w:tcPr>
            <w:tcW w:w="992" w:type="dxa"/>
            <w:vAlign w:val="center"/>
          </w:tcPr>
          <w:p w14:paraId="41988ACC">
            <w:pPr>
              <w:ind w:firstLine="28"/>
              <w:jc w:val="center"/>
              <w:rPr>
                <w:rFonts w:ascii="宋体" w:hAnsi="宋体"/>
                <w:szCs w:val="21"/>
              </w:rPr>
            </w:pPr>
            <w:r>
              <w:rPr>
                <w:rFonts w:ascii="宋体" w:hAnsi="宋体"/>
                <w:szCs w:val="21"/>
              </w:rPr>
              <w:t>评分因素</w:t>
            </w:r>
          </w:p>
        </w:tc>
        <w:tc>
          <w:tcPr>
            <w:tcW w:w="992" w:type="dxa"/>
            <w:vAlign w:val="center"/>
          </w:tcPr>
          <w:p w14:paraId="141195BE">
            <w:pPr>
              <w:ind w:firstLine="28"/>
              <w:jc w:val="center"/>
              <w:rPr>
                <w:rFonts w:ascii="宋体" w:hAnsi="宋体"/>
                <w:szCs w:val="21"/>
              </w:rPr>
            </w:pPr>
            <w:r>
              <w:rPr>
                <w:rFonts w:ascii="宋体" w:hAnsi="宋体"/>
                <w:szCs w:val="21"/>
              </w:rPr>
              <w:t>分值</w:t>
            </w:r>
          </w:p>
        </w:tc>
        <w:tc>
          <w:tcPr>
            <w:tcW w:w="3686" w:type="dxa"/>
            <w:vAlign w:val="center"/>
          </w:tcPr>
          <w:p w14:paraId="01AA6781">
            <w:pPr>
              <w:ind w:firstLine="28"/>
              <w:jc w:val="center"/>
              <w:rPr>
                <w:rFonts w:ascii="宋体" w:hAnsi="宋体"/>
                <w:szCs w:val="21"/>
              </w:rPr>
            </w:pPr>
            <w:r>
              <w:rPr>
                <w:rFonts w:ascii="宋体" w:hAnsi="宋体"/>
                <w:szCs w:val="21"/>
              </w:rPr>
              <w:t>评分标准</w:t>
            </w:r>
          </w:p>
        </w:tc>
        <w:tc>
          <w:tcPr>
            <w:tcW w:w="3118" w:type="dxa"/>
            <w:vAlign w:val="center"/>
          </w:tcPr>
          <w:p w14:paraId="01516C4D">
            <w:pPr>
              <w:pStyle w:val="257"/>
              <w:spacing w:before="0" w:after="0" w:line="240" w:lineRule="auto"/>
              <w:rPr>
                <w:rFonts w:ascii="宋体" w:hAnsi="宋体" w:eastAsia="宋体"/>
                <w:b w:val="0"/>
                <w:sz w:val="21"/>
                <w:szCs w:val="21"/>
              </w:rPr>
            </w:pPr>
            <w:r>
              <w:rPr>
                <w:rFonts w:ascii="宋体" w:hAnsi="宋体" w:eastAsia="宋体"/>
                <w:b w:val="0"/>
                <w:sz w:val="21"/>
                <w:szCs w:val="21"/>
              </w:rPr>
              <w:t>说明</w:t>
            </w:r>
          </w:p>
        </w:tc>
      </w:tr>
      <w:tr w14:paraId="2893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993" w:type="dxa"/>
            <w:vAlign w:val="center"/>
          </w:tcPr>
          <w:p w14:paraId="43FD8C75">
            <w:pPr>
              <w:ind w:firstLine="28"/>
              <w:jc w:val="center"/>
              <w:rPr>
                <w:rFonts w:ascii="宋体" w:hAnsi="宋体"/>
                <w:szCs w:val="21"/>
              </w:rPr>
            </w:pPr>
            <w:r>
              <w:rPr>
                <w:rFonts w:hint="eastAsia" w:ascii="宋体" w:hAnsi="宋体"/>
                <w:szCs w:val="21"/>
              </w:rPr>
              <w:t>1</w:t>
            </w:r>
          </w:p>
        </w:tc>
        <w:tc>
          <w:tcPr>
            <w:tcW w:w="992" w:type="dxa"/>
            <w:vAlign w:val="center"/>
          </w:tcPr>
          <w:p w14:paraId="71024007">
            <w:pPr>
              <w:ind w:firstLine="28"/>
              <w:jc w:val="center"/>
              <w:rPr>
                <w:rFonts w:ascii="宋体" w:hAnsi="宋体"/>
                <w:szCs w:val="21"/>
              </w:rPr>
            </w:pPr>
            <w:r>
              <w:rPr>
                <w:rFonts w:ascii="宋体" w:hAnsi="宋体"/>
                <w:szCs w:val="21"/>
              </w:rPr>
              <w:t>报价</w:t>
            </w:r>
          </w:p>
        </w:tc>
        <w:tc>
          <w:tcPr>
            <w:tcW w:w="992" w:type="dxa"/>
            <w:vAlign w:val="center"/>
          </w:tcPr>
          <w:p w14:paraId="7E5F34B1">
            <w:pPr>
              <w:ind w:firstLine="28"/>
              <w:jc w:val="center"/>
              <w:rPr>
                <w:rFonts w:ascii="宋体" w:hAnsi="宋体"/>
                <w:szCs w:val="21"/>
              </w:rPr>
            </w:pPr>
            <w:r>
              <w:rPr>
                <w:rFonts w:hint="eastAsia" w:ascii="宋体" w:hAnsi="宋体"/>
                <w:szCs w:val="21"/>
              </w:rPr>
              <w:t>10分</w:t>
            </w:r>
          </w:p>
        </w:tc>
        <w:tc>
          <w:tcPr>
            <w:tcW w:w="3686" w:type="dxa"/>
            <w:vAlign w:val="center"/>
          </w:tcPr>
          <w:p w14:paraId="257556B9">
            <w:pPr>
              <w:ind w:firstLine="28"/>
              <w:jc w:val="left"/>
              <w:rPr>
                <w:rFonts w:ascii="宋体" w:hAnsi="宋体"/>
                <w:szCs w:val="21"/>
              </w:rPr>
            </w:pPr>
            <w:r>
              <w:rPr>
                <w:rFonts w:ascii="宋体" w:hAnsi="宋体"/>
                <w:szCs w:val="21"/>
              </w:rPr>
              <w:t>满足磋商文件要求的最后报价最低的供应商的价格为磋商基准价，其价格分为满分。其他供应商的价格分统一按照下列公式计算：</w:t>
            </w:r>
          </w:p>
          <w:p w14:paraId="218CCAC1">
            <w:pPr>
              <w:ind w:firstLine="28"/>
              <w:jc w:val="left"/>
              <w:rPr>
                <w:rFonts w:ascii="宋体" w:hAnsi="宋体"/>
                <w:szCs w:val="21"/>
              </w:rPr>
            </w:pPr>
            <w:r>
              <w:rPr>
                <w:rFonts w:ascii="宋体" w:hAnsi="宋体"/>
                <w:szCs w:val="21"/>
              </w:rPr>
              <w:t>磋商报价得分=（磋商基准价/最后报价）×</w:t>
            </w:r>
            <w:r>
              <w:rPr>
                <w:rFonts w:hint="eastAsia" w:ascii="宋体" w:hAnsi="宋体"/>
                <w:szCs w:val="21"/>
              </w:rPr>
              <w:t>10</w:t>
            </w:r>
          </w:p>
        </w:tc>
        <w:tc>
          <w:tcPr>
            <w:tcW w:w="3118" w:type="dxa"/>
            <w:vAlign w:val="center"/>
          </w:tcPr>
          <w:p w14:paraId="314B15E5">
            <w:pPr>
              <w:ind w:left="-38"/>
              <w:rPr>
                <w:rFonts w:ascii="宋体" w:hAnsi="宋体"/>
                <w:szCs w:val="21"/>
              </w:rPr>
            </w:pPr>
            <w:r>
              <w:rPr>
                <w:rFonts w:ascii="宋体" w:hAnsi="宋体"/>
                <w:szCs w:val="21"/>
              </w:rPr>
              <w:t>此处最后报价指经过报价修正，及因落实政府采购政策进行价格调整后的报价，详见第三章《评审方法和评审标准》3.2、3.3</w:t>
            </w:r>
            <w:r>
              <w:rPr>
                <w:rFonts w:hint="eastAsia" w:ascii="宋体" w:hAnsi="宋体"/>
                <w:szCs w:val="21"/>
              </w:rPr>
              <w:t>及3.4。</w:t>
            </w:r>
          </w:p>
        </w:tc>
      </w:tr>
      <w:tr w14:paraId="24DA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85" w:type="dxa"/>
            <w:gridSpan w:val="2"/>
            <w:vAlign w:val="center"/>
          </w:tcPr>
          <w:p w14:paraId="49185FCD">
            <w:pPr>
              <w:ind w:firstLine="28"/>
              <w:jc w:val="center"/>
              <w:rPr>
                <w:rFonts w:ascii="宋体" w:hAnsi="宋体"/>
                <w:szCs w:val="21"/>
              </w:rPr>
            </w:pPr>
            <w:r>
              <w:rPr>
                <w:rFonts w:ascii="宋体" w:hAnsi="宋体"/>
                <w:szCs w:val="21"/>
              </w:rPr>
              <w:t>合计</w:t>
            </w:r>
          </w:p>
        </w:tc>
        <w:tc>
          <w:tcPr>
            <w:tcW w:w="992" w:type="dxa"/>
            <w:vAlign w:val="center"/>
          </w:tcPr>
          <w:p w14:paraId="47202280">
            <w:pPr>
              <w:ind w:firstLine="28"/>
              <w:jc w:val="center"/>
              <w:rPr>
                <w:rFonts w:ascii="宋体" w:hAnsi="宋体"/>
                <w:szCs w:val="21"/>
              </w:rPr>
            </w:pPr>
            <w:r>
              <w:rPr>
                <w:rFonts w:hint="eastAsia" w:ascii="宋体" w:hAnsi="宋体"/>
                <w:szCs w:val="21"/>
              </w:rPr>
              <w:t>10分</w:t>
            </w:r>
          </w:p>
        </w:tc>
        <w:tc>
          <w:tcPr>
            <w:tcW w:w="6804" w:type="dxa"/>
            <w:gridSpan w:val="2"/>
            <w:vAlign w:val="center"/>
          </w:tcPr>
          <w:p w14:paraId="36D858F9">
            <w:pPr>
              <w:rPr>
                <w:rFonts w:ascii="宋体" w:hAnsi="宋体"/>
                <w:szCs w:val="21"/>
              </w:rPr>
            </w:pPr>
          </w:p>
        </w:tc>
      </w:tr>
    </w:tbl>
    <w:p w14:paraId="5FDB49D9">
      <w:pPr>
        <w:tabs>
          <w:tab w:val="left" w:pos="360"/>
          <w:tab w:val="left" w:pos="1080"/>
        </w:tabs>
        <w:snapToGrid w:val="0"/>
        <w:spacing w:line="360" w:lineRule="auto"/>
        <w:ind w:left="1080"/>
        <w:rPr>
          <w:rFonts w:ascii="宋体" w:hAnsi="宋体"/>
          <w:sz w:val="24"/>
        </w:rPr>
      </w:pPr>
    </w:p>
    <w:p w14:paraId="7AACF5F3">
      <w:pPr>
        <w:tabs>
          <w:tab w:val="left" w:pos="360"/>
          <w:tab w:val="left" w:pos="900"/>
          <w:tab w:val="left" w:pos="1080"/>
          <w:tab w:val="left" w:pos="2014"/>
        </w:tabs>
        <w:snapToGrid w:val="0"/>
        <w:spacing w:line="360" w:lineRule="auto"/>
        <w:rPr>
          <w:rFonts w:ascii="宋体" w:hAnsi="宋体"/>
          <w:bCs/>
          <w:sz w:val="24"/>
        </w:rPr>
      </w:pPr>
      <w:r>
        <w:rPr>
          <w:rFonts w:hint="eastAsia" w:ascii="宋体" w:hAnsi="宋体"/>
          <w:sz w:val="24"/>
        </w:rPr>
        <w:t>2.</w:t>
      </w:r>
      <w:r>
        <w:rPr>
          <w:rFonts w:hint="eastAsia" w:ascii="宋体" w:hAnsi="宋体"/>
          <w:bCs/>
          <w:sz w:val="24"/>
        </w:rPr>
        <w:t xml:space="preserve"> 商务部分评审标准（55分）</w:t>
      </w:r>
    </w:p>
    <w:tbl>
      <w:tblPr>
        <w:tblStyle w:val="49"/>
        <w:tblW w:w="5000" w:type="pct"/>
        <w:tblInd w:w="-34" w:type="dxa"/>
        <w:tblLayout w:type="fixed"/>
        <w:tblCellMar>
          <w:top w:w="0" w:type="dxa"/>
          <w:left w:w="108" w:type="dxa"/>
          <w:bottom w:w="0" w:type="dxa"/>
          <w:right w:w="108" w:type="dxa"/>
        </w:tblCellMar>
      </w:tblPr>
      <w:tblGrid>
        <w:gridCol w:w="1169"/>
        <w:gridCol w:w="873"/>
        <w:gridCol w:w="2336"/>
        <w:gridCol w:w="4390"/>
        <w:gridCol w:w="1022"/>
      </w:tblGrid>
      <w:tr w14:paraId="599570D1">
        <w:tblPrEx>
          <w:tblCellMar>
            <w:top w:w="0" w:type="dxa"/>
            <w:left w:w="108" w:type="dxa"/>
            <w:bottom w:w="0" w:type="dxa"/>
            <w:right w:w="108" w:type="dxa"/>
          </w:tblCellMar>
        </w:tblPrEx>
        <w:trPr>
          <w:trHeight w:val="519" w:hRule="atLeast"/>
        </w:trPr>
        <w:tc>
          <w:tcPr>
            <w:tcW w:w="597" w:type="pct"/>
            <w:tcBorders>
              <w:top w:val="single" w:color="auto" w:sz="4" w:space="0"/>
              <w:left w:val="single" w:color="auto" w:sz="4" w:space="0"/>
              <w:bottom w:val="single" w:color="auto" w:sz="4" w:space="0"/>
              <w:right w:val="single" w:color="auto" w:sz="4" w:space="0"/>
            </w:tcBorders>
            <w:vAlign w:val="center"/>
          </w:tcPr>
          <w:p w14:paraId="58646F99">
            <w:pPr>
              <w:spacing w:before="60" w:beforeLines="25" w:after="60" w:afterLines="25"/>
              <w:jc w:val="center"/>
              <w:rPr>
                <w:rFonts w:ascii="宋体" w:hAnsi="宋体"/>
                <w:szCs w:val="21"/>
              </w:rPr>
            </w:pPr>
            <w:r>
              <w:rPr>
                <w:rFonts w:hint="eastAsia" w:ascii="宋体" w:hAnsi="宋体"/>
                <w:szCs w:val="21"/>
              </w:rPr>
              <w:t>评审项目</w:t>
            </w:r>
          </w:p>
        </w:tc>
        <w:tc>
          <w:tcPr>
            <w:tcW w:w="446" w:type="pct"/>
            <w:tcBorders>
              <w:top w:val="single" w:color="auto" w:sz="4" w:space="0"/>
              <w:left w:val="nil"/>
              <w:bottom w:val="single" w:color="auto" w:sz="4" w:space="0"/>
              <w:right w:val="single" w:color="auto" w:sz="4" w:space="0"/>
            </w:tcBorders>
            <w:vAlign w:val="center"/>
          </w:tcPr>
          <w:p w14:paraId="201A3865">
            <w:pPr>
              <w:spacing w:before="60" w:beforeLines="25" w:after="60" w:afterLines="25"/>
              <w:jc w:val="center"/>
              <w:rPr>
                <w:rFonts w:ascii="宋体" w:hAnsi="宋体"/>
                <w:szCs w:val="21"/>
              </w:rPr>
            </w:pPr>
            <w:r>
              <w:rPr>
                <w:rFonts w:hint="eastAsia" w:ascii="宋体" w:hAnsi="宋体"/>
                <w:szCs w:val="21"/>
              </w:rPr>
              <w:t>标准分</w:t>
            </w:r>
          </w:p>
        </w:tc>
        <w:tc>
          <w:tcPr>
            <w:tcW w:w="3435" w:type="pct"/>
            <w:gridSpan w:val="2"/>
            <w:tcBorders>
              <w:top w:val="single" w:color="auto" w:sz="4" w:space="0"/>
              <w:left w:val="nil"/>
              <w:bottom w:val="single" w:color="auto" w:sz="4" w:space="0"/>
              <w:right w:val="single" w:color="auto" w:sz="4" w:space="0"/>
            </w:tcBorders>
            <w:vAlign w:val="center"/>
          </w:tcPr>
          <w:p w14:paraId="28F23F2D">
            <w:pPr>
              <w:spacing w:before="60" w:beforeLines="25" w:after="60" w:afterLines="25"/>
              <w:jc w:val="center"/>
              <w:rPr>
                <w:rFonts w:ascii="宋体" w:hAnsi="宋体"/>
                <w:szCs w:val="21"/>
              </w:rPr>
            </w:pPr>
            <w:r>
              <w:rPr>
                <w:rFonts w:hint="eastAsia" w:ascii="宋体" w:hAnsi="宋体"/>
                <w:szCs w:val="21"/>
              </w:rPr>
              <w:t>评分标准</w:t>
            </w:r>
          </w:p>
        </w:tc>
        <w:tc>
          <w:tcPr>
            <w:tcW w:w="522" w:type="pct"/>
            <w:tcBorders>
              <w:top w:val="single" w:color="auto" w:sz="4" w:space="0"/>
              <w:left w:val="nil"/>
              <w:bottom w:val="single" w:color="auto" w:sz="4" w:space="0"/>
              <w:right w:val="single" w:color="auto" w:sz="4" w:space="0"/>
            </w:tcBorders>
            <w:vAlign w:val="center"/>
          </w:tcPr>
          <w:p w14:paraId="706E7BEF">
            <w:pPr>
              <w:spacing w:before="60" w:beforeLines="25" w:after="60" w:afterLines="25"/>
              <w:jc w:val="center"/>
              <w:rPr>
                <w:rFonts w:ascii="宋体" w:hAnsi="宋体"/>
                <w:szCs w:val="21"/>
              </w:rPr>
            </w:pPr>
            <w:r>
              <w:rPr>
                <w:rFonts w:hint="eastAsia" w:ascii="宋体" w:hAnsi="宋体"/>
                <w:szCs w:val="21"/>
              </w:rPr>
              <w:t>分值</w:t>
            </w:r>
          </w:p>
        </w:tc>
      </w:tr>
      <w:tr w14:paraId="47939059">
        <w:tblPrEx>
          <w:tblCellMar>
            <w:top w:w="0" w:type="dxa"/>
            <w:left w:w="108" w:type="dxa"/>
            <w:bottom w:w="0" w:type="dxa"/>
            <w:right w:w="108" w:type="dxa"/>
          </w:tblCellMar>
        </w:tblPrEx>
        <w:trPr>
          <w:trHeight w:val="574" w:hRule="atLeast"/>
        </w:trPr>
        <w:tc>
          <w:tcPr>
            <w:tcW w:w="597" w:type="pct"/>
            <w:vMerge w:val="restart"/>
            <w:tcBorders>
              <w:top w:val="single" w:color="auto" w:sz="4" w:space="0"/>
              <w:left w:val="single" w:color="auto" w:sz="4" w:space="0"/>
              <w:right w:val="single" w:color="auto" w:sz="4" w:space="0"/>
            </w:tcBorders>
            <w:vAlign w:val="center"/>
          </w:tcPr>
          <w:tbl>
            <w:tblPr>
              <w:tblStyle w:val="49"/>
              <w:tblW w:w="1779" w:type="dxa"/>
              <w:tblInd w:w="14" w:type="dxa"/>
              <w:tblLayout w:type="fixed"/>
              <w:tblCellMar>
                <w:top w:w="0" w:type="dxa"/>
                <w:left w:w="108" w:type="dxa"/>
                <w:bottom w:w="0" w:type="dxa"/>
                <w:right w:w="108" w:type="dxa"/>
              </w:tblCellMar>
            </w:tblPr>
            <w:tblGrid>
              <w:gridCol w:w="1779"/>
            </w:tblGrid>
            <w:tr w14:paraId="79739179">
              <w:tblPrEx>
                <w:tblCellMar>
                  <w:top w:w="0" w:type="dxa"/>
                  <w:left w:w="108" w:type="dxa"/>
                  <w:bottom w:w="0" w:type="dxa"/>
                  <w:right w:w="108" w:type="dxa"/>
                </w:tblCellMar>
              </w:tblPrEx>
              <w:trPr>
                <w:trHeight w:val="411" w:hRule="atLeast"/>
              </w:trPr>
              <w:tc>
                <w:tcPr>
                  <w:tcW w:w="1779" w:type="dxa"/>
                </w:tcPr>
                <w:p w14:paraId="5515D878">
                  <w:pPr>
                    <w:autoSpaceDE w:val="0"/>
                    <w:autoSpaceDN w:val="0"/>
                    <w:rPr>
                      <w:rFonts w:ascii="宋体" w:hAnsi="宋体"/>
                      <w:szCs w:val="21"/>
                    </w:rPr>
                  </w:pPr>
                  <w:r>
                    <w:rPr>
                      <w:rFonts w:hint="eastAsia" w:ascii="宋体" w:hAnsi="宋体"/>
                      <w:szCs w:val="21"/>
                    </w:rPr>
                    <w:t>企业</w:t>
                  </w:r>
                </w:p>
                <w:p w14:paraId="421E4591">
                  <w:pPr>
                    <w:autoSpaceDE w:val="0"/>
                    <w:autoSpaceDN w:val="0"/>
                    <w:rPr>
                      <w:rFonts w:ascii="宋体" w:hAnsi="宋体"/>
                      <w:szCs w:val="21"/>
                    </w:rPr>
                  </w:pPr>
                  <w:r>
                    <w:rPr>
                      <w:rFonts w:hint="eastAsia" w:ascii="宋体" w:hAnsi="宋体"/>
                      <w:szCs w:val="21"/>
                    </w:rPr>
                    <w:t>管理</w:t>
                  </w:r>
                </w:p>
                <w:p w14:paraId="1E5F9A94">
                  <w:pPr>
                    <w:autoSpaceDE w:val="0"/>
                    <w:autoSpaceDN w:val="0"/>
                    <w:rPr>
                      <w:rFonts w:ascii="宋体" w:hAnsi="宋体"/>
                      <w:szCs w:val="21"/>
                    </w:rPr>
                  </w:pPr>
                  <w:r>
                    <w:rPr>
                      <w:rFonts w:hint="eastAsia" w:ascii="宋体" w:hAnsi="宋体"/>
                      <w:szCs w:val="21"/>
                    </w:rPr>
                    <w:t>体系</w:t>
                  </w:r>
                </w:p>
                <w:p w14:paraId="54B9DD81">
                  <w:pPr>
                    <w:autoSpaceDE w:val="0"/>
                    <w:autoSpaceDN w:val="0"/>
                    <w:rPr>
                      <w:rFonts w:ascii="宋体" w:hAnsi="宋体"/>
                      <w:szCs w:val="21"/>
                    </w:rPr>
                  </w:pPr>
                  <w:r>
                    <w:rPr>
                      <w:rFonts w:hint="eastAsia" w:ascii="宋体" w:hAnsi="宋体"/>
                      <w:szCs w:val="21"/>
                    </w:rPr>
                    <w:t>认证</w:t>
                  </w:r>
                </w:p>
              </w:tc>
            </w:tr>
          </w:tbl>
          <w:p w14:paraId="61A0D993">
            <w:pPr>
              <w:spacing w:before="60" w:beforeLines="25" w:after="60" w:afterLines="25"/>
              <w:rPr>
                <w:rFonts w:ascii="宋体" w:hAnsi="宋体"/>
                <w:szCs w:val="21"/>
              </w:rPr>
            </w:pPr>
          </w:p>
        </w:tc>
        <w:tc>
          <w:tcPr>
            <w:tcW w:w="446" w:type="pct"/>
            <w:vMerge w:val="restart"/>
            <w:tcBorders>
              <w:top w:val="single" w:color="auto" w:sz="4" w:space="0"/>
              <w:left w:val="single" w:color="auto" w:sz="4" w:space="0"/>
              <w:right w:val="single" w:color="auto" w:sz="4" w:space="0"/>
            </w:tcBorders>
            <w:vAlign w:val="center"/>
          </w:tcPr>
          <w:p w14:paraId="72C7B7BD">
            <w:pPr>
              <w:spacing w:before="60" w:beforeLines="25" w:after="60" w:afterLines="25"/>
              <w:jc w:val="center"/>
              <w:rPr>
                <w:rFonts w:ascii="宋体" w:hAnsi="宋体"/>
                <w:szCs w:val="21"/>
              </w:rPr>
            </w:pPr>
            <w:r>
              <w:rPr>
                <w:rFonts w:hint="eastAsia" w:ascii="宋体" w:hAnsi="宋体"/>
                <w:szCs w:val="21"/>
              </w:rPr>
              <w:t>9分</w:t>
            </w:r>
          </w:p>
        </w:tc>
        <w:tc>
          <w:tcPr>
            <w:tcW w:w="1193" w:type="pct"/>
            <w:tcBorders>
              <w:top w:val="single" w:color="auto" w:sz="4" w:space="0"/>
              <w:left w:val="nil"/>
              <w:right w:val="single" w:color="auto" w:sz="4" w:space="0"/>
            </w:tcBorders>
            <w:vAlign w:val="center"/>
          </w:tcPr>
          <w:p w14:paraId="72E0B79B">
            <w:pPr>
              <w:autoSpaceDE w:val="0"/>
              <w:autoSpaceDN w:val="0"/>
              <w:rPr>
                <w:rFonts w:ascii="宋体" w:hAnsi="宋体"/>
                <w:szCs w:val="21"/>
              </w:rPr>
            </w:pPr>
            <w:r>
              <w:rPr>
                <w:rFonts w:hint="eastAsia" w:ascii="宋体" w:hAnsi="宋体"/>
                <w:szCs w:val="21"/>
              </w:rPr>
              <w:t>有质量管理体系认证证书（3分）</w:t>
            </w:r>
          </w:p>
        </w:tc>
        <w:tc>
          <w:tcPr>
            <w:tcW w:w="2242" w:type="pct"/>
            <w:tcBorders>
              <w:top w:val="single" w:color="auto" w:sz="4" w:space="0"/>
              <w:left w:val="nil"/>
              <w:bottom w:val="single" w:color="auto" w:sz="4" w:space="0"/>
              <w:right w:val="single" w:color="auto" w:sz="4" w:space="0"/>
            </w:tcBorders>
            <w:vAlign w:val="center"/>
          </w:tcPr>
          <w:p w14:paraId="31F0AF85">
            <w:pPr>
              <w:spacing w:before="60" w:beforeLines="25" w:after="60" w:afterLines="25"/>
              <w:rPr>
                <w:rFonts w:ascii="宋体" w:hAnsi="宋体"/>
                <w:szCs w:val="21"/>
              </w:rPr>
            </w:pPr>
            <w:r>
              <w:rPr>
                <w:rFonts w:hint="eastAsia" w:ascii="宋体" w:hAnsi="宋体"/>
                <w:szCs w:val="21"/>
              </w:rPr>
              <w:t>提供（复印件加盖供应商单位公章）得3分，没有得</w:t>
            </w:r>
            <w:r>
              <w:rPr>
                <w:rFonts w:ascii="宋体" w:hAnsi="宋体"/>
                <w:szCs w:val="21"/>
              </w:rPr>
              <w:t>0</w:t>
            </w:r>
            <w:r>
              <w:rPr>
                <w:rFonts w:hint="eastAsia" w:ascii="宋体" w:hAnsi="宋体"/>
                <w:szCs w:val="21"/>
              </w:rPr>
              <w:t>分；</w:t>
            </w:r>
          </w:p>
        </w:tc>
        <w:tc>
          <w:tcPr>
            <w:tcW w:w="522" w:type="pct"/>
            <w:tcBorders>
              <w:top w:val="single" w:color="auto" w:sz="4" w:space="0"/>
              <w:left w:val="nil"/>
              <w:bottom w:val="single" w:color="auto" w:sz="4" w:space="0"/>
              <w:right w:val="single" w:color="auto" w:sz="4" w:space="0"/>
            </w:tcBorders>
            <w:vAlign w:val="center"/>
          </w:tcPr>
          <w:p w14:paraId="798A3EAE">
            <w:pPr>
              <w:spacing w:before="60" w:beforeLines="25" w:after="60" w:afterLines="25"/>
              <w:jc w:val="center"/>
              <w:rPr>
                <w:rFonts w:ascii="宋体" w:hAnsi="宋体"/>
                <w:szCs w:val="21"/>
              </w:rPr>
            </w:pPr>
            <w:r>
              <w:rPr>
                <w:rFonts w:hint="eastAsia" w:ascii="宋体" w:hAnsi="宋体"/>
                <w:szCs w:val="21"/>
              </w:rPr>
              <w:t>0-3分</w:t>
            </w:r>
          </w:p>
        </w:tc>
      </w:tr>
      <w:tr w14:paraId="6463D327">
        <w:tblPrEx>
          <w:tblCellMar>
            <w:top w:w="0" w:type="dxa"/>
            <w:left w:w="108" w:type="dxa"/>
            <w:bottom w:w="0" w:type="dxa"/>
            <w:right w:w="108" w:type="dxa"/>
          </w:tblCellMar>
        </w:tblPrEx>
        <w:trPr>
          <w:trHeight w:val="597" w:hRule="atLeast"/>
        </w:trPr>
        <w:tc>
          <w:tcPr>
            <w:tcW w:w="597" w:type="pct"/>
            <w:vMerge w:val="continue"/>
            <w:tcBorders>
              <w:left w:val="single" w:color="auto" w:sz="4" w:space="0"/>
              <w:right w:val="single" w:color="auto" w:sz="4" w:space="0"/>
            </w:tcBorders>
            <w:vAlign w:val="center"/>
          </w:tcPr>
          <w:p w14:paraId="031578FB">
            <w:pPr>
              <w:spacing w:before="60" w:beforeLines="25" w:after="60" w:afterLines="25"/>
              <w:rPr>
                <w:rFonts w:ascii="宋体" w:hAnsi="宋体"/>
                <w:szCs w:val="21"/>
              </w:rPr>
            </w:pPr>
          </w:p>
        </w:tc>
        <w:tc>
          <w:tcPr>
            <w:tcW w:w="446" w:type="pct"/>
            <w:vMerge w:val="continue"/>
            <w:tcBorders>
              <w:left w:val="single" w:color="auto" w:sz="4" w:space="0"/>
              <w:right w:val="single" w:color="auto" w:sz="4" w:space="0"/>
            </w:tcBorders>
            <w:vAlign w:val="center"/>
          </w:tcPr>
          <w:p w14:paraId="69CEF612">
            <w:pPr>
              <w:spacing w:before="60" w:beforeLines="25" w:after="60" w:afterLines="25"/>
              <w:jc w:val="center"/>
              <w:rPr>
                <w:rFonts w:ascii="宋体" w:hAnsi="宋体"/>
                <w:szCs w:val="21"/>
              </w:rPr>
            </w:pPr>
          </w:p>
        </w:tc>
        <w:tc>
          <w:tcPr>
            <w:tcW w:w="1193" w:type="pct"/>
            <w:tcBorders>
              <w:top w:val="single" w:color="auto" w:sz="4" w:space="0"/>
              <w:left w:val="nil"/>
              <w:right w:val="single" w:color="auto" w:sz="4" w:space="0"/>
            </w:tcBorders>
            <w:vAlign w:val="center"/>
          </w:tcPr>
          <w:p w14:paraId="43C2F5EB">
            <w:pPr>
              <w:autoSpaceDE w:val="0"/>
              <w:autoSpaceDN w:val="0"/>
              <w:rPr>
                <w:rFonts w:ascii="宋体" w:hAnsi="宋体"/>
                <w:szCs w:val="21"/>
              </w:rPr>
            </w:pPr>
            <w:r>
              <w:rPr>
                <w:rFonts w:hint="eastAsia" w:ascii="宋体" w:hAnsi="宋体"/>
                <w:szCs w:val="21"/>
              </w:rPr>
              <w:t>有环境管理体系认证证书</w:t>
            </w:r>
            <w:r>
              <w:rPr>
                <w:rFonts w:ascii="宋体" w:hAnsi="宋体"/>
                <w:szCs w:val="21"/>
              </w:rPr>
              <w:t xml:space="preserve"> </w:t>
            </w:r>
            <w:r>
              <w:rPr>
                <w:rFonts w:hint="eastAsia" w:ascii="宋体" w:hAnsi="宋体"/>
                <w:szCs w:val="21"/>
              </w:rPr>
              <w:t>（3分）</w:t>
            </w:r>
          </w:p>
        </w:tc>
        <w:tc>
          <w:tcPr>
            <w:tcW w:w="2242" w:type="pct"/>
            <w:tcBorders>
              <w:top w:val="single" w:color="auto" w:sz="4" w:space="0"/>
              <w:left w:val="nil"/>
              <w:bottom w:val="single" w:color="auto" w:sz="4" w:space="0"/>
              <w:right w:val="single" w:color="auto" w:sz="4" w:space="0"/>
            </w:tcBorders>
            <w:vAlign w:val="center"/>
          </w:tcPr>
          <w:p w14:paraId="29612000">
            <w:pPr>
              <w:spacing w:before="60" w:beforeLines="25" w:after="60" w:afterLines="25"/>
              <w:rPr>
                <w:rFonts w:ascii="宋体" w:hAnsi="宋体"/>
                <w:szCs w:val="21"/>
              </w:rPr>
            </w:pPr>
            <w:r>
              <w:rPr>
                <w:rFonts w:hint="eastAsia" w:ascii="宋体" w:hAnsi="宋体"/>
                <w:szCs w:val="21"/>
              </w:rPr>
              <w:t>提供（复印件加盖供应商单位公章）得3分，没有得</w:t>
            </w:r>
            <w:r>
              <w:rPr>
                <w:rFonts w:ascii="宋体" w:hAnsi="宋体"/>
                <w:szCs w:val="21"/>
              </w:rPr>
              <w:t>0</w:t>
            </w:r>
            <w:r>
              <w:rPr>
                <w:rFonts w:hint="eastAsia" w:ascii="宋体" w:hAnsi="宋体"/>
                <w:szCs w:val="21"/>
              </w:rPr>
              <w:t>分；</w:t>
            </w:r>
          </w:p>
        </w:tc>
        <w:tc>
          <w:tcPr>
            <w:tcW w:w="522" w:type="pct"/>
            <w:tcBorders>
              <w:top w:val="single" w:color="auto" w:sz="4" w:space="0"/>
              <w:left w:val="nil"/>
              <w:bottom w:val="single" w:color="auto" w:sz="4" w:space="0"/>
              <w:right w:val="single" w:color="auto" w:sz="4" w:space="0"/>
            </w:tcBorders>
            <w:vAlign w:val="center"/>
          </w:tcPr>
          <w:p w14:paraId="0E155B7F">
            <w:pPr>
              <w:jc w:val="center"/>
              <w:rPr>
                <w:rFonts w:ascii="宋体" w:hAnsi="宋体"/>
                <w:szCs w:val="21"/>
              </w:rPr>
            </w:pPr>
            <w:r>
              <w:rPr>
                <w:rFonts w:hint="eastAsia" w:ascii="宋体" w:hAnsi="宋体"/>
                <w:szCs w:val="21"/>
              </w:rPr>
              <w:t>0-3分</w:t>
            </w:r>
          </w:p>
        </w:tc>
      </w:tr>
      <w:tr w14:paraId="3CFFF330">
        <w:tblPrEx>
          <w:tblCellMar>
            <w:top w:w="0" w:type="dxa"/>
            <w:left w:w="108" w:type="dxa"/>
            <w:bottom w:w="0" w:type="dxa"/>
            <w:right w:w="108" w:type="dxa"/>
          </w:tblCellMar>
        </w:tblPrEx>
        <w:trPr>
          <w:trHeight w:val="484" w:hRule="atLeast"/>
        </w:trPr>
        <w:tc>
          <w:tcPr>
            <w:tcW w:w="597" w:type="pct"/>
            <w:vMerge w:val="continue"/>
            <w:tcBorders>
              <w:left w:val="single" w:color="auto" w:sz="4" w:space="0"/>
              <w:right w:val="single" w:color="auto" w:sz="4" w:space="0"/>
            </w:tcBorders>
            <w:vAlign w:val="center"/>
          </w:tcPr>
          <w:p w14:paraId="64A86BF6">
            <w:pPr>
              <w:spacing w:before="60" w:beforeLines="25" w:after="60" w:afterLines="25"/>
              <w:rPr>
                <w:rFonts w:ascii="宋体" w:hAnsi="宋体"/>
                <w:szCs w:val="21"/>
              </w:rPr>
            </w:pPr>
          </w:p>
        </w:tc>
        <w:tc>
          <w:tcPr>
            <w:tcW w:w="446" w:type="pct"/>
            <w:vMerge w:val="continue"/>
            <w:tcBorders>
              <w:left w:val="single" w:color="auto" w:sz="4" w:space="0"/>
              <w:right w:val="single" w:color="auto" w:sz="4" w:space="0"/>
            </w:tcBorders>
            <w:vAlign w:val="center"/>
          </w:tcPr>
          <w:p w14:paraId="2C42B2AE">
            <w:pPr>
              <w:spacing w:before="60" w:beforeLines="25" w:after="60" w:afterLines="25"/>
              <w:jc w:val="center"/>
              <w:rPr>
                <w:rFonts w:ascii="宋体" w:hAnsi="宋体"/>
                <w:szCs w:val="21"/>
              </w:rPr>
            </w:pPr>
          </w:p>
        </w:tc>
        <w:tc>
          <w:tcPr>
            <w:tcW w:w="1193" w:type="pct"/>
            <w:tcBorders>
              <w:top w:val="single" w:color="auto" w:sz="4" w:space="0"/>
              <w:left w:val="nil"/>
              <w:right w:val="single" w:color="auto" w:sz="4" w:space="0"/>
            </w:tcBorders>
            <w:vAlign w:val="center"/>
          </w:tcPr>
          <w:p w14:paraId="15CD8FC9">
            <w:pPr>
              <w:autoSpaceDE w:val="0"/>
              <w:autoSpaceDN w:val="0"/>
              <w:rPr>
                <w:rFonts w:ascii="宋体" w:hAnsi="宋体"/>
                <w:szCs w:val="21"/>
              </w:rPr>
            </w:pPr>
            <w:r>
              <w:rPr>
                <w:rFonts w:hint="eastAsia" w:ascii="宋体" w:hAnsi="宋体"/>
                <w:szCs w:val="21"/>
              </w:rPr>
              <w:t>有职业健康安全管理体系认证证书（3分）</w:t>
            </w:r>
          </w:p>
        </w:tc>
        <w:tc>
          <w:tcPr>
            <w:tcW w:w="2242" w:type="pct"/>
            <w:tcBorders>
              <w:top w:val="single" w:color="auto" w:sz="4" w:space="0"/>
              <w:left w:val="nil"/>
              <w:bottom w:val="single" w:color="auto" w:sz="4" w:space="0"/>
              <w:right w:val="single" w:color="auto" w:sz="4" w:space="0"/>
            </w:tcBorders>
            <w:vAlign w:val="center"/>
          </w:tcPr>
          <w:p w14:paraId="0A11CBF1">
            <w:pPr>
              <w:spacing w:before="60" w:beforeLines="25" w:after="60" w:afterLines="25"/>
              <w:rPr>
                <w:rFonts w:ascii="宋体" w:hAnsi="宋体"/>
                <w:szCs w:val="21"/>
              </w:rPr>
            </w:pPr>
            <w:r>
              <w:rPr>
                <w:rFonts w:hint="eastAsia" w:ascii="宋体" w:hAnsi="宋体"/>
                <w:szCs w:val="21"/>
              </w:rPr>
              <w:t>提供（复印件加盖供应商单位公章）得3分，没有得</w:t>
            </w:r>
            <w:r>
              <w:rPr>
                <w:rFonts w:ascii="宋体" w:hAnsi="宋体"/>
                <w:szCs w:val="21"/>
              </w:rPr>
              <w:t>0</w:t>
            </w:r>
            <w:r>
              <w:rPr>
                <w:rFonts w:hint="eastAsia" w:ascii="宋体" w:hAnsi="宋体"/>
                <w:szCs w:val="21"/>
              </w:rPr>
              <w:t>分；</w:t>
            </w:r>
          </w:p>
        </w:tc>
        <w:tc>
          <w:tcPr>
            <w:tcW w:w="522" w:type="pct"/>
            <w:tcBorders>
              <w:top w:val="single" w:color="auto" w:sz="4" w:space="0"/>
              <w:left w:val="nil"/>
              <w:bottom w:val="single" w:color="auto" w:sz="4" w:space="0"/>
              <w:right w:val="single" w:color="auto" w:sz="4" w:space="0"/>
            </w:tcBorders>
            <w:vAlign w:val="center"/>
          </w:tcPr>
          <w:p w14:paraId="67C99FAF">
            <w:pPr>
              <w:jc w:val="center"/>
              <w:rPr>
                <w:rFonts w:ascii="宋体" w:hAnsi="宋体"/>
                <w:szCs w:val="21"/>
              </w:rPr>
            </w:pPr>
            <w:r>
              <w:rPr>
                <w:rFonts w:hint="eastAsia" w:ascii="宋体" w:hAnsi="宋体"/>
                <w:szCs w:val="21"/>
              </w:rPr>
              <w:t>0-3分</w:t>
            </w:r>
          </w:p>
        </w:tc>
      </w:tr>
      <w:tr w14:paraId="7B3753E8">
        <w:tblPrEx>
          <w:tblCellMar>
            <w:top w:w="0" w:type="dxa"/>
            <w:left w:w="108" w:type="dxa"/>
            <w:bottom w:w="0" w:type="dxa"/>
            <w:right w:w="108" w:type="dxa"/>
          </w:tblCellMar>
        </w:tblPrEx>
        <w:trPr>
          <w:trHeight w:val="360" w:hRule="atLeast"/>
        </w:trPr>
        <w:tc>
          <w:tcPr>
            <w:tcW w:w="597" w:type="pct"/>
            <w:vMerge w:val="restart"/>
            <w:tcBorders>
              <w:top w:val="single" w:color="auto" w:sz="4" w:space="0"/>
              <w:left w:val="single" w:color="auto" w:sz="4" w:space="0"/>
              <w:right w:val="single" w:color="auto" w:sz="4" w:space="0"/>
            </w:tcBorders>
            <w:vAlign w:val="center"/>
          </w:tcPr>
          <w:p w14:paraId="42214085">
            <w:pPr>
              <w:spacing w:before="60" w:beforeLines="25" w:after="60" w:afterLines="25"/>
              <w:rPr>
                <w:rFonts w:ascii="宋体" w:hAnsi="宋体"/>
                <w:szCs w:val="21"/>
              </w:rPr>
            </w:pPr>
            <w:r>
              <w:rPr>
                <w:rFonts w:hint="eastAsia" w:ascii="宋体" w:hAnsi="宋体"/>
                <w:szCs w:val="21"/>
              </w:rPr>
              <w:t xml:space="preserve">项目负责人 </w:t>
            </w:r>
          </w:p>
        </w:tc>
        <w:tc>
          <w:tcPr>
            <w:tcW w:w="446" w:type="pct"/>
            <w:vMerge w:val="restart"/>
            <w:tcBorders>
              <w:top w:val="single" w:color="auto" w:sz="4" w:space="0"/>
              <w:left w:val="single" w:color="auto" w:sz="4" w:space="0"/>
              <w:right w:val="single" w:color="auto" w:sz="4" w:space="0"/>
            </w:tcBorders>
            <w:vAlign w:val="center"/>
          </w:tcPr>
          <w:p w14:paraId="10B4FE1E">
            <w:pPr>
              <w:spacing w:before="60" w:beforeLines="25" w:after="60" w:afterLines="25"/>
              <w:jc w:val="center"/>
              <w:rPr>
                <w:rFonts w:ascii="宋体" w:hAnsi="宋体"/>
                <w:szCs w:val="21"/>
              </w:rPr>
            </w:pPr>
            <w:r>
              <w:rPr>
                <w:rFonts w:hint="eastAsia" w:ascii="宋体" w:hAnsi="宋体"/>
                <w:szCs w:val="21"/>
              </w:rPr>
              <w:t>21分</w:t>
            </w:r>
          </w:p>
        </w:tc>
        <w:tc>
          <w:tcPr>
            <w:tcW w:w="1193" w:type="pct"/>
            <w:vMerge w:val="restart"/>
            <w:tcBorders>
              <w:top w:val="single" w:color="auto" w:sz="4" w:space="0"/>
              <w:left w:val="nil"/>
              <w:right w:val="single" w:color="auto" w:sz="4" w:space="0"/>
            </w:tcBorders>
            <w:vAlign w:val="center"/>
          </w:tcPr>
          <w:p w14:paraId="0A858989">
            <w:pPr>
              <w:spacing w:before="60" w:beforeLines="25" w:after="60" w:afterLines="25"/>
              <w:rPr>
                <w:rFonts w:ascii="宋体" w:hAnsi="宋体"/>
                <w:szCs w:val="21"/>
              </w:rPr>
            </w:pPr>
            <w:r>
              <w:rPr>
                <w:rFonts w:hint="eastAsia" w:ascii="宋体" w:hAnsi="宋体"/>
                <w:szCs w:val="21"/>
              </w:rPr>
              <w:t>职称（5分）</w:t>
            </w:r>
          </w:p>
        </w:tc>
        <w:tc>
          <w:tcPr>
            <w:tcW w:w="2242" w:type="pct"/>
            <w:tcBorders>
              <w:top w:val="single" w:color="auto" w:sz="4" w:space="0"/>
              <w:left w:val="nil"/>
              <w:bottom w:val="single" w:color="auto" w:sz="4" w:space="0"/>
              <w:right w:val="single" w:color="auto" w:sz="4" w:space="0"/>
            </w:tcBorders>
            <w:vAlign w:val="center"/>
          </w:tcPr>
          <w:p w14:paraId="3FFA0EEE">
            <w:pPr>
              <w:spacing w:before="60" w:beforeLines="25" w:after="60" w:afterLines="25"/>
              <w:rPr>
                <w:rFonts w:ascii="宋体" w:hAnsi="宋体"/>
                <w:szCs w:val="21"/>
              </w:rPr>
            </w:pPr>
            <w:r>
              <w:rPr>
                <w:rFonts w:hint="eastAsia" w:ascii="宋体" w:hAnsi="宋体"/>
                <w:szCs w:val="21"/>
              </w:rPr>
              <w:t>中级职称（含）以上</w:t>
            </w:r>
          </w:p>
        </w:tc>
        <w:tc>
          <w:tcPr>
            <w:tcW w:w="522" w:type="pct"/>
            <w:tcBorders>
              <w:top w:val="single" w:color="auto" w:sz="4" w:space="0"/>
              <w:left w:val="nil"/>
              <w:bottom w:val="single" w:color="auto" w:sz="4" w:space="0"/>
              <w:right w:val="single" w:color="auto" w:sz="4" w:space="0"/>
            </w:tcBorders>
            <w:vAlign w:val="center"/>
          </w:tcPr>
          <w:p w14:paraId="771BA935">
            <w:pPr>
              <w:spacing w:before="60" w:beforeLines="25" w:after="60" w:afterLines="25"/>
              <w:jc w:val="center"/>
              <w:rPr>
                <w:rFonts w:ascii="宋体" w:hAnsi="宋体"/>
                <w:szCs w:val="21"/>
              </w:rPr>
            </w:pPr>
            <w:r>
              <w:rPr>
                <w:rFonts w:hint="eastAsia" w:ascii="宋体" w:hAnsi="宋体"/>
                <w:szCs w:val="21"/>
              </w:rPr>
              <w:t>5分</w:t>
            </w:r>
          </w:p>
        </w:tc>
      </w:tr>
      <w:tr w14:paraId="47881EB2">
        <w:tblPrEx>
          <w:tblCellMar>
            <w:top w:w="0" w:type="dxa"/>
            <w:left w:w="108" w:type="dxa"/>
            <w:bottom w:w="0" w:type="dxa"/>
            <w:right w:w="108" w:type="dxa"/>
          </w:tblCellMar>
        </w:tblPrEx>
        <w:trPr>
          <w:trHeight w:val="421" w:hRule="atLeast"/>
        </w:trPr>
        <w:tc>
          <w:tcPr>
            <w:tcW w:w="597" w:type="pct"/>
            <w:vMerge w:val="continue"/>
            <w:tcBorders>
              <w:left w:val="single" w:color="auto" w:sz="4" w:space="0"/>
              <w:right w:val="single" w:color="auto" w:sz="4" w:space="0"/>
            </w:tcBorders>
            <w:vAlign w:val="center"/>
          </w:tcPr>
          <w:p w14:paraId="149ADCA7">
            <w:pPr>
              <w:spacing w:before="60" w:beforeLines="25" w:after="60" w:afterLines="25"/>
              <w:rPr>
                <w:rFonts w:ascii="宋体" w:hAnsi="宋体"/>
                <w:szCs w:val="21"/>
              </w:rPr>
            </w:pPr>
          </w:p>
        </w:tc>
        <w:tc>
          <w:tcPr>
            <w:tcW w:w="446" w:type="pct"/>
            <w:vMerge w:val="continue"/>
            <w:tcBorders>
              <w:left w:val="single" w:color="auto" w:sz="4" w:space="0"/>
              <w:right w:val="single" w:color="auto" w:sz="4" w:space="0"/>
            </w:tcBorders>
            <w:vAlign w:val="center"/>
          </w:tcPr>
          <w:p w14:paraId="140F9F67">
            <w:pPr>
              <w:spacing w:before="60" w:beforeLines="25" w:after="60" w:afterLines="25"/>
              <w:jc w:val="center"/>
              <w:rPr>
                <w:rFonts w:ascii="宋体" w:hAnsi="宋体"/>
                <w:szCs w:val="21"/>
              </w:rPr>
            </w:pPr>
          </w:p>
        </w:tc>
        <w:tc>
          <w:tcPr>
            <w:tcW w:w="1193" w:type="pct"/>
            <w:vMerge w:val="continue"/>
            <w:tcBorders>
              <w:left w:val="nil"/>
              <w:right w:val="single" w:color="auto" w:sz="4" w:space="0"/>
            </w:tcBorders>
            <w:vAlign w:val="center"/>
          </w:tcPr>
          <w:p w14:paraId="3662F6C1">
            <w:pPr>
              <w:spacing w:before="60" w:beforeLines="25" w:after="60" w:afterLines="25"/>
              <w:rPr>
                <w:rFonts w:ascii="宋体" w:hAnsi="宋体"/>
                <w:szCs w:val="21"/>
              </w:rPr>
            </w:pPr>
          </w:p>
        </w:tc>
        <w:tc>
          <w:tcPr>
            <w:tcW w:w="2242" w:type="pct"/>
            <w:tcBorders>
              <w:top w:val="single" w:color="auto" w:sz="4" w:space="0"/>
              <w:left w:val="nil"/>
              <w:bottom w:val="single" w:color="auto" w:sz="4" w:space="0"/>
              <w:right w:val="single" w:color="auto" w:sz="4" w:space="0"/>
            </w:tcBorders>
            <w:vAlign w:val="center"/>
          </w:tcPr>
          <w:p w14:paraId="0DA116C5">
            <w:pPr>
              <w:spacing w:before="60" w:beforeLines="25" w:after="60" w:afterLines="25"/>
              <w:rPr>
                <w:rFonts w:ascii="宋体" w:hAnsi="宋体"/>
                <w:szCs w:val="21"/>
              </w:rPr>
            </w:pPr>
            <w:r>
              <w:rPr>
                <w:rFonts w:hint="eastAsia" w:ascii="宋体" w:hAnsi="宋体"/>
                <w:szCs w:val="21"/>
              </w:rPr>
              <w:t>具有初级职称</w:t>
            </w:r>
          </w:p>
        </w:tc>
        <w:tc>
          <w:tcPr>
            <w:tcW w:w="522" w:type="pct"/>
            <w:tcBorders>
              <w:top w:val="single" w:color="auto" w:sz="4" w:space="0"/>
              <w:left w:val="nil"/>
              <w:bottom w:val="single" w:color="auto" w:sz="4" w:space="0"/>
              <w:right w:val="single" w:color="auto" w:sz="4" w:space="0"/>
            </w:tcBorders>
            <w:vAlign w:val="center"/>
          </w:tcPr>
          <w:p w14:paraId="77F33012">
            <w:pPr>
              <w:spacing w:before="60" w:beforeLines="25" w:after="60" w:afterLines="25"/>
              <w:jc w:val="center"/>
              <w:rPr>
                <w:rFonts w:ascii="宋体" w:hAnsi="宋体"/>
                <w:szCs w:val="21"/>
              </w:rPr>
            </w:pPr>
            <w:r>
              <w:rPr>
                <w:rFonts w:hint="eastAsia" w:ascii="宋体" w:hAnsi="宋体"/>
                <w:szCs w:val="21"/>
              </w:rPr>
              <w:t>2分</w:t>
            </w:r>
          </w:p>
        </w:tc>
      </w:tr>
      <w:tr w14:paraId="0B148772">
        <w:tblPrEx>
          <w:tblCellMar>
            <w:top w:w="0" w:type="dxa"/>
            <w:left w:w="108" w:type="dxa"/>
            <w:bottom w:w="0" w:type="dxa"/>
            <w:right w:w="108" w:type="dxa"/>
          </w:tblCellMar>
        </w:tblPrEx>
        <w:trPr>
          <w:trHeight w:val="399" w:hRule="atLeast"/>
        </w:trPr>
        <w:tc>
          <w:tcPr>
            <w:tcW w:w="597" w:type="pct"/>
            <w:vMerge w:val="continue"/>
            <w:tcBorders>
              <w:left w:val="single" w:color="auto" w:sz="4" w:space="0"/>
              <w:right w:val="single" w:color="auto" w:sz="4" w:space="0"/>
            </w:tcBorders>
            <w:vAlign w:val="center"/>
          </w:tcPr>
          <w:p w14:paraId="4C0E6BC1">
            <w:pPr>
              <w:spacing w:before="60" w:beforeLines="25" w:after="60" w:afterLines="25"/>
              <w:rPr>
                <w:rFonts w:ascii="宋体" w:hAnsi="宋体"/>
                <w:szCs w:val="21"/>
              </w:rPr>
            </w:pPr>
          </w:p>
        </w:tc>
        <w:tc>
          <w:tcPr>
            <w:tcW w:w="446" w:type="pct"/>
            <w:vMerge w:val="continue"/>
            <w:tcBorders>
              <w:left w:val="single" w:color="auto" w:sz="4" w:space="0"/>
              <w:right w:val="single" w:color="auto" w:sz="4" w:space="0"/>
            </w:tcBorders>
            <w:vAlign w:val="center"/>
          </w:tcPr>
          <w:p w14:paraId="6048A3D4">
            <w:pPr>
              <w:spacing w:before="60" w:beforeLines="25" w:after="60" w:afterLines="25"/>
              <w:jc w:val="center"/>
              <w:rPr>
                <w:rFonts w:ascii="宋体" w:hAnsi="宋体"/>
                <w:szCs w:val="21"/>
              </w:rPr>
            </w:pPr>
          </w:p>
        </w:tc>
        <w:tc>
          <w:tcPr>
            <w:tcW w:w="1193" w:type="pct"/>
            <w:vMerge w:val="continue"/>
            <w:tcBorders>
              <w:left w:val="nil"/>
              <w:bottom w:val="single" w:color="auto" w:sz="4" w:space="0"/>
              <w:right w:val="single" w:color="auto" w:sz="4" w:space="0"/>
            </w:tcBorders>
            <w:vAlign w:val="center"/>
          </w:tcPr>
          <w:p w14:paraId="5DC1D840">
            <w:pPr>
              <w:spacing w:before="60" w:beforeLines="25" w:after="60" w:afterLines="25"/>
              <w:rPr>
                <w:rFonts w:ascii="宋体" w:hAnsi="宋体"/>
                <w:szCs w:val="21"/>
              </w:rPr>
            </w:pPr>
          </w:p>
        </w:tc>
        <w:tc>
          <w:tcPr>
            <w:tcW w:w="2242" w:type="pct"/>
            <w:tcBorders>
              <w:top w:val="single" w:color="auto" w:sz="4" w:space="0"/>
              <w:left w:val="nil"/>
              <w:bottom w:val="single" w:color="auto" w:sz="4" w:space="0"/>
              <w:right w:val="single" w:color="auto" w:sz="4" w:space="0"/>
            </w:tcBorders>
            <w:vAlign w:val="center"/>
          </w:tcPr>
          <w:p w14:paraId="70920017">
            <w:pPr>
              <w:spacing w:before="60" w:beforeLines="25" w:after="60" w:afterLines="25"/>
              <w:rPr>
                <w:rFonts w:ascii="宋体" w:hAnsi="宋体"/>
                <w:szCs w:val="21"/>
              </w:rPr>
            </w:pPr>
            <w:r>
              <w:rPr>
                <w:rFonts w:hint="eastAsia" w:ascii="宋体" w:hAnsi="宋体"/>
                <w:szCs w:val="21"/>
              </w:rPr>
              <w:t>无</w:t>
            </w:r>
            <w:r>
              <w:rPr>
                <w:rFonts w:ascii="宋体" w:hAnsi="宋体"/>
                <w:szCs w:val="21"/>
              </w:rPr>
              <w:t>职称</w:t>
            </w:r>
          </w:p>
        </w:tc>
        <w:tc>
          <w:tcPr>
            <w:tcW w:w="522" w:type="pct"/>
            <w:tcBorders>
              <w:top w:val="single" w:color="auto" w:sz="4" w:space="0"/>
              <w:left w:val="nil"/>
              <w:bottom w:val="single" w:color="auto" w:sz="4" w:space="0"/>
              <w:right w:val="single" w:color="auto" w:sz="4" w:space="0"/>
            </w:tcBorders>
            <w:vAlign w:val="center"/>
          </w:tcPr>
          <w:p w14:paraId="2C1A6153">
            <w:pPr>
              <w:spacing w:before="60" w:beforeLines="25" w:after="60" w:afterLines="25"/>
              <w:jc w:val="center"/>
              <w:rPr>
                <w:rFonts w:ascii="宋体" w:hAnsi="宋体"/>
                <w:szCs w:val="21"/>
              </w:rPr>
            </w:pPr>
            <w:r>
              <w:rPr>
                <w:rFonts w:hint="eastAsia" w:ascii="宋体" w:hAnsi="宋体"/>
                <w:szCs w:val="21"/>
              </w:rPr>
              <w:t>0分</w:t>
            </w:r>
          </w:p>
        </w:tc>
      </w:tr>
      <w:tr w14:paraId="3781EBC2">
        <w:tblPrEx>
          <w:tblCellMar>
            <w:top w:w="0" w:type="dxa"/>
            <w:left w:w="108" w:type="dxa"/>
            <w:bottom w:w="0" w:type="dxa"/>
            <w:right w:w="108" w:type="dxa"/>
          </w:tblCellMar>
        </w:tblPrEx>
        <w:trPr>
          <w:trHeight w:val="1078" w:hRule="atLeast"/>
        </w:trPr>
        <w:tc>
          <w:tcPr>
            <w:tcW w:w="597" w:type="pct"/>
            <w:vMerge w:val="continue"/>
            <w:tcBorders>
              <w:left w:val="single" w:color="auto" w:sz="4" w:space="0"/>
              <w:right w:val="single" w:color="auto" w:sz="4" w:space="0"/>
            </w:tcBorders>
            <w:vAlign w:val="center"/>
          </w:tcPr>
          <w:p w14:paraId="2D9CCF2C">
            <w:pPr>
              <w:spacing w:before="60" w:beforeLines="25" w:after="60" w:afterLines="25"/>
              <w:rPr>
                <w:rFonts w:ascii="宋体" w:hAnsi="宋体"/>
                <w:szCs w:val="21"/>
              </w:rPr>
            </w:pPr>
          </w:p>
        </w:tc>
        <w:tc>
          <w:tcPr>
            <w:tcW w:w="446" w:type="pct"/>
            <w:vMerge w:val="continue"/>
            <w:tcBorders>
              <w:left w:val="single" w:color="auto" w:sz="4" w:space="0"/>
              <w:right w:val="single" w:color="auto" w:sz="4" w:space="0"/>
            </w:tcBorders>
            <w:vAlign w:val="center"/>
          </w:tcPr>
          <w:p w14:paraId="73C48BA5">
            <w:pPr>
              <w:spacing w:before="60" w:beforeLines="25" w:after="60" w:afterLines="25"/>
              <w:jc w:val="center"/>
              <w:rPr>
                <w:rFonts w:ascii="宋体" w:hAnsi="宋体"/>
                <w:szCs w:val="21"/>
              </w:rPr>
            </w:pPr>
          </w:p>
        </w:tc>
        <w:tc>
          <w:tcPr>
            <w:tcW w:w="1193" w:type="pct"/>
            <w:tcBorders>
              <w:top w:val="single" w:color="auto" w:sz="4" w:space="0"/>
              <w:left w:val="nil"/>
              <w:bottom w:val="single" w:color="auto" w:sz="4" w:space="0"/>
              <w:right w:val="single" w:color="auto" w:sz="4" w:space="0"/>
            </w:tcBorders>
            <w:vAlign w:val="center"/>
          </w:tcPr>
          <w:p w14:paraId="562E2FC7">
            <w:pPr>
              <w:spacing w:before="60" w:beforeLines="25" w:after="60" w:afterLines="25"/>
              <w:rPr>
                <w:rFonts w:ascii="宋体" w:hAnsi="宋体"/>
                <w:szCs w:val="21"/>
              </w:rPr>
            </w:pPr>
            <w:r>
              <w:rPr>
                <w:rFonts w:hint="eastAsia" w:ascii="宋体" w:hAnsi="宋体"/>
                <w:szCs w:val="21"/>
              </w:rPr>
              <w:t>以项目经理身份主持过的类似项目业绩（注：项目经理业绩不受年限限制）（10分）</w:t>
            </w:r>
          </w:p>
        </w:tc>
        <w:tc>
          <w:tcPr>
            <w:tcW w:w="2242" w:type="pct"/>
            <w:tcBorders>
              <w:top w:val="single" w:color="auto" w:sz="4" w:space="0"/>
              <w:left w:val="nil"/>
              <w:right w:val="single" w:color="auto" w:sz="4" w:space="0"/>
            </w:tcBorders>
            <w:vAlign w:val="center"/>
          </w:tcPr>
          <w:p w14:paraId="44EBC26E">
            <w:pPr>
              <w:spacing w:before="60" w:beforeLines="25" w:after="60" w:afterLines="25"/>
              <w:rPr>
                <w:rFonts w:ascii="宋体" w:hAnsi="宋体"/>
                <w:szCs w:val="21"/>
              </w:rPr>
            </w:pPr>
            <w:r>
              <w:rPr>
                <w:rFonts w:hint="eastAsia" w:ascii="宋体" w:hAnsi="宋体"/>
                <w:szCs w:val="21"/>
              </w:rPr>
              <w:t>有一个含以上业绩得10分，无业绩得0分。</w:t>
            </w:r>
          </w:p>
        </w:tc>
        <w:tc>
          <w:tcPr>
            <w:tcW w:w="522" w:type="pct"/>
            <w:tcBorders>
              <w:top w:val="single" w:color="auto" w:sz="4" w:space="0"/>
              <w:left w:val="nil"/>
              <w:right w:val="single" w:color="auto" w:sz="4" w:space="0"/>
            </w:tcBorders>
            <w:vAlign w:val="center"/>
          </w:tcPr>
          <w:p w14:paraId="238EC756">
            <w:pPr>
              <w:spacing w:before="60" w:beforeLines="25" w:after="60" w:afterLines="25"/>
              <w:jc w:val="center"/>
              <w:rPr>
                <w:rFonts w:ascii="宋体" w:hAnsi="宋体"/>
                <w:szCs w:val="21"/>
              </w:rPr>
            </w:pPr>
            <w:r>
              <w:rPr>
                <w:rFonts w:hint="eastAsia" w:ascii="宋体" w:hAnsi="宋体"/>
                <w:szCs w:val="21"/>
              </w:rPr>
              <w:t>0-10分</w:t>
            </w:r>
          </w:p>
        </w:tc>
      </w:tr>
      <w:tr w14:paraId="705C27E9">
        <w:tblPrEx>
          <w:tblCellMar>
            <w:top w:w="0" w:type="dxa"/>
            <w:left w:w="108" w:type="dxa"/>
            <w:bottom w:w="0" w:type="dxa"/>
            <w:right w:w="108" w:type="dxa"/>
          </w:tblCellMar>
        </w:tblPrEx>
        <w:trPr>
          <w:trHeight w:val="403" w:hRule="atLeast"/>
        </w:trPr>
        <w:tc>
          <w:tcPr>
            <w:tcW w:w="597" w:type="pct"/>
            <w:vMerge w:val="continue"/>
            <w:tcBorders>
              <w:left w:val="single" w:color="auto" w:sz="4" w:space="0"/>
              <w:right w:val="single" w:color="auto" w:sz="4" w:space="0"/>
            </w:tcBorders>
            <w:vAlign w:val="center"/>
          </w:tcPr>
          <w:p w14:paraId="0E3E5030">
            <w:pPr>
              <w:spacing w:before="60" w:beforeLines="25" w:after="60" w:afterLines="25"/>
              <w:rPr>
                <w:rFonts w:ascii="宋体" w:hAnsi="宋体"/>
                <w:szCs w:val="21"/>
              </w:rPr>
            </w:pPr>
          </w:p>
        </w:tc>
        <w:tc>
          <w:tcPr>
            <w:tcW w:w="446" w:type="pct"/>
            <w:vMerge w:val="continue"/>
            <w:tcBorders>
              <w:left w:val="single" w:color="auto" w:sz="4" w:space="0"/>
              <w:right w:val="single" w:color="auto" w:sz="4" w:space="0"/>
            </w:tcBorders>
            <w:vAlign w:val="center"/>
          </w:tcPr>
          <w:p w14:paraId="07970BB2">
            <w:pPr>
              <w:spacing w:before="60" w:beforeLines="25" w:after="60" w:afterLines="25"/>
              <w:jc w:val="center"/>
              <w:rPr>
                <w:rFonts w:ascii="宋体" w:hAnsi="宋体"/>
                <w:szCs w:val="21"/>
              </w:rPr>
            </w:pPr>
          </w:p>
        </w:tc>
        <w:tc>
          <w:tcPr>
            <w:tcW w:w="1193" w:type="pct"/>
            <w:vMerge w:val="restart"/>
            <w:tcBorders>
              <w:top w:val="single" w:color="auto" w:sz="4" w:space="0"/>
              <w:left w:val="nil"/>
              <w:bottom w:val="single" w:color="auto" w:sz="4" w:space="0"/>
              <w:right w:val="single" w:color="auto" w:sz="4" w:space="0"/>
            </w:tcBorders>
            <w:vAlign w:val="center"/>
          </w:tcPr>
          <w:p w14:paraId="48A85F5D">
            <w:pPr>
              <w:spacing w:before="60" w:beforeLines="25" w:after="60" w:afterLines="25"/>
              <w:rPr>
                <w:rFonts w:ascii="宋体" w:hAnsi="宋体"/>
                <w:szCs w:val="21"/>
              </w:rPr>
            </w:pPr>
            <w:r>
              <w:rPr>
                <w:rFonts w:hint="eastAsia" w:ascii="宋体" w:hAnsi="宋体"/>
                <w:szCs w:val="21"/>
              </w:rPr>
              <w:t>工作年限（以企业出具的加盖单位公章的证明为准）（6分）</w:t>
            </w:r>
          </w:p>
        </w:tc>
        <w:tc>
          <w:tcPr>
            <w:tcW w:w="2242" w:type="pct"/>
            <w:tcBorders>
              <w:top w:val="single" w:color="auto" w:sz="4" w:space="0"/>
              <w:left w:val="nil"/>
              <w:bottom w:val="single" w:color="auto" w:sz="4" w:space="0"/>
              <w:right w:val="single" w:color="auto" w:sz="4" w:space="0"/>
            </w:tcBorders>
            <w:vAlign w:val="center"/>
          </w:tcPr>
          <w:p w14:paraId="7E5F595C">
            <w:pPr>
              <w:spacing w:before="60" w:beforeLines="25" w:after="60" w:afterLines="25"/>
              <w:rPr>
                <w:rFonts w:ascii="宋体" w:hAnsi="宋体"/>
                <w:szCs w:val="21"/>
              </w:rPr>
            </w:pPr>
            <w:r>
              <w:rPr>
                <w:rFonts w:ascii="宋体" w:hAnsi="宋体"/>
                <w:szCs w:val="21"/>
              </w:rPr>
              <w:t>8</w:t>
            </w:r>
            <w:r>
              <w:rPr>
                <w:rFonts w:hint="eastAsia" w:ascii="宋体" w:hAnsi="宋体"/>
                <w:szCs w:val="21"/>
              </w:rPr>
              <w:t>年（含）以上</w:t>
            </w:r>
          </w:p>
        </w:tc>
        <w:tc>
          <w:tcPr>
            <w:tcW w:w="522" w:type="pct"/>
            <w:tcBorders>
              <w:top w:val="single" w:color="auto" w:sz="4" w:space="0"/>
              <w:left w:val="nil"/>
              <w:bottom w:val="single" w:color="auto" w:sz="4" w:space="0"/>
              <w:right w:val="single" w:color="auto" w:sz="4" w:space="0"/>
            </w:tcBorders>
            <w:vAlign w:val="center"/>
          </w:tcPr>
          <w:p w14:paraId="2AF411D0">
            <w:pPr>
              <w:spacing w:before="60" w:beforeLines="25" w:after="60" w:afterLines="25"/>
              <w:jc w:val="center"/>
              <w:rPr>
                <w:rFonts w:ascii="宋体" w:hAnsi="宋体"/>
                <w:szCs w:val="21"/>
              </w:rPr>
            </w:pPr>
            <w:r>
              <w:rPr>
                <w:rFonts w:hint="eastAsia" w:ascii="宋体" w:hAnsi="宋体"/>
                <w:szCs w:val="21"/>
              </w:rPr>
              <w:t>6分</w:t>
            </w:r>
          </w:p>
        </w:tc>
      </w:tr>
      <w:tr w14:paraId="6BC01132">
        <w:tblPrEx>
          <w:tblCellMar>
            <w:top w:w="0" w:type="dxa"/>
            <w:left w:w="108" w:type="dxa"/>
            <w:bottom w:w="0" w:type="dxa"/>
            <w:right w:w="108" w:type="dxa"/>
          </w:tblCellMar>
        </w:tblPrEx>
        <w:trPr>
          <w:trHeight w:val="355" w:hRule="atLeast"/>
        </w:trPr>
        <w:tc>
          <w:tcPr>
            <w:tcW w:w="597" w:type="pct"/>
            <w:vMerge w:val="continue"/>
            <w:tcBorders>
              <w:left w:val="single" w:color="auto" w:sz="4" w:space="0"/>
              <w:right w:val="single" w:color="auto" w:sz="4" w:space="0"/>
            </w:tcBorders>
            <w:vAlign w:val="center"/>
          </w:tcPr>
          <w:p w14:paraId="1A73FD33">
            <w:pPr>
              <w:spacing w:before="60" w:beforeLines="25" w:after="60" w:afterLines="25"/>
              <w:rPr>
                <w:rFonts w:ascii="宋体" w:hAnsi="宋体"/>
                <w:szCs w:val="21"/>
              </w:rPr>
            </w:pPr>
          </w:p>
        </w:tc>
        <w:tc>
          <w:tcPr>
            <w:tcW w:w="446" w:type="pct"/>
            <w:vMerge w:val="continue"/>
            <w:tcBorders>
              <w:left w:val="single" w:color="auto" w:sz="4" w:space="0"/>
              <w:right w:val="single" w:color="auto" w:sz="4" w:space="0"/>
            </w:tcBorders>
            <w:vAlign w:val="center"/>
          </w:tcPr>
          <w:p w14:paraId="6EC54233">
            <w:pPr>
              <w:spacing w:before="60" w:beforeLines="25" w:after="60" w:afterLines="25"/>
              <w:jc w:val="center"/>
              <w:rPr>
                <w:rFonts w:ascii="宋体" w:hAnsi="宋体"/>
                <w:szCs w:val="21"/>
              </w:rPr>
            </w:pPr>
          </w:p>
        </w:tc>
        <w:tc>
          <w:tcPr>
            <w:tcW w:w="1193" w:type="pct"/>
            <w:vMerge w:val="continue"/>
            <w:tcBorders>
              <w:top w:val="single" w:color="auto" w:sz="4" w:space="0"/>
              <w:left w:val="nil"/>
              <w:bottom w:val="single" w:color="auto" w:sz="4" w:space="0"/>
              <w:right w:val="single" w:color="auto" w:sz="4" w:space="0"/>
            </w:tcBorders>
            <w:vAlign w:val="center"/>
          </w:tcPr>
          <w:p w14:paraId="208992F8">
            <w:pPr>
              <w:spacing w:before="60" w:beforeLines="25" w:after="60" w:afterLines="25"/>
              <w:rPr>
                <w:rFonts w:ascii="宋体" w:hAnsi="宋体"/>
                <w:szCs w:val="21"/>
              </w:rPr>
            </w:pPr>
          </w:p>
        </w:tc>
        <w:tc>
          <w:tcPr>
            <w:tcW w:w="2242" w:type="pct"/>
            <w:tcBorders>
              <w:top w:val="single" w:color="auto" w:sz="4" w:space="0"/>
              <w:left w:val="nil"/>
              <w:bottom w:val="single" w:color="auto" w:sz="4" w:space="0"/>
              <w:right w:val="single" w:color="auto" w:sz="4" w:space="0"/>
            </w:tcBorders>
            <w:vAlign w:val="center"/>
          </w:tcPr>
          <w:p w14:paraId="58D7F20F">
            <w:pPr>
              <w:spacing w:before="60" w:beforeLines="25" w:after="60" w:afterLines="25"/>
              <w:rPr>
                <w:rFonts w:ascii="宋体" w:hAnsi="宋体"/>
                <w:szCs w:val="21"/>
              </w:rPr>
            </w:pPr>
            <w:r>
              <w:rPr>
                <w:rFonts w:hint="eastAsia" w:ascii="宋体" w:hAnsi="宋体"/>
                <w:szCs w:val="21"/>
              </w:rPr>
              <w:t>5年（含）-</w:t>
            </w:r>
            <w:r>
              <w:rPr>
                <w:rFonts w:ascii="宋体" w:hAnsi="宋体"/>
                <w:szCs w:val="21"/>
              </w:rPr>
              <w:t>8</w:t>
            </w:r>
            <w:r>
              <w:rPr>
                <w:rFonts w:hint="eastAsia" w:ascii="宋体" w:hAnsi="宋体"/>
                <w:szCs w:val="21"/>
              </w:rPr>
              <w:t>年（不含）</w:t>
            </w:r>
          </w:p>
        </w:tc>
        <w:tc>
          <w:tcPr>
            <w:tcW w:w="522" w:type="pct"/>
            <w:tcBorders>
              <w:top w:val="single" w:color="auto" w:sz="4" w:space="0"/>
              <w:left w:val="nil"/>
              <w:bottom w:val="single" w:color="auto" w:sz="4" w:space="0"/>
              <w:right w:val="single" w:color="auto" w:sz="4" w:space="0"/>
            </w:tcBorders>
            <w:vAlign w:val="center"/>
          </w:tcPr>
          <w:p w14:paraId="6F6E0B9A">
            <w:pPr>
              <w:spacing w:before="60" w:beforeLines="25" w:after="60" w:afterLines="25"/>
              <w:jc w:val="center"/>
              <w:rPr>
                <w:rFonts w:ascii="宋体" w:hAnsi="宋体"/>
                <w:szCs w:val="21"/>
              </w:rPr>
            </w:pPr>
            <w:r>
              <w:rPr>
                <w:rFonts w:hint="eastAsia" w:ascii="宋体" w:hAnsi="宋体"/>
                <w:szCs w:val="21"/>
              </w:rPr>
              <w:t>3分</w:t>
            </w:r>
          </w:p>
        </w:tc>
      </w:tr>
      <w:tr w14:paraId="4ACD5D37">
        <w:tblPrEx>
          <w:tblCellMar>
            <w:top w:w="0" w:type="dxa"/>
            <w:left w:w="108" w:type="dxa"/>
            <w:bottom w:w="0" w:type="dxa"/>
            <w:right w:w="108" w:type="dxa"/>
          </w:tblCellMar>
        </w:tblPrEx>
        <w:trPr>
          <w:trHeight w:val="323" w:hRule="atLeast"/>
        </w:trPr>
        <w:tc>
          <w:tcPr>
            <w:tcW w:w="597" w:type="pct"/>
            <w:vMerge w:val="continue"/>
            <w:tcBorders>
              <w:left w:val="single" w:color="auto" w:sz="4" w:space="0"/>
              <w:right w:val="single" w:color="auto" w:sz="4" w:space="0"/>
            </w:tcBorders>
            <w:vAlign w:val="center"/>
          </w:tcPr>
          <w:p w14:paraId="4260ADEA">
            <w:pPr>
              <w:spacing w:before="60" w:beforeLines="25" w:after="60" w:afterLines="25"/>
              <w:rPr>
                <w:rFonts w:ascii="宋体" w:hAnsi="宋体"/>
                <w:szCs w:val="21"/>
              </w:rPr>
            </w:pPr>
          </w:p>
        </w:tc>
        <w:tc>
          <w:tcPr>
            <w:tcW w:w="446" w:type="pct"/>
            <w:vMerge w:val="continue"/>
            <w:tcBorders>
              <w:left w:val="single" w:color="auto" w:sz="4" w:space="0"/>
              <w:right w:val="single" w:color="auto" w:sz="4" w:space="0"/>
            </w:tcBorders>
            <w:vAlign w:val="center"/>
          </w:tcPr>
          <w:p w14:paraId="11FCC280">
            <w:pPr>
              <w:spacing w:before="60" w:beforeLines="25" w:after="60" w:afterLines="25"/>
              <w:jc w:val="center"/>
              <w:rPr>
                <w:rFonts w:ascii="宋体" w:hAnsi="宋体"/>
                <w:szCs w:val="21"/>
              </w:rPr>
            </w:pPr>
          </w:p>
        </w:tc>
        <w:tc>
          <w:tcPr>
            <w:tcW w:w="1193" w:type="pct"/>
            <w:vMerge w:val="continue"/>
            <w:tcBorders>
              <w:top w:val="single" w:color="auto" w:sz="4" w:space="0"/>
              <w:left w:val="nil"/>
              <w:bottom w:val="single" w:color="auto" w:sz="4" w:space="0"/>
              <w:right w:val="single" w:color="auto" w:sz="4" w:space="0"/>
            </w:tcBorders>
            <w:vAlign w:val="center"/>
          </w:tcPr>
          <w:p w14:paraId="28BE6FD5">
            <w:pPr>
              <w:spacing w:before="60" w:beforeLines="25" w:after="60" w:afterLines="25"/>
              <w:rPr>
                <w:rFonts w:ascii="宋体" w:hAnsi="宋体"/>
                <w:szCs w:val="21"/>
              </w:rPr>
            </w:pPr>
          </w:p>
        </w:tc>
        <w:tc>
          <w:tcPr>
            <w:tcW w:w="2242" w:type="pct"/>
            <w:tcBorders>
              <w:top w:val="single" w:color="auto" w:sz="4" w:space="0"/>
              <w:left w:val="nil"/>
              <w:bottom w:val="single" w:color="auto" w:sz="4" w:space="0"/>
              <w:right w:val="single" w:color="auto" w:sz="4" w:space="0"/>
            </w:tcBorders>
            <w:vAlign w:val="center"/>
          </w:tcPr>
          <w:p w14:paraId="2CD51539">
            <w:pPr>
              <w:spacing w:before="60" w:beforeLines="25" w:after="60" w:afterLines="25"/>
              <w:rPr>
                <w:rFonts w:ascii="宋体" w:hAnsi="宋体"/>
                <w:szCs w:val="21"/>
              </w:rPr>
            </w:pPr>
            <w:r>
              <w:rPr>
                <w:rFonts w:hint="eastAsia" w:ascii="宋体" w:hAnsi="宋体"/>
                <w:szCs w:val="21"/>
              </w:rPr>
              <w:t>5年（不含）以下</w:t>
            </w:r>
          </w:p>
        </w:tc>
        <w:tc>
          <w:tcPr>
            <w:tcW w:w="522" w:type="pct"/>
            <w:tcBorders>
              <w:top w:val="single" w:color="auto" w:sz="4" w:space="0"/>
              <w:left w:val="nil"/>
              <w:bottom w:val="single" w:color="auto" w:sz="4" w:space="0"/>
              <w:right w:val="single" w:color="auto" w:sz="4" w:space="0"/>
            </w:tcBorders>
            <w:vAlign w:val="center"/>
          </w:tcPr>
          <w:p w14:paraId="059BF331">
            <w:pPr>
              <w:spacing w:before="60" w:beforeLines="25" w:after="60" w:afterLines="25"/>
              <w:jc w:val="center"/>
              <w:rPr>
                <w:rFonts w:ascii="宋体" w:hAnsi="宋体"/>
                <w:szCs w:val="21"/>
              </w:rPr>
            </w:pPr>
            <w:r>
              <w:rPr>
                <w:rFonts w:ascii="宋体" w:hAnsi="宋体"/>
                <w:szCs w:val="21"/>
              </w:rPr>
              <w:t>0</w:t>
            </w:r>
            <w:r>
              <w:rPr>
                <w:rFonts w:hint="eastAsia" w:ascii="宋体" w:hAnsi="宋体"/>
                <w:szCs w:val="21"/>
              </w:rPr>
              <w:t>分</w:t>
            </w:r>
          </w:p>
        </w:tc>
      </w:tr>
      <w:tr w14:paraId="23716D14">
        <w:tblPrEx>
          <w:tblCellMar>
            <w:top w:w="0" w:type="dxa"/>
            <w:left w:w="108" w:type="dxa"/>
            <w:bottom w:w="0" w:type="dxa"/>
            <w:right w:w="108" w:type="dxa"/>
          </w:tblCellMar>
        </w:tblPrEx>
        <w:trPr>
          <w:trHeight w:val="423" w:hRule="atLeast"/>
        </w:trPr>
        <w:tc>
          <w:tcPr>
            <w:tcW w:w="597" w:type="pct"/>
            <w:vMerge w:val="restart"/>
            <w:tcBorders>
              <w:top w:val="single" w:color="auto" w:sz="4" w:space="0"/>
              <w:left w:val="single" w:color="auto" w:sz="4" w:space="0"/>
              <w:right w:val="single" w:color="auto" w:sz="4" w:space="0"/>
            </w:tcBorders>
            <w:vAlign w:val="center"/>
          </w:tcPr>
          <w:p w14:paraId="437DEC95">
            <w:pPr>
              <w:spacing w:before="60" w:beforeLines="25" w:after="60" w:afterLines="25"/>
              <w:rPr>
                <w:rFonts w:ascii="宋体" w:hAnsi="宋体"/>
                <w:szCs w:val="21"/>
              </w:rPr>
            </w:pPr>
            <w:r>
              <w:rPr>
                <w:rFonts w:hint="eastAsia" w:ascii="宋体" w:hAnsi="宋体"/>
                <w:szCs w:val="21"/>
              </w:rPr>
              <w:t>项目</w:t>
            </w:r>
            <w:r>
              <w:rPr>
                <w:rFonts w:ascii="宋体" w:hAnsi="宋体"/>
                <w:szCs w:val="21"/>
              </w:rPr>
              <w:t>团队</w:t>
            </w:r>
          </w:p>
        </w:tc>
        <w:tc>
          <w:tcPr>
            <w:tcW w:w="446" w:type="pct"/>
            <w:vMerge w:val="restart"/>
            <w:tcBorders>
              <w:top w:val="single" w:color="auto" w:sz="4" w:space="0"/>
              <w:left w:val="single" w:color="auto" w:sz="4" w:space="0"/>
              <w:right w:val="single" w:color="auto" w:sz="4" w:space="0"/>
            </w:tcBorders>
            <w:vAlign w:val="center"/>
          </w:tcPr>
          <w:p w14:paraId="50E9F5A8">
            <w:pPr>
              <w:spacing w:before="60" w:beforeLines="25" w:after="60" w:afterLines="25"/>
              <w:jc w:val="center"/>
              <w:rPr>
                <w:rFonts w:ascii="宋体" w:hAnsi="宋体"/>
                <w:szCs w:val="21"/>
              </w:rPr>
            </w:pPr>
            <w:r>
              <w:rPr>
                <w:rFonts w:hint="eastAsia" w:ascii="宋体" w:hAnsi="宋体"/>
                <w:szCs w:val="21"/>
              </w:rPr>
              <w:t>5分</w:t>
            </w:r>
          </w:p>
        </w:tc>
        <w:tc>
          <w:tcPr>
            <w:tcW w:w="3435" w:type="pct"/>
            <w:gridSpan w:val="2"/>
            <w:tcBorders>
              <w:top w:val="single" w:color="auto" w:sz="4" w:space="0"/>
              <w:left w:val="nil"/>
              <w:bottom w:val="single" w:color="auto" w:sz="4" w:space="0"/>
              <w:right w:val="single" w:color="auto" w:sz="4" w:space="0"/>
            </w:tcBorders>
            <w:vAlign w:val="center"/>
          </w:tcPr>
          <w:p w14:paraId="3A820C97">
            <w:pPr>
              <w:spacing w:before="60" w:beforeLines="25" w:after="60" w:afterLines="25"/>
              <w:rPr>
                <w:rFonts w:ascii="宋体" w:hAnsi="宋体"/>
                <w:szCs w:val="21"/>
              </w:rPr>
            </w:pPr>
            <w:r>
              <w:rPr>
                <w:rFonts w:hint="eastAsia" w:ascii="宋体" w:hAnsi="宋体"/>
                <w:szCs w:val="21"/>
              </w:rPr>
              <w:t>团队配置合理、证书齐全、设置关键岗位人员</w:t>
            </w:r>
          </w:p>
        </w:tc>
        <w:tc>
          <w:tcPr>
            <w:tcW w:w="522" w:type="pct"/>
            <w:tcBorders>
              <w:top w:val="single" w:color="auto" w:sz="4" w:space="0"/>
              <w:left w:val="nil"/>
              <w:bottom w:val="single" w:color="auto" w:sz="4" w:space="0"/>
              <w:right w:val="single" w:color="auto" w:sz="4" w:space="0"/>
            </w:tcBorders>
            <w:vAlign w:val="center"/>
          </w:tcPr>
          <w:p w14:paraId="2A29DF8A">
            <w:pPr>
              <w:spacing w:before="60" w:beforeLines="25" w:after="60" w:afterLines="25"/>
              <w:jc w:val="center"/>
              <w:rPr>
                <w:rFonts w:ascii="宋体" w:hAnsi="宋体"/>
                <w:szCs w:val="21"/>
              </w:rPr>
            </w:pPr>
            <w:r>
              <w:rPr>
                <w:rFonts w:hint="eastAsia" w:ascii="宋体" w:hAnsi="宋体"/>
                <w:szCs w:val="21"/>
              </w:rPr>
              <w:t>5分</w:t>
            </w:r>
          </w:p>
        </w:tc>
      </w:tr>
      <w:tr w14:paraId="666431DA">
        <w:tblPrEx>
          <w:tblCellMar>
            <w:top w:w="0" w:type="dxa"/>
            <w:left w:w="108" w:type="dxa"/>
            <w:bottom w:w="0" w:type="dxa"/>
            <w:right w:w="108" w:type="dxa"/>
          </w:tblCellMar>
        </w:tblPrEx>
        <w:trPr>
          <w:trHeight w:val="376" w:hRule="atLeast"/>
        </w:trPr>
        <w:tc>
          <w:tcPr>
            <w:tcW w:w="597" w:type="pct"/>
            <w:vMerge w:val="continue"/>
            <w:tcBorders>
              <w:left w:val="single" w:color="auto" w:sz="4" w:space="0"/>
              <w:right w:val="single" w:color="auto" w:sz="4" w:space="0"/>
            </w:tcBorders>
            <w:vAlign w:val="center"/>
          </w:tcPr>
          <w:p w14:paraId="517257BB">
            <w:pPr>
              <w:spacing w:before="60" w:beforeLines="25" w:after="60" w:afterLines="25"/>
              <w:rPr>
                <w:rFonts w:ascii="宋体" w:hAnsi="宋体"/>
                <w:szCs w:val="21"/>
              </w:rPr>
            </w:pPr>
          </w:p>
        </w:tc>
        <w:tc>
          <w:tcPr>
            <w:tcW w:w="446" w:type="pct"/>
            <w:vMerge w:val="continue"/>
            <w:tcBorders>
              <w:left w:val="single" w:color="auto" w:sz="4" w:space="0"/>
              <w:right w:val="single" w:color="auto" w:sz="4" w:space="0"/>
            </w:tcBorders>
            <w:vAlign w:val="center"/>
          </w:tcPr>
          <w:p w14:paraId="2A9C7501">
            <w:pPr>
              <w:spacing w:before="60" w:beforeLines="25" w:after="60" w:afterLines="25"/>
              <w:rPr>
                <w:rFonts w:ascii="宋体" w:hAnsi="宋体"/>
                <w:szCs w:val="21"/>
              </w:rPr>
            </w:pPr>
          </w:p>
        </w:tc>
        <w:tc>
          <w:tcPr>
            <w:tcW w:w="3435" w:type="pct"/>
            <w:gridSpan w:val="2"/>
            <w:tcBorders>
              <w:top w:val="single" w:color="auto" w:sz="4" w:space="0"/>
              <w:left w:val="nil"/>
              <w:bottom w:val="single" w:color="auto" w:sz="4" w:space="0"/>
              <w:right w:val="single" w:color="auto" w:sz="4" w:space="0"/>
            </w:tcBorders>
            <w:vAlign w:val="center"/>
          </w:tcPr>
          <w:p w14:paraId="4F41798F">
            <w:pPr>
              <w:spacing w:before="60" w:beforeLines="25" w:after="60" w:afterLines="25"/>
              <w:rPr>
                <w:rFonts w:ascii="宋体" w:hAnsi="宋体"/>
                <w:szCs w:val="21"/>
              </w:rPr>
            </w:pPr>
            <w:r>
              <w:rPr>
                <w:rFonts w:hint="eastAsia" w:ascii="宋体" w:hAnsi="宋体"/>
                <w:szCs w:val="21"/>
              </w:rPr>
              <w:t>团队配置较合理、证书齐全、设置关键岗位人员</w:t>
            </w:r>
          </w:p>
        </w:tc>
        <w:tc>
          <w:tcPr>
            <w:tcW w:w="522" w:type="pct"/>
            <w:tcBorders>
              <w:top w:val="single" w:color="auto" w:sz="4" w:space="0"/>
              <w:left w:val="nil"/>
              <w:bottom w:val="single" w:color="auto" w:sz="4" w:space="0"/>
              <w:right w:val="single" w:color="auto" w:sz="4" w:space="0"/>
            </w:tcBorders>
            <w:vAlign w:val="center"/>
          </w:tcPr>
          <w:p w14:paraId="1DE146C2">
            <w:pPr>
              <w:spacing w:before="60" w:beforeLines="25" w:after="60" w:afterLines="25"/>
              <w:jc w:val="center"/>
              <w:rPr>
                <w:rFonts w:ascii="宋体" w:hAnsi="宋体"/>
                <w:szCs w:val="21"/>
              </w:rPr>
            </w:pPr>
            <w:r>
              <w:rPr>
                <w:rFonts w:hint="eastAsia" w:ascii="宋体" w:hAnsi="宋体"/>
                <w:szCs w:val="21"/>
              </w:rPr>
              <w:t>2分</w:t>
            </w:r>
          </w:p>
        </w:tc>
      </w:tr>
      <w:tr w14:paraId="16EFEC85">
        <w:tblPrEx>
          <w:tblCellMar>
            <w:top w:w="0" w:type="dxa"/>
            <w:left w:w="108" w:type="dxa"/>
            <w:bottom w:w="0" w:type="dxa"/>
            <w:right w:w="108" w:type="dxa"/>
          </w:tblCellMar>
        </w:tblPrEx>
        <w:trPr>
          <w:trHeight w:val="382" w:hRule="atLeast"/>
        </w:trPr>
        <w:tc>
          <w:tcPr>
            <w:tcW w:w="597" w:type="pct"/>
            <w:vMerge w:val="continue"/>
            <w:tcBorders>
              <w:left w:val="single" w:color="auto" w:sz="4" w:space="0"/>
              <w:right w:val="single" w:color="auto" w:sz="4" w:space="0"/>
            </w:tcBorders>
            <w:vAlign w:val="center"/>
          </w:tcPr>
          <w:p w14:paraId="2CD96CEF">
            <w:pPr>
              <w:spacing w:before="60" w:beforeLines="25" w:after="60" w:afterLines="25"/>
              <w:rPr>
                <w:rFonts w:ascii="宋体" w:hAnsi="宋体"/>
                <w:szCs w:val="21"/>
              </w:rPr>
            </w:pPr>
          </w:p>
        </w:tc>
        <w:tc>
          <w:tcPr>
            <w:tcW w:w="446" w:type="pct"/>
            <w:vMerge w:val="continue"/>
            <w:tcBorders>
              <w:left w:val="single" w:color="auto" w:sz="4" w:space="0"/>
              <w:right w:val="single" w:color="auto" w:sz="4" w:space="0"/>
            </w:tcBorders>
            <w:vAlign w:val="center"/>
          </w:tcPr>
          <w:p w14:paraId="2C34E684">
            <w:pPr>
              <w:spacing w:before="60" w:beforeLines="25" w:after="60" w:afterLines="25"/>
              <w:rPr>
                <w:rFonts w:ascii="宋体" w:hAnsi="宋体"/>
                <w:szCs w:val="21"/>
              </w:rPr>
            </w:pPr>
          </w:p>
        </w:tc>
        <w:tc>
          <w:tcPr>
            <w:tcW w:w="3435" w:type="pct"/>
            <w:gridSpan w:val="2"/>
            <w:tcBorders>
              <w:top w:val="single" w:color="auto" w:sz="4" w:space="0"/>
              <w:left w:val="nil"/>
              <w:bottom w:val="single" w:color="auto" w:sz="4" w:space="0"/>
              <w:right w:val="single" w:color="auto" w:sz="4" w:space="0"/>
            </w:tcBorders>
            <w:vAlign w:val="center"/>
          </w:tcPr>
          <w:p w14:paraId="047C19B1">
            <w:pPr>
              <w:spacing w:before="60" w:beforeLines="25" w:after="60" w:afterLines="25"/>
              <w:rPr>
                <w:rFonts w:ascii="宋体" w:hAnsi="宋体"/>
                <w:szCs w:val="21"/>
              </w:rPr>
            </w:pPr>
            <w:r>
              <w:rPr>
                <w:rFonts w:hint="eastAsia" w:ascii="宋体" w:hAnsi="宋体"/>
                <w:szCs w:val="21"/>
              </w:rPr>
              <w:t>团队配置不合理、证书齐全、缺少关键岗位人员</w:t>
            </w:r>
          </w:p>
        </w:tc>
        <w:tc>
          <w:tcPr>
            <w:tcW w:w="522" w:type="pct"/>
            <w:tcBorders>
              <w:top w:val="single" w:color="auto" w:sz="4" w:space="0"/>
              <w:left w:val="nil"/>
              <w:bottom w:val="single" w:color="auto" w:sz="4" w:space="0"/>
              <w:right w:val="single" w:color="auto" w:sz="4" w:space="0"/>
            </w:tcBorders>
            <w:vAlign w:val="center"/>
          </w:tcPr>
          <w:p w14:paraId="27F25692">
            <w:pPr>
              <w:spacing w:before="60" w:beforeLines="25" w:after="60" w:afterLines="25"/>
              <w:jc w:val="center"/>
              <w:rPr>
                <w:rFonts w:ascii="宋体" w:hAnsi="宋体"/>
                <w:szCs w:val="21"/>
              </w:rPr>
            </w:pPr>
            <w:r>
              <w:rPr>
                <w:rFonts w:hint="eastAsia" w:ascii="宋体" w:hAnsi="宋体"/>
                <w:szCs w:val="21"/>
              </w:rPr>
              <w:t>0分</w:t>
            </w:r>
          </w:p>
        </w:tc>
      </w:tr>
      <w:tr w14:paraId="744F79BD">
        <w:tblPrEx>
          <w:tblCellMar>
            <w:top w:w="0" w:type="dxa"/>
            <w:left w:w="108" w:type="dxa"/>
            <w:bottom w:w="0" w:type="dxa"/>
            <w:right w:w="108" w:type="dxa"/>
          </w:tblCellMar>
        </w:tblPrEx>
        <w:trPr>
          <w:trHeight w:val="515" w:hRule="atLeast"/>
        </w:trPr>
        <w:tc>
          <w:tcPr>
            <w:tcW w:w="597" w:type="pct"/>
            <w:tcBorders>
              <w:top w:val="single" w:color="auto" w:sz="4" w:space="0"/>
              <w:left w:val="single" w:color="auto" w:sz="4" w:space="0"/>
              <w:bottom w:val="single" w:color="auto" w:sz="4" w:space="0"/>
              <w:right w:val="single" w:color="auto" w:sz="4" w:space="0"/>
            </w:tcBorders>
            <w:vAlign w:val="center"/>
          </w:tcPr>
          <w:p w14:paraId="0D5156C1">
            <w:pPr>
              <w:spacing w:before="60" w:beforeLines="25" w:after="60" w:afterLines="25"/>
              <w:rPr>
                <w:rFonts w:ascii="宋体" w:hAnsi="宋体"/>
                <w:szCs w:val="21"/>
              </w:rPr>
            </w:pPr>
            <w:r>
              <w:rPr>
                <w:rFonts w:hint="eastAsia" w:ascii="宋体" w:hAnsi="宋体"/>
                <w:szCs w:val="21"/>
              </w:rPr>
              <w:t>企业业绩</w:t>
            </w:r>
          </w:p>
        </w:tc>
        <w:tc>
          <w:tcPr>
            <w:tcW w:w="446" w:type="pct"/>
            <w:tcBorders>
              <w:top w:val="single" w:color="auto" w:sz="4" w:space="0"/>
              <w:left w:val="single" w:color="auto" w:sz="4" w:space="0"/>
              <w:bottom w:val="single" w:color="auto" w:sz="4" w:space="0"/>
              <w:right w:val="single" w:color="auto" w:sz="4" w:space="0"/>
            </w:tcBorders>
            <w:vAlign w:val="center"/>
          </w:tcPr>
          <w:p w14:paraId="0479D294">
            <w:pPr>
              <w:spacing w:before="60" w:beforeLines="25" w:after="60" w:afterLines="25"/>
              <w:jc w:val="center"/>
              <w:rPr>
                <w:rFonts w:ascii="宋体" w:hAnsi="宋体"/>
                <w:szCs w:val="21"/>
              </w:rPr>
            </w:pPr>
            <w:r>
              <w:rPr>
                <w:rFonts w:hint="eastAsia" w:ascii="宋体" w:hAnsi="宋体"/>
                <w:szCs w:val="21"/>
              </w:rPr>
              <w:t>20分</w:t>
            </w:r>
          </w:p>
        </w:tc>
        <w:tc>
          <w:tcPr>
            <w:tcW w:w="3435" w:type="pct"/>
            <w:gridSpan w:val="2"/>
            <w:tcBorders>
              <w:top w:val="single" w:color="auto" w:sz="4" w:space="0"/>
              <w:left w:val="single" w:color="auto" w:sz="4" w:space="0"/>
              <w:bottom w:val="single" w:color="auto" w:sz="4" w:space="0"/>
              <w:right w:val="single" w:color="auto" w:sz="4" w:space="0"/>
            </w:tcBorders>
            <w:vAlign w:val="center"/>
          </w:tcPr>
          <w:p w14:paraId="50902E8A">
            <w:pPr>
              <w:spacing w:before="60" w:beforeLines="25" w:after="60" w:afterLines="25"/>
              <w:rPr>
                <w:rFonts w:ascii="宋体" w:hAnsi="宋体"/>
                <w:szCs w:val="21"/>
              </w:rPr>
            </w:pPr>
            <w:r>
              <w:rPr>
                <w:rFonts w:hint="eastAsia" w:ascii="宋体" w:hAnsi="宋体"/>
                <w:szCs w:val="21"/>
              </w:rPr>
              <w:t>企业近五年类似项目业绩，有一项得10分，两项含以上得20分，无业绩得0分</w:t>
            </w:r>
          </w:p>
        </w:tc>
        <w:tc>
          <w:tcPr>
            <w:tcW w:w="522" w:type="pct"/>
            <w:tcBorders>
              <w:top w:val="single" w:color="auto" w:sz="4" w:space="0"/>
              <w:left w:val="single" w:color="auto" w:sz="4" w:space="0"/>
              <w:bottom w:val="single" w:color="auto" w:sz="4" w:space="0"/>
              <w:right w:val="single" w:color="auto" w:sz="4" w:space="0"/>
            </w:tcBorders>
            <w:vAlign w:val="center"/>
          </w:tcPr>
          <w:p w14:paraId="46563581">
            <w:pPr>
              <w:spacing w:before="60" w:beforeLines="25" w:after="60" w:afterLines="25"/>
              <w:jc w:val="center"/>
              <w:rPr>
                <w:rFonts w:ascii="宋体" w:hAnsi="宋体"/>
                <w:szCs w:val="21"/>
              </w:rPr>
            </w:pPr>
            <w:r>
              <w:rPr>
                <w:rFonts w:hint="eastAsia" w:ascii="宋体" w:hAnsi="宋体"/>
                <w:szCs w:val="21"/>
              </w:rPr>
              <w:t>0-20分</w:t>
            </w:r>
          </w:p>
        </w:tc>
      </w:tr>
    </w:tbl>
    <w:p w14:paraId="27FE4CBC">
      <w:pPr>
        <w:spacing w:before="60" w:beforeLines="25" w:after="60" w:afterLines="25"/>
        <w:rPr>
          <w:rFonts w:ascii="宋体" w:hAnsi="宋体"/>
          <w:szCs w:val="21"/>
        </w:rPr>
      </w:pPr>
    </w:p>
    <w:p w14:paraId="61D2928D">
      <w:pPr>
        <w:spacing w:before="60" w:beforeLines="25" w:after="60" w:afterLines="25"/>
        <w:rPr>
          <w:rFonts w:ascii="宋体" w:hAnsi="宋体"/>
          <w:szCs w:val="21"/>
        </w:rPr>
      </w:pPr>
      <w:r>
        <w:rPr>
          <w:rFonts w:ascii="宋体" w:hAnsi="宋体"/>
          <w:sz w:val="24"/>
        </w:rPr>
        <w:br w:type="page"/>
      </w:r>
      <w:r>
        <w:rPr>
          <w:rFonts w:hint="eastAsia" w:ascii="宋体" w:hAnsi="宋体"/>
          <w:sz w:val="24"/>
        </w:rPr>
        <w:t>3.施工</w:t>
      </w:r>
      <w:r>
        <w:rPr>
          <w:rFonts w:ascii="宋体" w:hAnsi="宋体"/>
          <w:sz w:val="24"/>
        </w:rPr>
        <w:t>组织设计</w:t>
      </w:r>
      <w:r>
        <w:rPr>
          <w:rFonts w:hint="eastAsia" w:ascii="宋体" w:hAnsi="宋体"/>
          <w:sz w:val="24"/>
        </w:rPr>
        <w:t>评审标准</w:t>
      </w:r>
      <w:r>
        <w:rPr>
          <w:rFonts w:ascii="宋体" w:hAnsi="宋体"/>
          <w:sz w:val="24"/>
        </w:rPr>
        <w:t>（</w:t>
      </w:r>
      <w:r>
        <w:rPr>
          <w:rFonts w:hint="eastAsia" w:ascii="宋体" w:hAnsi="宋体"/>
          <w:sz w:val="24"/>
        </w:rPr>
        <w:t>35分）</w:t>
      </w:r>
    </w:p>
    <w:tbl>
      <w:tblPr>
        <w:tblStyle w:val="49"/>
        <w:tblW w:w="955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3"/>
        <w:gridCol w:w="850"/>
        <w:gridCol w:w="6521"/>
        <w:gridCol w:w="992"/>
      </w:tblGrid>
      <w:tr w14:paraId="6021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93" w:type="dxa"/>
            <w:vAlign w:val="center"/>
          </w:tcPr>
          <w:p w14:paraId="664D0549">
            <w:pPr>
              <w:spacing w:before="60" w:beforeLines="25" w:after="60" w:afterLines="25"/>
              <w:jc w:val="center"/>
              <w:rPr>
                <w:rFonts w:ascii="宋体" w:hAnsi="宋体"/>
                <w:szCs w:val="21"/>
              </w:rPr>
            </w:pPr>
            <w:r>
              <w:rPr>
                <w:rFonts w:hint="eastAsia" w:ascii="宋体" w:hAnsi="宋体"/>
                <w:szCs w:val="21"/>
              </w:rPr>
              <w:t>评审项目</w:t>
            </w:r>
          </w:p>
        </w:tc>
        <w:tc>
          <w:tcPr>
            <w:tcW w:w="850" w:type="dxa"/>
            <w:vAlign w:val="center"/>
          </w:tcPr>
          <w:p w14:paraId="33D0A819">
            <w:pPr>
              <w:spacing w:before="60" w:beforeLines="25" w:after="60" w:afterLines="25"/>
              <w:jc w:val="center"/>
              <w:rPr>
                <w:rFonts w:ascii="宋体" w:hAnsi="宋体"/>
                <w:szCs w:val="21"/>
              </w:rPr>
            </w:pPr>
            <w:r>
              <w:rPr>
                <w:rFonts w:hint="eastAsia" w:ascii="宋体" w:hAnsi="宋体"/>
                <w:szCs w:val="21"/>
              </w:rPr>
              <w:t>标准分</w:t>
            </w:r>
          </w:p>
        </w:tc>
        <w:tc>
          <w:tcPr>
            <w:tcW w:w="6521" w:type="dxa"/>
            <w:vAlign w:val="center"/>
          </w:tcPr>
          <w:p w14:paraId="66CD941B">
            <w:pPr>
              <w:spacing w:before="60" w:beforeLines="25" w:after="60" w:afterLines="25"/>
              <w:jc w:val="center"/>
              <w:rPr>
                <w:rFonts w:ascii="宋体" w:hAnsi="宋体"/>
                <w:szCs w:val="21"/>
              </w:rPr>
            </w:pPr>
            <w:r>
              <w:rPr>
                <w:rFonts w:hint="eastAsia" w:ascii="宋体" w:hAnsi="宋体"/>
                <w:szCs w:val="21"/>
              </w:rPr>
              <w:t>评分标准</w:t>
            </w:r>
          </w:p>
        </w:tc>
        <w:tc>
          <w:tcPr>
            <w:tcW w:w="992" w:type="dxa"/>
            <w:vAlign w:val="center"/>
          </w:tcPr>
          <w:p w14:paraId="77B7C585">
            <w:pPr>
              <w:spacing w:before="60" w:beforeLines="25" w:after="60" w:afterLines="25"/>
              <w:jc w:val="center"/>
              <w:rPr>
                <w:rFonts w:ascii="宋体" w:hAnsi="宋体"/>
                <w:szCs w:val="21"/>
              </w:rPr>
            </w:pPr>
            <w:r>
              <w:rPr>
                <w:rFonts w:hint="eastAsia" w:ascii="宋体" w:hAnsi="宋体"/>
                <w:szCs w:val="21"/>
              </w:rPr>
              <w:t>分值</w:t>
            </w:r>
          </w:p>
        </w:tc>
      </w:tr>
      <w:tr w14:paraId="45CD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93" w:type="dxa"/>
            <w:vMerge w:val="restart"/>
            <w:vAlign w:val="center"/>
          </w:tcPr>
          <w:p w14:paraId="7C742DAF">
            <w:pPr>
              <w:spacing w:before="60" w:beforeLines="25" w:after="60" w:afterLines="25"/>
              <w:rPr>
                <w:rFonts w:ascii="宋体" w:hAnsi="宋体"/>
                <w:szCs w:val="21"/>
              </w:rPr>
            </w:pPr>
            <w:r>
              <w:rPr>
                <w:rFonts w:hint="eastAsia" w:ascii="宋体" w:hAnsi="宋体"/>
                <w:szCs w:val="21"/>
              </w:rPr>
              <w:t>施工方案与技术措施</w:t>
            </w:r>
          </w:p>
        </w:tc>
        <w:tc>
          <w:tcPr>
            <w:tcW w:w="850" w:type="dxa"/>
            <w:vMerge w:val="restart"/>
            <w:vAlign w:val="center"/>
          </w:tcPr>
          <w:p w14:paraId="10098704">
            <w:pPr>
              <w:spacing w:before="60" w:beforeLines="25" w:after="60" w:afterLines="25"/>
              <w:jc w:val="center"/>
              <w:rPr>
                <w:rFonts w:ascii="宋体" w:hAnsi="宋体"/>
                <w:szCs w:val="21"/>
              </w:rPr>
            </w:pPr>
            <w:r>
              <w:rPr>
                <w:rFonts w:hint="eastAsia" w:ascii="宋体" w:hAnsi="宋体"/>
                <w:szCs w:val="21"/>
              </w:rPr>
              <w:t>12</w:t>
            </w:r>
          </w:p>
        </w:tc>
        <w:tc>
          <w:tcPr>
            <w:tcW w:w="6521" w:type="dxa"/>
            <w:vAlign w:val="center"/>
          </w:tcPr>
          <w:p w14:paraId="588D626B">
            <w:pPr>
              <w:spacing w:before="60" w:beforeLines="25" w:after="60" w:afterLines="25"/>
              <w:rPr>
                <w:rFonts w:ascii="宋体" w:hAnsi="宋体"/>
                <w:szCs w:val="21"/>
              </w:rPr>
            </w:pPr>
            <w:r>
              <w:rPr>
                <w:rFonts w:hint="eastAsia" w:ascii="宋体" w:hAnsi="宋体"/>
                <w:szCs w:val="21"/>
              </w:rPr>
              <w:t>内容合理、实施性强、技术措施针对性强，提供相关方案内容均进行详细阐述且满足采购需求</w:t>
            </w:r>
          </w:p>
        </w:tc>
        <w:tc>
          <w:tcPr>
            <w:tcW w:w="992" w:type="dxa"/>
            <w:vAlign w:val="center"/>
          </w:tcPr>
          <w:p w14:paraId="43058507">
            <w:pPr>
              <w:spacing w:before="60" w:beforeLines="25" w:after="60" w:afterLines="25"/>
              <w:jc w:val="center"/>
              <w:rPr>
                <w:rFonts w:ascii="宋体" w:hAnsi="宋体"/>
                <w:szCs w:val="21"/>
              </w:rPr>
            </w:pPr>
            <w:r>
              <w:rPr>
                <w:rFonts w:hint="eastAsia" w:ascii="宋体" w:hAnsi="宋体"/>
                <w:szCs w:val="21"/>
              </w:rPr>
              <w:t>12</w:t>
            </w:r>
          </w:p>
        </w:tc>
      </w:tr>
      <w:tr w14:paraId="4B83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93" w:type="dxa"/>
            <w:vMerge w:val="continue"/>
            <w:vAlign w:val="center"/>
          </w:tcPr>
          <w:p w14:paraId="6C87BFA2">
            <w:pPr>
              <w:spacing w:before="60" w:beforeLines="25" w:after="60" w:afterLines="25"/>
              <w:rPr>
                <w:rFonts w:ascii="宋体" w:hAnsi="宋体"/>
                <w:szCs w:val="21"/>
              </w:rPr>
            </w:pPr>
          </w:p>
        </w:tc>
        <w:tc>
          <w:tcPr>
            <w:tcW w:w="850" w:type="dxa"/>
            <w:vMerge w:val="continue"/>
            <w:vAlign w:val="center"/>
          </w:tcPr>
          <w:p w14:paraId="2ECFA1AA">
            <w:pPr>
              <w:spacing w:before="60" w:beforeLines="25" w:after="60" w:afterLines="25"/>
              <w:jc w:val="center"/>
              <w:rPr>
                <w:rFonts w:ascii="宋体" w:hAnsi="宋体"/>
                <w:szCs w:val="21"/>
              </w:rPr>
            </w:pPr>
          </w:p>
        </w:tc>
        <w:tc>
          <w:tcPr>
            <w:tcW w:w="6521" w:type="dxa"/>
            <w:vAlign w:val="center"/>
          </w:tcPr>
          <w:p w14:paraId="6E79BB51">
            <w:pPr>
              <w:spacing w:before="60" w:beforeLines="25" w:after="60" w:afterLines="25"/>
              <w:rPr>
                <w:rFonts w:ascii="宋体" w:hAnsi="宋体"/>
                <w:szCs w:val="21"/>
              </w:rPr>
            </w:pPr>
            <w:r>
              <w:rPr>
                <w:rFonts w:hint="eastAsia" w:ascii="宋体" w:hAnsi="宋体"/>
                <w:szCs w:val="21"/>
              </w:rPr>
              <w:t>内容基本合理、实施性较强、技术措施针对性一般，提供了相关方案但未贴合项目实际情况进行详细阐述，基本满足采购需求</w:t>
            </w:r>
          </w:p>
        </w:tc>
        <w:tc>
          <w:tcPr>
            <w:tcW w:w="992" w:type="dxa"/>
            <w:vAlign w:val="center"/>
          </w:tcPr>
          <w:p w14:paraId="4F13F3FB">
            <w:pPr>
              <w:spacing w:before="60" w:beforeLines="25" w:after="60" w:afterLines="25"/>
              <w:jc w:val="center"/>
              <w:rPr>
                <w:rFonts w:ascii="宋体" w:hAnsi="宋体"/>
                <w:szCs w:val="21"/>
              </w:rPr>
            </w:pPr>
            <w:r>
              <w:rPr>
                <w:rFonts w:hint="eastAsia" w:ascii="宋体" w:hAnsi="宋体"/>
                <w:szCs w:val="21"/>
              </w:rPr>
              <w:t>9</w:t>
            </w:r>
          </w:p>
        </w:tc>
      </w:tr>
      <w:tr w14:paraId="1A36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193" w:type="dxa"/>
            <w:vMerge w:val="continue"/>
            <w:vAlign w:val="center"/>
          </w:tcPr>
          <w:p w14:paraId="1AFD9CBF">
            <w:pPr>
              <w:spacing w:before="60" w:beforeLines="25" w:after="60" w:afterLines="25"/>
              <w:rPr>
                <w:rFonts w:ascii="宋体" w:hAnsi="宋体"/>
                <w:szCs w:val="21"/>
              </w:rPr>
            </w:pPr>
          </w:p>
        </w:tc>
        <w:tc>
          <w:tcPr>
            <w:tcW w:w="850" w:type="dxa"/>
            <w:vMerge w:val="continue"/>
            <w:vAlign w:val="center"/>
          </w:tcPr>
          <w:p w14:paraId="0E731199">
            <w:pPr>
              <w:spacing w:before="60" w:beforeLines="25" w:after="60" w:afterLines="25"/>
              <w:jc w:val="center"/>
              <w:rPr>
                <w:rFonts w:ascii="宋体" w:hAnsi="宋体"/>
                <w:szCs w:val="21"/>
              </w:rPr>
            </w:pPr>
          </w:p>
        </w:tc>
        <w:tc>
          <w:tcPr>
            <w:tcW w:w="6521" w:type="dxa"/>
            <w:vAlign w:val="center"/>
          </w:tcPr>
          <w:p w14:paraId="6F76D59F">
            <w:pPr>
              <w:spacing w:before="60" w:beforeLines="25" w:after="60" w:afterLines="25"/>
              <w:rPr>
                <w:rFonts w:ascii="宋体" w:hAnsi="宋体"/>
                <w:szCs w:val="21"/>
              </w:rPr>
            </w:pPr>
            <w:r>
              <w:rPr>
                <w:rFonts w:hint="eastAsia" w:ascii="宋体" w:hAnsi="宋体"/>
                <w:szCs w:val="21"/>
              </w:rPr>
              <w:t>内容基本合理、实施性一般、技术措施针对性一般，提供了相关方案但内容阐述不够全面具体，或未包括具体实施细节及措施</w:t>
            </w:r>
          </w:p>
        </w:tc>
        <w:tc>
          <w:tcPr>
            <w:tcW w:w="992" w:type="dxa"/>
            <w:vAlign w:val="center"/>
          </w:tcPr>
          <w:p w14:paraId="3CEE3A0F">
            <w:pPr>
              <w:spacing w:before="60" w:beforeLines="25" w:after="60" w:afterLines="25"/>
              <w:jc w:val="center"/>
              <w:rPr>
                <w:rFonts w:ascii="宋体" w:hAnsi="宋体"/>
                <w:szCs w:val="21"/>
              </w:rPr>
            </w:pPr>
            <w:r>
              <w:rPr>
                <w:rFonts w:hint="eastAsia" w:ascii="宋体" w:hAnsi="宋体"/>
                <w:szCs w:val="21"/>
              </w:rPr>
              <w:t>6</w:t>
            </w:r>
          </w:p>
        </w:tc>
      </w:tr>
      <w:tr w14:paraId="7C5B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193" w:type="dxa"/>
            <w:vMerge w:val="continue"/>
            <w:vAlign w:val="center"/>
          </w:tcPr>
          <w:p w14:paraId="2BF67E3F">
            <w:pPr>
              <w:spacing w:before="60" w:beforeLines="25" w:after="60" w:afterLines="25"/>
              <w:rPr>
                <w:rFonts w:ascii="宋体" w:hAnsi="宋体"/>
                <w:szCs w:val="21"/>
              </w:rPr>
            </w:pPr>
          </w:p>
        </w:tc>
        <w:tc>
          <w:tcPr>
            <w:tcW w:w="850" w:type="dxa"/>
            <w:vMerge w:val="continue"/>
            <w:vAlign w:val="center"/>
          </w:tcPr>
          <w:p w14:paraId="2A55F41B">
            <w:pPr>
              <w:spacing w:before="60" w:beforeLines="25" w:after="60" w:afterLines="25"/>
              <w:jc w:val="center"/>
              <w:rPr>
                <w:rFonts w:ascii="宋体" w:hAnsi="宋体"/>
                <w:szCs w:val="21"/>
              </w:rPr>
            </w:pPr>
          </w:p>
        </w:tc>
        <w:tc>
          <w:tcPr>
            <w:tcW w:w="6521" w:type="dxa"/>
            <w:vAlign w:val="center"/>
          </w:tcPr>
          <w:p w14:paraId="3E8272A5">
            <w:pPr>
              <w:spacing w:before="60" w:beforeLines="25" w:after="60" w:afterLines="25"/>
              <w:rPr>
                <w:rFonts w:ascii="宋体" w:hAnsi="宋体"/>
                <w:szCs w:val="21"/>
              </w:rPr>
            </w:pPr>
            <w:r>
              <w:rPr>
                <w:rFonts w:hint="eastAsia" w:ascii="宋体" w:hAnsi="宋体"/>
                <w:szCs w:val="21"/>
              </w:rPr>
              <w:t>内容不合理、实施性不强、不适合本项目</w:t>
            </w:r>
          </w:p>
        </w:tc>
        <w:tc>
          <w:tcPr>
            <w:tcW w:w="992" w:type="dxa"/>
            <w:vAlign w:val="center"/>
          </w:tcPr>
          <w:p w14:paraId="2D74FEAE">
            <w:pPr>
              <w:spacing w:before="60" w:beforeLines="25" w:after="60" w:afterLines="25"/>
              <w:jc w:val="center"/>
              <w:rPr>
                <w:rFonts w:ascii="宋体" w:hAnsi="宋体"/>
                <w:szCs w:val="21"/>
              </w:rPr>
            </w:pPr>
            <w:r>
              <w:rPr>
                <w:rFonts w:hint="eastAsia" w:ascii="宋体" w:hAnsi="宋体"/>
                <w:szCs w:val="21"/>
              </w:rPr>
              <w:t>3</w:t>
            </w:r>
          </w:p>
        </w:tc>
      </w:tr>
      <w:tr w14:paraId="2B9F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193" w:type="dxa"/>
            <w:vMerge w:val="continue"/>
            <w:vAlign w:val="center"/>
          </w:tcPr>
          <w:p w14:paraId="51916D98">
            <w:pPr>
              <w:spacing w:before="60" w:beforeLines="25" w:after="60" w:afterLines="25"/>
              <w:rPr>
                <w:rFonts w:ascii="宋体" w:hAnsi="宋体"/>
                <w:szCs w:val="21"/>
              </w:rPr>
            </w:pPr>
          </w:p>
        </w:tc>
        <w:tc>
          <w:tcPr>
            <w:tcW w:w="850" w:type="dxa"/>
            <w:vMerge w:val="continue"/>
            <w:vAlign w:val="center"/>
          </w:tcPr>
          <w:p w14:paraId="53263303">
            <w:pPr>
              <w:spacing w:before="60" w:beforeLines="25" w:after="60" w:afterLines="25"/>
              <w:jc w:val="center"/>
              <w:rPr>
                <w:rFonts w:ascii="宋体" w:hAnsi="宋体"/>
                <w:szCs w:val="21"/>
              </w:rPr>
            </w:pPr>
          </w:p>
        </w:tc>
        <w:tc>
          <w:tcPr>
            <w:tcW w:w="6521" w:type="dxa"/>
            <w:vAlign w:val="center"/>
          </w:tcPr>
          <w:p w14:paraId="7B7FEF46">
            <w:pPr>
              <w:spacing w:before="60" w:beforeLines="25" w:after="60" w:afterLines="25"/>
              <w:rPr>
                <w:rFonts w:ascii="宋体" w:hAnsi="宋体"/>
                <w:szCs w:val="21"/>
              </w:rPr>
            </w:pPr>
            <w:r>
              <w:rPr>
                <w:rFonts w:hint="eastAsia" w:ascii="宋体" w:hAnsi="宋体"/>
                <w:szCs w:val="21"/>
              </w:rPr>
              <w:t>未提供</w:t>
            </w:r>
          </w:p>
        </w:tc>
        <w:tc>
          <w:tcPr>
            <w:tcW w:w="992" w:type="dxa"/>
            <w:vAlign w:val="center"/>
          </w:tcPr>
          <w:p w14:paraId="760B53ED">
            <w:pPr>
              <w:spacing w:before="60" w:beforeLines="25" w:after="60" w:afterLines="25"/>
              <w:jc w:val="center"/>
              <w:rPr>
                <w:rFonts w:ascii="宋体" w:hAnsi="宋体"/>
                <w:szCs w:val="21"/>
              </w:rPr>
            </w:pPr>
            <w:r>
              <w:rPr>
                <w:rFonts w:hint="eastAsia" w:ascii="宋体" w:hAnsi="宋体"/>
                <w:szCs w:val="21"/>
              </w:rPr>
              <w:t>0</w:t>
            </w:r>
          </w:p>
        </w:tc>
      </w:tr>
      <w:tr w14:paraId="5733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193" w:type="dxa"/>
            <w:vMerge w:val="restart"/>
            <w:vAlign w:val="center"/>
          </w:tcPr>
          <w:p w14:paraId="26398935">
            <w:pPr>
              <w:spacing w:before="60" w:beforeLines="25" w:after="60" w:afterLines="25"/>
              <w:rPr>
                <w:rFonts w:ascii="宋体" w:hAnsi="宋体"/>
                <w:szCs w:val="21"/>
              </w:rPr>
            </w:pPr>
            <w:r>
              <w:rPr>
                <w:rFonts w:hint="eastAsia" w:ascii="宋体" w:hAnsi="宋体"/>
                <w:szCs w:val="21"/>
              </w:rPr>
              <w:t>质量管理体系与保证措施</w:t>
            </w:r>
          </w:p>
        </w:tc>
        <w:tc>
          <w:tcPr>
            <w:tcW w:w="850" w:type="dxa"/>
            <w:vMerge w:val="restart"/>
            <w:vAlign w:val="center"/>
          </w:tcPr>
          <w:p w14:paraId="08517173">
            <w:pPr>
              <w:spacing w:before="60" w:beforeLines="25" w:after="60" w:afterLines="25"/>
              <w:jc w:val="center"/>
              <w:rPr>
                <w:rFonts w:ascii="宋体" w:hAnsi="宋体"/>
                <w:szCs w:val="21"/>
              </w:rPr>
            </w:pPr>
            <w:r>
              <w:rPr>
                <w:rFonts w:hint="eastAsia" w:ascii="宋体" w:hAnsi="宋体"/>
                <w:szCs w:val="21"/>
              </w:rPr>
              <w:t>8</w:t>
            </w:r>
          </w:p>
        </w:tc>
        <w:tc>
          <w:tcPr>
            <w:tcW w:w="6521" w:type="dxa"/>
            <w:vAlign w:val="center"/>
          </w:tcPr>
          <w:p w14:paraId="377A0F49">
            <w:pPr>
              <w:spacing w:line="276" w:lineRule="auto"/>
              <w:rPr>
                <w:rFonts w:ascii="宋体" w:hAnsi="宋体"/>
                <w:szCs w:val="21"/>
              </w:rPr>
            </w:pPr>
            <w:r>
              <w:rPr>
                <w:rFonts w:hint="eastAsia" w:ascii="宋体" w:hAnsi="宋体"/>
                <w:szCs w:val="21"/>
              </w:rPr>
              <w:t>质量管理体系科学、可行,保证措施针对性强。提供相关方案内容均进行详细阐述且满足采购需求</w:t>
            </w:r>
          </w:p>
        </w:tc>
        <w:tc>
          <w:tcPr>
            <w:tcW w:w="992" w:type="dxa"/>
            <w:vAlign w:val="center"/>
          </w:tcPr>
          <w:p w14:paraId="60A93A6F">
            <w:pPr>
              <w:spacing w:before="60" w:beforeLines="25" w:after="60" w:afterLines="25"/>
              <w:jc w:val="center"/>
              <w:rPr>
                <w:rFonts w:ascii="宋体" w:hAnsi="宋体"/>
                <w:szCs w:val="21"/>
              </w:rPr>
            </w:pPr>
            <w:r>
              <w:rPr>
                <w:rFonts w:hint="eastAsia" w:ascii="宋体" w:hAnsi="宋体"/>
                <w:szCs w:val="21"/>
              </w:rPr>
              <w:t>8</w:t>
            </w:r>
          </w:p>
        </w:tc>
      </w:tr>
      <w:tr w14:paraId="7D1D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193" w:type="dxa"/>
            <w:vMerge w:val="continue"/>
            <w:vAlign w:val="center"/>
          </w:tcPr>
          <w:p w14:paraId="73EC845F">
            <w:pPr>
              <w:spacing w:before="60" w:beforeLines="25" w:after="60" w:afterLines="25"/>
              <w:rPr>
                <w:rFonts w:ascii="宋体" w:hAnsi="宋体"/>
                <w:szCs w:val="21"/>
              </w:rPr>
            </w:pPr>
          </w:p>
        </w:tc>
        <w:tc>
          <w:tcPr>
            <w:tcW w:w="850" w:type="dxa"/>
            <w:vMerge w:val="continue"/>
            <w:vAlign w:val="center"/>
          </w:tcPr>
          <w:p w14:paraId="539F167D">
            <w:pPr>
              <w:spacing w:before="60" w:beforeLines="25" w:after="60" w:afterLines="25"/>
              <w:jc w:val="center"/>
              <w:rPr>
                <w:rFonts w:ascii="宋体" w:hAnsi="宋体"/>
                <w:szCs w:val="21"/>
              </w:rPr>
            </w:pPr>
          </w:p>
        </w:tc>
        <w:tc>
          <w:tcPr>
            <w:tcW w:w="6521" w:type="dxa"/>
            <w:vAlign w:val="center"/>
          </w:tcPr>
          <w:p w14:paraId="192E9B7E">
            <w:pPr>
              <w:spacing w:line="276" w:lineRule="auto"/>
              <w:rPr>
                <w:rFonts w:ascii="宋体" w:hAnsi="宋体"/>
                <w:szCs w:val="21"/>
              </w:rPr>
            </w:pPr>
            <w:r>
              <w:rPr>
                <w:rFonts w:hint="eastAsia" w:ascii="宋体" w:hAnsi="宋体"/>
                <w:szCs w:val="21"/>
              </w:rPr>
              <w:t>质量管理体系合理、可行,保证措施细节待完善。提供了相关方案但未贴合项目实际情况进行详细阐述，基本满足采购需求</w:t>
            </w:r>
          </w:p>
        </w:tc>
        <w:tc>
          <w:tcPr>
            <w:tcW w:w="992" w:type="dxa"/>
            <w:vAlign w:val="center"/>
          </w:tcPr>
          <w:p w14:paraId="2C1001B3">
            <w:pPr>
              <w:spacing w:before="60" w:beforeLines="25" w:after="60" w:afterLines="25"/>
              <w:jc w:val="center"/>
              <w:rPr>
                <w:rFonts w:ascii="宋体" w:hAnsi="宋体"/>
                <w:szCs w:val="21"/>
              </w:rPr>
            </w:pPr>
            <w:r>
              <w:rPr>
                <w:rFonts w:hint="eastAsia" w:ascii="宋体" w:hAnsi="宋体"/>
                <w:szCs w:val="21"/>
              </w:rPr>
              <w:t>6</w:t>
            </w:r>
          </w:p>
        </w:tc>
      </w:tr>
      <w:tr w14:paraId="5FCE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93" w:type="dxa"/>
            <w:vMerge w:val="continue"/>
            <w:vAlign w:val="center"/>
          </w:tcPr>
          <w:p w14:paraId="7FAA9227">
            <w:pPr>
              <w:spacing w:before="60" w:beforeLines="25" w:after="60" w:afterLines="25"/>
              <w:rPr>
                <w:rFonts w:ascii="宋体" w:hAnsi="宋体"/>
                <w:szCs w:val="21"/>
              </w:rPr>
            </w:pPr>
          </w:p>
        </w:tc>
        <w:tc>
          <w:tcPr>
            <w:tcW w:w="850" w:type="dxa"/>
            <w:vMerge w:val="continue"/>
            <w:vAlign w:val="center"/>
          </w:tcPr>
          <w:p w14:paraId="4DB5D0B0">
            <w:pPr>
              <w:spacing w:before="60" w:beforeLines="25" w:after="60" w:afterLines="25"/>
              <w:jc w:val="center"/>
              <w:rPr>
                <w:rFonts w:ascii="宋体" w:hAnsi="宋体"/>
                <w:szCs w:val="21"/>
              </w:rPr>
            </w:pPr>
          </w:p>
        </w:tc>
        <w:tc>
          <w:tcPr>
            <w:tcW w:w="6521" w:type="dxa"/>
            <w:vAlign w:val="center"/>
          </w:tcPr>
          <w:p w14:paraId="5313C6C7">
            <w:pPr>
              <w:spacing w:line="276" w:lineRule="auto"/>
              <w:rPr>
                <w:rFonts w:ascii="宋体" w:hAnsi="宋体"/>
                <w:szCs w:val="21"/>
              </w:rPr>
            </w:pPr>
            <w:r>
              <w:rPr>
                <w:rFonts w:hint="eastAsia" w:ascii="宋体" w:hAnsi="宋体"/>
                <w:szCs w:val="21"/>
              </w:rPr>
              <w:t>质量管理体系基本合理，保证措施基本满足工程需要。提供了相关方案但内容阐述不够全面，或未包括具体实施细节及措施</w:t>
            </w:r>
          </w:p>
        </w:tc>
        <w:tc>
          <w:tcPr>
            <w:tcW w:w="992" w:type="dxa"/>
            <w:vAlign w:val="center"/>
          </w:tcPr>
          <w:p w14:paraId="38BDAE23">
            <w:pPr>
              <w:spacing w:before="60" w:beforeLines="25" w:after="60" w:afterLines="25"/>
              <w:jc w:val="center"/>
              <w:rPr>
                <w:rFonts w:ascii="宋体" w:hAnsi="宋体"/>
                <w:szCs w:val="21"/>
              </w:rPr>
            </w:pPr>
            <w:r>
              <w:rPr>
                <w:rFonts w:hint="eastAsia" w:ascii="宋体" w:hAnsi="宋体"/>
                <w:szCs w:val="21"/>
              </w:rPr>
              <w:t>4</w:t>
            </w:r>
          </w:p>
        </w:tc>
      </w:tr>
      <w:tr w14:paraId="4DE1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93" w:type="dxa"/>
            <w:vMerge w:val="continue"/>
            <w:vAlign w:val="center"/>
          </w:tcPr>
          <w:p w14:paraId="0A4C1C61">
            <w:pPr>
              <w:spacing w:before="60" w:beforeLines="25" w:after="60" w:afterLines="25"/>
              <w:rPr>
                <w:rFonts w:ascii="宋体" w:hAnsi="宋体"/>
                <w:szCs w:val="21"/>
              </w:rPr>
            </w:pPr>
          </w:p>
        </w:tc>
        <w:tc>
          <w:tcPr>
            <w:tcW w:w="850" w:type="dxa"/>
            <w:vMerge w:val="continue"/>
            <w:vAlign w:val="center"/>
          </w:tcPr>
          <w:p w14:paraId="24E97468">
            <w:pPr>
              <w:spacing w:before="60" w:beforeLines="25" w:after="60" w:afterLines="25"/>
              <w:jc w:val="center"/>
              <w:rPr>
                <w:rFonts w:ascii="宋体" w:hAnsi="宋体"/>
                <w:szCs w:val="21"/>
              </w:rPr>
            </w:pPr>
          </w:p>
        </w:tc>
        <w:tc>
          <w:tcPr>
            <w:tcW w:w="6521" w:type="dxa"/>
            <w:vAlign w:val="center"/>
          </w:tcPr>
          <w:p w14:paraId="2B2371FB">
            <w:pPr>
              <w:spacing w:line="276" w:lineRule="auto"/>
              <w:rPr>
                <w:rFonts w:ascii="宋体" w:hAnsi="宋体"/>
                <w:szCs w:val="21"/>
              </w:rPr>
            </w:pPr>
            <w:r>
              <w:rPr>
                <w:rFonts w:hint="eastAsia" w:ascii="宋体" w:hAnsi="宋体"/>
                <w:szCs w:val="21"/>
              </w:rPr>
              <w:t>质量管理体系与保证措施内容不合理、实施性不强、不适合本项目</w:t>
            </w:r>
          </w:p>
        </w:tc>
        <w:tc>
          <w:tcPr>
            <w:tcW w:w="992" w:type="dxa"/>
            <w:vAlign w:val="center"/>
          </w:tcPr>
          <w:p w14:paraId="09D86681">
            <w:pPr>
              <w:spacing w:before="60" w:beforeLines="25" w:after="60" w:afterLines="25"/>
              <w:jc w:val="center"/>
              <w:rPr>
                <w:rFonts w:ascii="宋体" w:hAnsi="宋体"/>
                <w:szCs w:val="21"/>
              </w:rPr>
            </w:pPr>
            <w:r>
              <w:rPr>
                <w:rFonts w:hint="eastAsia" w:ascii="宋体" w:hAnsi="宋体"/>
                <w:szCs w:val="21"/>
              </w:rPr>
              <w:t>2</w:t>
            </w:r>
          </w:p>
        </w:tc>
      </w:tr>
      <w:tr w14:paraId="7E6B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193" w:type="dxa"/>
            <w:vMerge w:val="continue"/>
            <w:vAlign w:val="center"/>
          </w:tcPr>
          <w:p w14:paraId="5067AAAA">
            <w:pPr>
              <w:spacing w:before="60" w:beforeLines="25" w:after="60" w:afterLines="25"/>
              <w:rPr>
                <w:rFonts w:ascii="宋体" w:hAnsi="宋体"/>
                <w:szCs w:val="21"/>
              </w:rPr>
            </w:pPr>
          </w:p>
        </w:tc>
        <w:tc>
          <w:tcPr>
            <w:tcW w:w="850" w:type="dxa"/>
            <w:vMerge w:val="continue"/>
            <w:vAlign w:val="center"/>
          </w:tcPr>
          <w:p w14:paraId="340B0FD4">
            <w:pPr>
              <w:spacing w:before="60" w:beforeLines="25" w:after="60" w:afterLines="25"/>
              <w:jc w:val="center"/>
              <w:rPr>
                <w:rFonts w:ascii="宋体" w:hAnsi="宋体"/>
                <w:szCs w:val="21"/>
              </w:rPr>
            </w:pPr>
          </w:p>
        </w:tc>
        <w:tc>
          <w:tcPr>
            <w:tcW w:w="6521" w:type="dxa"/>
            <w:vAlign w:val="center"/>
          </w:tcPr>
          <w:p w14:paraId="276B0A37">
            <w:pPr>
              <w:spacing w:line="276" w:lineRule="auto"/>
              <w:rPr>
                <w:rFonts w:ascii="宋体" w:hAnsi="宋体"/>
                <w:szCs w:val="21"/>
              </w:rPr>
            </w:pPr>
            <w:r>
              <w:rPr>
                <w:rFonts w:hint="eastAsia" w:ascii="宋体" w:hAnsi="宋体"/>
                <w:szCs w:val="21"/>
              </w:rPr>
              <w:t>未提供</w:t>
            </w:r>
          </w:p>
        </w:tc>
        <w:tc>
          <w:tcPr>
            <w:tcW w:w="992" w:type="dxa"/>
            <w:vAlign w:val="center"/>
          </w:tcPr>
          <w:p w14:paraId="50739D6C">
            <w:pPr>
              <w:spacing w:before="60" w:beforeLines="25" w:after="60" w:afterLines="25"/>
              <w:jc w:val="center"/>
              <w:rPr>
                <w:rFonts w:ascii="宋体" w:hAnsi="宋体"/>
                <w:szCs w:val="21"/>
              </w:rPr>
            </w:pPr>
            <w:r>
              <w:rPr>
                <w:rFonts w:hint="eastAsia" w:ascii="宋体" w:hAnsi="宋体"/>
                <w:szCs w:val="21"/>
              </w:rPr>
              <w:t>0</w:t>
            </w:r>
          </w:p>
        </w:tc>
      </w:tr>
      <w:tr w14:paraId="2D5E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1193" w:type="dxa"/>
            <w:vMerge w:val="restart"/>
            <w:vAlign w:val="center"/>
          </w:tcPr>
          <w:p w14:paraId="6C50B831">
            <w:pPr>
              <w:spacing w:before="60" w:beforeLines="25" w:after="60" w:afterLines="25"/>
              <w:rPr>
                <w:rFonts w:ascii="宋体" w:hAnsi="宋体"/>
                <w:szCs w:val="21"/>
              </w:rPr>
            </w:pPr>
            <w:r>
              <w:rPr>
                <w:rFonts w:hint="eastAsia" w:ascii="宋体" w:hAnsi="宋体"/>
                <w:szCs w:val="21"/>
              </w:rPr>
              <w:t>安全和绿色施工保障措施</w:t>
            </w:r>
          </w:p>
        </w:tc>
        <w:tc>
          <w:tcPr>
            <w:tcW w:w="850" w:type="dxa"/>
            <w:vMerge w:val="restart"/>
            <w:vAlign w:val="center"/>
          </w:tcPr>
          <w:p w14:paraId="6FB73000">
            <w:pPr>
              <w:spacing w:before="60" w:beforeLines="25" w:after="60" w:afterLines="25"/>
              <w:jc w:val="center"/>
              <w:rPr>
                <w:rFonts w:ascii="宋体" w:hAnsi="宋体"/>
                <w:szCs w:val="21"/>
              </w:rPr>
            </w:pPr>
            <w:r>
              <w:rPr>
                <w:rFonts w:hint="eastAsia" w:ascii="宋体" w:hAnsi="宋体"/>
                <w:szCs w:val="21"/>
              </w:rPr>
              <w:t>8</w:t>
            </w:r>
          </w:p>
        </w:tc>
        <w:tc>
          <w:tcPr>
            <w:tcW w:w="6521" w:type="dxa"/>
            <w:vAlign w:val="center"/>
          </w:tcPr>
          <w:p w14:paraId="61B9681C">
            <w:pPr>
              <w:spacing w:line="276" w:lineRule="auto"/>
              <w:rPr>
                <w:rFonts w:ascii="宋体" w:hAnsi="宋体"/>
                <w:szCs w:val="21"/>
              </w:rPr>
            </w:pPr>
            <w:r>
              <w:rPr>
                <w:rFonts w:hint="eastAsia" w:ascii="宋体" w:hAnsi="宋体"/>
                <w:szCs w:val="21"/>
              </w:rPr>
              <w:t>安全和绿色施工保障措施科学、可行、针对性强。提供相关方案内容均进行详细阐述且满足采购需求</w:t>
            </w:r>
          </w:p>
        </w:tc>
        <w:tc>
          <w:tcPr>
            <w:tcW w:w="992" w:type="dxa"/>
            <w:vAlign w:val="center"/>
          </w:tcPr>
          <w:p w14:paraId="20DBDA9B">
            <w:pPr>
              <w:spacing w:before="60" w:beforeLines="25" w:after="60" w:afterLines="25"/>
              <w:jc w:val="center"/>
              <w:rPr>
                <w:rFonts w:ascii="宋体" w:hAnsi="宋体"/>
                <w:szCs w:val="21"/>
              </w:rPr>
            </w:pPr>
            <w:r>
              <w:rPr>
                <w:rFonts w:hint="eastAsia" w:ascii="宋体" w:hAnsi="宋体"/>
                <w:szCs w:val="21"/>
              </w:rPr>
              <w:t>8</w:t>
            </w:r>
          </w:p>
        </w:tc>
      </w:tr>
      <w:tr w14:paraId="563E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1193" w:type="dxa"/>
            <w:vMerge w:val="continue"/>
            <w:vAlign w:val="center"/>
          </w:tcPr>
          <w:p w14:paraId="1365A09C">
            <w:pPr>
              <w:spacing w:before="60" w:beforeLines="25" w:after="60" w:afterLines="25"/>
              <w:rPr>
                <w:rFonts w:ascii="宋体" w:hAnsi="宋体"/>
                <w:szCs w:val="21"/>
              </w:rPr>
            </w:pPr>
          </w:p>
        </w:tc>
        <w:tc>
          <w:tcPr>
            <w:tcW w:w="850" w:type="dxa"/>
            <w:vMerge w:val="continue"/>
            <w:vAlign w:val="center"/>
          </w:tcPr>
          <w:p w14:paraId="3CCF4981">
            <w:pPr>
              <w:spacing w:before="60" w:beforeLines="25" w:after="60" w:afterLines="25"/>
              <w:jc w:val="center"/>
              <w:rPr>
                <w:rFonts w:ascii="宋体" w:hAnsi="宋体"/>
                <w:szCs w:val="21"/>
              </w:rPr>
            </w:pPr>
          </w:p>
        </w:tc>
        <w:tc>
          <w:tcPr>
            <w:tcW w:w="6521" w:type="dxa"/>
            <w:vAlign w:val="center"/>
          </w:tcPr>
          <w:p w14:paraId="7743A29E">
            <w:pPr>
              <w:spacing w:line="276" w:lineRule="auto"/>
              <w:rPr>
                <w:rFonts w:ascii="宋体" w:hAnsi="宋体"/>
                <w:szCs w:val="21"/>
              </w:rPr>
            </w:pPr>
            <w:r>
              <w:rPr>
                <w:rFonts w:hint="eastAsia" w:ascii="宋体" w:hAnsi="宋体"/>
                <w:szCs w:val="21"/>
              </w:rPr>
              <w:t>安全和绿色施工保障措施合理、可行、细节待完善。提供了相关方案但未贴合项目实际情况进行详细论述，基本满足采购需求</w:t>
            </w:r>
          </w:p>
        </w:tc>
        <w:tc>
          <w:tcPr>
            <w:tcW w:w="992" w:type="dxa"/>
            <w:vAlign w:val="center"/>
          </w:tcPr>
          <w:p w14:paraId="78C26F8C">
            <w:pPr>
              <w:spacing w:before="60" w:beforeLines="25" w:after="60" w:afterLines="25"/>
              <w:jc w:val="center"/>
              <w:rPr>
                <w:rFonts w:ascii="宋体" w:hAnsi="宋体"/>
                <w:szCs w:val="21"/>
              </w:rPr>
            </w:pPr>
            <w:r>
              <w:rPr>
                <w:rFonts w:hint="eastAsia" w:ascii="宋体" w:hAnsi="宋体"/>
                <w:szCs w:val="21"/>
              </w:rPr>
              <w:t>6</w:t>
            </w:r>
          </w:p>
        </w:tc>
      </w:tr>
      <w:tr w14:paraId="7269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193" w:type="dxa"/>
            <w:vMerge w:val="continue"/>
            <w:vAlign w:val="center"/>
          </w:tcPr>
          <w:p w14:paraId="2C4EAFB4">
            <w:pPr>
              <w:spacing w:before="60" w:beforeLines="25" w:after="60" w:afterLines="25"/>
              <w:rPr>
                <w:rFonts w:ascii="宋体" w:hAnsi="宋体"/>
                <w:szCs w:val="21"/>
              </w:rPr>
            </w:pPr>
          </w:p>
        </w:tc>
        <w:tc>
          <w:tcPr>
            <w:tcW w:w="850" w:type="dxa"/>
            <w:vMerge w:val="continue"/>
            <w:vAlign w:val="center"/>
          </w:tcPr>
          <w:p w14:paraId="61B7542C">
            <w:pPr>
              <w:spacing w:before="60" w:beforeLines="25" w:after="60" w:afterLines="25"/>
              <w:jc w:val="center"/>
              <w:rPr>
                <w:rFonts w:ascii="宋体" w:hAnsi="宋体"/>
                <w:szCs w:val="21"/>
              </w:rPr>
            </w:pPr>
          </w:p>
        </w:tc>
        <w:tc>
          <w:tcPr>
            <w:tcW w:w="6521" w:type="dxa"/>
            <w:vAlign w:val="center"/>
          </w:tcPr>
          <w:p w14:paraId="5124F646">
            <w:pPr>
              <w:spacing w:line="276" w:lineRule="auto"/>
              <w:rPr>
                <w:rFonts w:ascii="宋体" w:hAnsi="宋体"/>
                <w:szCs w:val="21"/>
              </w:rPr>
            </w:pPr>
            <w:r>
              <w:rPr>
                <w:rFonts w:hint="eastAsia" w:ascii="宋体" w:hAnsi="宋体"/>
                <w:szCs w:val="21"/>
              </w:rPr>
              <w:t>安全和绿色施工保障措施基本合理，基本满足工程需要。提供了相关方案及措施但内容不全面，或未包括具体实施细节及措施</w:t>
            </w:r>
          </w:p>
        </w:tc>
        <w:tc>
          <w:tcPr>
            <w:tcW w:w="992" w:type="dxa"/>
            <w:vAlign w:val="center"/>
          </w:tcPr>
          <w:p w14:paraId="1208B08D">
            <w:pPr>
              <w:spacing w:before="60" w:beforeLines="25" w:after="60" w:afterLines="25"/>
              <w:jc w:val="center"/>
              <w:rPr>
                <w:rFonts w:ascii="宋体" w:hAnsi="宋体"/>
                <w:szCs w:val="21"/>
              </w:rPr>
            </w:pPr>
            <w:r>
              <w:rPr>
                <w:rFonts w:hint="eastAsia" w:ascii="宋体" w:hAnsi="宋体"/>
                <w:szCs w:val="21"/>
              </w:rPr>
              <w:t>4</w:t>
            </w:r>
          </w:p>
        </w:tc>
      </w:tr>
      <w:tr w14:paraId="674B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193" w:type="dxa"/>
            <w:vMerge w:val="continue"/>
            <w:vAlign w:val="center"/>
          </w:tcPr>
          <w:p w14:paraId="60A5C1F0">
            <w:pPr>
              <w:spacing w:before="60" w:beforeLines="25" w:after="60" w:afterLines="25"/>
              <w:rPr>
                <w:rFonts w:ascii="宋体" w:hAnsi="宋体"/>
                <w:szCs w:val="21"/>
              </w:rPr>
            </w:pPr>
          </w:p>
        </w:tc>
        <w:tc>
          <w:tcPr>
            <w:tcW w:w="850" w:type="dxa"/>
            <w:vMerge w:val="continue"/>
            <w:vAlign w:val="center"/>
          </w:tcPr>
          <w:p w14:paraId="520DF153">
            <w:pPr>
              <w:spacing w:before="60" w:beforeLines="25" w:after="60" w:afterLines="25"/>
              <w:jc w:val="center"/>
              <w:rPr>
                <w:rFonts w:ascii="宋体" w:hAnsi="宋体"/>
                <w:szCs w:val="21"/>
              </w:rPr>
            </w:pPr>
          </w:p>
        </w:tc>
        <w:tc>
          <w:tcPr>
            <w:tcW w:w="6521" w:type="dxa"/>
            <w:vAlign w:val="center"/>
          </w:tcPr>
          <w:p w14:paraId="7BEFCE85">
            <w:pPr>
              <w:spacing w:line="276" w:lineRule="auto"/>
              <w:rPr>
                <w:rFonts w:ascii="宋体" w:hAnsi="宋体"/>
                <w:szCs w:val="21"/>
              </w:rPr>
            </w:pPr>
            <w:r>
              <w:rPr>
                <w:rFonts w:hint="eastAsia" w:ascii="宋体" w:hAnsi="宋体"/>
                <w:szCs w:val="21"/>
              </w:rPr>
              <w:t>安全和绿色施工保障措施不合理、实施性不强、不适合本项目实际情况</w:t>
            </w:r>
          </w:p>
        </w:tc>
        <w:tc>
          <w:tcPr>
            <w:tcW w:w="992" w:type="dxa"/>
            <w:vAlign w:val="center"/>
          </w:tcPr>
          <w:p w14:paraId="39D2CE8F">
            <w:pPr>
              <w:spacing w:before="60" w:beforeLines="25" w:after="60" w:afterLines="25"/>
              <w:jc w:val="center"/>
              <w:rPr>
                <w:rFonts w:ascii="宋体" w:hAnsi="宋体"/>
                <w:szCs w:val="21"/>
              </w:rPr>
            </w:pPr>
            <w:r>
              <w:rPr>
                <w:rFonts w:hint="eastAsia" w:ascii="宋体" w:hAnsi="宋体"/>
                <w:szCs w:val="21"/>
              </w:rPr>
              <w:t>2</w:t>
            </w:r>
          </w:p>
        </w:tc>
      </w:tr>
      <w:tr w14:paraId="5B75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193" w:type="dxa"/>
            <w:vMerge w:val="continue"/>
            <w:vAlign w:val="center"/>
          </w:tcPr>
          <w:p w14:paraId="48805785">
            <w:pPr>
              <w:spacing w:before="60" w:beforeLines="25" w:after="60" w:afterLines="25"/>
              <w:rPr>
                <w:rFonts w:ascii="宋体" w:hAnsi="宋体"/>
                <w:szCs w:val="21"/>
              </w:rPr>
            </w:pPr>
          </w:p>
        </w:tc>
        <w:tc>
          <w:tcPr>
            <w:tcW w:w="850" w:type="dxa"/>
            <w:vMerge w:val="continue"/>
            <w:vAlign w:val="center"/>
          </w:tcPr>
          <w:p w14:paraId="7EAA5F41">
            <w:pPr>
              <w:spacing w:before="60" w:beforeLines="25" w:after="60" w:afterLines="25"/>
              <w:jc w:val="center"/>
              <w:rPr>
                <w:rFonts w:ascii="宋体" w:hAnsi="宋体"/>
                <w:szCs w:val="21"/>
              </w:rPr>
            </w:pPr>
          </w:p>
        </w:tc>
        <w:tc>
          <w:tcPr>
            <w:tcW w:w="6521" w:type="dxa"/>
            <w:vAlign w:val="center"/>
          </w:tcPr>
          <w:p w14:paraId="69154DED">
            <w:pPr>
              <w:spacing w:line="276" w:lineRule="auto"/>
              <w:rPr>
                <w:rFonts w:ascii="宋体" w:hAnsi="宋体"/>
                <w:szCs w:val="21"/>
              </w:rPr>
            </w:pPr>
            <w:r>
              <w:rPr>
                <w:rFonts w:hint="eastAsia" w:ascii="宋体" w:hAnsi="宋体"/>
                <w:szCs w:val="21"/>
              </w:rPr>
              <w:t>未提供</w:t>
            </w:r>
          </w:p>
        </w:tc>
        <w:tc>
          <w:tcPr>
            <w:tcW w:w="992" w:type="dxa"/>
            <w:vAlign w:val="center"/>
          </w:tcPr>
          <w:p w14:paraId="715B6D1D">
            <w:pPr>
              <w:spacing w:before="60" w:beforeLines="25" w:after="60" w:afterLines="25"/>
              <w:jc w:val="center"/>
              <w:rPr>
                <w:rFonts w:ascii="宋体" w:hAnsi="宋体"/>
                <w:szCs w:val="21"/>
              </w:rPr>
            </w:pPr>
            <w:r>
              <w:rPr>
                <w:rFonts w:hint="eastAsia" w:ascii="宋体" w:hAnsi="宋体"/>
                <w:szCs w:val="21"/>
              </w:rPr>
              <w:t>0</w:t>
            </w:r>
          </w:p>
        </w:tc>
      </w:tr>
      <w:tr w14:paraId="192E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trPr>
        <w:tc>
          <w:tcPr>
            <w:tcW w:w="1193" w:type="dxa"/>
            <w:vAlign w:val="center"/>
          </w:tcPr>
          <w:p w14:paraId="54356F19">
            <w:pPr>
              <w:spacing w:before="60" w:beforeLines="25" w:after="60" w:afterLines="25"/>
              <w:rPr>
                <w:rFonts w:ascii="宋体" w:hAnsi="宋体"/>
                <w:szCs w:val="21"/>
              </w:rPr>
            </w:pPr>
            <w:r>
              <w:rPr>
                <w:rFonts w:hint="eastAsia" w:ascii="宋体" w:hAnsi="宋体"/>
                <w:szCs w:val="21"/>
              </w:rPr>
              <w:t>工程进度计划与保证措施</w:t>
            </w:r>
          </w:p>
        </w:tc>
        <w:tc>
          <w:tcPr>
            <w:tcW w:w="850" w:type="dxa"/>
            <w:vAlign w:val="center"/>
          </w:tcPr>
          <w:p w14:paraId="20F3EA0D">
            <w:pPr>
              <w:spacing w:before="60" w:beforeLines="25" w:after="60" w:afterLines="25"/>
              <w:jc w:val="center"/>
              <w:rPr>
                <w:rFonts w:ascii="宋体" w:hAnsi="宋体"/>
                <w:szCs w:val="21"/>
              </w:rPr>
            </w:pPr>
            <w:r>
              <w:rPr>
                <w:rFonts w:ascii="宋体" w:hAnsi="宋体"/>
                <w:szCs w:val="21"/>
              </w:rPr>
              <w:t>7</w:t>
            </w:r>
          </w:p>
        </w:tc>
        <w:tc>
          <w:tcPr>
            <w:tcW w:w="6521" w:type="dxa"/>
            <w:vAlign w:val="center"/>
          </w:tcPr>
          <w:p w14:paraId="4866B1A4">
            <w:pPr>
              <w:spacing w:line="276" w:lineRule="auto"/>
              <w:rPr>
                <w:rFonts w:ascii="宋体" w:hAnsi="宋体"/>
                <w:szCs w:val="21"/>
              </w:rPr>
            </w:pPr>
            <w:r>
              <w:rPr>
                <w:rFonts w:ascii="宋体" w:hAnsi="宋体"/>
                <w:szCs w:val="21"/>
              </w:rPr>
              <w:t>（1）制定项目进度计划，</w:t>
            </w:r>
            <w:r>
              <w:rPr>
                <w:rFonts w:hint="eastAsia" w:ascii="宋体" w:hAnsi="宋体"/>
                <w:szCs w:val="21"/>
              </w:rPr>
              <w:t>提供</w:t>
            </w:r>
            <w:r>
              <w:rPr>
                <w:rFonts w:ascii="宋体" w:hAnsi="宋体"/>
                <w:szCs w:val="21"/>
              </w:rPr>
              <w:t>体现关键节点、关键任务的进度计划横道图</w:t>
            </w:r>
            <w:r>
              <w:rPr>
                <w:rFonts w:hint="eastAsia" w:ascii="宋体" w:hAnsi="宋体"/>
                <w:szCs w:val="21"/>
              </w:rPr>
              <w:t>等</w:t>
            </w:r>
            <w:r>
              <w:rPr>
                <w:rFonts w:ascii="宋体" w:hAnsi="宋体"/>
                <w:szCs w:val="21"/>
              </w:rPr>
              <w:t>。（2）进度计划符合施工技术规律和合理的施工顺序，各工序在时间和空间上衔接顺利。</w:t>
            </w:r>
            <w:r>
              <w:rPr>
                <w:rFonts w:hint="eastAsia" w:ascii="宋体" w:hAnsi="宋体"/>
                <w:szCs w:val="21"/>
              </w:rPr>
              <w:t xml:space="preserve">  </w:t>
            </w:r>
          </w:p>
          <w:p w14:paraId="26B9ADE8">
            <w:pPr>
              <w:spacing w:line="276" w:lineRule="auto"/>
              <w:rPr>
                <w:rFonts w:ascii="宋体" w:hAnsi="宋体"/>
                <w:szCs w:val="21"/>
              </w:rPr>
            </w:pPr>
            <w:r>
              <w:rPr>
                <w:rFonts w:hint="eastAsia" w:ascii="宋体" w:hAnsi="宋体"/>
                <w:szCs w:val="21"/>
              </w:rPr>
              <w:t>满足采购需求</w:t>
            </w:r>
            <w:r>
              <w:rPr>
                <w:rFonts w:ascii="宋体" w:hAnsi="宋体"/>
                <w:szCs w:val="21"/>
              </w:rPr>
              <w:t>得 7分</w:t>
            </w:r>
            <w:r>
              <w:rPr>
                <w:rFonts w:hint="eastAsia" w:ascii="宋体" w:hAnsi="宋体"/>
                <w:szCs w:val="21"/>
              </w:rPr>
              <w:t>；</w:t>
            </w:r>
            <w:r>
              <w:rPr>
                <w:rFonts w:ascii="宋体" w:hAnsi="宋体"/>
                <w:szCs w:val="21"/>
              </w:rPr>
              <w:t>基本满足</w:t>
            </w:r>
            <w:r>
              <w:rPr>
                <w:rFonts w:hint="eastAsia" w:ascii="宋体" w:hAnsi="宋体"/>
                <w:szCs w:val="21"/>
              </w:rPr>
              <w:t>采购需求</w:t>
            </w:r>
            <w:r>
              <w:rPr>
                <w:rFonts w:ascii="宋体" w:hAnsi="宋体"/>
                <w:szCs w:val="21"/>
              </w:rPr>
              <w:t>得5分</w:t>
            </w:r>
            <w:r>
              <w:rPr>
                <w:rFonts w:hint="eastAsia" w:ascii="宋体" w:hAnsi="宋体"/>
                <w:szCs w:val="21"/>
              </w:rPr>
              <w:t>；计划需改进略有偏差得3分；内容有不合理、实施性不强、缺乏针对性</w:t>
            </w:r>
            <w:r>
              <w:rPr>
                <w:rFonts w:ascii="宋体" w:hAnsi="宋体"/>
                <w:szCs w:val="21"/>
              </w:rPr>
              <w:t>1</w:t>
            </w:r>
            <w:r>
              <w:rPr>
                <w:rFonts w:hint="eastAsia" w:ascii="宋体" w:hAnsi="宋体"/>
                <w:szCs w:val="21"/>
              </w:rPr>
              <w:t>分；未提供0分。</w:t>
            </w:r>
          </w:p>
        </w:tc>
        <w:tc>
          <w:tcPr>
            <w:tcW w:w="992" w:type="dxa"/>
            <w:vAlign w:val="center"/>
          </w:tcPr>
          <w:p w14:paraId="3C516224">
            <w:pPr>
              <w:spacing w:before="60" w:beforeLines="25" w:after="60" w:afterLines="25"/>
              <w:jc w:val="center"/>
              <w:rPr>
                <w:rFonts w:ascii="宋体" w:hAnsi="宋体"/>
                <w:szCs w:val="21"/>
              </w:rPr>
            </w:pPr>
            <w:r>
              <w:rPr>
                <w:rFonts w:hint="eastAsia" w:ascii="宋体" w:hAnsi="宋体"/>
                <w:szCs w:val="21"/>
              </w:rPr>
              <w:t>0-</w:t>
            </w:r>
            <w:r>
              <w:rPr>
                <w:rFonts w:ascii="宋体" w:hAnsi="宋体"/>
                <w:szCs w:val="21"/>
              </w:rPr>
              <w:t>7</w:t>
            </w:r>
          </w:p>
        </w:tc>
      </w:tr>
    </w:tbl>
    <w:p w14:paraId="1EF47F88">
      <w:pPr>
        <w:tabs>
          <w:tab w:val="left" w:pos="360"/>
          <w:tab w:val="left" w:pos="900"/>
          <w:tab w:val="left" w:pos="1080"/>
          <w:tab w:val="left" w:pos="2014"/>
        </w:tabs>
        <w:snapToGrid w:val="0"/>
        <w:spacing w:line="360" w:lineRule="auto"/>
        <w:rPr>
          <w:rFonts w:eastAsiaTheme="minorEastAsia"/>
          <w:sz w:val="24"/>
        </w:rPr>
      </w:pPr>
    </w:p>
    <w:p w14:paraId="24CD41B3">
      <w:pPr>
        <w:spacing w:line="360" w:lineRule="auto"/>
        <w:jc w:val="center"/>
        <w:outlineLvl w:val="0"/>
        <w:rPr>
          <w:rFonts w:eastAsiaTheme="minorEastAsia"/>
          <w:b/>
          <w:sz w:val="36"/>
          <w:szCs w:val="36"/>
        </w:rPr>
      </w:pPr>
      <w:r>
        <w:rPr>
          <w:rFonts w:eastAsiaTheme="minorEastAsia"/>
          <w:b/>
          <w:sz w:val="36"/>
          <w:szCs w:val="36"/>
        </w:rPr>
        <w:br w:type="page"/>
      </w:r>
      <w:bookmarkStart w:id="691" w:name="_Toc97371945"/>
      <w:r>
        <w:rPr>
          <w:rFonts w:eastAsiaTheme="minorEastAsia"/>
          <w:b/>
          <w:sz w:val="36"/>
          <w:szCs w:val="36"/>
        </w:rPr>
        <w:t>第四章   采购需求</w:t>
      </w:r>
      <w:bookmarkEnd w:id="691"/>
    </w:p>
    <w:p w14:paraId="715E39D4">
      <w:pPr>
        <w:spacing w:line="360" w:lineRule="auto"/>
        <w:ind w:right="140"/>
        <w:rPr>
          <w:b/>
          <w:bCs/>
          <w:sz w:val="24"/>
        </w:rPr>
      </w:pPr>
      <w:r>
        <w:rPr>
          <w:rFonts w:hint="eastAsia"/>
          <w:b/>
          <w:bCs/>
          <w:sz w:val="24"/>
        </w:rPr>
        <w:t>一、采购标的</w:t>
      </w:r>
    </w:p>
    <w:p w14:paraId="46DD76FF">
      <w:pPr>
        <w:spacing w:line="360" w:lineRule="auto"/>
        <w:ind w:firstLine="420" w:firstLineChars="200"/>
        <w:rPr>
          <w:rFonts w:ascii="宋体" w:hAnsi="宋体"/>
          <w:szCs w:val="21"/>
        </w:rPr>
      </w:pPr>
      <w:r>
        <w:rPr>
          <w:rFonts w:hint="eastAsia" w:ascii="宋体" w:hAnsi="宋体"/>
          <w:szCs w:val="21"/>
        </w:rPr>
        <w:t>1、项目编号：</w:t>
      </w:r>
      <w:r>
        <w:fldChar w:fldCharType="begin"/>
      </w:r>
      <w:r>
        <w:instrText xml:space="preserve"> HYPERLINK "http://219.232.204.193:8080/frontend/plan/project_detail.html?projectUuid=1e25d84f-329e-45f4-bc38-17d5096466cf" </w:instrText>
      </w:r>
      <w:r>
        <w:fldChar w:fldCharType="separate"/>
      </w:r>
      <w:r>
        <w:rPr>
          <w:rStyle w:val="61"/>
          <w:rFonts w:hint="eastAsia" w:cs="宋体"/>
          <w:color w:val="auto"/>
          <w:lang w:eastAsia="zh-CN"/>
        </w:rPr>
        <w:t>11011426210200034914-XM001</w:t>
      </w:r>
      <w:r>
        <w:rPr>
          <w:rStyle w:val="61"/>
          <w:rFonts w:cs="宋体"/>
          <w:color w:val="auto"/>
        </w:rPr>
        <w:fldChar w:fldCharType="end"/>
      </w:r>
    </w:p>
    <w:p w14:paraId="392AED94">
      <w:pPr>
        <w:spacing w:line="360" w:lineRule="auto"/>
        <w:ind w:firstLine="420" w:firstLineChars="200"/>
        <w:rPr>
          <w:rFonts w:hAnsi="宋体" w:cs="宋体"/>
          <w:szCs w:val="21"/>
        </w:rPr>
      </w:pPr>
      <w:r>
        <w:rPr>
          <w:rFonts w:hint="eastAsia" w:ascii="宋体" w:hAnsi="宋体" w:cs="宋体"/>
          <w:szCs w:val="21"/>
        </w:rPr>
        <w:t>2、项目名称：</w:t>
      </w:r>
      <w:r>
        <w:rPr>
          <w:rFonts w:hint="eastAsia" w:hAnsi="宋体" w:cs="宋体"/>
          <w:szCs w:val="21"/>
          <w:lang w:eastAsia="zh-CN"/>
        </w:rPr>
        <w:t>基建科保开学项目装修工程采购项目-2026年昌平区教委两所幼儿园保开学项目</w:t>
      </w:r>
      <w:r>
        <w:rPr>
          <w:rFonts w:hint="eastAsia" w:ascii="宋体" w:hAnsi="宋体" w:cs="宋体"/>
          <w:szCs w:val="21"/>
        </w:rPr>
        <w:t xml:space="preserve"> </w:t>
      </w:r>
    </w:p>
    <w:p w14:paraId="3EE9118B">
      <w:pPr>
        <w:spacing w:line="360" w:lineRule="auto"/>
        <w:ind w:firstLine="420" w:firstLineChars="200"/>
        <w:rPr>
          <w:rFonts w:ascii="宋体" w:hAnsi="宋体" w:cs="宋体"/>
          <w:szCs w:val="21"/>
        </w:rPr>
      </w:pPr>
      <w:r>
        <w:rPr>
          <w:rFonts w:hint="eastAsia" w:ascii="宋体" w:hAnsi="宋体" w:cs="宋体"/>
          <w:szCs w:val="21"/>
        </w:rPr>
        <w:t>3、项目地点：北京市昌平区</w:t>
      </w:r>
    </w:p>
    <w:p w14:paraId="0E52E5FA">
      <w:pPr>
        <w:spacing w:line="360" w:lineRule="auto"/>
        <w:ind w:firstLine="420" w:firstLineChars="200"/>
        <w:rPr>
          <w:rFonts w:ascii="宋体" w:hAnsi="宋体" w:cs="宋体"/>
          <w:szCs w:val="21"/>
        </w:rPr>
      </w:pPr>
      <w:r>
        <w:rPr>
          <w:rFonts w:hint="eastAsia" w:ascii="宋体" w:hAnsi="宋体" w:cs="宋体"/>
          <w:szCs w:val="21"/>
        </w:rPr>
        <w:t>4、建筑面积：/</w:t>
      </w:r>
    </w:p>
    <w:p w14:paraId="1D4D718D">
      <w:pPr>
        <w:spacing w:line="360" w:lineRule="auto"/>
        <w:ind w:firstLine="420" w:firstLineChars="200"/>
        <w:rPr>
          <w:rFonts w:ascii="宋体" w:hAnsi="宋体" w:cs="宋体"/>
          <w:szCs w:val="21"/>
        </w:rPr>
      </w:pPr>
      <w:r>
        <w:rPr>
          <w:rFonts w:hint="eastAsia" w:ascii="宋体" w:hAnsi="宋体" w:cs="宋体"/>
          <w:szCs w:val="21"/>
        </w:rPr>
        <w:t>5、项目预算金额：</w:t>
      </w:r>
      <w:r>
        <w:rPr>
          <w:rFonts w:hint="eastAsia" w:ascii="宋体" w:hAnsi="宋体" w:cs="宋体"/>
          <w:szCs w:val="21"/>
          <w:lang w:eastAsia="zh-CN"/>
        </w:rPr>
        <w:t>304.804392</w:t>
      </w:r>
      <w:r>
        <w:rPr>
          <w:rFonts w:ascii="宋体" w:hAnsi="宋体" w:cs="宋体"/>
          <w:szCs w:val="21"/>
        </w:rPr>
        <w:t>万元</w:t>
      </w:r>
    </w:p>
    <w:p w14:paraId="3F09FDDF">
      <w:pPr>
        <w:spacing w:line="360" w:lineRule="auto"/>
        <w:ind w:firstLine="420" w:firstLineChars="200"/>
        <w:rPr>
          <w:rFonts w:ascii="宋体" w:hAnsi="宋体" w:cs="宋体"/>
          <w:szCs w:val="21"/>
        </w:rPr>
      </w:pPr>
      <w:r>
        <w:rPr>
          <w:rFonts w:hint="eastAsia" w:ascii="宋体" w:hAnsi="宋体" w:cs="宋体"/>
          <w:szCs w:val="21"/>
        </w:rPr>
        <w:t>6、最高限价（招标控制价）：</w:t>
      </w:r>
      <w:r>
        <w:rPr>
          <w:rFonts w:hint="eastAsia" w:ascii="宋体" w:hAnsi="宋体" w:cs="宋体"/>
          <w:szCs w:val="21"/>
          <w:lang w:eastAsia="zh-CN"/>
        </w:rPr>
        <w:t>304.804392</w:t>
      </w:r>
      <w:r>
        <w:rPr>
          <w:rFonts w:hint="eastAsia" w:ascii="宋体" w:hAnsi="宋体" w:cs="宋体"/>
          <w:szCs w:val="21"/>
        </w:rPr>
        <w:t>元</w:t>
      </w:r>
    </w:p>
    <w:p w14:paraId="7D5D3112">
      <w:pPr>
        <w:spacing w:line="360" w:lineRule="auto"/>
        <w:ind w:firstLine="420" w:firstLineChars="200"/>
        <w:rPr>
          <w:rFonts w:ascii="宋体" w:hAnsi="宋体" w:cs="宋体"/>
          <w:szCs w:val="21"/>
        </w:rPr>
      </w:pPr>
      <w:r>
        <w:rPr>
          <w:rFonts w:hint="eastAsia" w:ascii="宋体" w:hAnsi="宋体" w:cs="宋体"/>
          <w:szCs w:val="21"/>
        </w:rPr>
        <w:t>其中：</w:t>
      </w:r>
    </w:p>
    <w:p w14:paraId="7B30704E">
      <w:pPr>
        <w:pStyle w:val="84"/>
        <w:numPr>
          <w:ilvl w:val="3"/>
          <w:numId w:val="12"/>
        </w:numPr>
        <w:spacing w:line="360" w:lineRule="auto"/>
        <w:ind w:left="709" w:firstLineChars="0"/>
        <w:jc w:val="left"/>
        <w:rPr>
          <w:rFonts w:ascii="宋体" w:hAnsi="宋体" w:cs="宋体"/>
          <w:szCs w:val="21"/>
        </w:rPr>
      </w:pPr>
      <w:r>
        <w:rPr>
          <w:rFonts w:hint="eastAsia" w:ascii="宋体" w:hAnsi="宋体" w:cs="宋体"/>
          <w:szCs w:val="21"/>
        </w:rPr>
        <w:t>北京市昌平区沙河镇第一幼儿园开园基础改造项目</w:t>
      </w:r>
    </w:p>
    <w:p w14:paraId="0C51486A">
      <w:pPr>
        <w:spacing w:line="360" w:lineRule="auto"/>
        <w:ind w:firstLine="420" w:firstLineChars="200"/>
        <w:rPr>
          <w:rFonts w:ascii="宋体" w:hAnsi="宋体" w:cs="宋体"/>
          <w:szCs w:val="21"/>
        </w:rPr>
      </w:pPr>
      <w:r>
        <w:rPr>
          <w:rFonts w:hint="eastAsia" w:ascii="宋体" w:hAnsi="宋体" w:cs="宋体"/>
          <w:szCs w:val="21"/>
        </w:rPr>
        <w:t>最高限价(招标控制价):</w:t>
      </w:r>
      <w:r>
        <w:t xml:space="preserve"> </w:t>
      </w:r>
      <w:r>
        <w:rPr>
          <w:rFonts w:hint="eastAsia" w:ascii="宋体" w:hAnsi="宋体" w:cs="宋体"/>
          <w:szCs w:val="21"/>
          <w:lang w:val="en-US" w:eastAsia="zh-CN"/>
        </w:rPr>
        <w:t>1374909.70</w:t>
      </w:r>
      <w:r>
        <w:rPr>
          <w:rFonts w:hint="eastAsia" w:ascii="宋体" w:hAnsi="宋体" w:cs="宋体"/>
          <w:szCs w:val="21"/>
        </w:rPr>
        <w:t>元</w:t>
      </w:r>
    </w:p>
    <w:p w14:paraId="2553C986">
      <w:pPr>
        <w:spacing w:line="360" w:lineRule="auto"/>
        <w:ind w:firstLine="420" w:firstLineChars="200"/>
        <w:rPr>
          <w:rFonts w:ascii="宋体" w:hAnsi="宋体" w:cs="宋体"/>
          <w:szCs w:val="21"/>
        </w:rPr>
      </w:pPr>
      <w:r>
        <w:rPr>
          <w:rFonts w:hint="eastAsia" w:ascii="宋体" w:hAnsi="宋体" w:cs="宋体"/>
          <w:szCs w:val="21"/>
        </w:rPr>
        <w:t>其中:分部分项工程合价为:</w:t>
      </w:r>
      <w:r>
        <w:t xml:space="preserve"> </w:t>
      </w:r>
      <w:r>
        <w:rPr>
          <w:rFonts w:hint="eastAsia" w:ascii="宋体" w:hAnsi="宋体" w:cs="宋体"/>
          <w:szCs w:val="21"/>
          <w:lang w:val="en-US" w:eastAsia="zh-CN"/>
        </w:rPr>
        <w:t>1120578.27</w:t>
      </w:r>
      <w:r>
        <w:rPr>
          <w:rFonts w:hint="eastAsia" w:ascii="宋体" w:hAnsi="宋体" w:cs="宋体"/>
          <w:szCs w:val="21"/>
        </w:rPr>
        <w:t>元;</w:t>
      </w:r>
    </w:p>
    <w:p w14:paraId="1A66EA4E">
      <w:pPr>
        <w:spacing w:line="360" w:lineRule="auto"/>
        <w:ind w:firstLine="420" w:firstLineChars="200"/>
        <w:rPr>
          <w:rFonts w:ascii="宋体" w:hAnsi="宋体" w:cs="宋体"/>
          <w:szCs w:val="21"/>
        </w:rPr>
      </w:pPr>
      <w:r>
        <w:rPr>
          <w:rFonts w:hint="eastAsia" w:ascii="宋体" w:hAnsi="宋体" w:cs="宋体"/>
          <w:szCs w:val="21"/>
        </w:rPr>
        <w:t>措施项目合价为:</w:t>
      </w:r>
      <w:r>
        <w:t xml:space="preserve"> </w:t>
      </w:r>
      <w:r>
        <w:rPr>
          <w:rFonts w:hint="eastAsia" w:ascii="宋体" w:hAnsi="宋体" w:cs="宋体"/>
          <w:szCs w:val="21"/>
          <w:lang w:val="en-US" w:eastAsia="zh-CN"/>
        </w:rPr>
        <w:t>140806.78</w:t>
      </w:r>
      <w:r>
        <w:rPr>
          <w:rFonts w:hint="eastAsia" w:ascii="宋体" w:hAnsi="宋体" w:cs="宋体"/>
          <w:szCs w:val="21"/>
        </w:rPr>
        <w:t>元;</w:t>
      </w:r>
    </w:p>
    <w:p w14:paraId="793776E4">
      <w:pPr>
        <w:spacing w:line="360" w:lineRule="auto"/>
        <w:ind w:firstLine="420" w:firstLineChars="200"/>
        <w:rPr>
          <w:rFonts w:ascii="宋体" w:hAnsi="宋体" w:cs="宋体"/>
          <w:szCs w:val="21"/>
        </w:rPr>
      </w:pPr>
      <w:r>
        <w:rPr>
          <w:rFonts w:hint="eastAsia" w:ascii="宋体" w:hAnsi="宋体" w:cs="宋体"/>
          <w:szCs w:val="21"/>
        </w:rPr>
        <w:t>其他项目合价为:0.00元</w:t>
      </w:r>
    </w:p>
    <w:p w14:paraId="5FD910BF">
      <w:pPr>
        <w:spacing w:line="360" w:lineRule="auto"/>
        <w:ind w:firstLine="420" w:firstLineChars="200"/>
        <w:rPr>
          <w:rFonts w:ascii="宋体" w:hAnsi="宋体" w:cs="宋体"/>
          <w:szCs w:val="21"/>
        </w:rPr>
      </w:pPr>
      <w:r>
        <w:rPr>
          <w:rFonts w:hint="eastAsia" w:ascii="宋体" w:hAnsi="宋体" w:cs="宋体"/>
          <w:szCs w:val="21"/>
        </w:rPr>
        <w:t>增值税合价为:</w:t>
      </w:r>
      <w:r>
        <w:t xml:space="preserve"> </w:t>
      </w:r>
      <w:r>
        <w:rPr>
          <w:rFonts w:hint="eastAsia" w:ascii="宋体" w:hAnsi="宋体" w:cs="宋体"/>
          <w:szCs w:val="21"/>
          <w:lang w:val="en-US" w:eastAsia="zh-CN"/>
        </w:rPr>
        <w:t>113524.65</w:t>
      </w:r>
      <w:r>
        <w:rPr>
          <w:rFonts w:hint="eastAsia" w:ascii="宋体" w:hAnsi="宋体" w:cs="宋体"/>
          <w:szCs w:val="21"/>
        </w:rPr>
        <w:t>元。</w:t>
      </w:r>
    </w:p>
    <w:p w14:paraId="1639E6A3">
      <w:pPr>
        <w:spacing w:line="360" w:lineRule="auto"/>
        <w:ind w:firstLine="420" w:firstLineChars="200"/>
        <w:rPr>
          <w:rFonts w:ascii="宋体" w:hAnsi="宋体" w:cs="宋体"/>
          <w:szCs w:val="21"/>
        </w:rPr>
      </w:pPr>
      <w:r>
        <w:rPr>
          <w:rFonts w:hint="eastAsia" w:ascii="宋体" w:hAnsi="宋体" w:cs="宋体"/>
          <w:szCs w:val="21"/>
        </w:rPr>
        <w:t>安全生产标准化措施费(含税)合计金额:</w:t>
      </w:r>
      <w:r>
        <w:t xml:space="preserve"> </w:t>
      </w:r>
      <w:r>
        <w:rPr>
          <w:rFonts w:hint="eastAsia" w:ascii="宋体" w:hAnsi="宋体" w:cs="宋体"/>
          <w:szCs w:val="21"/>
          <w:lang w:val="en-US" w:eastAsia="zh-CN"/>
        </w:rPr>
        <w:t>57175.11</w:t>
      </w:r>
      <w:r>
        <w:rPr>
          <w:rFonts w:hint="eastAsia" w:ascii="宋体" w:hAnsi="宋体" w:cs="宋体"/>
          <w:szCs w:val="21"/>
        </w:rPr>
        <w:t>元;</w:t>
      </w:r>
    </w:p>
    <w:p w14:paraId="393FE11C">
      <w:pPr>
        <w:spacing w:line="360" w:lineRule="auto"/>
        <w:ind w:firstLine="420" w:firstLineChars="20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szCs w:val="21"/>
        </w:rPr>
        <w:t>北京市昌平区马池口镇奤夿屯幼儿园开园基础改造项目</w:t>
      </w:r>
    </w:p>
    <w:p w14:paraId="49762DA4">
      <w:pPr>
        <w:spacing w:line="360" w:lineRule="auto"/>
        <w:ind w:firstLine="420" w:firstLineChars="200"/>
        <w:rPr>
          <w:rFonts w:ascii="宋体" w:hAnsi="宋体" w:cs="宋体"/>
          <w:szCs w:val="21"/>
        </w:rPr>
      </w:pPr>
      <w:r>
        <w:rPr>
          <w:rFonts w:hint="eastAsia" w:ascii="宋体" w:hAnsi="宋体" w:cs="宋体"/>
          <w:szCs w:val="21"/>
        </w:rPr>
        <w:t>最高限价(招标控制价):</w:t>
      </w:r>
      <w:r>
        <w:t xml:space="preserve"> </w:t>
      </w:r>
      <w:r>
        <w:rPr>
          <w:rFonts w:hint="eastAsia" w:ascii="宋体" w:hAnsi="宋体" w:cs="宋体"/>
          <w:szCs w:val="21"/>
          <w:lang w:val="en-US" w:eastAsia="zh-CN"/>
        </w:rPr>
        <w:t>1673134.22</w:t>
      </w:r>
      <w:r>
        <w:rPr>
          <w:rFonts w:hint="eastAsia" w:ascii="宋体" w:hAnsi="宋体" w:cs="宋体"/>
          <w:szCs w:val="21"/>
        </w:rPr>
        <w:t>元</w:t>
      </w:r>
    </w:p>
    <w:p w14:paraId="55C1CB83">
      <w:pPr>
        <w:spacing w:line="360" w:lineRule="auto"/>
        <w:ind w:firstLine="420" w:firstLineChars="200"/>
        <w:rPr>
          <w:rFonts w:ascii="宋体" w:hAnsi="宋体" w:cs="宋体"/>
          <w:szCs w:val="21"/>
        </w:rPr>
      </w:pPr>
      <w:r>
        <w:rPr>
          <w:rFonts w:hint="eastAsia" w:ascii="宋体" w:hAnsi="宋体" w:cs="宋体"/>
          <w:szCs w:val="21"/>
        </w:rPr>
        <w:t>其中:分部分项工程合价为:</w:t>
      </w:r>
      <w:r>
        <w:t xml:space="preserve"> </w:t>
      </w:r>
      <w:r>
        <w:rPr>
          <w:rFonts w:hint="eastAsia" w:ascii="宋体" w:hAnsi="宋体" w:cs="宋体"/>
          <w:szCs w:val="21"/>
          <w:lang w:val="en-US" w:eastAsia="zh-CN"/>
        </w:rPr>
        <w:t>1388721.26</w:t>
      </w:r>
      <w:r>
        <w:rPr>
          <w:rFonts w:hint="eastAsia" w:ascii="宋体" w:hAnsi="宋体" w:cs="宋体"/>
          <w:szCs w:val="21"/>
        </w:rPr>
        <w:t>元;</w:t>
      </w:r>
    </w:p>
    <w:p w14:paraId="06A93FC1">
      <w:pPr>
        <w:spacing w:line="360" w:lineRule="auto"/>
        <w:ind w:firstLine="420" w:firstLineChars="200"/>
        <w:rPr>
          <w:rFonts w:ascii="宋体" w:hAnsi="宋体" w:cs="宋体"/>
          <w:szCs w:val="21"/>
        </w:rPr>
      </w:pPr>
      <w:r>
        <w:rPr>
          <w:rFonts w:hint="eastAsia" w:ascii="宋体" w:hAnsi="宋体" w:cs="宋体"/>
          <w:szCs w:val="21"/>
        </w:rPr>
        <w:t>措施项目合价为:</w:t>
      </w:r>
      <w:r>
        <w:t xml:space="preserve"> </w:t>
      </w:r>
      <w:r>
        <w:rPr>
          <w:rFonts w:hint="eastAsia" w:ascii="宋体" w:hAnsi="宋体" w:cs="宋体"/>
          <w:szCs w:val="21"/>
          <w:lang w:val="en-US" w:eastAsia="zh-CN"/>
        </w:rPr>
        <w:t>146264.26</w:t>
      </w:r>
      <w:r>
        <w:rPr>
          <w:rFonts w:hint="eastAsia" w:ascii="宋体" w:hAnsi="宋体" w:cs="宋体"/>
          <w:szCs w:val="21"/>
        </w:rPr>
        <w:t>元;</w:t>
      </w:r>
    </w:p>
    <w:p w14:paraId="25FF7674">
      <w:pPr>
        <w:spacing w:line="360" w:lineRule="auto"/>
        <w:ind w:firstLine="420" w:firstLineChars="200"/>
        <w:rPr>
          <w:rFonts w:ascii="宋体" w:hAnsi="宋体" w:cs="宋体"/>
          <w:szCs w:val="21"/>
        </w:rPr>
      </w:pPr>
      <w:r>
        <w:rPr>
          <w:rFonts w:hint="eastAsia" w:ascii="宋体" w:hAnsi="宋体" w:cs="宋体"/>
          <w:szCs w:val="21"/>
        </w:rPr>
        <w:t>其他项目合价为:0.00元</w:t>
      </w:r>
    </w:p>
    <w:p w14:paraId="5470017A">
      <w:pPr>
        <w:spacing w:line="360" w:lineRule="auto"/>
        <w:ind w:firstLine="420" w:firstLineChars="200"/>
        <w:rPr>
          <w:rFonts w:ascii="宋体" w:hAnsi="宋体" w:cs="宋体"/>
          <w:szCs w:val="21"/>
        </w:rPr>
      </w:pPr>
      <w:r>
        <w:rPr>
          <w:rFonts w:hint="eastAsia" w:ascii="宋体" w:hAnsi="宋体" w:cs="宋体"/>
          <w:szCs w:val="21"/>
        </w:rPr>
        <w:t>增值税合价为:</w:t>
      </w:r>
      <w:r>
        <w:t xml:space="preserve"> </w:t>
      </w:r>
      <w:r>
        <w:rPr>
          <w:rFonts w:hint="eastAsia" w:ascii="宋体" w:hAnsi="宋体" w:cs="宋体"/>
          <w:szCs w:val="21"/>
          <w:lang w:val="en-US" w:eastAsia="zh-CN"/>
        </w:rPr>
        <w:t>138148.7</w:t>
      </w:r>
      <w:r>
        <w:rPr>
          <w:rFonts w:hint="eastAsia" w:ascii="宋体" w:hAnsi="宋体" w:cs="宋体"/>
          <w:szCs w:val="21"/>
        </w:rPr>
        <w:t>元。</w:t>
      </w:r>
    </w:p>
    <w:p w14:paraId="525AFFB3">
      <w:pPr>
        <w:spacing w:line="360" w:lineRule="auto"/>
        <w:ind w:firstLine="420" w:firstLineChars="200"/>
        <w:rPr>
          <w:rFonts w:ascii="宋体" w:hAnsi="宋体" w:cs="宋体"/>
          <w:szCs w:val="21"/>
        </w:rPr>
      </w:pPr>
      <w:r>
        <w:rPr>
          <w:rFonts w:hint="eastAsia" w:ascii="宋体" w:hAnsi="宋体" w:cs="宋体"/>
          <w:szCs w:val="21"/>
        </w:rPr>
        <w:t>安全生产标准化措施费(含税)合计金额</w:t>
      </w:r>
      <w:r>
        <w:rPr>
          <w:rFonts w:hint="eastAsia" w:ascii="宋体" w:hAnsi="宋体" w:eastAsia="宋体" w:cs="宋体"/>
          <w:szCs w:val="21"/>
          <w:lang w:val="en-US" w:eastAsia="zh-CN"/>
        </w:rPr>
        <w:t>:48862.79元;</w:t>
      </w:r>
    </w:p>
    <w:p w14:paraId="61CBE0D8">
      <w:pPr>
        <w:pStyle w:val="169"/>
        <w:spacing w:before="120" w:beforeLines="50" w:line="360" w:lineRule="auto"/>
        <w:ind w:firstLine="420" w:firstLineChars="200"/>
        <w:rPr>
          <w:rFonts w:ascii="宋体" w:hAnsi="宋体"/>
          <w:color w:val="auto"/>
          <w:sz w:val="21"/>
          <w:szCs w:val="21"/>
        </w:rPr>
      </w:pPr>
      <w:r>
        <w:rPr>
          <w:rFonts w:ascii="宋体" w:hAnsi="宋体"/>
          <w:color w:val="auto"/>
          <w:sz w:val="21"/>
          <w:szCs w:val="21"/>
        </w:rPr>
        <w:t>7</w:t>
      </w:r>
      <w:r>
        <w:rPr>
          <w:rFonts w:hint="eastAsia" w:ascii="宋体" w:hAnsi="宋体"/>
          <w:color w:val="auto"/>
          <w:sz w:val="21"/>
          <w:szCs w:val="21"/>
        </w:rPr>
        <w:t>、采购需求：</w:t>
      </w:r>
      <w:r>
        <w:rPr>
          <w:rFonts w:hint="eastAsia" w:ascii="宋体" w:hAnsi="宋体"/>
          <w:bCs/>
          <w:color w:val="auto"/>
          <w:sz w:val="21"/>
          <w:szCs w:val="21"/>
          <w:lang w:val="en-US" w:eastAsia="zh-CN"/>
        </w:rPr>
        <w:t>拆除工程</w:t>
      </w:r>
      <w:r>
        <w:rPr>
          <w:rFonts w:hint="eastAsia" w:ascii="宋体" w:hAnsi="宋体"/>
          <w:bCs/>
          <w:color w:val="auto"/>
          <w:sz w:val="21"/>
          <w:szCs w:val="21"/>
        </w:rPr>
        <w:t>、</w:t>
      </w:r>
      <w:r>
        <w:rPr>
          <w:rFonts w:hint="eastAsia" w:ascii="宋体" w:hAnsi="宋体"/>
          <w:bCs/>
          <w:color w:val="auto"/>
          <w:sz w:val="21"/>
          <w:szCs w:val="21"/>
          <w:lang w:val="en-US" w:eastAsia="zh-CN"/>
        </w:rPr>
        <w:t>装饰工程</w:t>
      </w:r>
      <w:r>
        <w:rPr>
          <w:rFonts w:hint="eastAsia" w:ascii="宋体" w:hAnsi="宋体"/>
          <w:bCs/>
          <w:color w:val="auto"/>
          <w:sz w:val="21"/>
          <w:szCs w:val="21"/>
        </w:rPr>
        <w:t>、</w:t>
      </w:r>
      <w:r>
        <w:rPr>
          <w:rFonts w:hint="eastAsia" w:ascii="宋体" w:hAnsi="宋体"/>
          <w:bCs/>
          <w:color w:val="auto"/>
          <w:sz w:val="21"/>
          <w:szCs w:val="21"/>
          <w:lang w:val="en-US" w:eastAsia="zh-CN"/>
        </w:rPr>
        <w:t>室外工程、电气工程、给排水工程</w:t>
      </w:r>
      <w:r>
        <w:rPr>
          <w:rFonts w:hint="eastAsia" w:ascii="宋体" w:hAnsi="宋体"/>
          <w:bCs/>
          <w:color w:val="auto"/>
          <w:sz w:val="21"/>
          <w:szCs w:val="21"/>
        </w:rPr>
        <w:t>等设计图纸及工程量清单中包含的全部工程内容</w:t>
      </w:r>
      <w:r>
        <w:rPr>
          <w:rFonts w:hint="eastAsia" w:ascii="宋体" w:hAnsi="宋体"/>
          <w:color w:val="auto"/>
          <w:sz w:val="21"/>
          <w:szCs w:val="21"/>
        </w:rPr>
        <w:t>。</w:t>
      </w:r>
    </w:p>
    <w:p w14:paraId="657D9C21">
      <w:pPr>
        <w:pStyle w:val="169"/>
        <w:spacing w:line="360" w:lineRule="auto"/>
        <w:ind w:firstLine="420" w:firstLineChars="200"/>
        <w:rPr>
          <w:rFonts w:ascii="宋体" w:hAnsi="宋体"/>
          <w:color w:val="auto"/>
          <w:sz w:val="21"/>
          <w:szCs w:val="21"/>
          <w:highlight w:val="none"/>
        </w:rPr>
      </w:pPr>
      <w:bookmarkStart w:id="692" w:name="_Hlk79587727"/>
      <w:r>
        <w:rPr>
          <w:rFonts w:ascii="宋体" w:hAnsi="宋体"/>
          <w:color w:val="auto"/>
          <w:sz w:val="21"/>
          <w:szCs w:val="21"/>
          <w:highlight w:val="none"/>
        </w:rPr>
        <w:t>8</w:t>
      </w:r>
      <w:r>
        <w:rPr>
          <w:rFonts w:hint="eastAsia" w:ascii="宋体" w:hAnsi="宋体"/>
          <w:color w:val="auto"/>
          <w:sz w:val="21"/>
          <w:szCs w:val="21"/>
          <w:highlight w:val="none"/>
        </w:rPr>
        <w:t>、</w:t>
      </w:r>
      <w:r>
        <w:rPr>
          <w:rFonts w:ascii="宋体" w:hAnsi="宋体"/>
          <w:color w:val="auto"/>
          <w:sz w:val="21"/>
          <w:szCs w:val="21"/>
          <w:highlight w:val="none"/>
        </w:rPr>
        <w:t>合同履行期限：</w:t>
      </w:r>
      <w:bookmarkEnd w:id="692"/>
      <w:r>
        <w:rPr>
          <w:rFonts w:hint="eastAsia" w:ascii="宋体" w:hAnsi="宋体"/>
          <w:color w:val="auto"/>
          <w:sz w:val="21"/>
          <w:szCs w:val="21"/>
          <w:highlight w:val="none"/>
        </w:rPr>
        <w:t xml:space="preserve"> 工期</w:t>
      </w:r>
      <w:r>
        <w:rPr>
          <w:rFonts w:hint="eastAsia" w:ascii="宋体" w:hAnsi="宋体"/>
          <w:color w:val="auto"/>
          <w:sz w:val="21"/>
          <w:szCs w:val="21"/>
          <w:highlight w:val="none"/>
          <w:lang w:val="en-US" w:eastAsia="zh-CN"/>
        </w:rPr>
        <w:t>104</w:t>
      </w:r>
      <w:r>
        <w:rPr>
          <w:rFonts w:hint="eastAsia" w:ascii="宋体" w:hAnsi="宋体"/>
          <w:color w:val="auto"/>
          <w:sz w:val="21"/>
          <w:szCs w:val="21"/>
          <w:highlight w:val="none"/>
        </w:rPr>
        <w:t>日历天，计划开工日期：202</w:t>
      </w:r>
      <w:r>
        <w:rPr>
          <w:rFonts w:ascii="宋体" w:hAnsi="宋体"/>
          <w:color w:val="auto"/>
          <w:sz w:val="21"/>
          <w:szCs w:val="21"/>
          <w:highlight w:val="none"/>
        </w:rPr>
        <w:t>6</w:t>
      </w:r>
      <w:r>
        <w:rPr>
          <w:rFonts w:hint="eastAsia" w:ascii="宋体" w:hAnsi="宋体"/>
          <w:color w:val="auto"/>
          <w:sz w:val="21"/>
          <w:szCs w:val="21"/>
          <w:highlight w:val="none"/>
        </w:rPr>
        <w:t>年</w:t>
      </w:r>
      <w:r>
        <w:rPr>
          <w:rFonts w:hint="eastAsia" w:ascii="宋体" w:hAnsi="宋体"/>
          <w:color w:val="auto"/>
          <w:sz w:val="21"/>
          <w:szCs w:val="21"/>
          <w:highlight w:val="none"/>
          <w:lang w:val="en-US" w:eastAsia="zh-CN"/>
        </w:rPr>
        <w:t>09</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07</w:t>
      </w:r>
      <w:r>
        <w:rPr>
          <w:rFonts w:hint="eastAsia" w:ascii="宋体" w:hAnsi="宋体"/>
          <w:color w:val="auto"/>
          <w:sz w:val="21"/>
          <w:szCs w:val="21"/>
          <w:highlight w:val="none"/>
        </w:rPr>
        <w:t>日，具体开工时间以实际开工日期为准；计划竣工日期：202</w:t>
      </w:r>
      <w:r>
        <w:rPr>
          <w:rFonts w:ascii="宋体" w:hAnsi="宋体"/>
          <w:color w:val="auto"/>
          <w:sz w:val="21"/>
          <w:szCs w:val="21"/>
          <w:highlight w:val="none"/>
        </w:rPr>
        <w:t>6</w:t>
      </w:r>
      <w:r>
        <w:rPr>
          <w:rFonts w:hint="eastAsia" w:ascii="宋体" w:hAnsi="宋体"/>
          <w:color w:val="auto"/>
          <w:sz w:val="21"/>
          <w:szCs w:val="21"/>
          <w:highlight w:val="none"/>
        </w:rPr>
        <w:t>年</w:t>
      </w:r>
      <w:r>
        <w:rPr>
          <w:rFonts w:hint="eastAsia" w:ascii="宋体" w:hAnsi="宋体"/>
          <w:color w:val="auto"/>
          <w:sz w:val="21"/>
          <w:szCs w:val="21"/>
          <w:highlight w:val="none"/>
          <w:lang w:val="en-US" w:eastAsia="zh-CN"/>
        </w:rPr>
        <w:t>12</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日</w:t>
      </w:r>
    </w:p>
    <w:p w14:paraId="1EDB79C7"/>
    <w:p w14:paraId="64DB8E53">
      <w:pPr>
        <w:numPr>
          <w:ilvl w:val="0"/>
          <w:numId w:val="13"/>
        </w:numPr>
        <w:autoSpaceDE w:val="0"/>
        <w:autoSpaceDN w:val="0"/>
        <w:adjustRightInd w:val="0"/>
        <w:spacing w:after="120" w:afterLines="50" w:line="288" w:lineRule="auto"/>
        <w:jc w:val="left"/>
        <w:outlineLvl w:val="1"/>
        <w:rPr>
          <w:rFonts w:ascii="宋体" w:hAnsi="宋体" w:cs="Calibri"/>
          <w:b/>
          <w:kern w:val="0"/>
          <w:szCs w:val="21"/>
        </w:rPr>
      </w:pPr>
      <w:r>
        <w:rPr>
          <w:rFonts w:hint="eastAsia" w:ascii="宋体" w:hAnsi="宋体" w:cs="Calibri"/>
          <w:b/>
          <w:kern w:val="0"/>
          <w:szCs w:val="21"/>
        </w:rPr>
        <w:t>商务及技术要求</w:t>
      </w:r>
    </w:p>
    <w:p w14:paraId="55EFE77C">
      <w:pPr>
        <w:pStyle w:val="169"/>
        <w:spacing w:before="120" w:beforeLines="50" w:line="360" w:lineRule="auto"/>
        <w:ind w:firstLine="420" w:firstLineChars="200"/>
        <w:rPr>
          <w:rFonts w:ascii="宋体" w:hAnsi="宋体"/>
          <w:color w:val="auto"/>
          <w:sz w:val="21"/>
          <w:szCs w:val="21"/>
        </w:rPr>
      </w:pPr>
      <w:r>
        <w:rPr>
          <w:rFonts w:hint="eastAsia" w:ascii="宋体" w:hAnsi="宋体"/>
          <w:color w:val="auto"/>
          <w:sz w:val="21"/>
          <w:szCs w:val="21"/>
        </w:rPr>
        <w:t>1.基本要求</w:t>
      </w:r>
    </w:p>
    <w:p w14:paraId="6F905803">
      <w:pPr>
        <w:pStyle w:val="169"/>
        <w:spacing w:line="360" w:lineRule="auto"/>
        <w:ind w:firstLine="420" w:firstLineChars="200"/>
        <w:rPr>
          <w:rFonts w:ascii="宋体" w:hAnsi="宋体"/>
          <w:color w:val="auto"/>
          <w:sz w:val="21"/>
          <w:szCs w:val="21"/>
        </w:rPr>
      </w:pPr>
      <w:r>
        <w:rPr>
          <w:rFonts w:hint="eastAsia" w:ascii="宋体" w:hAnsi="宋体"/>
          <w:color w:val="auto"/>
          <w:sz w:val="21"/>
          <w:szCs w:val="21"/>
        </w:rPr>
        <w:t>1.1 采购标的需实现的功能或者目标</w:t>
      </w:r>
    </w:p>
    <w:p w14:paraId="0F8D4E60">
      <w:pPr>
        <w:pStyle w:val="169"/>
        <w:spacing w:line="360" w:lineRule="auto"/>
        <w:ind w:firstLine="420" w:firstLineChars="200"/>
        <w:rPr>
          <w:rFonts w:ascii="宋体" w:hAnsi="宋体"/>
          <w:color w:val="auto"/>
          <w:sz w:val="21"/>
          <w:szCs w:val="21"/>
        </w:rPr>
      </w:pPr>
      <w:r>
        <w:rPr>
          <w:rFonts w:hint="eastAsia" w:ascii="宋体" w:hAnsi="宋体"/>
          <w:color w:val="auto"/>
          <w:sz w:val="21"/>
          <w:szCs w:val="21"/>
        </w:rPr>
        <w:t>采购目标：本项目的顺利实施，切实保障了昌平区相关学校师生正常教育教学开展及校园使用安全，有效改善了办学条件。</w:t>
      </w:r>
    </w:p>
    <w:p w14:paraId="3B045FEA">
      <w:pPr>
        <w:pStyle w:val="169"/>
        <w:spacing w:line="360" w:lineRule="auto"/>
        <w:ind w:firstLine="420" w:firstLineChars="200"/>
        <w:rPr>
          <w:rFonts w:ascii="宋体" w:hAnsi="宋体"/>
          <w:color w:val="auto"/>
          <w:sz w:val="21"/>
          <w:szCs w:val="21"/>
        </w:rPr>
      </w:pPr>
      <w:r>
        <w:rPr>
          <w:rFonts w:ascii="宋体" w:hAnsi="宋体"/>
          <w:color w:val="auto"/>
          <w:sz w:val="21"/>
          <w:szCs w:val="21"/>
        </w:rPr>
        <w:t>1.</w:t>
      </w:r>
      <w:r>
        <w:rPr>
          <w:rFonts w:hint="eastAsia" w:ascii="宋体" w:hAnsi="宋体"/>
          <w:color w:val="auto"/>
          <w:sz w:val="21"/>
          <w:szCs w:val="21"/>
        </w:rPr>
        <w:t>2</w:t>
      </w:r>
      <w:r>
        <w:rPr>
          <w:rFonts w:ascii="宋体" w:hAnsi="宋体"/>
          <w:color w:val="auto"/>
          <w:sz w:val="21"/>
          <w:szCs w:val="21"/>
        </w:rPr>
        <w:t xml:space="preserve"> </w:t>
      </w:r>
      <w:r>
        <w:rPr>
          <w:rFonts w:hint="eastAsia" w:ascii="宋体" w:hAnsi="宋体"/>
          <w:color w:val="auto"/>
          <w:sz w:val="21"/>
          <w:szCs w:val="21"/>
        </w:rPr>
        <w:t>缺陷责任期：</w:t>
      </w:r>
      <w:r>
        <w:rPr>
          <w:rFonts w:ascii="宋体" w:hAnsi="宋体"/>
          <w:color w:val="auto"/>
          <w:sz w:val="21"/>
          <w:szCs w:val="21"/>
        </w:rPr>
        <w:t>24</w:t>
      </w:r>
      <w:r>
        <w:rPr>
          <w:rFonts w:hint="eastAsia" w:ascii="宋体" w:hAnsi="宋体"/>
          <w:color w:val="auto"/>
          <w:sz w:val="21"/>
          <w:szCs w:val="21"/>
        </w:rPr>
        <w:t>个月。</w:t>
      </w:r>
    </w:p>
    <w:p w14:paraId="31E05FD6">
      <w:pPr>
        <w:pStyle w:val="169"/>
        <w:spacing w:line="360" w:lineRule="auto"/>
        <w:ind w:firstLine="420" w:firstLineChars="200"/>
        <w:rPr>
          <w:rFonts w:ascii="宋体" w:hAnsi="宋体"/>
          <w:color w:val="auto"/>
          <w:sz w:val="21"/>
          <w:szCs w:val="21"/>
        </w:rPr>
      </w:pPr>
      <w:r>
        <w:rPr>
          <w:rFonts w:hint="eastAsia" w:ascii="宋体" w:hAnsi="宋体"/>
          <w:color w:val="auto"/>
          <w:sz w:val="21"/>
          <w:szCs w:val="21"/>
        </w:rPr>
        <w:t>2</w:t>
      </w:r>
      <w:r>
        <w:rPr>
          <w:rFonts w:ascii="宋体" w:hAnsi="宋体"/>
          <w:color w:val="auto"/>
          <w:sz w:val="21"/>
          <w:szCs w:val="21"/>
        </w:rPr>
        <w:t>.</w:t>
      </w:r>
      <w:r>
        <w:rPr>
          <w:rFonts w:hint="eastAsia" w:ascii="宋体" w:hAnsi="宋体"/>
          <w:color w:val="auto"/>
          <w:sz w:val="21"/>
          <w:szCs w:val="21"/>
        </w:rPr>
        <w:t>承包范围</w:t>
      </w:r>
    </w:p>
    <w:p w14:paraId="064B5618">
      <w:p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（1）北京市昌平区沙河镇第一幼儿园开园基础改造项目：</w:t>
      </w:r>
    </w:p>
    <w:p w14:paraId="7D0F42FB">
      <w:p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1.1拆除工程：包含墙砖墙裙拆除、涂料打磨、防护栏杆拆除、渣土外运及消纳等；</w:t>
      </w:r>
    </w:p>
    <w:p w14:paraId="01C77A7A">
      <w:p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1.2装饰工程：包含楼梯台阶增加防滑条、墙裙及墙面造型、增加木质栏杆及门、增加成人洗手盆、玻璃隔断、镜子、分集水器包罩、露台局部新做防护栏杆、台阶增加不锈钢扶手等；</w:t>
      </w:r>
    </w:p>
    <w:p w14:paraId="1E6565F0">
      <w:p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1.3室外工程：包含主出入口大门拆除新做大门及形象墙、围墙新做隔离网、增加宣传栏、配电箱增加防护围栏等；</w:t>
      </w:r>
    </w:p>
    <w:p w14:paraId="03DA803F">
      <w:p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1.4电气工程：包含配管配线安装，剔槽及支架制作安装，灯具、插座及开关安装等；</w:t>
      </w:r>
    </w:p>
    <w:p w14:paraId="5EDBBF19">
      <w:p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1.5给排水工程：包含淋浴花洒拆除，给排水管道及管道附件安装，洗衣机龙头安装，打洞等。</w:t>
      </w:r>
    </w:p>
    <w:p w14:paraId="57F848BE">
      <w:pPr>
        <w:spacing w:line="360" w:lineRule="auto"/>
        <w:ind w:firstLine="420" w:firstLineChars="200"/>
        <w:rPr>
          <w:rFonts w:hint="default" w:ascii="宋体" w:hAnsi="宋体" w:cs="宋体"/>
          <w:szCs w:val="21"/>
          <w:lang w:val="en-US" w:eastAsia="zh-CN"/>
        </w:rPr>
      </w:pPr>
      <w:r>
        <w:rPr>
          <w:rFonts w:hint="eastAsia" w:ascii="宋体" w:hAnsi="宋体" w:cs="宋体"/>
          <w:szCs w:val="21"/>
          <w:lang w:val="en-US" w:eastAsia="zh-CN"/>
        </w:rPr>
        <w:t>（2）北京市昌平区马池口镇奤夿屯幼儿园开园基础改造项目</w:t>
      </w:r>
    </w:p>
    <w:p w14:paraId="7EB094B3">
      <w:p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2.1装饰工程：包含墙面及造型新做、局部吊顶修复、地台新做、加装窗帘及轨道、增加不锈钢拉闸伸缩门、增设银镜、新做隔断、新做定制柜等；</w:t>
      </w:r>
    </w:p>
    <w:p w14:paraId="18E46994">
      <w:pPr>
        <w:spacing w:line="360" w:lineRule="auto"/>
        <w:ind w:firstLine="420" w:firstLineChars="200"/>
        <w:rPr>
          <w:rFonts w:hint="default" w:ascii="宋体" w:hAnsi="宋体" w:cs="宋体"/>
          <w:szCs w:val="21"/>
          <w:lang w:val="en-US" w:eastAsia="zh-CN"/>
        </w:rPr>
      </w:pPr>
      <w:r>
        <w:rPr>
          <w:rFonts w:hint="eastAsia" w:ascii="宋体" w:hAnsi="宋体" w:cs="宋体"/>
          <w:szCs w:val="21"/>
          <w:lang w:val="en-US" w:eastAsia="zh-CN"/>
        </w:rPr>
        <w:t>2.2室外工程：包含新做软塑悬浮地面、沙坑换填、大门改造、增设围网、增设电箱围栏、新做形象墙等；</w:t>
      </w:r>
    </w:p>
    <w:p w14:paraId="4D6A0568">
      <w:p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2.3给排水工程：包含给排水管道安装，盥洗水盆安装，洗衣机水龙头安装，打洞等；</w:t>
      </w:r>
    </w:p>
    <w:p w14:paraId="078C4CF0">
      <w:pPr>
        <w:spacing w:line="360" w:lineRule="auto"/>
        <w:ind w:firstLine="420" w:firstLineChars="200"/>
        <w:rPr>
          <w:rFonts w:ascii="宋体" w:hAnsi="宋体" w:cs="宋体"/>
          <w:szCs w:val="21"/>
        </w:rPr>
      </w:pPr>
      <w:r>
        <w:rPr>
          <w:rFonts w:hint="eastAsia" w:ascii="宋体" w:hAnsi="宋体" w:cs="宋体"/>
          <w:szCs w:val="21"/>
          <w:lang w:val="en-US" w:eastAsia="zh-CN"/>
        </w:rPr>
        <w:t>2.4电气工程：包含灯具、插座、开关安装，配管配线，接线盒等。</w:t>
      </w:r>
    </w:p>
    <w:p w14:paraId="64079C3F">
      <w:pPr>
        <w:pStyle w:val="169"/>
        <w:spacing w:line="360" w:lineRule="auto"/>
        <w:ind w:firstLine="420" w:firstLineChars="200"/>
        <w:rPr>
          <w:rFonts w:ascii="宋体" w:hAnsi="宋体" w:cs="宋体"/>
          <w:color w:val="auto"/>
          <w:kern w:val="2"/>
          <w:sz w:val="21"/>
          <w:szCs w:val="20"/>
        </w:rPr>
      </w:pPr>
      <w:r>
        <w:rPr>
          <w:rFonts w:hint="eastAsia" w:ascii="宋体" w:hAnsi="宋体" w:cs="宋体"/>
          <w:color w:val="auto"/>
          <w:kern w:val="2"/>
          <w:sz w:val="21"/>
          <w:szCs w:val="20"/>
        </w:rPr>
        <w:t>3</w:t>
      </w:r>
      <w:r>
        <w:rPr>
          <w:rFonts w:ascii="宋体" w:hAnsi="宋体" w:cs="宋体"/>
          <w:color w:val="auto"/>
          <w:kern w:val="2"/>
          <w:sz w:val="21"/>
          <w:szCs w:val="20"/>
        </w:rPr>
        <w:t>.</w:t>
      </w:r>
      <w:r>
        <w:rPr>
          <w:rFonts w:hint="eastAsia" w:ascii="宋体" w:hAnsi="宋体" w:cs="宋体"/>
          <w:color w:val="auto"/>
          <w:kern w:val="2"/>
          <w:sz w:val="21"/>
          <w:szCs w:val="20"/>
        </w:rPr>
        <w:t>质量标准</w:t>
      </w:r>
    </w:p>
    <w:p w14:paraId="1301FD53">
      <w:pPr>
        <w:pStyle w:val="169"/>
        <w:spacing w:line="360" w:lineRule="auto"/>
        <w:ind w:firstLine="420" w:firstLineChars="200"/>
        <w:rPr>
          <w:rFonts w:ascii="宋体" w:hAnsi="宋体" w:cs="宋体"/>
          <w:color w:val="auto"/>
          <w:kern w:val="2"/>
          <w:sz w:val="21"/>
          <w:szCs w:val="20"/>
        </w:rPr>
      </w:pPr>
      <w:r>
        <w:rPr>
          <w:rFonts w:hint="eastAsia" w:ascii="宋体" w:hAnsi="宋体"/>
          <w:color w:val="auto"/>
          <w:sz w:val="21"/>
          <w:szCs w:val="21"/>
        </w:rPr>
        <w:t>本工程要求的质量标准：合格；安全生产标准化管理目标等级要求为“达标”。</w:t>
      </w:r>
    </w:p>
    <w:p w14:paraId="4E6003DC">
      <w:pPr>
        <w:pStyle w:val="169"/>
        <w:spacing w:line="360" w:lineRule="auto"/>
        <w:ind w:firstLine="420" w:firstLineChars="200"/>
        <w:rPr>
          <w:rFonts w:ascii="宋体" w:hAnsi="宋体"/>
          <w:color w:val="auto"/>
          <w:sz w:val="21"/>
          <w:szCs w:val="21"/>
        </w:rPr>
      </w:pPr>
      <w:r>
        <w:rPr>
          <w:rFonts w:ascii="宋体" w:hAnsi="宋体"/>
          <w:color w:val="auto"/>
          <w:sz w:val="21"/>
          <w:szCs w:val="21"/>
        </w:rPr>
        <w:t>4.</w:t>
      </w:r>
      <w:r>
        <w:rPr>
          <w:color w:val="auto"/>
        </w:rPr>
        <w:t></w:t>
      </w:r>
      <w:r>
        <w:rPr>
          <w:rFonts w:hint="eastAsia" w:ascii="宋体" w:hAnsi="宋体"/>
          <w:color w:val="auto"/>
          <w:sz w:val="21"/>
          <w:szCs w:val="21"/>
        </w:rPr>
        <w:t>适用规范和标准</w:t>
      </w:r>
    </w:p>
    <w:p w14:paraId="5480FD4A">
      <w:pPr>
        <w:pStyle w:val="169"/>
        <w:spacing w:line="360" w:lineRule="auto"/>
        <w:ind w:firstLine="420" w:firstLineChars="200"/>
        <w:rPr>
          <w:rFonts w:ascii="宋体" w:hAnsi="宋体"/>
          <w:color w:val="auto"/>
          <w:sz w:val="21"/>
          <w:szCs w:val="21"/>
        </w:rPr>
      </w:pPr>
      <w:r>
        <w:rPr>
          <w:rFonts w:hint="eastAsia" w:ascii="宋体" w:hAnsi="宋体"/>
          <w:color w:val="auto"/>
          <w:sz w:val="21"/>
          <w:szCs w:val="21"/>
        </w:rPr>
        <w:t>承包人应自行收集或购买现行的相关规范、规程、标准及相关规定等，并承担相应的费用,构成合同文件的任何内容与国家现行规范、规程和标准之间出现矛盾，承包人应书面要求发包人予以澄清，除非发包人有特别指令，承包人应按照其中要求最严格的标准执行。材料、施工工艺和本工程都应依照本技术标准和要求以及国家现行规范、规程和标准的最新版本执行。所有室内外建筑材料装修材料，均符合国家环境检测标准同时材料需经环保部门认可及专业环境污染检测机构检测合格，否则所有材料均不得使用。</w:t>
      </w:r>
    </w:p>
    <w:p w14:paraId="7381EF13">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.安全文明施工</w:t>
      </w:r>
    </w:p>
    <w:p w14:paraId="5ABD9B05">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  安全防护</w:t>
      </w:r>
    </w:p>
    <w:p w14:paraId="36F0F70B">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.1.1  在工程施工、竣工、交付及修补任何缺陷的过程中，承包人应当始终遵守国家和地方有关安全生产的法律、法规、规范、标准和规程等，按照合同条款第9.2款的约定履行其安全施工职责。</w:t>
      </w:r>
    </w:p>
    <w:p w14:paraId="55422DDF">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.1.2  承包人应坚持“安全第一，预防为主”的方针，建立、健全安全生产责任制度和安全生产教育培训制度。在整个工程施工期间，承包人应在施工场地（现场）设立、提供和维护并在有关工作完成或竣工后撤除</w:t>
      </w:r>
    </w:p>
    <w:p w14:paraId="66E6ABC9">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.1.3  安全文明施工费用必须专款专用，保证安全文明施工措施的投入，并在财务管理中单独列支安全文明施工费账目备查。承包人应对其由于安全文明施工费用和施工安全措施不到位而发生的安全事故承担全部责任。</w:t>
      </w:r>
    </w:p>
    <w:p w14:paraId="3A592DD0">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.1.4  承包人应建立专门的施工场地（现场）安全生产管理机构，配备足够数量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和专职安全生产管理人员均应当具备有效的安全生产考核合格证书。</w:t>
      </w:r>
    </w:p>
    <w:p w14:paraId="0A3F5EB4">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.1.5  承包人应遵照有关法律法规要求，编制印发安全防护手册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3C20E693">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.1.6  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553A5E4E">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.1.7  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3B40CC6C">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.1.8  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3FEF2F44">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.1.9  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律、法规、规章、规范、标准和规程等的要求。</w:t>
      </w:r>
    </w:p>
    <w:p w14:paraId="55F509FC">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.1.10  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348CF0EC">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.1.1</w:t>
      </w:r>
      <w:r>
        <w:rPr>
          <w:rFonts w:ascii="宋体" w:hAnsi="宋体"/>
          <w:color w:val="auto"/>
          <w:sz w:val="21"/>
          <w:szCs w:val="21"/>
        </w:rPr>
        <w:t>1</w:t>
      </w:r>
      <w:r>
        <w:rPr>
          <w:rFonts w:hint="eastAsia" w:ascii="宋体" w:hAnsi="宋体"/>
          <w:color w:val="auto"/>
          <w:sz w:val="21"/>
          <w:szCs w:val="21"/>
        </w:rPr>
        <w:t xml:space="preserve">  承包人应成立应急救援小组，配备必要的应急救援器材和设备，制定灾害和生产安全事故的应急救援预案，并将应急救援预案报送监理人。应急救援预案应能随时组织应救专职人员、并定期组织演练。</w:t>
      </w:r>
    </w:p>
    <w:p w14:paraId="1E03688D">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.1.1</w:t>
      </w:r>
      <w:r>
        <w:rPr>
          <w:rFonts w:ascii="宋体" w:hAnsi="宋体"/>
          <w:color w:val="auto"/>
          <w:sz w:val="21"/>
          <w:szCs w:val="21"/>
        </w:rPr>
        <w:t>2</w:t>
      </w:r>
      <w:r>
        <w:rPr>
          <w:rFonts w:hint="eastAsia" w:ascii="宋体" w:hAnsi="宋体"/>
          <w:color w:val="auto"/>
          <w:sz w:val="21"/>
          <w:szCs w:val="21"/>
        </w:rPr>
        <w:t xml:space="preserve">  承包人应按照合同条款第9.5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03CEA266">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.1.1</w:t>
      </w:r>
      <w:r>
        <w:rPr>
          <w:rFonts w:ascii="宋体" w:hAnsi="宋体"/>
          <w:color w:val="auto"/>
          <w:sz w:val="21"/>
          <w:szCs w:val="21"/>
        </w:rPr>
        <w:t>3</w:t>
      </w:r>
      <w:r>
        <w:rPr>
          <w:rFonts w:hint="eastAsia" w:ascii="宋体" w:hAnsi="宋体"/>
          <w:color w:val="auto"/>
          <w:sz w:val="21"/>
          <w:szCs w:val="21"/>
        </w:rPr>
        <w:t xml:space="preserve">  承包人还应根据有关法律、法规、规定和条例等的要求，制定一套安全生产应急措施和程序，保证一旦出现任何安全事故，能立即保护好现场，抢救伤员和财产，保证施工生产的正常进行，防止损失扩大。</w:t>
      </w:r>
    </w:p>
    <w:p w14:paraId="2938C6DF">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.2  临时消防</w:t>
      </w:r>
    </w:p>
    <w:p w14:paraId="02322C1C">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.2.1  承包人应建立消防安全责任制度，制定用火、用电和使用易燃易爆等危险品的消防安全管理制度和操作规程。各项制度和规程等应满足相关法律法规和政府消防管理机构的要求。</w:t>
      </w:r>
    </w:p>
    <w:p w14:paraId="59D2F281">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.2.2  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0CAE31E2">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.2.3  承包人应当成立由项目主要负责人担任组长的临时消防组或消防队，宣传消防基本知识和基本操作培训，组织消防演练，保证一旦发生火灾，能够组织有效的自救，保护生命和财产安全。</w:t>
      </w:r>
    </w:p>
    <w:p w14:paraId="11BC6E9D">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.2.4  施工场地（现场）内的易燃、易爆物品应单独和安全地存放，设专人进行存放和领用管理。施工场地（现场）储有或正在使用易燃、易爆或可燃材料时或有明火施工的工序，应当实行严格的“用火证”管理制度。</w:t>
      </w:r>
    </w:p>
    <w:p w14:paraId="04EC49C4">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.3  临时供电</w:t>
      </w:r>
    </w:p>
    <w:p w14:paraId="77D697AD">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.3.1  承包人应当根据《施工现场临时用电安全技术规范》（JGJ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7E85BFE1">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.3.2  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6C1F1AA3">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.3.3  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严地面明设，并应避免机械损伤和介质腐蚀。埋地电缆路径应设方位标志。各种配电设备均设有防止漏电和防雨防水设施。</w:t>
      </w:r>
    </w:p>
    <w:p w14:paraId="004DE1D2">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.3.4  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46DCD97B">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.3.5  凡可能漏电伤人或易受雷击的电器及建筑物均应设置接地和避雷装置。承包人应负责避雷装置的采购、安装、管理和维修，并建立定期检查制度。</w:t>
      </w:r>
    </w:p>
    <w:p w14:paraId="21901343">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.4  劳动保护</w:t>
      </w:r>
    </w:p>
    <w:p w14:paraId="2F3FAF75">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.4.1  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393AE53C">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.4.2  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2378FE73">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.4.3  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73C63879">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.4.4  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16716ABA">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.4.5  承包人应在现场设立专门的临时医疗站，配备足够的设施、药物和称职的医务人员，承包人还应准备急救担架，用于一旦发生安全事故时对受伤人员的急救。</w:t>
      </w:r>
    </w:p>
    <w:p w14:paraId="18182349">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w:t>
      </w:r>
      <w:r>
        <w:rPr>
          <w:rFonts w:ascii="宋体" w:hAnsi="宋体"/>
          <w:color w:val="auto"/>
          <w:sz w:val="21"/>
          <w:szCs w:val="21"/>
        </w:rPr>
        <w:t>5</w:t>
      </w:r>
      <w:r>
        <w:rPr>
          <w:rFonts w:hint="eastAsia" w:ascii="宋体" w:hAnsi="宋体"/>
          <w:color w:val="auto"/>
          <w:sz w:val="21"/>
          <w:szCs w:val="21"/>
        </w:rPr>
        <w:t xml:space="preserve">  文明施工</w:t>
      </w:r>
    </w:p>
    <w:p w14:paraId="710E6675">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w:t>
      </w:r>
      <w:r>
        <w:rPr>
          <w:rFonts w:ascii="宋体" w:hAnsi="宋体"/>
          <w:color w:val="auto"/>
          <w:sz w:val="21"/>
          <w:szCs w:val="21"/>
        </w:rPr>
        <w:t>5</w:t>
      </w:r>
      <w:r>
        <w:rPr>
          <w:rFonts w:hint="eastAsia" w:ascii="宋体" w:hAnsi="宋体"/>
          <w:color w:val="auto"/>
          <w:sz w:val="21"/>
          <w:szCs w:val="21"/>
        </w:rPr>
        <w:t>.1  承包人应遵守国家和工程所在地有关法规、规范、规程和标准的规定，履行文明施工义务，确保文明施工专项费用专款专用。</w:t>
      </w:r>
    </w:p>
    <w:p w14:paraId="507D8685">
      <w:pPr>
        <w:pStyle w:val="169"/>
        <w:spacing w:line="360" w:lineRule="auto"/>
        <w:ind w:firstLine="420" w:firstLine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w:t>
      </w:r>
      <w:r>
        <w:rPr>
          <w:rFonts w:ascii="宋体" w:hAnsi="宋体"/>
          <w:color w:val="auto"/>
          <w:sz w:val="21"/>
          <w:szCs w:val="21"/>
        </w:rPr>
        <w:t>5</w:t>
      </w:r>
      <w:r>
        <w:rPr>
          <w:rFonts w:hint="eastAsia" w:ascii="宋体" w:hAnsi="宋体"/>
          <w:color w:val="auto"/>
          <w:sz w:val="21"/>
          <w:szCs w:val="21"/>
        </w:rPr>
        <w:t>.2  承包人应当规范现场施工秩序，实行标准化管理。</w:t>
      </w:r>
    </w:p>
    <w:p w14:paraId="7A9E8B6F">
      <w:pPr>
        <w:pStyle w:val="169"/>
        <w:spacing w:line="360" w:lineRule="auto"/>
        <w:ind w:firstLine="420" w:firstLineChars="200"/>
        <w:rPr>
          <w:rFonts w:ascii="宋体" w:hAnsi="宋体"/>
          <w:color w:val="auto"/>
          <w:sz w:val="21"/>
          <w:szCs w:val="21"/>
        </w:rPr>
      </w:pPr>
      <w:r>
        <w:rPr>
          <w:rFonts w:ascii="宋体" w:hAnsi="宋体"/>
          <w:color w:val="auto"/>
          <w:sz w:val="21"/>
          <w:szCs w:val="21"/>
        </w:rPr>
        <w:t>5.6</w:t>
      </w:r>
      <w:r>
        <w:rPr>
          <w:rFonts w:hint="eastAsia" w:ascii="宋体" w:hAnsi="宋体"/>
          <w:color w:val="auto"/>
          <w:sz w:val="21"/>
          <w:szCs w:val="21"/>
        </w:rPr>
        <w:t>施工现场安全文明施工要求</w:t>
      </w:r>
    </w:p>
    <w:p w14:paraId="2F58097A">
      <w:pPr>
        <w:pStyle w:val="169"/>
        <w:spacing w:line="360" w:lineRule="auto"/>
        <w:ind w:firstLine="420" w:firstLineChars="200"/>
        <w:rPr>
          <w:rFonts w:ascii="宋体" w:hAnsi="宋体"/>
          <w:color w:val="auto"/>
          <w:sz w:val="21"/>
          <w:szCs w:val="21"/>
        </w:rPr>
      </w:pPr>
      <w:r>
        <w:rPr>
          <w:rFonts w:ascii="宋体" w:hAnsi="宋体"/>
          <w:color w:val="auto"/>
          <w:sz w:val="21"/>
          <w:szCs w:val="21"/>
        </w:rPr>
        <w:t>5.6.1</w:t>
      </w:r>
      <w:r>
        <w:rPr>
          <w:rFonts w:hint="eastAsia" w:ascii="宋体" w:hAnsi="宋体"/>
          <w:color w:val="auto"/>
          <w:sz w:val="21"/>
          <w:szCs w:val="21"/>
        </w:rPr>
        <w:t>施工现场安全生产标准化管理目标等级：达标。</w:t>
      </w:r>
    </w:p>
    <w:p w14:paraId="5F705360">
      <w:pPr>
        <w:pStyle w:val="169"/>
        <w:spacing w:line="360" w:lineRule="auto"/>
        <w:ind w:firstLine="420" w:firstLineChars="200"/>
        <w:rPr>
          <w:rFonts w:ascii="宋体" w:hAnsi="宋体"/>
          <w:color w:val="auto"/>
          <w:sz w:val="21"/>
          <w:szCs w:val="21"/>
        </w:rPr>
      </w:pPr>
      <w:r>
        <w:rPr>
          <w:rFonts w:ascii="宋体" w:hAnsi="宋体"/>
          <w:color w:val="auto"/>
          <w:sz w:val="21"/>
          <w:szCs w:val="21"/>
        </w:rPr>
        <w:t>6</w:t>
      </w:r>
      <w:r>
        <w:rPr>
          <w:rFonts w:hint="eastAsia" w:ascii="宋体" w:hAnsi="宋体"/>
          <w:color w:val="auto"/>
          <w:sz w:val="21"/>
          <w:szCs w:val="21"/>
        </w:rPr>
        <w:t>.治安保卫</w:t>
      </w:r>
    </w:p>
    <w:p w14:paraId="733B83B5">
      <w:pPr>
        <w:pStyle w:val="169"/>
        <w:spacing w:line="360" w:lineRule="auto"/>
        <w:ind w:firstLine="420" w:firstLineChars="200"/>
        <w:rPr>
          <w:rFonts w:ascii="宋体" w:hAnsi="宋体"/>
          <w:color w:val="auto"/>
          <w:sz w:val="21"/>
          <w:szCs w:val="21"/>
        </w:rPr>
      </w:pPr>
      <w:r>
        <w:rPr>
          <w:rFonts w:ascii="宋体" w:hAnsi="宋体"/>
          <w:color w:val="auto"/>
          <w:sz w:val="21"/>
          <w:szCs w:val="21"/>
        </w:rPr>
        <w:t>6</w:t>
      </w:r>
      <w:r>
        <w:rPr>
          <w:rFonts w:hint="eastAsia" w:ascii="宋体" w:hAnsi="宋体"/>
          <w:color w:val="auto"/>
          <w:sz w:val="21"/>
          <w:szCs w:val="21"/>
        </w:rPr>
        <w:t>.1  承包人应为施工现场提供24小时的保安保卫服务，施工现场应采取封闭式集中管理，严格进、出场实名制考勤，针对疫情常态化防控，提出优化施工作业，减少人员聚集和交叉作业，未经批准严禁任何人进入现场，控制人员、材料和设备等进出场，防止现场材料和设备或其他物品失窃，以及禁止任何现场内的打架斗殴事件等具体举措。</w:t>
      </w:r>
    </w:p>
    <w:p w14:paraId="4D389DEE">
      <w:pPr>
        <w:pStyle w:val="169"/>
        <w:spacing w:line="360" w:lineRule="auto"/>
        <w:ind w:firstLine="420" w:firstLineChars="200"/>
        <w:rPr>
          <w:rFonts w:ascii="宋体" w:hAnsi="宋体"/>
          <w:color w:val="auto"/>
          <w:sz w:val="21"/>
          <w:szCs w:val="21"/>
        </w:rPr>
      </w:pPr>
      <w:r>
        <w:rPr>
          <w:rFonts w:ascii="宋体" w:hAnsi="宋体"/>
          <w:color w:val="auto"/>
          <w:sz w:val="21"/>
          <w:szCs w:val="21"/>
        </w:rPr>
        <w:t>6</w:t>
      </w:r>
      <w:r>
        <w:rPr>
          <w:rFonts w:hint="eastAsia" w:ascii="宋体" w:hAnsi="宋体"/>
          <w:color w:val="auto"/>
          <w:sz w:val="21"/>
          <w:szCs w:val="21"/>
        </w:rPr>
        <w:t>.2  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100F91F3">
      <w:pPr>
        <w:pStyle w:val="169"/>
        <w:spacing w:line="360" w:lineRule="auto"/>
        <w:ind w:firstLine="420" w:firstLineChars="200"/>
        <w:rPr>
          <w:rFonts w:ascii="宋体" w:hAnsi="宋体"/>
          <w:color w:val="auto"/>
          <w:sz w:val="21"/>
          <w:szCs w:val="21"/>
        </w:rPr>
      </w:pPr>
      <w:r>
        <w:rPr>
          <w:rFonts w:ascii="宋体" w:hAnsi="宋体"/>
          <w:color w:val="auto"/>
          <w:sz w:val="21"/>
          <w:szCs w:val="21"/>
        </w:rPr>
        <w:t>6</w:t>
      </w:r>
      <w:r>
        <w:rPr>
          <w:rFonts w:hint="eastAsia" w:ascii="宋体" w:hAnsi="宋体"/>
          <w:color w:val="auto"/>
          <w:sz w:val="21"/>
          <w:szCs w:val="21"/>
        </w:rPr>
        <w:t>.3  承包人应制定并实施严格的施工场地（现场）出入制度并报监理人审批；车辆的出入须有出入审批制度，并有指定的专人负责管理；人员进出现场应有出入证，出入证须以经过监理人批准的格式印制。</w:t>
      </w:r>
    </w:p>
    <w:p w14:paraId="405ECCA0">
      <w:pPr>
        <w:pStyle w:val="169"/>
        <w:spacing w:line="360" w:lineRule="auto"/>
        <w:ind w:firstLine="420" w:firstLineChars="200"/>
        <w:rPr>
          <w:rFonts w:ascii="宋体" w:hAnsi="宋体"/>
          <w:color w:val="auto"/>
          <w:sz w:val="21"/>
          <w:szCs w:val="21"/>
        </w:rPr>
      </w:pPr>
      <w:r>
        <w:rPr>
          <w:rFonts w:ascii="宋体" w:hAnsi="宋体"/>
          <w:color w:val="auto"/>
          <w:sz w:val="21"/>
          <w:szCs w:val="21"/>
        </w:rPr>
        <w:t>6</w:t>
      </w:r>
      <w:r>
        <w:rPr>
          <w:rFonts w:hint="eastAsia" w:ascii="宋体" w:hAnsi="宋体"/>
          <w:color w:val="auto"/>
          <w:sz w:val="21"/>
          <w:szCs w:val="21"/>
        </w:rPr>
        <w:t>.4  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0FDCFC8E">
      <w:pPr>
        <w:pStyle w:val="169"/>
        <w:spacing w:line="360" w:lineRule="auto"/>
        <w:ind w:firstLine="420" w:firstLineChars="200"/>
        <w:rPr>
          <w:rFonts w:ascii="宋体" w:hAnsi="宋体"/>
          <w:color w:val="auto"/>
          <w:sz w:val="21"/>
          <w:szCs w:val="21"/>
        </w:rPr>
      </w:pPr>
      <w:r>
        <w:rPr>
          <w:rFonts w:ascii="宋体" w:hAnsi="宋体"/>
          <w:color w:val="auto"/>
          <w:sz w:val="21"/>
          <w:szCs w:val="21"/>
        </w:rPr>
        <w:t>6</w:t>
      </w:r>
      <w:r>
        <w:rPr>
          <w:rFonts w:hint="eastAsia" w:ascii="宋体" w:hAnsi="宋体"/>
          <w:color w:val="auto"/>
          <w:sz w:val="21"/>
          <w:szCs w:val="21"/>
        </w:rPr>
        <w:t>.5  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2BD192AD">
      <w:pPr>
        <w:pStyle w:val="169"/>
        <w:spacing w:line="360" w:lineRule="auto"/>
        <w:ind w:firstLine="420" w:firstLineChars="200"/>
        <w:rPr>
          <w:rFonts w:ascii="宋体" w:hAnsi="宋体"/>
          <w:color w:val="auto"/>
          <w:sz w:val="21"/>
          <w:szCs w:val="21"/>
        </w:rPr>
      </w:pPr>
      <w:r>
        <w:rPr>
          <w:rFonts w:ascii="宋体" w:hAnsi="宋体"/>
          <w:color w:val="auto"/>
          <w:sz w:val="21"/>
          <w:szCs w:val="21"/>
        </w:rPr>
        <w:t>6</w:t>
      </w:r>
      <w:r>
        <w:rPr>
          <w:rFonts w:hint="eastAsia" w:ascii="宋体" w:hAnsi="宋体"/>
          <w:color w:val="auto"/>
          <w:sz w:val="21"/>
          <w:szCs w:val="21"/>
        </w:rPr>
        <w:t>.6  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21F4CE71">
      <w:pPr>
        <w:numPr>
          <w:ilvl w:val="0"/>
          <w:numId w:val="13"/>
        </w:numPr>
        <w:autoSpaceDE w:val="0"/>
        <w:autoSpaceDN w:val="0"/>
        <w:adjustRightInd w:val="0"/>
        <w:spacing w:after="120" w:afterLines="50" w:line="288" w:lineRule="auto"/>
        <w:jc w:val="left"/>
        <w:outlineLvl w:val="1"/>
        <w:rPr>
          <w:rFonts w:ascii="宋体" w:hAnsi="宋体" w:cs="Calibri"/>
          <w:b/>
          <w:kern w:val="0"/>
          <w:szCs w:val="21"/>
        </w:rPr>
      </w:pPr>
      <w:r>
        <w:rPr>
          <w:rFonts w:hint="eastAsia" w:ascii="宋体" w:hAnsi="宋体" w:cs="Calibri"/>
          <w:b/>
          <w:kern w:val="0"/>
          <w:szCs w:val="21"/>
        </w:rPr>
        <w:t>工程量清单（另册）</w:t>
      </w:r>
    </w:p>
    <w:p w14:paraId="47A0857D">
      <w:pPr>
        <w:pStyle w:val="84"/>
        <w:numPr>
          <w:ilvl w:val="0"/>
          <w:numId w:val="13"/>
        </w:numPr>
        <w:autoSpaceDE w:val="0"/>
        <w:autoSpaceDN w:val="0"/>
        <w:ind w:firstLine="0" w:firstLineChars="0"/>
        <w:rPr>
          <w:rFonts w:eastAsiaTheme="minorEastAsia"/>
          <w:bCs/>
        </w:rPr>
      </w:pPr>
      <w:r>
        <w:rPr>
          <w:rFonts w:hint="eastAsia" w:cs="宋体"/>
          <w:b/>
          <w:bCs/>
        </w:rPr>
        <w:t>图纸</w:t>
      </w:r>
      <w:r>
        <w:rPr>
          <w:rFonts w:hint="eastAsia" w:ascii="宋体" w:hAnsi="宋体" w:cs="Calibri"/>
          <w:b/>
          <w:kern w:val="0"/>
          <w:szCs w:val="21"/>
        </w:rPr>
        <w:t>（另册）</w:t>
      </w:r>
    </w:p>
    <w:p w14:paraId="742DEE57">
      <w:pPr>
        <w:autoSpaceDE w:val="0"/>
        <w:autoSpaceDN w:val="0"/>
        <w:adjustRightInd w:val="0"/>
        <w:spacing w:after="120" w:afterLines="50" w:line="288" w:lineRule="auto"/>
        <w:jc w:val="left"/>
        <w:outlineLvl w:val="1"/>
        <w:rPr>
          <w:rFonts w:ascii="宋体" w:hAnsi="宋体" w:cs="Calibri"/>
          <w:b/>
          <w:kern w:val="0"/>
          <w:szCs w:val="21"/>
        </w:rPr>
      </w:pPr>
    </w:p>
    <w:p w14:paraId="211D68F5">
      <w:pPr>
        <w:rPr>
          <w:rFonts w:eastAsiaTheme="minorEastAsia"/>
        </w:rPr>
      </w:pPr>
    </w:p>
    <w:p w14:paraId="00504178">
      <w:pPr>
        <w:spacing w:line="360" w:lineRule="auto"/>
        <w:jc w:val="center"/>
        <w:outlineLvl w:val="0"/>
        <w:rPr>
          <w:rFonts w:eastAsiaTheme="minorEastAsia"/>
          <w:b/>
          <w:sz w:val="36"/>
          <w:szCs w:val="36"/>
        </w:rPr>
      </w:pPr>
      <w:r>
        <w:rPr>
          <w:rFonts w:eastAsiaTheme="minorEastAsia"/>
          <w:b/>
          <w:sz w:val="36"/>
          <w:szCs w:val="36"/>
        </w:rPr>
        <w:br w:type="page"/>
      </w:r>
      <w:bookmarkStart w:id="693" w:name="_Toc97371946"/>
      <w:r>
        <w:rPr>
          <w:rFonts w:eastAsiaTheme="minorEastAsia"/>
          <w:b/>
          <w:sz w:val="36"/>
          <w:szCs w:val="36"/>
        </w:rPr>
        <w:t>第五章   合同草案条款</w:t>
      </w:r>
      <w:bookmarkEnd w:id="693"/>
    </w:p>
    <w:p w14:paraId="21EC507E">
      <w:pPr>
        <w:wordWrap w:val="0"/>
        <w:autoSpaceDE w:val="0"/>
        <w:autoSpaceDN w:val="0"/>
        <w:adjustRightInd w:val="0"/>
        <w:spacing w:line="800" w:lineRule="exact"/>
        <w:rPr>
          <w:rFonts w:ascii="宋体" w:hAnsi="宋体"/>
          <w:bCs/>
          <w:sz w:val="44"/>
          <w:szCs w:val="44"/>
        </w:rPr>
      </w:pPr>
      <w:bookmarkStart w:id="694" w:name="_Toc97371947"/>
    </w:p>
    <w:p w14:paraId="01D8B896">
      <w:pPr>
        <w:wordWrap w:val="0"/>
        <w:autoSpaceDE w:val="0"/>
        <w:autoSpaceDN w:val="0"/>
        <w:adjustRightInd w:val="0"/>
        <w:spacing w:line="800" w:lineRule="exact"/>
        <w:jc w:val="center"/>
        <w:rPr>
          <w:rFonts w:ascii="宋体" w:hAnsi="宋体"/>
          <w:bCs/>
          <w:sz w:val="44"/>
          <w:szCs w:val="44"/>
        </w:rPr>
      </w:pPr>
    </w:p>
    <w:p w14:paraId="722E06F0">
      <w:pPr>
        <w:wordWrap w:val="0"/>
        <w:autoSpaceDE w:val="0"/>
        <w:autoSpaceDN w:val="0"/>
        <w:adjustRightInd w:val="0"/>
        <w:spacing w:line="800" w:lineRule="exact"/>
        <w:jc w:val="center"/>
        <w:rPr>
          <w:rFonts w:ascii="宋体" w:hAnsi="宋体"/>
          <w:bCs/>
          <w:sz w:val="44"/>
          <w:szCs w:val="44"/>
        </w:rPr>
      </w:pPr>
      <w:r>
        <w:rPr>
          <w:rFonts w:hint="eastAsia" w:ascii="宋体" w:hAnsi="宋体"/>
          <w:bCs/>
          <w:sz w:val="44"/>
          <w:szCs w:val="44"/>
        </w:rPr>
        <w:t xml:space="preserve">基建科保开学项目装修工程采购项目-    </w:t>
      </w:r>
    </w:p>
    <w:p w14:paraId="6ACD2B16">
      <w:pPr>
        <w:wordWrap w:val="0"/>
        <w:autoSpaceDE w:val="0"/>
        <w:autoSpaceDN w:val="0"/>
        <w:adjustRightInd w:val="0"/>
        <w:spacing w:line="800" w:lineRule="exact"/>
        <w:jc w:val="center"/>
        <w:rPr>
          <w:rFonts w:ascii="宋体" w:hAnsi="宋体"/>
          <w:bCs/>
          <w:sz w:val="44"/>
          <w:szCs w:val="44"/>
        </w:rPr>
      </w:pPr>
      <w:r>
        <w:rPr>
          <w:rFonts w:hint="eastAsia" w:ascii="宋体" w:hAnsi="宋体"/>
          <w:bCs/>
          <w:sz w:val="44"/>
          <w:szCs w:val="44"/>
        </w:rPr>
        <w:t>施工合同</w:t>
      </w:r>
    </w:p>
    <w:p w14:paraId="5BFACC2C">
      <w:pPr>
        <w:wordWrap w:val="0"/>
        <w:spacing w:line="540" w:lineRule="exact"/>
        <w:rPr>
          <w:rFonts w:ascii="宋体" w:hAnsi="宋体"/>
          <w:sz w:val="32"/>
          <w:szCs w:val="32"/>
        </w:rPr>
      </w:pPr>
      <w:r>
        <w:rPr>
          <w:rFonts w:hint="eastAsia" w:ascii="宋体" w:hAnsi="宋体"/>
          <w:sz w:val="32"/>
          <w:szCs w:val="32"/>
        </w:rPr>
        <w:t xml:space="preserve">            </w:t>
      </w:r>
    </w:p>
    <w:p w14:paraId="3F77A474">
      <w:pPr>
        <w:wordWrap w:val="0"/>
        <w:spacing w:line="540" w:lineRule="exact"/>
        <w:rPr>
          <w:rFonts w:ascii="宋体" w:hAnsi="宋体"/>
          <w:sz w:val="32"/>
          <w:szCs w:val="32"/>
        </w:rPr>
      </w:pPr>
    </w:p>
    <w:p w14:paraId="6BECC244">
      <w:pPr>
        <w:wordWrap w:val="0"/>
        <w:spacing w:line="540" w:lineRule="exact"/>
        <w:rPr>
          <w:rFonts w:ascii="宋体" w:hAnsi="宋体"/>
          <w:sz w:val="32"/>
          <w:szCs w:val="32"/>
        </w:rPr>
      </w:pPr>
    </w:p>
    <w:p w14:paraId="74E59985">
      <w:pPr>
        <w:wordWrap w:val="0"/>
        <w:spacing w:line="540" w:lineRule="exact"/>
        <w:rPr>
          <w:rFonts w:ascii="宋体" w:hAnsi="宋体"/>
          <w:sz w:val="32"/>
          <w:szCs w:val="32"/>
        </w:rPr>
      </w:pPr>
    </w:p>
    <w:p w14:paraId="273F7609">
      <w:pPr>
        <w:wordWrap w:val="0"/>
        <w:spacing w:line="540" w:lineRule="exact"/>
        <w:rPr>
          <w:rFonts w:ascii="宋体" w:hAnsi="宋体"/>
          <w:sz w:val="32"/>
          <w:szCs w:val="32"/>
        </w:rPr>
      </w:pPr>
    </w:p>
    <w:p w14:paraId="489FEE57">
      <w:pPr>
        <w:wordWrap w:val="0"/>
        <w:spacing w:line="540" w:lineRule="exact"/>
        <w:rPr>
          <w:rFonts w:ascii="宋体" w:hAnsi="宋体"/>
          <w:sz w:val="32"/>
          <w:szCs w:val="32"/>
        </w:rPr>
      </w:pPr>
    </w:p>
    <w:p w14:paraId="3A876CDA">
      <w:pPr>
        <w:wordWrap w:val="0"/>
        <w:spacing w:line="540" w:lineRule="exact"/>
        <w:rPr>
          <w:rFonts w:ascii="宋体" w:hAnsi="宋体"/>
          <w:sz w:val="32"/>
          <w:szCs w:val="32"/>
        </w:rPr>
      </w:pPr>
    </w:p>
    <w:p w14:paraId="7867BA96">
      <w:pPr>
        <w:wordWrap w:val="0"/>
        <w:spacing w:line="540" w:lineRule="exact"/>
        <w:rPr>
          <w:rFonts w:ascii="宋体" w:hAnsi="宋体"/>
          <w:sz w:val="32"/>
          <w:szCs w:val="32"/>
        </w:rPr>
      </w:pPr>
    </w:p>
    <w:p w14:paraId="3E6E1310">
      <w:pPr>
        <w:wordWrap w:val="0"/>
        <w:spacing w:line="540" w:lineRule="exact"/>
        <w:rPr>
          <w:rFonts w:ascii="宋体" w:hAnsi="宋体"/>
          <w:sz w:val="32"/>
          <w:szCs w:val="32"/>
        </w:rPr>
      </w:pPr>
    </w:p>
    <w:p w14:paraId="1FDE2F58">
      <w:pPr>
        <w:wordWrap w:val="0"/>
        <w:autoSpaceDE w:val="0"/>
        <w:autoSpaceDN w:val="0"/>
        <w:adjustRightInd w:val="0"/>
        <w:jc w:val="left"/>
        <w:rPr>
          <w:rFonts w:ascii="宋体"/>
          <w:sz w:val="24"/>
        </w:rPr>
      </w:pPr>
    </w:p>
    <w:p w14:paraId="29CB1757">
      <w:pPr>
        <w:wordWrap w:val="0"/>
        <w:spacing w:line="540" w:lineRule="exact"/>
        <w:rPr>
          <w:rFonts w:ascii="宋体" w:hAnsi="宋体"/>
          <w:sz w:val="32"/>
          <w:szCs w:val="32"/>
        </w:rPr>
      </w:pPr>
    </w:p>
    <w:p w14:paraId="6F4B2C4F">
      <w:pPr>
        <w:wordWrap w:val="0"/>
        <w:spacing w:line="540" w:lineRule="exact"/>
        <w:ind w:firstLine="1680" w:firstLineChars="600"/>
        <w:rPr>
          <w:rFonts w:ascii="宋体" w:hAnsi="宋体"/>
          <w:sz w:val="28"/>
          <w:szCs w:val="28"/>
        </w:rPr>
      </w:pPr>
      <w:r>
        <w:rPr>
          <w:rFonts w:hint="eastAsia" w:ascii="宋体" w:hAnsi="宋体"/>
          <w:sz w:val="28"/>
          <w:szCs w:val="28"/>
        </w:rPr>
        <w:t>甲方：</w:t>
      </w:r>
      <w:r>
        <w:rPr>
          <w:rFonts w:hint="eastAsia" w:ascii="宋体" w:hAnsi="宋体"/>
          <w:sz w:val="28"/>
          <w:szCs w:val="28"/>
          <w:u w:val="single"/>
        </w:rPr>
        <w:t>北京市昌平区教育委员会</w:t>
      </w:r>
    </w:p>
    <w:p w14:paraId="31EFCC62">
      <w:pPr>
        <w:wordWrap w:val="0"/>
        <w:spacing w:line="540" w:lineRule="exact"/>
        <w:jc w:val="center"/>
        <w:rPr>
          <w:rFonts w:ascii="宋体" w:hAnsi="宋体"/>
          <w:sz w:val="48"/>
        </w:rPr>
      </w:pPr>
    </w:p>
    <w:p w14:paraId="5780A4D7">
      <w:pPr>
        <w:wordWrap w:val="0"/>
        <w:spacing w:line="540" w:lineRule="exact"/>
        <w:ind w:firstLine="1680" w:firstLineChars="600"/>
        <w:rPr>
          <w:rFonts w:ascii="宋体" w:hAnsi="宋体"/>
          <w:sz w:val="28"/>
          <w:szCs w:val="28"/>
          <w:u w:val="single"/>
        </w:rPr>
      </w:pPr>
      <w:r>
        <w:rPr>
          <w:rFonts w:hint="eastAsia" w:ascii="宋体" w:hAnsi="宋体"/>
          <w:sz w:val="28"/>
          <w:szCs w:val="28"/>
        </w:rPr>
        <w:t>乙方：</w:t>
      </w:r>
      <w:r>
        <w:rPr>
          <w:rFonts w:hint="eastAsia" w:ascii="宋体" w:hAnsi="宋体"/>
          <w:sz w:val="28"/>
          <w:szCs w:val="28"/>
          <w:u w:val="single"/>
        </w:rPr>
        <w:t xml:space="preserve">                        </w:t>
      </w:r>
    </w:p>
    <w:p w14:paraId="7D40B2C1">
      <w:pPr>
        <w:wordWrap w:val="0"/>
        <w:spacing w:line="540" w:lineRule="exact"/>
        <w:ind w:firstLine="1960" w:firstLineChars="700"/>
        <w:rPr>
          <w:rFonts w:ascii="宋体" w:hAnsi="宋体"/>
          <w:sz w:val="28"/>
          <w:szCs w:val="28"/>
        </w:rPr>
      </w:pPr>
    </w:p>
    <w:p w14:paraId="36169079">
      <w:pPr>
        <w:wordWrap w:val="0"/>
        <w:spacing w:line="540" w:lineRule="exact"/>
        <w:ind w:firstLine="3640" w:firstLineChars="1300"/>
        <w:rPr>
          <w:rFonts w:ascii="宋体" w:hAnsi="宋体"/>
          <w:sz w:val="28"/>
          <w:szCs w:val="28"/>
        </w:rPr>
      </w:pPr>
      <w:r>
        <w:rPr>
          <w:rFonts w:hint="eastAsia" w:ascii="宋体" w:hAnsi="宋体"/>
          <w:sz w:val="28"/>
          <w:szCs w:val="28"/>
        </w:rPr>
        <w:t>二零二六年</w:t>
      </w:r>
    </w:p>
    <w:p w14:paraId="1AB13D43">
      <w:pPr>
        <w:wordWrap w:val="0"/>
        <w:spacing w:line="360" w:lineRule="auto"/>
        <w:rPr>
          <w:rFonts w:ascii="方正小标宋简体" w:hAnsi="方正小标宋简体" w:eastAsia="方正小标宋简体" w:cs="方正小标宋简体"/>
          <w:kern w:val="0"/>
          <w:sz w:val="40"/>
          <w:szCs w:val="40"/>
        </w:rPr>
      </w:pPr>
    </w:p>
    <w:p w14:paraId="1C87FBDF">
      <w:pPr>
        <w:wordWrap w:val="0"/>
        <w:spacing w:line="360" w:lineRule="auto"/>
        <w:rPr>
          <w:rFonts w:ascii="方正小标宋简体" w:hAnsi="方正小标宋简体" w:eastAsia="方正小标宋简体" w:cs="方正小标宋简体"/>
          <w:kern w:val="0"/>
          <w:sz w:val="40"/>
          <w:szCs w:val="40"/>
        </w:rPr>
      </w:pPr>
    </w:p>
    <w:p w14:paraId="27D66D42">
      <w:pPr>
        <w:wordWrap w:val="0"/>
        <w:autoSpaceDE w:val="0"/>
        <w:autoSpaceDN w:val="0"/>
        <w:adjustRightInd w:val="0"/>
        <w:snapToGrid w:val="0"/>
        <w:spacing w:line="360" w:lineRule="auto"/>
        <w:jc w:val="center"/>
        <w:textAlignment w:val="baseline"/>
        <w:outlineLvl w:val="0"/>
        <w:rPr>
          <w:rFonts w:ascii="宋体" w:hAnsi="宋体" w:cs="宋体"/>
          <w:snapToGrid w:val="0"/>
          <w:spacing w:val="13"/>
          <w:kern w:val="0"/>
          <w:sz w:val="49"/>
          <w:szCs w:val="49"/>
        </w:rPr>
        <w:sectPr>
          <w:pgSz w:w="11900" w:h="16840"/>
          <w:pgMar w:top="1431" w:right="920" w:bottom="0" w:left="1406" w:header="0" w:footer="0" w:gutter="0"/>
          <w:cols w:space="720" w:num="1"/>
        </w:sectPr>
      </w:pPr>
    </w:p>
    <w:p w14:paraId="682A4F3F">
      <w:pPr>
        <w:wordWrap w:val="0"/>
        <w:jc w:val="center"/>
        <w:rPr>
          <w:b/>
          <w:sz w:val="32"/>
          <w:szCs w:val="32"/>
        </w:rPr>
      </w:pPr>
      <w:r>
        <w:rPr>
          <w:rFonts w:hint="eastAsia"/>
          <w:b/>
          <w:sz w:val="32"/>
          <w:szCs w:val="32"/>
        </w:rPr>
        <w:t>合同条款通用部分</w:t>
      </w:r>
    </w:p>
    <w:p w14:paraId="3A2F0EA9">
      <w:pPr>
        <w:tabs>
          <w:tab w:val="left" w:pos="576"/>
        </w:tabs>
        <w:wordWrap w:val="0"/>
        <w:spacing w:before="120" w:beforeLines="50" w:after="120" w:afterLines="50" w:line="360" w:lineRule="auto"/>
        <w:outlineLvl w:val="1"/>
        <w:rPr>
          <w:rFonts w:ascii="宋体" w:cs="宋体"/>
          <w:sz w:val="28"/>
          <w:szCs w:val="20"/>
        </w:rPr>
      </w:pPr>
      <w:bookmarkStart w:id="695" w:name="_Toc490222487"/>
      <w:bookmarkStart w:id="696" w:name="_Toc483668071"/>
      <w:bookmarkStart w:id="697" w:name="_Toc342296262"/>
      <w:bookmarkStart w:id="698" w:name="_Toc480486894"/>
      <w:bookmarkStart w:id="699" w:name="_Toc486580042"/>
      <w:bookmarkStart w:id="700" w:name="_Toc480486724"/>
      <w:bookmarkStart w:id="701" w:name="_Toc489279853"/>
      <w:bookmarkStart w:id="702" w:name="_Toc338944704"/>
      <w:bookmarkStart w:id="703" w:name="_Toc207289571"/>
      <w:r>
        <w:rPr>
          <w:rFonts w:ascii="宋体" w:cs="宋体"/>
          <w:sz w:val="28"/>
          <w:szCs w:val="20"/>
        </w:rPr>
        <w:t>1.</w:t>
      </w:r>
      <w:r>
        <w:rPr>
          <w:rFonts w:hint="eastAsia" w:ascii="宋体" w:cs="宋体"/>
          <w:sz w:val="28"/>
          <w:szCs w:val="20"/>
        </w:rPr>
        <w:t>一般约定</w:t>
      </w:r>
      <w:bookmarkEnd w:id="695"/>
      <w:bookmarkEnd w:id="696"/>
      <w:bookmarkEnd w:id="697"/>
      <w:bookmarkEnd w:id="698"/>
      <w:bookmarkEnd w:id="699"/>
      <w:bookmarkEnd w:id="700"/>
      <w:bookmarkEnd w:id="701"/>
      <w:bookmarkEnd w:id="702"/>
      <w:bookmarkEnd w:id="703"/>
    </w:p>
    <w:p w14:paraId="3A523D04">
      <w:pPr>
        <w:wordWrap w:val="0"/>
        <w:spacing w:before="120" w:beforeLines="50" w:after="120" w:afterLines="50" w:line="360" w:lineRule="auto"/>
        <w:outlineLvl w:val="2"/>
        <w:rPr>
          <w:rFonts w:ascii="宋体"/>
          <w:kern w:val="0"/>
          <w:sz w:val="24"/>
          <w:szCs w:val="20"/>
        </w:rPr>
      </w:pPr>
      <w:bookmarkStart w:id="704" w:name="_Toc342296263"/>
      <w:bookmarkStart w:id="705" w:name="_Toc480486725"/>
      <w:bookmarkStart w:id="706" w:name="_Toc480486895"/>
      <w:bookmarkStart w:id="707" w:name="_Toc489279854"/>
      <w:bookmarkStart w:id="708" w:name="_Toc483668072"/>
      <w:bookmarkStart w:id="709" w:name="_Toc207289572"/>
      <w:bookmarkStart w:id="710" w:name="_Toc338944705"/>
      <w:bookmarkStart w:id="711" w:name="_Toc490222488"/>
      <w:bookmarkStart w:id="712" w:name="_Toc486580043"/>
      <w:bookmarkStart w:id="713" w:name="OLE_LINK39"/>
      <w:r>
        <w:rPr>
          <w:rFonts w:ascii="宋体"/>
          <w:kern w:val="0"/>
          <w:sz w:val="24"/>
          <w:szCs w:val="20"/>
        </w:rPr>
        <w:t xml:space="preserve">1.1  </w:t>
      </w:r>
      <w:r>
        <w:rPr>
          <w:rFonts w:hint="eastAsia" w:ascii="宋体"/>
          <w:kern w:val="0"/>
          <w:sz w:val="24"/>
          <w:szCs w:val="20"/>
        </w:rPr>
        <w:t>词语定义</w:t>
      </w:r>
      <w:bookmarkEnd w:id="704"/>
      <w:bookmarkEnd w:id="705"/>
      <w:bookmarkEnd w:id="706"/>
      <w:bookmarkEnd w:id="707"/>
      <w:bookmarkEnd w:id="708"/>
      <w:bookmarkEnd w:id="709"/>
      <w:bookmarkEnd w:id="710"/>
      <w:bookmarkEnd w:id="711"/>
      <w:bookmarkEnd w:id="712"/>
    </w:p>
    <w:bookmarkEnd w:id="713"/>
    <w:p w14:paraId="7FFB9133">
      <w:pPr>
        <w:wordWrap w:val="0"/>
        <w:spacing w:line="360" w:lineRule="auto"/>
        <w:ind w:firstLine="480" w:firstLineChars="200"/>
        <w:rPr>
          <w:rFonts w:ascii="宋体"/>
          <w:sz w:val="24"/>
        </w:rPr>
      </w:pPr>
      <w:r>
        <w:rPr>
          <w:rFonts w:hint="eastAsia" w:ascii="宋体" w:hAnsi="宋体"/>
          <w:sz w:val="24"/>
        </w:rPr>
        <w:t>合同条款通用部分、合同条款专用部分中的下列词语应具有本款所赋予的含义。</w:t>
      </w:r>
    </w:p>
    <w:p w14:paraId="70FE4E0E">
      <w:pPr>
        <w:wordWrap w:val="0"/>
        <w:spacing w:line="360" w:lineRule="auto"/>
        <w:ind w:firstLine="480" w:firstLineChars="200"/>
        <w:rPr>
          <w:rFonts w:ascii="宋体"/>
          <w:sz w:val="24"/>
        </w:rPr>
      </w:pPr>
      <w:bookmarkStart w:id="714" w:name="_Toc480486896"/>
      <w:r>
        <w:rPr>
          <w:rFonts w:ascii="宋体" w:hAnsi="宋体"/>
          <w:sz w:val="24"/>
        </w:rPr>
        <w:t xml:space="preserve">1.1.1  </w:t>
      </w:r>
      <w:r>
        <w:rPr>
          <w:rFonts w:hint="eastAsia" w:ascii="宋体" w:hAnsi="宋体"/>
          <w:sz w:val="24"/>
        </w:rPr>
        <w:t>合同</w:t>
      </w:r>
      <w:bookmarkEnd w:id="714"/>
    </w:p>
    <w:p w14:paraId="67056B17">
      <w:pPr>
        <w:wordWrap w:val="0"/>
        <w:spacing w:line="360" w:lineRule="auto"/>
        <w:ind w:firstLine="720" w:firstLineChars="300"/>
        <w:rPr>
          <w:rFonts w:ascii="宋体"/>
          <w:sz w:val="24"/>
        </w:rPr>
      </w:pPr>
      <w:r>
        <w:rPr>
          <w:rFonts w:ascii="宋体" w:hAnsi="宋体"/>
          <w:sz w:val="24"/>
        </w:rPr>
        <w:t xml:space="preserve">1.1.1.1  </w:t>
      </w:r>
      <w:r>
        <w:rPr>
          <w:rFonts w:hint="eastAsia" w:ascii="宋体" w:hAnsi="宋体"/>
          <w:sz w:val="24"/>
        </w:rPr>
        <w:t>合同文件（或称合同）：指合同协议书、中标通知书、投标函及投标函附录、合同条款专用部分、合同条款通用部分、技术标准和要求、图纸、</w:t>
      </w:r>
      <w:bookmarkStart w:id="715" w:name="_Hlk200374874"/>
      <w:r>
        <w:rPr>
          <w:rFonts w:hint="eastAsia" w:ascii="宋体" w:hAnsi="宋体"/>
          <w:sz w:val="24"/>
        </w:rPr>
        <w:t>合同清单</w:t>
      </w:r>
      <w:bookmarkEnd w:id="715"/>
      <w:r>
        <w:rPr>
          <w:rFonts w:hint="eastAsia" w:ascii="宋体" w:hAnsi="宋体"/>
          <w:sz w:val="24"/>
        </w:rPr>
        <w:t>，以及其他合同文件。</w:t>
      </w:r>
    </w:p>
    <w:p w14:paraId="55EA42DF">
      <w:pPr>
        <w:wordWrap w:val="0"/>
        <w:spacing w:line="360" w:lineRule="auto"/>
        <w:ind w:firstLine="720" w:firstLineChars="300"/>
        <w:rPr>
          <w:rFonts w:ascii="宋体"/>
          <w:sz w:val="24"/>
        </w:rPr>
      </w:pPr>
      <w:r>
        <w:rPr>
          <w:rFonts w:ascii="宋体" w:hAnsi="宋体"/>
          <w:sz w:val="24"/>
        </w:rPr>
        <w:t xml:space="preserve">1.1.1.2  </w:t>
      </w:r>
      <w:r>
        <w:rPr>
          <w:rFonts w:hint="eastAsia" w:ascii="宋体" w:hAnsi="宋体"/>
          <w:sz w:val="24"/>
        </w:rPr>
        <w:t>合同协议书：指第</w:t>
      </w:r>
      <w:r>
        <w:rPr>
          <w:rFonts w:ascii="宋体" w:hAnsi="宋体"/>
          <w:sz w:val="24"/>
        </w:rPr>
        <w:t>1.5</w:t>
      </w:r>
      <w:r>
        <w:rPr>
          <w:rFonts w:hint="eastAsia" w:ascii="宋体" w:hAnsi="宋体"/>
          <w:sz w:val="24"/>
        </w:rPr>
        <w:t>款所指的合同协议书。</w:t>
      </w:r>
    </w:p>
    <w:p w14:paraId="171445F9">
      <w:pPr>
        <w:wordWrap w:val="0"/>
        <w:spacing w:line="360" w:lineRule="auto"/>
        <w:ind w:firstLine="720" w:firstLineChars="300"/>
        <w:rPr>
          <w:rFonts w:ascii="宋体"/>
          <w:sz w:val="24"/>
        </w:rPr>
      </w:pPr>
      <w:r>
        <w:rPr>
          <w:rFonts w:ascii="宋体" w:hAnsi="宋体"/>
          <w:sz w:val="24"/>
        </w:rPr>
        <w:t xml:space="preserve">1.1.1.3  </w:t>
      </w:r>
      <w:r>
        <w:rPr>
          <w:rFonts w:hint="eastAsia" w:ascii="宋体" w:hAnsi="宋体"/>
          <w:sz w:val="24"/>
        </w:rPr>
        <w:t>中标通知书：指发包人通知承包人中标的函件。</w:t>
      </w:r>
    </w:p>
    <w:p w14:paraId="7FCD1694">
      <w:pPr>
        <w:wordWrap w:val="0"/>
        <w:spacing w:line="360" w:lineRule="auto"/>
        <w:ind w:firstLine="720" w:firstLineChars="300"/>
        <w:rPr>
          <w:rFonts w:ascii="宋体"/>
          <w:sz w:val="24"/>
        </w:rPr>
      </w:pPr>
      <w:r>
        <w:rPr>
          <w:rFonts w:ascii="宋体" w:hAnsi="宋体"/>
          <w:sz w:val="24"/>
        </w:rPr>
        <w:t xml:space="preserve">1.1.1.4  </w:t>
      </w:r>
      <w:r>
        <w:rPr>
          <w:rFonts w:hint="eastAsia" w:ascii="宋体" w:hAnsi="宋体"/>
          <w:sz w:val="24"/>
        </w:rPr>
        <w:t>投标函：指构成合同文件组成部分的由承包人填写并签署的投标函。</w:t>
      </w:r>
    </w:p>
    <w:p w14:paraId="79E823A6">
      <w:pPr>
        <w:wordWrap w:val="0"/>
        <w:spacing w:line="360" w:lineRule="auto"/>
        <w:ind w:firstLine="720" w:firstLineChars="300"/>
        <w:rPr>
          <w:rFonts w:ascii="宋体"/>
          <w:sz w:val="24"/>
        </w:rPr>
      </w:pPr>
      <w:r>
        <w:rPr>
          <w:rFonts w:ascii="宋体" w:hAnsi="宋体"/>
          <w:sz w:val="24"/>
        </w:rPr>
        <w:t xml:space="preserve">1.1.1.5  </w:t>
      </w:r>
      <w:r>
        <w:rPr>
          <w:rFonts w:hint="eastAsia" w:ascii="宋体" w:hAnsi="宋体"/>
          <w:sz w:val="24"/>
        </w:rPr>
        <w:t>投标函附录：指附在投标函后构成合同文件的投标函附录。</w:t>
      </w:r>
    </w:p>
    <w:p w14:paraId="59AC891F">
      <w:pPr>
        <w:wordWrap w:val="0"/>
        <w:spacing w:line="360" w:lineRule="auto"/>
        <w:ind w:firstLine="720" w:firstLineChars="300"/>
        <w:rPr>
          <w:rFonts w:ascii="宋体"/>
          <w:sz w:val="24"/>
        </w:rPr>
      </w:pPr>
      <w:r>
        <w:rPr>
          <w:rFonts w:ascii="宋体" w:hAnsi="宋体"/>
          <w:sz w:val="24"/>
        </w:rPr>
        <w:t xml:space="preserve">1.1.1.6  </w:t>
      </w:r>
      <w:r>
        <w:rPr>
          <w:rFonts w:hint="eastAsia" w:ascii="宋体" w:hAnsi="宋体"/>
          <w:sz w:val="24"/>
        </w:rPr>
        <w:t>合同条款：指构成合同文件组成部分的合同条款通用部分和（或）合同条款专用部分。</w:t>
      </w:r>
    </w:p>
    <w:p w14:paraId="4B1540CE">
      <w:pPr>
        <w:wordWrap w:val="0"/>
        <w:spacing w:line="360" w:lineRule="auto"/>
        <w:ind w:firstLine="720" w:firstLineChars="300"/>
        <w:rPr>
          <w:rFonts w:ascii="宋体"/>
          <w:sz w:val="24"/>
        </w:rPr>
      </w:pPr>
      <w:r>
        <w:rPr>
          <w:rFonts w:ascii="宋体" w:hAnsi="宋体"/>
          <w:sz w:val="24"/>
        </w:rPr>
        <w:t xml:space="preserve">1.1.1.7  </w:t>
      </w:r>
      <w:r>
        <w:rPr>
          <w:rFonts w:hint="eastAsia" w:ascii="宋体" w:hAnsi="宋体"/>
          <w:sz w:val="24"/>
        </w:rPr>
        <w:t>技术标准和要求：指构成合同文件组成部分的名为技术标准和要求的文件，包括合同双方当事人约定对其所作的修改或补充。</w:t>
      </w:r>
    </w:p>
    <w:p w14:paraId="0963F0D0">
      <w:pPr>
        <w:wordWrap w:val="0"/>
        <w:spacing w:line="360" w:lineRule="auto"/>
        <w:ind w:firstLine="720" w:firstLineChars="300"/>
        <w:rPr>
          <w:rFonts w:ascii="宋体" w:hAnsi="宋体"/>
          <w:sz w:val="24"/>
        </w:rPr>
      </w:pPr>
      <w:r>
        <w:rPr>
          <w:rFonts w:ascii="宋体" w:hAnsi="宋体"/>
          <w:sz w:val="24"/>
        </w:rPr>
        <w:t xml:space="preserve">1.1.1.8  </w:t>
      </w:r>
      <w:r>
        <w:rPr>
          <w:rFonts w:hint="eastAsia" w:ascii="宋体" w:hAnsi="宋体"/>
          <w:sz w:val="24"/>
        </w:rPr>
        <w:t>图纸：指包含在合同中的工程图纸，以及由发包人按合同约定提供的任何补充和修改的图纸，包括配套的说明。</w:t>
      </w:r>
    </w:p>
    <w:p w14:paraId="5A1A0419">
      <w:pPr>
        <w:wordWrap w:val="0"/>
        <w:spacing w:line="360" w:lineRule="auto"/>
        <w:ind w:firstLine="720" w:firstLineChars="300"/>
        <w:rPr>
          <w:rFonts w:ascii="宋体"/>
          <w:sz w:val="24"/>
        </w:rPr>
      </w:pPr>
      <w:bookmarkStart w:id="716" w:name="_Hlk200374925"/>
      <w:bookmarkStart w:id="717" w:name="_Hlk199425808"/>
      <w:r>
        <w:rPr>
          <w:rFonts w:hint="eastAsia" w:ascii="宋体" w:hAnsi="宋体"/>
          <w:sz w:val="24"/>
        </w:rPr>
        <w:t>1.1.1.9  合同清单：指构成合同文件组成部分的由承包人在投标时所填报并获得发包人接纳的已标明投标总价、合价及其综合单价，以及投标报价澄清或说明修正价格的已标价工程量清单，用以说明承包人所填报合同总价的详细构成及综合单价分析，包括其说明和表格</w:t>
      </w:r>
      <w:bookmarkEnd w:id="716"/>
      <w:r>
        <w:rPr>
          <w:rFonts w:hint="eastAsia" w:ascii="宋体" w:hAnsi="宋体"/>
          <w:sz w:val="24"/>
        </w:rPr>
        <w:t>。</w:t>
      </w:r>
    </w:p>
    <w:bookmarkEnd w:id="717"/>
    <w:p w14:paraId="331C1730">
      <w:pPr>
        <w:wordWrap w:val="0"/>
        <w:spacing w:line="360" w:lineRule="auto"/>
        <w:ind w:firstLine="720" w:firstLineChars="300"/>
        <w:rPr>
          <w:rFonts w:ascii="宋体"/>
          <w:sz w:val="24"/>
        </w:rPr>
      </w:pPr>
      <w:r>
        <w:rPr>
          <w:rFonts w:ascii="宋体" w:hAnsi="宋体"/>
          <w:sz w:val="24"/>
        </w:rPr>
        <w:t>1.1.1.1</w:t>
      </w:r>
      <w:r>
        <w:rPr>
          <w:rFonts w:hint="eastAsia" w:ascii="宋体" w:hAnsi="宋体"/>
          <w:sz w:val="24"/>
        </w:rPr>
        <w:t>0</w:t>
      </w:r>
      <w:r>
        <w:rPr>
          <w:rFonts w:ascii="宋体" w:hAnsi="宋体"/>
          <w:sz w:val="24"/>
        </w:rPr>
        <w:t xml:space="preserve">  </w:t>
      </w:r>
      <w:r>
        <w:rPr>
          <w:rFonts w:hint="eastAsia" w:ascii="宋体" w:hAnsi="宋体"/>
          <w:sz w:val="24"/>
        </w:rPr>
        <w:t>其他合同文件：指经合同双方当事人确认构成合同文件的其他文件。</w:t>
      </w:r>
    </w:p>
    <w:p w14:paraId="57B259B0">
      <w:pPr>
        <w:wordWrap w:val="0"/>
        <w:spacing w:line="360" w:lineRule="auto"/>
        <w:ind w:firstLine="480" w:firstLineChars="200"/>
        <w:rPr>
          <w:rFonts w:ascii="宋体"/>
          <w:sz w:val="24"/>
        </w:rPr>
      </w:pPr>
      <w:bookmarkStart w:id="718" w:name="_Toc480486897"/>
      <w:r>
        <w:rPr>
          <w:rFonts w:ascii="宋体" w:hAnsi="宋体"/>
          <w:sz w:val="24"/>
        </w:rPr>
        <w:t xml:space="preserve">1.1.2  </w:t>
      </w:r>
      <w:r>
        <w:rPr>
          <w:rFonts w:hint="eastAsia" w:ascii="宋体" w:hAnsi="宋体"/>
          <w:sz w:val="24"/>
        </w:rPr>
        <w:t>合同当事人和人员</w:t>
      </w:r>
      <w:bookmarkEnd w:id="718"/>
    </w:p>
    <w:p w14:paraId="70279930">
      <w:pPr>
        <w:wordWrap w:val="0"/>
        <w:spacing w:line="360" w:lineRule="auto"/>
        <w:ind w:firstLine="720" w:firstLineChars="300"/>
        <w:rPr>
          <w:rFonts w:ascii="宋体"/>
          <w:sz w:val="24"/>
        </w:rPr>
      </w:pPr>
      <w:r>
        <w:rPr>
          <w:rFonts w:ascii="宋体" w:hAnsi="宋体"/>
          <w:sz w:val="24"/>
        </w:rPr>
        <w:t xml:space="preserve">1.1.2.1  </w:t>
      </w:r>
      <w:r>
        <w:rPr>
          <w:rFonts w:hint="eastAsia" w:ascii="宋体" w:hAnsi="宋体"/>
          <w:sz w:val="24"/>
        </w:rPr>
        <w:t>合同当事人：指发包人和（或）承包人。</w:t>
      </w:r>
    </w:p>
    <w:p w14:paraId="3A2CC7FD">
      <w:pPr>
        <w:wordWrap w:val="0"/>
        <w:spacing w:line="360" w:lineRule="auto"/>
        <w:ind w:firstLine="720" w:firstLineChars="300"/>
        <w:rPr>
          <w:rFonts w:ascii="宋体"/>
          <w:sz w:val="24"/>
        </w:rPr>
      </w:pPr>
      <w:r>
        <w:rPr>
          <w:rFonts w:ascii="宋体" w:hAnsi="宋体"/>
          <w:sz w:val="24"/>
        </w:rPr>
        <w:t xml:space="preserve">1.1.2.2  </w:t>
      </w:r>
      <w:r>
        <w:rPr>
          <w:rFonts w:hint="eastAsia" w:ascii="宋体" w:hAnsi="宋体"/>
          <w:sz w:val="24"/>
        </w:rPr>
        <w:t>发包人：指合同协议书中约定，具有工程发包主体资格和承诺按照合同约定的条件、期限和方式向承包人支付工程价款的当事人，以及取得该当事人资格的合法继承人。发包人名称</w:t>
      </w:r>
      <w:r>
        <w:rPr>
          <w:rFonts w:hint="eastAsia" w:ascii="黑体" w:hAnsi="黑体" w:eastAsia="黑体"/>
          <w:sz w:val="24"/>
        </w:rPr>
        <w:t>见合同条款专用部分。</w:t>
      </w:r>
    </w:p>
    <w:p w14:paraId="630110FF">
      <w:pPr>
        <w:wordWrap w:val="0"/>
        <w:spacing w:line="360" w:lineRule="auto"/>
        <w:ind w:firstLine="720" w:firstLineChars="300"/>
        <w:rPr>
          <w:rFonts w:ascii="宋体"/>
          <w:sz w:val="24"/>
        </w:rPr>
      </w:pPr>
      <w:r>
        <w:rPr>
          <w:rFonts w:ascii="宋体" w:hAnsi="宋体"/>
          <w:sz w:val="24"/>
        </w:rPr>
        <w:t xml:space="preserve">1.1.2.3  </w:t>
      </w:r>
      <w:r>
        <w:rPr>
          <w:rFonts w:hint="eastAsia" w:ascii="宋体" w:hAnsi="宋体"/>
          <w:sz w:val="24"/>
        </w:rPr>
        <w:t>承包人：指合同协议书中约定，具有合同工程承包主体资格，并承诺按照合同约定进行施工、竣工、交付并承担质量缺陷保修责任的当事人，以及取得该当事人资格的合法继承人。承包人名称</w:t>
      </w:r>
      <w:r>
        <w:rPr>
          <w:rFonts w:hint="eastAsia" w:ascii="黑体" w:hAnsi="黑体" w:eastAsia="黑体"/>
          <w:sz w:val="24"/>
        </w:rPr>
        <w:t>见合同条款专用部分。</w:t>
      </w:r>
    </w:p>
    <w:p w14:paraId="3AF5E98B">
      <w:pPr>
        <w:wordWrap w:val="0"/>
        <w:spacing w:line="360" w:lineRule="auto"/>
        <w:ind w:firstLine="720" w:firstLineChars="300"/>
        <w:rPr>
          <w:rFonts w:ascii="宋体"/>
          <w:sz w:val="24"/>
        </w:rPr>
      </w:pPr>
      <w:r>
        <w:rPr>
          <w:rFonts w:ascii="宋体" w:hAnsi="宋体"/>
          <w:sz w:val="24"/>
        </w:rPr>
        <w:t xml:space="preserve">1.1.2.4  </w:t>
      </w:r>
      <w:r>
        <w:rPr>
          <w:rFonts w:hint="eastAsia" w:ascii="宋体" w:hAnsi="宋体"/>
          <w:sz w:val="24"/>
        </w:rPr>
        <w:t>承包人项目经理：指承包人派驻施工场地的全权负责人。</w:t>
      </w:r>
    </w:p>
    <w:p w14:paraId="070D4A59">
      <w:pPr>
        <w:wordWrap w:val="0"/>
        <w:spacing w:line="360" w:lineRule="auto"/>
        <w:ind w:firstLine="720" w:firstLineChars="300"/>
        <w:rPr>
          <w:rFonts w:ascii="宋体"/>
          <w:sz w:val="24"/>
        </w:rPr>
      </w:pPr>
      <w:r>
        <w:rPr>
          <w:rFonts w:ascii="宋体" w:hAnsi="宋体"/>
          <w:sz w:val="24"/>
        </w:rPr>
        <w:t xml:space="preserve">1.1.2.5  </w:t>
      </w:r>
      <w:r>
        <w:rPr>
          <w:rFonts w:hint="eastAsia" w:ascii="宋体" w:hAnsi="宋体"/>
          <w:sz w:val="24"/>
        </w:rPr>
        <w:t>分包人：指从承包人处分包合同中某一部分工程，并与其签订分包合同的分包人。</w:t>
      </w:r>
    </w:p>
    <w:p w14:paraId="23E9EB6F">
      <w:pPr>
        <w:wordWrap w:val="0"/>
        <w:spacing w:line="360" w:lineRule="auto"/>
        <w:ind w:firstLine="720" w:firstLineChars="300"/>
        <w:rPr>
          <w:rFonts w:ascii="宋体"/>
          <w:sz w:val="24"/>
        </w:rPr>
      </w:pPr>
      <w:r>
        <w:rPr>
          <w:rFonts w:ascii="宋体" w:hAnsi="宋体"/>
          <w:sz w:val="24"/>
        </w:rPr>
        <w:t xml:space="preserve">1.1.2.6  </w:t>
      </w:r>
      <w:r>
        <w:rPr>
          <w:rFonts w:hint="eastAsia" w:ascii="宋体" w:hAnsi="宋体"/>
          <w:sz w:val="24"/>
        </w:rPr>
        <w:t>监理人：指发包人委托的对合同履行实施管理的法人或其他组织。监理人名称</w:t>
      </w:r>
      <w:r>
        <w:rPr>
          <w:rFonts w:hint="eastAsia" w:ascii="黑体" w:hAnsi="黑体" w:eastAsia="黑体"/>
          <w:sz w:val="24"/>
        </w:rPr>
        <w:t>见合同条款专用部分。</w:t>
      </w:r>
    </w:p>
    <w:p w14:paraId="5FF9D684">
      <w:pPr>
        <w:wordWrap w:val="0"/>
        <w:spacing w:line="360" w:lineRule="auto"/>
        <w:ind w:firstLine="720" w:firstLineChars="300"/>
        <w:rPr>
          <w:rFonts w:ascii="宋体"/>
          <w:sz w:val="24"/>
        </w:rPr>
      </w:pPr>
      <w:r>
        <w:rPr>
          <w:rFonts w:ascii="宋体" w:hAnsi="宋体"/>
          <w:sz w:val="24"/>
        </w:rPr>
        <w:t xml:space="preserve">1.1.2.7  </w:t>
      </w:r>
      <w:r>
        <w:rPr>
          <w:rFonts w:hint="eastAsia" w:ascii="宋体" w:hAnsi="宋体"/>
          <w:sz w:val="24"/>
        </w:rPr>
        <w:t>总监理工程师（总监）：指由监理人委派常驻施工场地对合同履行实施管理的全权负责人。</w:t>
      </w:r>
    </w:p>
    <w:p w14:paraId="0EA773F4">
      <w:pPr>
        <w:wordWrap w:val="0"/>
        <w:spacing w:line="360" w:lineRule="auto"/>
        <w:ind w:firstLine="720" w:firstLineChars="300"/>
        <w:rPr>
          <w:rFonts w:ascii="宋体"/>
          <w:sz w:val="24"/>
        </w:rPr>
      </w:pPr>
      <w:r>
        <w:rPr>
          <w:rFonts w:ascii="宋体" w:hAnsi="宋体"/>
          <w:sz w:val="24"/>
        </w:rPr>
        <w:t xml:space="preserve">1.1.2.8  </w:t>
      </w:r>
      <w:r>
        <w:rPr>
          <w:rFonts w:hint="eastAsia" w:ascii="宋体" w:hAnsi="宋体"/>
          <w:sz w:val="24"/>
        </w:rPr>
        <w:t>发包人代表：指由发包人指定的派驻施工场地（现场）的全权代表。发包人代表相关信息</w:t>
      </w:r>
      <w:r>
        <w:rPr>
          <w:rFonts w:hint="eastAsia" w:ascii="黑体" w:hAnsi="黑体" w:eastAsia="黑体"/>
          <w:sz w:val="24"/>
        </w:rPr>
        <w:t>见合同条款专用部分。</w:t>
      </w:r>
    </w:p>
    <w:p w14:paraId="4917FDA1">
      <w:pPr>
        <w:wordWrap w:val="0"/>
        <w:spacing w:line="360" w:lineRule="auto"/>
        <w:ind w:firstLine="720" w:firstLineChars="300"/>
        <w:rPr>
          <w:rFonts w:ascii="宋体"/>
          <w:sz w:val="24"/>
        </w:rPr>
      </w:pPr>
      <w:r>
        <w:rPr>
          <w:rFonts w:ascii="宋体" w:hAnsi="宋体"/>
          <w:sz w:val="24"/>
        </w:rPr>
        <w:t xml:space="preserve">1.1.2.9  </w:t>
      </w:r>
      <w:r>
        <w:rPr>
          <w:rFonts w:hint="eastAsia" w:ascii="宋体" w:hAnsi="宋体"/>
          <w:sz w:val="24"/>
        </w:rPr>
        <w:t>专业分包人：指根据合同条款第</w:t>
      </w:r>
      <w:r>
        <w:rPr>
          <w:rFonts w:ascii="宋体" w:hAnsi="宋体"/>
          <w:sz w:val="24"/>
        </w:rPr>
        <w:t>15.8.1</w:t>
      </w:r>
      <w:r>
        <w:rPr>
          <w:rFonts w:hint="eastAsia" w:ascii="宋体" w:hAnsi="宋体"/>
          <w:sz w:val="24"/>
        </w:rPr>
        <w:t>项的约定，由发包人和承包人以招标方式选择的分包人。</w:t>
      </w:r>
    </w:p>
    <w:p w14:paraId="3869E6DA">
      <w:pPr>
        <w:wordWrap w:val="0"/>
        <w:spacing w:line="360" w:lineRule="auto"/>
        <w:ind w:firstLine="720" w:firstLineChars="300"/>
        <w:rPr>
          <w:rFonts w:ascii="宋体"/>
          <w:sz w:val="24"/>
        </w:rPr>
      </w:pPr>
      <w:r>
        <w:rPr>
          <w:rFonts w:ascii="宋体" w:hAnsi="宋体"/>
          <w:sz w:val="24"/>
        </w:rPr>
        <w:t xml:space="preserve">1.1.2.10  </w:t>
      </w:r>
      <w:r>
        <w:rPr>
          <w:rFonts w:hint="eastAsia" w:ascii="宋体" w:hAnsi="宋体"/>
          <w:sz w:val="24"/>
        </w:rPr>
        <w:t>专项供应商：指根据合同条款第</w:t>
      </w:r>
      <w:r>
        <w:rPr>
          <w:rFonts w:ascii="宋体" w:hAnsi="宋体"/>
          <w:sz w:val="24"/>
        </w:rPr>
        <w:t>15.8.1</w:t>
      </w:r>
      <w:r>
        <w:rPr>
          <w:rFonts w:hint="eastAsia" w:ascii="宋体" w:hAnsi="宋体"/>
          <w:sz w:val="24"/>
        </w:rPr>
        <w:t>项的约定，由发包人和承包人以招标方式选择的供应商。</w:t>
      </w:r>
    </w:p>
    <w:p w14:paraId="51C9F91C">
      <w:pPr>
        <w:wordWrap w:val="0"/>
        <w:spacing w:line="360" w:lineRule="auto"/>
        <w:ind w:firstLine="720" w:firstLineChars="300"/>
        <w:rPr>
          <w:rFonts w:ascii="宋体"/>
          <w:sz w:val="24"/>
        </w:rPr>
      </w:pPr>
      <w:r>
        <w:rPr>
          <w:rFonts w:ascii="宋体" w:hAnsi="宋体"/>
          <w:sz w:val="24"/>
        </w:rPr>
        <w:t xml:space="preserve">1.1.2.11  </w:t>
      </w:r>
      <w:r>
        <w:rPr>
          <w:rFonts w:hint="eastAsia" w:ascii="宋体" w:hAnsi="宋体"/>
          <w:sz w:val="24"/>
        </w:rPr>
        <w:t>独立承包人：指与发包人直接订立工程承包合同，负责实施与工程有关的其他工作的当事人。</w:t>
      </w:r>
    </w:p>
    <w:p w14:paraId="4C667EB0">
      <w:pPr>
        <w:wordWrap w:val="0"/>
        <w:spacing w:line="360" w:lineRule="auto"/>
        <w:ind w:firstLine="480" w:firstLineChars="200"/>
        <w:rPr>
          <w:rFonts w:ascii="宋体"/>
          <w:sz w:val="24"/>
        </w:rPr>
      </w:pPr>
      <w:r>
        <w:rPr>
          <w:rFonts w:ascii="宋体" w:hAnsi="宋体"/>
          <w:sz w:val="24"/>
        </w:rPr>
        <w:t xml:space="preserve">1.1.3  </w:t>
      </w:r>
      <w:r>
        <w:rPr>
          <w:rFonts w:hint="eastAsia" w:ascii="宋体" w:hAnsi="宋体"/>
          <w:sz w:val="24"/>
        </w:rPr>
        <w:t>工程和设备</w:t>
      </w:r>
    </w:p>
    <w:p w14:paraId="131705C6">
      <w:pPr>
        <w:wordWrap w:val="0"/>
        <w:spacing w:line="360" w:lineRule="auto"/>
        <w:ind w:firstLine="720" w:firstLineChars="300"/>
        <w:rPr>
          <w:rFonts w:ascii="宋体"/>
          <w:sz w:val="24"/>
        </w:rPr>
      </w:pPr>
      <w:r>
        <w:rPr>
          <w:rFonts w:ascii="宋体" w:hAnsi="宋体"/>
          <w:sz w:val="24"/>
        </w:rPr>
        <w:t xml:space="preserve">1.1.3.1  </w:t>
      </w:r>
      <w:r>
        <w:rPr>
          <w:rFonts w:hint="eastAsia" w:ascii="宋体" w:hAnsi="宋体"/>
          <w:sz w:val="24"/>
        </w:rPr>
        <w:t>工程：指永久工程和（或）临时工程。</w:t>
      </w:r>
    </w:p>
    <w:p w14:paraId="75453C9E">
      <w:pPr>
        <w:wordWrap w:val="0"/>
        <w:spacing w:line="360" w:lineRule="auto"/>
        <w:ind w:firstLine="720" w:firstLineChars="300"/>
        <w:rPr>
          <w:rFonts w:ascii="宋体"/>
          <w:sz w:val="24"/>
        </w:rPr>
      </w:pPr>
      <w:r>
        <w:rPr>
          <w:rFonts w:ascii="宋体" w:hAnsi="宋体"/>
          <w:sz w:val="24"/>
        </w:rPr>
        <w:t xml:space="preserve">1.1.3.2  </w:t>
      </w:r>
      <w:r>
        <w:rPr>
          <w:rFonts w:hint="eastAsia" w:ascii="宋体" w:hAnsi="宋体"/>
          <w:sz w:val="24"/>
        </w:rPr>
        <w:t>永久工程：指按照合同约定所需建造、完成并移交给发包人的工程，包括工程设备。永久工程的约定</w:t>
      </w:r>
      <w:r>
        <w:rPr>
          <w:rFonts w:hint="eastAsia" w:ascii="黑体" w:hAnsi="黑体" w:eastAsia="黑体"/>
          <w:sz w:val="24"/>
        </w:rPr>
        <w:t>见合同条款专用部分。</w:t>
      </w:r>
    </w:p>
    <w:p w14:paraId="7C33625F">
      <w:pPr>
        <w:wordWrap w:val="0"/>
        <w:spacing w:line="360" w:lineRule="auto"/>
        <w:ind w:firstLine="720" w:firstLineChars="300"/>
        <w:rPr>
          <w:rFonts w:ascii="宋体"/>
          <w:sz w:val="24"/>
        </w:rPr>
      </w:pPr>
      <w:r>
        <w:rPr>
          <w:rFonts w:ascii="宋体" w:hAnsi="宋体"/>
          <w:sz w:val="24"/>
        </w:rPr>
        <w:t xml:space="preserve">1.1.3.3  </w:t>
      </w:r>
      <w:r>
        <w:rPr>
          <w:rFonts w:hint="eastAsia" w:ascii="宋体" w:hAnsi="宋体"/>
          <w:sz w:val="24"/>
        </w:rPr>
        <w:t>临时工程：指为完成合同约定的永久工程所修建的各类临时性工程，不包括施工设备。临时工程的约定</w:t>
      </w:r>
      <w:r>
        <w:rPr>
          <w:rFonts w:hint="eastAsia" w:ascii="黑体" w:hAnsi="黑体" w:eastAsia="黑体"/>
          <w:sz w:val="24"/>
        </w:rPr>
        <w:t>见合同条款专用部分。</w:t>
      </w:r>
    </w:p>
    <w:p w14:paraId="5A51C2C8">
      <w:pPr>
        <w:wordWrap w:val="0"/>
        <w:spacing w:line="360" w:lineRule="auto"/>
        <w:ind w:firstLine="720" w:firstLineChars="300"/>
        <w:rPr>
          <w:rFonts w:ascii="宋体"/>
          <w:sz w:val="24"/>
        </w:rPr>
      </w:pPr>
      <w:r>
        <w:rPr>
          <w:rFonts w:ascii="宋体" w:hAnsi="宋体"/>
          <w:sz w:val="24"/>
        </w:rPr>
        <w:t xml:space="preserve">1.1.3.4  </w:t>
      </w:r>
      <w:r>
        <w:rPr>
          <w:rFonts w:hint="eastAsia" w:ascii="宋体" w:hAnsi="宋体"/>
          <w:sz w:val="24"/>
        </w:rPr>
        <w:t>单位工程：指具有相对独立的设计文件，能够独立组织施工并能形成独立使用功能的永久工程的组成部分。</w:t>
      </w:r>
    </w:p>
    <w:p w14:paraId="0DAA5EA2">
      <w:pPr>
        <w:wordWrap w:val="0"/>
        <w:spacing w:line="360" w:lineRule="auto"/>
        <w:ind w:firstLine="720" w:firstLineChars="300"/>
        <w:rPr>
          <w:rFonts w:ascii="宋体"/>
          <w:sz w:val="24"/>
        </w:rPr>
      </w:pPr>
      <w:r>
        <w:rPr>
          <w:rFonts w:hint="eastAsia" w:ascii="宋体" w:hAnsi="宋体"/>
          <w:sz w:val="24"/>
        </w:rPr>
        <w:t>1.1.3.5  工程设备：指构成或计划构成永久工程一部分的机电设备、金属结构设备、仪器装置及其他类似的设备和装置。</w:t>
      </w:r>
    </w:p>
    <w:p w14:paraId="5BFD1683">
      <w:pPr>
        <w:wordWrap w:val="0"/>
        <w:spacing w:line="360" w:lineRule="auto"/>
        <w:ind w:firstLine="720" w:firstLineChars="300"/>
        <w:rPr>
          <w:rFonts w:ascii="宋体"/>
          <w:sz w:val="24"/>
        </w:rPr>
      </w:pPr>
      <w:r>
        <w:rPr>
          <w:rFonts w:ascii="宋体" w:hAnsi="宋体"/>
          <w:sz w:val="24"/>
        </w:rPr>
        <w:t xml:space="preserve">1.1.3.6  </w:t>
      </w:r>
      <w:r>
        <w:rPr>
          <w:rFonts w:hint="eastAsia" w:ascii="宋体" w:hAnsi="宋体"/>
          <w:sz w:val="24"/>
        </w:rPr>
        <w:t>施工设备：指为完成合同约定的各项工作所需的设备、器具和其他物品，不包括临时工程和材料。</w:t>
      </w:r>
    </w:p>
    <w:p w14:paraId="17557922">
      <w:pPr>
        <w:wordWrap w:val="0"/>
        <w:spacing w:line="360" w:lineRule="auto"/>
        <w:ind w:firstLine="720" w:firstLineChars="300"/>
        <w:rPr>
          <w:rFonts w:ascii="宋体"/>
          <w:sz w:val="24"/>
        </w:rPr>
      </w:pPr>
      <w:r>
        <w:rPr>
          <w:rFonts w:ascii="宋体" w:hAnsi="宋体"/>
          <w:sz w:val="24"/>
        </w:rPr>
        <w:t xml:space="preserve">1.1.3.7  </w:t>
      </w:r>
      <w:r>
        <w:rPr>
          <w:rFonts w:hint="eastAsia" w:ascii="宋体" w:hAnsi="宋体"/>
          <w:sz w:val="24"/>
        </w:rPr>
        <w:t>临时设施：指为完成合同约定的各项工作所服务的临时性生产和生活设施。</w:t>
      </w:r>
    </w:p>
    <w:p w14:paraId="4514C326">
      <w:pPr>
        <w:wordWrap w:val="0"/>
        <w:spacing w:line="360" w:lineRule="auto"/>
        <w:ind w:firstLine="720" w:firstLineChars="300"/>
        <w:rPr>
          <w:rFonts w:ascii="宋体"/>
          <w:sz w:val="24"/>
        </w:rPr>
      </w:pPr>
      <w:r>
        <w:rPr>
          <w:rFonts w:ascii="宋体" w:hAnsi="宋体"/>
          <w:sz w:val="24"/>
        </w:rPr>
        <w:t xml:space="preserve">1.1.3.8  </w:t>
      </w:r>
      <w:r>
        <w:rPr>
          <w:rFonts w:hint="eastAsia" w:ascii="宋体" w:hAnsi="宋体"/>
          <w:sz w:val="24"/>
        </w:rPr>
        <w:t>承包人设备：指承包人自带的施工设备。</w:t>
      </w:r>
    </w:p>
    <w:p w14:paraId="488F72AE">
      <w:pPr>
        <w:wordWrap w:val="0"/>
        <w:spacing w:line="360" w:lineRule="auto"/>
        <w:ind w:firstLine="720" w:firstLineChars="300"/>
        <w:rPr>
          <w:rFonts w:ascii="宋体"/>
          <w:sz w:val="24"/>
        </w:rPr>
      </w:pPr>
      <w:r>
        <w:rPr>
          <w:rFonts w:ascii="宋体" w:hAnsi="宋体"/>
          <w:sz w:val="24"/>
        </w:rPr>
        <w:t xml:space="preserve">1.1.3.9  </w:t>
      </w:r>
      <w:r>
        <w:rPr>
          <w:rFonts w:hint="eastAsia" w:ascii="宋体" w:hAnsi="宋体"/>
          <w:sz w:val="24"/>
        </w:rPr>
        <w:t>施工场地（或称工地、现场）：指用于合同工程施工的场所，以及在合同中指定作为施工场地组成部分的其他场所，包括永久占地和临时占地。</w:t>
      </w:r>
    </w:p>
    <w:p w14:paraId="422F49F0">
      <w:pPr>
        <w:wordWrap w:val="0"/>
        <w:spacing w:line="360" w:lineRule="auto"/>
        <w:ind w:firstLine="720" w:firstLineChars="300"/>
        <w:rPr>
          <w:rFonts w:ascii="宋体"/>
          <w:sz w:val="24"/>
        </w:rPr>
      </w:pPr>
      <w:r>
        <w:rPr>
          <w:rFonts w:ascii="宋体" w:hAnsi="宋体"/>
          <w:sz w:val="24"/>
        </w:rPr>
        <w:t xml:space="preserve">1.1.3.10  </w:t>
      </w:r>
      <w:r>
        <w:rPr>
          <w:rFonts w:hint="eastAsia" w:ascii="宋体" w:hAnsi="宋体"/>
          <w:sz w:val="24"/>
        </w:rPr>
        <w:t>永久占地：指为实施合同工程需永久占用的土地。永久占地的约定</w:t>
      </w:r>
      <w:r>
        <w:rPr>
          <w:rFonts w:hint="eastAsia" w:ascii="黑体" w:hAnsi="黑体" w:eastAsia="黑体"/>
          <w:sz w:val="24"/>
        </w:rPr>
        <w:t>见合同条款专用部分。</w:t>
      </w:r>
    </w:p>
    <w:p w14:paraId="2B345607">
      <w:pPr>
        <w:wordWrap w:val="0"/>
        <w:spacing w:line="360" w:lineRule="auto"/>
        <w:ind w:firstLine="720" w:firstLineChars="300"/>
        <w:rPr>
          <w:rFonts w:ascii="宋体"/>
          <w:sz w:val="24"/>
        </w:rPr>
      </w:pPr>
      <w:r>
        <w:rPr>
          <w:rFonts w:ascii="宋体" w:hAnsi="宋体"/>
          <w:sz w:val="24"/>
        </w:rPr>
        <w:t xml:space="preserve">1.1.3.11  </w:t>
      </w:r>
      <w:r>
        <w:rPr>
          <w:rFonts w:hint="eastAsia" w:ascii="宋体" w:hAnsi="宋体"/>
          <w:sz w:val="24"/>
        </w:rPr>
        <w:t>临时占地：指为实施合同工程需临时占用的土地。临时占地的约定</w:t>
      </w:r>
      <w:r>
        <w:rPr>
          <w:rFonts w:hint="eastAsia" w:ascii="黑体" w:hAnsi="黑体" w:eastAsia="黑体"/>
          <w:sz w:val="24"/>
        </w:rPr>
        <w:t>见合同条款专用部分。</w:t>
      </w:r>
    </w:p>
    <w:p w14:paraId="11D51C38">
      <w:pPr>
        <w:wordWrap w:val="0"/>
        <w:spacing w:line="360" w:lineRule="auto"/>
        <w:ind w:firstLine="720" w:firstLineChars="300"/>
        <w:rPr>
          <w:rFonts w:ascii="宋体"/>
          <w:sz w:val="24"/>
        </w:rPr>
      </w:pPr>
      <w:r>
        <w:rPr>
          <w:rFonts w:ascii="宋体" w:hAnsi="宋体"/>
          <w:sz w:val="24"/>
        </w:rPr>
        <w:t xml:space="preserve">1.1.3.12  </w:t>
      </w:r>
      <w:r>
        <w:rPr>
          <w:rFonts w:hint="eastAsia" w:ascii="宋体" w:hAnsi="宋体"/>
          <w:sz w:val="24"/>
        </w:rPr>
        <w:t>材料：指构成或将构成永久工程组成部分的各类物品</w:t>
      </w:r>
      <w:r>
        <w:rPr>
          <w:rFonts w:ascii="宋体" w:hAnsi="宋体"/>
          <w:sz w:val="24"/>
        </w:rPr>
        <w:t>(</w:t>
      </w:r>
      <w:r>
        <w:rPr>
          <w:rFonts w:hint="eastAsia" w:ascii="宋体" w:hAnsi="宋体"/>
          <w:sz w:val="24"/>
        </w:rPr>
        <w:t>含工程设备</w:t>
      </w:r>
      <w:r>
        <w:rPr>
          <w:rFonts w:ascii="宋体" w:hAnsi="宋体"/>
          <w:sz w:val="24"/>
        </w:rPr>
        <w:t>)</w:t>
      </w:r>
      <w:r>
        <w:rPr>
          <w:rFonts w:hint="eastAsia" w:ascii="宋体" w:hAnsi="宋体"/>
          <w:sz w:val="24"/>
        </w:rPr>
        <w:t>，包括合同中可能约定的承包人仅负责供应的材料。</w:t>
      </w:r>
    </w:p>
    <w:p w14:paraId="37A8435F">
      <w:pPr>
        <w:wordWrap w:val="0"/>
        <w:spacing w:line="360" w:lineRule="auto"/>
        <w:ind w:firstLine="480" w:firstLineChars="200"/>
        <w:rPr>
          <w:rFonts w:ascii="宋体"/>
          <w:sz w:val="24"/>
        </w:rPr>
      </w:pPr>
      <w:r>
        <w:rPr>
          <w:rFonts w:ascii="宋体" w:hAnsi="宋体"/>
          <w:sz w:val="24"/>
        </w:rPr>
        <w:t xml:space="preserve">1.1.4  </w:t>
      </w:r>
      <w:r>
        <w:rPr>
          <w:rFonts w:hint="eastAsia" w:ascii="宋体" w:hAnsi="宋体"/>
          <w:sz w:val="24"/>
        </w:rPr>
        <w:t>日期</w:t>
      </w:r>
    </w:p>
    <w:p w14:paraId="4D2D61BD">
      <w:pPr>
        <w:wordWrap w:val="0"/>
        <w:spacing w:line="360" w:lineRule="auto"/>
        <w:ind w:firstLine="720" w:firstLineChars="300"/>
        <w:rPr>
          <w:rFonts w:ascii="宋体"/>
          <w:sz w:val="24"/>
        </w:rPr>
      </w:pPr>
      <w:r>
        <w:rPr>
          <w:rFonts w:ascii="宋体" w:hAnsi="宋体"/>
          <w:sz w:val="24"/>
        </w:rPr>
        <w:t xml:space="preserve">1.1.4.1  </w:t>
      </w:r>
      <w:r>
        <w:rPr>
          <w:rFonts w:hint="eastAsia" w:ascii="宋体" w:hAnsi="宋体"/>
          <w:sz w:val="24"/>
        </w:rPr>
        <w:t>开工通知：指监理人按第</w:t>
      </w:r>
      <w:r>
        <w:rPr>
          <w:rFonts w:ascii="宋体" w:hAnsi="宋体"/>
          <w:sz w:val="24"/>
        </w:rPr>
        <w:t>11.1</w:t>
      </w:r>
      <w:r>
        <w:rPr>
          <w:rFonts w:hint="eastAsia" w:ascii="宋体" w:hAnsi="宋体"/>
          <w:sz w:val="24"/>
        </w:rPr>
        <w:t>款通知承包人开工的函件。</w:t>
      </w:r>
    </w:p>
    <w:p w14:paraId="610B5B69">
      <w:pPr>
        <w:wordWrap w:val="0"/>
        <w:spacing w:line="360" w:lineRule="auto"/>
        <w:ind w:firstLine="720" w:firstLineChars="300"/>
        <w:rPr>
          <w:rFonts w:ascii="宋体"/>
          <w:sz w:val="24"/>
        </w:rPr>
      </w:pPr>
      <w:r>
        <w:rPr>
          <w:rFonts w:ascii="宋体" w:hAnsi="宋体"/>
          <w:sz w:val="24"/>
        </w:rPr>
        <w:t xml:space="preserve">1.1.4.2  </w:t>
      </w:r>
      <w:r>
        <w:rPr>
          <w:rFonts w:hint="eastAsia" w:ascii="宋体" w:hAnsi="宋体"/>
          <w:sz w:val="24"/>
        </w:rPr>
        <w:t>开工日期：指监理人按第</w:t>
      </w:r>
      <w:r>
        <w:rPr>
          <w:rFonts w:ascii="宋体" w:hAnsi="宋体"/>
          <w:sz w:val="24"/>
        </w:rPr>
        <w:t>11.1</w:t>
      </w:r>
      <w:r>
        <w:rPr>
          <w:rFonts w:hint="eastAsia" w:ascii="宋体" w:hAnsi="宋体"/>
          <w:sz w:val="24"/>
        </w:rPr>
        <w:t>款发出的开工通知中写明的开工日期。</w:t>
      </w:r>
    </w:p>
    <w:p w14:paraId="0BBEBD7D">
      <w:pPr>
        <w:wordWrap w:val="0"/>
        <w:spacing w:line="360" w:lineRule="auto"/>
        <w:ind w:firstLine="720" w:firstLineChars="300"/>
        <w:rPr>
          <w:rFonts w:ascii="宋体"/>
          <w:sz w:val="24"/>
        </w:rPr>
      </w:pPr>
      <w:r>
        <w:rPr>
          <w:rFonts w:ascii="宋体" w:hAnsi="宋体"/>
          <w:sz w:val="24"/>
        </w:rPr>
        <w:t xml:space="preserve">1.1.4.3  </w:t>
      </w:r>
      <w:r>
        <w:rPr>
          <w:rFonts w:hint="eastAsia" w:ascii="宋体" w:hAnsi="宋体"/>
          <w:sz w:val="24"/>
        </w:rPr>
        <w:t>工期：指承包人在投标函中承诺的完成合同工程所需的期限，包括按第</w:t>
      </w:r>
      <w:r>
        <w:rPr>
          <w:rFonts w:ascii="宋体" w:hAnsi="宋体"/>
          <w:sz w:val="24"/>
        </w:rPr>
        <w:t>11.3</w:t>
      </w:r>
      <w:r>
        <w:rPr>
          <w:rFonts w:hint="eastAsia" w:ascii="宋体" w:hAnsi="宋体"/>
          <w:sz w:val="24"/>
        </w:rPr>
        <w:t>款、第</w:t>
      </w:r>
      <w:r>
        <w:rPr>
          <w:rFonts w:ascii="宋体" w:hAnsi="宋体"/>
          <w:sz w:val="24"/>
        </w:rPr>
        <w:t>11.4</w:t>
      </w:r>
      <w:r>
        <w:rPr>
          <w:rFonts w:hint="eastAsia" w:ascii="宋体" w:hAnsi="宋体"/>
          <w:sz w:val="24"/>
        </w:rPr>
        <w:t>款和第</w:t>
      </w:r>
      <w:r>
        <w:rPr>
          <w:rFonts w:ascii="宋体" w:hAnsi="宋体"/>
          <w:sz w:val="24"/>
        </w:rPr>
        <w:t>11.6</w:t>
      </w:r>
      <w:r>
        <w:rPr>
          <w:rFonts w:hint="eastAsia" w:ascii="宋体" w:hAnsi="宋体"/>
          <w:sz w:val="24"/>
        </w:rPr>
        <w:t>款约定所作的变更。</w:t>
      </w:r>
    </w:p>
    <w:p w14:paraId="2F781EEE">
      <w:pPr>
        <w:wordWrap w:val="0"/>
        <w:spacing w:line="360" w:lineRule="auto"/>
        <w:ind w:firstLine="720" w:firstLineChars="300"/>
        <w:rPr>
          <w:rFonts w:ascii="宋体"/>
          <w:sz w:val="24"/>
        </w:rPr>
      </w:pPr>
      <w:r>
        <w:rPr>
          <w:rFonts w:ascii="宋体" w:hAnsi="宋体"/>
          <w:sz w:val="24"/>
        </w:rPr>
        <w:t xml:space="preserve">1.1.4.4  </w:t>
      </w:r>
      <w:r>
        <w:rPr>
          <w:rFonts w:hint="eastAsia" w:ascii="宋体" w:hAnsi="宋体"/>
          <w:sz w:val="24"/>
        </w:rPr>
        <w:t>竣工日期：指第</w:t>
      </w:r>
      <w:r>
        <w:rPr>
          <w:rFonts w:ascii="宋体" w:hAnsi="宋体"/>
          <w:sz w:val="24"/>
        </w:rPr>
        <w:t>1.1.4.3</w:t>
      </w:r>
      <w:r>
        <w:rPr>
          <w:rFonts w:hint="eastAsia" w:ascii="宋体" w:hAnsi="宋体"/>
          <w:sz w:val="24"/>
        </w:rPr>
        <w:t>目约定工期届满时的日期。实际竣工日期以工程接收证书中写明的日期为准。</w:t>
      </w:r>
    </w:p>
    <w:p w14:paraId="2E4764FB">
      <w:pPr>
        <w:wordWrap w:val="0"/>
        <w:spacing w:line="360" w:lineRule="auto"/>
        <w:ind w:firstLine="720" w:firstLineChars="300"/>
        <w:rPr>
          <w:rFonts w:ascii="宋体"/>
          <w:sz w:val="24"/>
        </w:rPr>
      </w:pPr>
      <w:r>
        <w:rPr>
          <w:rFonts w:ascii="宋体" w:hAnsi="宋体"/>
          <w:sz w:val="24"/>
        </w:rPr>
        <w:t xml:space="preserve">1.1.4.5  </w:t>
      </w:r>
      <w:r>
        <w:rPr>
          <w:rFonts w:hint="eastAsia" w:ascii="宋体" w:hAnsi="宋体"/>
          <w:sz w:val="24"/>
        </w:rPr>
        <w:t>缺陷责任期：指履行第</w:t>
      </w:r>
      <w:r>
        <w:rPr>
          <w:rFonts w:ascii="宋体" w:hAnsi="宋体"/>
          <w:sz w:val="24"/>
        </w:rPr>
        <w:t>19.2</w:t>
      </w:r>
      <w:r>
        <w:rPr>
          <w:rFonts w:hint="eastAsia" w:ascii="宋体" w:hAnsi="宋体"/>
          <w:sz w:val="24"/>
        </w:rPr>
        <w:t>款约定的缺陷责任的期限，包括根据第</w:t>
      </w:r>
      <w:r>
        <w:rPr>
          <w:rFonts w:ascii="宋体" w:hAnsi="宋体"/>
          <w:sz w:val="24"/>
        </w:rPr>
        <w:t>19.3</w:t>
      </w:r>
      <w:r>
        <w:rPr>
          <w:rFonts w:hint="eastAsia" w:ascii="宋体" w:hAnsi="宋体"/>
          <w:sz w:val="24"/>
        </w:rPr>
        <w:t>款约定所作的延长。缺陷责任期的具体期限</w:t>
      </w:r>
      <w:r>
        <w:rPr>
          <w:rFonts w:hint="eastAsia" w:ascii="黑体" w:hAnsi="黑体" w:eastAsia="黑体"/>
          <w:sz w:val="24"/>
        </w:rPr>
        <w:t>见合同条款专用部分</w:t>
      </w:r>
      <w:r>
        <w:rPr>
          <w:rFonts w:hint="eastAsia" w:ascii="宋体" w:hAnsi="宋体"/>
          <w:sz w:val="24"/>
        </w:rPr>
        <w:t>。</w:t>
      </w:r>
    </w:p>
    <w:p w14:paraId="03F9C6D5">
      <w:pPr>
        <w:wordWrap w:val="0"/>
        <w:spacing w:line="360" w:lineRule="auto"/>
        <w:ind w:firstLine="720" w:firstLineChars="300"/>
        <w:rPr>
          <w:rFonts w:ascii="宋体"/>
          <w:sz w:val="24"/>
        </w:rPr>
      </w:pPr>
      <w:r>
        <w:rPr>
          <w:rFonts w:ascii="宋体" w:hAnsi="宋体"/>
          <w:sz w:val="24"/>
        </w:rPr>
        <w:t xml:space="preserve">1.1.4.6  </w:t>
      </w:r>
      <w:bookmarkStart w:id="719" w:name="_Hlk202521025"/>
      <w:r>
        <w:rPr>
          <w:rFonts w:hint="eastAsia" w:ascii="宋体" w:hAnsi="宋体"/>
          <w:sz w:val="24"/>
        </w:rPr>
        <w:t>基准日期：</w:t>
      </w:r>
      <w:bookmarkEnd w:id="719"/>
      <w:r>
        <w:rPr>
          <w:rFonts w:hint="eastAsia" w:ascii="宋体" w:hAnsi="宋体"/>
          <w:sz w:val="24"/>
        </w:rPr>
        <w:t>除合同条款专用部分另有约定外，指投标截止时间前28天的日期。</w:t>
      </w:r>
    </w:p>
    <w:p w14:paraId="204D7E19">
      <w:pPr>
        <w:wordWrap w:val="0"/>
        <w:spacing w:line="360" w:lineRule="auto"/>
        <w:ind w:firstLine="720" w:firstLineChars="300"/>
        <w:rPr>
          <w:rFonts w:ascii="宋体"/>
          <w:sz w:val="24"/>
        </w:rPr>
      </w:pPr>
      <w:r>
        <w:rPr>
          <w:rFonts w:ascii="宋体" w:hAnsi="宋体"/>
          <w:sz w:val="24"/>
        </w:rPr>
        <w:t xml:space="preserve">1.1.4.7  </w:t>
      </w:r>
      <w:r>
        <w:rPr>
          <w:rFonts w:hint="eastAsia" w:ascii="宋体" w:hAnsi="宋体"/>
          <w:sz w:val="24"/>
        </w:rPr>
        <w:t>天：除特别指明外，指日历天。合同中按天计算时间的，开始当天不计入，从次日开始计算。期限最后一天的截止时间为当天</w:t>
      </w:r>
      <w:r>
        <w:rPr>
          <w:rFonts w:ascii="宋体" w:hAnsi="宋体"/>
          <w:sz w:val="24"/>
        </w:rPr>
        <w:t>24:00</w:t>
      </w:r>
      <w:r>
        <w:rPr>
          <w:rFonts w:hint="eastAsia" w:ascii="宋体" w:hAnsi="宋体"/>
          <w:sz w:val="24"/>
        </w:rPr>
        <w:t>。</w:t>
      </w:r>
    </w:p>
    <w:p w14:paraId="57EB38B5">
      <w:pPr>
        <w:wordWrap w:val="0"/>
        <w:spacing w:line="360" w:lineRule="auto"/>
        <w:ind w:firstLine="720" w:firstLineChars="300"/>
        <w:rPr>
          <w:rFonts w:ascii="宋体"/>
          <w:sz w:val="24"/>
        </w:rPr>
      </w:pPr>
      <w:r>
        <w:rPr>
          <w:rFonts w:ascii="宋体" w:hAnsi="宋体"/>
          <w:sz w:val="24"/>
        </w:rPr>
        <w:t xml:space="preserve">1.1.4.8  </w:t>
      </w:r>
      <w:r>
        <w:rPr>
          <w:rFonts w:hint="eastAsia" w:ascii="宋体" w:hAnsi="宋体"/>
          <w:sz w:val="24"/>
        </w:rPr>
        <w:t>保修期：是根据现行有关法律规定，在合同条款第</w:t>
      </w:r>
      <w:r>
        <w:rPr>
          <w:rFonts w:ascii="宋体" w:hAnsi="宋体"/>
          <w:sz w:val="24"/>
        </w:rPr>
        <w:t>19.7</w:t>
      </w:r>
      <w:r>
        <w:rPr>
          <w:rFonts w:hint="eastAsia" w:ascii="宋体" w:hAnsi="宋体"/>
          <w:sz w:val="24"/>
        </w:rPr>
        <w:t>款中约定的由承包人负责对合同约定的保修范围内发生的质量问题履行保修义务并对造成的损失承担赔偿责任的期限。</w:t>
      </w:r>
    </w:p>
    <w:p w14:paraId="75EB575C">
      <w:pPr>
        <w:wordWrap w:val="0"/>
        <w:spacing w:line="360" w:lineRule="auto"/>
        <w:ind w:firstLine="480" w:firstLineChars="200"/>
        <w:rPr>
          <w:rFonts w:ascii="宋体"/>
          <w:sz w:val="24"/>
        </w:rPr>
      </w:pPr>
      <w:r>
        <w:rPr>
          <w:rFonts w:ascii="宋体" w:hAnsi="宋体"/>
          <w:sz w:val="24"/>
        </w:rPr>
        <w:t xml:space="preserve">1.1.5  </w:t>
      </w:r>
      <w:r>
        <w:rPr>
          <w:rFonts w:hint="eastAsia" w:ascii="宋体" w:hAnsi="宋体"/>
          <w:sz w:val="24"/>
        </w:rPr>
        <w:t>合同价格和费用</w:t>
      </w:r>
    </w:p>
    <w:p w14:paraId="60835BEE">
      <w:pPr>
        <w:wordWrap w:val="0"/>
        <w:spacing w:line="360" w:lineRule="auto"/>
        <w:ind w:firstLine="720" w:firstLineChars="300"/>
        <w:rPr>
          <w:rFonts w:ascii="宋体"/>
          <w:sz w:val="24"/>
        </w:rPr>
      </w:pPr>
      <w:r>
        <w:rPr>
          <w:rFonts w:ascii="宋体" w:hAnsi="宋体"/>
          <w:sz w:val="24"/>
        </w:rPr>
        <w:t xml:space="preserve">1.1.5.1  </w:t>
      </w:r>
      <w:r>
        <w:rPr>
          <w:rFonts w:hint="eastAsia" w:ascii="宋体" w:hAnsi="宋体"/>
          <w:sz w:val="24"/>
        </w:rPr>
        <w:t>签约合同价：指签定合同时合同协议书中写明的，包括了暂列金额、暂估价的合同总金额。</w:t>
      </w:r>
    </w:p>
    <w:p w14:paraId="2A6AAEE0">
      <w:pPr>
        <w:wordWrap w:val="0"/>
        <w:spacing w:line="360" w:lineRule="auto"/>
        <w:ind w:firstLine="720" w:firstLineChars="300"/>
        <w:rPr>
          <w:rFonts w:ascii="宋体" w:hAnsi="宋体"/>
          <w:sz w:val="24"/>
        </w:rPr>
      </w:pPr>
      <w:r>
        <w:rPr>
          <w:rFonts w:ascii="宋体" w:hAnsi="宋体"/>
          <w:sz w:val="24"/>
        </w:rPr>
        <w:t xml:space="preserve">1.1.5.2  </w:t>
      </w:r>
      <w:r>
        <w:rPr>
          <w:rFonts w:hint="eastAsia" w:ascii="宋体" w:hAnsi="宋体"/>
          <w:sz w:val="24"/>
        </w:rPr>
        <w:t>合同价格：指承包人按合同约定完成了包括缺陷责任期内的全部承包工作后，发包人应付给承包人的金额，包括在履行合同过程中按合同约定进行的变更和调整。</w:t>
      </w:r>
    </w:p>
    <w:p w14:paraId="59C3930D">
      <w:pPr>
        <w:wordWrap w:val="0"/>
        <w:spacing w:line="360" w:lineRule="auto"/>
        <w:ind w:firstLine="720" w:firstLineChars="300"/>
        <w:rPr>
          <w:rFonts w:ascii="宋体"/>
          <w:sz w:val="24"/>
        </w:rPr>
      </w:pPr>
      <w:bookmarkStart w:id="720" w:name="OLE_LINK122"/>
      <w:r>
        <w:rPr>
          <w:rFonts w:ascii="宋体" w:hAnsi="宋体"/>
          <w:sz w:val="24"/>
        </w:rPr>
        <w:t xml:space="preserve">1.1.5.3  </w:t>
      </w:r>
      <w:bookmarkEnd w:id="720"/>
      <w:r>
        <w:rPr>
          <w:rFonts w:hint="eastAsia" w:ascii="宋体" w:hAnsi="宋体"/>
          <w:sz w:val="24"/>
        </w:rPr>
        <w:t>费用：指为履行合同所发生的或将要发生的所有合理开支，包括管理费和应分摊的其他费用，但不包括利润。</w:t>
      </w:r>
    </w:p>
    <w:p w14:paraId="3EED4518">
      <w:pPr>
        <w:wordWrap w:val="0"/>
        <w:spacing w:line="360" w:lineRule="auto"/>
        <w:ind w:firstLine="720" w:firstLineChars="300"/>
        <w:rPr>
          <w:rFonts w:ascii="宋体"/>
          <w:sz w:val="24"/>
        </w:rPr>
      </w:pPr>
      <w:r>
        <w:rPr>
          <w:rFonts w:ascii="宋体" w:hAnsi="宋体"/>
          <w:sz w:val="24"/>
        </w:rPr>
        <w:t xml:space="preserve">1.1.5.4  </w:t>
      </w:r>
      <w:r>
        <w:rPr>
          <w:rFonts w:hint="eastAsia" w:ascii="宋体" w:hAnsi="宋体"/>
          <w:sz w:val="24"/>
        </w:rPr>
        <w:t>暂列金额：指</w:t>
      </w:r>
      <w:bookmarkStart w:id="721" w:name="_Hlk199425911"/>
      <w:r>
        <w:rPr>
          <w:rFonts w:hint="eastAsia" w:ascii="宋体" w:hAnsi="宋体"/>
          <w:sz w:val="24"/>
        </w:rPr>
        <w:t>合同清单</w:t>
      </w:r>
      <w:bookmarkEnd w:id="721"/>
      <w:r>
        <w:rPr>
          <w:rFonts w:hint="eastAsia" w:ascii="宋体" w:hAnsi="宋体"/>
          <w:sz w:val="24"/>
        </w:rPr>
        <w:t>中所列的暂列金额，用于在签订协议书时尚未确定或不可预见变更的施工及其所需材料、服务等的金额，包括以计日工方式支付的金额。</w:t>
      </w:r>
    </w:p>
    <w:p w14:paraId="2F808EB9">
      <w:pPr>
        <w:wordWrap w:val="0"/>
        <w:spacing w:line="360" w:lineRule="auto"/>
        <w:ind w:firstLine="720" w:firstLineChars="300"/>
        <w:rPr>
          <w:rFonts w:ascii="宋体"/>
          <w:sz w:val="24"/>
        </w:rPr>
      </w:pPr>
      <w:r>
        <w:rPr>
          <w:rFonts w:ascii="宋体" w:hAnsi="宋体"/>
          <w:sz w:val="24"/>
        </w:rPr>
        <w:t xml:space="preserve">1.1.5.5  </w:t>
      </w:r>
      <w:r>
        <w:rPr>
          <w:rFonts w:hint="eastAsia" w:ascii="宋体" w:hAnsi="宋体"/>
          <w:sz w:val="24"/>
        </w:rPr>
        <w:t>暂估价：指发包人在工程量清单中给定的用于支付必然发生但暂时不能确定价格的材料以及专业工程的金额。</w:t>
      </w:r>
    </w:p>
    <w:p w14:paraId="71F02359">
      <w:pPr>
        <w:wordWrap w:val="0"/>
        <w:spacing w:line="360" w:lineRule="auto"/>
        <w:ind w:firstLine="720" w:firstLineChars="300"/>
        <w:rPr>
          <w:rFonts w:ascii="宋体" w:hAnsi="宋体"/>
          <w:sz w:val="24"/>
        </w:rPr>
      </w:pPr>
      <w:r>
        <w:rPr>
          <w:rFonts w:ascii="宋体" w:hAnsi="宋体"/>
          <w:sz w:val="24"/>
        </w:rPr>
        <w:t xml:space="preserve">1.1.5.6  </w:t>
      </w:r>
      <w:r>
        <w:rPr>
          <w:rFonts w:hint="eastAsia" w:ascii="宋体" w:hAnsi="宋体"/>
          <w:sz w:val="24"/>
        </w:rPr>
        <w:t>计日工：指对零星工作采取的一种计价方式，按合同中的计日工项目及其单价计价付款。</w:t>
      </w:r>
    </w:p>
    <w:p w14:paraId="24890CDD">
      <w:pPr>
        <w:wordWrap w:val="0"/>
        <w:spacing w:line="360" w:lineRule="auto"/>
        <w:ind w:firstLine="720" w:firstLineChars="300"/>
        <w:rPr>
          <w:rFonts w:ascii="宋体"/>
          <w:sz w:val="24"/>
        </w:rPr>
      </w:pPr>
      <w:bookmarkStart w:id="722" w:name="_Hlk199426088"/>
      <w:r>
        <w:rPr>
          <w:rFonts w:hint="eastAsia" w:ascii="宋体" w:hAnsi="宋体"/>
          <w:sz w:val="24"/>
        </w:rPr>
        <w:t xml:space="preserve">1.1.5.7  </w:t>
      </w:r>
      <w:bookmarkStart w:id="723" w:name="_Hlk200375929"/>
      <w:r>
        <w:rPr>
          <w:rFonts w:hint="eastAsia" w:ascii="宋体" w:hAnsi="宋体"/>
          <w:sz w:val="24"/>
        </w:rPr>
        <w:t>工程量清单缺陷：指招标工程量清单的分部分项工程项目清单中所列的清单项目与对应的签约图纸及签约规范的清单项目在列项、项目特征、工程数量上存在的差异。包括工程量清单多列项、错漏项,项目特征不符、工程数量偏差及其他同类。</w:t>
      </w:r>
      <w:bookmarkEnd w:id="723"/>
    </w:p>
    <w:bookmarkEnd w:id="722"/>
    <w:p w14:paraId="38BF33C2">
      <w:pPr>
        <w:wordWrap w:val="0"/>
        <w:spacing w:line="360" w:lineRule="auto"/>
        <w:ind w:firstLine="720" w:firstLineChars="300"/>
        <w:rPr>
          <w:rFonts w:ascii="宋体"/>
          <w:sz w:val="24"/>
        </w:rPr>
      </w:pPr>
      <w:r>
        <w:rPr>
          <w:rFonts w:ascii="宋体" w:hAnsi="宋体"/>
          <w:sz w:val="24"/>
        </w:rPr>
        <w:t>1.1.5.</w:t>
      </w:r>
      <w:r>
        <w:rPr>
          <w:rFonts w:hint="eastAsia" w:ascii="宋体" w:hAnsi="宋体"/>
          <w:sz w:val="24"/>
        </w:rPr>
        <w:t>8</w:t>
      </w:r>
      <w:r>
        <w:rPr>
          <w:rFonts w:ascii="宋体" w:hAnsi="宋体"/>
          <w:sz w:val="24"/>
        </w:rPr>
        <w:t xml:space="preserve">  </w:t>
      </w:r>
      <w:r>
        <w:rPr>
          <w:rFonts w:hint="eastAsia" w:ascii="宋体" w:hAnsi="宋体"/>
          <w:sz w:val="24"/>
        </w:rPr>
        <w:t>质量保证金（或称保留金）：指按第</w:t>
      </w:r>
      <w:r>
        <w:rPr>
          <w:rFonts w:ascii="宋体" w:hAnsi="宋体"/>
          <w:sz w:val="24"/>
        </w:rPr>
        <w:t>17.4.1</w:t>
      </w:r>
      <w:r>
        <w:rPr>
          <w:rFonts w:hint="eastAsia" w:ascii="宋体" w:hAnsi="宋体"/>
          <w:sz w:val="24"/>
        </w:rPr>
        <w:t>项约定用于保证在缺陷责任期内履行缺陷修复义务的金额。</w:t>
      </w:r>
    </w:p>
    <w:p w14:paraId="1A31592B">
      <w:pPr>
        <w:wordWrap w:val="0"/>
        <w:spacing w:line="360" w:lineRule="auto"/>
        <w:ind w:firstLine="480" w:firstLineChars="200"/>
        <w:rPr>
          <w:rFonts w:ascii="宋体"/>
          <w:sz w:val="24"/>
        </w:rPr>
      </w:pPr>
      <w:r>
        <w:rPr>
          <w:rFonts w:ascii="宋体" w:hAnsi="宋体"/>
          <w:sz w:val="24"/>
        </w:rPr>
        <w:t xml:space="preserve">1.1.6  </w:t>
      </w:r>
      <w:r>
        <w:rPr>
          <w:rFonts w:hint="eastAsia" w:ascii="宋体" w:hAnsi="宋体"/>
          <w:sz w:val="24"/>
        </w:rPr>
        <w:t>书面形式</w:t>
      </w:r>
    </w:p>
    <w:p w14:paraId="7236893B">
      <w:pPr>
        <w:wordWrap w:val="0"/>
        <w:spacing w:line="360" w:lineRule="auto"/>
        <w:ind w:firstLine="480" w:firstLineChars="200"/>
        <w:jc w:val="left"/>
        <w:rPr>
          <w:rFonts w:ascii="宋体"/>
          <w:sz w:val="24"/>
        </w:rPr>
      </w:pPr>
      <w:r>
        <w:rPr>
          <w:rFonts w:hint="eastAsia" w:ascii="宋体" w:hAnsi="宋体"/>
          <w:sz w:val="24"/>
        </w:rPr>
        <w:t>书面形式：指合同文件、信函、电报、传真等可以有形地表现所载内容的形式。</w:t>
      </w:r>
    </w:p>
    <w:p w14:paraId="313B88A2">
      <w:pPr>
        <w:wordWrap w:val="0"/>
        <w:spacing w:line="360" w:lineRule="auto"/>
        <w:ind w:firstLine="480" w:firstLineChars="200"/>
        <w:rPr>
          <w:rFonts w:ascii="宋体"/>
          <w:sz w:val="24"/>
        </w:rPr>
      </w:pPr>
      <w:r>
        <w:rPr>
          <w:rFonts w:ascii="宋体" w:hAnsi="宋体"/>
          <w:sz w:val="24"/>
        </w:rPr>
        <w:t xml:space="preserve">1.1.7  </w:t>
      </w:r>
      <w:r>
        <w:rPr>
          <w:rFonts w:hint="eastAsia" w:ascii="宋体" w:hAnsi="宋体"/>
          <w:sz w:val="24"/>
        </w:rPr>
        <w:t>争议评审</w:t>
      </w:r>
      <w:bookmarkStart w:id="724" w:name="_Hlk199426145"/>
      <w:r>
        <w:rPr>
          <w:rFonts w:hint="eastAsia" w:ascii="宋体" w:hAnsi="宋体"/>
          <w:sz w:val="24"/>
        </w:rPr>
        <w:t>委员会</w:t>
      </w:r>
      <w:bookmarkStart w:id="725" w:name="OLE_LINK114"/>
      <w:r>
        <w:rPr>
          <w:rFonts w:hint="eastAsia" w:ascii="宋体" w:hAnsi="宋体"/>
          <w:sz w:val="24"/>
        </w:rPr>
        <w:t>（或机构）</w:t>
      </w:r>
      <w:bookmarkEnd w:id="724"/>
      <w:bookmarkEnd w:id="725"/>
    </w:p>
    <w:p w14:paraId="53F56D6A">
      <w:pPr>
        <w:wordWrap w:val="0"/>
        <w:spacing w:line="360" w:lineRule="auto"/>
        <w:ind w:firstLine="480" w:firstLineChars="200"/>
        <w:rPr>
          <w:rFonts w:ascii="宋体" w:hAnsi="宋体"/>
          <w:sz w:val="24"/>
        </w:rPr>
      </w:pPr>
      <w:r>
        <w:rPr>
          <w:rFonts w:hint="eastAsia" w:ascii="宋体" w:hAnsi="宋体"/>
          <w:sz w:val="24"/>
        </w:rPr>
        <w:t>争议评审委员会（或机构）：是由发包人和承包人共同聘请的人员组成的独立、公正的第三方临时性组织，</w:t>
      </w:r>
      <w:bookmarkStart w:id="726" w:name="_Hlk199426164"/>
      <w:r>
        <w:rPr>
          <w:rFonts w:hint="eastAsia" w:ascii="宋体" w:hAnsi="宋体"/>
          <w:sz w:val="24"/>
        </w:rPr>
        <w:t>其组成人数为单数</w:t>
      </w:r>
      <w:bookmarkEnd w:id="726"/>
      <w:r>
        <w:rPr>
          <w:rFonts w:hint="eastAsia" w:ascii="宋体" w:hAnsi="宋体"/>
          <w:sz w:val="24"/>
        </w:rPr>
        <w:t>。争议评审委员会（或机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09736F0D">
      <w:pPr>
        <w:wordWrap w:val="0"/>
        <w:spacing w:line="360" w:lineRule="auto"/>
        <w:ind w:firstLine="480" w:firstLineChars="200"/>
        <w:rPr>
          <w:rFonts w:ascii="宋体"/>
          <w:sz w:val="24"/>
        </w:rPr>
      </w:pPr>
      <w:r>
        <w:rPr>
          <w:rFonts w:ascii="宋体" w:hAnsi="宋体"/>
          <w:sz w:val="24"/>
        </w:rPr>
        <w:t xml:space="preserve">1.1.8  </w:t>
      </w:r>
      <w:r>
        <w:rPr>
          <w:rFonts w:hint="eastAsia" w:ascii="宋体" w:hAnsi="宋体"/>
          <w:sz w:val="24"/>
        </w:rPr>
        <w:t>其他需要补充的内容</w:t>
      </w:r>
    </w:p>
    <w:p w14:paraId="2C77FCA6">
      <w:pPr>
        <w:wordWrap w:val="0"/>
        <w:spacing w:line="360" w:lineRule="auto"/>
        <w:ind w:firstLine="480" w:firstLineChars="200"/>
        <w:jc w:val="left"/>
        <w:rPr>
          <w:rFonts w:ascii="宋体" w:hAnsi="宋体"/>
          <w:sz w:val="24"/>
        </w:rPr>
      </w:pPr>
      <w:r>
        <w:rPr>
          <w:rFonts w:hint="eastAsia" w:ascii="宋体" w:hAnsi="宋体"/>
          <w:sz w:val="24"/>
        </w:rPr>
        <w:t xml:space="preserve">1.1.8.1  </w:t>
      </w:r>
      <w:r>
        <w:rPr>
          <w:rFonts w:ascii="宋体" w:hAnsi="宋体"/>
          <w:sz w:val="24"/>
        </w:rPr>
        <w:t>签约</w:t>
      </w:r>
      <w:r>
        <w:rPr>
          <w:rFonts w:hint="eastAsia" w:ascii="宋体" w:hAnsi="宋体"/>
          <w:sz w:val="24"/>
        </w:rPr>
        <w:t>图纸：指招标文件提供的设计文件和</w:t>
      </w:r>
      <w:bookmarkStart w:id="727" w:name="OLE_LINK125"/>
      <w:r>
        <w:rPr>
          <w:rFonts w:hint="eastAsia" w:ascii="宋体" w:hAnsi="宋体"/>
          <w:sz w:val="24"/>
        </w:rPr>
        <w:t>招标人在招标过程中发出的有关</w:t>
      </w:r>
      <w:bookmarkEnd w:id="727"/>
      <w:r>
        <w:rPr>
          <w:rFonts w:hint="eastAsia" w:ascii="宋体" w:hAnsi="宋体"/>
          <w:sz w:val="24"/>
        </w:rPr>
        <w:t>设计文件的补充、澄清或修改文件。</w:t>
      </w:r>
    </w:p>
    <w:p w14:paraId="12242541">
      <w:pPr>
        <w:wordWrap w:val="0"/>
        <w:spacing w:line="360" w:lineRule="auto"/>
        <w:ind w:firstLine="480" w:firstLineChars="200"/>
        <w:jc w:val="left"/>
        <w:rPr>
          <w:rFonts w:ascii="宋体" w:hAnsi="宋体"/>
          <w:sz w:val="24"/>
        </w:rPr>
      </w:pPr>
      <w:r>
        <w:rPr>
          <w:rFonts w:hint="eastAsia" w:ascii="宋体" w:hAnsi="宋体"/>
          <w:sz w:val="24"/>
        </w:rPr>
        <w:t>1.1.8.2  签约规范：指招标文件提供的说明合同工程的材料标准或要求、工程技术标准、施工验收标准等的技术要求文件，和招标人在招标过程中发出的有关技术要求文件的补充、澄清或修改文件。</w:t>
      </w:r>
    </w:p>
    <w:p w14:paraId="0FB5E3E4">
      <w:pPr>
        <w:wordWrap w:val="0"/>
        <w:spacing w:line="360" w:lineRule="auto"/>
        <w:ind w:firstLine="480" w:firstLineChars="200"/>
        <w:jc w:val="left"/>
        <w:rPr>
          <w:rFonts w:ascii="宋体" w:hAnsi="宋体"/>
          <w:sz w:val="24"/>
        </w:rPr>
      </w:pPr>
      <w:r>
        <w:rPr>
          <w:rFonts w:hint="eastAsia" w:ascii="宋体" w:hAnsi="宋体"/>
          <w:sz w:val="24"/>
        </w:rPr>
        <w:t>1.1.8.3  已标价工程量清单：指构成合同文件组成部分的由承包人在投标时按照规定的格式和要求填写并标明价格的工程量清单。</w:t>
      </w:r>
    </w:p>
    <w:p w14:paraId="4FF45AEC">
      <w:pPr>
        <w:wordWrap w:val="0"/>
        <w:spacing w:line="360" w:lineRule="auto"/>
        <w:ind w:firstLine="480" w:firstLineChars="200"/>
        <w:jc w:val="left"/>
        <w:rPr>
          <w:rFonts w:ascii="宋体" w:hAnsi="宋体"/>
          <w:sz w:val="24"/>
        </w:rPr>
      </w:pPr>
      <w:bookmarkStart w:id="728" w:name="OLE_LINK129"/>
      <w:r>
        <w:rPr>
          <w:rFonts w:hint="eastAsia" w:ascii="宋体" w:hAnsi="宋体"/>
          <w:sz w:val="24"/>
        </w:rPr>
        <w:t>1.1.8.4  合同单价：承包人在已标价工程量清单内所报的综合单价,以及承包人投标报价澄清或说明中获得发包人接纳的修正综合单价。</w:t>
      </w:r>
    </w:p>
    <w:bookmarkEnd w:id="728"/>
    <w:p w14:paraId="6C50F94E">
      <w:pPr>
        <w:wordWrap w:val="0"/>
        <w:spacing w:line="360" w:lineRule="auto"/>
        <w:ind w:firstLine="480" w:firstLineChars="200"/>
        <w:jc w:val="left"/>
        <w:rPr>
          <w:rFonts w:ascii="宋体"/>
          <w:sz w:val="24"/>
        </w:rPr>
      </w:pPr>
      <w:r>
        <w:rPr>
          <w:rFonts w:hint="eastAsia" w:ascii="宋体" w:hAnsi="宋体"/>
          <w:sz w:val="24"/>
        </w:rPr>
        <w:t>1.1.8.5  其他需要补充的内容</w:t>
      </w:r>
      <w:r>
        <w:rPr>
          <w:rFonts w:hint="eastAsia" w:ascii="黑体" w:hAnsi="黑体" w:eastAsia="黑体"/>
          <w:sz w:val="24"/>
        </w:rPr>
        <w:t>见合同条款专用部分</w:t>
      </w:r>
      <w:r>
        <w:rPr>
          <w:rFonts w:hint="eastAsia" w:ascii="宋体" w:hAnsi="宋体"/>
          <w:sz w:val="24"/>
        </w:rPr>
        <w:t>。</w:t>
      </w:r>
    </w:p>
    <w:p w14:paraId="797922EA">
      <w:pPr>
        <w:wordWrap w:val="0"/>
        <w:spacing w:before="120" w:beforeLines="50" w:after="120" w:afterLines="50" w:line="360" w:lineRule="auto"/>
        <w:outlineLvl w:val="2"/>
        <w:rPr>
          <w:rFonts w:ascii="宋体"/>
          <w:kern w:val="0"/>
          <w:sz w:val="24"/>
          <w:szCs w:val="20"/>
        </w:rPr>
      </w:pPr>
      <w:bookmarkStart w:id="729" w:name="_Toc144974581"/>
      <w:bookmarkStart w:id="730" w:name="_Toc480486898"/>
      <w:bookmarkStart w:id="731" w:name="_Toc152045613"/>
      <w:bookmarkStart w:id="732" w:name="_Toc490222489"/>
      <w:bookmarkStart w:id="733" w:name="_Toc489279855"/>
      <w:bookmarkStart w:id="734" w:name="_Toc179632631"/>
      <w:bookmarkStart w:id="735" w:name="_Toc152042391"/>
      <w:bookmarkStart w:id="736" w:name="_Toc207289573"/>
      <w:bookmarkStart w:id="737" w:name="_Toc486580044"/>
      <w:bookmarkStart w:id="738" w:name="_Toc338944706"/>
      <w:bookmarkStart w:id="739" w:name="_Toc480486726"/>
      <w:bookmarkStart w:id="740" w:name="_Toc483668073"/>
      <w:bookmarkStart w:id="741" w:name="_Toc342296264"/>
      <w:r>
        <w:rPr>
          <w:rFonts w:ascii="宋体"/>
          <w:kern w:val="0"/>
          <w:sz w:val="24"/>
          <w:szCs w:val="20"/>
        </w:rPr>
        <w:t xml:space="preserve">1.2  </w:t>
      </w:r>
      <w:r>
        <w:rPr>
          <w:rFonts w:hint="eastAsia" w:ascii="宋体"/>
          <w:kern w:val="0"/>
          <w:sz w:val="24"/>
          <w:szCs w:val="20"/>
        </w:rPr>
        <w:t>语言文字</w:t>
      </w:r>
      <w:bookmarkEnd w:id="729"/>
      <w:bookmarkEnd w:id="730"/>
      <w:bookmarkEnd w:id="731"/>
      <w:bookmarkEnd w:id="732"/>
      <w:bookmarkEnd w:id="733"/>
      <w:bookmarkEnd w:id="734"/>
      <w:bookmarkEnd w:id="735"/>
      <w:bookmarkEnd w:id="736"/>
      <w:bookmarkEnd w:id="737"/>
      <w:bookmarkEnd w:id="738"/>
      <w:bookmarkEnd w:id="739"/>
      <w:bookmarkEnd w:id="740"/>
      <w:bookmarkEnd w:id="741"/>
    </w:p>
    <w:p w14:paraId="373D5555">
      <w:pPr>
        <w:wordWrap w:val="0"/>
        <w:spacing w:line="360" w:lineRule="auto"/>
        <w:ind w:firstLine="480" w:firstLineChars="200"/>
        <w:jc w:val="left"/>
        <w:rPr>
          <w:rFonts w:ascii="宋体"/>
          <w:sz w:val="24"/>
          <w:szCs w:val="32"/>
        </w:rPr>
      </w:pPr>
      <w:r>
        <w:rPr>
          <w:rFonts w:hint="eastAsia" w:ascii="宋体" w:hAnsi="宋体"/>
          <w:sz w:val="24"/>
          <w:szCs w:val="32"/>
        </w:rPr>
        <w:t>除专用术语外，合同使用的语言文字为中文。必要时专用术语应附有中文注释。</w:t>
      </w:r>
    </w:p>
    <w:p w14:paraId="46FF6E21">
      <w:pPr>
        <w:wordWrap w:val="0"/>
        <w:spacing w:before="120" w:beforeLines="50" w:after="120" w:afterLines="50" w:line="360" w:lineRule="auto"/>
        <w:outlineLvl w:val="2"/>
        <w:rPr>
          <w:rFonts w:ascii="宋体"/>
          <w:kern w:val="0"/>
          <w:sz w:val="24"/>
          <w:szCs w:val="20"/>
        </w:rPr>
      </w:pPr>
      <w:bookmarkStart w:id="742" w:name="_Toc480486727"/>
      <w:bookmarkStart w:id="743" w:name="_Toc489279856"/>
      <w:bookmarkStart w:id="744" w:name="_Toc483668074"/>
      <w:bookmarkStart w:id="745" w:name="_Toc152042392"/>
      <w:bookmarkStart w:id="746" w:name="_Toc480486899"/>
      <w:bookmarkStart w:id="747" w:name="_Toc338944707"/>
      <w:bookmarkStart w:id="748" w:name="_Toc486580045"/>
      <w:bookmarkStart w:id="749" w:name="_Toc342296265"/>
      <w:bookmarkStart w:id="750" w:name="_Toc179632632"/>
      <w:bookmarkStart w:id="751" w:name="_Toc144974582"/>
      <w:bookmarkStart w:id="752" w:name="_Toc490222490"/>
      <w:bookmarkStart w:id="753" w:name="_Toc207289574"/>
      <w:bookmarkStart w:id="754" w:name="_Toc152045614"/>
      <w:r>
        <w:rPr>
          <w:rFonts w:ascii="宋体"/>
          <w:kern w:val="0"/>
          <w:sz w:val="24"/>
          <w:szCs w:val="20"/>
        </w:rPr>
        <w:t xml:space="preserve">1.3  </w:t>
      </w:r>
      <w:r>
        <w:rPr>
          <w:rFonts w:hint="eastAsia" w:ascii="宋体"/>
          <w:kern w:val="0"/>
          <w:sz w:val="24"/>
          <w:szCs w:val="20"/>
        </w:rPr>
        <w:t>法律</w:t>
      </w:r>
      <w:bookmarkEnd w:id="742"/>
      <w:bookmarkEnd w:id="743"/>
      <w:bookmarkEnd w:id="744"/>
      <w:bookmarkEnd w:id="745"/>
      <w:bookmarkEnd w:id="746"/>
      <w:bookmarkEnd w:id="747"/>
      <w:bookmarkEnd w:id="748"/>
      <w:bookmarkEnd w:id="749"/>
      <w:bookmarkEnd w:id="750"/>
      <w:bookmarkEnd w:id="751"/>
      <w:bookmarkEnd w:id="752"/>
      <w:bookmarkEnd w:id="753"/>
      <w:bookmarkEnd w:id="754"/>
    </w:p>
    <w:p w14:paraId="5030B012">
      <w:pPr>
        <w:wordWrap w:val="0"/>
        <w:spacing w:line="360" w:lineRule="auto"/>
        <w:ind w:firstLine="480" w:firstLineChars="200"/>
        <w:jc w:val="left"/>
        <w:rPr>
          <w:rFonts w:ascii="宋体"/>
          <w:sz w:val="24"/>
          <w:szCs w:val="32"/>
        </w:rPr>
      </w:pPr>
      <w:r>
        <w:rPr>
          <w:rFonts w:hint="eastAsia" w:ascii="宋体" w:hAnsi="宋体"/>
          <w:sz w:val="24"/>
          <w:szCs w:val="32"/>
        </w:rPr>
        <w:t>适用于合同的法律包括中华人民共和国法律、行政法规、部门规章，以及工程所在地的地方法规、自治条例、单行条例和地方政府规章。</w:t>
      </w:r>
    </w:p>
    <w:p w14:paraId="76DF7256">
      <w:pPr>
        <w:wordWrap w:val="0"/>
        <w:spacing w:before="120" w:beforeLines="50" w:after="120" w:afterLines="50" w:line="360" w:lineRule="auto"/>
        <w:outlineLvl w:val="2"/>
        <w:rPr>
          <w:rFonts w:ascii="宋体"/>
          <w:kern w:val="0"/>
          <w:sz w:val="24"/>
          <w:szCs w:val="20"/>
        </w:rPr>
      </w:pPr>
      <w:bookmarkStart w:id="755" w:name="_Toc342296266"/>
      <w:bookmarkStart w:id="756" w:name="_Toc480486728"/>
      <w:bookmarkStart w:id="757" w:name="_Toc483668075"/>
      <w:bookmarkStart w:id="758" w:name="_Toc489279857"/>
      <w:bookmarkStart w:id="759" w:name="_Toc207289575"/>
      <w:bookmarkStart w:id="760" w:name="_Toc490222491"/>
      <w:bookmarkStart w:id="761" w:name="_Toc486580046"/>
      <w:bookmarkStart w:id="762" w:name="_Toc480486900"/>
      <w:bookmarkStart w:id="763" w:name="_Toc338944708"/>
      <w:r>
        <w:rPr>
          <w:rFonts w:ascii="宋体"/>
          <w:kern w:val="0"/>
          <w:sz w:val="24"/>
          <w:szCs w:val="20"/>
        </w:rPr>
        <w:t xml:space="preserve">1.4  </w:t>
      </w:r>
      <w:r>
        <w:rPr>
          <w:rFonts w:hint="eastAsia" w:ascii="宋体"/>
          <w:kern w:val="0"/>
          <w:sz w:val="24"/>
          <w:szCs w:val="20"/>
        </w:rPr>
        <w:t>合同文件的优先顺序</w:t>
      </w:r>
      <w:bookmarkEnd w:id="755"/>
      <w:bookmarkEnd w:id="756"/>
      <w:bookmarkEnd w:id="757"/>
      <w:bookmarkEnd w:id="758"/>
      <w:bookmarkEnd w:id="759"/>
      <w:bookmarkEnd w:id="760"/>
      <w:bookmarkEnd w:id="761"/>
      <w:bookmarkEnd w:id="762"/>
      <w:bookmarkEnd w:id="763"/>
    </w:p>
    <w:p w14:paraId="7532383D">
      <w:pPr>
        <w:wordWrap w:val="0"/>
        <w:spacing w:line="360" w:lineRule="auto"/>
        <w:ind w:firstLine="480" w:firstLineChars="200"/>
        <w:rPr>
          <w:rFonts w:ascii="宋体"/>
          <w:sz w:val="24"/>
          <w:szCs w:val="32"/>
        </w:rPr>
      </w:pPr>
      <w:r>
        <w:rPr>
          <w:rFonts w:hint="eastAsia" w:ascii="宋体" w:hAnsi="宋体"/>
          <w:sz w:val="24"/>
          <w:szCs w:val="32"/>
        </w:rPr>
        <w:t>组成合同的各项文件应互相解释，互为说明。除合同条款专用部分另有约定外，解释合同文件的优先顺序如下：</w:t>
      </w:r>
    </w:p>
    <w:p w14:paraId="22A464B0">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）合同协议书；</w:t>
      </w:r>
    </w:p>
    <w:p w14:paraId="17B77667">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）中标通知书；</w:t>
      </w:r>
    </w:p>
    <w:p w14:paraId="74460550">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3</w:t>
      </w:r>
      <w:r>
        <w:rPr>
          <w:rFonts w:hint="eastAsia" w:ascii="宋体" w:hAnsi="宋体"/>
          <w:sz w:val="24"/>
          <w:szCs w:val="32"/>
        </w:rPr>
        <w:t>）投标函及投标函附录；</w:t>
      </w:r>
    </w:p>
    <w:p w14:paraId="3D46BB3C">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4</w:t>
      </w:r>
      <w:r>
        <w:rPr>
          <w:rFonts w:hint="eastAsia" w:ascii="宋体" w:hAnsi="宋体"/>
          <w:sz w:val="24"/>
          <w:szCs w:val="32"/>
        </w:rPr>
        <w:t>）合同条款专用部分；</w:t>
      </w:r>
    </w:p>
    <w:p w14:paraId="5D89B94C">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5</w:t>
      </w:r>
      <w:r>
        <w:rPr>
          <w:rFonts w:hint="eastAsia" w:ascii="宋体" w:hAnsi="宋体"/>
          <w:sz w:val="24"/>
          <w:szCs w:val="32"/>
        </w:rPr>
        <w:t>）合同条款通用部分；</w:t>
      </w:r>
    </w:p>
    <w:p w14:paraId="079683E9">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6</w:t>
      </w:r>
      <w:r>
        <w:rPr>
          <w:rFonts w:hint="eastAsia" w:ascii="宋体" w:hAnsi="宋体"/>
          <w:sz w:val="24"/>
          <w:szCs w:val="32"/>
        </w:rPr>
        <w:t>）技术标准和要求；</w:t>
      </w:r>
    </w:p>
    <w:p w14:paraId="344F3951">
      <w:pPr>
        <w:wordWrap w:val="0"/>
        <w:spacing w:line="360" w:lineRule="auto"/>
        <w:ind w:firstLine="360" w:firstLineChars="150"/>
        <w:rPr>
          <w:rFonts w:ascii="宋体" w:hAnsi="宋体"/>
          <w:sz w:val="24"/>
          <w:szCs w:val="32"/>
        </w:rPr>
      </w:pPr>
      <w:r>
        <w:rPr>
          <w:rFonts w:hint="eastAsia" w:ascii="宋体" w:hAnsi="宋体"/>
          <w:sz w:val="24"/>
          <w:szCs w:val="32"/>
        </w:rPr>
        <w:t>（</w:t>
      </w:r>
      <w:r>
        <w:rPr>
          <w:rFonts w:ascii="宋体" w:hAnsi="宋体"/>
          <w:sz w:val="24"/>
          <w:szCs w:val="32"/>
        </w:rPr>
        <w:t>7</w:t>
      </w:r>
      <w:r>
        <w:rPr>
          <w:rFonts w:hint="eastAsia" w:ascii="宋体" w:hAnsi="宋体"/>
          <w:sz w:val="24"/>
          <w:szCs w:val="32"/>
        </w:rPr>
        <w:t>）图纸；</w:t>
      </w:r>
    </w:p>
    <w:p w14:paraId="5E56B0B1">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8</w:t>
      </w:r>
      <w:r>
        <w:rPr>
          <w:rFonts w:hint="eastAsia" w:ascii="宋体" w:hAnsi="宋体"/>
          <w:sz w:val="24"/>
          <w:szCs w:val="32"/>
        </w:rPr>
        <w:t>）</w:t>
      </w:r>
      <w:bookmarkStart w:id="764" w:name="_Hlk200375993"/>
      <w:r>
        <w:rPr>
          <w:rFonts w:hint="eastAsia" w:ascii="宋体" w:hAnsi="宋体"/>
          <w:sz w:val="24"/>
          <w:szCs w:val="32"/>
        </w:rPr>
        <w:t>合同清单</w:t>
      </w:r>
      <w:bookmarkEnd w:id="764"/>
      <w:r>
        <w:rPr>
          <w:rFonts w:hint="eastAsia" w:ascii="宋体" w:hAnsi="宋体"/>
          <w:sz w:val="24"/>
          <w:szCs w:val="32"/>
        </w:rPr>
        <w:t>；</w:t>
      </w:r>
    </w:p>
    <w:p w14:paraId="3EC54F17">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9</w:t>
      </w:r>
      <w:r>
        <w:rPr>
          <w:rFonts w:hint="eastAsia" w:ascii="宋体" w:hAnsi="宋体"/>
          <w:sz w:val="24"/>
          <w:szCs w:val="32"/>
        </w:rPr>
        <w:t>）其他合同文件。</w:t>
      </w:r>
    </w:p>
    <w:p w14:paraId="32780890">
      <w:pPr>
        <w:wordWrap w:val="0"/>
        <w:spacing w:line="360" w:lineRule="auto"/>
        <w:ind w:firstLine="480" w:firstLineChars="200"/>
        <w:rPr>
          <w:rFonts w:ascii="宋体" w:cs="Arial"/>
          <w:sz w:val="24"/>
          <w:szCs w:val="32"/>
        </w:rPr>
      </w:pPr>
      <w:r>
        <w:rPr>
          <w:rFonts w:hint="eastAsia" w:ascii="宋体" w:hAnsi="宋体" w:cs="Arial"/>
          <w:sz w:val="24"/>
          <w:szCs w:val="32"/>
        </w:rPr>
        <w:t>附注：</w:t>
      </w:r>
      <w:r>
        <w:rPr>
          <w:rFonts w:hint="eastAsia" w:ascii="宋体" w:hAnsi="宋体"/>
          <w:sz w:val="24"/>
          <w:szCs w:val="32"/>
        </w:rPr>
        <w:t>构成合同文件的</w:t>
      </w:r>
      <w:r>
        <w:rPr>
          <w:rFonts w:hint="eastAsia" w:ascii="宋体" w:hAnsi="宋体" w:cs="Arial"/>
          <w:sz w:val="24"/>
          <w:szCs w:val="32"/>
        </w:rPr>
        <w:t>图纸与技术标准和要求之间有矛盾或者不一致的，应以其中要求较严格的标准为准。</w:t>
      </w:r>
    </w:p>
    <w:p w14:paraId="41ED42AC">
      <w:pPr>
        <w:wordWrap w:val="0"/>
        <w:spacing w:line="360" w:lineRule="auto"/>
        <w:ind w:firstLine="480" w:firstLineChars="200"/>
        <w:rPr>
          <w:rFonts w:ascii="宋体"/>
          <w:sz w:val="24"/>
          <w:szCs w:val="32"/>
        </w:rPr>
      </w:pPr>
      <w:r>
        <w:rPr>
          <w:rFonts w:hint="eastAsia" w:ascii="宋体" w:hAnsi="宋体" w:cs="Arial"/>
          <w:sz w:val="24"/>
          <w:szCs w:val="32"/>
        </w:rPr>
        <w:t>合同双方在合同履行过程中签署的不背离合同实质性内容的补充协议，应当视为合同文件的有效组成部分，其解释顺序视其内容与其他合同文件的相互关系而定。</w:t>
      </w:r>
    </w:p>
    <w:p w14:paraId="46238977">
      <w:pPr>
        <w:wordWrap w:val="0"/>
        <w:spacing w:before="120" w:beforeLines="50" w:after="120" w:afterLines="50" w:line="360" w:lineRule="auto"/>
        <w:outlineLvl w:val="2"/>
        <w:rPr>
          <w:rFonts w:ascii="宋体"/>
          <w:kern w:val="0"/>
          <w:sz w:val="24"/>
          <w:szCs w:val="20"/>
        </w:rPr>
      </w:pPr>
      <w:bookmarkStart w:id="765" w:name="_Toc489279858"/>
      <w:bookmarkStart w:id="766" w:name="_Toc483668076"/>
      <w:bookmarkStart w:id="767" w:name="_Toc207289576"/>
      <w:bookmarkStart w:id="768" w:name="_Toc480486901"/>
      <w:bookmarkStart w:id="769" w:name="_Toc486580047"/>
      <w:bookmarkStart w:id="770" w:name="_Toc342296267"/>
      <w:bookmarkStart w:id="771" w:name="_Toc490222492"/>
      <w:bookmarkStart w:id="772" w:name="_Toc338944709"/>
      <w:bookmarkStart w:id="773" w:name="_Toc480486729"/>
      <w:r>
        <w:rPr>
          <w:rFonts w:ascii="宋体"/>
          <w:kern w:val="0"/>
          <w:sz w:val="24"/>
          <w:szCs w:val="20"/>
        </w:rPr>
        <w:t xml:space="preserve">1.5  </w:t>
      </w:r>
      <w:r>
        <w:rPr>
          <w:rFonts w:hint="eastAsia" w:ascii="宋体"/>
          <w:kern w:val="0"/>
          <w:sz w:val="24"/>
          <w:szCs w:val="20"/>
        </w:rPr>
        <w:t>合同协议书</w:t>
      </w:r>
      <w:bookmarkEnd w:id="765"/>
      <w:bookmarkEnd w:id="766"/>
      <w:bookmarkEnd w:id="767"/>
      <w:bookmarkEnd w:id="768"/>
      <w:bookmarkEnd w:id="769"/>
      <w:bookmarkEnd w:id="770"/>
      <w:bookmarkEnd w:id="771"/>
      <w:bookmarkEnd w:id="772"/>
      <w:bookmarkEnd w:id="773"/>
    </w:p>
    <w:p w14:paraId="5C5D70EC">
      <w:pPr>
        <w:wordWrap w:val="0"/>
        <w:spacing w:line="360" w:lineRule="auto"/>
        <w:ind w:firstLine="480" w:firstLineChars="200"/>
        <w:jc w:val="left"/>
        <w:rPr>
          <w:rFonts w:ascii="宋体"/>
          <w:sz w:val="24"/>
          <w:szCs w:val="32"/>
        </w:rPr>
      </w:pPr>
      <w:r>
        <w:rPr>
          <w:rFonts w:hint="eastAsia" w:ascii="宋体" w:hAnsi="宋体"/>
          <w:sz w:val="24"/>
          <w:szCs w:val="32"/>
        </w:rPr>
        <w:t>指由发包人与承包人共同签署的用于明确当事人合同关系的文件。承包人按照中标通知书规定的时间与发包人签订的合同协议书，除法律另有规定或合同条款专用部分另有约定外，发包人和承包人的法定代表人或其</w:t>
      </w:r>
      <w:r>
        <w:rPr>
          <w:rFonts w:hint="eastAsia" w:ascii="宋体" w:hAnsi="宋体" w:cs="Arial"/>
          <w:sz w:val="24"/>
        </w:rPr>
        <w:t>委托代理人</w:t>
      </w:r>
      <w:r>
        <w:rPr>
          <w:rFonts w:hint="eastAsia" w:ascii="宋体" w:hAnsi="宋体"/>
          <w:sz w:val="24"/>
          <w:szCs w:val="32"/>
        </w:rPr>
        <w:t>在合同协议书上签字并盖单位章后，合同生效。合同生效的条件</w:t>
      </w:r>
      <w:r>
        <w:rPr>
          <w:rFonts w:hint="eastAsia" w:ascii="黑体" w:hAnsi="黑体" w:eastAsia="黑体"/>
          <w:sz w:val="24"/>
          <w:szCs w:val="32"/>
        </w:rPr>
        <w:t>见合同条款专用部分</w:t>
      </w:r>
      <w:r>
        <w:rPr>
          <w:rFonts w:hint="eastAsia" w:ascii="宋体" w:hAnsi="宋体"/>
          <w:sz w:val="24"/>
          <w:szCs w:val="32"/>
        </w:rPr>
        <w:t>。</w:t>
      </w:r>
    </w:p>
    <w:p w14:paraId="07C1EDA5">
      <w:pPr>
        <w:wordWrap w:val="0"/>
        <w:spacing w:before="120" w:beforeLines="50" w:after="120" w:afterLines="50" w:line="360" w:lineRule="auto"/>
        <w:outlineLvl w:val="2"/>
        <w:rPr>
          <w:rFonts w:ascii="宋体"/>
          <w:kern w:val="0"/>
          <w:sz w:val="24"/>
          <w:szCs w:val="20"/>
        </w:rPr>
      </w:pPr>
      <w:bookmarkStart w:id="774" w:name="_Toc342296268"/>
      <w:bookmarkStart w:id="775" w:name="_Toc489279859"/>
      <w:bookmarkStart w:id="776" w:name="_Toc207289577"/>
      <w:bookmarkStart w:id="777" w:name="_Toc483668077"/>
      <w:bookmarkStart w:id="778" w:name="_Toc490222493"/>
      <w:bookmarkStart w:id="779" w:name="_Toc486580048"/>
      <w:bookmarkStart w:id="780" w:name="_Toc480486730"/>
      <w:bookmarkStart w:id="781" w:name="_Toc480486902"/>
      <w:bookmarkStart w:id="782" w:name="_Toc338944710"/>
      <w:r>
        <w:rPr>
          <w:rFonts w:ascii="宋体"/>
          <w:kern w:val="0"/>
          <w:sz w:val="24"/>
          <w:szCs w:val="20"/>
        </w:rPr>
        <w:t xml:space="preserve">1.6  </w:t>
      </w:r>
      <w:r>
        <w:rPr>
          <w:rFonts w:hint="eastAsia" w:ascii="宋体"/>
          <w:kern w:val="0"/>
          <w:sz w:val="24"/>
          <w:szCs w:val="20"/>
        </w:rPr>
        <w:t>图纸和承包人文件</w:t>
      </w:r>
      <w:bookmarkEnd w:id="774"/>
      <w:bookmarkEnd w:id="775"/>
      <w:bookmarkEnd w:id="776"/>
      <w:bookmarkEnd w:id="777"/>
      <w:bookmarkEnd w:id="778"/>
      <w:bookmarkEnd w:id="779"/>
      <w:bookmarkEnd w:id="780"/>
      <w:bookmarkEnd w:id="781"/>
      <w:bookmarkEnd w:id="782"/>
    </w:p>
    <w:p w14:paraId="35C6999A">
      <w:pPr>
        <w:wordWrap w:val="0"/>
        <w:spacing w:line="360" w:lineRule="auto"/>
        <w:ind w:firstLine="480" w:firstLineChars="200"/>
        <w:jc w:val="left"/>
        <w:rPr>
          <w:rFonts w:ascii="宋体"/>
          <w:sz w:val="24"/>
          <w:szCs w:val="32"/>
        </w:rPr>
      </w:pPr>
      <w:r>
        <w:rPr>
          <w:rFonts w:ascii="宋体" w:hAnsi="宋体"/>
          <w:sz w:val="24"/>
          <w:szCs w:val="32"/>
        </w:rPr>
        <w:t xml:space="preserve">1.6.1  </w:t>
      </w:r>
      <w:r>
        <w:rPr>
          <w:rFonts w:hint="eastAsia" w:ascii="宋体" w:hAnsi="宋体"/>
          <w:sz w:val="24"/>
          <w:szCs w:val="32"/>
        </w:rPr>
        <w:t>图纸的提供</w:t>
      </w:r>
    </w:p>
    <w:p w14:paraId="1EFF6770">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）发包人按照合同约定向承包人提供图纸。发包人未按时提供图纸造成工期延误的，按第</w:t>
      </w:r>
      <w:r>
        <w:rPr>
          <w:rFonts w:ascii="宋体" w:hAnsi="宋体"/>
          <w:sz w:val="24"/>
          <w:szCs w:val="32"/>
        </w:rPr>
        <w:t>11.3</w:t>
      </w:r>
      <w:r>
        <w:rPr>
          <w:rFonts w:hint="eastAsia" w:ascii="宋体" w:hAnsi="宋体"/>
          <w:sz w:val="24"/>
          <w:szCs w:val="32"/>
        </w:rPr>
        <w:t>款的约定办理。承包人需要增加图纸套数的，发包人应代为复制，复制费用由承包人承担。</w:t>
      </w:r>
    </w:p>
    <w:p w14:paraId="472FF9E5">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）依据合同条款专用部分第</w:t>
      </w:r>
      <w:r>
        <w:rPr>
          <w:rFonts w:ascii="宋体" w:hAnsi="宋体"/>
          <w:sz w:val="24"/>
          <w:szCs w:val="32"/>
        </w:rPr>
        <w:t>10.1</w:t>
      </w:r>
      <w:r>
        <w:rPr>
          <w:rFonts w:hint="eastAsia" w:ascii="宋体" w:hAnsi="宋体"/>
          <w:sz w:val="24"/>
          <w:szCs w:val="32"/>
        </w:rPr>
        <w:t>款约定制定的合同进度计划，或依据合同条款专用部分第</w:t>
      </w:r>
      <w:r>
        <w:rPr>
          <w:rFonts w:ascii="宋体" w:hAnsi="宋体"/>
          <w:sz w:val="24"/>
          <w:szCs w:val="32"/>
        </w:rPr>
        <w:t>10.2</w:t>
      </w:r>
      <w:r>
        <w:rPr>
          <w:rFonts w:hint="eastAsia" w:ascii="宋体" w:hAnsi="宋体"/>
          <w:sz w:val="24"/>
          <w:szCs w:val="32"/>
        </w:rPr>
        <w:t>款约定修订的合同进度计划，经监理人批准后</w:t>
      </w:r>
      <w:r>
        <w:rPr>
          <w:rFonts w:ascii="宋体" w:hAnsi="宋体"/>
          <w:sz w:val="24"/>
          <w:szCs w:val="32"/>
        </w:rPr>
        <w:t>7</w:t>
      </w:r>
      <w:r>
        <w:rPr>
          <w:rFonts w:hint="eastAsia" w:ascii="宋体" w:hAnsi="宋体"/>
          <w:sz w:val="24"/>
          <w:szCs w:val="32"/>
        </w:rPr>
        <w:t>日内，承包人应当根据合同进度计划或合同进度计划修订和本项约定的图纸提供期限和数量，编制或者修改图纸供应计划并报送监理人，其中应当载明承包人对各最新版本图纸</w:t>
      </w:r>
      <w:r>
        <w:rPr>
          <w:rFonts w:ascii="宋体" w:hAnsi="宋体"/>
          <w:sz w:val="24"/>
          <w:szCs w:val="32"/>
        </w:rPr>
        <w:t>(</w:t>
      </w:r>
      <w:r>
        <w:rPr>
          <w:rFonts w:hint="eastAsia" w:ascii="宋体" w:hAnsi="宋体"/>
          <w:sz w:val="24"/>
          <w:szCs w:val="32"/>
        </w:rPr>
        <w:t>包括第</w:t>
      </w:r>
      <w:r>
        <w:rPr>
          <w:rFonts w:ascii="宋体" w:hAnsi="宋体"/>
          <w:sz w:val="24"/>
          <w:szCs w:val="32"/>
        </w:rPr>
        <w:t>1.6.3</w:t>
      </w:r>
      <w:r>
        <w:rPr>
          <w:rFonts w:hint="eastAsia" w:ascii="宋体" w:hAnsi="宋体"/>
          <w:sz w:val="24"/>
          <w:szCs w:val="32"/>
        </w:rPr>
        <w:t>项约定的图纸修改图</w:t>
      </w:r>
      <w:r>
        <w:rPr>
          <w:rFonts w:ascii="宋体" w:hAnsi="宋体"/>
          <w:sz w:val="24"/>
          <w:szCs w:val="32"/>
        </w:rPr>
        <w:t>)</w:t>
      </w:r>
      <w:r>
        <w:rPr>
          <w:rFonts w:hint="eastAsia" w:ascii="宋体" w:hAnsi="宋体"/>
          <w:sz w:val="24"/>
          <w:szCs w:val="32"/>
        </w:rPr>
        <w:t>的最迟需求时间，监理人应当在收到图纸供应计划后</w:t>
      </w:r>
      <w:r>
        <w:rPr>
          <w:rFonts w:ascii="宋体" w:hAnsi="宋体"/>
          <w:sz w:val="24"/>
          <w:szCs w:val="32"/>
        </w:rPr>
        <w:t>7</w:t>
      </w:r>
      <w:r>
        <w:rPr>
          <w:rFonts w:hint="eastAsia" w:ascii="宋体" w:hAnsi="宋体"/>
          <w:sz w:val="24"/>
          <w:szCs w:val="32"/>
        </w:rPr>
        <w:t>天内批复或提出修改意见，否则该图纸供应计划视为得到批准。</w:t>
      </w:r>
    </w:p>
    <w:p w14:paraId="1692A79A">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3</w:t>
      </w:r>
      <w:r>
        <w:rPr>
          <w:rFonts w:hint="eastAsia" w:ascii="宋体" w:hAnsi="宋体"/>
          <w:sz w:val="24"/>
          <w:szCs w:val="32"/>
        </w:rPr>
        <w:t>）经监理人批准最新的图纸供应计划对合同双方有合同约束力，应当作为发包人或者监理人向承包人提供图纸的主要依据。发包人或者监理人不按照图纸供应计划提供图纸而导致承包人费用增加和（或）工期延误的，由发包人承担赔偿责任。</w:t>
      </w:r>
    </w:p>
    <w:p w14:paraId="13347785">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4</w:t>
      </w:r>
      <w:r>
        <w:rPr>
          <w:rFonts w:hint="eastAsia" w:ascii="宋体" w:hAnsi="宋体"/>
          <w:sz w:val="24"/>
          <w:szCs w:val="32"/>
        </w:rPr>
        <w:t>）承包人未按照约定的时间向监理人提交图纸供应计划</w:t>
      </w:r>
      <w:r>
        <w:rPr>
          <w:rFonts w:ascii="宋体"/>
          <w:sz w:val="24"/>
          <w:szCs w:val="32"/>
        </w:rPr>
        <w:t>,</w:t>
      </w:r>
      <w:r>
        <w:rPr>
          <w:rFonts w:hint="eastAsia" w:ascii="宋体" w:hAnsi="宋体"/>
          <w:sz w:val="24"/>
          <w:szCs w:val="32"/>
        </w:rPr>
        <w:t>致使发包人或者监理人未能在约定的时间内提供相应图纸或者承包人未按照图纸供应计划组织施工所造成的费用增加和（或）工期延误由承包人承担。</w:t>
      </w:r>
    </w:p>
    <w:p w14:paraId="5ED9E21C">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5</w:t>
      </w:r>
      <w:r>
        <w:rPr>
          <w:rFonts w:hint="eastAsia" w:ascii="宋体" w:hAnsi="宋体"/>
          <w:sz w:val="24"/>
          <w:szCs w:val="32"/>
        </w:rPr>
        <w:t>）发包人提供图纸的期限、数量和其他约定</w:t>
      </w:r>
      <w:r>
        <w:rPr>
          <w:rFonts w:hint="eastAsia" w:ascii="黑体" w:hAnsi="黑体" w:eastAsia="黑体"/>
          <w:sz w:val="24"/>
          <w:szCs w:val="32"/>
        </w:rPr>
        <w:t>见合同条款专用部分</w:t>
      </w:r>
      <w:r>
        <w:rPr>
          <w:rFonts w:hint="eastAsia" w:ascii="宋体" w:hAnsi="宋体"/>
          <w:sz w:val="24"/>
          <w:szCs w:val="32"/>
        </w:rPr>
        <w:t>。</w:t>
      </w:r>
    </w:p>
    <w:p w14:paraId="67C4403C">
      <w:pPr>
        <w:wordWrap w:val="0"/>
        <w:spacing w:line="360" w:lineRule="auto"/>
        <w:ind w:firstLine="480" w:firstLineChars="200"/>
        <w:rPr>
          <w:rFonts w:ascii="宋体"/>
          <w:sz w:val="24"/>
          <w:szCs w:val="32"/>
        </w:rPr>
      </w:pPr>
      <w:r>
        <w:rPr>
          <w:rFonts w:ascii="宋体" w:hAnsi="宋体"/>
          <w:sz w:val="24"/>
          <w:szCs w:val="32"/>
        </w:rPr>
        <w:t xml:space="preserve">1.6.2  </w:t>
      </w:r>
      <w:r>
        <w:rPr>
          <w:rFonts w:hint="eastAsia" w:ascii="宋体" w:hAnsi="宋体"/>
          <w:sz w:val="24"/>
          <w:szCs w:val="32"/>
        </w:rPr>
        <w:t>承包人提供的文件</w:t>
      </w:r>
    </w:p>
    <w:p w14:paraId="6EE1257F">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由承包人提供的文件包括部分工程的大样图、加工图等，承包人应当按照约定的范围、数量和期限报送监理人，监理人应当在约定的期限内批复。承包人提供文件的范围、数量、期限和监理人批复期限以及其他约定</w:t>
      </w:r>
      <w:r>
        <w:rPr>
          <w:rFonts w:hint="eastAsia" w:ascii="黑体" w:hAnsi="黑体" w:eastAsia="黑体"/>
          <w:sz w:val="24"/>
          <w:szCs w:val="32"/>
        </w:rPr>
        <w:t>见合同条款专用部分</w:t>
      </w:r>
      <w:r>
        <w:rPr>
          <w:rFonts w:hint="eastAsia" w:ascii="宋体" w:hAnsi="宋体"/>
          <w:sz w:val="24"/>
          <w:szCs w:val="32"/>
        </w:rPr>
        <w:t>。</w:t>
      </w:r>
    </w:p>
    <w:p w14:paraId="4E6861F6">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）除合同条款第</w:t>
      </w:r>
      <w:r>
        <w:rPr>
          <w:rFonts w:ascii="宋体" w:hAnsi="宋体"/>
          <w:sz w:val="24"/>
          <w:szCs w:val="32"/>
        </w:rPr>
        <w:t>4.1.10</w:t>
      </w:r>
      <w:r>
        <w:rPr>
          <w:rFonts w:hint="eastAsia" w:ascii="宋体" w:hAnsi="宋体"/>
          <w:sz w:val="24"/>
          <w:szCs w:val="32"/>
        </w:rPr>
        <w:t>项约定的由承包人提供的设计文件外，本项约定的其他应由承包人提供的文件，包括必要的加工图和大样图，均不能作为合同计量与支付的依据文件。</w:t>
      </w:r>
    </w:p>
    <w:p w14:paraId="1582F8B4">
      <w:pPr>
        <w:wordWrap w:val="0"/>
        <w:spacing w:line="360" w:lineRule="auto"/>
        <w:ind w:firstLine="480" w:firstLineChars="200"/>
        <w:jc w:val="left"/>
        <w:rPr>
          <w:rFonts w:ascii="宋体"/>
          <w:sz w:val="24"/>
          <w:szCs w:val="32"/>
        </w:rPr>
      </w:pPr>
      <w:r>
        <w:rPr>
          <w:rFonts w:ascii="宋体" w:hAnsi="宋体"/>
          <w:sz w:val="24"/>
          <w:szCs w:val="32"/>
        </w:rPr>
        <w:t xml:space="preserve">1.6.3  </w:t>
      </w:r>
      <w:r>
        <w:rPr>
          <w:rFonts w:hint="eastAsia" w:ascii="宋体" w:hAnsi="宋体"/>
          <w:sz w:val="24"/>
          <w:szCs w:val="32"/>
        </w:rPr>
        <w:t>图纸的修改</w:t>
      </w:r>
    </w:p>
    <w:p w14:paraId="5C8BDF2A">
      <w:pPr>
        <w:wordWrap w:val="0"/>
        <w:spacing w:line="360" w:lineRule="auto"/>
        <w:ind w:firstLine="480" w:firstLineChars="200"/>
        <w:jc w:val="left"/>
        <w:rPr>
          <w:rFonts w:ascii="宋体"/>
          <w:sz w:val="24"/>
          <w:szCs w:val="32"/>
        </w:rPr>
      </w:pPr>
      <w:r>
        <w:rPr>
          <w:rFonts w:hint="eastAsia" w:ascii="宋体" w:hAnsi="宋体"/>
          <w:sz w:val="24"/>
          <w:szCs w:val="32"/>
        </w:rPr>
        <w:t>图纸需要修改和补充的，监理人应当按照合同条款第</w:t>
      </w:r>
      <w:r>
        <w:rPr>
          <w:rFonts w:ascii="宋体" w:hAnsi="宋体"/>
          <w:sz w:val="24"/>
          <w:szCs w:val="32"/>
        </w:rPr>
        <w:t>1.6.1</w:t>
      </w:r>
      <w:r>
        <w:rPr>
          <w:rFonts w:hint="eastAsia" w:ascii="宋体" w:hAnsi="宋体"/>
          <w:sz w:val="24"/>
          <w:szCs w:val="32"/>
        </w:rPr>
        <w:t>（</w:t>
      </w:r>
      <w:r>
        <w:rPr>
          <w:rFonts w:ascii="宋体" w:hAnsi="宋体"/>
          <w:sz w:val="24"/>
          <w:szCs w:val="32"/>
        </w:rPr>
        <w:t>2</w:t>
      </w:r>
      <w:r>
        <w:rPr>
          <w:rFonts w:hint="eastAsia" w:ascii="宋体" w:hAnsi="宋体"/>
          <w:sz w:val="24"/>
          <w:szCs w:val="32"/>
        </w:rPr>
        <w:t>）目约定的有合同约束力的图纸供应计划，签发图纸修改图给承包人。承包人应按修改后的图纸施工。</w:t>
      </w:r>
    </w:p>
    <w:p w14:paraId="7CFD3CEC">
      <w:pPr>
        <w:wordWrap w:val="0"/>
        <w:spacing w:line="360" w:lineRule="auto"/>
        <w:ind w:firstLine="480" w:firstLineChars="200"/>
        <w:jc w:val="left"/>
        <w:rPr>
          <w:rFonts w:ascii="宋体"/>
          <w:sz w:val="24"/>
          <w:szCs w:val="32"/>
        </w:rPr>
      </w:pPr>
      <w:r>
        <w:rPr>
          <w:rFonts w:ascii="宋体" w:hAnsi="宋体"/>
          <w:sz w:val="24"/>
          <w:szCs w:val="32"/>
        </w:rPr>
        <w:t xml:space="preserve">1.6.4  </w:t>
      </w:r>
      <w:r>
        <w:rPr>
          <w:rFonts w:hint="eastAsia" w:ascii="宋体" w:hAnsi="宋体"/>
          <w:sz w:val="24"/>
          <w:szCs w:val="32"/>
        </w:rPr>
        <w:t>图纸的错误</w:t>
      </w:r>
    </w:p>
    <w:p w14:paraId="1A1734CE">
      <w:pPr>
        <w:wordWrap w:val="0"/>
        <w:spacing w:line="360" w:lineRule="auto"/>
        <w:ind w:firstLine="480" w:firstLineChars="200"/>
        <w:jc w:val="left"/>
        <w:rPr>
          <w:rFonts w:ascii="宋体"/>
          <w:sz w:val="24"/>
          <w:szCs w:val="32"/>
        </w:rPr>
      </w:pPr>
      <w:r>
        <w:rPr>
          <w:rFonts w:hint="eastAsia" w:ascii="宋体" w:hAnsi="宋体"/>
          <w:sz w:val="24"/>
          <w:szCs w:val="32"/>
        </w:rPr>
        <w:t>承包人发现发包人提供的图纸存在明显错误或疏忽，应及时通知监理人。</w:t>
      </w:r>
    </w:p>
    <w:p w14:paraId="07517B1C">
      <w:pPr>
        <w:wordWrap w:val="0"/>
        <w:spacing w:line="360" w:lineRule="auto"/>
        <w:ind w:firstLine="480" w:firstLineChars="200"/>
        <w:jc w:val="left"/>
        <w:rPr>
          <w:rFonts w:ascii="宋体"/>
          <w:sz w:val="24"/>
          <w:szCs w:val="32"/>
        </w:rPr>
      </w:pPr>
      <w:r>
        <w:rPr>
          <w:rFonts w:ascii="宋体" w:hAnsi="宋体"/>
          <w:sz w:val="24"/>
          <w:szCs w:val="32"/>
        </w:rPr>
        <w:t xml:space="preserve">1.6.5  </w:t>
      </w:r>
      <w:r>
        <w:rPr>
          <w:rFonts w:hint="eastAsia" w:ascii="宋体" w:hAnsi="宋体"/>
          <w:sz w:val="24"/>
          <w:szCs w:val="32"/>
        </w:rPr>
        <w:t>图纸和承包人文件的保管</w:t>
      </w:r>
    </w:p>
    <w:p w14:paraId="5BECA475">
      <w:pPr>
        <w:wordWrap w:val="0"/>
        <w:spacing w:line="360" w:lineRule="auto"/>
        <w:ind w:firstLine="480" w:firstLineChars="200"/>
        <w:jc w:val="left"/>
        <w:rPr>
          <w:rFonts w:ascii="宋体"/>
          <w:sz w:val="24"/>
          <w:szCs w:val="32"/>
        </w:rPr>
      </w:pPr>
      <w:r>
        <w:rPr>
          <w:rFonts w:hint="eastAsia" w:ascii="宋体" w:hAnsi="宋体"/>
          <w:sz w:val="24"/>
          <w:szCs w:val="32"/>
        </w:rPr>
        <w:t>监理人和承包人均应在施工场地各保存一套完整的包含第</w:t>
      </w:r>
      <w:r>
        <w:rPr>
          <w:rFonts w:ascii="宋体" w:hAnsi="宋体"/>
          <w:sz w:val="24"/>
          <w:szCs w:val="32"/>
        </w:rPr>
        <w:t>1.6.1</w:t>
      </w:r>
      <w:r>
        <w:rPr>
          <w:rFonts w:hint="eastAsia" w:ascii="宋体" w:hAnsi="宋体"/>
          <w:sz w:val="24"/>
          <w:szCs w:val="32"/>
        </w:rPr>
        <w:t>项、第</w:t>
      </w:r>
      <w:r>
        <w:rPr>
          <w:rFonts w:ascii="宋体" w:hAnsi="宋体"/>
          <w:sz w:val="24"/>
          <w:szCs w:val="32"/>
        </w:rPr>
        <w:t>1.6.2</w:t>
      </w:r>
      <w:r>
        <w:rPr>
          <w:rFonts w:hint="eastAsia" w:ascii="宋体" w:hAnsi="宋体"/>
          <w:sz w:val="24"/>
          <w:szCs w:val="32"/>
        </w:rPr>
        <w:t>项、第</w:t>
      </w:r>
      <w:r>
        <w:rPr>
          <w:rFonts w:ascii="宋体" w:hAnsi="宋体"/>
          <w:sz w:val="24"/>
          <w:szCs w:val="32"/>
        </w:rPr>
        <w:t>1.6.3</w:t>
      </w:r>
      <w:r>
        <w:rPr>
          <w:rFonts w:hint="eastAsia" w:ascii="宋体" w:hAnsi="宋体"/>
          <w:sz w:val="24"/>
          <w:szCs w:val="32"/>
        </w:rPr>
        <w:t>项约定内容的图纸和承包人文件。</w:t>
      </w:r>
    </w:p>
    <w:p w14:paraId="206DFAB1">
      <w:pPr>
        <w:wordWrap w:val="0"/>
        <w:spacing w:before="120" w:beforeLines="50" w:after="120" w:afterLines="50" w:line="360" w:lineRule="auto"/>
        <w:outlineLvl w:val="2"/>
        <w:rPr>
          <w:rFonts w:ascii="宋体"/>
          <w:kern w:val="0"/>
          <w:sz w:val="24"/>
          <w:szCs w:val="20"/>
        </w:rPr>
      </w:pPr>
      <w:bookmarkStart w:id="783" w:name="_Toc480486903"/>
      <w:bookmarkStart w:id="784" w:name="_Toc483668078"/>
      <w:bookmarkStart w:id="785" w:name="_Toc342296269"/>
      <w:bookmarkStart w:id="786" w:name="_Toc480486731"/>
      <w:bookmarkStart w:id="787" w:name="_Toc338944711"/>
      <w:bookmarkStart w:id="788" w:name="_Toc489279860"/>
      <w:bookmarkStart w:id="789" w:name="_Toc207289578"/>
      <w:bookmarkStart w:id="790" w:name="_Toc490222494"/>
      <w:bookmarkStart w:id="791" w:name="_Toc486580049"/>
      <w:r>
        <w:rPr>
          <w:rFonts w:ascii="宋体"/>
          <w:kern w:val="0"/>
          <w:sz w:val="24"/>
          <w:szCs w:val="20"/>
        </w:rPr>
        <w:t xml:space="preserve">1.7  </w:t>
      </w:r>
      <w:r>
        <w:rPr>
          <w:rFonts w:hint="eastAsia" w:ascii="宋体"/>
          <w:kern w:val="0"/>
          <w:sz w:val="24"/>
          <w:szCs w:val="20"/>
        </w:rPr>
        <w:t>联络</w:t>
      </w:r>
      <w:bookmarkEnd w:id="783"/>
      <w:bookmarkEnd w:id="784"/>
      <w:bookmarkEnd w:id="785"/>
      <w:bookmarkEnd w:id="786"/>
      <w:bookmarkEnd w:id="787"/>
      <w:bookmarkEnd w:id="788"/>
      <w:bookmarkEnd w:id="789"/>
      <w:bookmarkEnd w:id="790"/>
      <w:bookmarkEnd w:id="791"/>
    </w:p>
    <w:p w14:paraId="36371824">
      <w:pPr>
        <w:wordWrap w:val="0"/>
        <w:spacing w:line="360" w:lineRule="auto"/>
        <w:ind w:firstLine="480" w:firstLineChars="200"/>
        <w:jc w:val="left"/>
        <w:rPr>
          <w:rFonts w:ascii="宋体"/>
          <w:sz w:val="24"/>
          <w:szCs w:val="32"/>
        </w:rPr>
      </w:pPr>
      <w:r>
        <w:rPr>
          <w:rFonts w:ascii="宋体" w:hAnsi="宋体"/>
          <w:sz w:val="24"/>
          <w:szCs w:val="32"/>
        </w:rPr>
        <w:t xml:space="preserve">1.7.1  </w:t>
      </w:r>
      <w:r>
        <w:rPr>
          <w:rFonts w:hint="eastAsia" w:ascii="宋体" w:hAnsi="宋体"/>
          <w:sz w:val="24"/>
          <w:szCs w:val="32"/>
        </w:rPr>
        <w:t>与合同有关的通知、批准、证明、证书、指示、要求、请求、同意、意见、确定和决定等，均应采用书面形式。</w:t>
      </w:r>
    </w:p>
    <w:p w14:paraId="7AA5ED9F">
      <w:pPr>
        <w:wordWrap w:val="0"/>
        <w:spacing w:line="360" w:lineRule="auto"/>
        <w:ind w:firstLine="480" w:firstLineChars="200"/>
        <w:jc w:val="left"/>
        <w:rPr>
          <w:rFonts w:ascii="宋体"/>
          <w:sz w:val="24"/>
          <w:szCs w:val="32"/>
        </w:rPr>
      </w:pPr>
      <w:r>
        <w:rPr>
          <w:rFonts w:ascii="宋体" w:hAnsi="宋体"/>
          <w:sz w:val="24"/>
          <w:szCs w:val="32"/>
        </w:rPr>
        <w:t xml:space="preserve">1.7.2  </w:t>
      </w:r>
      <w:r>
        <w:rPr>
          <w:rFonts w:hint="eastAsia" w:ascii="宋体" w:hAnsi="宋体"/>
          <w:sz w:val="24"/>
          <w:szCs w:val="32"/>
        </w:rPr>
        <w:t>第</w:t>
      </w:r>
      <w:r>
        <w:rPr>
          <w:rFonts w:ascii="宋体" w:hAnsi="宋体"/>
          <w:sz w:val="24"/>
          <w:szCs w:val="32"/>
        </w:rPr>
        <w:t>1.7.1</w:t>
      </w:r>
      <w:r>
        <w:rPr>
          <w:rFonts w:hint="eastAsia" w:ascii="宋体" w:hAnsi="宋体"/>
          <w:sz w:val="24"/>
          <w:szCs w:val="32"/>
        </w:rPr>
        <w:t>项中的通知、批准、证明、证书、指示、要求、请求、同意、意见、确定和决定等来往函件，均应在合同约定的期限内送达指定地点和接收人，并办理签收手续。</w:t>
      </w:r>
    </w:p>
    <w:p w14:paraId="4A99F714">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）联络来往信函的送达期限：合同约定了发出期限的，送达期限为合同约定的发出期限后的</w:t>
      </w:r>
      <w:r>
        <w:rPr>
          <w:rFonts w:ascii="宋体" w:hAnsi="宋体"/>
          <w:sz w:val="24"/>
          <w:szCs w:val="32"/>
        </w:rPr>
        <w:t>24</w:t>
      </w:r>
      <w:r>
        <w:rPr>
          <w:rFonts w:hint="eastAsia" w:ascii="宋体" w:hAnsi="宋体"/>
          <w:sz w:val="24"/>
          <w:szCs w:val="32"/>
        </w:rPr>
        <w:t>小时内；合同约定了通知、提供或者报送期限的，通知、提供或者报送期限即为送达期限。</w:t>
      </w:r>
    </w:p>
    <w:p w14:paraId="0FA8A019">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）发包人指定的接收人和接收地点</w:t>
      </w:r>
      <w:r>
        <w:rPr>
          <w:rFonts w:hint="eastAsia" w:ascii="黑体" w:hAnsi="黑体" w:eastAsia="黑体"/>
          <w:sz w:val="24"/>
          <w:szCs w:val="32"/>
        </w:rPr>
        <w:t>见合同条款专用部分</w:t>
      </w:r>
      <w:r>
        <w:rPr>
          <w:rFonts w:hint="eastAsia" w:ascii="宋体" w:hAnsi="宋体"/>
          <w:sz w:val="24"/>
          <w:szCs w:val="32"/>
        </w:rPr>
        <w:t>。</w:t>
      </w:r>
    </w:p>
    <w:p w14:paraId="53128CCA">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3</w:t>
      </w:r>
      <w:r>
        <w:rPr>
          <w:rFonts w:hint="eastAsia" w:ascii="宋体" w:hAnsi="宋体"/>
          <w:sz w:val="24"/>
          <w:szCs w:val="32"/>
        </w:rPr>
        <w:t>）监理人指定的接收人和接收地点</w:t>
      </w:r>
      <w:r>
        <w:rPr>
          <w:rFonts w:hint="eastAsia" w:ascii="黑体" w:hAnsi="黑体" w:eastAsia="黑体"/>
          <w:sz w:val="24"/>
          <w:szCs w:val="32"/>
        </w:rPr>
        <w:t>见合同条款专用部分</w:t>
      </w:r>
      <w:r>
        <w:rPr>
          <w:rFonts w:hint="eastAsia" w:ascii="宋体" w:hAnsi="宋体"/>
          <w:sz w:val="24"/>
          <w:szCs w:val="32"/>
        </w:rPr>
        <w:t>。</w:t>
      </w:r>
    </w:p>
    <w:p w14:paraId="09AFF395">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4</w:t>
      </w:r>
      <w:r>
        <w:rPr>
          <w:rFonts w:hint="eastAsia" w:ascii="宋体" w:hAnsi="宋体"/>
          <w:sz w:val="24"/>
          <w:szCs w:val="32"/>
        </w:rPr>
        <w:t>）承包人指定的接收人为合同协议书中载明的承包人项目经理本人或者项目经理的授权代表。承包人应在收到开工通知后</w:t>
      </w:r>
      <w:r>
        <w:rPr>
          <w:rFonts w:ascii="宋体" w:hAnsi="宋体"/>
          <w:sz w:val="24"/>
          <w:szCs w:val="32"/>
        </w:rPr>
        <w:t>7</w:t>
      </w:r>
      <w:r>
        <w:rPr>
          <w:rFonts w:hint="eastAsia" w:ascii="宋体" w:hAnsi="宋体"/>
          <w:sz w:val="24"/>
          <w:szCs w:val="32"/>
        </w:rPr>
        <w:t>天内，按照合同条款第</w:t>
      </w:r>
      <w:r>
        <w:rPr>
          <w:rFonts w:ascii="宋体" w:hAnsi="宋体"/>
          <w:sz w:val="24"/>
          <w:szCs w:val="32"/>
        </w:rPr>
        <w:t>4.5.4</w:t>
      </w:r>
      <w:r>
        <w:rPr>
          <w:rFonts w:hint="eastAsia" w:ascii="宋体" w:hAnsi="宋体"/>
          <w:sz w:val="24"/>
          <w:szCs w:val="32"/>
        </w:rPr>
        <w:t>项的约定，将授权代表其接收来往信函的项目经理的授权代表姓名和授权范围通知监理人。除合同条款专用部分另有约定外，承包人施工场地管理机构的办公地点即为承包人指定的接收地点。</w:t>
      </w:r>
    </w:p>
    <w:p w14:paraId="3E205892">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5</w:t>
      </w:r>
      <w:r>
        <w:rPr>
          <w:rFonts w:hint="eastAsia" w:ascii="宋体" w:hAnsi="宋体"/>
          <w:sz w:val="24"/>
          <w:szCs w:val="32"/>
        </w:rPr>
        <w:t>）发包人（包括监理人）和承包人中任何一方指定的接收人或者接收地点发生变动，应当在实际变动前提前至少一个工作日以书面形式通知另一方。发包人（包括监理人）和承包人应当确保其各自指定的接收人在法定的和（或）符合合同约定的工作时间内始终工作在指定的接收地点，指定接收人离开工作岗位而无法及时签收来往信函视为拒不签收。</w:t>
      </w:r>
    </w:p>
    <w:p w14:paraId="79F2B0C7">
      <w:pPr>
        <w:wordWrap w:val="0"/>
        <w:spacing w:line="360" w:lineRule="auto"/>
        <w:ind w:firstLine="480" w:firstLineChars="200"/>
        <w:jc w:val="left"/>
        <w:rPr>
          <w:rFonts w:ascii="宋体"/>
          <w:sz w:val="24"/>
          <w:szCs w:val="32"/>
        </w:rPr>
      </w:pPr>
      <w:r>
        <w:rPr>
          <w:rFonts w:hint="eastAsia" w:ascii="宋体" w:hAnsi="宋体"/>
          <w:sz w:val="24"/>
          <w:szCs w:val="32"/>
        </w:rPr>
        <w:t>（</w:t>
      </w:r>
      <w:r>
        <w:rPr>
          <w:rFonts w:ascii="宋体" w:hAnsi="宋体"/>
          <w:sz w:val="24"/>
          <w:szCs w:val="32"/>
        </w:rPr>
        <w:t>6</w:t>
      </w:r>
      <w:r>
        <w:rPr>
          <w:rFonts w:hint="eastAsia" w:ascii="宋体" w:hAnsi="宋体"/>
          <w:sz w:val="24"/>
          <w:szCs w:val="32"/>
        </w:rPr>
        <w:t>）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6E74B707">
      <w:pPr>
        <w:wordWrap w:val="0"/>
        <w:spacing w:before="120" w:beforeLines="50" w:after="120" w:afterLines="50" w:line="360" w:lineRule="auto"/>
        <w:outlineLvl w:val="2"/>
        <w:rPr>
          <w:rFonts w:ascii="宋体"/>
          <w:kern w:val="0"/>
          <w:sz w:val="24"/>
          <w:szCs w:val="20"/>
        </w:rPr>
      </w:pPr>
      <w:bookmarkStart w:id="792" w:name="_Toc490222495"/>
      <w:bookmarkStart w:id="793" w:name="_Toc486580050"/>
      <w:bookmarkStart w:id="794" w:name="_Toc483668079"/>
      <w:bookmarkStart w:id="795" w:name="_Toc207289579"/>
      <w:bookmarkStart w:id="796" w:name="_Toc480486904"/>
      <w:bookmarkStart w:id="797" w:name="_Toc480486732"/>
      <w:bookmarkStart w:id="798" w:name="_Toc152042397"/>
      <w:bookmarkStart w:id="799" w:name="_Toc338944712"/>
      <w:bookmarkStart w:id="800" w:name="_Toc342296270"/>
      <w:bookmarkStart w:id="801" w:name="_Toc489279861"/>
      <w:bookmarkStart w:id="802" w:name="_Toc179632637"/>
      <w:bookmarkStart w:id="803" w:name="_Toc144974587"/>
      <w:bookmarkStart w:id="804" w:name="_Toc152045619"/>
      <w:r>
        <w:rPr>
          <w:rFonts w:ascii="宋体"/>
          <w:kern w:val="0"/>
          <w:sz w:val="24"/>
          <w:szCs w:val="20"/>
        </w:rPr>
        <w:t xml:space="preserve">1.8  </w:t>
      </w:r>
      <w:r>
        <w:rPr>
          <w:rFonts w:hint="eastAsia" w:ascii="宋体"/>
          <w:kern w:val="0"/>
          <w:sz w:val="24"/>
          <w:szCs w:val="20"/>
        </w:rPr>
        <w:t>转让</w:t>
      </w:r>
      <w:bookmarkEnd w:id="792"/>
      <w:bookmarkEnd w:id="793"/>
      <w:bookmarkEnd w:id="794"/>
      <w:bookmarkEnd w:id="795"/>
      <w:bookmarkEnd w:id="796"/>
      <w:bookmarkEnd w:id="797"/>
      <w:bookmarkEnd w:id="798"/>
      <w:bookmarkEnd w:id="799"/>
      <w:bookmarkEnd w:id="800"/>
      <w:bookmarkEnd w:id="801"/>
      <w:bookmarkEnd w:id="802"/>
      <w:bookmarkEnd w:id="803"/>
      <w:bookmarkEnd w:id="804"/>
    </w:p>
    <w:p w14:paraId="0E9E87C0">
      <w:pPr>
        <w:wordWrap w:val="0"/>
        <w:spacing w:line="360" w:lineRule="auto"/>
        <w:ind w:firstLine="480" w:firstLineChars="200"/>
        <w:jc w:val="left"/>
        <w:rPr>
          <w:rFonts w:ascii="宋体"/>
          <w:sz w:val="24"/>
          <w:szCs w:val="32"/>
        </w:rPr>
      </w:pPr>
      <w:r>
        <w:rPr>
          <w:rFonts w:hint="eastAsia" w:ascii="宋体" w:hAnsi="宋体"/>
          <w:sz w:val="24"/>
          <w:szCs w:val="32"/>
        </w:rPr>
        <w:t>除合同另有约定外，未经对方当事人同意，一方当事人不得将合同权利全部或部分转让给第三人，也不得全部或部分转移合同义务。</w:t>
      </w:r>
    </w:p>
    <w:p w14:paraId="72CA7C21">
      <w:pPr>
        <w:wordWrap w:val="0"/>
        <w:spacing w:before="120" w:beforeLines="50" w:after="120" w:afterLines="50" w:line="360" w:lineRule="auto"/>
        <w:outlineLvl w:val="2"/>
        <w:rPr>
          <w:rFonts w:ascii="宋体"/>
          <w:kern w:val="0"/>
          <w:sz w:val="24"/>
          <w:szCs w:val="20"/>
        </w:rPr>
      </w:pPr>
      <w:bookmarkStart w:id="805" w:name="_Toc490222496"/>
      <w:bookmarkStart w:id="806" w:name="_Toc489279862"/>
      <w:bookmarkStart w:id="807" w:name="_Toc342296271"/>
      <w:bookmarkStart w:id="808" w:name="_Toc144974588"/>
      <w:bookmarkStart w:id="809" w:name="_Toc486580051"/>
      <w:bookmarkStart w:id="810" w:name="_Toc179632638"/>
      <w:bookmarkStart w:id="811" w:name="_Toc207289580"/>
      <w:bookmarkStart w:id="812" w:name="_Toc152042398"/>
      <w:bookmarkStart w:id="813" w:name="_Toc152045620"/>
      <w:bookmarkStart w:id="814" w:name="_Toc338944713"/>
      <w:bookmarkStart w:id="815" w:name="_Toc480486905"/>
      <w:bookmarkStart w:id="816" w:name="_Toc483668080"/>
      <w:bookmarkStart w:id="817" w:name="_Toc480486733"/>
      <w:r>
        <w:rPr>
          <w:rFonts w:ascii="宋体"/>
          <w:kern w:val="0"/>
          <w:sz w:val="24"/>
          <w:szCs w:val="20"/>
        </w:rPr>
        <w:t xml:space="preserve">1.9  </w:t>
      </w:r>
      <w:r>
        <w:rPr>
          <w:rFonts w:hint="eastAsia" w:ascii="宋体"/>
          <w:kern w:val="0"/>
          <w:sz w:val="24"/>
          <w:szCs w:val="20"/>
        </w:rPr>
        <w:t>严禁贿赂</w:t>
      </w:r>
      <w:bookmarkEnd w:id="805"/>
      <w:bookmarkEnd w:id="806"/>
      <w:bookmarkEnd w:id="807"/>
      <w:bookmarkEnd w:id="808"/>
      <w:bookmarkEnd w:id="809"/>
      <w:bookmarkEnd w:id="810"/>
      <w:bookmarkEnd w:id="811"/>
      <w:bookmarkEnd w:id="812"/>
      <w:bookmarkEnd w:id="813"/>
      <w:bookmarkEnd w:id="814"/>
      <w:bookmarkEnd w:id="815"/>
      <w:bookmarkEnd w:id="816"/>
      <w:bookmarkEnd w:id="817"/>
    </w:p>
    <w:p w14:paraId="5D0904B5">
      <w:pPr>
        <w:wordWrap w:val="0"/>
        <w:spacing w:line="360" w:lineRule="auto"/>
        <w:ind w:firstLine="480" w:firstLineChars="200"/>
        <w:jc w:val="left"/>
        <w:rPr>
          <w:rFonts w:ascii="宋体"/>
          <w:sz w:val="24"/>
          <w:szCs w:val="32"/>
        </w:rPr>
      </w:pPr>
      <w:r>
        <w:rPr>
          <w:rFonts w:hint="eastAsia" w:ascii="宋体" w:hAnsi="宋体"/>
          <w:sz w:val="24"/>
          <w:szCs w:val="32"/>
        </w:rPr>
        <w:t>合同双方当事人不得以贿赂或变相贿赂的方式，谋取不当利益或损害对方权益。因贿赂造成对方损失的，行为人应赔偿损失，并承担相应的法律责任。</w:t>
      </w:r>
    </w:p>
    <w:p w14:paraId="3E06845F">
      <w:pPr>
        <w:wordWrap w:val="0"/>
        <w:spacing w:before="120" w:beforeLines="50" w:after="120" w:afterLines="50" w:line="360" w:lineRule="auto"/>
        <w:outlineLvl w:val="2"/>
        <w:rPr>
          <w:rFonts w:ascii="宋体"/>
          <w:kern w:val="0"/>
          <w:sz w:val="24"/>
          <w:szCs w:val="20"/>
        </w:rPr>
      </w:pPr>
      <w:bookmarkStart w:id="818" w:name="_Toc480486734"/>
      <w:bookmarkStart w:id="819" w:name="_Toc483668081"/>
      <w:bookmarkStart w:id="820" w:name="_Toc152045621"/>
      <w:bookmarkStart w:id="821" w:name="_Toc490222497"/>
      <w:bookmarkStart w:id="822" w:name="_Toc144974589"/>
      <w:bookmarkStart w:id="823" w:name="_Toc342296272"/>
      <w:bookmarkStart w:id="824" w:name="_Toc179632639"/>
      <w:bookmarkStart w:id="825" w:name="_Toc152042399"/>
      <w:bookmarkStart w:id="826" w:name="_Toc489279863"/>
      <w:bookmarkStart w:id="827" w:name="_Toc338944714"/>
      <w:bookmarkStart w:id="828" w:name="_Toc207289581"/>
      <w:bookmarkStart w:id="829" w:name="_Toc480486906"/>
      <w:bookmarkStart w:id="830" w:name="_Toc486580052"/>
      <w:r>
        <w:rPr>
          <w:rFonts w:ascii="宋体"/>
          <w:kern w:val="0"/>
          <w:sz w:val="24"/>
          <w:szCs w:val="20"/>
        </w:rPr>
        <w:t xml:space="preserve">1.10  </w:t>
      </w:r>
      <w:r>
        <w:rPr>
          <w:rFonts w:hint="eastAsia" w:ascii="宋体"/>
          <w:kern w:val="0"/>
          <w:sz w:val="24"/>
          <w:szCs w:val="20"/>
        </w:rPr>
        <w:t>化石、文物</w:t>
      </w:r>
      <w:bookmarkEnd w:id="818"/>
      <w:bookmarkEnd w:id="819"/>
      <w:bookmarkEnd w:id="820"/>
      <w:bookmarkEnd w:id="821"/>
      <w:bookmarkEnd w:id="822"/>
      <w:bookmarkEnd w:id="823"/>
      <w:bookmarkEnd w:id="824"/>
      <w:bookmarkEnd w:id="825"/>
      <w:bookmarkEnd w:id="826"/>
      <w:bookmarkEnd w:id="827"/>
      <w:bookmarkEnd w:id="828"/>
      <w:bookmarkEnd w:id="829"/>
      <w:bookmarkEnd w:id="830"/>
    </w:p>
    <w:p w14:paraId="1B110A94">
      <w:pPr>
        <w:wordWrap w:val="0"/>
        <w:spacing w:line="360" w:lineRule="auto"/>
        <w:ind w:firstLine="480" w:firstLineChars="200"/>
        <w:jc w:val="left"/>
        <w:rPr>
          <w:rFonts w:ascii="宋体"/>
          <w:sz w:val="24"/>
          <w:szCs w:val="32"/>
        </w:rPr>
      </w:pPr>
      <w:r>
        <w:rPr>
          <w:rFonts w:ascii="宋体" w:hAnsi="宋体"/>
          <w:sz w:val="24"/>
          <w:szCs w:val="32"/>
        </w:rPr>
        <w:t xml:space="preserve">1.10.1  </w:t>
      </w:r>
      <w:r>
        <w:rPr>
          <w:rFonts w:hint="eastAsia" w:ascii="宋体" w:hAnsi="宋体"/>
          <w:sz w:val="24"/>
          <w:szCs w:val="32"/>
        </w:rPr>
        <w:t>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77CF8FFA">
      <w:pPr>
        <w:wordWrap w:val="0"/>
        <w:spacing w:line="360" w:lineRule="auto"/>
        <w:ind w:firstLine="480" w:firstLineChars="200"/>
        <w:jc w:val="left"/>
        <w:rPr>
          <w:rFonts w:ascii="宋体"/>
          <w:sz w:val="24"/>
          <w:szCs w:val="32"/>
        </w:rPr>
      </w:pPr>
      <w:r>
        <w:rPr>
          <w:rFonts w:ascii="宋体" w:hAnsi="宋体"/>
          <w:sz w:val="24"/>
          <w:szCs w:val="32"/>
        </w:rPr>
        <w:t xml:space="preserve">1.10.2  </w:t>
      </w:r>
      <w:r>
        <w:rPr>
          <w:rFonts w:hint="eastAsia" w:ascii="宋体" w:hAnsi="宋体"/>
          <w:sz w:val="24"/>
          <w:szCs w:val="32"/>
        </w:rPr>
        <w:t>承包人发现文物后不及时报告或隐瞒不报，致使文物丢失或损坏的，应赔偿损失，并承担相应的法律责任。</w:t>
      </w:r>
    </w:p>
    <w:p w14:paraId="70D35D35">
      <w:pPr>
        <w:wordWrap w:val="0"/>
        <w:spacing w:before="120" w:beforeLines="50" w:after="120" w:afterLines="50" w:line="360" w:lineRule="auto"/>
        <w:outlineLvl w:val="2"/>
        <w:rPr>
          <w:rFonts w:ascii="宋体"/>
          <w:kern w:val="0"/>
          <w:sz w:val="24"/>
          <w:szCs w:val="20"/>
        </w:rPr>
      </w:pPr>
      <w:bookmarkStart w:id="831" w:name="_Toc152042400"/>
      <w:bookmarkStart w:id="832" w:name="_Toc480486735"/>
      <w:bookmarkStart w:id="833" w:name="_Toc144974590"/>
      <w:bookmarkStart w:id="834" w:name="_Toc483668082"/>
      <w:bookmarkStart w:id="835" w:name="_Toc342296273"/>
      <w:bookmarkStart w:id="836" w:name="_Toc179632640"/>
      <w:bookmarkStart w:id="837" w:name="_Toc207289582"/>
      <w:bookmarkStart w:id="838" w:name="_Toc489279864"/>
      <w:bookmarkStart w:id="839" w:name="_Toc490222498"/>
      <w:bookmarkStart w:id="840" w:name="_Toc338944715"/>
      <w:bookmarkStart w:id="841" w:name="_Toc486580053"/>
      <w:bookmarkStart w:id="842" w:name="_Toc480486907"/>
      <w:bookmarkStart w:id="843" w:name="_Toc152045622"/>
      <w:r>
        <w:rPr>
          <w:rFonts w:ascii="宋体"/>
          <w:kern w:val="0"/>
          <w:sz w:val="24"/>
          <w:szCs w:val="20"/>
        </w:rPr>
        <w:t xml:space="preserve">1.11  </w:t>
      </w:r>
      <w:r>
        <w:rPr>
          <w:rFonts w:hint="eastAsia" w:ascii="宋体"/>
          <w:kern w:val="0"/>
          <w:sz w:val="24"/>
          <w:szCs w:val="20"/>
        </w:rPr>
        <w:t>专利技术</w:t>
      </w:r>
      <w:bookmarkEnd w:id="831"/>
      <w:bookmarkEnd w:id="832"/>
      <w:bookmarkEnd w:id="833"/>
      <w:bookmarkEnd w:id="834"/>
      <w:bookmarkEnd w:id="835"/>
      <w:bookmarkEnd w:id="836"/>
      <w:bookmarkEnd w:id="837"/>
      <w:bookmarkEnd w:id="838"/>
      <w:bookmarkEnd w:id="839"/>
      <w:bookmarkEnd w:id="840"/>
      <w:bookmarkEnd w:id="841"/>
      <w:bookmarkEnd w:id="842"/>
      <w:bookmarkEnd w:id="843"/>
    </w:p>
    <w:p w14:paraId="77ABAFF7">
      <w:pPr>
        <w:wordWrap w:val="0"/>
        <w:spacing w:line="360" w:lineRule="auto"/>
        <w:ind w:firstLine="480" w:firstLineChars="200"/>
        <w:jc w:val="left"/>
        <w:rPr>
          <w:rFonts w:ascii="宋体"/>
          <w:sz w:val="24"/>
          <w:szCs w:val="32"/>
        </w:rPr>
      </w:pPr>
      <w:r>
        <w:rPr>
          <w:rFonts w:ascii="宋体" w:hAnsi="宋体"/>
          <w:sz w:val="24"/>
          <w:szCs w:val="32"/>
        </w:rPr>
        <w:t xml:space="preserve">1.11.1  </w:t>
      </w:r>
      <w:r>
        <w:rPr>
          <w:rFonts w:hint="eastAsia" w:ascii="宋体" w:hAnsi="宋体"/>
          <w:sz w:val="24"/>
          <w:szCs w:val="32"/>
        </w:rPr>
        <w:t>承包人在使用任何材料、承包人设备或采用施工工艺时，因侵犯专利权或其他知识产权所引起的责任，由承包人承担，但由于遵照发包人提供的设计或技术标准和要求引起的除外。</w:t>
      </w:r>
    </w:p>
    <w:p w14:paraId="108A7E5C">
      <w:pPr>
        <w:wordWrap w:val="0"/>
        <w:spacing w:line="360" w:lineRule="auto"/>
        <w:ind w:firstLine="480" w:firstLineChars="200"/>
        <w:jc w:val="left"/>
        <w:rPr>
          <w:rFonts w:ascii="宋体"/>
          <w:sz w:val="24"/>
          <w:szCs w:val="32"/>
        </w:rPr>
      </w:pPr>
      <w:r>
        <w:rPr>
          <w:rFonts w:ascii="宋体" w:hAnsi="宋体"/>
          <w:sz w:val="24"/>
          <w:szCs w:val="32"/>
        </w:rPr>
        <w:t xml:space="preserve">1.11.2  </w:t>
      </w:r>
      <w:r>
        <w:rPr>
          <w:rFonts w:hint="eastAsia" w:ascii="宋体" w:hAnsi="宋体"/>
          <w:sz w:val="24"/>
          <w:szCs w:val="32"/>
        </w:rPr>
        <w:t>承包人在投标文件中采用专利技术的，专利技术的使用费包含在投标报价内。</w:t>
      </w:r>
    </w:p>
    <w:p w14:paraId="2C1E4AFE">
      <w:pPr>
        <w:wordWrap w:val="0"/>
        <w:spacing w:line="360" w:lineRule="auto"/>
        <w:ind w:firstLine="480" w:firstLineChars="200"/>
        <w:jc w:val="left"/>
        <w:rPr>
          <w:rFonts w:ascii="宋体"/>
          <w:sz w:val="24"/>
          <w:szCs w:val="32"/>
        </w:rPr>
      </w:pPr>
      <w:r>
        <w:rPr>
          <w:rFonts w:ascii="宋体" w:hAnsi="宋体"/>
          <w:sz w:val="24"/>
          <w:szCs w:val="32"/>
        </w:rPr>
        <w:t xml:space="preserve">1.11.3  </w:t>
      </w:r>
      <w:r>
        <w:rPr>
          <w:rFonts w:hint="eastAsia" w:ascii="宋体" w:hAnsi="宋体"/>
          <w:sz w:val="24"/>
          <w:szCs w:val="32"/>
        </w:rPr>
        <w:t>承包人的技术秘密和声明需要保密的资料和信息，发包人和监理人不得为合同以外的目的泄露给他人。</w:t>
      </w:r>
    </w:p>
    <w:p w14:paraId="212FB543">
      <w:pPr>
        <w:wordWrap w:val="0"/>
        <w:spacing w:before="120" w:beforeLines="50" w:after="120" w:afterLines="50" w:line="360" w:lineRule="auto"/>
        <w:outlineLvl w:val="2"/>
        <w:rPr>
          <w:rFonts w:ascii="宋体"/>
          <w:kern w:val="0"/>
          <w:sz w:val="24"/>
          <w:szCs w:val="20"/>
        </w:rPr>
      </w:pPr>
      <w:bookmarkStart w:id="844" w:name="_Toc480486908"/>
      <w:bookmarkStart w:id="845" w:name="_Toc144974591"/>
      <w:bookmarkStart w:id="846" w:name="_Toc152042401"/>
      <w:bookmarkStart w:id="847" w:name="_Toc480486736"/>
      <w:bookmarkStart w:id="848" w:name="_Toc486580054"/>
      <w:bookmarkStart w:id="849" w:name="_Toc483668083"/>
      <w:bookmarkStart w:id="850" w:name="_Toc490222499"/>
      <w:bookmarkStart w:id="851" w:name="_Toc342296274"/>
      <w:bookmarkStart w:id="852" w:name="_Toc338944716"/>
      <w:bookmarkStart w:id="853" w:name="_Toc179632641"/>
      <w:bookmarkStart w:id="854" w:name="_Toc152045623"/>
      <w:bookmarkStart w:id="855" w:name="_Toc207289583"/>
      <w:bookmarkStart w:id="856" w:name="_Toc489279865"/>
      <w:bookmarkStart w:id="857" w:name="_Hlk199406739"/>
      <w:r>
        <w:rPr>
          <w:rFonts w:ascii="宋体"/>
          <w:kern w:val="0"/>
          <w:sz w:val="24"/>
          <w:szCs w:val="20"/>
        </w:rPr>
        <w:t xml:space="preserve">1.12  </w:t>
      </w:r>
      <w:r>
        <w:rPr>
          <w:rFonts w:hint="eastAsia" w:ascii="宋体"/>
          <w:kern w:val="0"/>
          <w:sz w:val="24"/>
          <w:szCs w:val="20"/>
        </w:rPr>
        <w:t>图纸和文件的保密</w:t>
      </w:r>
      <w:bookmarkEnd w:id="844"/>
      <w:bookmarkEnd w:id="845"/>
      <w:bookmarkEnd w:id="846"/>
      <w:bookmarkEnd w:id="847"/>
      <w:bookmarkEnd w:id="848"/>
      <w:bookmarkEnd w:id="849"/>
      <w:bookmarkEnd w:id="850"/>
      <w:bookmarkEnd w:id="851"/>
      <w:bookmarkEnd w:id="852"/>
      <w:bookmarkEnd w:id="853"/>
      <w:bookmarkEnd w:id="854"/>
      <w:bookmarkEnd w:id="855"/>
      <w:bookmarkEnd w:id="856"/>
    </w:p>
    <w:bookmarkEnd w:id="857"/>
    <w:p w14:paraId="3E498DA7">
      <w:pPr>
        <w:wordWrap w:val="0"/>
        <w:spacing w:line="360" w:lineRule="auto"/>
        <w:ind w:firstLine="480" w:firstLineChars="200"/>
        <w:jc w:val="left"/>
        <w:rPr>
          <w:rFonts w:ascii="宋体"/>
          <w:sz w:val="24"/>
          <w:szCs w:val="32"/>
        </w:rPr>
      </w:pPr>
      <w:r>
        <w:rPr>
          <w:rFonts w:ascii="宋体" w:hAnsi="宋体"/>
          <w:sz w:val="24"/>
          <w:szCs w:val="32"/>
        </w:rPr>
        <w:t xml:space="preserve">1.12.1  </w:t>
      </w:r>
      <w:r>
        <w:rPr>
          <w:rFonts w:hint="eastAsia" w:ascii="宋体" w:hAnsi="宋体"/>
          <w:sz w:val="24"/>
          <w:szCs w:val="32"/>
        </w:rPr>
        <w:t>发包人提供的图纸和文件，未经发包人同意，承包人不得为合同以外的目的泄露给他人或公开发表与引用。</w:t>
      </w:r>
    </w:p>
    <w:p w14:paraId="26CC0FFE">
      <w:pPr>
        <w:wordWrap w:val="0"/>
        <w:spacing w:line="360" w:lineRule="auto"/>
        <w:ind w:firstLine="480" w:firstLineChars="200"/>
        <w:jc w:val="left"/>
        <w:rPr>
          <w:rFonts w:ascii="宋体" w:hAnsi="宋体"/>
          <w:sz w:val="24"/>
          <w:szCs w:val="32"/>
        </w:rPr>
      </w:pPr>
      <w:r>
        <w:rPr>
          <w:rFonts w:ascii="宋体" w:hAnsi="宋体"/>
          <w:sz w:val="24"/>
          <w:szCs w:val="32"/>
        </w:rPr>
        <w:t xml:space="preserve">1.12.2  </w:t>
      </w:r>
      <w:r>
        <w:rPr>
          <w:rFonts w:hint="eastAsia" w:ascii="宋体" w:hAnsi="宋体"/>
          <w:sz w:val="24"/>
          <w:szCs w:val="32"/>
        </w:rPr>
        <w:t>承包人提供的文件，未经承包人同意，发包人和监理人不得为合同以外的目的泄露给他人或公开发表与引用。</w:t>
      </w:r>
    </w:p>
    <w:p w14:paraId="7D8E5252">
      <w:pPr>
        <w:wordWrap w:val="0"/>
        <w:spacing w:before="120" w:beforeLines="50" w:after="120" w:afterLines="50" w:line="360" w:lineRule="auto"/>
        <w:outlineLvl w:val="2"/>
        <w:rPr>
          <w:rFonts w:ascii="宋体"/>
          <w:kern w:val="0"/>
          <w:sz w:val="24"/>
          <w:szCs w:val="20"/>
        </w:rPr>
      </w:pPr>
      <w:bookmarkStart w:id="858" w:name="_Toc207289584"/>
      <w:bookmarkStart w:id="859" w:name="_Hlk199409282"/>
      <w:r>
        <w:rPr>
          <w:rFonts w:hint="eastAsia" w:ascii="宋体"/>
          <w:kern w:val="0"/>
          <w:sz w:val="24"/>
          <w:szCs w:val="20"/>
        </w:rPr>
        <w:t>1.13  工程量清单缺陷引起的价格调整</w:t>
      </w:r>
      <w:bookmarkStart w:id="860" w:name="OLE_LINK137"/>
      <w:r>
        <w:rPr>
          <w:rFonts w:hint="eastAsia" w:ascii="宋体"/>
          <w:kern w:val="0"/>
          <w:sz w:val="24"/>
          <w:szCs w:val="20"/>
        </w:rPr>
        <w:t>（适用于采用单价合同形式）</w:t>
      </w:r>
      <w:bookmarkEnd w:id="858"/>
      <w:bookmarkEnd w:id="860"/>
    </w:p>
    <w:p w14:paraId="57F905D4">
      <w:pPr>
        <w:wordWrap w:val="0"/>
        <w:spacing w:line="360" w:lineRule="auto"/>
        <w:ind w:firstLine="480" w:firstLineChars="200"/>
        <w:jc w:val="left"/>
        <w:rPr>
          <w:rFonts w:ascii="宋体" w:hAnsi="宋体"/>
          <w:sz w:val="24"/>
          <w:szCs w:val="32"/>
        </w:rPr>
      </w:pPr>
      <w:bookmarkStart w:id="861" w:name="_Hlk202810463"/>
      <w:bookmarkStart w:id="862" w:name="_Hlk200376051"/>
      <w:r>
        <w:rPr>
          <w:rFonts w:hint="eastAsia" w:ascii="宋体"/>
          <w:sz w:val="24"/>
          <w:szCs w:val="32"/>
        </w:rPr>
        <w:t>因工程量清单缺陷引起价格调整的办法</w:t>
      </w:r>
      <w:r>
        <w:rPr>
          <w:rFonts w:hint="eastAsia" w:ascii="黑体" w:hAnsi="黑体" w:eastAsia="黑体"/>
          <w:sz w:val="24"/>
          <w:szCs w:val="32"/>
        </w:rPr>
        <w:t>见合同条款专用部分</w:t>
      </w:r>
      <w:r>
        <w:rPr>
          <w:rFonts w:hint="eastAsia" w:ascii="宋体" w:hAnsi="宋体"/>
          <w:sz w:val="24"/>
          <w:szCs w:val="32"/>
        </w:rPr>
        <w:t>。</w:t>
      </w:r>
    </w:p>
    <w:p w14:paraId="0761818B">
      <w:pPr>
        <w:wordWrap w:val="0"/>
        <w:spacing w:before="120" w:beforeLines="50" w:after="120" w:afterLines="50" w:line="360" w:lineRule="auto"/>
        <w:outlineLvl w:val="2"/>
        <w:rPr>
          <w:rFonts w:ascii="宋体"/>
          <w:kern w:val="0"/>
          <w:sz w:val="24"/>
          <w:szCs w:val="20"/>
        </w:rPr>
      </w:pPr>
      <w:bookmarkStart w:id="863" w:name="_Toc207289585"/>
      <w:bookmarkStart w:id="864" w:name="_Hlk202810913"/>
      <w:r>
        <w:rPr>
          <w:rFonts w:hint="eastAsia" w:ascii="宋体"/>
          <w:kern w:val="0"/>
          <w:sz w:val="24"/>
          <w:szCs w:val="20"/>
        </w:rPr>
        <w:t>1.13  暂定数量单价计价项目的价格调整（适用于采用总价合同形式）</w:t>
      </w:r>
      <w:bookmarkEnd w:id="863"/>
    </w:p>
    <w:p w14:paraId="42B357B6">
      <w:pPr>
        <w:wordWrap w:val="0"/>
        <w:spacing w:line="360" w:lineRule="auto"/>
        <w:ind w:firstLine="480" w:firstLineChars="200"/>
        <w:jc w:val="left"/>
        <w:rPr>
          <w:rFonts w:ascii="宋体" w:hAnsi="宋体"/>
          <w:sz w:val="24"/>
          <w:szCs w:val="32"/>
        </w:rPr>
      </w:pPr>
      <w:r>
        <w:rPr>
          <w:rFonts w:hint="eastAsia" w:ascii="宋体"/>
          <w:sz w:val="24"/>
          <w:szCs w:val="32"/>
        </w:rPr>
        <w:t>分部分项工程项目清单工程量为</w:t>
      </w:r>
      <w:bookmarkStart w:id="865" w:name="OLE_LINK136"/>
      <w:r>
        <w:rPr>
          <w:rFonts w:hint="eastAsia" w:ascii="宋体"/>
          <w:sz w:val="24"/>
          <w:szCs w:val="32"/>
        </w:rPr>
        <w:t>暂定数量单价计价项目</w:t>
      </w:r>
      <w:bookmarkEnd w:id="865"/>
      <w:r>
        <w:rPr>
          <w:rFonts w:hint="eastAsia" w:ascii="宋体"/>
          <w:sz w:val="24"/>
          <w:szCs w:val="32"/>
        </w:rPr>
        <w:t>的价格调整办法</w:t>
      </w:r>
      <w:r>
        <w:rPr>
          <w:rFonts w:hint="eastAsia" w:ascii="黑体" w:hAnsi="黑体" w:eastAsia="黑体"/>
          <w:sz w:val="24"/>
          <w:szCs w:val="32"/>
        </w:rPr>
        <w:t>见合同条款专用部分</w:t>
      </w:r>
      <w:r>
        <w:rPr>
          <w:rFonts w:hint="eastAsia" w:ascii="宋体" w:hAnsi="宋体"/>
          <w:sz w:val="24"/>
          <w:szCs w:val="32"/>
        </w:rPr>
        <w:t>。</w:t>
      </w:r>
    </w:p>
    <w:bookmarkEnd w:id="859"/>
    <w:bookmarkEnd w:id="861"/>
    <w:bookmarkEnd w:id="862"/>
    <w:bookmarkEnd w:id="864"/>
    <w:p w14:paraId="7538AD04">
      <w:pPr>
        <w:tabs>
          <w:tab w:val="left" w:pos="576"/>
        </w:tabs>
        <w:wordWrap w:val="0"/>
        <w:spacing w:before="120" w:beforeLines="50" w:after="120" w:afterLines="50" w:line="360" w:lineRule="auto"/>
        <w:outlineLvl w:val="1"/>
        <w:rPr>
          <w:rFonts w:ascii="宋体" w:cs="宋体"/>
          <w:sz w:val="28"/>
          <w:szCs w:val="20"/>
        </w:rPr>
      </w:pPr>
      <w:bookmarkStart w:id="866" w:name="_Toc480486909"/>
      <w:bookmarkStart w:id="867" w:name="_Toc490222500"/>
      <w:bookmarkStart w:id="868" w:name="_Toc483668084"/>
      <w:bookmarkStart w:id="869" w:name="_Toc480486737"/>
      <w:bookmarkStart w:id="870" w:name="_Toc207289586"/>
      <w:bookmarkStart w:id="871" w:name="_Toc342296275"/>
      <w:bookmarkStart w:id="872" w:name="_Toc486580055"/>
      <w:bookmarkStart w:id="873" w:name="_Toc489279866"/>
      <w:bookmarkStart w:id="874" w:name="_Toc338944717"/>
      <w:r>
        <w:rPr>
          <w:rFonts w:ascii="宋体" w:cs="宋体"/>
          <w:sz w:val="28"/>
          <w:szCs w:val="20"/>
        </w:rPr>
        <w:t>2.</w:t>
      </w:r>
      <w:r>
        <w:rPr>
          <w:rFonts w:hint="eastAsia" w:ascii="宋体" w:cs="宋体"/>
          <w:sz w:val="28"/>
          <w:szCs w:val="20"/>
        </w:rPr>
        <w:t>发包人义务</w:t>
      </w:r>
      <w:bookmarkEnd w:id="866"/>
      <w:bookmarkEnd w:id="867"/>
      <w:bookmarkEnd w:id="868"/>
      <w:bookmarkEnd w:id="869"/>
      <w:bookmarkEnd w:id="870"/>
      <w:bookmarkEnd w:id="871"/>
      <w:bookmarkEnd w:id="872"/>
      <w:bookmarkEnd w:id="873"/>
      <w:bookmarkEnd w:id="874"/>
    </w:p>
    <w:p w14:paraId="1A5272BC">
      <w:pPr>
        <w:wordWrap w:val="0"/>
        <w:spacing w:before="120" w:beforeLines="50" w:after="120" w:afterLines="50" w:line="360" w:lineRule="auto"/>
        <w:outlineLvl w:val="2"/>
        <w:rPr>
          <w:rFonts w:ascii="宋体"/>
          <w:kern w:val="0"/>
          <w:sz w:val="24"/>
          <w:szCs w:val="20"/>
        </w:rPr>
      </w:pPr>
      <w:bookmarkStart w:id="875" w:name="_Toc338944718"/>
      <w:bookmarkStart w:id="876" w:name="_Toc207289587"/>
      <w:bookmarkStart w:id="877" w:name="_Toc152042403"/>
      <w:bookmarkStart w:id="878" w:name="_Toc489279867"/>
      <w:bookmarkStart w:id="879" w:name="_Toc490222501"/>
      <w:bookmarkStart w:id="880" w:name="_Toc483668085"/>
      <w:bookmarkStart w:id="881" w:name="_Toc179632643"/>
      <w:bookmarkStart w:id="882" w:name="_Toc342296276"/>
      <w:bookmarkStart w:id="883" w:name="_Toc480486910"/>
      <w:bookmarkStart w:id="884" w:name="_Toc144974593"/>
      <w:bookmarkStart w:id="885" w:name="_Toc486580056"/>
      <w:bookmarkStart w:id="886" w:name="_Toc152045625"/>
      <w:bookmarkStart w:id="887" w:name="_Toc480486738"/>
      <w:r>
        <w:rPr>
          <w:rFonts w:ascii="宋体"/>
          <w:kern w:val="0"/>
          <w:sz w:val="24"/>
          <w:szCs w:val="20"/>
        </w:rPr>
        <w:t xml:space="preserve">2.1  </w:t>
      </w:r>
      <w:r>
        <w:rPr>
          <w:rFonts w:hint="eastAsia" w:ascii="宋体"/>
          <w:kern w:val="0"/>
          <w:sz w:val="24"/>
          <w:szCs w:val="20"/>
        </w:rPr>
        <w:t>遵守法律</w:t>
      </w:r>
      <w:bookmarkEnd w:id="875"/>
      <w:bookmarkEnd w:id="876"/>
      <w:bookmarkEnd w:id="877"/>
      <w:bookmarkEnd w:id="878"/>
      <w:bookmarkEnd w:id="879"/>
      <w:bookmarkEnd w:id="880"/>
      <w:bookmarkEnd w:id="881"/>
      <w:bookmarkEnd w:id="882"/>
      <w:bookmarkEnd w:id="883"/>
      <w:bookmarkEnd w:id="884"/>
      <w:bookmarkEnd w:id="885"/>
      <w:bookmarkEnd w:id="886"/>
      <w:bookmarkEnd w:id="887"/>
    </w:p>
    <w:p w14:paraId="68084892">
      <w:pPr>
        <w:wordWrap w:val="0"/>
        <w:spacing w:line="360" w:lineRule="auto"/>
        <w:ind w:firstLine="480" w:firstLineChars="200"/>
        <w:jc w:val="left"/>
        <w:rPr>
          <w:rFonts w:ascii="宋体"/>
          <w:sz w:val="24"/>
          <w:szCs w:val="32"/>
        </w:rPr>
      </w:pPr>
      <w:r>
        <w:rPr>
          <w:rFonts w:hint="eastAsia" w:ascii="宋体" w:hAnsi="宋体"/>
          <w:sz w:val="24"/>
          <w:szCs w:val="32"/>
        </w:rPr>
        <w:t>发包人在履行合同过程中应遵守法律，并保证承包人免于承担因发包人违反法律而引起的任何责任。</w:t>
      </w:r>
    </w:p>
    <w:p w14:paraId="20D504AC">
      <w:pPr>
        <w:wordWrap w:val="0"/>
        <w:spacing w:before="120" w:beforeLines="50" w:after="120" w:afterLines="50" w:line="360" w:lineRule="auto"/>
        <w:outlineLvl w:val="2"/>
        <w:rPr>
          <w:rFonts w:ascii="宋体"/>
          <w:kern w:val="0"/>
          <w:sz w:val="24"/>
          <w:szCs w:val="20"/>
        </w:rPr>
      </w:pPr>
      <w:bookmarkStart w:id="888" w:name="_Toc489279868"/>
      <w:bookmarkStart w:id="889" w:name="_Toc144974594"/>
      <w:bookmarkStart w:id="890" w:name="_Toc179632644"/>
      <w:bookmarkStart w:id="891" w:name="_Toc490222502"/>
      <w:bookmarkStart w:id="892" w:name="_Toc486580057"/>
      <w:bookmarkStart w:id="893" w:name="_Toc480486739"/>
      <w:bookmarkStart w:id="894" w:name="_Toc483668086"/>
      <w:bookmarkStart w:id="895" w:name="_Toc480486911"/>
      <w:bookmarkStart w:id="896" w:name="_Toc207289588"/>
      <w:bookmarkStart w:id="897" w:name="_Toc338944719"/>
      <w:bookmarkStart w:id="898" w:name="_Toc342296277"/>
      <w:bookmarkStart w:id="899" w:name="_Toc152045626"/>
      <w:bookmarkStart w:id="900" w:name="_Toc152042404"/>
      <w:r>
        <w:rPr>
          <w:rFonts w:ascii="宋体"/>
          <w:kern w:val="0"/>
          <w:sz w:val="24"/>
          <w:szCs w:val="20"/>
        </w:rPr>
        <w:t xml:space="preserve">2.2  </w:t>
      </w:r>
      <w:r>
        <w:rPr>
          <w:rFonts w:hint="eastAsia" w:ascii="宋体"/>
          <w:kern w:val="0"/>
          <w:sz w:val="24"/>
          <w:szCs w:val="20"/>
        </w:rPr>
        <w:t>发出开工通知</w:t>
      </w:r>
      <w:bookmarkEnd w:id="888"/>
      <w:bookmarkEnd w:id="889"/>
      <w:bookmarkEnd w:id="890"/>
      <w:bookmarkEnd w:id="891"/>
      <w:bookmarkEnd w:id="892"/>
      <w:bookmarkEnd w:id="893"/>
      <w:bookmarkEnd w:id="894"/>
      <w:bookmarkEnd w:id="895"/>
      <w:bookmarkEnd w:id="896"/>
      <w:bookmarkEnd w:id="897"/>
      <w:bookmarkEnd w:id="898"/>
      <w:bookmarkEnd w:id="899"/>
      <w:bookmarkEnd w:id="900"/>
    </w:p>
    <w:p w14:paraId="27210916">
      <w:pPr>
        <w:wordWrap w:val="0"/>
        <w:spacing w:line="360" w:lineRule="auto"/>
        <w:ind w:firstLine="480" w:firstLineChars="200"/>
        <w:jc w:val="left"/>
        <w:rPr>
          <w:rFonts w:ascii="宋体"/>
          <w:sz w:val="24"/>
          <w:szCs w:val="32"/>
        </w:rPr>
      </w:pPr>
      <w:r>
        <w:rPr>
          <w:rFonts w:hint="eastAsia" w:ascii="宋体" w:hAnsi="宋体"/>
          <w:sz w:val="24"/>
          <w:szCs w:val="32"/>
        </w:rPr>
        <w:t>发包人应委托监理人按第</w:t>
      </w:r>
      <w:r>
        <w:rPr>
          <w:rFonts w:ascii="宋体" w:hAnsi="宋体"/>
          <w:sz w:val="24"/>
          <w:szCs w:val="32"/>
        </w:rPr>
        <w:t>11.1</w:t>
      </w:r>
      <w:r>
        <w:rPr>
          <w:rFonts w:hint="eastAsia" w:ascii="宋体" w:hAnsi="宋体"/>
          <w:sz w:val="24"/>
          <w:szCs w:val="32"/>
        </w:rPr>
        <w:t>款的约定向承包人发出开工通知。</w:t>
      </w:r>
    </w:p>
    <w:p w14:paraId="39665939">
      <w:pPr>
        <w:wordWrap w:val="0"/>
        <w:spacing w:before="120" w:beforeLines="50" w:after="120" w:afterLines="50" w:line="360" w:lineRule="auto"/>
        <w:outlineLvl w:val="2"/>
        <w:rPr>
          <w:rFonts w:ascii="宋体"/>
          <w:kern w:val="0"/>
          <w:sz w:val="24"/>
          <w:szCs w:val="20"/>
        </w:rPr>
      </w:pPr>
      <w:bookmarkStart w:id="901" w:name="_Toc486580058"/>
      <w:bookmarkStart w:id="902" w:name="_Toc338944720"/>
      <w:bookmarkStart w:id="903" w:name="_Toc480486912"/>
      <w:bookmarkStart w:id="904" w:name="_Toc342296278"/>
      <w:bookmarkStart w:id="905" w:name="_Toc483668087"/>
      <w:bookmarkStart w:id="906" w:name="_Toc490222503"/>
      <w:bookmarkStart w:id="907" w:name="_Toc489279869"/>
      <w:bookmarkStart w:id="908" w:name="_Toc207289589"/>
      <w:bookmarkStart w:id="909" w:name="_Toc480486740"/>
      <w:r>
        <w:rPr>
          <w:rFonts w:ascii="宋体"/>
          <w:kern w:val="0"/>
          <w:sz w:val="24"/>
          <w:szCs w:val="20"/>
        </w:rPr>
        <w:t xml:space="preserve">2.3  </w:t>
      </w:r>
      <w:r>
        <w:rPr>
          <w:rFonts w:hint="eastAsia" w:ascii="宋体"/>
          <w:kern w:val="0"/>
          <w:sz w:val="24"/>
          <w:szCs w:val="20"/>
        </w:rPr>
        <w:t>提供施工场地</w:t>
      </w:r>
      <w:bookmarkEnd w:id="901"/>
      <w:bookmarkEnd w:id="902"/>
      <w:bookmarkEnd w:id="903"/>
      <w:bookmarkEnd w:id="904"/>
      <w:bookmarkEnd w:id="905"/>
      <w:bookmarkEnd w:id="906"/>
      <w:bookmarkEnd w:id="907"/>
      <w:bookmarkEnd w:id="908"/>
      <w:bookmarkEnd w:id="909"/>
    </w:p>
    <w:p w14:paraId="2679BD72">
      <w:pPr>
        <w:wordWrap w:val="0"/>
        <w:spacing w:line="360" w:lineRule="auto"/>
        <w:ind w:firstLine="480" w:firstLineChars="200"/>
        <w:jc w:val="left"/>
        <w:rPr>
          <w:rFonts w:ascii="宋体"/>
          <w:sz w:val="24"/>
          <w:szCs w:val="32"/>
        </w:rPr>
      </w:pPr>
      <w:r>
        <w:rPr>
          <w:rFonts w:hint="eastAsia" w:ascii="宋体" w:hAnsi="宋体"/>
          <w:sz w:val="24"/>
          <w:szCs w:val="32"/>
        </w:rPr>
        <w:t>发包人应在约定期限前确保施工场地具备施工条件并移交给承包人，具体施工条件在</w:t>
      </w:r>
      <w:r>
        <w:rPr>
          <w:rFonts w:ascii="宋体" w:hAnsi="宋体"/>
          <w:sz w:val="24"/>
          <w:szCs w:val="32"/>
        </w:rPr>
        <w:t xml:space="preserve"> </w:t>
      </w:r>
      <w:r>
        <w:rPr>
          <w:rFonts w:hint="eastAsia" w:ascii="宋体" w:hAnsi="宋体"/>
          <w:sz w:val="24"/>
          <w:szCs w:val="32"/>
        </w:rPr>
        <w:t>“技术标准和要求”第一节“一般要求”中约定。发包人最迟应当在移交施工场地的同时向承包人提供施工场地内地下管线和地下设施等有关资料，并保证资料的真实、准确和完整。发包人移交施工场地的期限</w:t>
      </w:r>
      <w:bookmarkStart w:id="910" w:name="OLE_LINK50"/>
      <w:r>
        <w:rPr>
          <w:rFonts w:hint="eastAsia" w:ascii="黑体" w:hAnsi="黑体" w:eastAsia="黑体"/>
          <w:sz w:val="24"/>
          <w:szCs w:val="32"/>
        </w:rPr>
        <w:t>见合同条款专用部分</w:t>
      </w:r>
      <w:r>
        <w:rPr>
          <w:rFonts w:hint="eastAsia" w:ascii="宋体" w:hAnsi="宋体"/>
          <w:sz w:val="24"/>
          <w:szCs w:val="32"/>
        </w:rPr>
        <w:t>。</w:t>
      </w:r>
      <w:bookmarkEnd w:id="910"/>
    </w:p>
    <w:p w14:paraId="27657ACF">
      <w:pPr>
        <w:wordWrap w:val="0"/>
        <w:spacing w:before="120" w:beforeLines="50" w:after="120" w:afterLines="50" w:line="360" w:lineRule="auto"/>
        <w:outlineLvl w:val="2"/>
        <w:rPr>
          <w:rFonts w:ascii="宋体"/>
          <w:kern w:val="0"/>
          <w:sz w:val="24"/>
          <w:szCs w:val="20"/>
        </w:rPr>
      </w:pPr>
      <w:bookmarkStart w:id="911" w:name="_Toc152045628"/>
      <w:bookmarkStart w:id="912" w:name="_Toc152042406"/>
      <w:bookmarkStart w:id="913" w:name="_Toc489279870"/>
      <w:bookmarkStart w:id="914" w:name="_Toc480486741"/>
      <w:bookmarkStart w:id="915" w:name="_Toc207289590"/>
      <w:bookmarkStart w:id="916" w:name="_Toc144974596"/>
      <w:bookmarkStart w:id="917" w:name="_Toc490222504"/>
      <w:bookmarkStart w:id="918" w:name="_Toc338944721"/>
      <w:bookmarkStart w:id="919" w:name="_Toc342296279"/>
      <w:bookmarkStart w:id="920" w:name="_Toc483668088"/>
      <w:bookmarkStart w:id="921" w:name="_Toc486580059"/>
      <w:bookmarkStart w:id="922" w:name="_Toc179632646"/>
      <w:bookmarkStart w:id="923" w:name="_Toc480486913"/>
      <w:r>
        <w:rPr>
          <w:rFonts w:ascii="宋体"/>
          <w:kern w:val="0"/>
          <w:sz w:val="24"/>
          <w:szCs w:val="20"/>
        </w:rPr>
        <w:t xml:space="preserve">2.4  </w:t>
      </w:r>
      <w:r>
        <w:rPr>
          <w:rFonts w:hint="eastAsia" w:ascii="宋体"/>
          <w:kern w:val="0"/>
          <w:sz w:val="24"/>
          <w:szCs w:val="20"/>
        </w:rPr>
        <w:t>协助承包人办理证件和批件</w:t>
      </w:r>
      <w:bookmarkEnd w:id="911"/>
      <w:bookmarkEnd w:id="912"/>
      <w:bookmarkEnd w:id="913"/>
      <w:bookmarkEnd w:id="914"/>
      <w:bookmarkEnd w:id="915"/>
      <w:bookmarkEnd w:id="916"/>
      <w:bookmarkEnd w:id="917"/>
      <w:bookmarkEnd w:id="918"/>
      <w:bookmarkEnd w:id="919"/>
      <w:bookmarkEnd w:id="920"/>
      <w:bookmarkEnd w:id="921"/>
      <w:bookmarkEnd w:id="922"/>
      <w:bookmarkEnd w:id="923"/>
    </w:p>
    <w:p w14:paraId="7B251A1B">
      <w:pPr>
        <w:wordWrap w:val="0"/>
        <w:spacing w:line="360" w:lineRule="auto"/>
        <w:ind w:firstLine="480" w:firstLineChars="200"/>
        <w:jc w:val="left"/>
        <w:rPr>
          <w:rFonts w:ascii="宋体"/>
          <w:sz w:val="24"/>
          <w:szCs w:val="32"/>
        </w:rPr>
      </w:pPr>
      <w:r>
        <w:rPr>
          <w:rFonts w:hint="eastAsia" w:ascii="宋体" w:hAnsi="宋体"/>
          <w:sz w:val="24"/>
          <w:szCs w:val="32"/>
        </w:rPr>
        <w:t>发包人应协助承包人办理法律规定的有关施工证件和批件。</w:t>
      </w:r>
    </w:p>
    <w:p w14:paraId="596785E1">
      <w:pPr>
        <w:wordWrap w:val="0"/>
        <w:spacing w:before="120" w:beforeLines="50" w:after="120" w:afterLines="50" w:line="360" w:lineRule="auto"/>
        <w:outlineLvl w:val="2"/>
        <w:rPr>
          <w:rFonts w:ascii="宋体"/>
          <w:kern w:val="0"/>
          <w:sz w:val="24"/>
          <w:szCs w:val="20"/>
        </w:rPr>
      </w:pPr>
      <w:bookmarkStart w:id="924" w:name="_Toc338944722"/>
      <w:bookmarkStart w:id="925" w:name="_Toc486580060"/>
      <w:bookmarkStart w:id="926" w:name="_Toc483668089"/>
      <w:bookmarkStart w:id="927" w:name="_Toc490222505"/>
      <w:bookmarkStart w:id="928" w:name="_Toc480486914"/>
      <w:bookmarkStart w:id="929" w:name="_Toc342296280"/>
      <w:bookmarkStart w:id="930" w:name="_Toc207289591"/>
      <w:bookmarkStart w:id="931" w:name="_Toc489279871"/>
      <w:bookmarkStart w:id="932" w:name="_Toc480486742"/>
      <w:r>
        <w:rPr>
          <w:rFonts w:ascii="宋体"/>
          <w:kern w:val="0"/>
          <w:sz w:val="24"/>
          <w:szCs w:val="20"/>
        </w:rPr>
        <w:t xml:space="preserve">2.5  </w:t>
      </w:r>
      <w:r>
        <w:rPr>
          <w:rFonts w:hint="eastAsia" w:ascii="宋体"/>
          <w:kern w:val="0"/>
          <w:sz w:val="24"/>
          <w:szCs w:val="20"/>
        </w:rPr>
        <w:t>组织设计交底</w:t>
      </w:r>
      <w:bookmarkEnd w:id="924"/>
      <w:bookmarkEnd w:id="925"/>
      <w:bookmarkEnd w:id="926"/>
      <w:bookmarkEnd w:id="927"/>
      <w:bookmarkEnd w:id="928"/>
      <w:bookmarkEnd w:id="929"/>
      <w:bookmarkEnd w:id="930"/>
      <w:bookmarkEnd w:id="931"/>
      <w:bookmarkEnd w:id="932"/>
    </w:p>
    <w:p w14:paraId="7387DD2E">
      <w:pPr>
        <w:wordWrap w:val="0"/>
        <w:spacing w:line="360" w:lineRule="auto"/>
        <w:ind w:firstLine="480" w:firstLineChars="200"/>
        <w:jc w:val="left"/>
        <w:rPr>
          <w:rFonts w:ascii="宋体"/>
          <w:sz w:val="24"/>
          <w:szCs w:val="32"/>
        </w:rPr>
      </w:pPr>
      <w:r>
        <w:rPr>
          <w:rFonts w:hint="eastAsia" w:ascii="宋体" w:hAnsi="宋体"/>
          <w:sz w:val="24"/>
          <w:szCs w:val="32"/>
        </w:rPr>
        <w:t>发包人应根据批准的合同进度计划，组织设计单位向承包人进行设计交底。</w:t>
      </w:r>
    </w:p>
    <w:p w14:paraId="3E3D22C0">
      <w:pPr>
        <w:wordWrap w:val="0"/>
        <w:spacing w:line="360" w:lineRule="auto"/>
        <w:ind w:firstLine="480" w:firstLineChars="200"/>
        <w:jc w:val="left"/>
        <w:rPr>
          <w:rFonts w:ascii="宋体"/>
          <w:sz w:val="24"/>
          <w:szCs w:val="32"/>
        </w:rPr>
      </w:pPr>
      <w:r>
        <w:rPr>
          <w:rFonts w:hint="eastAsia" w:ascii="宋体" w:hAnsi="宋体"/>
          <w:sz w:val="24"/>
          <w:szCs w:val="32"/>
        </w:rPr>
        <w:t>发包人应在第</w:t>
      </w:r>
      <w:r>
        <w:rPr>
          <w:rFonts w:ascii="宋体" w:hAnsi="宋体"/>
          <w:sz w:val="24"/>
          <w:szCs w:val="32"/>
        </w:rPr>
        <w:t>11.1.1</w:t>
      </w:r>
      <w:r>
        <w:rPr>
          <w:rFonts w:hint="eastAsia" w:ascii="宋体" w:hAnsi="宋体"/>
          <w:sz w:val="24"/>
          <w:szCs w:val="32"/>
        </w:rPr>
        <w:t>项约定的开工日期前，组织设计人向承包人进行合同工程总体设计交底（包括图纸会审）。发包人还应按照合同进度计划中载明的阶段性设计交底时间，组织和安排阶段工程设计交底（包括图纸会审）。承包人应当以书面方式通过监理人向发包人申请增加设计交底，发包人在认为确有必要且条件许可时，应当尽快组织这类设计交底。</w:t>
      </w:r>
    </w:p>
    <w:p w14:paraId="4A6AEF19">
      <w:pPr>
        <w:wordWrap w:val="0"/>
        <w:spacing w:before="120" w:beforeLines="50" w:after="120" w:afterLines="50" w:line="360" w:lineRule="auto"/>
        <w:outlineLvl w:val="2"/>
        <w:rPr>
          <w:rFonts w:ascii="宋体"/>
          <w:kern w:val="0"/>
          <w:sz w:val="24"/>
          <w:szCs w:val="20"/>
        </w:rPr>
      </w:pPr>
      <w:bookmarkStart w:id="933" w:name="_Toc483668090"/>
      <w:bookmarkStart w:id="934" w:name="_Toc342296281"/>
      <w:bookmarkStart w:id="935" w:name="_Toc480486743"/>
      <w:bookmarkStart w:id="936" w:name="_Toc489279872"/>
      <w:bookmarkStart w:id="937" w:name="_Toc490222506"/>
      <w:bookmarkStart w:id="938" w:name="_Toc338944723"/>
      <w:bookmarkStart w:id="939" w:name="_Toc207289592"/>
      <w:bookmarkStart w:id="940" w:name="_Toc486580061"/>
      <w:bookmarkStart w:id="941" w:name="_Toc480486915"/>
      <w:r>
        <w:rPr>
          <w:rFonts w:ascii="宋体"/>
          <w:kern w:val="0"/>
          <w:sz w:val="24"/>
          <w:szCs w:val="20"/>
        </w:rPr>
        <w:t xml:space="preserve">2.6  </w:t>
      </w:r>
      <w:r>
        <w:rPr>
          <w:rFonts w:hint="eastAsia" w:ascii="宋体"/>
          <w:kern w:val="0"/>
          <w:sz w:val="24"/>
          <w:szCs w:val="20"/>
        </w:rPr>
        <w:t>支付合同价款</w:t>
      </w:r>
      <w:bookmarkEnd w:id="933"/>
      <w:bookmarkEnd w:id="934"/>
      <w:bookmarkEnd w:id="935"/>
      <w:bookmarkEnd w:id="936"/>
      <w:bookmarkEnd w:id="937"/>
      <w:bookmarkEnd w:id="938"/>
      <w:bookmarkEnd w:id="939"/>
      <w:bookmarkEnd w:id="940"/>
      <w:bookmarkEnd w:id="941"/>
    </w:p>
    <w:p w14:paraId="036379A3">
      <w:pPr>
        <w:wordWrap w:val="0"/>
        <w:spacing w:line="360" w:lineRule="auto"/>
        <w:ind w:firstLine="480" w:firstLineChars="200"/>
        <w:jc w:val="left"/>
        <w:rPr>
          <w:rFonts w:ascii="宋体" w:hAnsi="宋体"/>
          <w:sz w:val="24"/>
          <w:szCs w:val="32"/>
        </w:rPr>
      </w:pPr>
      <w:r>
        <w:rPr>
          <w:rFonts w:hint="eastAsia" w:ascii="宋体" w:hAnsi="宋体"/>
          <w:sz w:val="24"/>
          <w:szCs w:val="32"/>
        </w:rPr>
        <w:t>发包人应按合同约定向承包人及时支付合同价款。</w:t>
      </w:r>
    </w:p>
    <w:p w14:paraId="1A3E16BE">
      <w:pPr>
        <w:wordWrap w:val="0"/>
        <w:spacing w:line="360" w:lineRule="auto"/>
        <w:ind w:firstLine="480" w:firstLineChars="200"/>
        <w:jc w:val="left"/>
        <w:rPr>
          <w:rFonts w:ascii="宋体" w:hAnsi="宋体"/>
          <w:sz w:val="24"/>
          <w:szCs w:val="32"/>
        </w:rPr>
      </w:pPr>
      <w:bookmarkStart w:id="942" w:name="_Hlk114648754"/>
      <w:r>
        <w:rPr>
          <w:rFonts w:hint="eastAsia" w:ascii="宋体" w:hAnsi="宋体"/>
          <w:sz w:val="24"/>
          <w:szCs w:val="32"/>
        </w:rPr>
        <w:t>发包人应当严格落实人工费用与其他工程款分账管理制度，分解工程价款中的人工费用，及时足额将人工费用拨付到承包人的工资专用账户。</w:t>
      </w:r>
    </w:p>
    <w:bookmarkEnd w:id="942"/>
    <w:p w14:paraId="5AFB3729">
      <w:pPr>
        <w:wordWrap w:val="0"/>
        <w:spacing w:before="120" w:beforeLines="50" w:after="120" w:afterLines="50" w:line="360" w:lineRule="auto"/>
        <w:outlineLvl w:val="2"/>
        <w:rPr>
          <w:rFonts w:ascii="宋体"/>
          <w:kern w:val="0"/>
          <w:sz w:val="24"/>
          <w:szCs w:val="20"/>
        </w:rPr>
      </w:pPr>
      <w:bookmarkStart w:id="943" w:name="_Toc342296282"/>
      <w:bookmarkStart w:id="944" w:name="_Toc207289593"/>
      <w:bookmarkStart w:id="945" w:name="_Toc480486744"/>
      <w:bookmarkStart w:id="946" w:name="_Toc338944724"/>
      <w:bookmarkStart w:id="947" w:name="_Toc152045631"/>
      <w:bookmarkStart w:id="948" w:name="_Toc490222507"/>
      <w:bookmarkStart w:id="949" w:name="_Toc144974599"/>
      <w:bookmarkStart w:id="950" w:name="_Toc489279873"/>
      <w:bookmarkStart w:id="951" w:name="_Toc486580062"/>
      <w:bookmarkStart w:id="952" w:name="_Toc480486916"/>
      <w:bookmarkStart w:id="953" w:name="_Toc483668091"/>
      <w:bookmarkStart w:id="954" w:name="_Toc179632649"/>
      <w:bookmarkStart w:id="955" w:name="_Toc152042409"/>
      <w:r>
        <w:rPr>
          <w:rFonts w:ascii="宋体"/>
          <w:kern w:val="0"/>
          <w:sz w:val="24"/>
          <w:szCs w:val="20"/>
        </w:rPr>
        <w:t xml:space="preserve">2.7  </w:t>
      </w:r>
      <w:r>
        <w:rPr>
          <w:rFonts w:hint="eastAsia" w:ascii="宋体"/>
          <w:kern w:val="0"/>
          <w:sz w:val="24"/>
          <w:szCs w:val="20"/>
        </w:rPr>
        <w:t>组织竣工验收</w:t>
      </w:r>
      <w:bookmarkEnd w:id="943"/>
      <w:bookmarkEnd w:id="944"/>
      <w:bookmarkEnd w:id="945"/>
      <w:bookmarkEnd w:id="946"/>
      <w:bookmarkEnd w:id="947"/>
      <w:bookmarkEnd w:id="948"/>
      <w:bookmarkEnd w:id="949"/>
      <w:bookmarkEnd w:id="950"/>
      <w:bookmarkEnd w:id="951"/>
      <w:bookmarkEnd w:id="952"/>
      <w:bookmarkEnd w:id="953"/>
      <w:bookmarkEnd w:id="954"/>
      <w:bookmarkEnd w:id="955"/>
    </w:p>
    <w:p w14:paraId="72800C50">
      <w:pPr>
        <w:wordWrap w:val="0"/>
        <w:spacing w:line="360" w:lineRule="auto"/>
        <w:ind w:firstLine="480" w:firstLineChars="200"/>
        <w:jc w:val="left"/>
        <w:rPr>
          <w:rFonts w:ascii="宋体"/>
          <w:sz w:val="24"/>
          <w:szCs w:val="32"/>
        </w:rPr>
      </w:pPr>
      <w:r>
        <w:rPr>
          <w:rFonts w:hint="eastAsia" w:ascii="宋体" w:hAnsi="宋体"/>
          <w:sz w:val="24"/>
          <w:szCs w:val="32"/>
        </w:rPr>
        <w:t>发包人应按合同约定及时组织竣工验收。</w:t>
      </w:r>
      <w:bookmarkStart w:id="956" w:name="_Hlk114649206"/>
      <w:r>
        <w:rPr>
          <w:rFonts w:hint="eastAsia" w:ascii="宋体" w:hAnsi="宋体"/>
          <w:sz w:val="24"/>
          <w:szCs w:val="32"/>
        </w:rPr>
        <w:t>发包人在组织竣工验收时，应对工程是否符合消防要求进行查验。经查验不符合规定的，发包人不得编制工程竣工验收报告。</w:t>
      </w:r>
    </w:p>
    <w:bookmarkEnd w:id="956"/>
    <w:p w14:paraId="356552E6">
      <w:pPr>
        <w:wordWrap w:val="0"/>
        <w:spacing w:before="120" w:beforeLines="50" w:after="120" w:afterLines="50" w:line="360" w:lineRule="auto"/>
        <w:outlineLvl w:val="2"/>
        <w:rPr>
          <w:rFonts w:ascii="宋体"/>
          <w:kern w:val="0"/>
          <w:sz w:val="24"/>
          <w:szCs w:val="20"/>
        </w:rPr>
      </w:pPr>
      <w:bookmarkStart w:id="957" w:name="_Toc489279874"/>
      <w:bookmarkStart w:id="958" w:name="_Toc480486917"/>
      <w:bookmarkStart w:id="959" w:name="_Toc483668092"/>
      <w:bookmarkStart w:id="960" w:name="_Toc486580063"/>
      <w:bookmarkStart w:id="961" w:name="_Toc490222508"/>
      <w:bookmarkStart w:id="962" w:name="_Toc480486745"/>
      <w:bookmarkStart w:id="963" w:name="_Toc207289594"/>
      <w:r>
        <w:rPr>
          <w:rFonts w:ascii="宋体"/>
          <w:kern w:val="0"/>
          <w:sz w:val="24"/>
          <w:szCs w:val="20"/>
        </w:rPr>
        <w:t xml:space="preserve">2.8  </w:t>
      </w:r>
      <w:r>
        <w:rPr>
          <w:rFonts w:hint="eastAsia" w:ascii="宋体"/>
          <w:kern w:val="0"/>
          <w:sz w:val="24"/>
          <w:szCs w:val="20"/>
        </w:rPr>
        <w:t>向承包人提交支付担保</w:t>
      </w:r>
      <w:bookmarkEnd w:id="957"/>
      <w:bookmarkEnd w:id="958"/>
      <w:bookmarkEnd w:id="959"/>
      <w:bookmarkEnd w:id="960"/>
      <w:bookmarkEnd w:id="961"/>
      <w:bookmarkEnd w:id="962"/>
      <w:bookmarkEnd w:id="963"/>
    </w:p>
    <w:p w14:paraId="0B2A0285">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）发包人要求承包人提交履约担保的，除合同条款专用部分另有约定的，在承包人按合同条款第</w:t>
      </w:r>
      <w:r>
        <w:rPr>
          <w:rFonts w:ascii="宋体" w:hAnsi="宋体"/>
          <w:sz w:val="24"/>
        </w:rPr>
        <w:t>4.2</w:t>
      </w:r>
      <w:r>
        <w:rPr>
          <w:rFonts w:hint="eastAsia" w:ascii="宋体" w:hAnsi="宋体"/>
          <w:sz w:val="24"/>
        </w:rPr>
        <w:t>款向发包人递交符合合同约定的履约担保的同时，发包人应当按照金额和条件对等的原则和合同文件中规定的格式或者其他经过承包人事先认可的格式向承包人递交一份支付担保。发包人提供支付担保格式</w:t>
      </w:r>
      <w:r>
        <w:rPr>
          <w:rFonts w:hint="eastAsia" w:ascii="黑体" w:hAnsi="黑体" w:eastAsia="黑体"/>
          <w:sz w:val="24"/>
        </w:rPr>
        <w:t>见合同条款专用部分附件六</w:t>
      </w:r>
      <w:r>
        <w:rPr>
          <w:rFonts w:hint="eastAsia" w:ascii="宋体" w:hAnsi="宋体"/>
          <w:sz w:val="24"/>
        </w:rPr>
        <w:t>。</w:t>
      </w:r>
    </w:p>
    <w:p w14:paraId="65AF6E4C">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）支付担保的有效期应当自本合同生效之日起至发包人实际支付竣工付款之日止。</w:t>
      </w:r>
    </w:p>
    <w:p w14:paraId="16274C7A">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）发包人无法获得一份不带具体截止日期的履约担保，支付担保中应当约定有“变更工程竣工付款支付日期的，保证期间按照变更后的竣工付款支付日期做相应调整”或类似约定的条款。</w:t>
      </w:r>
    </w:p>
    <w:p w14:paraId="7CADA940">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）支付担保应当在发包人付清竣工付款之日后</w:t>
      </w:r>
      <w:r>
        <w:rPr>
          <w:rFonts w:ascii="宋体" w:hAnsi="宋体"/>
          <w:sz w:val="24"/>
        </w:rPr>
        <w:t>28</w:t>
      </w:r>
      <w:r>
        <w:rPr>
          <w:rFonts w:hint="eastAsia" w:ascii="宋体" w:hAnsi="宋体"/>
          <w:sz w:val="24"/>
        </w:rPr>
        <w:t>天内退还给发包人；承包人不承担发包人与支付担保有关的任何利息或其它类似的费用或者收益。</w:t>
      </w:r>
    </w:p>
    <w:p w14:paraId="2D4300A6">
      <w:pPr>
        <w:wordWrap w:val="0"/>
        <w:spacing w:before="120" w:beforeLines="50" w:after="120" w:afterLines="50" w:line="360" w:lineRule="auto"/>
        <w:outlineLvl w:val="2"/>
        <w:rPr>
          <w:rFonts w:ascii="宋体"/>
          <w:kern w:val="0"/>
          <w:sz w:val="24"/>
          <w:szCs w:val="20"/>
        </w:rPr>
      </w:pPr>
      <w:bookmarkStart w:id="964" w:name="_Toc489279875"/>
      <w:bookmarkStart w:id="965" w:name="_Toc483668093"/>
      <w:bookmarkStart w:id="966" w:name="_Toc480486918"/>
      <w:bookmarkStart w:id="967" w:name="_Toc490222509"/>
      <w:bookmarkStart w:id="968" w:name="_Toc207289595"/>
      <w:bookmarkStart w:id="969" w:name="_Toc480486746"/>
      <w:bookmarkStart w:id="970" w:name="_Toc486580064"/>
      <w:r>
        <w:rPr>
          <w:rFonts w:ascii="宋体"/>
          <w:kern w:val="0"/>
          <w:sz w:val="24"/>
          <w:szCs w:val="20"/>
        </w:rPr>
        <w:t xml:space="preserve">2.9  </w:t>
      </w:r>
      <w:r>
        <w:rPr>
          <w:rFonts w:hint="eastAsia" w:ascii="宋体"/>
          <w:kern w:val="0"/>
          <w:sz w:val="24"/>
          <w:szCs w:val="20"/>
        </w:rPr>
        <w:t>办理工程质量监督手续</w:t>
      </w:r>
      <w:bookmarkEnd w:id="964"/>
      <w:bookmarkEnd w:id="965"/>
      <w:bookmarkEnd w:id="966"/>
      <w:bookmarkEnd w:id="967"/>
      <w:bookmarkEnd w:id="968"/>
      <w:bookmarkEnd w:id="969"/>
      <w:bookmarkEnd w:id="970"/>
    </w:p>
    <w:p w14:paraId="7E7CB8A4">
      <w:pPr>
        <w:wordWrap w:val="0"/>
        <w:spacing w:line="360" w:lineRule="auto"/>
        <w:ind w:firstLine="480" w:firstLineChars="200"/>
        <w:jc w:val="left"/>
        <w:rPr>
          <w:rFonts w:ascii="宋体"/>
          <w:sz w:val="24"/>
          <w:szCs w:val="32"/>
        </w:rPr>
      </w:pPr>
      <w:r>
        <w:rPr>
          <w:rFonts w:hint="eastAsia" w:ascii="宋体" w:hAnsi="宋体"/>
          <w:sz w:val="24"/>
          <w:szCs w:val="32"/>
        </w:rPr>
        <w:t>发包人应按有关规定及时办理工程质量监督手续。</w:t>
      </w:r>
    </w:p>
    <w:p w14:paraId="11C471B4">
      <w:pPr>
        <w:wordWrap w:val="0"/>
        <w:spacing w:before="120" w:beforeLines="50" w:after="120" w:afterLines="50" w:line="360" w:lineRule="auto"/>
        <w:outlineLvl w:val="2"/>
        <w:rPr>
          <w:rFonts w:ascii="宋体"/>
          <w:kern w:val="0"/>
          <w:sz w:val="24"/>
          <w:szCs w:val="20"/>
        </w:rPr>
      </w:pPr>
      <w:bookmarkStart w:id="971" w:name="_Toc483668094"/>
      <w:bookmarkStart w:id="972" w:name="_Toc489279876"/>
      <w:bookmarkStart w:id="973" w:name="_Toc480486919"/>
      <w:bookmarkStart w:id="974" w:name="_Toc207289596"/>
      <w:bookmarkStart w:id="975" w:name="_Toc490222510"/>
      <w:bookmarkStart w:id="976" w:name="_Toc480486747"/>
      <w:bookmarkStart w:id="977" w:name="_Toc486580065"/>
      <w:r>
        <w:rPr>
          <w:rFonts w:ascii="宋体"/>
          <w:kern w:val="0"/>
          <w:sz w:val="24"/>
          <w:szCs w:val="20"/>
        </w:rPr>
        <w:t xml:space="preserve">2.10  </w:t>
      </w:r>
      <w:r>
        <w:rPr>
          <w:rFonts w:hint="eastAsia" w:ascii="宋体"/>
          <w:kern w:val="0"/>
          <w:sz w:val="24"/>
          <w:szCs w:val="20"/>
        </w:rPr>
        <w:t>环境保护责任</w:t>
      </w:r>
      <w:bookmarkEnd w:id="971"/>
      <w:bookmarkEnd w:id="972"/>
      <w:bookmarkEnd w:id="973"/>
      <w:bookmarkEnd w:id="974"/>
      <w:bookmarkEnd w:id="975"/>
      <w:bookmarkEnd w:id="976"/>
      <w:bookmarkEnd w:id="977"/>
    </w:p>
    <w:p w14:paraId="384ABF43">
      <w:pPr>
        <w:wordWrap w:val="0"/>
        <w:spacing w:line="360" w:lineRule="auto"/>
        <w:ind w:firstLine="360" w:firstLineChars="150"/>
        <w:rPr>
          <w:rFonts w:ascii="宋体"/>
          <w:sz w:val="24"/>
        </w:rPr>
      </w:pPr>
      <w:r>
        <w:rPr>
          <w:rFonts w:hint="eastAsia" w:ascii="宋体" w:hAnsi="宋体"/>
          <w:sz w:val="24"/>
          <w:szCs w:val="22"/>
        </w:rPr>
        <w:t>发包人对建筑垃圾处理、施工扬尘治理负总责。</w:t>
      </w:r>
    </w:p>
    <w:p w14:paraId="26984203">
      <w:pPr>
        <w:wordWrap w:val="0"/>
        <w:spacing w:before="120" w:beforeLines="50" w:after="120" w:afterLines="50" w:line="360" w:lineRule="auto"/>
        <w:outlineLvl w:val="2"/>
        <w:rPr>
          <w:rFonts w:ascii="宋体"/>
          <w:kern w:val="0"/>
          <w:sz w:val="24"/>
          <w:szCs w:val="20"/>
        </w:rPr>
      </w:pPr>
      <w:bookmarkStart w:id="978" w:name="_Toc486580066"/>
      <w:bookmarkStart w:id="979" w:name="_Toc480486748"/>
      <w:bookmarkStart w:id="980" w:name="_Toc207289597"/>
      <w:bookmarkStart w:id="981" w:name="_Toc489279877"/>
      <w:bookmarkStart w:id="982" w:name="_Toc480486920"/>
      <w:bookmarkStart w:id="983" w:name="_Toc483668095"/>
      <w:bookmarkStart w:id="984" w:name="_Toc490222511"/>
      <w:r>
        <w:rPr>
          <w:rFonts w:ascii="宋体"/>
          <w:kern w:val="0"/>
          <w:sz w:val="24"/>
          <w:szCs w:val="20"/>
        </w:rPr>
        <w:t xml:space="preserve">2.11  </w:t>
      </w:r>
      <w:r>
        <w:rPr>
          <w:rFonts w:hint="eastAsia" w:ascii="宋体"/>
          <w:kern w:val="0"/>
          <w:sz w:val="24"/>
          <w:szCs w:val="20"/>
        </w:rPr>
        <w:t>移交工程档案</w:t>
      </w:r>
      <w:bookmarkEnd w:id="978"/>
      <w:bookmarkEnd w:id="979"/>
      <w:bookmarkEnd w:id="980"/>
      <w:bookmarkEnd w:id="981"/>
      <w:bookmarkEnd w:id="982"/>
      <w:bookmarkEnd w:id="983"/>
      <w:bookmarkEnd w:id="984"/>
    </w:p>
    <w:p w14:paraId="3A292A4F">
      <w:pPr>
        <w:wordWrap w:val="0"/>
        <w:spacing w:line="360" w:lineRule="auto"/>
        <w:ind w:firstLine="480" w:firstLineChars="200"/>
        <w:rPr>
          <w:rFonts w:ascii="宋体"/>
          <w:sz w:val="24"/>
          <w:szCs w:val="22"/>
        </w:rPr>
      </w:pPr>
      <w:r>
        <w:rPr>
          <w:rFonts w:hint="eastAsia" w:ascii="宋体" w:hAnsi="宋体"/>
          <w:sz w:val="24"/>
          <w:szCs w:val="22"/>
        </w:rPr>
        <w:t>发包人应根据建设行政主管部门和（或）城市建设档案管理机构的规定，收集、整理、立卷、归档工程资料，并按规定时间向建设行政主管部门或者城市建设档案管理机构移交规定的工程档案。</w:t>
      </w:r>
    </w:p>
    <w:p w14:paraId="5848DB89">
      <w:pPr>
        <w:wordWrap w:val="0"/>
        <w:spacing w:before="120" w:beforeLines="50" w:after="120" w:afterLines="50" w:line="360" w:lineRule="auto"/>
        <w:outlineLvl w:val="2"/>
        <w:rPr>
          <w:rFonts w:ascii="宋体"/>
          <w:kern w:val="0"/>
          <w:sz w:val="24"/>
          <w:szCs w:val="20"/>
        </w:rPr>
      </w:pPr>
      <w:bookmarkStart w:id="985" w:name="_Toc480486749"/>
      <w:bookmarkStart w:id="986" w:name="_Toc480486921"/>
      <w:bookmarkStart w:id="987" w:name="_Toc490222512"/>
      <w:bookmarkStart w:id="988" w:name="_Toc486580067"/>
      <w:bookmarkStart w:id="989" w:name="_Toc489279878"/>
      <w:bookmarkStart w:id="990" w:name="_Toc207289598"/>
      <w:bookmarkStart w:id="991" w:name="_Toc483668096"/>
      <w:r>
        <w:rPr>
          <w:rFonts w:ascii="宋体"/>
          <w:kern w:val="0"/>
          <w:sz w:val="24"/>
          <w:szCs w:val="20"/>
        </w:rPr>
        <w:t xml:space="preserve">2.12  </w:t>
      </w:r>
      <w:r>
        <w:rPr>
          <w:rFonts w:hint="eastAsia" w:ascii="宋体"/>
          <w:kern w:val="0"/>
          <w:sz w:val="24"/>
          <w:szCs w:val="20"/>
        </w:rPr>
        <w:t>批准和确认</w:t>
      </w:r>
      <w:bookmarkEnd w:id="985"/>
      <w:bookmarkEnd w:id="986"/>
      <w:bookmarkEnd w:id="987"/>
      <w:bookmarkEnd w:id="988"/>
      <w:bookmarkEnd w:id="989"/>
      <w:bookmarkEnd w:id="990"/>
      <w:bookmarkEnd w:id="991"/>
    </w:p>
    <w:p w14:paraId="7E1AF181">
      <w:pPr>
        <w:wordWrap w:val="0"/>
        <w:spacing w:line="360" w:lineRule="auto"/>
        <w:ind w:firstLine="480" w:firstLineChars="200"/>
        <w:rPr>
          <w:rFonts w:ascii="宋体"/>
          <w:sz w:val="24"/>
          <w:szCs w:val="32"/>
        </w:rPr>
      </w:pPr>
      <w:r>
        <w:rPr>
          <w:rFonts w:hint="eastAsia" w:ascii="宋体" w:hAnsi="宋体"/>
          <w:sz w:val="24"/>
          <w:szCs w:val="22"/>
        </w:rPr>
        <w:t>按照合同约定应当由监理人或者发包人回复、批复、批准和确认，或承包人提出修改意见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6AAFE0CA">
      <w:pPr>
        <w:wordWrap w:val="0"/>
        <w:spacing w:before="120" w:beforeLines="50" w:after="120" w:afterLines="50" w:line="360" w:lineRule="auto"/>
        <w:outlineLvl w:val="2"/>
        <w:rPr>
          <w:rFonts w:ascii="宋体"/>
          <w:kern w:val="0"/>
          <w:sz w:val="24"/>
          <w:szCs w:val="20"/>
        </w:rPr>
      </w:pPr>
      <w:bookmarkStart w:id="992" w:name="_Toc480486922"/>
      <w:bookmarkStart w:id="993" w:name="_Toc483668097"/>
      <w:bookmarkStart w:id="994" w:name="_Toc489279879"/>
      <w:bookmarkStart w:id="995" w:name="_Toc486580068"/>
      <w:bookmarkStart w:id="996" w:name="_Toc207289599"/>
      <w:bookmarkStart w:id="997" w:name="_Toc338944725"/>
      <w:bookmarkStart w:id="998" w:name="_Toc480486750"/>
      <w:bookmarkStart w:id="999" w:name="_Toc490222513"/>
      <w:bookmarkStart w:id="1000" w:name="_Toc342296283"/>
      <w:r>
        <w:rPr>
          <w:rFonts w:ascii="宋体"/>
          <w:kern w:val="0"/>
          <w:sz w:val="24"/>
          <w:szCs w:val="20"/>
        </w:rPr>
        <w:t xml:space="preserve">2.13  </w:t>
      </w:r>
      <w:r>
        <w:rPr>
          <w:rFonts w:hint="eastAsia" w:ascii="宋体"/>
          <w:kern w:val="0"/>
          <w:sz w:val="24"/>
          <w:szCs w:val="20"/>
        </w:rPr>
        <w:t>其他义务</w:t>
      </w:r>
      <w:bookmarkEnd w:id="992"/>
      <w:bookmarkEnd w:id="993"/>
      <w:bookmarkEnd w:id="994"/>
      <w:bookmarkEnd w:id="995"/>
      <w:bookmarkEnd w:id="996"/>
      <w:bookmarkEnd w:id="997"/>
      <w:bookmarkEnd w:id="998"/>
      <w:bookmarkEnd w:id="999"/>
      <w:bookmarkEnd w:id="1000"/>
    </w:p>
    <w:p w14:paraId="784F9A31">
      <w:pPr>
        <w:wordWrap w:val="0"/>
        <w:spacing w:line="360" w:lineRule="auto"/>
        <w:ind w:firstLine="480" w:firstLineChars="200"/>
        <w:rPr>
          <w:rFonts w:ascii="黑体" w:hAnsi="黑体" w:eastAsia="黑体"/>
          <w:b/>
          <w:sz w:val="24"/>
          <w:szCs w:val="32"/>
        </w:rPr>
      </w:pPr>
      <w:r>
        <w:rPr>
          <w:rFonts w:hint="eastAsia" w:ascii="宋体" w:hAnsi="宋体"/>
          <w:sz w:val="24"/>
          <w:szCs w:val="32"/>
        </w:rPr>
        <w:t>发包人应履行的其他义务</w:t>
      </w:r>
      <w:r>
        <w:rPr>
          <w:rFonts w:hint="eastAsia" w:ascii="黑体" w:hAnsi="黑体" w:eastAsia="黑体"/>
          <w:sz w:val="24"/>
          <w:szCs w:val="32"/>
        </w:rPr>
        <w:t>见合同条款专用部分。</w:t>
      </w:r>
    </w:p>
    <w:p w14:paraId="20DB50D3">
      <w:pPr>
        <w:tabs>
          <w:tab w:val="left" w:pos="576"/>
        </w:tabs>
        <w:wordWrap w:val="0"/>
        <w:spacing w:before="120" w:beforeLines="50" w:after="120" w:afterLines="50" w:line="360" w:lineRule="auto"/>
        <w:outlineLvl w:val="1"/>
        <w:rPr>
          <w:rFonts w:ascii="宋体" w:cs="宋体"/>
          <w:sz w:val="28"/>
          <w:szCs w:val="20"/>
        </w:rPr>
      </w:pPr>
      <w:bookmarkStart w:id="1001" w:name="_Toc489279880"/>
      <w:bookmarkStart w:id="1002" w:name="_Toc480486923"/>
      <w:bookmarkStart w:id="1003" w:name="_Toc338944726"/>
      <w:bookmarkStart w:id="1004" w:name="_Toc480486751"/>
      <w:bookmarkStart w:id="1005" w:name="_Toc486580069"/>
      <w:bookmarkStart w:id="1006" w:name="_Toc483668098"/>
      <w:bookmarkStart w:id="1007" w:name="_Toc207289600"/>
      <w:bookmarkStart w:id="1008" w:name="_Toc490222514"/>
      <w:bookmarkStart w:id="1009" w:name="_Toc342296284"/>
      <w:r>
        <w:rPr>
          <w:rFonts w:ascii="宋体" w:cs="宋体"/>
          <w:sz w:val="28"/>
          <w:szCs w:val="20"/>
        </w:rPr>
        <w:t>3.</w:t>
      </w:r>
      <w:r>
        <w:rPr>
          <w:rFonts w:hint="eastAsia" w:ascii="宋体" w:cs="宋体"/>
          <w:sz w:val="28"/>
          <w:szCs w:val="20"/>
        </w:rPr>
        <w:t>监理人</w:t>
      </w:r>
      <w:bookmarkEnd w:id="1001"/>
      <w:bookmarkEnd w:id="1002"/>
      <w:bookmarkEnd w:id="1003"/>
      <w:bookmarkEnd w:id="1004"/>
      <w:bookmarkEnd w:id="1005"/>
      <w:bookmarkEnd w:id="1006"/>
      <w:bookmarkEnd w:id="1007"/>
      <w:bookmarkEnd w:id="1008"/>
      <w:bookmarkEnd w:id="1009"/>
    </w:p>
    <w:p w14:paraId="18B86E6B">
      <w:pPr>
        <w:wordWrap w:val="0"/>
        <w:spacing w:before="120" w:beforeLines="50" w:after="120" w:afterLines="50" w:line="360" w:lineRule="auto"/>
        <w:outlineLvl w:val="2"/>
        <w:rPr>
          <w:rFonts w:ascii="宋体"/>
          <w:kern w:val="0"/>
          <w:sz w:val="24"/>
          <w:szCs w:val="20"/>
        </w:rPr>
      </w:pPr>
      <w:bookmarkStart w:id="1010" w:name="_Toc489279881"/>
      <w:bookmarkStart w:id="1011" w:name="_Toc480486752"/>
      <w:bookmarkStart w:id="1012" w:name="_Toc342296285"/>
      <w:bookmarkStart w:id="1013" w:name="_Toc207289601"/>
      <w:bookmarkStart w:id="1014" w:name="_Toc483668099"/>
      <w:bookmarkStart w:id="1015" w:name="_Toc486580070"/>
      <w:bookmarkStart w:id="1016" w:name="_Toc480486924"/>
      <w:bookmarkStart w:id="1017" w:name="_Toc490222515"/>
      <w:bookmarkStart w:id="1018" w:name="_Toc338944727"/>
      <w:r>
        <w:rPr>
          <w:rFonts w:ascii="宋体"/>
          <w:kern w:val="0"/>
          <w:sz w:val="24"/>
          <w:szCs w:val="20"/>
        </w:rPr>
        <w:t xml:space="preserve">3.1  </w:t>
      </w:r>
      <w:r>
        <w:rPr>
          <w:rFonts w:hint="eastAsia" w:ascii="宋体"/>
          <w:kern w:val="0"/>
          <w:sz w:val="24"/>
          <w:szCs w:val="20"/>
        </w:rPr>
        <w:t>监理人的职责和权力</w:t>
      </w:r>
      <w:bookmarkEnd w:id="1010"/>
      <w:bookmarkEnd w:id="1011"/>
      <w:bookmarkEnd w:id="1012"/>
      <w:bookmarkEnd w:id="1013"/>
      <w:bookmarkEnd w:id="1014"/>
      <w:bookmarkEnd w:id="1015"/>
      <w:bookmarkEnd w:id="1016"/>
      <w:bookmarkEnd w:id="1017"/>
      <w:bookmarkEnd w:id="1018"/>
    </w:p>
    <w:p w14:paraId="7670C873">
      <w:pPr>
        <w:wordWrap w:val="0"/>
        <w:spacing w:line="360" w:lineRule="auto"/>
        <w:ind w:firstLine="480" w:firstLineChars="200"/>
        <w:rPr>
          <w:rFonts w:ascii="宋体"/>
          <w:sz w:val="24"/>
          <w:szCs w:val="32"/>
        </w:rPr>
      </w:pPr>
      <w:r>
        <w:rPr>
          <w:rFonts w:ascii="宋体" w:hAnsi="宋体"/>
          <w:sz w:val="24"/>
          <w:szCs w:val="32"/>
        </w:rPr>
        <w:t xml:space="preserve">3.1.1  </w:t>
      </w:r>
      <w:r>
        <w:rPr>
          <w:rFonts w:hint="eastAsia" w:ascii="宋体" w:hAnsi="宋体"/>
          <w:sz w:val="24"/>
          <w:szCs w:val="32"/>
        </w:rPr>
        <w:t>监理人受发包人委托，享有合同约定的权力。监理人在行使某项权力前需要经发包人事先批准，合同条款通用部分没有指明的，应在合同中指明。监理人履行须经发包人批准行使的权力时，应当向承包人出示其行使该权力已经取得发包人批准的文件或者其他合法有效的证明</w:t>
      </w:r>
      <w:r>
        <w:rPr>
          <w:rFonts w:hint="eastAsia" w:ascii="宋体" w:hAnsi="宋体"/>
          <w:sz w:val="24"/>
        </w:rPr>
        <w:t>。发包人需批准明确行使的权力</w:t>
      </w:r>
      <w:r>
        <w:rPr>
          <w:rFonts w:hint="eastAsia" w:ascii="黑体" w:hAnsi="黑体" w:eastAsia="黑体"/>
          <w:sz w:val="24"/>
        </w:rPr>
        <w:t>见</w:t>
      </w:r>
      <w:r>
        <w:rPr>
          <w:rFonts w:hint="eastAsia" w:ascii="黑体" w:hAnsi="黑体" w:eastAsia="黑体"/>
          <w:sz w:val="24"/>
          <w:szCs w:val="32"/>
        </w:rPr>
        <w:t>合同条款专用部分。</w:t>
      </w:r>
    </w:p>
    <w:p w14:paraId="5FC6CBDA">
      <w:pPr>
        <w:wordWrap w:val="0"/>
        <w:spacing w:line="360" w:lineRule="auto"/>
        <w:ind w:firstLine="480" w:firstLineChars="200"/>
        <w:rPr>
          <w:rFonts w:ascii="宋体"/>
          <w:sz w:val="24"/>
          <w:szCs w:val="32"/>
        </w:rPr>
      </w:pPr>
      <w:r>
        <w:rPr>
          <w:rFonts w:ascii="宋体" w:hAnsi="宋体"/>
          <w:sz w:val="24"/>
          <w:szCs w:val="32"/>
        </w:rPr>
        <w:t xml:space="preserve">3.1.2  </w:t>
      </w:r>
      <w:r>
        <w:rPr>
          <w:rFonts w:hint="eastAsia" w:ascii="宋体" w:hAnsi="宋体"/>
          <w:sz w:val="24"/>
          <w:szCs w:val="32"/>
        </w:rPr>
        <w:t>监理人发出的任何指示应视为已得到发包人的批准，但监理人无权免除或变更合同约定的发包人和承包人的权利、义务和责任。</w:t>
      </w:r>
    </w:p>
    <w:p w14:paraId="68874F92">
      <w:pPr>
        <w:wordWrap w:val="0"/>
        <w:spacing w:line="360" w:lineRule="auto"/>
        <w:ind w:firstLine="480" w:firstLineChars="200"/>
        <w:rPr>
          <w:rFonts w:ascii="宋体"/>
          <w:sz w:val="24"/>
          <w:szCs w:val="32"/>
        </w:rPr>
      </w:pPr>
      <w:r>
        <w:rPr>
          <w:rFonts w:ascii="宋体" w:hAnsi="宋体"/>
          <w:sz w:val="24"/>
          <w:szCs w:val="32"/>
        </w:rPr>
        <w:t xml:space="preserve">3.1.3  </w:t>
      </w:r>
      <w:r>
        <w:rPr>
          <w:rFonts w:hint="eastAsia" w:ascii="宋体" w:hAnsi="宋体"/>
          <w:sz w:val="24"/>
          <w:szCs w:val="32"/>
        </w:rPr>
        <w:t>合同约定应由承包人承担的义务和责任，不因监理人对承包人提交文件的审查或批准，对工程、材料和设备的检查和检验，以及为实施监理作出的指示等职务行为而减轻或解除。</w:t>
      </w:r>
    </w:p>
    <w:p w14:paraId="2A048B07">
      <w:pPr>
        <w:wordWrap w:val="0"/>
        <w:spacing w:before="120" w:beforeLines="50" w:after="120" w:afterLines="50" w:line="360" w:lineRule="auto"/>
        <w:outlineLvl w:val="2"/>
        <w:rPr>
          <w:rFonts w:ascii="宋体"/>
          <w:kern w:val="0"/>
          <w:sz w:val="24"/>
          <w:szCs w:val="20"/>
        </w:rPr>
      </w:pPr>
      <w:bookmarkStart w:id="1019" w:name="_Toc486580071"/>
      <w:bookmarkStart w:id="1020" w:name="_Toc489279882"/>
      <w:bookmarkStart w:id="1021" w:name="_Toc179632653"/>
      <w:bookmarkStart w:id="1022" w:name="_Toc483668100"/>
      <w:bookmarkStart w:id="1023" w:name="_Toc342296286"/>
      <w:bookmarkStart w:id="1024" w:name="_Toc338944728"/>
      <w:bookmarkStart w:id="1025" w:name="_Toc152045635"/>
      <w:bookmarkStart w:id="1026" w:name="_Toc152042413"/>
      <w:bookmarkStart w:id="1027" w:name="_Toc490222516"/>
      <w:bookmarkStart w:id="1028" w:name="_Toc207289602"/>
      <w:bookmarkStart w:id="1029" w:name="_Toc480486925"/>
      <w:bookmarkStart w:id="1030" w:name="_Toc144974603"/>
      <w:bookmarkStart w:id="1031" w:name="_Toc480486753"/>
      <w:r>
        <w:rPr>
          <w:rFonts w:ascii="宋体"/>
          <w:kern w:val="0"/>
          <w:sz w:val="24"/>
          <w:szCs w:val="20"/>
        </w:rPr>
        <w:t xml:space="preserve">3.2  </w:t>
      </w:r>
      <w:r>
        <w:rPr>
          <w:rFonts w:hint="eastAsia" w:ascii="宋体"/>
          <w:kern w:val="0"/>
          <w:sz w:val="24"/>
          <w:szCs w:val="20"/>
        </w:rPr>
        <w:t>总监理工程师</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14:paraId="0B56501B">
      <w:pPr>
        <w:wordWrap w:val="0"/>
        <w:spacing w:line="360" w:lineRule="auto"/>
        <w:ind w:firstLine="480" w:firstLineChars="200"/>
        <w:rPr>
          <w:rFonts w:ascii="宋体"/>
          <w:sz w:val="24"/>
          <w:szCs w:val="32"/>
        </w:rPr>
      </w:pPr>
      <w:r>
        <w:rPr>
          <w:rFonts w:hint="eastAsia" w:ascii="宋体" w:hAnsi="宋体"/>
          <w:sz w:val="24"/>
          <w:szCs w:val="32"/>
        </w:rPr>
        <w:t>发包人应在发出开工通知前将总监理工程师的任命通知承包人。总监理工程师更换时，应在调离</w:t>
      </w:r>
      <w:r>
        <w:rPr>
          <w:rFonts w:ascii="宋体" w:hAnsi="宋体"/>
          <w:sz w:val="24"/>
          <w:szCs w:val="32"/>
        </w:rPr>
        <w:t>14</w:t>
      </w:r>
      <w:r>
        <w:rPr>
          <w:rFonts w:hint="eastAsia" w:ascii="宋体" w:hAnsi="宋体"/>
          <w:sz w:val="24"/>
          <w:szCs w:val="32"/>
        </w:rPr>
        <w:t>天前通知承包人。总监理工程师短期离开施工场地的，应委派代表代行其职责，并通知承包人。</w:t>
      </w:r>
    </w:p>
    <w:p w14:paraId="094BD701">
      <w:pPr>
        <w:wordWrap w:val="0"/>
        <w:spacing w:before="120" w:beforeLines="50" w:after="120" w:afterLines="50" w:line="360" w:lineRule="auto"/>
        <w:outlineLvl w:val="2"/>
        <w:rPr>
          <w:rFonts w:ascii="宋体"/>
          <w:kern w:val="0"/>
          <w:sz w:val="24"/>
          <w:szCs w:val="20"/>
        </w:rPr>
      </w:pPr>
      <w:bookmarkStart w:id="1032" w:name="_Toc489279883"/>
      <w:bookmarkStart w:id="1033" w:name="_Toc490222517"/>
      <w:bookmarkStart w:id="1034" w:name="_Toc342296287"/>
      <w:bookmarkStart w:id="1035" w:name="_Toc486580072"/>
      <w:bookmarkStart w:id="1036" w:name="_Toc483668101"/>
      <w:bookmarkStart w:id="1037" w:name="_Toc207289603"/>
      <w:bookmarkStart w:id="1038" w:name="_Toc480486926"/>
      <w:bookmarkStart w:id="1039" w:name="_Toc338944729"/>
      <w:bookmarkStart w:id="1040" w:name="_Toc480486754"/>
      <w:r>
        <w:rPr>
          <w:rFonts w:ascii="宋体"/>
          <w:kern w:val="0"/>
          <w:sz w:val="24"/>
          <w:szCs w:val="20"/>
        </w:rPr>
        <w:t xml:space="preserve">3.3  </w:t>
      </w:r>
      <w:r>
        <w:rPr>
          <w:rFonts w:hint="eastAsia" w:ascii="宋体"/>
          <w:kern w:val="0"/>
          <w:sz w:val="24"/>
          <w:szCs w:val="20"/>
        </w:rPr>
        <w:t>监理人员</w:t>
      </w:r>
      <w:bookmarkEnd w:id="1032"/>
      <w:bookmarkEnd w:id="1033"/>
      <w:bookmarkEnd w:id="1034"/>
      <w:bookmarkEnd w:id="1035"/>
      <w:bookmarkEnd w:id="1036"/>
      <w:bookmarkEnd w:id="1037"/>
      <w:bookmarkEnd w:id="1038"/>
      <w:bookmarkEnd w:id="1039"/>
      <w:bookmarkEnd w:id="1040"/>
    </w:p>
    <w:p w14:paraId="3D8407DF">
      <w:pPr>
        <w:wordWrap w:val="0"/>
        <w:spacing w:line="360" w:lineRule="auto"/>
        <w:ind w:firstLine="480" w:firstLineChars="200"/>
        <w:rPr>
          <w:rFonts w:ascii="宋体"/>
          <w:sz w:val="24"/>
          <w:szCs w:val="32"/>
        </w:rPr>
      </w:pPr>
      <w:r>
        <w:rPr>
          <w:rFonts w:ascii="宋体" w:hAnsi="宋体"/>
          <w:sz w:val="24"/>
          <w:szCs w:val="32"/>
        </w:rPr>
        <w:t xml:space="preserve">3.3.1  </w:t>
      </w:r>
      <w:r>
        <w:rPr>
          <w:rFonts w:hint="eastAsia" w:ascii="宋体" w:hAnsi="宋体"/>
          <w:sz w:val="24"/>
          <w:szCs w:val="32"/>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0D2ECCEF">
      <w:pPr>
        <w:wordWrap w:val="0"/>
        <w:spacing w:line="360" w:lineRule="auto"/>
        <w:ind w:firstLine="480" w:firstLineChars="200"/>
        <w:rPr>
          <w:rFonts w:ascii="宋体"/>
          <w:sz w:val="24"/>
          <w:szCs w:val="32"/>
        </w:rPr>
      </w:pPr>
      <w:r>
        <w:rPr>
          <w:rFonts w:ascii="宋体" w:hAnsi="宋体"/>
          <w:sz w:val="24"/>
          <w:szCs w:val="32"/>
        </w:rPr>
        <w:t xml:space="preserve">3.3.2  </w:t>
      </w:r>
      <w:r>
        <w:rPr>
          <w:rFonts w:hint="eastAsia" w:ascii="宋体" w:hAnsi="宋体"/>
          <w:sz w:val="24"/>
          <w:szCs w:val="32"/>
        </w:rPr>
        <w:t>监理人员对承包人的任何工作、工程或其采用的材料未在约定的或合理的期限内提出否定意见的，视为已获批准，但不影响监理人在以后拒绝该项工作、工程、材料的权利。</w:t>
      </w:r>
    </w:p>
    <w:p w14:paraId="577894E9">
      <w:pPr>
        <w:wordWrap w:val="0"/>
        <w:spacing w:line="360" w:lineRule="auto"/>
        <w:ind w:firstLine="480" w:firstLineChars="200"/>
        <w:rPr>
          <w:rFonts w:ascii="宋体"/>
          <w:sz w:val="24"/>
          <w:szCs w:val="32"/>
        </w:rPr>
      </w:pPr>
      <w:r>
        <w:rPr>
          <w:rFonts w:ascii="宋体" w:hAnsi="宋体"/>
          <w:sz w:val="24"/>
          <w:szCs w:val="32"/>
        </w:rPr>
        <w:t xml:space="preserve">3.3.3  </w:t>
      </w:r>
      <w:r>
        <w:rPr>
          <w:rFonts w:hint="eastAsia" w:ascii="宋体" w:hAnsi="宋体"/>
          <w:sz w:val="24"/>
          <w:szCs w:val="32"/>
        </w:rPr>
        <w:t>承包人对总监理工程师授权的监理人员发出的指示有疑问的，可向总监理工程师提出书面异议，总监理工程师应在</w:t>
      </w:r>
      <w:r>
        <w:rPr>
          <w:rFonts w:ascii="宋体" w:hAnsi="宋体"/>
          <w:sz w:val="24"/>
          <w:szCs w:val="32"/>
        </w:rPr>
        <w:t>48</w:t>
      </w:r>
      <w:r>
        <w:rPr>
          <w:rFonts w:hint="eastAsia" w:ascii="宋体" w:hAnsi="宋体"/>
          <w:sz w:val="24"/>
          <w:szCs w:val="32"/>
        </w:rPr>
        <w:t>小时内对该指示予以确认、更改或撤销。</w:t>
      </w:r>
    </w:p>
    <w:p w14:paraId="47F58F4D">
      <w:pPr>
        <w:wordWrap w:val="0"/>
        <w:spacing w:line="360" w:lineRule="auto"/>
        <w:ind w:firstLine="480" w:firstLineChars="200"/>
        <w:rPr>
          <w:rFonts w:ascii="宋体"/>
          <w:sz w:val="24"/>
          <w:szCs w:val="32"/>
        </w:rPr>
      </w:pPr>
      <w:r>
        <w:rPr>
          <w:rFonts w:ascii="宋体" w:hAnsi="宋体"/>
          <w:sz w:val="24"/>
          <w:szCs w:val="32"/>
        </w:rPr>
        <w:t xml:space="preserve">3.3.4  </w:t>
      </w:r>
      <w:r>
        <w:rPr>
          <w:rFonts w:hint="eastAsia" w:ascii="宋体" w:hAnsi="宋体"/>
          <w:sz w:val="24"/>
        </w:rPr>
        <w:t>总监理工程师不应将合同条款通用部分第</w:t>
      </w:r>
      <w:r>
        <w:rPr>
          <w:rFonts w:ascii="宋体" w:hAnsi="宋体"/>
          <w:sz w:val="24"/>
        </w:rPr>
        <w:t>3.5</w:t>
      </w:r>
      <w:r>
        <w:rPr>
          <w:rFonts w:hint="eastAsia" w:ascii="宋体" w:hAnsi="宋体"/>
          <w:sz w:val="24"/>
        </w:rPr>
        <w:t>款约定应由总监理工程师作出确定的权力授权或者委托给其他监理人员。</w:t>
      </w:r>
    </w:p>
    <w:p w14:paraId="328762F4">
      <w:pPr>
        <w:wordWrap w:val="0"/>
        <w:spacing w:before="120" w:beforeLines="50" w:after="120" w:afterLines="50" w:line="360" w:lineRule="auto"/>
        <w:outlineLvl w:val="2"/>
        <w:rPr>
          <w:rFonts w:ascii="宋体"/>
          <w:kern w:val="0"/>
          <w:sz w:val="24"/>
          <w:szCs w:val="20"/>
        </w:rPr>
      </w:pPr>
      <w:bookmarkStart w:id="1041" w:name="_Toc207289604"/>
      <w:bookmarkStart w:id="1042" w:name="_Toc342296288"/>
      <w:bookmarkStart w:id="1043" w:name="_Toc489279884"/>
      <w:bookmarkStart w:id="1044" w:name="_Toc480486927"/>
      <w:bookmarkStart w:id="1045" w:name="_Toc480486755"/>
      <w:bookmarkStart w:id="1046" w:name="_Toc483668102"/>
      <w:bookmarkStart w:id="1047" w:name="_Toc486580073"/>
      <w:bookmarkStart w:id="1048" w:name="_Toc490222518"/>
      <w:bookmarkStart w:id="1049" w:name="_Toc338944730"/>
      <w:r>
        <w:rPr>
          <w:rFonts w:ascii="宋体"/>
          <w:kern w:val="0"/>
          <w:sz w:val="24"/>
          <w:szCs w:val="20"/>
        </w:rPr>
        <w:t xml:space="preserve">3.4  </w:t>
      </w:r>
      <w:r>
        <w:rPr>
          <w:rFonts w:hint="eastAsia" w:ascii="宋体"/>
          <w:kern w:val="0"/>
          <w:sz w:val="24"/>
          <w:szCs w:val="20"/>
        </w:rPr>
        <w:t>监理人的指示</w:t>
      </w:r>
      <w:bookmarkEnd w:id="1041"/>
      <w:bookmarkEnd w:id="1042"/>
      <w:bookmarkEnd w:id="1043"/>
      <w:bookmarkEnd w:id="1044"/>
      <w:bookmarkEnd w:id="1045"/>
      <w:bookmarkEnd w:id="1046"/>
      <w:bookmarkEnd w:id="1047"/>
      <w:bookmarkEnd w:id="1048"/>
      <w:bookmarkEnd w:id="1049"/>
    </w:p>
    <w:p w14:paraId="0EEBE649">
      <w:pPr>
        <w:wordWrap w:val="0"/>
        <w:spacing w:line="360" w:lineRule="auto"/>
        <w:ind w:firstLine="480" w:firstLineChars="200"/>
        <w:rPr>
          <w:rFonts w:ascii="宋体"/>
          <w:sz w:val="24"/>
          <w:szCs w:val="32"/>
        </w:rPr>
      </w:pPr>
      <w:r>
        <w:rPr>
          <w:rFonts w:ascii="宋体" w:hAnsi="宋体"/>
          <w:sz w:val="24"/>
          <w:szCs w:val="32"/>
        </w:rPr>
        <w:t xml:space="preserve">3.4.1  </w:t>
      </w:r>
      <w:r>
        <w:rPr>
          <w:rFonts w:hint="eastAsia" w:ascii="宋体" w:hAnsi="宋体"/>
          <w:sz w:val="24"/>
          <w:szCs w:val="32"/>
        </w:rPr>
        <w:t>监理人应按第</w:t>
      </w:r>
      <w:r>
        <w:rPr>
          <w:rFonts w:ascii="宋体" w:hAnsi="宋体"/>
          <w:sz w:val="24"/>
          <w:szCs w:val="32"/>
        </w:rPr>
        <w:t>3.1</w:t>
      </w:r>
      <w:r>
        <w:rPr>
          <w:rFonts w:hint="eastAsia" w:ascii="宋体" w:hAnsi="宋体"/>
          <w:sz w:val="24"/>
          <w:szCs w:val="32"/>
        </w:rPr>
        <w:t>款的约定向承包人发出指示，监理人的指示应加盖监理人授权的施工场地机构章，并由总监理工程师或总监理工程师按第</w:t>
      </w:r>
      <w:r>
        <w:rPr>
          <w:rFonts w:ascii="宋体" w:hAnsi="宋体"/>
          <w:sz w:val="24"/>
          <w:szCs w:val="32"/>
        </w:rPr>
        <w:t>3.3.1</w:t>
      </w:r>
      <w:r>
        <w:rPr>
          <w:rFonts w:hint="eastAsia" w:ascii="宋体" w:hAnsi="宋体"/>
          <w:sz w:val="24"/>
          <w:szCs w:val="32"/>
        </w:rPr>
        <w:t>项约定授权的监理人员签字。</w:t>
      </w:r>
    </w:p>
    <w:p w14:paraId="0AEE487A">
      <w:pPr>
        <w:wordWrap w:val="0"/>
        <w:spacing w:line="360" w:lineRule="auto"/>
        <w:ind w:firstLine="480" w:firstLineChars="200"/>
        <w:rPr>
          <w:rFonts w:ascii="宋体"/>
          <w:sz w:val="24"/>
          <w:szCs w:val="32"/>
        </w:rPr>
      </w:pPr>
      <w:r>
        <w:rPr>
          <w:rFonts w:ascii="宋体" w:hAnsi="宋体"/>
          <w:sz w:val="24"/>
          <w:szCs w:val="32"/>
        </w:rPr>
        <w:t xml:space="preserve">3.4.2  </w:t>
      </w:r>
      <w:r>
        <w:rPr>
          <w:rFonts w:hint="eastAsia" w:ascii="宋体" w:hAnsi="宋体"/>
          <w:sz w:val="24"/>
          <w:szCs w:val="32"/>
        </w:rPr>
        <w:t>承包人收到监理人按第</w:t>
      </w:r>
      <w:r>
        <w:rPr>
          <w:rFonts w:ascii="宋体" w:hAnsi="宋体"/>
          <w:sz w:val="24"/>
          <w:szCs w:val="32"/>
        </w:rPr>
        <w:t>3.4.1</w:t>
      </w:r>
      <w:r>
        <w:rPr>
          <w:rFonts w:hint="eastAsia" w:ascii="宋体" w:hAnsi="宋体"/>
          <w:sz w:val="24"/>
          <w:szCs w:val="32"/>
        </w:rPr>
        <w:t>项作出的指示后，应遵照执行。指示构成变更的，应按第</w:t>
      </w:r>
      <w:r>
        <w:rPr>
          <w:rFonts w:ascii="宋体" w:hAnsi="宋体"/>
          <w:sz w:val="24"/>
          <w:szCs w:val="32"/>
        </w:rPr>
        <w:t>15</w:t>
      </w:r>
      <w:r>
        <w:rPr>
          <w:rFonts w:hint="eastAsia" w:ascii="宋体" w:hAnsi="宋体"/>
          <w:sz w:val="24"/>
          <w:szCs w:val="32"/>
        </w:rPr>
        <w:t>条处理。</w:t>
      </w:r>
    </w:p>
    <w:p w14:paraId="725F2E82">
      <w:pPr>
        <w:wordWrap w:val="0"/>
        <w:spacing w:line="360" w:lineRule="auto"/>
        <w:ind w:firstLine="480" w:firstLineChars="200"/>
        <w:rPr>
          <w:rFonts w:ascii="宋体"/>
          <w:sz w:val="24"/>
          <w:szCs w:val="32"/>
        </w:rPr>
      </w:pPr>
      <w:r>
        <w:rPr>
          <w:rFonts w:ascii="宋体" w:hAnsi="宋体"/>
          <w:sz w:val="24"/>
          <w:szCs w:val="32"/>
        </w:rPr>
        <w:t xml:space="preserve">3.4.3  </w:t>
      </w:r>
      <w:r>
        <w:rPr>
          <w:rFonts w:hint="eastAsia" w:ascii="宋体" w:hAnsi="宋体"/>
          <w:sz w:val="24"/>
          <w:szCs w:val="32"/>
        </w:rPr>
        <w:t>在紧急情况下，总监理工程师或被授权的监理人员可以当场签发临时书面指示，承包人应遵照执行。承包人应在收到上述临时书面指示后</w:t>
      </w:r>
      <w:r>
        <w:rPr>
          <w:rFonts w:ascii="宋体" w:hAnsi="宋体"/>
          <w:sz w:val="24"/>
          <w:szCs w:val="32"/>
        </w:rPr>
        <w:t>24</w:t>
      </w:r>
      <w:r>
        <w:rPr>
          <w:rFonts w:hint="eastAsia" w:ascii="宋体" w:hAnsi="宋体"/>
          <w:sz w:val="24"/>
          <w:szCs w:val="32"/>
        </w:rPr>
        <w:t>小时内，向监理人发出书面确认函。监理人在收到书面确认函后</w:t>
      </w:r>
      <w:r>
        <w:rPr>
          <w:rFonts w:ascii="宋体" w:hAnsi="宋体"/>
          <w:sz w:val="24"/>
          <w:szCs w:val="32"/>
        </w:rPr>
        <w:t>24</w:t>
      </w:r>
      <w:r>
        <w:rPr>
          <w:rFonts w:hint="eastAsia" w:ascii="宋体" w:hAnsi="宋体"/>
          <w:sz w:val="24"/>
          <w:szCs w:val="32"/>
        </w:rPr>
        <w:t>小时内未予答复的，该书面确认函应被视为监理人的正式指示。</w:t>
      </w:r>
    </w:p>
    <w:p w14:paraId="4888284A">
      <w:pPr>
        <w:wordWrap w:val="0"/>
        <w:spacing w:line="360" w:lineRule="auto"/>
        <w:ind w:firstLine="480" w:firstLineChars="200"/>
        <w:rPr>
          <w:rFonts w:ascii="宋体"/>
          <w:sz w:val="24"/>
          <w:szCs w:val="32"/>
        </w:rPr>
      </w:pPr>
      <w:r>
        <w:rPr>
          <w:rFonts w:ascii="宋体" w:hAnsi="宋体"/>
          <w:sz w:val="24"/>
          <w:szCs w:val="32"/>
        </w:rPr>
        <w:t xml:space="preserve">3.4.4  </w:t>
      </w:r>
      <w:r>
        <w:rPr>
          <w:rFonts w:hint="eastAsia" w:ascii="宋体" w:hAnsi="宋体"/>
          <w:sz w:val="24"/>
          <w:szCs w:val="32"/>
        </w:rPr>
        <w:t>除合同另有约定外，承包人只从总监理工程师或按第</w:t>
      </w:r>
      <w:r>
        <w:rPr>
          <w:rFonts w:ascii="宋体" w:hAnsi="宋体"/>
          <w:sz w:val="24"/>
          <w:szCs w:val="32"/>
        </w:rPr>
        <w:t>3.3.1</w:t>
      </w:r>
      <w:r>
        <w:rPr>
          <w:rFonts w:hint="eastAsia" w:ascii="宋体" w:hAnsi="宋体"/>
          <w:sz w:val="24"/>
          <w:szCs w:val="32"/>
        </w:rPr>
        <w:t>项被授权的监理人员处取得指示。</w:t>
      </w:r>
    </w:p>
    <w:p w14:paraId="2A7E6A7D">
      <w:pPr>
        <w:wordWrap w:val="0"/>
        <w:spacing w:line="360" w:lineRule="auto"/>
        <w:ind w:firstLine="480" w:firstLineChars="200"/>
        <w:rPr>
          <w:rFonts w:ascii="宋体"/>
          <w:sz w:val="24"/>
          <w:szCs w:val="32"/>
        </w:rPr>
      </w:pPr>
      <w:r>
        <w:rPr>
          <w:rFonts w:ascii="宋体" w:hAnsi="宋体"/>
          <w:sz w:val="24"/>
          <w:szCs w:val="32"/>
        </w:rPr>
        <w:t xml:space="preserve">3.4.5  </w:t>
      </w:r>
      <w:r>
        <w:rPr>
          <w:rFonts w:hint="eastAsia" w:ascii="宋体" w:hAnsi="宋体"/>
          <w:sz w:val="24"/>
          <w:szCs w:val="32"/>
        </w:rPr>
        <w:t>由于监理人未能按合同约定发出指示、指示延误或指示错误而导致承包人费用增加和（或）工期延误的，由发包人承担赔偿责任。</w:t>
      </w:r>
      <w:r>
        <w:rPr>
          <w:rFonts w:ascii="宋体" w:hAnsi="宋体"/>
          <w:sz w:val="24"/>
          <w:szCs w:val="32"/>
        </w:rPr>
        <w:t xml:space="preserve"> </w:t>
      </w:r>
    </w:p>
    <w:p w14:paraId="4EC7FB73">
      <w:pPr>
        <w:wordWrap w:val="0"/>
        <w:spacing w:before="120" w:beforeLines="50" w:after="120" w:afterLines="50" w:line="360" w:lineRule="auto"/>
        <w:outlineLvl w:val="2"/>
        <w:rPr>
          <w:rFonts w:ascii="宋体"/>
          <w:kern w:val="0"/>
          <w:sz w:val="24"/>
          <w:szCs w:val="20"/>
        </w:rPr>
      </w:pPr>
      <w:bookmarkStart w:id="1050" w:name="_Toc207289605"/>
      <w:bookmarkStart w:id="1051" w:name="_Toc489279885"/>
      <w:bookmarkStart w:id="1052" w:name="_Toc480486756"/>
      <w:bookmarkStart w:id="1053" w:name="_Toc486580074"/>
      <w:bookmarkStart w:id="1054" w:name="_Toc152042416"/>
      <w:bookmarkStart w:id="1055" w:name="_Toc152045638"/>
      <w:bookmarkStart w:id="1056" w:name="_Toc483668103"/>
      <w:bookmarkStart w:id="1057" w:name="_Toc144974606"/>
      <w:bookmarkStart w:id="1058" w:name="_Toc338944731"/>
      <w:bookmarkStart w:id="1059" w:name="_Toc480486928"/>
      <w:bookmarkStart w:id="1060" w:name="_Toc342296289"/>
      <w:bookmarkStart w:id="1061" w:name="_Toc179632656"/>
      <w:bookmarkStart w:id="1062" w:name="_Toc490222519"/>
      <w:r>
        <w:rPr>
          <w:rFonts w:ascii="宋体"/>
          <w:kern w:val="0"/>
          <w:sz w:val="24"/>
          <w:szCs w:val="20"/>
        </w:rPr>
        <w:t xml:space="preserve">3.5  </w:t>
      </w:r>
      <w:r>
        <w:rPr>
          <w:rFonts w:hint="eastAsia" w:ascii="宋体"/>
          <w:kern w:val="0"/>
          <w:sz w:val="24"/>
          <w:szCs w:val="20"/>
        </w:rPr>
        <w:t>商定或确定</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14:paraId="690653E6">
      <w:pPr>
        <w:wordWrap w:val="0"/>
        <w:spacing w:line="360" w:lineRule="auto"/>
        <w:ind w:firstLine="480" w:firstLineChars="200"/>
        <w:rPr>
          <w:rFonts w:ascii="宋体"/>
          <w:sz w:val="24"/>
          <w:szCs w:val="32"/>
        </w:rPr>
      </w:pPr>
      <w:r>
        <w:rPr>
          <w:rFonts w:ascii="宋体" w:hAnsi="宋体"/>
          <w:sz w:val="24"/>
          <w:szCs w:val="32"/>
        </w:rPr>
        <w:t xml:space="preserve">3.5.1  </w:t>
      </w:r>
      <w:r>
        <w:rPr>
          <w:rFonts w:hint="eastAsia" w:ascii="宋体" w:hAnsi="宋体"/>
          <w:sz w:val="24"/>
          <w:szCs w:val="32"/>
        </w:rPr>
        <w:t>总监理工程师应按照本款对任何事项进行商定或确定时，总监理工程师应与合同当事人协商，尽量达成一致。不能达成一致的，总监理工程师应认真研究后审慎确定。</w:t>
      </w:r>
    </w:p>
    <w:p w14:paraId="32CD98B0">
      <w:pPr>
        <w:wordWrap w:val="0"/>
        <w:spacing w:line="360" w:lineRule="auto"/>
        <w:ind w:firstLine="480" w:firstLineChars="200"/>
        <w:rPr>
          <w:rFonts w:ascii="宋体"/>
          <w:sz w:val="24"/>
          <w:szCs w:val="32"/>
        </w:rPr>
      </w:pPr>
      <w:r>
        <w:rPr>
          <w:rFonts w:ascii="宋体" w:hAnsi="宋体"/>
          <w:sz w:val="24"/>
          <w:szCs w:val="32"/>
        </w:rPr>
        <w:t xml:space="preserve">3.5.2  </w:t>
      </w:r>
      <w:r>
        <w:rPr>
          <w:rFonts w:hint="eastAsia" w:ascii="宋体" w:hAnsi="宋体"/>
          <w:sz w:val="24"/>
          <w:szCs w:val="32"/>
        </w:rPr>
        <w:t>总监理工程师应将商定或确定的事项通知合同当事人，并附详细依据。对总监理工程师的确定有异议的，构成争议，按照第</w:t>
      </w:r>
      <w:r>
        <w:rPr>
          <w:rFonts w:ascii="宋体" w:hAnsi="宋体"/>
          <w:sz w:val="24"/>
          <w:szCs w:val="32"/>
        </w:rPr>
        <w:t>24</w:t>
      </w:r>
      <w:r>
        <w:rPr>
          <w:rFonts w:hint="eastAsia" w:ascii="宋体" w:hAnsi="宋体"/>
          <w:sz w:val="24"/>
          <w:szCs w:val="32"/>
        </w:rPr>
        <w:t>条的约定处理。在争议解决前，双方应暂按总监理工程师的确定执行；按照第</w:t>
      </w:r>
      <w:r>
        <w:rPr>
          <w:rFonts w:ascii="宋体" w:hAnsi="宋体"/>
          <w:sz w:val="24"/>
          <w:szCs w:val="32"/>
        </w:rPr>
        <w:t>24</w:t>
      </w:r>
      <w:r>
        <w:rPr>
          <w:rFonts w:hint="eastAsia" w:ascii="宋体" w:hAnsi="宋体"/>
          <w:sz w:val="24"/>
          <w:szCs w:val="32"/>
        </w:rPr>
        <w:t>条的约定对总监理工程师的确定需要作出修改的，按修改后的结果执行。</w:t>
      </w:r>
    </w:p>
    <w:p w14:paraId="146774A0">
      <w:pPr>
        <w:wordWrap w:val="0"/>
        <w:spacing w:before="120" w:beforeLines="50" w:after="120" w:afterLines="50" w:line="360" w:lineRule="auto"/>
        <w:outlineLvl w:val="2"/>
        <w:rPr>
          <w:rFonts w:ascii="宋体"/>
          <w:kern w:val="0"/>
          <w:sz w:val="24"/>
          <w:szCs w:val="20"/>
        </w:rPr>
      </w:pPr>
      <w:bookmarkStart w:id="1063" w:name="_Toc480486757"/>
      <w:bookmarkStart w:id="1064" w:name="_Toc483668104"/>
      <w:bookmarkStart w:id="1065" w:name="_Toc490222520"/>
      <w:bookmarkStart w:id="1066" w:name="_Toc342296432"/>
      <w:bookmarkStart w:id="1067" w:name="_Toc489279886"/>
      <w:bookmarkStart w:id="1068" w:name="_Toc241459673"/>
      <w:bookmarkStart w:id="1069" w:name="_Toc480486929"/>
      <w:bookmarkStart w:id="1070" w:name="_Toc476479320"/>
      <w:bookmarkStart w:id="1071" w:name="_Toc486580075"/>
      <w:bookmarkStart w:id="1072" w:name="_Toc207289606"/>
      <w:r>
        <w:rPr>
          <w:rFonts w:ascii="宋体"/>
          <w:kern w:val="0"/>
          <w:sz w:val="24"/>
          <w:szCs w:val="20"/>
        </w:rPr>
        <w:t xml:space="preserve">3.6  </w:t>
      </w:r>
      <w:r>
        <w:rPr>
          <w:rFonts w:hint="eastAsia" w:ascii="宋体"/>
          <w:kern w:val="0"/>
          <w:sz w:val="24"/>
          <w:szCs w:val="20"/>
        </w:rPr>
        <w:t>监理人的宽恕</w:t>
      </w:r>
      <w:bookmarkEnd w:id="1063"/>
      <w:bookmarkEnd w:id="1064"/>
      <w:bookmarkEnd w:id="1065"/>
      <w:bookmarkEnd w:id="1066"/>
      <w:bookmarkEnd w:id="1067"/>
      <w:bookmarkEnd w:id="1068"/>
      <w:bookmarkEnd w:id="1069"/>
      <w:bookmarkEnd w:id="1070"/>
      <w:bookmarkEnd w:id="1071"/>
      <w:bookmarkEnd w:id="1072"/>
    </w:p>
    <w:p w14:paraId="5FF1EC0C">
      <w:pPr>
        <w:wordWrap w:val="0"/>
        <w:spacing w:line="360" w:lineRule="auto"/>
        <w:ind w:firstLine="480" w:firstLineChars="200"/>
        <w:rPr>
          <w:rFonts w:ascii="宋体"/>
          <w:sz w:val="24"/>
          <w:szCs w:val="32"/>
        </w:rPr>
      </w:pPr>
      <w:r>
        <w:rPr>
          <w:rFonts w:hint="eastAsia" w:ascii="宋体" w:hAnsi="宋体"/>
          <w:sz w:val="24"/>
          <w:szCs w:val="32"/>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5EF984F7">
      <w:pPr>
        <w:tabs>
          <w:tab w:val="left" w:pos="576"/>
        </w:tabs>
        <w:wordWrap w:val="0"/>
        <w:spacing w:before="120" w:beforeLines="50" w:after="120" w:afterLines="50" w:line="360" w:lineRule="auto"/>
        <w:outlineLvl w:val="1"/>
        <w:rPr>
          <w:rFonts w:ascii="宋体" w:cs="宋体"/>
          <w:sz w:val="28"/>
          <w:szCs w:val="20"/>
        </w:rPr>
      </w:pPr>
      <w:bookmarkStart w:id="1073" w:name="_Toc480486758"/>
      <w:bookmarkStart w:id="1074" w:name="_Toc483668105"/>
      <w:bookmarkStart w:id="1075" w:name="_Toc486580076"/>
      <w:bookmarkStart w:id="1076" w:name="_Toc489279887"/>
      <w:bookmarkStart w:id="1077" w:name="_Toc490222521"/>
      <w:bookmarkStart w:id="1078" w:name="_Toc342296290"/>
      <w:bookmarkStart w:id="1079" w:name="_Toc480486930"/>
      <w:bookmarkStart w:id="1080" w:name="_Toc207289607"/>
      <w:bookmarkStart w:id="1081" w:name="_Toc338944732"/>
      <w:r>
        <w:rPr>
          <w:rFonts w:ascii="宋体" w:cs="宋体"/>
          <w:sz w:val="28"/>
          <w:szCs w:val="20"/>
        </w:rPr>
        <w:t>4.</w:t>
      </w:r>
      <w:r>
        <w:rPr>
          <w:rFonts w:hint="eastAsia" w:ascii="宋体" w:cs="宋体"/>
          <w:sz w:val="28"/>
          <w:szCs w:val="20"/>
        </w:rPr>
        <w:t>承包人</w:t>
      </w:r>
      <w:bookmarkEnd w:id="1073"/>
      <w:bookmarkEnd w:id="1074"/>
      <w:bookmarkEnd w:id="1075"/>
      <w:bookmarkEnd w:id="1076"/>
      <w:bookmarkEnd w:id="1077"/>
      <w:bookmarkEnd w:id="1078"/>
      <w:bookmarkEnd w:id="1079"/>
      <w:bookmarkEnd w:id="1080"/>
      <w:bookmarkEnd w:id="1081"/>
    </w:p>
    <w:p w14:paraId="256ED432">
      <w:pPr>
        <w:wordWrap w:val="0"/>
        <w:spacing w:before="120" w:beforeLines="50" w:after="120" w:afterLines="50" w:line="360" w:lineRule="auto"/>
        <w:outlineLvl w:val="2"/>
        <w:rPr>
          <w:rFonts w:ascii="宋体"/>
          <w:kern w:val="0"/>
          <w:sz w:val="24"/>
          <w:szCs w:val="20"/>
        </w:rPr>
      </w:pPr>
      <w:bookmarkStart w:id="1082" w:name="_Toc342296291"/>
      <w:bookmarkStart w:id="1083" w:name="_Toc490222522"/>
      <w:bookmarkStart w:id="1084" w:name="_Toc480486759"/>
      <w:bookmarkStart w:id="1085" w:name="_Toc338944733"/>
      <w:bookmarkStart w:id="1086" w:name="_Toc480486931"/>
      <w:bookmarkStart w:id="1087" w:name="_Toc489279888"/>
      <w:bookmarkStart w:id="1088" w:name="_Toc207289608"/>
      <w:bookmarkStart w:id="1089" w:name="_Toc486580077"/>
      <w:bookmarkStart w:id="1090" w:name="_Toc483668106"/>
      <w:r>
        <w:rPr>
          <w:rFonts w:ascii="宋体"/>
          <w:kern w:val="0"/>
          <w:sz w:val="24"/>
          <w:szCs w:val="20"/>
        </w:rPr>
        <w:t xml:space="preserve">4.1  </w:t>
      </w:r>
      <w:r>
        <w:rPr>
          <w:rFonts w:hint="eastAsia" w:ascii="宋体"/>
          <w:kern w:val="0"/>
          <w:sz w:val="24"/>
          <w:szCs w:val="20"/>
        </w:rPr>
        <w:t>承包人的一般义务</w:t>
      </w:r>
      <w:bookmarkEnd w:id="1082"/>
      <w:bookmarkEnd w:id="1083"/>
      <w:bookmarkEnd w:id="1084"/>
      <w:bookmarkEnd w:id="1085"/>
      <w:bookmarkEnd w:id="1086"/>
      <w:bookmarkEnd w:id="1087"/>
      <w:bookmarkEnd w:id="1088"/>
      <w:bookmarkEnd w:id="1089"/>
      <w:bookmarkEnd w:id="1090"/>
    </w:p>
    <w:p w14:paraId="27CF3B30">
      <w:pPr>
        <w:wordWrap w:val="0"/>
        <w:spacing w:line="360" w:lineRule="auto"/>
        <w:ind w:firstLine="480" w:firstLineChars="200"/>
        <w:rPr>
          <w:rFonts w:ascii="宋体"/>
          <w:sz w:val="24"/>
          <w:szCs w:val="32"/>
        </w:rPr>
      </w:pPr>
      <w:r>
        <w:rPr>
          <w:rFonts w:ascii="宋体" w:hAnsi="宋体"/>
          <w:sz w:val="24"/>
          <w:szCs w:val="32"/>
        </w:rPr>
        <w:t xml:space="preserve">4.1.1  </w:t>
      </w:r>
      <w:r>
        <w:rPr>
          <w:rFonts w:hint="eastAsia" w:ascii="宋体" w:hAnsi="宋体"/>
          <w:sz w:val="24"/>
          <w:szCs w:val="32"/>
        </w:rPr>
        <w:t>遵守法律</w:t>
      </w:r>
    </w:p>
    <w:p w14:paraId="541E5CAE">
      <w:pPr>
        <w:wordWrap w:val="0"/>
        <w:spacing w:line="360" w:lineRule="auto"/>
        <w:ind w:firstLine="480" w:firstLineChars="200"/>
        <w:rPr>
          <w:rFonts w:ascii="宋体" w:hAnsi="宋体"/>
          <w:sz w:val="24"/>
          <w:szCs w:val="32"/>
        </w:rPr>
      </w:pPr>
      <w:r>
        <w:rPr>
          <w:rFonts w:hint="eastAsia" w:ascii="宋体" w:hAnsi="宋体"/>
          <w:sz w:val="24"/>
          <w:szCs w:val="32"/>
        </w:rPr>
        <w:t>承包人在履行合同过程中应遵守法律，并保证发包人免于承担因承包人违反法律而引起的任何责任。</w:t>
      </w:r>
    </w:p>
    <w:p w14:paraId="2BD65A8D">
      <w:pPr>
        <w:wordWrap w:val="0"/>
        <w:spacing w:line="360" w:lineRule="auto"/>
        <w:ind w:firstLine="480" w:firstLineChars="200"/>
        <w:rPr>
          <w:rFonts w:ascii="宋体"/>
          <w:sz w:val="24"/>
          <w:szCs w:val="32"/>
        </w:rPr>
      </w:pPr>
      <w:r>
        <w:rPr>
          <w:rFonts w:ascii="宋体" w:hAnsi="宋体"/>
          <w:sz w:val="24"/>
          <w:szCs w:val="32"/>
        </w:rPr>
        <w:t xml:space="preserve">4.1.2  </w:t>
      </w:r>
      <w:r>
        <w:rPr>
          <w:rFonts w:hint="eastAsia" w:ascii="宋体" w:hAnsi="宋体"/>
          <w:sz w:val="24"/>
          <w:szCs w:val="32"/>
        </w:rPr>
        <w:t>依法纳税</w:t>
      </w:r>
    </w:p>
    <w:p w14:paraId="595C96CF">
      <w:pPr>
        <w:wordWrap w:val="0"/>
        <w:spacing w:line="360" w:lineRule="auto"/>
        <w:ind w:firstLine="480" w:firstLineChars="200"/>
        <w:rPr>
          <w:rFonts w:ascii="宋体"/>
          <w:sz w:val="24"/>
          <w:szCs w:val="32"/>
        </w:rPr>
      </w:pPr>
      <w:r>
        <w:rPr>
          <w:rFonts w:hint="eastAsia" w:ascii="宋体" w:hAnsi="宋体"/>
          <w:sz w:val="24"/>
          <w:szCs w:val="32"/>
        </w:rPr>
        <w:t>承包人应按有关法律规定纳税，应缴纳的</w:t>
      </w:r>
      <w:bookmarkStart w:id="1091" w:name="_Hlk199426419"/>
      <w:r>
        <w:rPr>
          <w:rFonts w:hint="eastAsia" w:ascii="宋体" w:hAnsi="宋体"/>
          <w:sz w:val="24"/>
          <w:szCs w:val="32"/>
        </w:rPr>
        <w:t>增值税</w:t>
      </w:r>
      <w:bookmarkEnd w:id="1091"/>
      <w:r>
        <w:rPr>
          <w:rFonts w:hint="eastAsia" w:ascii="宋体" w:hAnsi="宋体"/>
          <w:sz w:val="24"/>
          <w:szCs w:val="32"/>
        </w:rPr>
        <w:t>包括在合同价格内。</w:t>
      </w:r>
    </w:p>
    <w:p w14:paraId="501256E5">
      <w:pPr>
        <w:wordWrap w:val="0"/>
        <w:spacing w:line="360" w:lineRule="auto"/>
        <w:ind w:firstLine="480" w:firstLineChars="200"/>
        <w:rPr>
          <w:rFonts w:ascii="宋体"/>
          <w:sz w:val="24"/>
          <w:szCs w:val="32"/>
        </w:rPr>
      </w:pPr>
      <w:r>
        <w:rPr>
          <w:rFonts w:ascii="宋体" w:hAnsi="宋体"/>
          <w:sz w:val="24"/>
          <w:szCs w:val="32"/>
        </w:rPr>
        <w:t xml:space="preserve">4.1.3  </w:t>
      </w:r>
      <w:r>
        <w:rPr>
          <w:rFonts w:hint="eastAsia" w:ascii="宋体" w:hAnsi="宋体"/>
          <w:sz w:val="24"/>
          <w:szCs w:val="32"/>
        </w:rPr>
        <w:t>完成各项承包工作</w:t>
      </w:r>
    </w:p>
    <w:p w14:paraId="6A9C64E8">
      <w:pPr>
        <w:wordWrap w:val="0"/>
        <w:spacing w:line="360" w:lineRule="auto"/>
        <w:ind w:firstLine="480" w:firstLineChars="200"/>
        <w:rPr>
          <w:rFonts w:ascii="宋体"/>
          <w:sz w:val="24"/>
        </w:rPr>
      </w:pPr>
      <w:r>
        <w:rPr>
          <w:rFonts w:hint="eastAsia" w:ascii="宋体" w:hAnsi="宋体"/>
          <w:sz w:val="24"/>
          <w:szCs w:val="32"/>
        </w:rPr>
        <w:t>（</w:t>
      </w:r>
      <w:r>
        <w:rPr>
          <w:rFonts w:ascii="宋体" w:hAnsi="宋体"/>
          <w:sz w:val="24"/>
          <w:szCs w:val="32"/>
        </w:rPr>
        <w:t>1</w:t>
      </w:r>
      <w:r>
        <w:rPr>
          <w:rFonts w:hint="eastAsia" w:ascii="宋体" w:hAnsi="宋体"/>
          <w:sz w:val="24"/>
          <w:szCs w:val="32"/>
        </w:rPr>
        <w:t>）承包人应按合同约定以及监理人根据第</w:t>
      </w:r>
      <w:r>
        <w:rPr>
          <w:rFonts w:ascii="宋体" w:hAnsi="宋体"/>
          <w:sz w:val="24"/>
          <w:szCs w:val="32"/>
        </w:rPr>
        <w:t>3.4</w:t>
      </w:r>
      <w:r>
        <w:rPr>
          <w:rFonts w:hint="eastAsia" w:ascii="宋体" w:hAnsi="宋体"/>
          <w:sz w:val="24"/>
          <w:szCs w:val="32"/>
        </w:rPr>
        <w:t>款作出的指示，实施、完成全部工程，并修补工程中的任何缺陷。</w:t>
      </w:r>
      <w:r>
        <w:rPr>
          <w:rFonts w:hint="eastAsia" w:ascii="宋体" w:hAnsi="宋体"/>
          <w:sz w:val="24"/>
        </w:rPr>
        <w:t>除第</w:t>
      </w:r>
      <w:r>
        <w:rPr>
          <w:rFonts w:ascii="宋体" w:hAnsi="宋体"/>
          <w:sz w:val="24"/>
        </w:rPr>
        <w:t>5.2</w:t>
      </w:r>
      <w:r>
        <w:rPr>
          <w:rFonts w:hint="eastAsia" w:ascii="宋体" w:hAnsi="宋体"/>
          <w:sz w:val="24"/>
        </w:rPr>
        <w:t>款约定由发包人提供的材料和第</w:t>
      </w:r>
      <w:r>
        <w:rPr>
          <w:rFonts w:ascii="宋体" w:hAnsi="宋体"/>
          <w:sz w:val="24"/>
        </w:rPr>
        <w:t>6.2</w:t>
      </w:r>
      <w:r>
        <w:rPr>
          <w:rFonts w:hint="eastAsia" w:ascii="宋体" w:hAnsi="宋体"/>
          <w:sz w:val="24"/>
        </w:rPr>
        <w:t>款约定由发包人提供的施工设备和临时设施外，承包人应负责提供为完成合同工作所需的劳务、材料、施工设备和其他物品，并按照合同约定负责临时设施的设计、建造、运行、维护、管理和拆除工作。</w:t>
      </w:r>
    </w:p>
    <w:p w14:paraId="0CD810B2">
      <w:pPr>
        <w:wordWrap w:val="0"/>
        <w:spacing w:line="360" w:lineRule="auto"/>
        <w:ind w:firstLine="480" w:firstLineChars="200"/>
        <w:rPr>
          <w:rFonts w:ascii="宋体" w:hAnsi="宋体"/>
          <w:sz w:val="24"/>
        </w:rPr>
      </w:pPr>
      <w:r>
        <w:rPr>
          <w:rFonts w:hint="eastAsia" w:ascii="宋体" w:hAnsi="宋体"/>
          <w:sz w:val="24"/>
        </w:rPr>
        <w:t>（2）承包人应当依法合规建立施工扬尘综合治理、建筑垃圾、土方和砂石清运与消纳、保证使用已在本市进行信息编码登记符合排放标准的非道路移动机械和严禁使用高排放非道路移动机械以及</w:t>
      </w:r>
      <w:bookmarkStart w:id="1092" w:name="OLE_LINK105"/>
      <w:r>
        <w:rPr>
          <w:rFonts w:hint="eastAsia" w:ascii="宋体" w:hAnsi="宋体"/>
          <w:sz w:val="24"/>
        </w:rPr>
        <w:t>行业挥发性有机物治理</w:t>
      </w:r>
      <w:r>
        <w:rPr>
          <w:rFonts w:hint="eastAsia" w:ascii="宋体" w:hAnsi="宋体"/>
          <w:kern w:val="0"/>
          <w:sz w:val="24"/>
        </w:rPr>
        <w:t>（如</w:t>
      </w:r>
      <w:r>
        <w:rPr>
          <w:rFonts w:hint="eastAsia" w:ascii="宋体" w:hAnsi="宋体"/>
          <w:kern w:val="0"/>
          <w:sz w:val="24"/>
          <w:szCs w:val="32"/>
        </w:rPr>
        <w:t>建筑外墙涂装、钢结构等鼓励使用水性漆替代油性漆；建筑施工、室外构筑物防护和道路交通标识等其他涂装作业，推广使用水性、高固体分、无溶剂、粉末等涂料和水基、本体型等低VOCs含量胶粘剂</w:t>
      </w:r>
      <w:r>
        <w:rPr>
          <w:rFonts w:hint="eastAsia" w:ascii="宋体" w:hAnsi="宋体"/>
          <w:kern w:val="0"/>
          <w:sz w:val="24"/>
        </w:rPr>
        <w:t>）</w:t>
      </w:r>
      <w:bookmarkEnd w:id="1092"/>
      <w:r>
        <w:rPr>
          <w:rFonts w:hint="eastAsia" w:ascii="宋体" w:hAnsi="宋体"/>
          <w:sz w:val="24"/>
        </w:rPr>
        <w:t>等责任制，制定具体的管控机制和实施方案，严格落实。</w:t>
      </w:r>
    </w:p>
    <w:p w14:paraId="58052C2B">
      <w:pPr>
        <w:wordWrap w:val="0"/>
        <w:spacing w:line="360" w:lineRule="auto"/>
        <w:ind w:firstLine="480" w:firstLineChars="200"/>
        <w:rPr>
          <w:rFonts w:ascii="宋体"/>
          <w:sz w:val="24"/>
          <w:szCs w:val="32"/>
        </w:rPr>
      </w:pPr>
      <w:bookmarkStart w:id="1093" w:name="_Hlk114649406"/>
      <w:r>
        <w:rPr>
          <w:rFonts w:hint="eastAsia" w:ascii="宋体" w:hAnsi="宋体"/>
          <w:sz w:val="24"/>
        </w:rPr>
        <w:t>（</w:t>
      </w:r>
      <w:r>
        <w:rPr>
          <w:rFonts w:ascii="宋体" w:hAnsi="宋体"/>
          <w:sz w:val="24"/>
        </w:rPr>
        <w:t>3</w:t>
      </w:r>
      <w:r>
        <w:rPr>
          <w:rFonts w:hint="eastAsia" w:ascii="宋体" w:hAnsi="宋体"/>
          <w:sz w:val="24"/>
        </w:rPr>
        <w:t>）</w:t>
      </w:r>
      <w:r>
        <w:rPr>
          <w:rFonts w:hint="eastAsia" w:ascii="宋体"/>
          <w:sz w:val="24"/>
          <w:szCs w:val="32"/>
        </w:rPr>
        <w:t>承包人应按法律法规、经消防设计审查合格或者满足工程需要的消防设计文件等规定组织施工，编制消防专项施工方案；按消防设计要求、施工技术标准和合同约定检验消防产品和具有防火性能要求的建筑材料、建筑构配件和设备的质量，保证消防施工质量；配合发包人组织的竣工验收消防查验，对建设工程消防施工质量签章确认。</w:t>
      </w:r>
    </w:p>
    <w:bookmarkEnd w:id="1093"/>
    <w:p w14:paraId="597C4D9A">
      <w:pPr>
        <w:wordWrap w:val="0"/>
        <w:spacing w:line="360" w:lineRule="auto"/>
        <w:ind w:firstLine="480" w:firstLineChars="200"/>
        <w:rPr>
          <w:rFonts w:ascii="宋体"/>
          <w:sz w:val="24"/>
          <w:szCs w:val="32"/>
        </w:rPr>
      </w:pPr>
      <w:r>
        <w:rPr>
          <w:rFonts w:ascii="宋体" w:hAnsi="宋体"/>
          <w:sz w:val="24"/>
          <w:szCs w:val="32"/>
        </w:rPr>
        <w:t xml:space="preserve">4.1.4  </w:t>
      </w:r>
      <w:r>
        <w:rPr>
          <w:rFonts w:hint="eastAsia" w:ascii="宋体" w:hAnsi="宋体"/>
          <w:sz w:val="24"/>
          <w:szCs w:val="32"/>
        </w:rPr>
        <w:t>对施工作业和施工方法的完备性负责</w:t>
      </w:r>
    </w:p>
    <w:p w14:paraId="10BA00F0">
      <w:pPr>
        <w:wordWrap w:val="0"/>
        <w:spacing w:line="360" w:lineRule="auto"/>
        <w:ind w:firstLine="480" w:firstLineChars="200"/>
        <w:rPr>
          <w:rFonts w:ascii="宋体"/>
          <w:sz w:val="24"/>
          <w:szCs w:val="32"/>
        </w:rPr>
      </w:pPr>
      <w:r>
        <w:rPr>
          <w:rFonts w:hint="eastAsia" w:ascii="宋体" w:hAnsi="宋体"/>
          <w:sz w:val="24"/>
          <w:szCs w:val="32"/>
        </w:rPr>
        <w:t>承包人应按合同约定的工作内容和施工进度要求，编制施工组织设计和施工措施计划，并对所有施工作业和施工方法的完备性和安全可靠性负责。</w:t>
      </w:r>
    </w:p>
    <w:p w14:paraId="4AC2B18E">
      <w:pPr>
        <w:wordWrap w:val="0"/>
        <w:spacing w:line="360" w:lineRule="auto"/>
        <w:ind w:firstLine="480" w:firstLineChars="200"/>
        <w:rPr>
          <w:rFonts w:ascii="宋体"/>
          <w:sz w:val="24"/>
          <w:szCs w:val="32"/>
        </w:rPr>
      </w:pPr>
      <w:r>
        <w:rPr>
          <w:rFonts w:ascii="宋体" w:hAnsi="宋体"/>
          <w:sz w:val="24"/>
          <w:szCs w:val="32"/>
        </w:rPr>
        <w:t xml:space="preserve">4.1.5  </w:t>
      </w:r>
      <w:r>
        <w:rPr>
          <w:rFonts w:hint="eastAsia" w:ascii="宋体" w:hAnsi="宋体"/>
          <w:sz w:val="24"/>
          <w:szCs w:val="32"/>
        </w:rPr>
        <w:t>保证工程施工和人员的安全</w:t>
      </w:r>
    </w:p>
    <w:p w14:paraId="2A228189">
      <w:pPr>
        <w:wordWrap w:val="0"/>
        <w:spacing w:line="360" w:lineRule="auto"/>
        <w:ind w:firstLine="480" w:firstLineChars="200"/>
        <w:rPr>
          <w:rFonts w:ascii="宋体"/>
          <w:sz w:val="24"/>
          <w:szCs w:val="32"/>
        </w:rPr>
      </w:pPr>
      <w:r>
        <w:rPr>
          <w:rFonts w:hint="eastAsia" w:ascii="宋体" w:hAnsi="宋体"/>
          <w:sz w:val="24"/>
          <w:szCs w:val="32"/>
        </w:rPr>
        <w:t>承包人应按照第</w:t>
      </w:r>
      <w:r>
        <w:rPr>
          <w:rFonts w:ascii="宋体" w:hAnsi="宋体"/>
          <w:sz w:val="24"/>
          <w:szCs w:val="32"/>
        </w:rPr>
        <w:t>9.2</w:t>
      </w:r>
      <w:r>
        <w:rPr>
          <w:rFonts w:hint="eastAsia" w:ascii="宋体" w:hAnsi="宋体"/>
          <w:sz w:val="24"/>
          <w:szCs w:val="32"/>
        </w:rPr>
        <w:t>款约定采取施工安全措施，确保工程及其人员、材料、设备和设施的安全，防止因工程施工造成的人身伤害和财产损失。</w:t>
      </w:r>
    </w:p>
    <w:p w14:paraId="08D01C4C">
      <w:pPr>
        <w:wordWrap w:val="0"/>
        <w:spacing w:line="360" w:lineRule="auto"/>
        <w:ind w:firstLine="480" w:firstLineChars="200"/>
        <w:rPr>
          <w:rFonts w:ascii="宋体"/>
          <w:sz w:val="24"/>
          <w:szCs w:val="32"/>
        </w:rPr>
      </w:pPr>
      <w:r>
        <w:rPr>
          <w:rFonts w:ascii="宋体" w:hAnsi="宋体"/>
          <w:sz w:val="24"/>
          <w:szCs w:val="32"/>
        </w:rPr>
        <w:t xml:space="preserve">4.1.6  </w:t>
      </w:r>
      <w:r>
        <w:rPr>
          <w:rFonts w:hint="eastAsia" w:ascii="宋体" w:hAnsi="宋体"/>
          <w:sz w:val="24"/>
          <w:szCs w:val="32"/>
        </w:rPr>
        <w:t>负责施工场地、周边环境和生态保护工作</w:t>
      </w:r>
    </w:p>
    <w:p w14:paraId="32DA3393">
      <w:pPr>
        <w:wordWrap w:val="0"/>
        <w:spacing w:line="360" w:lineRule="auto"/>
        <w:ind w:firstLine="480" w:firstLineChars="200"/>
        <w:rPr>
          <w:rFonts w:ascii="宋体"/>
          <w:sz w:val="24"/>
          <w:szCs w:val="32"/>
        </w:rPr>
      </w:pPr>
      <w:r>
        <w:rPr>
          <w:rFonts w:hint="eastAsia" w:ascii="宋体" w:hAnsi="宋体"/>
          <w:sz w:val="24"/>
          <w:szCs w:val="32"/>
        </w:rPr>
        <w:t>承包人应按照第</w:t>
      </w:r>
      <w:r>
        <w:rPr>
          <w:rFonts w:ascii="宋体" w:hAnsi="宋体"/>
          <w:sz w:val="24"/>
          <w:szCs w:val="32"/>
        </w:rPr>
        <w:t>9.4</w:t>
      </w:r>
      <w:r>
        <w:rPr>
          <w:rFonts w:hint="eastAsia" w:ascii="宋体" w:hAnsi="宋体"/>
          <w:sz w:val="24"/>
          <w:szCs w:val="32"/>
        </w:rPr>
        <w:t>款约定负责施工场地及其周边环境与生态的保护工作。</w:t>
      </w:r>
    </w:p>
    <w:p w14:paraId="77F96F6E">
      <w:pPr>
        <w:wordWrap w:val="0"/>
        <w:spacing w:line="360" w:lineRule="auto"/>
        <w:ind w:firstLine="480" w:firstLineChars="200"/>
        <w:rPr>
          <w:rFonts w:ascii="宋体"/>
          <w:sz w:val="24"/>
          <w:szCs w:val="32"/>
        </w:rPr>
      </w:pPr>
      <w:r>
        <w:rPr>
          <w:rFonts w:ascii="宋体" w:hAnsi="宋体"/>
          <w:sz w:val="24"/>
          <w:szCs w:val="32"/>
        </w:rPr>
        <w:t xml:space="preserve">4.1.7  </w:t>
      </w:r>
      <w:r>
        <w:rPr>
          <w:rFonts w:hint="eastAsia" w:ascii="宋体" w:hAnsi="宋体"/>
          <w:sz w:val="24"/>
          <w:szCs w:val="32"/>
        </w:rPr>
        <w:t>避免施工对公众与他人的利益造成损害</w:t>
      </w:r>
    </w:p>
    <w:p w14:paraId="3734D7C8">
      <w:pPr>
        <w:wordWrap w:val="0"/>
        <w:spacing w:line="360" w:lineRule="auto"/>
        <w:ind w:firstLine="480" w:firstLineChars="200"/>
        <w:rPr>
          <w:rFonts w:ascii="宋体"/>
          <w:sz w:val="24"/>
          <w:szCs w:val="32"/>
        </w:rPr>
      </w:pPr>
      <w:r>
        <w:rPr>
          <w:rFonts w:hint="eastAsia" w:ascii="宋体" w:hAnsi="宋体"/>
          <w:sz w:val="24"/>
          <w:szCs w:val="32"/>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0146E136">
      <w:pPr>
        <w:wordWrap w:val="0"/>
        <w:spacing w:line="360" w:lineRule="auto"/>
        <w:ind w:firstLine="480" w:firstLineChars="200"/>
        <w:rPr>
          <w:rFonts w:ascii="宋体"/>
          <w:sz w:val="24"/>
          <w:szCs w:val="32"/>
        </w:rPr>
      </w:pPr>
      <w:r>
        <w:rPr>
          <w:rFonts w:ascii="宋体" w:hAnsi="宋体"/>
          <w:sz w:val="24"/>
          <w:szCs w:val="32"/>
        </w:rPr>
        <w:t xml:space="preserve">4.1.8  </w:t>
      </w:r>
      <w:r>
        <w:rPr>
          <w:rFonts w:hint="eastAsia" w:ascii="宋体" w:hAnsi="宋体"/>
          <w:sz w:val="24"/>
          <w:szCs w:val="32"/>
        </w:rPr>
        <w:t>为他人提供方便</w:t>
      </w:r>
    </w:p>
    <w:p w14:paraId="173A8805">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承包人应当对在施工场地或者附近实施与合同工程有关的其他工作的独立承包人履行管理、协调、配合、照管和服务义务，由此发生的费用被认为已经包括在承包人的签约合同价（投标总报价）中，具体工作内容和要求</w:t>
      </w:r>
      <w:r>
        <w:rPr>
          <w:rFonts w:hint="eastAsia" w:ascii="黑体" w:hAnsi="黑体" w:eastAsia="黑体"/>
          <w:sz w:val="24"/>
        </w:rPr>
        <w:t>见合同条款专用部分。</w:t>
      </w:r>
    </w:p>
    <w:p w14:paraId="3B80F286">
      <w:pPr>
        <w:wordWrap w:val="0"/>
        <w:spacing w:line="360" w:lineRule="auto"/>
        <w:ind w:firstLine="480" w:firstLineChars="200"/>
        <w:rPr>
          <w:rFonts w:ascii="宋体"/>
          <w:sz w:val="24"/>
          <w:szCs w:val="32"/>
        </w:rPr>
      </w:pPr>
      <w:r>
        <w:rPr>
          <w:rFonts w:hint="eastAsia" w:ascii="宋体" w:hAnsi="宋体"/>
          <w:sz w:val="24"/>
        </w:rPr>
        <w:t>（</w:t>
      </w:r>
      <w:r>
        <w:rPr>
          <w:rFonts w:ascii="宋体" w:hAnsi="宋体"/>
          <w:sz w:val="24"/>
        </w:rPr>
        <w:t>2</w:t>
      </w:r>
      <w:r>
        <w:rPr>
          <w:rFonts w:hint="eastAsia" w:ascii="宋体" w:hAnsi="宋体"/>
          <w:sz w:val="24"/>
        </w:rPr>
        <w:t>）承包人还应按照监理人指示为独立承包人以外的他人在施工场地或者附近实施与合同工程有关的其他工作提供可能的条件，可能发生费用由监理人按合同条款通用部分第</w:t>
      </w:r>
      <w:r>
        <w:rPr>
          <w:rFonts w:ascii="宋体" w:hAnsi="宋体"/>
          <w:sz w:val="24"/>
        </w:rPr>
        <w:t>3.5</w:t>
      </w:r>
      <w:r>
        <w:rPr>
          <w:rFonts w:hint="eastAsia" w:ascii="宋体" w:hAnsi="宋体"/>
          <w:sz w:val="24"/>
        </w:rPr>
        <w:t>款商定或者确定。</w:t>
      </w:r>
    </w:p>
    <w:p w14:paraId="5CE4C154">
      <w:pPr>
        <w:wordWrap w:val="0"/>
        <w:spacing w:line="360" w:lineRule="auto"/>
        <w:ind w:firstLine="480" w:firstLineChars="200"/>
        <w:rPr>
          <w:rFonts w:ascii="宋体"/>
          <w:sz w:val="24"/>
          <w:szCs w:val="32"/>
        </w:rPr>
      </w:pPr>
      <w:r>
        <w:rPr>
          <w:rFonts w:ascii="宋体" w:hAnsi="宋体"/>
          <w:sz w:val="24"/>
          <w:szCs w:val="32"/>
        </w:rPr>
        <w:t xml:space="preserve">4.1.9  </w:t>
      </w:r>
      <w:r>
        <w:rPr>
          <w:rFonts w:hint="eastAsia" w:ascii="宋体" w:hAnsi="宋体"/>
          <w:sz w:val="24"/>
          <w:szCs w:val="32"/>
        </w:rPr>
        <w:t>工程的维护和照管</w:t>
      </w:r>
    </w:p>
    <w:p w14:paraId="4ED98FFA">
      <w:pPr>
        <w:wordWrap w:val="0"/>
        <w:spacing w:line="360" w:lineRule="auto"/>
        <w:ind w:firstLine="480" w:firstLineChars="200"/>
        <w:rPr>
          <w:rFonts w:ascii="宋体"/>
          <w:sz w:val="24"/>
          <w:szCs w:val="32"/>
        </w:rPr>
      </w:pPr>
      <w:r>
        <w:rPr>
          <w:rFonts w:hint="eastAsia" w:ascii="宋体" w:hAnsi="宋体"/>
          <w:sz w:val="24"/>
          <w:szCs w:val="32"/>
        </w:rPr>
        <w:t>工程接收证书颁发前，承包人应负责照管和维护工程。工程接收证书颁发时尚有部分未竣工工程的，承包人还应负责该未竣工工程的照管和维护工作，直至竣工后移交给发包人为止。</w:t>
      </w:r>
    </w:p>
    <w:p w14:paraId="0B754935">
      <w:pPr>
        <w:wordWrap w:val="0"/>
        <w:spacing w:line="360" w:lineRule="auto"/>
        <w:ind w:firstLine="480" w:firstLineChars="200"/>
        <w:rPr>
          <w:rFonts w:ascii="宋体"/>
          <w:sz w:val="24"/>
        </w:rPr>
      </w:pPr>
      <w:r>
        <w:rPr>
          <w:rFonts w:ascii="宋体" w:hAnsi="宋体"/>
          <w:sz w:val="24"/>
        </w:rPr>
        <w:t xml:space="preserve">4.1.10  </w:t>
      </w:r>
      <w:r>
        <w:rPr>
          <w:rFonts w:hint="eastAsia" w:ascii="宋体" w:hAnsi="宋体"/>
          <w:sz w:val="24"/>
        </w:rPr>
        <w:t>承包人的设计工作</w:t>
      </w:r>
      <w:r>
        <w:rPr>
          <w:rFonts w:ascii="宋体" w:hAnsi="宋体"/>
          <w:sz w:val="24"/>
        </w:rPr>
        <w:t xml:space="preserve"> </w:t>
      </w:r>
    </w:p>
    <w:p w14:paraId="2D86327F">
      <w:pPr>
        <w:wordWrap w:val="0"/>
        <w:spacing w:line="360" w:lineRule="auto"/>
        <w:ind w:firstLine="480" w:firstLineChars="200"/>
        <w:rPr>
          <w:rFonts w:ascii="宋体"/>
          <w:sz w:val="24"/>
        </w:rPr>
      </w:pPr>
      <w:r>
        <w:rPr>
          <w:rFonts w:hint="eastAsia" w:ascii="宋体" w:hAnsi="宋体"/>
          <w:sz w:val="24"/>
        </w:rPr>
        <w:t>根据发包人委托，在其设计资质等级和业务允许的范围内，完成约定的施工图设计或与工程配套的设计工作，经监理人确认后使用，发包人承担由此发生的费用和合理利润。由承包人负责完成的设计文件属于合同条款第</w:t>
      </w:r>
      <w:r>
        <w:rPr>
          <w:rFonts w:ascii="宋体" w:hAnsi="宋体"/>
          <w:sz w:val="24"/>
        </w:rPr>
        <w:t>1.6.2</w:t>
      </w:r>
      <w:r>
        <w:rPr>
          <w:rFonts w:hint="eastAsia" w:ascii="宋体" w:hAnsi="宋体"/>
          <w:sz w:val="24"/>
        </w:rPr>
        <w:t>项约定的承包人提供的文件，承包人应按照合同条款专用部分第</w:t>
      </w:r>
      <w:r>
        <w:rPr>
          <w:rFonts w:ascii="宋体" w:hAnsi="宋体"/>
          <w:sz w:val="24"/>
        </w:rPr>
        <w:t>1.6.2</w:t>
      </w:r>
      <w:r>
        <w:rPr>
          <w:rFonts w:hint="eastAsia" w:ascii="宋体" w:hAnsi="宋体"/>
          <w:sz w:val="24"/>
        </w:rPr>
        <w:t>项约定的期限和数量提交，由此发生的费用被认为已经包括在承包人的签约合同价（投标总报价）中。承包人承担的施工图设计或与工程配套的设计工作内容</w:t>
      </w:r>
      <w:r>
        <w:rPr>
          <w:rFonts w:hint="eastAsia" w:ascii="黑体" w:hAnsi="黑体" w:eastAsia="黑体"/>
          <w:sz w:val="24"/>
          <w:szCs w:val="32"/>
        </w:rPr>
        <w:t>见合同条款专用部分。</w:t>
      </w:r>
    </w:p>
    <w:p w14:paraId="104C0D7A">
      <w:pPr>
        <w:wordWrap w:val="0"/>
        <w:spacing w:line="360" w:lineRule="auto"/>
        <w:ind w:firstLine="480" w:firstLineChars="200"/>
        <w:rPr>
          <w:rFonts w:ascii="宋体"/>
          <w:sz w:val="24"/>
          <w:szCs w:val="32"/>
        </w:rPr>
      </w:pPr>
      <w:r>
        <w:rPr>
          <w:rFonts w:ascii="宋体" w:hAnsi="宋体"/>
          <w:sz w:val="24"/>
          <w:szCs w:val="32"/>
        </w:rPr>
        <w:t xml:space="preserve">4.1.11  </w:t>
      </w:r>
      <w:r>
        <w:rPr>
          <w:rFonts w:hint="eastAsia" w:ascii="宋体" w:hAnsi="宋体"/>
          <w:sz w:val="24"/>
          <w:szCs w:val="32"/>
        </w:rPr>
        <w:t>农民工工资保证金</w:t>
      </w:r>
    </w:p>
    <w:p w14:paraId="50ADC4E8">
      <w:pPr>
        <w:wordWrap w:val="0"/>
        <w:spacing w:line="360" w:lineRule="auto"/>
        <w:ind w:firstLine="480" w:firstLineChars="200"/>
        <w:rPr>
          <w:rFonts w:ascii="宋体" w:hAnsi="宋体"/>
          <w:sz w:val="24"/>
          <w:szCs w:val="32"/>
        </w:rPr>
      </w:pPr>
      <w:r>
        <w:rPr>
          <w:rFonts w:hint="eastAsia" w:ascii="宋体" w:hAnsi="宋体"/>
          <w:sz w:val="24"/>
          <w:szCs w:val="32"/>
        </w:rPr>
        <w:t>承包人应在银行设立工资保证金专用账户，专项用于发生欠薪时支付农民工工资的应急保障。账户内资金启用应当经建设主管部门和劳动保障行政部门批准。</w:t>
      </w:r>
    </w:p>
    <w:p w14:paraId="3567CBFA">
      <w:pPr>
        <w:wordWrap w:val="0"/>
        <w:spacing w:line="360" w:lineRule="auto"/>
        <w:ind w:firstLine="480" w:firstLineChars="200"/>
        <w:rPr>
          <w:rFonts w:ascii="宋体"/>
          <w:sz w:val="24"/>
          <w:szCs w:val="32"/>
        </w:rPr>
      </w:pPr>
      <w:r>
        <w:rPr>
          <w:rFonts w:hint="eastAsia" w:ascii="宋体" w:hAnsi="宋体"/>
          <w:sz w:val="24"/>
          <w:szCs w:val="32"/>
        </w:rPr>
        <w:t xml:space="preserve">4.1.12  </w:t>
      </w:r>
      <w:bookmarkStart w:id="1094" w:name="OLE_LINK115"/>
      <w:r>
        <w:rPr>
          <w:rFonts w:hint="eastAsia" w:ascii="宋体" w:hAnsi="宋体"/>
          <w:sz w:val="24"/>
          <w:szCs w:val="32"/>
        </w:rPr>
        <w:t>保障妇女的劳动和社会保障权益</w:t>
      </w:r>
      <w:bookmarkEnd w:id="1094"/>
    </w:p>
    <w:p w14:paraId="6A090B89">
      <w:pPr>
        <w:wordWrap w:val="0"/>
        <w:spacing w:line="360" w:lineRule="auto"/>
        <w:ind w:firstLine="480" w:firstLineChars="200"/>
        <w:rPr>
          <w:rFonts w:ascii="宋体"/>
          <w:sz w:val="24"/>
        </w:rPr>
      </w:pPr>
      <w:r>
        <w:rPr>
          <w:rFonts w:hint="eastAsia" w:ascii="宋体" w:hAnsi="宋体"/>
          <w:sz w:val="24"/>
          <w:szCs w:val="32"/>
        </w:rPr>
        <w:t>承包人应遵守《中华人民共和国妇女权益保障法》中关于“劳动和社会保障权益”的有关要求。</w:t>
      </w:r>
    </w:p>
    <w:p w14:paraId="780C7F2D">
      <w:pPr>
        <w:wordWrap w:val="0"/>
        <w:spacing w:line="360" w:lineRule="auto"/>
        <w:ind w:firstLine="480" w:firstLineChars="200"/>
        <w:rPr>
          <w:rFonts w:ascii="宋体"/>
          <w:sz w:val="24"/>
          <w:szCs w:val="32"/>
        </w:rPr>
      </w:pPr>
      <w:r>
        <w:rPr>
          <w:rFonts w:ascii="宋体" w:hAnsi="宋体"/>
          <w:sz w:val="24"/>
          <w:szCs w:val="32"/>
        </w:rPr>
        <w:t>4.1.1</w:t>
      </w:r>
      <w:r>
        <w:rPr>
          <w:rFonts w:hint="eastAsia" w:ascii="宋体" w:hAnsi="宋体"/>
          <w:sz w:val="24"/>
          <w:szCs w:val="32"/>
        </w:rPr>
        <w:t>3</w:t>
      </w:r>
      <w:r>
        <w:rPr>
          <w:rFonts w:ascii="宋体" w:hAnsi="宋体"/>
          <w:sz w:val="24"/>
          <w:szCs w:val="32"/>
        </w:rPr>
        <w:t xml:space="preserve">  </w:t>
      </w:r>
      <w:r>
        <w:rPr>
          <w:rFonts w:hint="eastAsia" w:ascii="宋体" w:hAnsi="宋体"/>
          <w:sz w:val="24"/>
          <w:szCs w:val="32"/>
        </w:rPr>
        <w:t>其他义务</w:t>
      </w:r>
    </w:p>
    <w:p w14:paraId="1277DD95">
      <w:pPr>
        <w:wordWrap w:val="0"/>
        <w:spacing w:line="360" w:lineRule="auto"/>
        <w:ind w:firstLine="480" w:firstLineChars="200"/>
        <w:rPr>
          <w:rFonts w:ascii="宋体"/>
          <w:sz w:val="24"/>
          <w:szCs w:val="32"/>
        </w:rPr>
      </w:pPr>
      <w:r>
        <w:rPr>
          <w:rFonts w:hint="eastAsia" w:ascii="宋体" w:hAnsi="宋体"/>
          <w:sz w:val="24"/>
          <w:szCs w:val="32"/>
        </w:rPr>
        <w:t>承包人应履行的其他义务</w:t>
      </w:r>
      <w:r>
        <w:rPr>
          <w:rFonts w:hint="eastAsia" w:ascii="黑体" w:hAnsi="黑体" w:eastAsia="黑体"/>
          <w:sz w:val="24"/>
          <w:szCs w:val="32"/>
        </w:rPr>
        <w:t>见合同条款专用部分。</w:t>
      </w:r>
    </w:p>
    <w:p w14:paraId="1B7C56E7">
      <w:pPr>
        <w:wordWrap w:val="0"/>
        <w:spacing w:before="120" w:beforeLines="50" w:after="120" w:afterLines="50" w:line="360" w:lineRule="auto"/>
        <w:outlineLvl w:val="2"/>
        <w:rPr>
          <w:rFonts w:ascii="宋体"/>
          <w:kern w:val="0"/>
          <w:sz w:val="24"/>
          <w:szCs w:val="20"/>
        </w:rPr>
      </w:pPr>
      <w:bookmarkStart w:id="1095" w:name="_Toc144974609"/>
      <w:bookmarkStart w:id="1096" w:name="_Toc152045641"/>
      <w:bookmarkStart w:id="1097" w:name="_Toc342296292"/>
      <w:bookmarkStart w:id="1098" w:name="_Toc338944734"/>
      <w:bookmarkStart w:id="1099" w:name="_Toc179632659"/>
      <w:bookmarkStart w:id="1100" w:name="_Toc152042419"/>
      <w:bookmarkStart w:id="1101" w:name="_Toc480486932"/>
      <w:bookmarkStart w:id="1102" w:name="_Toc489279889"/>
      <w:bookmarkStart w:id="1103" w:name="_Toc480486760"/>
      <w:bookmarkStart w:id="1104" w:name="_Toc490222523"/>
      <w:bookmarkStart w:id="1105" w:name="_Toc207289609"/>
      <w:bookmarkStart w:id="1106" w:name="_Toc486580078"/>
      <w:bookmarkStart w:id="1107" w:name="_Toc483668107"/>
      <w:r>
        <w:rPr>
          <w:rFonts w:ascii="宋体"/>
          <w:kern w:val="0"/>
          <w:sz w:val="24"/>
          <w:szCs w:val="20"/>
        </w:rPr>
        <w:t xml:space="preserve">4.2 </w:t>
      </w:r>
      <w:bookmarkEnd w:id="1095"/>
      <w:bookmarkEnd w:id="1096"/>
      <w:bookmarkEnd w:id="1097"/>
      <w:bookmarkEnd w:id="1098"/>
      <w:bookmarkEnd w:id="1099"/>
      <w:bookmarkEnd w:id="1100"/>
      <w:r>
        <w:rPr>
          <w:rFonts w:ascii="宋体"/>
          <w:kern w:val="0"/>
          <w:sz w:val="24"/>
          <w:szCs w:val="20"/>
        </w:rPr>
        <w:t xml:space="preserve"> </w:t>
      </w:r>
      <w:r>
        <w:rPr>
          <w:rFonts w:hint="eastAsia" w:ascii="宋体"/>
          <w:kern w:val="0"/>
          <w:sz w:val="24"/>
          <w:szCs w:val="20"/>
        </w:rPr>
        <w:t>履约担保</w:t>
      </w:r>
      <w:bookmarkEnd w:id="1101"/>
      <w:bookmarkEnd w:id="1102"/>
      <w:bookmarkEnd w:id="1103"/>
      <w:bookmarkEnd w:id="1104"/>
      <w:bookmarkEnd w:id="1105"/>
      <w:bookmarkEnd w:id="1106"/>
      <w:bookmarkEnd w:id="1107"/>
    </w:p>
    <w:p w14:paraId="0C1E911F">
      <w:pPr>
        <w:wordWrap w:val="0"/>
        <w:spacing w:line="360" w:lineRule="auto"/>
        <w:ind w:firstLine="480" w:firstLineChars="200"/>
        <w:rPr>
          <w:rFonts w:ascii="宋体"/>
          <w:sz w:val="24"/>
        </w:rPr>
      </w:pPr>
      <w:r>
        <w:rPr>
          <w:rFonts w:ascii="宋体" w:hAnsi="宋体"/>
          <w:sz w:val="24"/>
        </w:rPr>
        <w:t xml:space="preserve">4.2.1  </w:t>
      </w:r>
      <w:r>
        <w:rPr>
          <w:rFonts w:hint="eastAsia" w:ascii="宋体" w:hAnsi="宋体"/>
          <w:sz w:val="24"/>
        </w:rPr>
        <w:t>履约担保的格式和金额</w:t>
      </w:r>
    </w:p>
    <w:p w14:paraId="0BB20464">
      <w:pPr>
        <w:wordWrap w:val="0"/>
        <w:spacing w:line="360" w:lineRule="auto"/>
        <w:ind w:firstLine="480" w:firstLineChars="200"/>
        <w:rPr>
          <w:rFonts w:ascii="宋体"/>
          <w:sz w:val="24"/>
        </w:rPr>
      </w:pPr>
      <w:r>
        <w:rPr>
          <w:rFonts w:hint="eastAsia" w:ascii="宋体" w:hAnsi="宋体"/>
          <w:sz w:val="24"/>
          <w:szCs w:val="32"/>
        </w:rPr>
        <w:t>合同约定承包人提交履约担保的，</w:t>
      </w:r>
      <w:r>
        <w:rPr>
          <w:rFonts w:hint="eastAsia" w:ascii="宋体" w:hAnsi="宋体"/>
          <w:sz w:val="24"/>
        </w:rPr>
        <w:t>承包人应在签订合同前，按照发包人约定的格式或者其他经过发包人认可的格式向发包人递交一份履约担保。</w:t>
      </w:r>
      <w:r>
        <w:rPr>
          <w:rFonts w:hint="eastAsia" w:ascii="宋体" w:hAnsi="宋体" w:cs="Arial"/>
          <w:sz w:val="24"/>
        </w:rPr>
        <w:t>经过发包人事先书面认可的其他格式的履约担保，其担保条款的实质性内容应当与发包人合同文件约定的格式内容保持一致。</w:t>
      </w:r>
      <w:r>
        <w:rPr>
          <w:rFonts w:hint="eastAsia" w:ascii="宋体" w:hAnsi="宋体"/>
          <w:sz w:val="24"/>
        </w:rPr>
        <w:t>承包人是否提交履约担保及需要提交履约担保的金额</w:t>
      </w:r>
      <w:r>
        <w:rPr>
          <w:rFonts w:hint="eastAsia" w:ascii="黑体" w:hAnsi="黑体" w:eastAsia="黑体"/>
          <w:sz w:val="24"/>
          <w:szCs w:val="32"/>
        </w:rPr>
        <w:t>见合同条款专用部分。</w:t>
      </w:r>
      <w:r>
        <w:rPr>
          <w:rFonts w:hint="eastAsia" w:ascii="宋体" w:hAnsi="宋体" w:cs="Arial"/>
          <w:sz w:val="24"/>
        </w:rPr>
        <w:t>承包人</w:t>
      </w:r>
      <w:r>
        <w:rPr>
          <w:rFonts w:hint="eastAsia" w:ascii="宋体" w:hAnsi="宋体"/>
          <w:sz w:val="24"/>
        </w:rPr>
        <w:t>履约担保格式</w:t>
      </w:r>
      <w:r>
        <w:rPr>
          <w:rFonts w:hint="eastAsia" w:ascii="黑体" w:hAnsi="黑体" w:eastAsia="黑体"/>
          <w:sz w:val="24"/>
        </w:rPr>
        <w:t>见合同条款专用部分附件五。</w:t>
      </w:r>
    </w:p>
    <w:p w14:paraId="475F37A9">
      <w:pPr>
        <w:wordWrap w:val="0"/>
        <w:spacing w:line="360" w:lineRule="auto"/>
        <w:ind w:firstLine="480" w:firstLineChars="200"/>
        <w:rPr>
          <w:rFonts w:ascii="宋体"/>
          <w:sz w:val="24"/>
        </w:rPr>
      </w:pPr>
      <w:r>
        <w:rPr>
          <w:rFonts w:ascii="宋体" w:hAnsi="宋体"/>
          <w:sz w:val="24"/>
        </w:rPr>
        <w:t xml:space="preserve">4.2.2  </w:t>
      </w:r>
      <w:r>
        <w:rPr>
          <w:rFonts w:hint="eastAsia" w:ascii="宋体" w:hAnsi="宋体"/>
          <w:sz w:val="24"/>
        </w:rPr>
        <w:t>履约担保的有效期</w:t>
      </w:r>
    </w:p>
    <w:p w14:paraId="2AE7253D">
      <w:pPr>
        <w:wordWrap w:val="0"/>
        <w:spacing w:line="360" w:lineRule="auto"/>
        <w:ind w:firstLine="480" w:firstLineChars="200"/>
        <w:rPr>
          <w:rFonts w:ascii="宋体"/>
          <w:sz w:val="24"/>
        </w:rPr>
      </w:pPr>
      <w:r>
        <w:rPr>
          <w:rFonts w:hint="eastAsia" w:ascii="宋体" w:hAnsi="宋体" w:cs="Arial"/>
          <w:sz w:val="24"/>
        </w:rPr>
        <w:t>履约担保的有效期应当自本合同生效之日起至发包人签认并由监理人向承包人出具工程接收证书之日止。</w:t>
      </w:r>
      <w:r>
        <w:rPr>
          <w:rFonts w:hint="eastAsia" w:ascii="宋体" w:hAnsi="宋体"/>
          <w:sz w:val="24"/>
        </w:rPr>
        <w:t>如果承包人无法获得一份不带具体截止日期的担保，</w:t>
      </w:r>
      <w:r>
        <w:rPr>
          <w:rFonts w:hint="eastAsia" w:ascii="宋体" w:hAnsi="宋体" w:cs="Arial"/>
          <w:sz w:val="24"/>
        </w:rPr>
        <w:t>履约担保中就应当约定有</w:t>
      </w:r>
      <w:r>
        <w:rPr>
          <w:rFonts w:hint="eastAsia" w:ascii="宋体" w:hAnsi="宋体"/>
          <w:sz w:val="24"/>
        </w:rPr>
        <w:t>“变更工程竣工日期的，保证期间按照变更后的竣工日期做相应调整”或类似约定的条款。</w:t>
      </w:r>
    </w:p>
    <w:p w14:paraId="008C5CA5">
      <w:pPr>
        <w:wordWrap w:val="0"/>
        <w:spacing w:line="360" w:lineRule="auto"/>
        <w:ind w:firstLine="480" w:firstLineChars="200"/>
        <w:rPr>
          <w:rFonts w:ascii="宋体"/>
          <w:sz w:val="24"/>
        </w:rPr>
      </w:pPr>
      <w:r>
        <w:rPr>
          <w:rFonts w:ascii="宋体" w:hAnsi="宋体"/>
          <w:sz w:val="24"/>
        </w:rPr>
        <w:t xml:space="preserve">4.2.3  </w:t>
      </w:r>
      <w:r>
        <w:rPr>
          <w:rFonts w:hint="eastAsia" w:ascii="宋体" w:hAnsi="宋体"/>
          <w:sz w:val="24"/>
        </w:rPr>
        <w:t>履约担保的退还</w:t>
      </w:r>
    </w:p>
    <w:p w14:paraId="23CAE45C">
      <w:pPr>
        <w:wordWrap w:val="0"/>
        <w:spacing w:line="360" w:lineRule="auto"/>
        <w:ind w:firstLine="480" w:firstLineChars="200"/>
        <w:rPr>
          <w:rFonts w:ascii="宋体"/>
          <w:sz w:val="24"/>
        </w:rPr>
      </w:pPr>
      <w:r>
        <w:rPr>
          <w:rFonts w:hint="eastAsia" w:ascii="宋体" w:hAnsi="宋体"/>
          <w:sz w:val="24"/>
        </w:rPr>
        <w:t>履约担保应在监理人向承包人颁发（出具）工程接收证书之日后</w:t>
      </w:r>
      <w:r>
        <w:rPr>
          <w:rFonts w:ascii="宋体" w:hAnsi="宋体"/>
          <w:sz w:val="24"/>
        </w:rPr>
        <w:t>28</w:t>
      </w:r>
      <w:r>
        <w:rPr>
          <w:rFonts w:hint="eastAsia" w:ascii="宋体" w:hAnsi="宋体"/>
          <w:sz w:val="24"/>
        </w:rPr>
        <w:t>天内退还给承包人。发包人不承担承包人与履约担保有关的任何利息或其它类似的费用或者收益。</w:t>
      </w:r>
    </w:p>
    <w:p w14:paraId="39A75CAA">
      <w:pPr>
        <w:wordWrap w:val="0"/>
        <w:spacing w:line="360" w:lineRule="auto"/>
        <w:ind w:firstLine="480" w:firstLineChars="200"/>
        <w:rPr>
          <w:rFonts w:ascii="宋体"/>
          <w:sz w:val="24"/>
        </w:rPr>
      </w:pPr>
      <w:r>
        <w:rPr>
          <w:rFonts w:ascii="宋体" w:hAnsi="宋体"/>
          <w:sz w:val="24"/>
        </w:rPr>
        <w:t xml:space="preserve">4.2.4  </w:t>
      </w:r>
      <w:r>
        <w:rPr>
          <w:rFonts w:hint="eastAsia" w:ascii="宋体" w:hAnsi="宋体"/>
          <w:sz w:val="24"/>
        </w:rPr>
        <w:t>通知义务</w:t>
      </w:r>
    </w:p>
    <w:p w14:paraId="649AB06C">
      <w:pPr>
        <w:wordWrap w:val="0"/>
        <w:spacing w:line="360" w:lineRule="auto"/>
        <w:ind w:firstLine="480" w:firstLineChars="200"/>
        <w:rPr>
          <w:rFonts w:ascii="宋体"/>
          <w:sz w:val="24"/>
          <w:szCs w:val="32"/>
        </w:rPr>
      </w:pPr>
      <w:r>
        <w:rPr>
          <w:rFonts w:hint="eastAsia" w:ascii="宋体" w:hAnsi="宋体"/>
          <w:sz w:val="24"/>
        </w:rPr>
        <w:t>不管履约担保条款中如何约定，发包人根据担保条款提出索赔或兑现要求</w:t>
      </w:r>
      <w:r>
        <w:rPr>
          <w:rFonts w:ascii="宋体" w:hAnsi="宋体"/>
          <w:sz w:val="24"/>
        </w:rPr>
        <w:t>28</w:t>
      </w:r>
      <w:r>
        <w:rPr>
          <w:rFonts w:hint="eastAsia" w:ascii="宋体" w:hAnsi="宋体"/>
          <w:sz w:val="24"/>
        </w:rPr>
        <w:t>天前，应通知承包人并说明导致此类索赔或兑现的违约性质或原因。相应地，不管第</w:t>
      </w:r>
      <w:r>
        <w:rPr>
          <w:rFonts w:ascii="宋体" w:hAnsi="宋体"/>
          <w:sz w:val="24"/>
        </w:rPr>
        <w:t>2.8</w:t>
      </w:r>
      <w:r>
        <w:rPr>
          <w:rFonts w:hint="eastAsia" w:ascii="宋体" w:hAnsi="宋体"/>
          <w:sz w:val="24"/>
        </w:rPr>
        <w:t>款约定的支付担保条款中如何约定，承包人根据担保条款提出索赔或兑现要求</w:t>
      </w:r>
      <w:r>
        <w:rPr>
          <w:rFonts w:ascii="宋体" w:hAnsi="宋体"/>
          <w:sz w:val="24"/>
        </w:rPr>
        <w:t>28</w:t>
      </w:r>
      <w:r>
        <w:rPr>
          <w:rFonts w:hint="eastAsia" w:ascii="宋体" w:hAnsi="宋体"/>
          <w:sz w:val="24"/>
        </w:rPr>
        <w:t>天前，也应通知发包人并说明导致此类索赔或兑现的违约性质或原因。但是，本项约定的通知不应理解为是在任何意义上寻求承包人或者发包人的同意。</w:t>
      </w:r>
    </w:p>
    <w:p w14:paraId="1D6F0C7B">
      <w:pPr>
        <w:wordWrap w:val="0"/>
        <w:spacing w:before="120" w:beforeLines="50" w:after="120" w:afterLines="50" w:line="360" w:lineRule="auto"/>
        <w:outlineLvl w:val="2"/>
        <w:rPr>
          <w:rFonts w:ascii="宋体"/>
          <w:kern w:val="0"/>
          <w:sz w:val="24"/>
          <w:szCs w:val="20"/>
        </w:rPr>
      </w:pPr>
      <w:bookmarkStart w:id="1108" w:name="_Toc486580079"/>
      <w:bookmarkStart w:id="1109" w:name="_Toc490222524"/>
      <w:bookmarkStart w:id="1110" w:name="_Toc338944735"/>
      <w:bookmarkStart w:id="1111" w:name="_Toc342296293"/>
      <w:bookmarkStart w:id="1112" w:name="_Toc480486933"/>
      <w:bookmarkStart w:id="1113" w:name="_Toc483668108"/>
      <w:bookmarkStart w:id="1114" w:name="_Toc207289610"/>
      <w:bookmarkStart w:id="1115" w:name="_Toc489279890"/>
      <w:bookmarkStart w:id="1116" w:name="_Toc480486761"/>
      <w:r>
        <w:rPr>
          <w:rFonts w:ascii="宋体"/>
          <w:kern w:val="0"/>
          <w:sz w:val="24"/>
          <w:szCs w:val="20"/>
        </w:rPr>
        <w:t xml:space="preserve">4.3  </w:t>
      </w:r>
      <w:r>
        <w:rPr>
          <w:rFonts w:hint="eastAsia" w:ascii="宋体"/>
          <w:kern w:val="0"/>
          <w:sz w:val="24"/>
          <w:szCs w:val="20"/>
        </w:rPr>
        <w:t>分包</w:t>
      </w:r>
      <w:bookmarkEnd w:id="1108"/>
      <w:bookmarkEnd w:id="1109"/>
      <w:bookmarkEnd w:id="1110"/>
      <w:bookmarkEnd w:id="1111"/>
      <w:bookmarkEnd w:id="1112"/>
      <w:bookmarkEnd w:id="1113"/>
      <w:bookmarkEnd w:id="1114"/>
      <w:bookmarkEnd w:id="1115"/>
      <w:bookmarkEnd w:id="1116"/>
    </w:p>
    <w:p w14:paraId="483E9E14">
      <w:pPr>
        <w:wordWrap w:val="0"/>
        <w:spacing w:line="360" w:lineRule="auto"/>
        <w:ind w:firstLine="480" w:firstLineChars="200"/>
        <w:rPr>
          <w:rFonts w:ascii="宋体"/>
          <w:sz w:val="24"/>
          <w:szCs w:val="32"/>
        </w:rPr>
      </w:pPr>
      <w:r>
        <w:rPr>
          <w:rFonts w:ascii="宋体" w:hAnsi="宋体"/>
          <w:sz w:val="24"/>
          <w:szCs w:val="32"/>
        </w:rPr>
        <w:t xml:space="preserve">4.3.1  </w:t>
      </w:r>
      <w:r>
        <w:rPr>
          <w:rFonts w:hint="eastAsia" w:ascii="宋体" w:hAnsi="宋体"/>
          <w:sz w:val="24"/>
          <w:szCs w:val="32"/>
        </w:rPr>
        <w:t>承包人不得将其承包的全部工程转包给第三人，或将其承包的全部工程肢解后以分包的名义转包给第三人。</w:t>
      </w:r>
    </w:p>
    <w:p w14:paraId="2543457A">
      <w:pPr>
        <w:wordWrap w:val="0"/>
        <w:spacing w:line="360" w:lineRule="auto"/>
        <w:ind w:firstLine="480" w:firstLineChars="200"/>
        <w:rPr>
          <w:rFonts w:ascii="宋体"/>
          <w:sz w:val="24"/>
          <w:szCs w:val="32"/>
        </w:rPr>
      </w:pPr>
      <w:r>
        <w:rPr>
          <w:rFonts w:ascii="宋体" w:hAnsi="宋体"/>
          <w:sz w:val="24"/>
          <w:szCs w:val="32"/>
        </w:rPr>
        <w:t xml:space="preserve">4.3.2  </w:t>
      </w:r>
      <w:r>
        <w:rPr>
          <w:rFonts w:hint="eastAsia" w:ascii="宋体" w:hAnsi="宋体"/>
          <w:sz w:val="24"/>
          <w:szCs w:val="32"/>
        </w:rPr>
        <w:t>承包人不得将工程主体、关键性工作分包给第三人。</w:t>
      </w:r>
    </w:p>
    <w:p w14:paraId="20CD157D">
      <w:pPr>
        <w:wordWrap w:val="0"/>
        <w:spacing w:line="360" w:lineRule="auto"/>
        <w:ind w:firstLine="480" w:firstLineChars="200"/>
        <w:rPr>
          <w:rFonts w:ascii="宋体"/>
          <w:sz w:val="24"/>
          <w:szCs w:val="32"/>
        </w:rPr>
      </w:pPr>
      <w:r>
        <w:rPr>
          <w:rFonts w:ascii="宋体" w:hAnsi="宋体"/>
          <w:sz w:val="24"/>
          <w:szCs w:val="32"/>
        </w:rPr>
        <w:t xml:space="preserve">4.3.3  </w:t>
      </w:r>
      <w:r>
        <w:rPr>
          <w:rFonts w:hint="eastAsia" w:ascii="宋体" w:hAnsi="宋体"/>
          <w:sz w:val="24"/>
          <w:szCs w:val="32"/>
        </w:rPr>
        <w:t>未经发包人同意，承包人不得将其自行施工范围工程的其他部分或工作分包给第三人。</w:t>
      </w:r>
      <w:r>
        <w:rPr>
          <w:rFonts w:hint="eastAsia" w:ascii="宋体" w:hAnsi="宋体"/>
          <w:sz w:val="24"/>
        </w:rPr>
        <w:t>发包人同意承包人分包的非主体、非关键性工作包括：</w:t>
      </w:r>
    </w:p>
    <w:p w14:paraId="76BE30C7">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w:t>
      </w:r>
      <w:r>
        <w:rPr>
          <w:rFonts w:hint="eastAsia" w:ascii="宋体" w:hAnsi="宋体"/>
          <w:sz w:val="24"/>
        </w:rPr>
        <w:t>投标函附录</w:t>
      </w:r>
      <w:r>
        <w:rPr>
          <w:rFonts w:hint="eastAsia" w:ascii="宋体" w:hAnsi="宋体"/>
          <w:sz w:val="24"/>
          <w:szCs w:val="32"/>
        </w:rPr>
        <w:t>约定的分包工程；</w:t>
      </w:r>
    </w:p>
    <w:p w14:paraId="7962305C">
      <w:pPr>
        <w:wordWrap w:val="0"/>
        <w:spacing w:line="360" w:lineRule="auto"/>
        <w:ind w:firstLine="360" w:firstLineChars="150"/>
        <w:rPr>
          <w:rFonts w:ascii="宋体"/>
          <w:sz w:val="24"/>
        </w:rPr>
      </w:pPr>
      <w:r>
        <w:rPr>
          <w:rFonts w:hint="eastAsia" w:ascii="宋体" w:hAnsi="宋体"/>
          <w:sz w:val="24"/>
          <w:szCs w:val="32"/>
        </w:rPr>
        <w:t>（</w:t>
      </w:r>
      <w:r>
        <w:rPr>
          <w:rFonts w:ascii="宋体" w:hAnsi="宋体"/>
          <w:sz w:val="24"/>
          <w:szCs w:val="32"/>
        </w:rPr>
        <w:t>2</w:t>
      </w:r>
      <w:r>
        <w:rPr>
          <w:rFonts w:hint="eastAsia" w:ascii="宋体" w:hAnsi="宋体"/>
          <w:sz w:val="24"/>
          <w:szCs w:val="32"/>
        </w:rPr>
        <w:t>）</w:t>
      </w:r>
      <w:r>
        <w:rPr>
          <w:rFonts w:hint="eastAsia" w:ascii="宋体" w:hAnsi="宋体"/>
          <w:sz w:val="24"/>
        </w:rPr>
        <w:t>除投标函附录中约定的分包内容外，经过发包人和监理人同意的其他非主体、非关键性工作，但分包人应当经过发包人和监理人审批。发包人和监理人有权拒绝承包人的分包请求和承包人选择的分包人。</w:t>
      </w:r>
    </w:p>
    <w:p w14:paraId="46E6332E">
      <w:pPr>
        <w:wordWrap w:val="0"/>
        <w:spacing w:line="360" w:lineRule="auto"/>
        <w:ind w:firstLine="480" w:firstLineChars="200"/>
        <w:rPr>
          <w:rFonts w:ascii="宋体"/>
          <w:sz w:val="24"/>
          <w:szCs w:val="32"/>
        </w:rPr>
      </w:pPr>
      <w:r>
        <w:rPr>
          <w:rFonts w:ascii="宋体" w:hAnsi="宋体"/>
          <w:sz w:val="24"/>
          <w:szCs w:val="32"/>
        </w:rPr>
        <w:t xml:space="preserve">4.3.4  </w:t>
      </w:r>
      <w:r>
        <w:rPr>
          <w:rFonts w:hint="eastAsia" w:ascii="宋体" w:hAnsi="宋体"/>
          <w:sz w:val="24"/>
          <w:szCs w:val="32"/>
        </w:rPr>
        <w:t>发包人在工程量清单中给定暂估价的专业工程，包括从暂列金额开支的专业工程，达到依法应当招标的规模标准的，以及虽未达到规定的规模标准但合同中约定采用招标方式实施的，应当按第</w:t>
      </w:r>
      <w:r>
        <w:rPr>
          <w:rFonts w:ascii="宋体" w:hAnsi="宋体"/>
          <w:sz w:val="24"/>
          <w:szCs w:val="32"/>
        </w:rPr>
        <w:t>15.8.1</w:t>
      </w:r>
      <w:r>
        <w:rPr>
          <w:rFonts w:hint="eastAsia" w:ascii="宋体" w:hAnsi="宋体"/>
          <w:sz w:val="24"/>
          <w:szCs w:val="32"/>
        </w:rPr>
        <w:t>项的约定，由发包人和承包人以招标方式确定专业分包人。除项目审批部门有特别核准外，暂估价的专业工程的招标应当采用与施工总承包同样的招标方式。</w:t>
      </w:r>
    </w:p>
    <w:p w14:paraId="08464BFF">
      <w:pPr>
        <w:wordWrap w:val="0"/>
        <w:spacing w:line="360" w:lineRule="auto"/>
        <w:ind w:firstLine="480" w:firstLineChars="200"/>
        <w:rPr>
          <w:rFonts w:ascii="宋体"/>
          <w:sz w:val="24"/>
          <w:szCs w:val="32"/>
        </w:rPr>
      </w:pPr>
      <w:r>
        <w:rPr>
          <w:rFonts w:ascii="宋体" w:hAnsi="宋体"/>
          <w:sz w:val="24"/>
          <w:szCs w:val="32"/>
        </w:rPr>
        <w:t xml:space="preserve">4.3.5  </w:t>
      </w:r>
      <w:r>
        <w:rPr>
          <w:rFonts w:hint="eastAsia" w:ascii="宋体" w:hAnsi="宋体"/>
          <w:sz w:val="24"/>
          <w:szCs w:val="32"/>
        </w:rPr>
        <w:t>在相关分包合同签订并报送有关建设行政主管部门后</w:t>
      </w:r>
      <w:r>
        <w:rPr>
          <w:rFonts w:ascii="宋体" w:hAnsi="宋体"/>
          <w:sz w:val="24"/>
          <w:szCs w:val="32"/>
        </w:rPr>
        <w:t>7</w:t>
      </w:r>
      <w:r>
        <w:rPr>
          <w:rFonts w:hint="eastAsia" w:ascii="宋体" w:hAnsi="宋体"/>
          <w:sz w:val="24"/>
          <w:szCs w:val="32"/>
        </w:rPr>
        <w:t>天内，承包人应当将一份副本提交给监理人，承包人应保障分包工作不得再次分包。</w:t>
      </w:r>
    </w:p>
    <w:p w14:paraId="0BDE38C7">
      <w:pPr>
        <w:wordWrap w:val="0"/>
        <w:spacing w:line="360" w:lineRule="auto"/>
        <w:ind w:firstLine="480" w:firstLineChars="200"/>
        <w:rPr>
          <w:rFonts w:ascii="宋体"/>
          <w:sz w:val="24"/>
          <w:szCs w:val="32"/>
        </w:rPr>
      </w:pPr>
      <w:r>
        <w:rPr>
          <w:rFonts w:ascii="宋体" w:hAnsi="宋体"/>
          <w:sz w:val="24"/>
          <w:szCs w:val="32"/>
        </w:rPr>
        <w:t xml:space="preserve">4.3.6  </w:t>
      </w:r>
      <w:r>
        <w:rPr>
          <w:rFonts w:hint="eastAsia" w:ascii="宋体" w:hAnsi="宋体"/>
          <w:sz w:val="24"/>
          <w:szCs w:val="32"/>
        </w:rPr>
        <w:t>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6734D42D">
      <w:pPr>
        <w:wordWrap w:val="0"/>
        <w:spacing w:line="360" w:lineRule="auto"/>
        <w:ind w:firstLine="480" w:firstLineChars="200"/>
        <w:rPr>
          <w:rFonts w:ascii="宋体"/>
          <w:sz w:val="24"/>
          <w:szCs w:val="32"/>
        </w:rPr>
      </w:pPr>
      <w:r>
        <w:rPr>
          <w:rFonts w:ascii="宋体" w:hAnsi="宋体"/>
          <w:sz w:val="24"/>
          <w:szCs w:val="32"/>
        </w:rPr>
        <w:t xml:space="preserve">4.3.7  </w:t>
      </w:r>
      <w:r>
        <w:rPr>
          <w:rFonts w:hint="eastAsia" w:ascii="宋体" w:hAnsi="宋体"/>
          <w:sz w:val="24"/>
          <w:szCs w:val="32"/>
        </w:rPr>
        <w:t>未经发包人和监理人审批同意的分包工程和分包人，发包人有权拒绝验收分包工程和支付相应款项，由此引起的承包人费用增加和（或）延误的工期由承包人承担。</w:t>
      </w:r>
    </w:p>
    <w:p w14:paraId="70BCB0CA">
      <w:pPr>
        <w:wordWrap w:val="0"/>
        <w:spacing w:line="360" w:lineRule="auto"/>
        <w:ind w:firstLine="480" w:firstLineChars="200"/>
        <w:rPr>
          <w:rFonts w:ascii="宋体"/>
          <w:sz w:val="24"/>
          <w:szCs w:val="32"/>
        </w:rPr>
      </w:pPr>
      <w:r>
        <w:rPr>
          <w:rFonts w:ascii="宋体" w:hAnsi="宋体"/>
          <w:sz w:val="24"/>
          <w:szCs w:val="32"/>
        </w:rPr>
        <w:t xml:space="preserve">4.3.8  </w:t>
      </w:r>
      <w:r>
        <w:rPr>
          <w:rFonts w:hint="eastAsia" w:ascii="宋体" w:hAnsi="宋体"/>
          <w:sz w:val="24"/>
          <w:szCs w:val="32"/>
        </w:rPr>
        <w:t>分包人的资格能力应与其分包工程的标准和规模相适应。</w:t>
      </w:r>
    </w:p>
    <w:p w14:paraId="11D72B8C">
      <w:pPr>
        <w:wordWrap w:val="0"/>
        <w:spacing w:line="360" w:lineRule="auto"/>
        <w:ind w:firstLine="480" w:firstLineChars="200"/>
        <w:rPr>
          <w:rFonts w:ascii="宋体"/>
          <w:sz w:val="24"/>
          <w:szCs w:val="32"/>
        </w:rPr>
      </w:pPr>
      <w:r>
        <w:rPr>
          <w:rFonts w:ascii="宋体" w:hAnsi="宋体"/>
          <w:sz w:val="24"/>
          <w:szCs w:val="32"/>
        </w:rPr>
        <w:t xml:space="preserve">4.3.9  </w:t>
      </w:r>
      <w:r>
        <w:rPr>
          <w:rFonts w:hint="eastAsia" w:ascii="宋体" w:hAnsi="宋体"/>
          <w:sz w:val="24"/>
          <w:szCs w:val="32"/>
        </w:rPr>
        <w:t>发包人同意的分包工程，承包人应向发包人和监理人提供合同副本。</w:t>
      </w:r>
    </w:p>
    <w:p w14:paraId="06AE5E93">
      <w:pPr>
        <w:wordWrap w:val="0"/>
        <w:spacing w:line="360" w:lineRule="auto"/>
        <w:ind w:firstLine="480" w:firstLineChars="200"/>
        <w:rPr>
          <w:rFonts w:ascii="宋体"/>
          <w:sz w:val="24"/>
          <w:szCs w:val="32"/>
        </w:rPr>
      </w:pPr>
      <w:r>
        <w:rPr>
          <w:rFonts w:ascii="宋体" w:hAnsi="宋体"/>
          <w:sz w:val="24"/>
          <w:szCs w:val="32"/>
        </w:rPr>
        <w:t xml:space="preserve">4.3.10  </w:t>
      </w:r>
      <w:r>
        <w:rPr>
          <w:rFonts w:hint="eastAsia" w:ascii="宋体" w:hAnsi="宋体"/>
          <w:sz w:val="24"/>
          <w:szCs w:val="32"/>
        </w:rPr>
        <w:t>承包人应与分包人就分包工程向发包人承担连带责任。</w:t>
      </w:r>
    </w:p>
    <w:p w14:paraId="6A6ED02B">
      <w:pPr>
        <w:wordWrap w:val="0"/>
        <w:spacing w:before="120" w:beforeLines="50" w:after="120" w:afterLines="50" w:line="360" w:lineRule="auto"/>
        <w:outlineLvl w:val="2"/>
        <w:rPr>
          <w:rFonts w:ascii="宋体"/>
          <w:kern w:val="0"/>
          <w:sz w:val="24"/>
          <w:szCs w:val="20"/>
        </w:rPr>
      </w:pPr>
      <w:bookmarkStart w:id="1117" w:name="_Toc152045643"/>
      <w:bookmarkStart w:id="1118" w:name="_Toc207289611"/>
      <w:bookmarkStart w:id="1119" w:name="_Toc483668109"/>
      <w:bookmarkStart w:id="1120" w:name="_Toc338944736"/>
      <w:bookmarkStart w:id="1121" w:name="_Toc490222525"/>
      <w:bookmarkStart w:id="1122" w:name="_Toc480486762"/>
      <w:bookmarkStart w:id="1123" w:name="_Toc179632661"/>
      <w:bookmarkStart w:id="1124" w:name="_Toc489279891"/>
      <w:bookmarkStart w:id="1125" w:name="_Toc152042421"/>
      <w:bookmarkStart w:id="1126" w:name="_Toc144974611"/>
      <w:bookmarkStart w:id="1127" w:name="_Toc480486934"/>
      <w:bookmarkStart w:id="1128" w:name="_Toc342296294"/>
      <w:bookmarkStart w:id="1129" w:name="_Toc486580080"/>
      <w:r>
        <w:rPr>
          <w:rFonts w:ascii="宋体"/>
          <w:kern w:val="0"/>
          <w:sz w:val="24"/>
          <w:szCs w:val="20"/>
        </w:rPr>
        <w:t xml:space="preserve">4.4  </w:t>
      </w:r>
      <w:r>
        <w:rPr>
          <w:rFonts w:hint="eastAsia" w:ascii="宋体"/>
          <w:kern w:val="0"/>
          <w:sz w:val="24"/>
          <w:szCs w:val="20"/>
        </w:rPr>
        <w:t>联合体</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14:paraId="3834E640">
      <w:pPr>
        <w:wordWrap w:val="0"/>
        <w:spacing w:line="360" w:lineRule="auto"/>
        <w:ind w:firstLine="480" w:firstLineChars="200"/>
        <w:rPr>
          <w:rFonts w:ascii="宋体"/>
          <w:sz w:val="24"/>
          <w:szCs w:val="32"/>
        </w:rPr>
      </w:pPr>
      <w:r>
        <w:rPr>
          <w:rFonts w:ascii="宋体" w:hAnsi="宋体"/>
          <w:sz w:val="24"/>
          <w:szCs w:val="32"/>
        </w:rPr>
        <w:t xml:space="preserve">4.4.1  </w:t>
      </w:r>
      <w:r>
        <w:rPr>
          <w:rFonts w:hint="eastAsia" w:ascii="宋体" w:hAnsi="宋体"/>
          <w:sz w:val="24"/>
          <w:szCs w:val="32"/>
        </w:rPr>
        <w:t>联合体各方应共同与发包人签订合同协议书。联合体各方应为履行合同承担连带责任。</w:t>
      </w:r>
    </w:p>
    <w:p w14:paraId="6071FCEA">
      <w:pPr>
        <w:wordWrap w:val="0"/>
        <w:spacing w:line="360" w:lineRule="auto"/>
        <w:ind w:firstLine="480" w:firstLineChars="200"/>
        <w:rPr>
          <w:rFonts w:ascii="宋体"/>
          <w:sz w:val="24"/>
          <w:szCs w:val="32"/>
        </w:rPr>
      </w:pPr>
      <w:r>
        <w:rPr>
          <w:rFonts w:ascii="宋体" w:hAnsi="宋体"/>
          <w:sz w:val="24"/>
          <w:szCs w:val="32"/>
        </w:rPr>
        <w:t xml:space="preserve">4.4.2  </w:t>
      </w:r>
      <w:r>
        <w:rPr>
          <w:rFonts w:hint="eastAsia" w:ascii="宋体" w:hAnsi="宋体"/>
          <w:sz w:val="24"/>
          <w:szCs w:val="32"/>
        </w:rPr>
        <w:t>联合体协议经发包人确认后作为合同附件。在履行合同过程中，未经发包人同意，不得修改联合体协议。</w:t>
      </w:r>
    </w:p>
    <w:p w14:paraId="10008AC8">
      <w:pPr>
        <w:wordWrap w:val="0"/>
        <w:spacing w:line="360" w:lineRule="auto"/>
        <w:ind w:firstLine="480" w:firstLineChars="200"/>
        <w:rPr>
          <w:rFonts w:ascii="宋体"/>
          <w:sz w:val="24"/>
          <w:szCs w:val="32"/>
        </w:rPr>
      </w:pPr>
      <w:r>
        <w:rPr>
          <w:rFonts w:ascii="宋体" w:hAnsi="宋体"/>
          <w:sz w:val="24"/>
          <w:szCs w:val="32"/>
        </w:rPr>
        <w:t xml:space="preserve">4.4.3  </w:t>
      </w:r>
      <w:r>
        <w:rPr>
          <w:rFonts w:hint="eastAsia" w:ascii="宋体" w:hAnsi="宋体"/>
          <w:sz w:val="24"/>
          <w:szCs w:val="32"/>
        </w:rPr>
        <w:t>联合体牵头人负责与发包人和监理人联系，并接受指示，负责组织联合体各成员全面履行合同。</w:t>
      </w:r>
    </w:p>
    <w:p w14:paraId="7FD8D21A">
      <w:pPr>
        <w:wordWrap w:val="0"/>
        <w:spacing w:before="120" w:beforeLines="50" w:after="120" w:afterLines="50" w:line="360" w:lineRule="auto"/>
        <w:outlineLvl w:val="2"/>
        <w:rPr>
          <w:rFonts w:ascii="宋体"/>
          <w:kern w:val="0"/>
          <w:sz w:val="24"/>
          <w:szCs w:val="20"/>
        </w:rPr>
      </w:pPr>
      <w:bookmarkStart w:id="1130" w:name="_Toc483668110"/>
      <w:bookmarkStart w:id="1131" w:name="_Toc490222526"/>
      <w:bookmarkStart w:id="1132" w:name="_Toc486580081"/>
      <w:bookmarkStart w:id="1133" w:name="_Toc489279892"/>
      <w:bookmarkStart w:id="1134" w:name="_Toc338944737"/>
      <w:bookmarkStart w:id="1135" w:name="_Toc480486935"/>
      <w:bookmarkStart w:id="1136" w:name="_Toc480486763"/>
      <w:bookmarkStart w:id="1137" w:name="_Toc342296295"/>
      <w:bookmarkStart w:id="1138" w:name="_Toc207289612"/>
      <w:r>
        <w:rPr>
          <w:rFonts w:ascii="宋体"/>
          <w:kern w:val="0"/>
          <w:sz w:val="24"/>
          <w:szCs w:val="20"/>
        </w:rPr>
        <w:t xml:space="preserve">4.5  </w:t>
      </w:r>
      <w:r>
        <w:rPr>
          <w:rFonts w:hint="eastAsia" w:ascii="宋体"/>
          <w:kern w:val="0"/>
          <w:sz w:val="24"/>
          <w:szCs w:val="20"/>
        </w:rPr>
        <w:t>承包人项目经理</w:t>
      </w:r>
      <w:bookmarkEnd w:id="1130"/>
      <w:bookmarkEnd w:id="1131"/>
      <w:bookmarkEnd w:id="1132"/>
      <w:bookmarkEnd w:id="1133"/>
      <w:bookmarkEnd w:id="1134"/>
      <w:bookmarkEnd w:id="1135"/>
      <w:bookmarkEnd w:id="1136"/>
      <w:bookmarkEnd w:id="1137"/>
      <w:bookmarkEnd w:id="1138"/>
    </w:p>
    <w:p w14:paraId="3C01192B">
      <w:pPr>
        <w:wordWrap w:val="0"/>
        <w:spacing w:line="360" w:lineRule="auto"/>
        <w:ind w:firstLine="480" w:firstLineChars="200"/>
        <w:rPr>
          <w:rFonts w:ascii="宋体"/>
          <w:sz w:val="24"/>
          <w:szCs w:val="32"/>
        </w:rPr>
      </w:pPr>
      <w:r>
        <w:rPr>
          <w:rFonts w:ascii="宋体" w:hAnsi="宋体"/>
          <w:sz w:val="24"/>
          <w:szCs w:val="32"/>
        </w:rPr>
        <w:t xml:space="preserve">4.5.1  </w:t>
      </w:r>
      <w:r>
        <w:rPr>
          <w:rFonts w:hint="eastAsia" w:ascii="宋体" w:hAnsi="宋体"/>
          <w:sz w:val="24"/>
        </w:rPr>
        <w:t>承包人项目经理必须与承包人投标时所承诺的人员一致，并在根据第</w:t>
      </w:r>
      <w:r>
        <w:rPr>
          <w:rFonts w:ascii="宋体" w:hAnsi="宋体"/>
          <w:sz w:val="24"/>
        </w:rPr>
        <w:t>11.1.1</w:t>
      </w:r>
      <w:r>
        <w:rPr>
          <w:rFonts w:hint="eastAsia" w:ascii="宋体" w:hAnsi="宋体"/>
          <w:sz w:val="24"/>
        </w:rPr>
        <w:t>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w:t>
      </w:r>
      <w:r>
        <w:rPr>
          <w:rFonts w:hint="eastAsia" w:ascii="宋体" w:hAnsi="宋体"/>
          <w:sz w:val="24"/>
          <w:szCs w:val="32"/>
        </w:rPr>
        <w:t>承包人更换项目经理应事先征得发包人同意，并应在更换</w:t>
      </w:r>
      <w:r>
        <w:rPr>
          <w:rFonts w:ascii="宋体" w:hAnsi="宋体"/>
          <w:sz w:val="24"/>
          <w:szCs w:val="32"/>
        </w:rPr>
        <w:t>14</w:t>
      </w:r>
      <w:r>
        <w:rPr>
          <w:rFonts w:hint="eastAsia" w:ascii="宋体" w:hAnsi="宋体"/>
          <w:sz w:val="24"/>
          <w:szCs w:val="32"/>
        </w:rPr>
        <w:t>天前通知发包人和监理人。承包人项目经理短期离开施工场地，应事先征得监理人同意，并委派代表代行其职责。</w:t>
      </w:r>
    </w:p>
    <w:p w14:paraId="112F6BDA">
      <w:pPr>
        <w:wordWrap w:val="0"/>
        <w:spacing w:line="360" w:lineRule="auto"/>
        <w:ind w:firstLine="480" w:firstLineChars="200"/>
        <w:rPr>
          <w:rFonts w:ascii="宋体"/>
          <w:sz w:val="24"/>
          <w:szCs w:val="32"/>
        </w:rPr>
      </w:pPr>
      <w:r>
        <w:rPr>
          <w:rFonts w:ascii="宋体" w:hAnsi="宋体"/>
          <w:sz w:val="24"/>
          <w:szCs w:val="32"/>
        </w:rPr>
        <w:t xml:space="preserve">4.5.2  </w:t>
      </w:r>
      <w:r>
        <w:rPr>
          <w:rFonts w:hint="eastAsia" w:ascii="宋体" w:hAnsi="宋体"/>
          <w:sz w:val="24"/>
          <w:szCs w:val="32"/>
        </w:rPr>
        <w:t>承包人项目经理应按合同约定以及监理人按第</w:t>
      </w:r>
      <w:r>
        <w:rPr>
          <w:rFonts w:ascii="宋体" w:hAnsi="宋体"/>
          <w:sz w:val="24"/>
          <w:szCs w:val="32"/>
        </w:rPr>
        <w:t>3.4</w:t>
      </w:r>
      <w:r>
        <w:rPr>
          <w:rFonts w:hint="eastAsia" w:ascii="宋体" w:hAnsi="宋体"/>
          <w:sz w:val="24"/>
          <w:szCs w:val="32"/>
        </w:rPr>
        <w:t>款作出的指示，负责组织合同工程的实施。在情况紧急且无法与监理人取得联系时，可采取保证工程和人员生命财产安全的紧急措施，并在采取措施后</w:t>
      </w:r>
      <w:r>
        <w:rPr>
          <w:rFonts w:ascii="宋体" w:hAnsi="宋体"/>
          <w:sz w:val="24"/>
          <w:szCs w:val="32"/>
        </w:rPr>
        <w:t>24</w:t>
      </w:r>
      <w:r>
        <w:rPr>
          <w:rFonts w:hint="eastAsia" w:ascii="宋体" w:hAnsi="宋体"/>
          <w:sz w:val="24"/>
          <w:szCs w:val="32"/>
        </w:rPr>
        <w:t>小时内向监理人提交书面报告。</w:t>
      </w:r>
    </w:p>
    <w:p w14:paraId="63494CE1">
      <w:pPr>
        <w:wordWrap w:val="0"/>
        <w:spacing w:line="360" w:lineRule="auto"/>
        <w:ind w:firstLine="480" w:firstLineChars="200"/>
        <w:rPr>
          <w:rFonts w:ascii="宋体"/>
          <w:sz w:val="24"/>
          <w:szCs w:val="32"/>
        </w:rPr>
      </w:pPr>
      <w:r>
        <w:rPr>
          <w:rFonts w:ascii="宋体" w:hAnsi="宋体"/>
          <w:sz w:val="24"/>
          <w:szCs w:val="32"/>
        </w:rPr>
        <w:t xml:space="preserve">4.5.3  </w:t>
      </w:r>
      <w:r>
        <w:rPr>
          <w:rFonts w:hint="eastAsia" w:ascii="宋体" w:hAnsi="宋体"/>
          <w:sz w:val="24"/>
          <w:szCs w:val="32"/>
        </w:rPr>
        <w:t>承包人为履行合同发出的一切函件均应盖有承包人授权的施工场地管理机构章，并由承包人项目经理或其授权代表签字。</w:t>
      </w:r>
    </w:p>
    <w:p w14:paraId="0E1746E8">
      <w:pPr>
        <w:wordWrap w:val="0"/>
        <w:spacing w:line="360" w:lineRule="auto"/>
        <w:ind w:firstLine="480" w:firstLineChars="200"/>
        <w:rPr>
          <w:rFonts w:ascii="宋体"/>
          <w:sz w:val="24"/>
          <w:szCs w:val="32"/>
        </w:rPr>
      </w:pPr>
      <w:r>
        <w:rPr>
          <w:rFonts w:ascii="宋体" w:hAnsi="宋体"/>
          <w:sz w:val="24"/>
          <w:szCs w:val="32"/>
        </w:rPr>
        <w:t xml:space="preserve">4.5.4  </w:t>
      </w:r>
      <w:r>
        <w:rPr>
          <w:rFonts w:hint="eastAsia" w:ascii="宋体" w:hAnsi="宋体"/>
          <w:sz w:val="24"/>
          <w:szCs w:val="32"/>
        </w:rPr>
        <w:t>承包人项目经理可以授权其下属人员履行其某项职责，但事先应将这些人员的姓名和授权范围通知监理人。</w:t>
      </w:r>
    </w:p>
    <w:p w14:paraId="2E07ECBA">
      <w:pPr>
        <w:wordWrap w:val="0"/>
        <w:spacing w:before="120" w:beforeLines="50" w:after="120" w:afterLines="50" w:line="360" w:lineRule="auto"/>
        <w:outlineLvl w:val="2"/>
        <w:rPr>
          <w:rFonts w:ascii="宋体"/>
          <w:kern w:val="0"/>
          <w:sz w:val="24"/>
          <w:szCs w:val="20"/>
        </w:rPr>
      </w:pPr>
      <w:bookmarkStart w:id="1139" w:name="_Toc152045645"/>
      <w:bookmarkStart w:id="1140" w:name="_Toc486580082"/>
      <w:bookmarkStart w:id="1141" w:name="_Toc152042423"/>
      <w:bookmarkStart w:id="1142" w:name="_Toc480486936"/>
      <w:bookmarkStart w:id="1143" w:name="_Toc179632663"/>
      <w:bookmarkStart w:id="1144" w:name="_Toc338944738"/>
      <w:bookmarkStart w:id="1145" w:name="_Toc490222527"/>
      <w:bookmarkStart w:id="1146" w:name="_Toc489279893"/>
      <w:bookmarkStart w:id="1147" w:name="_Toc483668111"/>
      <w:bookmarkStart w:id="1148" w:name="_Toc207289613"/>
      <w:bookmarkStart w:id="1149" w:name="_Toc480486764"/>
      <w:bookmarkStart w:id="1150" w:name="_Toc144974613"/>
      <w:bookmarkStart w:id="1151" w:name="_Toc342296296"/>
      <w:r>
        <w:rPr>
          <w:rFonts w:ascii="宋体"/>
          <w:kern w:val="0"/>
          <w:sz w:val="24"/>
          <w:szCs w:val="20"/>
        </w:rPr>
        <w:t xml:space="preserve">4.6  </w:t>
      </w:r>
      <w:r>
        <w:rPr>
          <w:rFonts w:hint="eastAsia" w:ascii="宋体"/>
          <w:kern w:val="0"/>
          <w:sz w:val="24"/>
          <w:szCs w:val="20"/>
        </w:rPr>
        <w:t>承包人人员的管理</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14:paraId="01116920">
      <w:pPr>
        <w:wordWrap w:val="0"/>
        <w:spacing w:line="360" w:lineRule="auto"/>
        <w:ind w:firstLine="480" w:firstLineChars="200"/>
        <w:rPr>
          <w:rFonts w:ascii="宋体"/>
          <w:sz w:val="24"/>
          <w:szCs w:val="32"/>
        </w:rPr>
      </w:pPr>
      <w:r>
        <w:rPr>
          <w:rFonts w:ascii="宋体" w:hAnsi="宋体"/>
          <w:sz w:val="24"/>
          <w:szCs w:val="32"/>
        </w:rPr>
        <w:t xml:space="preserve">4.6.1  </w:t>
      </w:r>
      <w:r>
        <w:rPr>
          <w:rFonts w:hint="eastAsia" w:ascii="宋体" w:hAnsi="宋体"/>
          <w:sz w:val="24"/>
          <w:szCs w:val="32"/>
        </w:rPr>
        <w:t>承包人应在接到开工通知后</w:t>
      </w:r>
      <w:r>
        <w:rPr>
          <w:rFonts w:ascii="宋体" w:hAnsi="宋体"/>
          <w:sz w:val="24"/>
          <w:szCs w:val="32"/>
        </w:rPr>
        <w:t>28</w:t>
      </w:r>
      <w:r>
        <w:rPr>
          <w:rFonts w:hint="eastAsia" w:ascii="宋体" w:hAnsi="宋体"/>
          <w:sz w:val="24"/>
          <w:szCs w:val="32"/>
        </w:rPr>
        <w:t>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13FAA407">
      <w:pPr>
        <w:wordWrap w:val="0"/>
        <w:spacing w:line="360" w:lineRule="auto"/>
        <w:ind w:firstLine="480" w:firstLineChars="200"/>
        <w:rPr>
          <w:rFonts w:ascii="宋体"/>
          <w:sz w:val="24"/>
          <w:szCs w:val="32"/>
        </w:rPr>
      </w:pPr>
      <w:r>
        <w:rPr>
          <w:rFonts w:ascii="宋体" w:hAnsi="宋体"/>
          <w:sz w:val="24"/>
          <w:szCs w:val="32"/>
        </w:rPr>
        <w:t xml:space="preserve">4.6.2  </w:t>
      </w:r>
      <w:r>
        <w:rPr>
          <w:rFonts w:hint="eastAsia" w:ascii="宋体" w:hAnsi="宋体"/>
          <w:sz w:val="24"/>
          <w:szCs w:val="32"/>
        </w:rPr>
        <w:t>为完成合同约定的各项工作，承包人应向施工场地派遣或雇佣足够数量的下列人员：</w:t>
      </w:r>
    </w:p>
    <w:p w14:paraId="11736B40">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）具有相应资格的专业技工和合格的普工；</w:t>
      </w:r>
    </w:p>
    <w:p w14:paraId="13E638E7">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）具有相应施工经验的技术人员；</w:t>
      </w:r>
    </w:p>
    <w:p w14:paraId="0221AC0F">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3</w:t>
      </w:r>
      <w:r>
        <w:rPr>
          <w:rFonts w:hint="eastAsia" w:ascii="宋体" w:hAnsi="宋体"/>
          <w:sz w:val="24"/>
          <w:szCs w:val="32"/>
        </w:rPr>
        <w:t>）具有相应岗位资格的各级管理人员</w:t>
      </w:r>
      <w:bookmarkStart w:id="1152" w:name="_Hlk114649430"/>
      <w:r>
        <w:rPr>
          <w:rFonts w:hint="eastAsia" w:ascii="宋体" w:hAnsi="宋体"/>
          <w:sz w:val="24"/>
          <w:szCs w:val="32"/>
        </w:rPr>
        <w:t>（包含符合工程项目规模和技术难度的涉及消防各专业齐全、具备相应能力的质量管理人员）。</w:t>
      </w:r>
      <w:bookmarkEnd w:id="1152"/>
    </w:p>
    <w:p w14:paraId="60D264C5">
      <w:pPr>
        <w:wordWrap w:val="0"/>
        <w:spacing w:line="360" w:lineRule="auto"/>
        <w:ind w:firstLine="480" w:firstLineChars="200"/>
        <w:rPr>
          <w:rFonts w:ascii="宋体"/>
          <w:sz w:val="24"/>
          <w:szCs w:val="32"/>
        </w:rPr>
      </w:pPr>
      <w:r>
        <w:rPr>
          <w:rFonts w:ascii="宋体" w:hAnsi="宋体"/>
          <w:sz w:val="24"/>
          <w:szCs w:val="32"/>
        </w:rPr>
        <w:t xml:space="preserve">4.6.3  </w:t>
      </w:r>
      <w:r>
        <w:rPr>
          <w:rFonts w:hint="eastAsia" w:ascii="宋体" w:hAnsi="宋体"/>
          <w:sz w:val="24"/>
          <w:szCs w:val="32"/>
        </w:rPr>
        <w:t>承包人安排在施工场地的主要管理人员和技术骨干应相对稳定。承包人更换主要管理人员和技术骨干时，应取得监理人的同意。</w:t>
      </w:r>
    </w:p>
    <w:p w14:paraId="0270CD4D">
      <w:pPr>
        <w:wordWrap w:val="0"/>
        <w:spacing w:line="360" w:lineRule="auto"/>
        <w:ind w:firstLine="480" w:firstLineChars="200"/>
        <w:rPr>
          <w:rFonts w:ascii="宋体"/>
        </w:rPr>
      </w:pPr>
      <w:r>
        <w:rPr>
          <w:rFonts w:ascii="宋体" w:hAnsi="宋体"/>
          <w:sz w:val="24"/>
          <w:szCs w:val="32"/>
        </w:rPr>
        <w:t xml:space="preserve">4.6.4  </w:t>
      </w:r>
      <w:r>
        <w:rPr>
          <w:rFonts w:hint="eastAsia" w:ascii="宋体" w:hAnsi="宋体"/>
          <w:sz w:val="24"/>
          <w:szCs w:val="32"/>
        </w:rPr>
        <w:t>特殊岗位的工作人员均应持有相应的资格证明，监理人有权随时检查。监理人认为有必要时，可进行现场考核</w:t>
      </w:r>
      <w:r>
        <w:rPr>
          <w:rFonts w:hint="eastAsia" w:ascii="宋体" w:hAnsi="宋体"/>
        </w:rPr>
        <w:t>。</w:t>
      </w:r>
    </w:p>
    <w:p w14:paraId="3C80A8BD">
      <w:pPr>
        <w:wordWrap w:val="0"/>
        <w:spacing w:before="120" w:beforeLines="50" w:after="120" w:afterLines="50" w:line="360" w:lineRule="auto"/>
        <w:outlineLvl w:val="2"/>
        <w:rPr>
          <w:rFonts w:ascii="宋体"/>
          <w:kern w:val="0"/>
          <w:sz w:val="24"/>
          <w:szCs w:val="20"/>
        </w:rPr>
      </w:pPr>
      <w:bookmarkStart w:id="1153" w:name="_Toc486580083"/>
      <w:bookmarkStart w:id="1154" w:name="_Toc490222528"/>
      <w:bookmarkStart w:id="1155" w:name="_Toc152045646"/>
      <w:bookmarkStart w:id="1156" w:name="_Toc483668112"/>
      <w:bookmarkStart w:id="1157" w:name="_Toc207289614"/>
      <w:bookmarkStart w:id="1158" w:name="_Toc338944739"/>
      <w:bookmarkStart w:id="1159" w:name="_Toc480486765"/>
      <w:bookmarkStart w:id="1160" w:name="_Toc152042424"/>
      <w:bookmarkStart w:id="1161" w:name="_Toc144974614"/>
      <w:bookmarkStart w:id="1162" w:name="_Toc179632664"/>
      <w:bookmarkStart w:id="1163" w:name="_Toc489279894"/>
      <w:bookmarkStart w:id="1164" w:name="_Toc480486937"/>
      <w:bookmarkStart w:id="1165" w:name="_Toc342296297"/>
      <w:r>
        <w:rPr>
          <w:rFonts w:ascii="宋体"/>
          <w:kern w:val="0"/>
          <w:sz w:val="24"/>
          <w:szCs w:val="20"/>
        </w:rPr>
        <w:t xml:space="preserve">4.7  </w:t>
      </w:r>
      <w:r>
        <w:rPr>
          <w:rFonts w:hint="eastAsia" w:ascii="宋体"/>
          <w:kern w:val="0"/>
          <w:sz w:val="24"/>
          <w:szCs w:val="20"/>
        </w:rPr>
        <w:t>撤换承包人项目经理和其他人员</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14:paraId="2ED6231F">
      <w:pPr>
        <w:wordWrap w:val="0"/>
        <w:spacing w:line="360" w:lineRule="auto"/>
        <w:ind w:firstLine="480" w:firstLineChars="200"/>
        <w:rPr>
          <w:rFonts w:ascii="宋体"/>
          <w:sz w:val="24"/>
          <w:szCs w:val="32"/>
        </w:rPr>
      </w:pPr>
      <w:r>
        <w:rPr>
          <w:rFonts w:hint="eastAsia" w:ascii="宋体" w:hAnsi="宋体"/>
          <w:sz w:val="24"/>
          <w:szCs w:val="32"/>
        </w:rPr>
        <w:t>承包人应对其项目经理和其他人员进行有效管理。监理人要求撤换不能胜任本职工作、行为不端或玩忽职守的承包人项目经理和其他人员的，承包人应予以撤换。</w:t>
      </w:r>
    </w:p>
    <w:p w14:paraId="680E192D">
      <w:pPr>
        <w:wordWrap w:val="0"/>
        <w:spacing w:before="120" w:beforeLines="50" w:after="120" w:afterLines="50" w:line="360" w:lineRule="auto"/>
        <w:outlineLvl w:val="2"/>
        <w:rPr>
          <w:rFonts w:ascii="宋体"/>
          <w:kern w:val="0"/>
          <w:sz w:val="24"/>
          <w:szCs w:val="20"/>
        </w:rPr>
      </w:pPr>
      <w:bookmarkStart w:id="1166" w:name="_Toc144974615"/>
      <w:bookmarkStart w:id="1167" w:name="_Toc152042425"/>
      <w:bookmarkStart w:id="1168" w:name="_Toc179632665"/>
      <w:bookmarkStart w:id="1169" w:name="_Toc207289615"/>
      <w:bookmarkStart w:id="1170" w:name="_Toc480486938"/>
      <w:bookmarkStart w:id="1171" w:name="_Toc483668113"/>
      <w:bookmarkStart w:id="1172" w:name="_Toc489279895"/>
      <w:bookmarkStart w:id="1173" w:name="_Toc486580084"/>
      <w:bookmarkStart w:id="1174" w:name="_Toc152045647"/>
      <w:bookmarkStart w:id="1175" w:name="_Toc338944740"/>
      <w:bookmarkStart w:id="1176" w:name="_Toc490222529"/>
      <w:bookmarkStart w:id="1177" w:name="_Toc342296298"/>
      <w:bookmarkStart w:id="1178" w:name="_Toc480486766"/>
      <w:r>
        <w:rPr>
          <w:rFonts w:ascii="宋体"/>
          <w:kern w:val="0"/>
          <w:sz w:val="24"/>
          <w:szCs w:val="20"/>
        </w:rPr>
        <w:t xml:space="preserve">4.8  </w:t>
      </w:r>
      <w:r>
        <w:rPr>
          <w:rFonts w:hint="eastAsia" w:ascii="宋体"/>
          <w:kern w:val="0"/>
          <w:sz w:val="24"/>
          <w:szCs w:val="20"/>
        </w:rPr>
        <w:t>保障承包人人员的合法权益</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14:paraId="7FE8C709">
      <w:pPr>
        <w:wordWrap w:val="0"/>
        <w:spacing w:line="360" w:lineRule="auto"/>
        <w:ind w:firstLine="480" w:firstLineChars="200"/>
        <w:rPr>
          <w:rFonts w:ascii="宋体"/>
          <w:sz w:val="24"/>
          <w:szCs w:val="32"/>
        </w:rPr>
      </w:pPr>
      <w:r>
        <w:rPr>
          <w:rFonts w:ascii="宋体" w:hAnsi="宋体"/>
          <w:sz w:val="24"/>
          <w:szCs w:val="32"/>
        </w:rPr>
        <w:t xml:space="preserve">4.8.1  </w:t>
      </w:r>
      <w:r>
        <w:rPr>
          <w:rFonts w:hint="eastAsia" w:ascii="宋体" w:hAnsi="宋体"/>
          <w:sz w:val="24"/>
          <w:szCs w:val="32"/>
        </w:rPr>
        <w:t>承包人应与其雇佣的人员签订劳动合同，并按时发放工资。</w:t>
      </w:r>
    </w:p>
    <w:p w14:paraId="20288F7F">
      <w:pPr>
        <w:tabs>
          <w:tab w:val="left" w:pos="426"/>
        </w:tabs>
        <w:wordWrap w:val="0"/>
        <w:spacing w:line="360" w:lineRule="auto"/>
        <w:ind w:firstLine="480" w:firstLineChars="200"/>
        <w:rPr>
          <w:rFonts w:ascii="宋体"/>
          <w:sz w:val="24"/>
          <w:szCs w:val="32"/>
        </w:rPr>
      </w:pPr>
      <w:r>
        <w:rPr>
          <w:rFonts w:ascii="宋体" w:hAnsi="宋体"/>
          <w:sz w:val="24"/>
          <w:szCs w:val="32"/>
        </w:rPr>
        <w:t xml:space="preserve">4.8.2  </w:t>
      </w:r>
      <w:r>
        <w:rPr>
          <w:rFonts w:hint="eastAsia" w:ascii="宋体" w:hAnsi="宋体"/>
          <w:sz w:val="24"/>
          <w:szCs w:val="32"/>
        </w:rPr>
        <w:t>承包人应按劳动法的规定安排工作时间，保证其雇佣人员享有休息和休假的权利。因工程施工的特殊需要占用休假日或延长工作时间的，应不超过法律规定的限度，并按法律规定给予补休或付酬。</w:t>
      </w:r>
    </w:p>
    <w:p w14:paraId="4F15ABEA">
      <w:pPr>
        <w:wordWrap w:val="0"/>
        <w:spacing w:line="360" w:lineRule="auto"/>
        <w:ind w:firstLine="480" w:firstLineChars="200"/>
        <w:rPr>
          <w:rFonts w:ascii="宋体"/>
          <w:sz w:val="24"/>
          <w:szCs w:val="32"/>
        </w:rPr>
      </w:pPr>
      <w:r>
        <w:rPr>
          <w:rFonts w:ascii="宋体" w:hAnsi="宋体"/>
          <w:sz w:val="24"/>
          <w:szCs w:val="32"/>
        </w:rPr>
        <w:t xml:space="preserve">4.8.3  </w:t>
      </w:r>
      <w:r>
        <w:rPr>
          <w:rFonts w:hint="eastAsia" w:ascii="宋体" w:hAnsi="宋体"/>
          <w:sz w:val="24"/>
          <w:szCs w:val="32"/>
        </w:rPr>
        <w:t>承包人应为其雇佣人员提供必要的食宿条件，以及符合环境保护和卫生要求的生活环境，在远离城镇的施工场地，还应配备必要的伤病防治和急救的医务人员与医疗设施。</w:t>
      </w:r>
    </w:p>
    <w:p w14:paraId="0D71135E">
      <w:pPr>
        <w:wordWrap w:val="0"/>
        <w:spacing w:line="360" w:lineRule="auto"/>
        <w:ind w:firstLine="480" w:firstLineChars="200"/>
        <w:rPr>
          <w:rFonts w:ascii="宋体"/>
          <w:sz w:val="24"/>
          <w:szCs w:val="32"/>
        </w:rPr>
      </w:pPr>
      <w:r>
        <w:rPr>
          <w:rFonts w:ascii="宋体" w:hAnsi="宋体"/>
          <w:sz w:val="24"/>
          <w:szCs w:val="32"/>
        </w:rPr>
        <w:t xml:space="preserve">4.8.4  </w:t>
      </w:r>
      <w:r>
        <w:rPr>
          <w:rFonts w:hint="eastAsia" w:ascii="宋体" w:hAnsi="宋体"/>
          <w:sz w:val="24"/>
          <w:szCs w:val="32"/>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4600AB14">
      <w:pPr>
        <w:wordWrap w:val="0"/>
        <w:spacing w:line="360" w:lineRule="auto"/>
        <w:ind w:firstLine="480" w:firstLineChars="200"/>
        <w:rPr>
          <w:rFonts w:ascii="宋体"/>
          <w:sz w:val="24"/>
          <w:szCs w:val="32"/>
        </w:rPr>
      </w:pPr>
      <w:r>
        <w:rPr>
          <w:rFonts w:ascii="宋体" w:hAnsi="宋体"/>
          <w:sz w:val="24"/>
          <w:szCs w:val="32"/>
        </w:rPr>
        <w:t xml:space="preserve">4.8.5  </w:t>
      </w:r>
      <w:r>
        <w:rPr>
          <w:rFonts w:hint="eastAsia" w:ascii="宋体" w:hAnsi="宋体"/>
          <w:sz w:val="24"/>
          <w:szCs w:val="32"/>
        </w:rPr>
        <w:t>承包人应按有关法律规定和合同约定，为其雇佣人员办理保险。</w:t>
      </w:r>
    </w:p>
    <w:p w14:paraId="22B0055E">
      <w:pPr>
        <w:wordWrap w:val="0"/>
        <w:spacing w:line="360" w:lineRule="auto"/>
        <w:ind w:firstLine="480" w:firstLineChars="200"/>
        <w:rPr>
          <w:rFonts w:ascii="宋体"/>
          <w:sz w:val="24"/>
          <w:szCs w:val="32"/>
        </w:rPr>
      </w:pPr>
      <w:r>
        <w:rPr>
          <w:rFonts w:ascii="宋体" w:hAnsi="宋体"/>
          <w:sz w:val="24"/>
          <w:szCs w:val="32"/>
        </w:rPr>
        <w:t xml:space="preserve">4.8.6  </w:t>
      </w:r>
      <w:r>
        <w:rPr>
          <w:rFonts w:hint="eastAsia" w:ascii="宋体" w:hAnsi="宋体"/>
          <w:sz w:val="24"/>
          <w:szCs w:val="32"/>
        </w:rPr>
        <w:t>承包人应负责处理其雇佣人员因工伤亡事故的善后事宜。</w:t>
      </w:r>
    </w:p>
    <w:p w14:paraId="55CABE97">
      <w:pPr>
        <w:wordWrap w:val="0"/>
        <w:spacing w:before="120" w:beforeLines="50" w:after="120" w:afterLines="50" w:line="360" w:lineRule="auto"/>
        <w:outlineLvl w:val="2"/>
        <w:rPr>
          <w:rFonts w:ascii="宋体"/>
          <w:kern w:val="0"/>
          <w:sz w:val="24"/>
          <w:szCs w:val="20"/>
        </w:rPr>
      </w:pPr>
      <w:bookmarkStart w:id="1179" w:name="_Toc490222530"/>
      <w:bookmarkStart w:id="1180" w:name="_Toc152045648"/>
      <w:bookmarkStart w:id="1181" w:name="_Toc480486939"/>
      <w:bookmarkStart w:id="1182" w:name="_Toc179632666"/>
      <w:bookmarkStart w:id="1183" w:name="_Toc480486767"/>
      <w:bookmarkStart w:id="1184" w:name="_Toc486580085"/>
      <w:bookmarkStart w:id="1185" w:name="_Toc144974616"/>
      <w:bookmarkStart w:id="1186" w:name="_Toc338944741"/>
      <w:bookmarkStart w:id="1187" w:name="_Toc483668114"/>
      <w:bookmarkStart w:id="1188" w:name="_Toc152042426"/>
      <w:bookmarkStart w:id="1189" w:name="_Toc207289616"/>
      <w:bookmarkStart w:id="1190" w:name="_Toc342296299"/>
      <w:bookmarkStart w:id="1191" w:name="_Toc489279896"/>
      <w:r>
        <w:rPr>
          <w:rFonts w:ascii="宋体"/>
          <w:kern w:val="0"/>
          <w:sz w:val="24"/>
          <w:szCs w:val="20"/>
        </w:rPr>
        <w:t xml:space="preserve">4.9  </w:t>
      </w:r>
      <w:r>
        <w:rPr>
          <w:rFonts w:hint="eastAsia" w:ascii="宋体"/>
          <w:kern w:val="0"/>
          <w:sz w:val="24"/>
          <w:szCs w:val="20"/>
        </w:rPr>
        <w:t>工程价款应专款专用</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14:paraId="5DFE7FB8">
      <w:pPr>
        <w:wordWrap w:val="0"/>
        <w:spacing w:line="360" w:lineRule="auto"/>
        <w:ind w:firstLine="480" w:firstLineChars="200"/>
        <w:rPr>
          <w:rFonts w:ascii="宋体"/>
          <w:sz w:val="24"/>
          <w:szCs w:val="32"/>
        </w:rPr>
      </w:pPr>
      <w:r>
        <w:rPr>
          <w:rFonts w:hint="eastAsia" w:ascii="宋体" w:hAnsi="宋体"/>
          <w:sz w:val="24"/>
          <w:szCs w:val="32"/>
        </w:rPr>
        <w:t>发包人按合同约定支付给承包人的各项价款应专用于合同工程。</w:t>
      </w:r>
    </w:p>
    <w:p w14:paraId="0776A005">
      <w:pPr>
        <w:wordWrap w:val="0"/>
        <w:spacing w:before="120" w:beforeLines="50" w:after="120" w:afterLines="50" w:line="360" w:lineRule="auto"/>
        <w:outlineLvl w:val="2"/>
        <w:rPr>
          <w:rFonts w:ascii="宋体"/>
          <w:kern w:val="0"/>
          <w:sz w:val="24"/>
          <w:szCs w:val="20"/>
        </w:rPr>
      </w:pPr>
      <w:bookmarkStart w:id="1192" w:name="_Toc152045649"/>
      <w:bookmarkStart w:id="1193" w:name="_Toc338944742"/>
      <w:bookmarkStart w:id="1194" w:name="_Toc144974617"/>
      <w:bookmarkStart w:id="1195" w:name="_Toc483668115"/>
      <w:bookmarkStart w:id="1196" w:name="_Toc207289617"/>
      <w:bookmarkStart w:id="1197" w:name="_Toc152042427"/>
      <w:bookmarkStart w:id="1198" w:name="_Toc489279897"/>
      <w:bookmarkStart w:id="1199" w:name="_Toc480486768"/>
      <w:bookmarkStart w:id="1200" w:name="_Toc480486940"/>
      <w:bookmarkStart w:id="1201" w:name="_Toc179632667"/>
      <w:bookmarkStart w:id="1202" w:name="_Toc486580086"/>
      <w:bookmarkStart w:id="1203" w:name="_Toc490222531"/>
      <w:bookmarkStart w:id="1204" w:name="_Toc342296300"/>
      <w:r>
        <w:rPr>
          <w:rFonts w:ascii="宋体"/>
          <w:kern w:val="0"/>
          <w:sz w:val="24"/>
          <w:szCs w:val="20"/>
        </w:rPr>
        <w:t xml:space="preserve">4.10  </w:t>
      </w:r>
      <w:r>
        <w:rPr>
          <w:rFonts w:hint="eastAsia" w:ascii="宋体"/>
          <w:kern w:val="0"/>
          <w:sz w:val="24"/>
          <w:szCs w:val="20"/>
        </w:rPr>
        <w:t>承包人现场查勘</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14:paraId="6CE5A20D">
      <w:pPr>
        <w:wordWrap w:val="0"/>
        <w:spacing w:line="360" w:lineRule="auto"/>
        <w:ind w:firstLine="480" w:firstLineChars="200"/>
        <w:rPr>
          <w:rFonts w:ascii="宋体"/>
          <w:sz w:val="24"/>
          <w:szCs w:val="32"/>
        </w:rPr>
      </w:pPr>
      <w:r>
        <w:rPr>
          <w:rFonts w:ascii="宋体" w:hAnsi="宋体"/>
          <w:sz w:val="24"/>
          <w:szCs w:val="32"/>
        </w:rPr>
        <w:t xml:space="preserve">4.10.1  </w:t>
      </w:r>
      <w:r>
        <w:rPr>
          <w:rFonts w:hint="eastAsia" w:ascii="宋体" w:hAnsi="宋体"/>
          <w:sz w:val="24"/>
          <w:szCs w:val="32"/>
        </w:rPr>
        <w:t>发包人应将其持有的现场地质勘探资料、水文气象资料提供给承包人，并对其准确性负责。但承包人应对其阅读上述有关资料后所作出的解释和推断负责。</w:t>
      </w:r>
    </w:p>
    <w:p w14:paraId="4086BC71">
      <w:pPr>
        <w:wordWrap w:val="0"/>
        <w:spacing w:line="360" w:lineRule="auto"/>
        <w:ind w:firstLine="480" w:firstLineChars="200"/>
        <w:rPr>
          <w:rFonts w:ascii="宋体"/>
          <w:sz w:val="24"/>
          <w:szCs w:val="32"/>
        </w:rPr>
      </w:pPr>
      <w:r>
        <w:rPr>
          <w:rFonts w:ascii="宋体" w:hAnsi="宋体"/>
          <w:sz w:val="24"/>
          <w:szCs w:val="32"/>
        </w:rPr>
        <w:t xml:space="preserve">4.10.2  </w:t>
      </w:r>
      <w:r>
        <w:rPr>
          <w:rFonts w:hint="eastAsia" w:ascii="宋体" w:hAnsi="宋体"/>
          <w:sz w:val="24"/>
          <w:szCs w:val="32"/>
        </w:rPr>
        <w:t>承包人应对施工场地和周围环境进行查勘，并收集有关地质、水文、气象条件、交通条件、风俗习惯以及其他为完成合同工作有关的当地资料。在全部合同工作中，应视为承包人已充分估计了应承担的责任和风险。</w:t>
      </w:r>
    </w:p>
    <w:p w14:paraId="0BF80E4D">
      <w:pPr>
        <w:wordWrap w:val="0"/>
        <w:spacing w:before="120" w:beforeLines="50" w:after="120" w:afterLines="50" w:line="360" w:lineRule="auto"/>
        <w:outlineLvl w:val="2"/>
        <w:rPr>
          <w:rFonts w:ascii="宋体"/>
          <w:kern w:val="0"/>
          <w:sz w:val="24"/>
          <w:szCs w:val="20"/>
        </w:rPr>
      </w:pPr>
      <w:bookmarkStart w:id="1205" w:name="_Toc490222532"/>
      <w:bookmarkStart w:id="1206" w:name="_Toc486580087"/>
      <w:bookmarkStart w:id="1207" w:name="_Toc489279898"/>
      <w:bookmarkStart w:id="1208" w:name="_Toc342296301"/>
      <w:bookmarkStart w:id="1209" w:name="_Toc480486769"/>
      <w:bookmarkStart w:id="1210" w:name="_Toc480486941"/>
      <w:bookmarkStart w:id="1211" w:name="_Toc207289618"/>
      <w:bookmarkStart w:id="1212" w:name="_Toc483668116"/>
      <w:bookmarkStart w:id="1213" w:name="_Toc338944743"/>
      <w:r>
        <w:rPr>
          <w:rFonts w:ascii="宋体"/>
          <w:kern w:val="0"/>
          <w:sz w:val="24"/>
          <w:szCs w:val="20"/>
        </w:rPr>
        <w:t xml:space="preserve">4.11  </w:t>
      </w:r>
      <w:r>
        <w:rPr>
          <w:rFonts w:hint="eastAsia" w:ascii="宋体"/>
          <w:kern w:val="0"/>
          <w:sz w:val="24"/>
          <w:szCs w:val="20"/>
        </w:rPr>
        <w:t>不利物质条件</w:t>
      </w:r>
      <w:bookmarkEnd w:id="1205"/>
      <w:bookmarkEnd w:id="1206"/>
      <w:bookmarkEnd w:id="1207"/>
      <w:bookmarkEnd w:id="1208"/>
      <w:bookmarkEnd w:id="1209"/>
      <w:bookmarkEnd w:id="1210"/>
      <w:bookmarkEnd w:id="1211"/>
      <w:bookmarkEnd w:id="1212"/>
      <w:bookmarkEnd w:id="1213"/>
    </w:p>
    <w:p w14:paraId="46494BE1">
      <w:pPr>
        <w:wordWrap w:val="0"/>
        <w:spacing w:line="360" w:lineRule="auto"/>
        <w:ind w:firstLine="480" w:firstLineChars="200"/>
        <w:rPr>
          <w:rFonts w:ascii="宋体"/>
          <w:sz w:val="24"/>
        </w:rPr>
      </w:pPr>
      <w:r>
        <w:rPr>
          <w:rFonts w:ascii="宋体" w:hAnsi="宋体"/>
          <w:sz w:val="24"/>
          <w:szCs w:val="32"/>
        </w:rPr>
        <w:t xml:space="preserve">4.11.1  </w:t>
      </w:r>
      <w:r>
        <w:rPr>
          <w:rFonts w:hint="eastAsia" w:ascii="宋体" w:hAnsi="宋体"/>
          <w:sz w:val="24"/>
          <w:szCs w:val="32"/>
        </w:rPr>
        <w:t>不利物质条件一般是指承包人在施工场地遇到的不可预见的自然物质条件、非自然的物质障碍和污染物，包括地下和水文条件，但不包括气候条件。不利物质条件的具体范围</w:t>
      </w:r>
      <w:r>
        <w:rPr>
          <w:rFonts w:hint="eastAsia" w:ascii="黑体" w:hAnsi="黑体" w:eastAsia="黑体"/>
          <w:sz w:val="24"/>
          <w:szCs w:val="32"/>
        </w:rPr>
        <w:t>见合同条款专用部分。</w:t>
      </w:r>
    </w:p>
    <w:p w14:paraId="04F0E184">
      <w:pPr>
        <w:wordWrap w:val="0"/>
        <w:spacing w:line="360" w:lineRule="auto"/>
        <w:ind w:firstLine="480" w:firstLineChars="200"/>
        <w:rPr>
          <w:rFonts w:ascii="宋体"/>
          <w:sz w:val="24"/>
          <w:szCs w:val="32"/>
        </w:rPr>
      </w:pPr>
      <w:r>
        <w:rPr>
          <w:rFonts w:ascii="宋体" w:hAnsi="宋体"/>
          <w:sz w:val="24"/>
          <w:szCs w:val="32"/>
        </w:rPr>
        <w:t xml:space="preserve">4.11.2  </w:t>
      </w:r>
      <w:r>
        <w:rPr>
          <w:rFonts w:hint="eastAsia" w:ascii="宋体" w:hAnsi="宋体"/>
          <w:sz w:val="24"/>
          <w:szCs w:val="32"/>
        </w:rPr>
        <w:t>承包人遇到不利物质条件时，应采取适应不利物质条件的合理措施继续施工，并及时通知监理人。监理人应当及时发出指示，指示构成变更的，按第</w:t>
      </w:r>
      <w:r>
        <w:rPr>
          <w:rFonts w:ascii="宋体" w:hAnsi="宋体"/>
          <w:sz w:val="24"/>
          <w:szCs w:val="32"/>
        </w:rPr>
        <w:t>15</w:t>
      </w:r>
      <w:r>
        <w:rPr>
          <w:rFonts w:hint="eastAsia" w:ascii="宋体" w:hAnsi="宋体"/>
          <w:sz w:val="24"/>
          <w:szCs w:val="32"/>
        </w:rPr>
        <w:t>条约定办理。监理人没有发出指示的，承包人因采取合理措施增加的费用和（或）工期延误，由发包人承担。</w:t>
      </w:r>
    </w:p>
    <w:p w14:paraId="28083236">
      <w:pPr>
        <w:tabs>
          <w:tab w:val="left" w:pos="576"/>
        </w:tabs>
        <w:wordWrap w:val="0"/>
        <w:spacing w:before="120" w:beforeLines="50" w:after="120" w:afterLines="50" w:line="360" w:lineRule="auto"/>
        <w:outlineLvl w:val="1"/>
        <w:rPr>
          <w:rFonts w:ascii="宋体" w:cs="宋体"/>
          <w:sz w:val="28"/>
          <w:szCs w:val="20"/>
        </w:rPr>
      </w:pPr>
      <w:bookmarkStart w:id="1214" w:name="_Toc486580088"/>
      <w:bookmarkStart w:id="1215" w:name="_Toc338944744"/>
      <w:bookmarkStart w:id="1216" w:name="_Toc342296302"/>
      <w:bookmarkStart w:id="1217" w:name="_Toc490222533"/>
      <w:bookmarkStart w:id="1218" w:name="_Toc480486770"/>
      <w:bookmarkStart w:id="1219" w:name="_Toc480486942"/>
      <w:bookmarkStart w:id="1220" w:name="_Toc483668117"/>
      <w:bookmarkStart w:id="1221" w:name="_Toc489279899"/>
      <w:bookmarkStart w:id="1222" w:name="_Toc207289619"/>
      <w:r>
        <w:rPr>
          <w:rFonts w:ascii="宋体" w:cs="宋体"/>
          <w:sz w:val="28"/>
          <w:szCs w:val="20"/>
        </w:rPr>
        <w:t>5.</w:t>
      </w:r>
      <w:bookmarkEnd w:id="1214"/>
      <w:bookmarkEnd w:id="1215"/>
      <w:bookmarkEnd w:id="1216"/>
      <w:bookmarkEnd w:id="1217"/>
      <w:bookmarkEnd w:id="1218"/>
      <w:bookmarkEnd w:id="1219"/>
      <w:bookmarkEnd w:id="1220"/>
      <w:bookmarkEnd w:id="1221"/>
      <w:r>
        <w:rPr>
          <w:rFonts w:hint="eastAsia" w:ascii="宋体" w:cs="宋体"/>
          <w:sz w:val="28"/>
          <w:szCs w:val="20"/>
        </w:rPr>
        <w:t>材料</w:t>
      </w:r>
      <w:bookmarkEnd w:id="1222"/>
    </w:p>
    <w:p w14:paraId="5D7B105E">
      <w:pPr>
        <w:wordWrap w:val="0"/>
        <w:spacing w:before="120" w:beforeLines="50" w:after="120" w:afterLines="50" w:line="360" w:lineRule="auto"/>
        <w:outlineLvl w:val="2"/>
        <w:rPr>
          <w:rFonts w:ascii="宋体"/>
          <w:kern w:val="0"/>
          <w:sz w:val="24"/>
          <w:szCs w:val="20"/>
        </w:rPr>
      </w:pPr>
      <w:bookmarkStart w:id="1223" w:name="_Toc489279900"/>
      <w:bookmarkStart w:id="1224" w:name="_Toc486580089"/>
      <w:bookmarkStart w:id="1225" w:name="_Toc480486771"/>
      <w:bookmarkStart w:id="1226" w:name="_Toc342296303"/>
      <w:bookmarkStart w:id="1227" w:name="_Toc490222534"/>
      <w:bookmarkStart w:id="1228" w:name="_Toc338944745"/>
      <w:bookmarkStart w:id="1229" w:name="_Toc483668118"/>
      <w:bookmarkStart w:id="1230" w:name="_Toc480486943"/>
      <w:bookmarkStart w:id="1231" w:name="_Toc207289620"/>
      <w:r>
        <w:rPr>
          <w:rFonts w:ascii="宋体"/>
          <w:kern w:val="0"/>
          <w:sz w:val="24"/>
          <w:szCs w:val="20"/>
        </w:rPr>
        <w:t xml:space="preserve">5.1  </w:t>
      </w:r>
      <w:r>
        <w:rPr>
          <w:rFonts w:hint="eastAsia" w:ascii="宋体"/>
          <w:kern w:val="0"/>
          <w:sz w:val="24"/>
          <w:szCs w:val="20"/>
        </w:rPr>
        <w:t>承包人提供的</w:t>
      </w:r>
      <w:bookmarkEnd w:id="1223"/>
      <w:bookmarkEnd w:id="1224"/>
      <w:bookmarkEnd w:id="1225"/>
      <w:bookmarkEnd w:id="1226"/>
      <w:bookmarkEnd w:id="1227"/>
      <w:bookmarkEnd w:id="1228"/>
      <w:bookmarkEnd w:id="1229"/>
      <w:bookmarkEnd w:id="1230"/>
      <w:r>
        <w:rPr>
          <w:rFonts w:hint="eastAsia" w:ascii="宋体"/>
          <w:kern w:val="0"/>
          <w:sz w:val="24"/>
          <w:szCs w:val="20"/>
        </w:rPr>
        <w:t>材料</w:t>
      </w:r>
      <w:bookmarkEnd w:id="1231"/>
    </w:p>
    <w:p w14:paraId="552FBC51">
      <w:pPr>
        <w:wordWrap w:val="0"/>
        <w:spacing w:line="360" w:lineRule="auto"/>
        <w:ind w:firstLine="480" w:firstLineChars="200"/>
        <w:rPr>
          <w:rFonts w:ascii="黑体" w:hAnsi="黑体" w:eastAsia="黑体"/>
          <w:sz w:val="24"/>
          <w:szCs w:val="32"/>
        </w:rPr>
      </w:pPr>
      <w:r>
        <w:rPr>
          <w:rFonts w:ascii="宋体" w:hAnsi="宋体"/>
          <w:sz w:val="24"/>
          <w:szCs w:val="32"/>
        </w:rPr>
        <w:t xml:space="preserve">5.1.1  </w:t>
      </w:r>
      <w:r>
        <w:rPr>
          <w:rFonts w:hint="eastAsia" w:ascii="宋体" w:hAnsi="宋体"/>
          <w:sz w:val="24"/>
        </w:rPr>
        <w:t>除第</w:t>
      </w:r>
      <w:r>
        <w:rPr>
          <w:rFonts w:ascii="宋体" w:hAnsi="宋体"/>
          <w:sz w:val="24"/>
        </w:rPr>
        <w:t>5.2</w:t>
      </w:r>
      <w:r>
        <w:rPr>
          <w:rFonts w:hint="eastAsia" w:ascii="宋体" w:hAnsi="宋体"/>
          <w:sz w:val="24"/>
        </w:rPr>
        <w:t>款约定由发包人提供的材料外，由承包人提供的材料均由承包人负责采购、运输和保管。但是，发包人在工程量清单中给定暂估价的材料，包括从暂列金额开支的材料，其中属于依法必须招标的范围并</w:t>
      </w:r>
      <w:r>
        <w:rPr>
          <w:rFonts w:hint="eastAsia" w:ascii="宋体" w:hAnsi="宋体" w:cs="Arial"/>
          <w:sz w:val="24"/>
          <w:szCs w:val="32"/>
        </w:rPr>
        <w:t>达到规定的规模标准的，以及虽不属于依法必须招标的范围但合同中约定采用招标方式采购的，应当按第</w:t>
      </w:r>
      <w:r>
        <w:rPr>
          <w:rFonts w:ascii="宋体" w:hAnsi="宋体" w:cs="Arial"/>
          <w:sz w:val="24"/>
          <w:szCs w:val="32"/>
        </w:rPr>
        <w:t>15.8.1</w:t>
      </w:r>
      <w:r>
        <w:rPr>
          <w:rFonts w:hint="eastAsia" w:ascii="宋体" w:hAnsi="宋体" w:cs="Arial"/>
          <w:sz w:val="24"/>
          <w:szCs w:val="32"/>
        </w:rPr>
        <w:t>项的约定，</w:t>
      </w:r>
      <w:r>
        <w:rPr>
          <w:rFonts w:hint="eastAsia" w:ascii="宋体" w:hAnsi="宋体"/>
          <w:sz w:val="24"/>
        </w:rPr>
        <w:t>由发包人和承包人以招标方式确定专项供应商。承包人负责提供的主要材料清单</w:t>
      </w:r>
      <w:r>
        <w:rPr>
          <w:rFonts w:hint="eastAsia" w:ascii="黑体" w:hAnsi="黑体" w:eastAsia="黑体"/>
          <w:sz w:val="24"/>
        </w:rPr>
        <w:t>见合同条款专用部分“附件三：承包人提供的材料一览表”。</w:t>
      </w:r>
    </w:p>
    <w:p w14:paraId="235844EC">
      <w:pPr>
        <w:wordWrap w:val="0"/>
        <w:spacing w:line="360" w:lineRule="auto"/>
        <w:ind w:firstLine="480" w:firstLineChars="200"/>
        <w:rPr>
          <w:rFonts w:ascii="黑体" w:hAnsi="黑体" w:eastAsia="黑体"/>
          <w:sz w:val="24"/>
          <w:szCs w:val="32"/>
        </w:rPr>
      </w:pPr>
      <w:r>
        <w:rPr>
          <w:rFonts w:ascii="宋体" w:hAnsi="宋体"/>
          <w:sz w:val="24"/>
          <w:szCs w:val="32"/>
        </w:rPr>
        <w:t xml:space="preserve">5.1.2  </w:t>
      </w:r>
      <w:r>
        <w:rPr>
          <w:rFonts w:hint="eastAsia" w:ascii="宋体" w:hAnsi="宋体"/>
          <w:sz w:val="24"/>
          <w:szCs w:val="32"/>
        </w:rPr>
        <w:t>承包人应在合同约定的期限内，将各项材料的供货人和品种、规格、数量及供货时间等报送监理人审批。承包人应向监理人提交其负责提供的材料的质量证明文件，并满足合同约定的质量标准。承包人将其提供的各项材料的供货人和品种、规格、数量及供货时间等报送监理人审批的期限</w:t>
      </w:r>
      <w:r>
        <w:rPr>
          <w:rFonts w:hint="eastAsia" w:ascii="黑体" w:hAnsi="黑体" w:eastAsia="黑体"/>
          <w:sz w:val="24"/>
          <w:szCs w:val="32"/>
        </w:rPr>
        <w:t>见合同条款专用部分。</w:t>
      </w:r>
    </w:p>
    <w:p w14:paraId="0C58CEE1">
      <w:pPr>
        <w:wordWrap w:val="0"/>
        <w:spacing w:line="360" w:lineRule="auto"/>
        <w:ind w:firstLine="480" w:firstLineChars="200"/>
        <w:rPr>
          <w:rFonts w:ascii="宋体"/>
          <w:sz w:val="24"/>
          <w:szCs w:val="32"/>
        </w:rPr>
      </w:pPr>
      <w:r>
        <w:rPr>
          <w:rFonts w:ascii="宋体" w:hAnsi="宋体"/>
          <w:sz w:val="24"/>
          <w:szCs w:val="32"/>
        </w:rPr>
        <w:t xml:space="preserve">5.1.3  </w:t>
      </w:r>
      <w:r>
        <w:rPr>
          <w:rFonts w:hint="eastAsia" w:ascii="宋体" w:hAnsi="宋体"/>
          <w:sz w:val="24"/>
          <w:szCs w:val="32"/>
        </w:rPr>
        <w:t>对承包人提供的材料，承包人应会同监理人进行检验和交货验收，查验材料合格证明和产品合格证书，并按照合同约定和监理人指示，进行材料的抽样检验和工程设备的检验测试，检验和测试结果应提交监理人。</w:t>
      </w:r>
      <w:bookmarkStart w:id="1232" w:name="_Hlk199426602"/>
      <w:r>
        <w:rPr>
          <w:rFonts w:hint="eastAsia" w:ascii="宋体" w:hAnsi="宋体"/>
          <w:sz w:val="24"/>
          <w:szCs w:val="32"/>
        </w:rPr>
        <w:t>除合同另有约定外，</w:t>
      </w:r>
      <w:bookmarkEnd w:id="1232"/>
      <w:r>
        <w:rPr>
          <w:rFonts w:hint="eastAsia" w:ascii="宋体" w:hAnsi="宋体"/>
          <w:sz w:val="24"/>
          <w:szCs w:val="32"/>
        </w:rPr>
        <w:t>所需费用由承包人承担。</w:t>
      </w:r>
    </w:p>
    <w:p w14:paraId="4605499B">
      <w:pPr>
        <w:wordWrap w:val="0"/>
        <w:spacing w:before="120" w:beforeLines="50" w:after="120" w:afterLines="50" w:line="360" w:lineRule="auto"/>
        <w:outlineLvl w:val="2"/>
        <w:rPr>
          <w:rFonts w:ascii="宋体"/>
          <w:kern w:val="0"/>
          <w:sz w:val="24"/>
          <w:szCs w:val="20"/>
        </w:rPr>
      </w:pPr>
      <w:bookmarkStart w:id="1233" w:name="_Toc489279901"/>
      <w:bookmarkStart w:id="1234" w:name="_Toc486580090"/>
      <w:bookmarkStart w:id="1235" w:name="_Toc480486772"/>
      <w:bookmarkStart w:id="1236" w:name="_Toc342296304"/>
      <w:bookmarkStart w:id="1237" w:name="_Toc490222535"/>
      <w:bookmarkStart w:id="1238" w:name="_Toc480486944"/>
      <w:bookmarkStart w:id="1239" w:name="_Toc338944746"/>
      <w:bookmarkStart w:id="1240" w:name="_Toc483668119"/>
      <w:bookmarkStart w:id="1241" w:name="_Toc207289621"/>
      <w:r>
        <w:rPr>
          <w:rFonts w:ascii="宋体"/>
          <w:kern w:val="0"/>
          <w:sz w:val="24"/>
          <w:szCs w:val="20"/>
        </w:rPr>
        <w:t xml:space="preserve">5.2  </w:t>
      </w:r>
      <w:r>
        <w:rPr>
          <w:rFonts w:hint="eastAsia" w:ascii="宋体"/>
          <w:kern w:val="0"/>
          <w:sz w:val="24"/>
          <w:szCs w:val="20"/>
        </w:rPr>
        <w:t>发包人提供的</w:t>
      </w:r>
      <w:bookmarkEnd w:id="1233"/>
      <w:bookmarkEnd w:id="1234"/>
      <w:bookmarkEnd w:id="1235"/>
      <w:bookmarkEnd w:id="1236"/>
      <w:bookmarkEnd w:id="1237"/>
      <w:bookmarkEnd w:id="1238"/>
      <w:bookmarkEnd w:id="1239"/>
      <w:bookmarkEnd w:id="1240"/>
      <w:r>
        <w:rPr>
          <w:rFonts w:hint="eastAsia" w:ascii="宋体"/>
          <w:kern w:val="0"/>
          <w:sz w:val="24"/>
          <w:szCs w:val="20"/>
        </w:rPr>
        <w:t>材料</w:t>
      </w:r>
      <w:bookmarkEnd w:id="1241"/>
    </w:p>
    <w:p w14:paraId="53E59E2B">
      <w:pPr>
        <w:wordWrap w:val="0"/>
        <w:spacing w:line="360" w:lineRule="auto"/>
        <w:ind w:firstLine="480" w:firstLineChars="200"/>
        <w:rPr>
          <w:rFonts w:ascii="宋体"/>
          <w:sz w:val="24"/>
          <w:szCs w:val="32"/>
        </w:rPr>
      </w:pPr>
      <w:r>
        <w:rPr>
          <w:rFonts w:ascii="宋体" w:hAnsi="宋体"/>
          <w:sz w:val="24"/>
          <w:szCs w:val="32"/>
        </w:rPr>
        <w:t xml:space="preserve">5.2.1  </w:t>
      </w:r>
      <w:r>
        <w:rPr>
          <w:rFonts w:hint="eastAsia" w:ascii="宋体" w:hAnsi="宋体"/>
          <w:sz w:val="24"/>
        </w:rPr>
        <w:t>发包人负责提供的材料名称、规格、数量、价格、</w:t>
      </w:r>
      <w:bookmarkStart w:id="1242" w:name="_Hlk199426713"/>
      <w:r>
        <w:rPr>
          <w:rFonts w:hint="eastAsia" w:ascii="宋体" w:hAnsi="宋体"/>
          <w:sz w:val="24"/>
        </w:rPr>
        <w:t>有效损耗率、</w:t>
      </w:r>
      <w:bookmarkEnd w:id="1242"/>
      <w:r>
        <w:rPr>
          <w:rFonts w:hint="eastAsia" w:ascii="宋体" w:hAnsi="宋体"/>
          <w:sz w:val="24"/>
        </w:rPr>
        <w:t>交货方式、交货地点和计划交货日期等</w:t>
      </w:r>
      <w:r>
        <w:rPr>
          <w:rFonts w:hint="eastAsia" w:ascii="黑体" w:hAnsi="黑体" w:eastAsia="黑体"/>
          <w:sz w:val="24"/>
        </w:rPr>
        <w:t>见合同条款专用部分“附件四：发包人提供的材料一览表”。</w:t>
      </w:r>
    </w:p>
    <w:p w14:paraId="2AF1AFD0">
      <w:pPr>
        <w:wordWrap w:val="0"/>
        <w:spacing w:line="360" w:lineRule="auto"/>
        <w:ind w:firstLine="480" w:firstLineChars="200"/>
        <w:rPr>
          <w:rFonts w:ascii="宋体"/>
          <w:sz w:val="24"/>
          <w:szCs w:val="32"/>
        </w:rPr>
      </w:pPr>
      <w:r>
        <w:rPr>
          <w:rFonts w:ascii="宋体" w:hAnsi="宋体"/>
          <w:sz w:val="24"/>
          <w:szCs w:val="32"/>
        </w:rPr>
        <w:t xml:space="preserve">5.2.2  </w:t>
      </w:r>
      <w:r>
        <w:rPr>
          <w:rFonts w:hint="eastAsia" w:ascii="宋体" w:hAnsi="宋体"/>
          <w:sz w:val="24"/>
          <w:szCs w:val="32"/>
        </w:rPr>
        <w:t>承包人应根据合同进度计划的安排，向监理人报送要求发包人交货的日期计划。发包人应按照监理人与合同双方当事人商定的交货日期，向承包人提交材料。</w:t>
      </w:r>
    </w:p>
    <w:p w14:paraId="14F29063">
      <w:pPr>
        <w:wordWrap w:val="0"/>
        <w:spacing w:line="360" w:lineRule="auto"/>
        <w:ind w:firstLine="480" w:firstLineChars="200"/>
        <w:rPr>
          <w:rFonts w:ascii="宋体"/>
          <w:sz w:val="24"/>
          <w:szCs w:val="32"/>
        </w:rPr>
      </w:pPr>
      <w:r>
        <w:rPr>
          <w:rFonts w:ascii="宋体" w:hAnsi="宋体"/>
          <w:sz w:val="24"/>
          <w:szCs w:val="32"/>
        </w:rPr>
        <w:t xml:space="preserve">5.2.3  </w:t>
      </w:r>
      <w:r>
        <w:rPr>
          <w:rFonts w:hint="eastAsia" w:ascii="宋体" w:hAnsi="宋体"/>
          <w:sz w:val="24"/>
          <w:szCs w:val="32"/>
        </w:rPr>
        <w:t>发包人应在材料到货</w:t>
      </w:r>
      <w:r>
        <w:rPr>
          <w:rFonts w:ascii="宋体" w:hAnsi="宋体"/>
          <w:sz w:val="24"/>
          <w:szCs w:val="32"/>
        </w:rPr>
        <w:t>7</w:t>
      </w:r>
      <w:r>
        <w:rPr>
          <w:rFonts w:hint="eastAsia" w:ascii="宋体" w:hAnsi="宋体"/>
          <w:sz w:val="24"/>
          <w:szCs w:val="32"/>
        </w:rPr>
        <w:t>天前通知承包人，承包人应会同监理人在约定的时间内，赴交货地点共同进行验收。</w:t>
      </w:r>
      <w:r>
        <w:rPr>
          <w:rFonts w:hint="eastAsia" w:ascii="宋体" w:hAnsi="宋体"/>
          <w:sz w:val="24"/>
        </w:rPr>
        <w:t>由发包人提供的材料验收后，由承包人负责接收、运输和保管。</w:t>
      </w:r>
    </w:p>
    <w:p w14:paraId="3899E6EE">
      <w:pPr>
        <w:wordWrap w:val="0"/>
        <w:spacing w:line="360" w:lineRule="auto"/>
        <w:ind w:firstLine="480" w:firstLineChars="200"/>
        <w:rPr>
          <w:rFonts w:ascii="宋体"/>
          <w:sz w:val="24"/>
          <w:szCs w:val="32"/>
        </w:rPr>
      </w:pPr>
      <w:r>
        <w:rPr>
          <w:rFonts w:ascii="宋体" w:hAnsi="宋体"/>
          <w:sz w:val="24"/>
          <w:szCs w:val="32"/>
        </w:rPr>
        <w:t xml:space="preserve">5.2.4  </w:t>
      </w:r>
      <w:r>
        <w:rPr>
          <w:rFonts w:hint="eastAsia" w:ascii="宋体" w:hAnsi="宋体"/>
          <w:sz w:val="24"/>
          <w:szCs w:val="32"/>
        </w:rPr>
        <w:t>发包人要求向承包人提前交货的，承包人不得拒绝，但发包人应承担承包人由此增加的费用。</w:t>
      </w:r>
      <w:r>
        <w:rPr>
          <w:rFonts w:ascii="宋体" w:hAnsi="宋体"/>
          <w:sz w:val="24"/>
          <w:szCs w:val="32"/>
        </w:rPr>
        <w:t xml:space="preserve"> </w:t>
      </w:r>
    </w:p>
    <w:p w14:paraId="033CFE73">
      <w:pPr>
        <w:wordWrap w:val="0"/>
        <w:spacing w:line="360" w:lineRule="auto"/>
        <w:ind w:firstLine="480" w:firstLineChars="200"/>
        <w:rPr>
          <w:rFonts w:ascii="宋体"/>
          <w:sz w:val="24"/>
          <w:szCs w:val="32"/>
        </w:rPr>
      </w:pPr>
      <w:r>
        <w:rPr>
          <w:rFonts w:ascii="宋体" w:hAnsi="宋体"/>
          <w:sz w:val="24"/>
          <w:szCs w:val="32"/>
        </w:rPr>
        <w:t xml:space="preserve">5.2.5  </w:t>
      </w:r>
      <w:r>
        <w:rPr>
          <w:rFonts w:hint="eastAsia" w:ascii="宋体" w:hAnsi="宋体"/>
          <w:sz w:val="24"/>
          <w:szCs w:val="32"/>
        </w:rPr>
        <w:t>承包人要求更改交货日期或地点的，应事先报请监理人批准。由于承包人要求更改交货时间或地点所增加的费用和（或）工期延误由承包人承担。</w:t>
      </w:r>
      <w:r>
        <w:rPr>
          <w:rFonts w:ascii="宋体" w:hAnsi="宋体"/>
          <w:sz w:val="24"/>
          <w:szCs w:val="32"/>
        </w:rPr>
        <w:t xml:space="preserve"> </w:t>
      </w:r>
    </w:p>
    <w:p w14:paraId="55FA27EA">
      <w:pPr>
        <w:wordWrap w:val="0"/>
        <w:spacing w:line="360" w:lineRule="auto"/>
        <w:ind w:firstLine="480" w:firstLineChars="200"/>
        <w:rPr>
          <w:rFonts w:ascii="宋体" w:hAnsi="宋体"/>
          <w:sz w:val="24"/>
          <w:szCs w:val="32"/>
        </w:rPr>
      </w:pPr>
      <w:bookmarkStart w:id="1243" w:name="OLE_LINK41"/>
      <w:bookmarkStart w:id="1244" w:name="OLE_LINK43"/>
      <w:r>
        <w:rPr>
          <w:rFonts w:ascii="宋体" w:hAnsi="宋体"/>
          <w:sz w:val="24"/>
          <w:szCs w:val="32"/>
        </w:rPr>
        <w:t xml:space="preserve">5.2.6  </w:t>
      </w:r>
      <w:r>
        <w:rPr>
          <w:rFonts w:hint="eastAsia" w:ascii="宋体" w:hAnsi="宋体"/>
          <w:sz w:val="24"/>
          <w:szCs w:val="32"/>
        </w:rPr>
        <w:t>发</w:t>
      </w:r>
      <w:bookmarkEnd w:id="1243"/>
      <w:r>
        <w:rPr>
          <w:rFonts w:hint="eastAsia" w:ascii="宋体" w:hAnsi="宋体"/>
          <w:sz w:val="24"/>
          <w:szCs w:val="32"/>
        </w:rPr>
        <w:t>包人提供的材料的规格、数量或质量不符合合同要求，或由于发包人原因发生交货日期延误及交货地点变更等情况的，发包人应承担由此增加的费用和（或）工期延误，并向承包人支付合理利润。</w:t>
      </w:r>
    </w:p>
    <w:bookmarkEnd w:id="1244"/>
    <w:p w14:paraId="78DA274E">
      <w:pPr>
        <w:wordWrap w:val="0"/>
        <w:spacing w:line="360" w:lineRule="auto"/>
        <w:ind w:firstLine="480" w:firstLineChars="200"/>
        <w:rPr>
          <w:rFonts w:ascii="宋体" w:hAnsi="宋体"/>
          <w:sz w:val="24"/>
          <w:szCs w:val="32"/>
        </w:rPr>
      </w:pPr>
      <w:bookmarkStart w:id="1245" w:name="_Hlk198224325"/>
      <w:bookmarkStart w:id="1246" w:name="OLE_LINK60"/>
      <w:r>
        <w:rPr>
          <w:rFonts w:ascii="宋体" w:hAnsi="宋体"/>
          <w:sz w:val="24"/>
          <w:szCs w:val="32"/>
        </w:rPr>
        <w:t>5.2.</w:t>
      </w:r>
      <w:r>
        <w:rPr>
          <w:rFonts w:hint="eastAsia" w:ascii="宋体" w:hAnsi="宋体"/>
          <w:sz w:val="24"/>
          <w:szCs w:val="32"/>
        </w:rPr>
        <w:t>7</w:t>
      </w:r>
      <w:r>
        <w:rPr>
          <w:rFonts w:ascii="宋体" w:hAnsi="宋体"/>
          <w:sz w:val="24"/>
          <w:szCs w:val="32"/>
        </w:rPr>
        <w:t xml:space="preserve">  </w:t>
      </w:r>
      <w:bookmarkStart w:id="1247" w:name="_Hlk200378469"/>
      <w:r>
        <w:rPr>
          <w:rFonts w:hint="eastAsia" w:ascii="宋体" w:hAnsi="宋体"/>
          <w:sz w:val="24"/>
          <w:szCs w:val="32"/>
        </w:rPr>
        <w:t>因承包人原因引起发包人提供的材料的实际领用数量超过合同条款专用部分约定的数量时，</w:t>
      </w:r>
      <w:bookmarkStart w:id="1248" w:name="_Hlk198224689"/>
      <w:r>
        <w:rPr>
          <w:rFonts w:hint="eastAsia" w:ascii="宋体" w:hAnsi="宋体"/>
          <w:sz w:val="24"/>
          <w:szCs w:val="32"/>
        </w:rPr>
        <w:t>超出部分的材料费用由承包人承担</w:t>
      </w:r>
      <w:bookmarkEnd w:id="1245"/>
      <w:r>
        <w:rPr>
          <w:rFonts w:hint="eastAsia" w:ascii="宋体" w:hAnsi="宋体"/>
          <w:sz w:val="24"/>
          <w:szCs w:val="32"/>
        </w:rPr>
        <w:t>。</w:t>
      </w:r>
      <w:bookmarkEnd w:id="1248"/>
      <w:r>
        <w:rPr>
          <w:rFonts w:hint="eastAsia" w:ascii="宋体" w:hAnsi="宋体"/>
          <w:sz w:val="24"/>
          <w:szCs w:val="32"/>
        </w:rPr>
        <w:t>发包人可按相应供货合同的单价计算确定超领数量的材料费用，并从承包人完成合同工程的施工过程结算或竣工结算的价款中扣除。因发包人实际提供材料的规格型号与招标文件中规定的规格型号不同而引起材料实际损耗率超出有效损耗率的，超出部分应由发包人承担。</w:t>
      </w:r>
    </w:p>
    <w:bookmarkEnd w:id="1246"/>
    <w:bookmarkEnd w:id="1247"/>
    <w:p w14:paraId="6422D05F">
      <w:pPr>
        <w:wordWrap w:val="0"/>
        <w:spacing w:before="120" w:beforeLines="50" w:after="120" w:afterLines="50" w:line="360" w:lineRule="auto"/>
        <w:outlineLvl w:val="2"/>
        <w:rPr>
          <w:rFonts w:ascii="宋体"/>
          <w:kern w:val="0"/>
          <w:sz w:val="24"/>
          <w:szCs w:val="20"/>
        </w:rPr>
      </w:pPr>
      <w:bookmarkStart w:id="1249" w:name="_Toc179632672"/>
      <w:bookmarkStart w:id="1250" w:name="_Toc152042432"/>
      <w:bookmarkStart w:id="1251" w:name="_Toc144974622"/>
      <w:bookmarkStart w:id="1252" w:name="_Toc486580091"/>
      <w:bookmarkStart w:id="1253" w:name="_Toc480486945"/>
      <w:bookmarkStart w:id="1254" w:name="_Toc483668120"/>
      <w:bookmarkStart w:id="1255" w:name="_Toc490222536"/>
      <w:bookmarkStart w:id="1256" w:name="_Toc489279902"/>
      <w:bookmarkStart w:id="1257" w:name="_Toc152045654"/>
      <w:bookmarkStart w:id="1258" w:name="_Toc480486773"/>
      <w:bookmarkStart w:id="1259" w:name="_Toc338944747"/>
      <w:bookmarkStart w:id="1260" w:name="_Toc342296305"/>
      <w:bookmarkStart w:id="1261" w:name="_Toc207289622"/>
      <w:r>
        <w:rPr>
          <w:rFonts w:ascii="宋体"/>
          <w:kern w:val="0"/>
          <w:sz w:val="24"/>
          <w:szCs w:val="20"/>
        </w:rPr>
        <w:t xml:space="preserve">5.3  </w:t>
      </w:r>
      <w:r>
        <w:rPr>
          <w:rFonts w:hint="eastAsia" w:ascii="宋体"/>
          <w:kern w:val="0"/>
          <w:sz w:val="24"/>
          <w:szCs w:val="20"/>
        </w:rPr>
        <w:t>材料专用于合同工程</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14:paraId="26A0C23A">
      <w:pPr>
        <w:wordWrap w:val="0"/>
        <w:spacing w:line="360" w:lineRule="auto"/>
        <w:ind w:firstLine="480" w:firstLineChars="200"/>
        <w:rPr>
          <w:rFonts w:ascii="宋体"/>
          <w:sz w:val="24"/>
          <w:szCs w:val="32"/>
        </w:rPr>
      </w:pPr>
      <w:r>
        <w:rPr>
          <w:rFonts w:ascii="宋体" w:hAnsi="宋体"/>
          <w:sz w:val="24"/>
          <w:szCs w:val="32"/>
        </w:rPr>
        <w:t xml:space="preserve">5.3.1  </w:t>
      </w:r>
      <w:r>
        <w:rPr>
          <w:rFonts w:hint="eastAsia" w:ascii="宋体" w:hAnsi="宋体"/>
          <w:sz w:val="24"/>
          <w:szCs w:val="32"/>
        </w:rPr>
        <w:t>运入施工场地的材料，包括备品备件、安装专用工器具与随机资料，必须专用于合同工程，未经监理人同意，承包人不得运出施工场地或挪作他用。</w:t>
      </w:r>
    </w:p>
    <w:p w14:paraId="0047EC43">
      <w:pPr>
        <w:wordWrap w:val="0"/>
        <w:spacing w:line="360" w:lineRule="auto"/>
        <w:ind w:firstLine="480" w:firstLineChars="200"/>
        <w:rPr>
          <w:rFonts w:ascii="宋体"/>
          <w:sz w:val="24"/>
          <w:szCs w:val="32"/>
        </w:rPr>
      </w:pPr>
      <w:r>
        <w:rPr>
          <w:rFonts w:ascii="宋体" w:hAnsi="宋体"/>
          <w:sz w:val="24"/>
          <w:szCs w:val="32"/>
        </w:rPr>
        <w:t xml:space="preserve">5.3.2  </w:t>
      </w:r>
      <w:r>
        <w:rPr>
          <w:rFonts w:hint="eastAsia" w:ascii="宋体" w:hAnsi="宋体"/>
          <w:sz w:val="24"/>
          <w:szCs w:val="32"/>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623F7ADD">
      <w:pPr>
        <w:wordWrap w:val="0"/>
        <w:spacing w:before="120" w:beforeLines="50" w:after="120" w:afterLines="50" w:line="360" w:lineRule="auto"/>
        <w:outlineLvl w:val="2"/>
        <w:rPr>
          <w:rFonts w:ascii="宋体"/>
          <w:kern w:val="0"/>
          <w:sz w:val="24"/>
          <w:szCs w:val="20"/>
        </w:rPr>
      </w:pPr>
      <w:bookmarkStart w:id="1262" w:name="_Toc338944748"/>
      <w:bookmarkStart w:id="1263" w:name="_Toc490222537"/>
      <w:bookmarkStart w:id="1264" w:name="_Toc179632673"/>
      <w:bookmarkStart w:id="1265" w:name="_Toc152045655"/>
      <w:bookmarkStart w:id="1266" w:name="_Toc480486946"/>
      <w:bookmarkStart w:id="1267" w:name="_Toc144974623"/>
      <w:bookmarkStart w:id="1268" w:name="_Toc480486774"/>
      <w:bookmarkStart w:id="1269" w:name="_Toc342296306"/>
      <w:bookmarkStart w:id="1270" w:name="_Toc483668121"/>
      <w:bookmarkStart w:id="1271" w:name="_Toc486580092"/>
      <w:bookmarkStart w:id="1272" w:name="_Toc152042433"/>
      <w:bookmarkStart w:id="1273" w:name="_Toc489279903"/>
      <w:bookmarkStart w:id="1274" w:name="_Toc207289623"/>
      <w:r>
        <w:rPr>
          <w:rFonts w:ascii="宋体"/>
          <w:kern w:val="0"/>
          <w:sz w:val="24"/>
          <w:szCs w:val="20"/>
        </w:rPr>
        <w:t xml:space="preserve">5.4  </w:t>
      </w:r>
      <w:r>
        <w:rPr>
          <w:rFonts w:hint="eastAsia" w:ascii="宋体"/>
          <w:kern w:val="0"/>
          <w:sz w:val="24"/>
          <w:szCs w:val="20"/>
        </w:rPr>
        <w:t>禁止使用不合格的</w:t>
      </w:r>
      <w:bookmarkEnd w:id="1262"/>
      <w:bookmarkEnd w:id="1263"/>
      <w:bookmarkEnd w:id="1264"/>
      <w:bookmarkEnd w:id="1265"/>
      <w:bookmarkEnd w:id="1266"/>
      <w:bookmarkEnd w:id="1267"/>
      <w:bookmarkEnd w:id="1268"/>
      <w:bookmarkEnd w:id="1269"/>
      <w:bookmarkEnd w:id="1270"/>
      <w:bookmarkEnd w:id="1271"/>
      <w:bookmarkEnd w:id="1272"/>
      <w:bookmarkEnd w:id="1273"/>
      <w:r>
        <w:rPr>
          <w:rFonts w:hint="eastAsia" w:ascii="宋体"/>
          <w:kern w:val="0"/>
          <w:sz w:val="24"/>
          <w:szCs w:val="20"/>
        </w:rPr>
        <w:t>材料</w:t>
      </w:r>
      <w:bookmarkEnd w:id="1274"/>
    </w:p>
    <w:p w14:paraId="385956CA">
      <w:pPr>
        <w:wordWrap w:val="0"/>
        <w:spacing w:line="360" w:lineRule="auto"/>
        <w:ind w:firstLine="480" w:firstLineChars="200"/>
        <w:rPr>
          <w:rFonts w:ascii="宋体"/>
          <w:sz w:val="24"/>
          <w:szCs w:val="32"/>
        </w:rPr>
      </w:pPr>
      <w:r>
        <w:rPr>
          <w:rFonts w:ascii="宋体" w:hAnsi="宋体"/>
          <w:sz w:val="24"/>
          <w:szCs w:val="32"/>
        </w:rPr>
        <w:t xml:space="preserve">5.4.1  </w:t>
      </w:r>
      <w:r>
        <w:rPr>
          <w:rFonts w:hint="eastAsia" w:ascii="宋体" w:hAnsi="宋体"/>
          <w:sz w:val="24"/>
          <w:szCs w:val="32"/>
        </w:rPr>
        <w:t>监理人有权拒绝承包人提供的不合格材料，并要求承包人立即进行更换。监理人应在更换后再次进行检查和检验，由此增加的费用和（或）工期延误由承包人承担。</w:t>
      </w:r>
    </w:p>
    <w:p w14:paraId="566357D3">
      <w:pPr>
        <w:wordWrap w:val="0"/>
        <w:spacing w:line="360" w:lineRule="auto"/>
        <w:ind w:firstLine="480" w:firstLineChars="200"/>
        <w:rPr>
          <w:rFonts w:ascii="宋体"/>
          <w:sz w:val="24"/>
          <w:szCs w:val="32"/>
        </w:rPr>
      </w:pPr>
      <w:r>
        <w:rPr>
          <w:rFonts w:ascii="宋体" w:hAnsi="宋体"/>
          <w:sz w:val="24"/>
          <w:szCs w:val="32"/>
        </w:rPr>
        <w:t xml:space="preserve">5.4.2  </w:t>
      </w:r>
      <w:r>
        <w:rPr>
          <w:rFonts w:hint="eastAsia" w:ascii="宋体" w:hAnsi="宋体"/>
          <w:sz w:val="24"/>
          <w:szCs w:val="32"/>
        </w:rPr>
        <w:t>监理人发现承包人使用了不合格的材料，应即时发出指示要求承包人立即改正，并禁止在工程中继续使用不合格的材料。</w:t>
      </w:r>
    </w:p>
    <w:p w14:paraId="3C2D2EB1">
      <w:pPr>
        <w:wordWrap w:val="0"/>
        <w:spacing w:line="360" w:lineRule="auto"/>
        <w:ind w:firstLine="480" w:firstLineChars="200"/>
        <w:rPr>
          <w:rFonts w:ascii="宋体"/>
          <w:sz w:val="24"/>
          <w:szCs w:val="32"/>
        </w:rPr>
      </w:pPr>
      <w:r>
        <w:rPr>
          <w:rFonts w:ascii="宋体" w:hAnsi="宋体"/>
          <w:sz w:val="24"/>
          <w:szCs w:val="32"/>
        </w:rPr>
        <w:t xml:space="preserve">5.4.3  </w:t>
      </w:r>
      <w:r>
        <w:rPr>
          <w:rFonts w:hint="eastAsia" w:ascii="宋体" w:hAnsi="宋体"/>
          <w:sz w:val="24"/>
          <w:szCs w:val="32"/>
        </w:rPr>
        <w:t>发包人提供的材料不符合合同要求的，承包人有权拒绝，并可要求发包人更换，由此增加的费用和（或）工期延误由发包人承担。</w:t>
      </w:r>
    </w:p>
    <w:p w14:paraId="2C650B80">
      <w:pPr>
        <w:tabs>
          <w:tab w:val="left" w:pos="576"/>
        </w:tabs>
        <w:wordWrap w:val="0"/>
        <w:spacing w:before="120" w:beforeLines="50" w:after="120" w:afterLines="50" w:line="360" w:lineRule="auto"/>
        <w:outlineLvl w:val="1"/>
        <w:rPr>
          <w:rFonts w:ascii="宋体" w:cs="宋体"/>
          <w:sz w:val="28"/>
          <w:szCs w:val="20"/>
        </w:rPr>
      </w:pPr>
      <w:bookmarkStart w:id="1275" w:name="_Toc207289624"/>
      <w:bookmarkStart w:id="1276" w:name="_Toc342296307"/>
      <w:bookmarkStart w:id="1277" w:name="_Toc486580093"/>
      <w:bookmarkStart w:id="1278" w:name="_Toc489279904"/>
      <w:bookmarkStart w:id="1279" w:name="_Toc483668122"/>
      <w:bookmarkStart w:id="1280" w:name="_Toc338944749"/>
      <w:bookmarkStart w:id="1281" w:name="_Toc480486947"/>
      <w:bookmarkStart w:id="1282" w:name="_Toc480486775"/>
      <w:bookmarkStart w:id="1283" w:name="_Toc490222538"/>
      <w:r>
        <w:rPr>
          <w:rFonts w:ascii="宋体" w:cs="宋体"/>
          <w:sz w:val="28"/>
          <w:szCs w:val="20"/>
        </w:rPr>
        <w:t>6.</w:t>
      </w:r>
      <w:r>
        <w:rPr>
          <w:rFonts w:hint="eastAsia" w:ascii="宋体" w:cs="宋体"/>
          <w:sz w:val="28"/>
          <w:szCs w:val="20"/>
        </w:rPr>
        <w:t>施工设备和临时设施</w:t>
      </w:r>
      <w:bookmarkEnd w:id="1275"/>
      <w:bookmarkEnd w:id="1276"/>
      <w:bookmarkEnd w:id="1277"/>
      <w:bookmarkEnd w:id="1278"/>
      <w:bookmarkEnd w:id="1279"/>
      <w:bookmarkEnd w:id="1280"/>
      <w:bookmarkEnd w:id="1281"/>
      <w:bookmarkEnd w:id="1282"/>
      <w:bookmarkEnd w:id="1283"/>
    </w:p>
    <w:p w14:paraId="3B77071D">
      <w:pPr>
        <w:wordWrap w:val="0"/>
        <w:spacing w:before="120" w:beforeLines="50" w:after="120" w:afterLines="50" w:line="360" w:lineRule="auto"/>
        <w:outlineLvl w:val="2"/>
        <w:rPr>
          <w:rFonts w:ascii="宋体"/>
          <w:kern w:val="0"/>
          <w:sz w:val="24"/>
          <w:szCs w:val="20"/>
        </w:rPr>
      </w:pPr>
      <w:bookmarkStart w:id="1284" w:name="_Toc342296308"/>
      <w:bookmarkStart w:id="1285" w:name="_Toc480486948"/>
      <w:bookmarkStart w:id="1286" w:name="_Toc483668123"/>
      <w:bookmarkStart w:id="1287" w:name="_Toc490222539"/>
      <w:bookmarkStart w:id="1288" w:name="_Toc207289625"/>
      <w:bookmarkStart w:id="1289" w:name="_Toc338944750"/>
      <w:bookmarkStart w:id="1290" w:name="_Toc489279905"/>
      <w:bookmarkStart w:id="1291" w:name="_Toc480486776"/>
      <w:bookmarkStart w:id="1292" w:name="_Toc486580094"/>
      <w:r>
        <w:rPr>
          <w:rFonts w:ascii="宋体"/>
          <w:kern w:val="0"/>
          <w:sz w:val="24"/>
          <w:szCs w:val="20"/>
        </w:rPr>
        <w:t xml:space="preserve">6.1  </w:t>
      </w:r>
      <w:r>
        <w:rPr>
          <w:rFonts w:hint="eastAsia" w:ascii="宋体"/>
          <w:kern w:val="0"/>
          <w:sz w:val="24"/>
          <w:szCs w:val="20"/>
        </w:rPr>
        <w:t>承包人提供的施工设备和临时设施</w:t>
      </w:r>
      <w:bookmarkEnd w:id="1284"/>
      <w:bookmarkEnd w:id="1285"/>
      <w:bookmarkEnd w:id="1286"/>
      <w:bookmarkEnd w:id="1287"/>
      <w:bookmarkEnd w:id="1288"/>
      <w:bookmarkEnd w:id="1289"/>
      <w:bookmarkEnd w:id="1290"/>
      <w:bookmarkEnd w:id="1291"/>
      <w:bookmarkEnd w:id="1292"/>
    </w:p>
    <w:p w14:paraId="6058C6AA">
      <w:pPr>
        <w:wordWrap w:val="0"/>
        <w:spacing w:line="360" w:lineRule="auto"/>
        <w:ind w:firstLine="480" w:firstLineChars="200"/>
        <w:rPr>
          <w:rFonts w:ascii="宋体"/>
          <w:sz w:val="24"/>
          <w:szCs w:val="32"/>
        </w:rPr>
      </w:pPr>
      <w:r>
        <w:rPr>
          <w:rFonts w:ascii="宋体" w:hAnsi="宋体"/>
          <w:sz w:val="24"/>
          <w:szCs w:val="32"/>
        </w:rPr>
        <w:t xml:space="preserve">6.1.1  </w:t>
      </w:r>
      <w:r>
        <w:rPr>
          <w:rFonts w:hint="eastAsia" w:ascii="宋体" w:hAnsi="宋体"/>
          <w:sz w:val="24"/>
          <w:szCs w:val="32"/>
        </w:rPr>
        <w:t>承包人应按合同进度计划的要求，及时配置施工设备和修建临时设施。进入施工场地的承包人设备需经监理人核查后才能投入使用。承包人更换合同约定的承包人设备的，应报监理人批准。</w:t>
      </w:r>
    </w:p>
    <w:p w14:paraId="48CA4D83">
      <w:pPr>
        <w:wordWrap w:val="0"/>
        <w:spacing w:line="360" w:lineRule="auto"/>
        <w:ind w:firstLine="480" w:firstLineChars="200"/>
        <w:rPr>
          <w:rFonts w:ascii="宋体"/>
          <w:sz w:val="24"/>
          <w:szCs w:val="32"/>
        </w:rPr>
      </w:pPr>
      <w:r>
        <w:rPr>
          <w:rFonts w:ascii="宋体" w:hAnsi="宋体"/>
          <w:sz w:val="24"/>
          <w:szCs w:val="32"/>
        </w:rPr>
        <w:t xml:space="preserve">6.1.2  </w:t>
      </w:r>
      <w:r>
        <w:rPr>
          <w:rFonts w:hint="eastAsia" w:ascii="宋体" w:hAnsi="宋体"/>
          <w:sz w:val="24"/>
          <w:szCs w:val="32"/>
        </w:rPr>
        <w:t>除合同另有约定外，承包人应承担自行修建临时设施的费用。需要临时占地的，应由发包人办理申请手续并承担相应费用。承包人自行修建临时设施的范围以及所需临时占地</w:t>
      </w:r>
      <w:r>
        <w:rPr>
          <w:rFonts w:hint="eastAsia" w:ascii="黑体" w:hAnsi="黑体" w:eastAsia="黑体"/>
          <w:sz w:val="24"/>
          <w:szCs w:val="32"/>
        </w:rPr>
        <w:t>见合同条款专用部分。</w:t>
      </w:r>
    </w:p>
    <w:p w14:paraId="140C67B2">
      <w:pPr>
        <w:wordWrap w:val="0"/>
        <w:spacing w:before="120" w:beforeLines="50" w:after="120" w:afterLines="50" w:line="360" w:lineRule="auto"/>
        <w:outlineLvl w:val="2"/>
        <w:rPr>
          <w:rFonts w:ascii="宋体"/>
          <w:kern w:val="0"/>
          <w:sz w:val="24"/>
          <w:szCs w:val="20"/>
        </w:rPr>
      </w:pPr>
      <w:bookmarkStart w:id="1293" w:name="_Toc342296309"/>
      <w:bookmarkStart w:id="1294" w:name="_Toc480486949"/>
      <w:bookmarkStart w:id="1295" w:name="_Toc490222540"/>
      <w:bookmarkStart w:id="1296" w:name="_Toc338944751"/>
      <w:bookmarkStart w:id="1297" w:name="_Toc207289626"/>
      <w:bookmarkStart w:id="1298" w:name="_Toc483668124"/>
      <w:bookmarkStart w:id="1299" w:name="_Toc486580095"/>
      <w:bookmarkStart w:id="1300" w:name="_Toc480486777"/>
      <w:bookmarkStart w:id="1301" w:name="_Toc489279906"/>
      <w:r>
        <w:rPr>
          <w:rFonts w:ascii="宋体"/>
          <w:kern w:val="0"/>
          <w:sz w:val="24"/>
          <w:szCs w:val="20"/>
        </w:rPr>
        <w:t xml:space="preserve">6.2  </w:t>
      </w:r>
      <w:r>
        <w:rPr>
          <w:rFonts w:hint="eastAsia" w:ascii="宋体"/>
          <w:kern w:val="0"/>
          <w:sz w:val="24"/>
          <w:szCs w:val="20"/>
        </w:rPr>
        <w:t>发包人提供的施工设备和临时设施</w:t>
      </w:r>
      <w:bookmarkEnd w:id="1293"/>
      <w:bookmarkEnd w:id="1294"/>
      <w:bookmarkEnd w:id="1295"/>
      <w:bookmarkEnd w:id="1296"/>
      <w:bookmarkEnd w:id="1297"/>
      <w:bookmarkEnd w:id="1298"/>
      <w:bookmarkEnd w:id="1299"/>
      <w:bookmarkEnd w:id="1300"/>
      <w:bookmarkEnd w:id="1301"/>
    </w:p>
    <w:p w14:paraId="3AF2C79E">
      <w:pPr>
        <w:wordWrap w:val="0"/>
        <w:spacing w:line="360" w:lineRule="auto"/>
        <w:ind w:firstLine="480" w:firstLineChars="200"/>
        <w:rPr>
          <w:rFonts w:ascii="宋体"/>
          <w:sz w:val="24"/>
          <w:szCs w:val="32"/>
        </w:rPr>
      </w:pPr>
      <w:r>
        <w:rPr>
          <w:rFonts w:hint="eastAsia" w:ascii="宋体" w:hAnsi="宋体"/>
          <w:sz w:val="24"/>
          <w:szCs w:val="32"/>
        </w:rPr>
        <w:t>发包人提供的施工设备或临时设施，以及相关</w:t>
      </w:r>
      <w:r>
        <w:rPr>
          <w:rFonts w:hint="eastAsia" w:ascii="宋体" w:hAnsi="宋体"/>
          <w:sz w:val="24"/>
        </w:rPr>
        <w:t>运行、维护、拆除、清运费用的承担人</w:t>
      </w:r>
      <w:r>
        <w:rPr>
          <w:rFonts w:hint="eastAsia" w:ascii="黑体" w:hAnsi="黑体" w:eastAsia="黑体"/>
          <w:sz w:val="24"/>
        </w:rPr>
        <w:t>见</w:t>
      </w:r>
      <w:r>
        <w:rPr>
          <w:rFonts w:hint="eastAsia" w:ascii="黑体" w:hAnsi="黑体" w:eastAsia="黑体"/>
          <w:sz w:val="24"/>
          <w:szCs w:val="32"/>
        </w:rPr>
        <w:t>合同条款专用部分。</w:t>
      </w:r>
    </w:p>
    <w:p w14:paraId="0EE0DBD5">
      <w:pPr>
        <w:wordWrap w:val="0"/>
        <w:spacing w:before="120" w:beforeLines="50" w:after="120" w:afterLines="50" w:line="360" w:lineRule="auto"/>
        <w:outlineLvl w:val="2"/>
        <w:rPr>
          <w:rFonts w:ascii="宋体"/>
          <w:kern w:val="0"/>
          <w:sz w:val="24"/>
          <w:szCs w:val="20"/>
        </w:rPr>
      </w:pPr>
      <w:bookmarkStart w:id="1302" w:name="_Toc489279907"/>
      <w:bookmarkStart w:id="1303" w:name="_Toc480486950"/>
      <w:bookmarkStart w:id="1304" w:name="_Toc338944752"/>
      <w:bookmarkStart w:id="1305" w:name="_Toc342296310"/>
      <w:bookmarkStart w:id="1306" w:name="_Toc179632677"/>
      <w:bookmarkStart w:id="1307" w:name="_Toc152045659"/>
      <w:bookmarkStart w:id="1308" w:name="_Toc152042437"/>
      <w:bookmarkStart w:id="1309" w:name="_Toc207289627"/>
      <w:bookmarkStart w:id="1310" w:name="_Toc144974627"/>
      <w:bookmarkStart w:id="1311" w:name="_Toc486580096"/>
      <w:bookmarkStart w:id="1312" w:name="_Toc480486778"/>
      <w:bookmarkStart w:id="1313" w:name="_Toc490222541"/>
      <w:bookmarkStart w:id="1314" w:name="_Toc483668125"/>
      <w:r>
        <w:rPr>
          <w:rFonts w:ascii="宋体"/>
          <w:kern w:val="0"/>
          <w:sz w:val="24"/>
          <w:szCs w:val="20"/>
        </w:rPr>
        <w:t xml:space="preserve">6.3  </w:t>
      </w:r>
      <w:r>
        <w:rPr>
          <w:rFonts w:hint="eastAsia" w:ascii="宋体"/>
          <w:kern w:val="0"/>
          <w:sz w:val="24"/>
          <w:szCs w:val="20"/>
        </w:rPr>
        <w:t>要求承包人增加或更换施工设备</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14:paraId="635E2F47">
      <w:pPr>
        <w:wordWrap w:val="0"/>
        <w:spacing w:line="360" w:lineRule="auto"/>
        <w:ind w:firstLine="480" w:firstLineChars="200"/>
        <w:rPr>
          <w:rFonts w:ascii="宋体"/>
          <w:sz w:val="24"/>
          <w:szCs w:val="32"/>
        </w:rPr>
      </w:pPr>
      <w:r>
        <w:rPr>
          <w:rFonts w:hint="eastAsia" w:ascii="宋体" w:hAnsi="宋体"/>
          <w:sz w:val="24"/>
          <w:szCs w:val="32"/>
        </w:rPr>
        <w:t>承包人使用的施工设备不能满足合同进度计划和（或）质量要求时，监理人有权要求承包人增加或更换施工设备，承包人应及时增加或更换，由此增加的费用和（或）工期延误由承包人承担。</w:t>
      </w:r>
    </w:p>
    <w:p w14:paraId="2F4899C6">
      <w:pPr>
        <w:wordWrap w:val="0"/>
        <w:spacing w:before="120" w:beforeLines="50" w:after="120" w:afterLines="50" w:line="360" w:lineRule="auto"/>
        <w:outlineLvl w:val="2"/>
        <w:rPr>
          <w:rFonts w:ascii="宋体"/>
          <w:kern w:val="0"/>
          <w:sz w:val="24"/>
          <w:szCs w:val="20"/>
        </w:rPr>
      </w:pPr>
      <w:bookmarkStart w:id="1315" w:name="_Toc338944753"/>
      <w:bookmarkStart w:id="1316" w:name="_Toc207289628"/>
      <w:bookmarkStart w:id="1317" w:name="_Toc490222542"/>
      <w:bookmarkStart w:id="1318" w:name="_Toc486580097"/>
      <w:bookmarkStart w:id="1319" w:name="_Toc480486951"/>
      <w:bookmarkStart w:id="1320" w:name="_Toc342296311"/>
      <w:bookmarkStart w:id="1321" w:name="_Toc480486779"/>
      <w:bookmarkStart w:id="1322" w:name="_Toc489279908"/>
      <w:bookmarkStart w:id="1323" w:name="_Toc483668126"/>
      <w:r>
        <w:rPr>
          <w:rFonts w:ascii="宋体"/>
          <w:kern w:val="0"/>
          <w:sz w:val="24"/>
          <w:szCs w:val="20"/>
        </w:rPr>
        <w:t xml:space="preserve">6.4  </w:t>
      </w:r>
      <w:r>
        <w:rPr>
          <w:rFonts w:hint="eastAsia" w:ascii="宋体"/>
          <w:kern w:val="0"/>
          <w:sz w:val="24"/>
          <w:szCs w:val="20"/>
        </w:rPr>
        <w:t>施工设备和临时设施专用于合同工程</w:t>
      </w:r>
      <w:bookmarkEnd w:id="1315"/>
      <w:bookmarkEnd w:id="1316"/>
      <w:bookmarkEnd w:id="1317"/>
      <w:bookmarkEnd w:id="1318"/>
      <w:bookmarkEnd w:id="1319"/>
      <w:bookmarkEnd w:id="1320"/>
      <w:bookmarkEnd w:id="1321"/>
      <w:bookmarkEnd w:id="1322"/>
      <w:bookmarkEnd w:id="1323"/>
    </w:p>
    <w:p w14:paraId="0F4018C0">
      <w:pPr>
        <w:wordWrap w:val="0"/>
        <w:spacing w:line="360" w:lineRule="auto"/>
        <w:ind w:firstLine="480" w:firstLineChars="200"/>
        <w:rPr>
          <w:rFonts w:ascii="宋体"/>
          <w:sz w:val="24"/>
          <w:szCs w:val="32"/>
        </w:rPr>
      </w:pPr>
      <w:r>
        <w:rPr>
          <w:rFonts w:ascii="宋体" w:hAnsi="宋体"/>
          <w:sz w:val="24"/>
          <w:szCs w:val="32"/>
        </w:rPr>
        <w:t xml:space="preserve">6.4.1  </w:t>
      </w:r>
      <w:r>
        <w:rPr>
          <w:rFonts w:hint="eastAsia" w:ascii="宋体" w:hAnsi="宋体"/>
          <w:sz w:val="24"/>
        </w:rPr>
        <w:t>除为第</w:t>
      </w:r>
      <w:r>
        <w:rPr>
          <w:rFonts w:ascii="宋体" w:hAnsi="宋体"/>
          <w:sz w:val="24"/>
        </w:rPr>
        <w:t>4.1.8</w:t>
      </w:r>
      <w:r>
        <w:rPr>
          <w:rFonts w:hint="eastAsia" w:ascii="宋体" w:hAnsi="宋体"/>
          <w:sz w:val="24"/>
        </w:rPr>
        <w:t>项约定的其他独立承包人和监理人指示的他人提供条件外</w:t>
      </w:r>
      <w:r>
        <w:rPr>
          <w:rFonts w:ascii="宋体"/>
          <w:sz w:val="24"/>
        </w:rPr>
        <w:t>,</w:t>
      </w:r>
      <w:r>
        <w:rPr>
          <w:rFonts w:hint="eastAsia" w:ascii="宋体" w:hAnsi="宋体"/>
          <w:sz w:val="24"/>
        </w:rPr>
        <w:t>承包人运入施工场地的所有施工设备以及在施工场地建设的临时设施仅限于用于合同工程。</w:t>
      </w:r>
      <w:r>
        <w:rPr>
          <w:rFonts w:hint="eastAsia" w:ascii="宋体" w:hAnsi="宋体"/>
          <w:sz w:val="24"/>
          <w:szCs w:val="32"/>
        </w:rPr>
        <w:t>未经监理人同意，不得将上述施工设备和临时设施中的任何部分运出施工场地或挪作他用。</w:t>
      </w:r>
    </w:p>
    <w:p w14:paraId="29022CBB">
      <w:pPr>
        <w:wordWrap w:val="0"/>
        <w:spacing w:line="360" w:lineRule="auto"/>
        <w:ind w:firstLine="480" w:firstLineChars="200"/>
        <w:rPr>
          <w:rFonts w:ascii="宋体"/>
          <w:sz w:val="24"/>
          <w:szCs w:val="32"/>
        </w:rPr>
      </w:pPr>
      <w:r>
        <w:rPr>
          <w:rFonts w:ascii="宋体" w:hAnsi="宋体"/>
          <w:sz w:val="24"/>
          <w:szCs w:val="32"/>
        </w:rPr>
        <w:t xml:space="preserve">6.4.2  </w:t>
      </w:r>
      <w:r>
        <w:rPr>
          <w:rFonts w:hint="eastAsia" w:ascii="宋体" w:hAnsi="宋体"/>
          <w:sz w:val="24"/>
          <w:szCs w:val="32"/>
        </w:rPr>
        <w:t>经监理人同意，承包人可根据合同进度计划撤走闲置的施工设备。</w:t>
      </w:r>
    </w:p>
    <w:p w14:paraId="537AD780">
      <w:pPr>
        <w:tabs>
          <w:tab w:val="left" w:pos="576"/>
        </w:tabs>
        <w:wordWrap w:val="0"/>
        <w:spacing w:before="120" w:beforeLines="50" w:after="120" w:afterLines="50" w:line="360" w:lineRule="auto"/>
        <w:outlineLvl w:val="1"/>
        <w:rPr>
          <w:rFonts w:ascii="宋体" w:cs="宋体"/>
          <w:sz w:val="28"/>
          <w:szCs w:val="20"/>
        </w:rPr>
      </w:pPr>
      <w:bookmarkStart w:id="1324" w:name="_Toc483668127"/>
      <w:bookmarkStart w:id="1325" w:name="_Toc490222543"/>
      <w:bookmarkStart w:id="1326" w:name="_Toc486580098"/>
      <w:bookmarkStart w:id="1327" w:name="_Toc342296312"/>
      <w:bookmarkStart w:id="1328" w:name="_Toc338944754"/>
      <w:bookmarkStart w:id="1329" w:name="_Toc480486780"/>
      <w:bookmarkStart w:id="1330" w:name="_Toc489279909"/>
      <w:bookmarkStart w:id="1331" w:name="_Toc480486952"/>
      <w:bookmarkStart w:id="1332" w:name="_Toc207289629"/>
      <w:r>
        <w:rPr>
          <w:rFonts w:ascii="宋体" w:cs="宋体"/>
          <w:sz w:val="28"/>
          <w:szCs w:val="20"/>
        </w:rPr>
        <w:t>7.</w:t>
      </w:r>
      <w:r>
        <w:rPr>
          <w:rFonts w:hint="eastAsia" w:ascii="宋体" w:cs="宋体"/>
          <w:sz w:val="28"/>
          <w:szCs w:val="20"/>
        </w:rPr>
        <w:t>交通运输</w:t>
      </w:r>
      <w:bookmarkEnd w:id="1324"/>
      <w:bookmarkEnd w:id="1325"/>
      <w:bookmarkEnd w:id="1326"/>
      <w:bookmarkEnd w:id="1327"/>
      <w:bookmarkEnd w:id="1328"/>
      <w:bookmarkEnd w:id="1329"/>
      <w:bookmarkEnd w:id="1330"/>
      <w:bookmarkEnd w:id="1331"/>
      <w:bookmarkEnd w:id="1332"/>
    </w:p>
    <w:p w14:paraId="2AAA33FA">
      <w:pPr>
        <w:wordWrap w:val="0"/>
        <w:spacing w:before="120" w:beforeLines="50" w:after="120" w:afterLines="50" w:line="360" w:lineRule="auto"/>
        <w:outlineLvl w:val="2"/>
        <w:rPr>
          <w:rFonts w:ascii="宋体"/>
          <w:kern w:val="0"/>
          <w:sz w:val="24"/>
          <w:szCs w:val="20"/>
        </w:rPr>
      </w:pPr>
      <w:bookmarkStart w:id="1333" w:name="_Toc490222544"/>
      <w:bookmarkStart w:id="1334" w:name="_Toc483668128"/>
      <w:bookmarkStart w:id="1335" w:name="_Toc338944755"/>
      <w:bookmarkStart w:id="1336" w:name="_Toc480486953"/>
      <w:bookmarkStart w:id="1337" w:name="_Toc342296313"/>
      <w:bookmarkStart w:id="1338" w:name="_Toc207289630"/>
      <w:bookmarkStart w:id="1339" w:name="_Toc486580099"/>
      <w:bookmarkStart w:id="1340" w:name="_Toc480486781"/>
      <w:bookmarkStart w:id="1341" w:name="_Toc489279910"/>
      <w:r>
        <w:rPr>
          <w:rFonts w:ascii="宋体"/>
          <w:kern w:val="0"/>
          <w:sz w:val="24"/>
          <w:szCs w:val="20"/>
        </w:rPr>
        <w:t xml:space="preserve">7.1  </w:t>
      </w:r>
      <w:r>
        <w:rPr>
          <w:rFonts w:hint="eastAsia" w:ascii="宋体"/>
          <w:kern w:val="0"/>
          <w:sz w:val="24"/>
          <w:szCs w:val="20"/>
        </w:rPr>
        <w:t>道路通行权和场外设施</w:t>
      </w:r>
      <w:bookmarkEnd w:id="1333"/>
      <w:bookmarkEnd w:id="1334"/>
      <w:bookmarkEnd w:id="1335"/>
      <w:bookmarkEnd w:id="1336"/>
      <w:bookmarkEnd w:id="1337"/>
      <w:bookmarkEnd w:id="1338"/>
      <w:bookmarkEnd w:id="1339"/>
      <w:bookmarkEnd w:id="1340"/>
      <w:bookmarkEnd w:id="1341"/>
    </w:p>
    <w:p w14:paraId="5E98B591">
      <w:pPr>
        <w:wordWrap w:val="0"/>
        <w:spacing w:line="360" w:lineRule="auto"/>
        <w:ind w:firstLine="480" w:firstLineChars="200"/>
        <w:rPr>
          <w:rFonts w:ascii="宋体"/>
          <w:sz w:val="24"/>
          <w:szCs w:val="32"/>
        </w:rPr>
      </w:pPr>
      <w:r>
        <w:rPr>
          <w:rFonts w:hint="eastAsia" w:ascii="宋体" w:hAnsi="宋体"/>
          <w:sz w:val="24"/>
          <w:szCs w:val="32"/>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14:paraId="237A5AE9">
      <w:pPr>
        <w:wordWrap w:val="0"/>
        <w:spacing w:before="120" w:beforeLines="50" w:after="120" w:afterLines="50" w:line="360" w:lineRule="auto"/>
        <w:outlineLvl w:val="2"/>
        <w:rPr>
          <w:rFonts w:ascii="宋体"/>
          <w:kern w:val="0"/>
          <w:sz w:val="24"/>
          <w:szCs w:val="20"/>
        </w:rPr>
      </w:pPr>
      <w:bookmarkStart w:id="1342" w:name="_Toc490222545"/>
      <w:bookmarkStart w:id="1343" w:name="_Toc483668129"/>
      <w:bookmarkStart w:id="1344" w:name="_Toc489279911"/>
      <w:bookmarkStart w:id="1345" w:name="_Toc338944756"/>
      <w:bookmarkStart w:id="1346" w:name="_Toc207289631"/>
      <w:bookmarkStart w:id="1347" w:name="_Toc486580100"/>
      <w:bookmarkStart w:id="1348" w:name="_Toc480486954"/>
      <w:bookmarkStart w:id="1349" w:name="_Toc480486782"/>
      <w:bookmarkStart w:id="1350" w:name="_Toc342296314"/>
      <w:r>
        <w:rPr>
          <w:rFonts w:ascii="宋体"/>
          <w:kern w:val="0"/>
          <w:sz w:val="24"/>
          <w:szCs w:val="20"/>
        </w:rPr>
        <w:t xml:space="preserve">7.2  </w:t>
      </w:r>
      <w:r>
        <w:rPr>
          <w:rFonts w:hint="eastAsia" w:ascii="宋体"/>
          <w:kern w:val="0"/>
          <w:sz w:val="24"/>
          <w:szCs w:val="20"/>
        </w:rPr>
        <w:t>场内施工道路</w:t>
      </w:r>
      <w:bookmarkEnd w:id="1342"/>
      <w:bookmarkEnd w:id="1343"/>
      <w:bookmarkEnd w:id="1344"/>
      <w:bookmarkEnd w:id="1345"/>
      <w:bookmarkEnd w:id="1346"/>
      <w:bookmarkEnd w:id="1347"/>
      <w:bookmarkEnd w:id="1348"/>
      <w:bookmarkEnd w:id="1349"/>
      <w:bookmarkEnd w:id="1350"/>
    </w:p>
    <w:p w14:paraId="27FE7151">
      <w:pPr>
        <w:wordWrap w:val="0"/>
        <w:spacing w:line="360" w:lineRule="auto"/>
        <w:ind w:firstLine="480" w:firstLineChars="200"/>
        <w:rPr>
          <w:rFonts w:ascii="宋体"/>
          <w:sz w:val="24"/>
          <w:szCs w:val="32"/>
        </w:rPr>
      </w:pPr>
      <w:r>
        <w:rPr>
          <w:rFonts w:ascii="宋体" w:hAnsi="宋体"/>
          <w:sz w:val="24"/>
          <w:szCs w:val="32"/>
        </w:rPr>
        <w:t xml:space="preserve">7.2.1  </w:t>
      </w:r>
      <w:r>
        <w:rPr>
          <w:rFonts w:hint="eastAsia" w:ascii="宋体" w:hAnsi="宋体"/>
          <w:sz w:val="24"/>
          <w:szCs w:val="32"/>
        </w:rPr>
        <w:t>除合同条款专用部分另有约定外，承包人应负责修建、维修、养护和管理施工所需的临时道路和交通设施，包括维修、养护和管理发包人提供的道路和交通设施，并承担相应费用。</w:t>
      </w:r>
    </w:p>
    <w:p w14:paraId="674DEDA4">
      <w:pPr>
        <w:wordWrap w:val="0"/>
        <w:spacing w:line="360" w:lineRule="auto"/>
        <w:ind w:firstLine="480" w:firstLineChars="200"/>
        <w:rPr>
          <w:rFonts w:ascii="宋体"/>
          <w:sz w:val="24"/>
          <w:szCs w:val="32"/>
        </w:rPr>
      </w:pPr>
      <w:r>
        <w:rPr>
          <w:rFonts w:ascii="宋体" w:hAnsi="宋体"/>
          <w:sz w:val="24"/>
          <w:szCs w:val="32"/>
        </w:rPr>
        <w:t xml:space="preserve">7.2.2  </w:t>
      </w:r>
      <w:r>
        <w:rPr>
          <w:rFonts w:hint="eastAsia" w:ascii="宋体" w:hAnsi="宋体"/>
          <w:sz w:val="24"/>
        </w:rPr>
        <w:t>发包人和监理人有权无偿使用承包人修建的临时道路和交通设施，不需要交纳任何费用。</w:t>
      </w:r>
    </w:p>
    <w:p w14:paraId="33A295C7">
      <w:pPr>
        <w:wordWrap w:val="0"/>
        <w:spacing w:before="120" w:beforeLines="50" w:after="120" w:afterLines="50" w:line="360" w:lineRule="auto"/>
        <w:outlineLvl w:val="2"/>
        <w:rPr>
          <w:rFonts w:ascii="宋体"/>
          <w:kern w:val="0"/>
          <w:sz w:val="24"/>
          <w:szCs w:val="20"/>
        </w:rPr>
      </w:pPr>
      <w:bookmarkStart w:id="1351" w:name="_Toc179632682"/>
      <w:bookmarkStart w:id="1352" w:name="_Toc342296315"/>
      <w:bookmarkStart w:id="1353" w:name="_Toc152042442"/>
      <w:bookmarkStart w:id="1354" w:name="_Toc480486955"/>
      <w:bookmarkStart w:id="1355" w:name="_Toc486580101"/>
      <w:bookmarkStart w:id="1356" w:name="_Toc338944757"/>
      <w:bookmarkStart w:id="1357" w:name="_Toc152045664"/>
      <w:bookmarkStart w:id="1358" w:name="_Toc490222546"/>
      <w:bookmarkStart w:id="1359" w:name="_Toc483668130"/>
      <w:bookmarkStart w:id="1360" w:name="_Toc489279912"/>
      <w:bookmarkStart w:id="1361" w:name="_Toc207289632"/>
      <w:bookmarkStart w:id="1362" w:name="_Toc480486783"/>
      <w:bookmarkStart w:id="1363" w:name="_Toc144974632"/>
      <w:r>
        <w:rPr>
          <w:rFonts w:ascii="宋体"/>
          <w:kern w:val="0"/>
          <w:sz w:val="24"/>
          <w:szCs w:val="20"/>
        </w:rPr>
        <w:t xml:space="preserve">7.3  </w:t>
      </w:r>
      <w:r>
        <w:rPr>
          <w:rFonts w:hint="eastAsia" w:ascii="宋体"/>
          <w:kern w:val="0"/>
          <w:sz w:val="24"/>
          <w:szCs w:val="20"/>
        </w:rPr>
        <w:t>场外交通</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14:paraId="7F58CE07">
      <w:pPr>
        <w:wordWrap w:val="0"/>
        <w:spacing w:line="360" w:lineRule="auto"/>
        <w:ind w:firstLine="480" w:firstLineChars="200"/>
        <w:rPr>
          <w:rFonts w:ascii="宋体"/>
          <w:sz w:val="24"/>
          <w:szCs w:val="32"/>
        </w:rPr>
      </w:pPr>
      <w:r>
        <w:rPr>
          <w:rFonts w:ascii="宋体" w:hAnsi="宋体"/>
          <w:sz w:val="24"/>
          <w:szCs w:val="32"/>
        </w:rPr>
        <w:t xml:space="preserve">7.3.1  </w:t>
      </w:r>
      <w:r>
        <w:rPr>
          <w:rFonts w:hint="eastAsia" w:ascii="宋体" w:hAnsi="宋体"/>
          <w:sz w:val="24"/>
          <w:szCs w:val="32"/>
        </w:rPr>
        <w:t>承包人车辆外出行驶所需的场外公共道路的通行费、养路费和税款等由承包人承担。</w:t>
      </w:r>
    </w:p>
    <w:p w14:paraId="0CE4E17A">
      <w:pPr>
        <w:wordWrap w:val="0"/>
        <w:spacing w:line="360" w:lineRule="auto"/>
        <w:ind w:firstLine="480" w:firstLineChars="200"/>
        <w:rPr>
          <w:rFonts w:ascii="宋体"/>
          <w:sz w:val="24"/>
          <w:szCs w:val="32"/>
        </w:rPr>
      </w:pPr>
      <w:r>
        <w:rPr>
          <w:rFonts w:ascii="宋体" w:hAnsi="宋体"/>
          <w:sz w:val="24"/>
          <w:szCs w:val="32"/>
        </w:rPr>
        <w:t xml:space="preserve">7.3.2  </w:t>
      </w:r>
      <w:r>
        <w:rPr>
          <w:rFonts w:hint="eastAsia" w:ascii="宋体" w:hAnsi="宋体"/>
          <w:sz w:val="24"/>
          <w:szCs w:val="32"/>
        </w:rPr>
        <w:t>承包人应遵守有关交通法规，严格按照道路和桥梁的限制荷重安全行驶，并服从交通管理部门的检查和监督。</w:t>
      </w:r>
    </w:p>
    <w:p w14:paraId="43AAAD68">
      <w:pPr>
        <w:wordWrap w:val="0"/>
        <w:spacing w:before="120" w:beforeLines="50" w:after="120" w:afterLines="50" w:line="360" w:lineRule="auto"/>
        <w:outlineLvl w:val="2"/>
        <w:rPr>
          <w:rFonts w:ascii="宋体"/>
          <w:kern w:val="0"/>
          <w:sz w:val="24"/>
          <w:szCs w:val="20"/>
        </w:rPr>
      </w:pPr>
      <w:bookmarkStart w:id="1364" w:name="_Toc342296316"/>
      <w:bookmarkStart w:id="1365" w:name="_Toc483668131"/>
      <w:bookmarkStart w:id="1366" w:name="_Toc486580102"/>
      <w:bookmarkStart w:id="1367" w:name="_Toc480486956"/>
      <w:bookmarkStart w:id="1368" w:name="_Toc490222547"/>
      <w:bookmarkStart w:id="1369" w:name="_Toc338944758"/>
      <w:bookmarkStart w:id="1370" w:name="_Toc480486784"/>
      <w:bookmarkStart w:id="1371" w:name="_Toc489279913"/>
      <w:bookmarkStart w:id="1372" w:name="_Toc207289633"/>
      <w:r>
        <w:rPr>
          <w:rFonts w:ascii="宋体"/>
          <w:kern w:val="0"/>
          <w:sz w:val="24"/>
          <w:szCs w:val="20"/>
        </w:rPr>
        <w:t xml:space="preserve">7.4  </w:t>
      </w:r>
      <w:r>
        <w:rPr>
          <w:rFonts w:hint="eastAsia" w:ascii="宋体"/>
          <w:kern w:val="0"/>
          <w:sz w:val="24"/>
          <w:szCs w:val="20"/>
        </w:rPr>
        <w:t>超大件和超重件的运输</w:t>
      </w:r>
      <w:bookmarkEnd w:id="1364"/>
      <w:bookmarkEnd w:id="1365"/>
      <w:bookmarkEnd w:id="1366"/>
      <w:bookmarkEnd w:id="1367"/>
      <w:bookmarkEnd w:id="1368"/>
      <w:bookmarkEnd w:id="1369"/>
      <w:bookmarkEnd w:id="1370"/>
      <w:bookmarkEnd w:id="1371"/>
      <w:bookmarkEnd w:id="1372"/>
    </w:p>
    <w:p w14:paraId="05CB4F71">
      <w:pPr>
        <w:wordWrap w:val="0"/>
        <w:spacing w:line="360" w:lineRule="auto"/>
        <w:ind w:firstLine="480" w:firstLineChars="200"/>
        <w:rPr>
          <w:rFonts w:ascii="宋体"/>
          <w:sz w:val="24"/>
          <w:szCs w:val="32"/>
        </w:rPr>
      </w:pPr>
      <w:r>
        <w:rPr>
          <w:rFonts w:hint="eastAsia" w:ascii="宋体" w:hAnsi="宋体"/>
          <w:sz w:val="24"/>
          <w:szCs w:val="32"/>
        </w:rPr>
        <w:t>由承包人负责运输的超大件或超重件，应由承包人负责向交通管理部门办理申请手续，发包人给予协助。运输超大件或超重件所需的道路和桥梁临时加固改造费用和其他有关费用，由承包人承担，但合同条款专用部分另有约定除外。</w:t>
      </w:r>
    </w:p>
    <w:p w14:paraId="63B361AA">
      <w:pPr>
        <w:wordWrap w:val="0"/>
        <w:spacing w:before="120" w:beforeLines="50" w:after="120" w:afterLines="50" w:line="360" w:lineRule="auto"/>
        <w:outlineLvl w:val="2"/>
        <w:rPr>
          <w:rFonts w:ascii="宋体"/>
          <w:kern w:val="0"/>
          <w:sz w:val="24"/>
          <w:szCs w:val="20"/>
        </w:rPr>
      </w:pPr>
      <w:bookmarkStart w:id="1373" w:name="_Toc490222548"/>
      <w:bookmarkStart w:id="1374" w:name="_Toc483668132"/>
      <w:bookmarkStart w:id="1375" w:name="_Toc486580103"/>
      <w:bookmarkStart w:id="1376" w:name="_Toc342296317"/>
      <w:bookmarkStart w:id="1377" w:name="_Toc338944759"/>
      <w:bookmarkStart w:id="1378" w:name="_Toc489279914"/>
      <w:bookmarkStart w:id="1379" w:name="_Toc207289634"/>
      <w:bookmarkStart w:id="1380" w:name="_Toc480486785"/>
      <w:bookmarkStart w:id="1381" w:name="_Toc480486957"/>
      <w:r>
        <w:rPr>
          <w:rFonts w:ascii="宋体"/>
          <w:kern w:val="0"/>
          <w:sz w:val="24"/>
          <w:szCs w:val="20"/>
        </w:rPr>
        <w:t xml:space="preserve">7.5  </w:t>
      </w:r>
      <w:r>
        <w:rPr>
          <w:rFonts w:hint="eastAsia" w:ascii="宋体"/>
          <w:kern w:val="0"/>
          <w:sz w:val="24"/>
          <w:szCs w:val="20"/>
        </w:rPr>
        <w:t>道路和桥梁的损坏责任</w:t>
      </w:r>
      <w:bookmarkEnd w:id="1373"/>
      <w:bookmarkEnd w:id="1374"/>
      <w:bookmarkEnd w:id="1375"/>
      <w:bookmarkEnd w:id="1376"/>
      <w:bookmarkEnd w:id="1377"/>
      <w:bookmarkEnd w:id="1378"/>
      <w:bookmarkEnd w:id="1379"/>
      <w:bookmarkEnd w:id="1380"/>
      <w:bookmarkEnd w:id="1381"/>
    </w:p>
    <w:p w14:paraId="73B698C3">
      <w:pPr>
        <w:wordWrap w:val="0"/>
        <w:spacing w:line="360" w:lineRule="auto"/>
        <w:ind w:firstLine="480" w:firstLineChars="200"/>
        <w:rPr>
          <w:rFonts w:ascii="宋体"/>
          <w:sz w:val="24"/>
          <w:szCs w:val="32"/>
        </w:rPr>
      </w:pPr>
      <w:r>
        <w:rPr>
          <w:rFonts w:hint="eastAsia" w:ascii="宋体" w:hAnsi="宋体"/>
          <w:sz w:val="24"/>
          <w:szCs w:val="32"/>
        </w:rPr>
        <w:t>因承包人运输造成施工场地内外公共道路和桥梁损坏的，由承包人承担修复损坏的全部费用和可能引起的赔偿。</w:t>
      </w:r>
    </w:p>
    <w:p w14:paraId="3F0F6128">
      <w:pPr>
        <w:wordWrap w:val="0"/>
        <w:spacing w:before="120" w:beforeLines="50" w:after="120" w:afterLines="50" w:line="360" w:lineRule="auto"/>
        <w:outlineLvl w:val="2"/>
        <w:rPr>
          <w:rFonts w:ascii="宋体"/>
          <w:kern w:val="0"/>
          <w:sz w:val="24"/>
          <w:szCs w:val="20"/>
        </w:rPr>
      </w:pPr>
      <w:bookmarkStart w:id="1382" w:name="_Toc483668133"/>
      <w:bookmarkStart w:id="1383" w:name="_Toc489279915"/>
      <w:bookmarkStart w:id="1384" w:name="_Toc342296318"/>
      <w:bookmarkStart w:id="1385" w:name="_Toc480486786"/>
      <w:bookmarkStart w:id="1386" w:name="_Toc144974635"/>
      <w:bookmarkStart w:id="1387" w:name="_Toc338944760"/>
      <w:bookmarkStart w:id="1388" w:name="_Toc152042445"/>
      <w:bookmarkStart w:id="1389" w:name="_Toc486580104"/>
      <w:bookmarkStart w:id="1390" w:name="_Toc207289635"/>
      <w:bookmarkStart w:id="1391" w:name="_Toc179632685"/>
      <w:bookmarkStart w:id="1392" w:name="_Toc152045667"/>
      <w:bookmarkStart w:id="1393" w:name="_Toc490222549"/>
      <w:bookmarkStart w:id="1394" w:name="_Toc480486958"/>
      <w:r>
        <w:rPr>
          <w:rFonts w:ascii="宋体"/>
          <w:kern w:val="0"/>
          <w:sz w:val="24"/>
          <w:szCs w:val="20"/>
        </w:rPr>
        <w:t xml:space="preserve">7.6  </w:t>
      </w:r>
      <w:r>
        <w:rPr>
          <w:rFonts w:hint="eastAsia" w:ascii="宋体"/>
          <w:kern w:val="0"/>
          <w:sz w:val="24"/>
          <w:szCs w:val="20"/>
        </w:rPr>
        <w:t>水路和航空运输</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14:paraId="4C0F2029">
      <w:pPr>
        <w:wordWrap w:val="0"/>
        <w:spacing w:line="360" w:lineRule="auto"/>
        <w:ind w:firstLine="480" w:firstLineChars="200"/>
        <w:rPr>
          <w:rFonts w:ascii="宋体"/>
          <w:sz w:val="24"/>
          <w:szCs w:val="32"/>
        </w:rPr>
      </w:pPr>
      <w:r>
        <w:rPr>
          <w:rFonts w:hint="eastAsia" w:ascii="宋体" w:hAnsi="宋体"/>
          <w:sz w:val="24"/>
          <w:szCs w:val="32"/>
        </w:rPr>
        <w:t>本条上述各款的内容适用于水路运输和航空运输，其中“道路”一词的涵义包括河道、航线、船闸、机场、码头、堤防以及水路或航空运输中其他相似结构物；“车辆”一词的涵义包括船舶和飞机等。</w:t>
      </w:r>
    </w:p>
    <w:p w14:paraId="7B519C8F">
      <w:pPr>
        <w:tabs>
          <w:tab w:val="left" w:pos="576"/>
        </w:tabs>
        <w:wordWrap w:val="0"/>
        <w:spacing w:before="120" w:beforeLines="50" w:after="120" w:afterLines="50" w:line="360" w:lineRule="auto"/>
        <w:outlineLvl w:val="1"/>
        <w:rPr>
          <w:rFonts w:ascii="宋体" w:cs="宋体"/>
          <w:sz w:val="28"/>
          <w:szCs w:val="20"/>
        </w:rPr>
      </w:pPr>
      <w:bookmarkStart w:id="1395" w:name="_Toc490222550"/>
      <w:bookmarkStart w:id="1396" w:name="_Toc207289636"/>
      <w:bookmarkStart w:id="1397" w:name="_Toc480486959"/>
      <w:bookmarkStart w:id="1398" w:name="_Toc342296319"/>
      <w:bookmarkStart w:id="1399" w:name="_Toc486580105"/>
      <w:bookmarkStart w:id="1400" w:name="_Toc483668134"/>
      <w:bookmarkStart w:id="1401" w:name="_Toc480486787"/>
      <w:bookmarkStart w:id="1402" w:name="_Toc489279916"/>
      <w:bookmarkStart w:id="1403" w:name="_Toc338944761"/>
      <w:r>
        <w:rPr>
          <w:rFonts w:ascii="宋体" w:cs="宋体"/>
          <w:sz w:val="28"/>
          <w:szCs w:val="20"/>
        </w:rPr>
        <w:t>8.</w:t>
      </w:r>
      <w:r>
        <w:rPr>
          <w:rFonts w:hint="eastAsia" w:ascii="宋体" w:cs="宋体"/>
          <w:sz w:val="28"/>
          <w:szCs w:val="20"/>
        </w:rPr>
        <w:t>测量放线</w:t>
      </w:r>
      <w:bookmarkEnd w:id="1395"/>
      <w:bookmarkEnd w:id="1396"/>
      <w:bookmarkEnd w:id="1397"/>
      <w:bookmarkEnd w:id="1398"/>
      <w:bookmarkEnd w:id="1399"/>
      <w:bookmarkEnd w:id="1400"/>
      <w:bookmarkEnd w:id="1401"/>
      <w:bookmarkEnd w:id="1402"/>
      <w:bookmarkEnd w:id="1403"/>
    </w:p>
    <w:p w14:paraId="04F007B9">
      <w:pPr>
        <w:wordWrap w:val="0"/>
        <w:spacing w:before="120" w:beforeLines="50" w:after="120" w:afterLines="50" w:line="360" w:lineRule="auto"/>
        <w:outlineLvl w:val="2"/>
        <w:rPr>
          <w:rFonts w:ascii="宋体"/>
          <w:kern w:val="0"/>
          <w:sz w:val="24"/>
          <w:szCs w:val="20"/>
        </w:rPr>
      </w:pPr>
      <w:bookmarkStart w:id="1404" w:name="_Toc338944762"/>
      <w:bookmarkStart w:id="1405" w:name="_Toc490222551"/>
      <w:bookmarkStart w:id="1406" w:name="_Toc489279917"/>
      <w:bookmarkStart w:id="1407" w:name="_Toc480486960"/>
      <w:bookmarkStart w:id="1408" w:name="_Toc207289637"/>
      <w:bookmarkStart w:id="1409" w:name="_Toc480486788"/>
      <w:bookmarkStart w:id="1410" w:name="_Toc483668135"/>
      <w:bookmarkStart w:id="1411" w:name="_Toc486580106"/>
      <w:bookmarkStart w:id="1412" w:name="_Toc342296320"/>
      <w:r>
        <w:rPr>
          <w:rFonts w:ascii="宋体"/>
          <w:kern w:val="0"/>
          <w:sz w:val="24"/>
          <w:szCs w:val="20"/>
        </w:rPr>
        <w:t xml:space="preserve">8.1  </w:t>
      </w:r>
      <w:r>
        <w:rPr>
          <w:rFonts w:hint="eastAsia" w:ascii="宋体"/>
          <w:kern w:val="0"/>
          <w:sz w:val="24"/>
          <w:szCs w:val="20"/>
        </w:rPr>
        <w:t>施工控制网</w:t>
      </w:r>
      <w:bookmarkEnd w:id="1404"/>
      <w:bookmarkEnd w:id="1405"/>
      <w:bookmarkEnd w:id="1406"/>
      <w:bookmarkEnd w:id="1407"/>
      <w:bookmarkEnd w:id="1408"/>
      <w:bookmarkEnd w:id="1409"/>
      <w:bookmarkEnd w:id="1410"/>
      <w:bookmarkEnd w:id="1411"/>
      <w:bookmarkEnd w:id="1412"/>
    </w:p>
    <w:p w14:paraId="0764FBBC">
      <w:pPr>
        <w:wordWrap w:val="0"/>
        <w:spacing w:line="360" w:lineRule="auto"/>
        <w:ind w:firstLine="480" w:firstLineChars="200"/>
        <w:rPr>
          <w:rFonts w:ascii="宋体"/>
          <w:sz w:val="24"/>
          <w:szCs w:val="32"/>
        </w:rPr>
      </w:pPr>
      <w:r>
        <w:rPr>
          <w:rFonts w:ascii="宋体" w:hAnsi="宋体"/>
          <w:sz w:val="24"/>
          <w:szCs w:val="32"/>
        </w:rPr>
        <w:t xml:space="preserve">8.1.1  </w:t>
      </w:r>
      <w:r>
        <w:rPr>
          <w:rFonts w:hint="eastAsia" w:ascii="宋体" w:hAnsi="宋体"/>
          <w:sz w:val="24"/>
          <w:szCs w:val="32"/>
        </w:rPr>
        <w:t>发包人应在合同约定的期限内，通过监理人向承包人提供测量基准点、基准线和水准点及其书面资料。向承包人提供测量基准点、基准线和水准点及其书面资料的期限</w:t>
      </w:r>
      <w:r>
        <w:rPr>
          <w:rFonts w:hint="eastAsia" w:ascii="黑体" w:hAnsi="黑体" w:eastAsia="黑体"/>
          <w:sz w:val="24"/>
          <w:szCs w:val="32"/>
        </w:rPr>
        <w:t>见合同条款专用部分。</w:t>
      </w:r>
    </w:p>
    <w:p w14:paraId="4819FF43">
      <w:pPr>
        <w:wordWrap w:val="0"/>
        <w:spacing w:line="360" w:lineRule="auto"/>
        <w:ind w:firstLine="480" w:firstLineChars="200"/>
        <w:rPr>
          <w:rFonts w:ascii="宋体"/>
          <w:sz w:val="24"/>
          <w:szCs w:val="32"/>
        </w:rPr>
      </w:pPr>
      <w:r>
        <w:rPr>
          <w:rFonts w:ascii="宋体" w:hAnsi="宋体"/>
          <w:sz w:val="24"/>
          <w:szCs w:val="32"/>
        </w:rPr>
        <w:t xml:space="preserve">8.1.2  </w:t>
      </w:r>
      <w:r>
        <w:rPr>
          <w:rFonts w:hint="eastAsia" w:ascii="宋体" w:hAnsi="宋体"/>
          <w:sz w:val="24"/>
          <w:szCs w:val="32"/>
        </w:rPr>
        <w:t>承包人应根据国家测绘基准、测绘系统和工程测量技术规范，按上述基准点（线）以及合同工程精度要求，测设施工控制网，承包人测设施工控制网的其他要求</w:t>
      </w:r>
      <w:r>
        <w:rPr>
          <w:rFonts w:hint="eastAsia" w:ascii="黑体" w:hAnsi="黑体" w:eastAsia="黑体"/>
          <w:sz w:val="24"/>
          <w:szCs w:val="32"/>
        </w:rPr>
        <w:t>见合同条款专用部分。</w:t>
      </w:r>
      <w:r>
        <w:rPr>
          <w:rFonts w:hint="eastAsia" w:ascii="宋体" w:hAnsi="宋体"/>
          <w:sz w:val="24"/>
          <w:szCs w:val="32"/>
        </w:rPr>
        <w:t>并将施工控制网资料在约定期限内报送监理人审批，其报送监理人审批的期限</w:t>
      </w:r>
      <w:r>
        <w:rPr>
          <w:rFonts w:hint="eastAsia" w:ascii="黑体" w:hAnsi="黑体" w:eastAsia="黑体"/>
          <w:sz w:val="24"/>
          <w:szCs w:val="32"/>
        </w:rPr>
        <w:t>见合同条款专用部分</w:t>
      </w:r>
      <w:r>
        <w:rPr>
          <w:rFonts w:hint="eastAsia" w:ascii="宋体" w:hAnsi="宋体"/>
          <w:sz w:val="24"/>
          <w:szCs w:val="32"/>
        </w:rPr>
        <w:t>。</w:t>
      </w:r>
    </w:p>
    <w:p w14:paraId="28628E60">
      <w:pPr>
        <w:wordWrap w:val="0"/>
        <w:spacing w:line="360" w:lineRule="auto"/>
        <w:ind w:firstLine="480" w:firstLineChars="200"/>
        <w:rPr>
          <w:rFonts w:ascii="宋体"/>
          <w:sz w:val="24"/>
          <w:szCs w:val="32"/>
        </w:rPr>
      </w:pPr>
      <w:r>
        <w:rPr>
          <w:rFonts w:ascii="宋体" w:hAnsi="宋体"/>
          <w:sz w:val="24"/>
          <w:szCs w:val="32"/>
        </w:rPr>
        <w:t xml:space="preserve">8.1.3  </w:t>
      </w:r>
      <w:r>
        <w:rPr>
          <w:rFonts w:hint="eastAsia" w:ascii="宋体" w:hAnsi="宋体"/>
          <w:sz w:val="24"/>
          <w:szCs w:val="32"/>
        </w:rPr>
        <w:t>承包人应负责管理施工控制网点。施工控制网点丢失或损坏的，承包人应及时修复，并承担施工控制网点的管理与修复费用。工程竣工后将施工控制网点移交发包人。</w:t>
      </w:r>
    </w:p>
    <w:p w14:paraId="67FCB4F7">
      <w:pPr>
        <w:wordWrap w:val="0"/>
        <w:spacing w:before="120" w:beforeLines="50" w:after="120" w:afterLines="50" w:line="360" w:lineRule="auto"/>
        <w:outlineLvl w:val="2"/>
        <w:rPr>
          <w:rFonts w:ascii="宋体"/>
          <w:kern w:val="0"/>
          <w:sz w:val="24"/>
          <w:szCs w:val="20"/>
        </w:rPr>
      </w:pPr>
      <w:bookmarkStart w:id="1413" w:name="_Toc179632688"/>
      <w:bookmarkStart w:id="1414" w:name="_Toc489279918"/>
      <w:bookmarkStart w:id="1415" w:name="_Toc486580107"/>
      <w:bookmarkStart w:id="1416" w:name="_Toc480486789"/>
      <w:bookmarkStart w:id="1417" w:name="_Toc152045670"/>
      <w:bookmarkStart w:id="1418" w:name="_Toc207289638"/>
      <w:bookmarkStart w:id="1419" w:name="_Toc144974638"/>
      <w:bookmarkStart w:id="1420" w:name="_Toc483668136"/>
      <w:bookmarkStart w:id="1421" w:name="_Toc342296321"/>
      <w:bookmarkStart w:id="1422" w:name="_Toc490222552"/>
      <w:bookmarkStart w:id="1423" w:name="_Toc338944763"/>
      <w:bookmarkStart w:id="1424" w:name="_Toc152042448"/>
      <w:bookmarkStart w:id="1425" w:name="_Toc480486961"/>
      <w:r>
        <w:rPr>
          <w:rFonts w:ascii="宋体"/>
          <w:kern w:val="0"/>
          <w:sz w:val="24"/>
          <w:szCs w:val="20"/>
        </w:rPr>
        <w:t xml:space="preserve">8.2  </w:t>
      </w:r>
      <w:r>
        <w:rPr>
          <w:rFonts w:hint="eastAsia" w:ascii="宋体"/>
          <w:kern w:val="0"/>
          <w:sz w:val="24"/>
          <w:szCs w:val="20"/>
        </w:rPr>
        <w:t>施工测量</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14:paraId="64B75B7E">
      <w:pPr>
        <w:wordWrap w:val="0"/>
        <w:spacing w:line="360" w:lineRule="auto"/>
        <w:ind w:firstLine="480" w:firstLineChars="200"/>
        <w:rPr>
          <w:rFonts w:ascii="宋体"/>
          <w:sz w:val="24"/>
          <w:szCs w:val="32"/>
        </w:rPr>
      </w:pPr>
      <w:r>
        <w:rPr>
          <w:rFonts w:ascii="宋体" w:hAnsi="宋体"/>
          <w:sz w:val="24"/>
          <w:szCs w:val="32"/>
        </w:rPr>
        <w:t xml:space="preserve">8.2.1  </w:t>
      </w:r>
      <w:r>
        <w:rPr>
          <w:rFonts w:hint="eastAsia" w:ascii="宋体" w:hAnsi="宋体"/>
          <w:sz w:val="24"/>
          <w:szCs w:val="32"/>
        </w:rPr>
        <w:t>承包人应负责施工过程中的全部施工测量放线工作，并配置合格的人员、仪器、设备和其他物品。</w:t>
      </w:r>
    </w:p>
    <w:p w14:paraId="693DE2F6">
      <w:pPr>
        <w:wordWrap w:val="0"/>
        <w:spacing w:line="360" w:lineRule="auto"/>
        <w:ind w:firstLine="480" w:firstLineChars="200"/>
        <w:rPr>
          <w:rFonts w:ascii="宋体"/>
          <w:sz w:val="24"/>
          <w:szCs w:val="32"/>
        </w:rPr>
      </w:pPr>
      <w:r>
        <w:rPr>
          <w:rFonts w:ascii="宋体" w:hAnsi="宋体"/>
          <w:sz w:val="24"/>
          <w:szCs w:val="32"/>
        </w:rPr>
        <w:t xml:space="preserve">8.2.2  </w:t>
      </w:r>
      <w:r>
        <w:rPr>
          <w:rFonts w:hint="eastAsia" w:ascii="宋体" w:hAnsi="宋体"/>
          <w:sz w:val="24"/>
          <w:szCs w:val="32"/>
        </w:rPr>
        <w:t>监理人可以指示承包人进行抽样复测，当复测中发现错误或出现超过合同约定的误差时，承包人应按监理人指示进行修正或补测，并承担相应的复测费用。</w:t>
      </w:r>
    </w:p>
    <w:p w14:paraId="0638F0AE">
      <w:pPr>
        <w:wordWrap w:val="0"/>
        <w:spacing w:before="120" w:beforeLines="50" w:after="120" w:afterLines="50" w:line="360" w:lineRule="auto"/>
        <w:outlineLvl w:val="2"/>
        <w:rPr>
          <w:rFonts w:ascii="宋体"/>
          <w:kern w:val="0"/>
          <w:sz w:val="24"/>
          <w:szCs w:val="20"/>
        </w:rPr>
      </w:pPr>
      <w:bookmarkStart w:id="1426" w:name="_Toc486580108"/>
      <w:bookmarkStart w:id="1427" w:name="_Toc480486962"/>
      <w:bookmarkStart w:id="1428" w:name="_Toc144974639"/>
      <w:bookmarkStart w:id="1429" w:name="_Toc338944764"/>
      <w:bookmarkStart w:id="1430" w:name="_Toc490222553"/>
      <w:bookmarkStart w:id="1431" w:name="_Toc342296322"/>
      <w:bookmarkStart w:id="1432" w:name="_Toc207289639"/>
      <w:bookmarkStart w:id="1433" w:name="_Toc152042449"/>
      <w:bookmarkStart w:id="1434" w:name="_Toc179632689"/>
      <w:bookmarkStart w:id="1435" w:name="_Toc483668137"/>
      <w:bookmarkStart w:id="1436" w:name="_Toc489279919"/>
      <w:bookmarkStart w:id="1437" w:name="_Toc480486790"/>
      <w:bookmarkStart w:id="1438" w:name="_Toc152045671"/>
      <w:r>
        <w:rPr>
          <w:rFonts w:ascii="宋体"/>
          <w:kern w:val="0"/>
          <w:sz w:val="24"/>
          <w:szCs w:val="20"/>
        </w:rPr>
        <w:t xml:space="preserve">8.3  </w:t>
      </w:r>
      <w:r>
        <w:rPr>
          <w:rFonts w:hint="eastAsia" w:ascii="宋体"/>
          <w:kern w:val="0"/>
          <w:sz w:val="24"/>
          <w:szCs w:val="20"/>
        </w:rPr>
        <w:t>基准资料错误的责任</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14:paraId="5175F99C">
      <w:pPr>
        <w:wordWrap w:val="0"/>
        <w:spacing w:line="360" w:lineRule="auto"/>
        <w:ind w:firstLine="480" w:firstLineChars="200"/>
        <w:rPr>
          <w:rFonts w:ascii="宋体"/>
          <w:sz w:val="24"/>
          <w:szCs w:val="32"/>
        </w:rPr>
      </w:pPr>
      <w:r>
        <w:rPr>
          <w:rFonts w:hint="eastAsia" w:ascii="宋体" w:hAnsi="宋体"/>
          <w:sz w:val="24"/>
          <w:szCs w:val="32"/>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35F5AA91">
      <w:pPr>
        <w:wordWrap w:val="0"/>
        <w:spacing w:before="120" w:beforeLines="50" w:after="120" w:afterLines="50" w:line="360" w:lineRule="auto"/>
        <w:outlineLvl w:val="2"/>
        <w:rPr>
          <w:rFonts w:ascii="宋体"/>
          <w:kern w:val="0"/>
          <w:sz w:val="24"/>
          <w:szCs w:val="20"/>
        </w:rPr>
      </w:pPr>
      <w:bookmarkStart w:id="1439" w:name="_Toc480486963"/>
      <w:bookmarkStart w:id="1440" w:name="_Toc179632690"/>
      <w:bookmarkStart w:id="1441" w:name="_Toc486580109"/>
      <w:bookmarkStart w:id="1442" w:name="_Toc490222554"/>
      <w:bookmarkStart w:id="1443" w:name="_Toc207289640"/>
      <w:bookmarkStart w:id="1444" w:name="_Toc483668138"/>
      <w:bookmarkStart w:id="1445" w:name="_Toc152045672"/>
      <w:bookmarkStart w:id="1446" w:name="_Toc342296323"/>
      <w:bookmarkStart w:id="1447" w:name="_Toc144974640"/>
      <w:bookmarkStart w:id="1448" w:name="_Toc489279920"/>
      <w:bookmarkStart w:id="1449" w:name="_Toc338944765"/>
      <w:bookmarkStart w:id="1450" w:name="_Toc152042450"/>
      <w:bookmarkStart w:id="1451" w:name="_Toc480486791"/>
      <w:r>
        <w:rPr>
          <w:rFonts w:ascii="宋体"/>
          <w:kern w:val="0"/>
          <w:sz w:val="24"/>
          <w:szCs w:val="20"/>
        </w:rPr>
        <w:t xml:space="preserve">8.4  </w:t>
      </w:r>
      <w:r>
        <w:rPr>
          <w:rFonts w:hint="eastAsia" w:ascii="宋体"/>
          <w:kern w:val="0"/>
          <w:sz w:val="24"/>
          <w:szCs w:val="20"/>
        </w:rPr>
        <w:t>监理人使用施工控制网</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14:paraId="2C9D4ECC">
      <w:pPr>
        <w:wordWrap w:val="0"/>
        <w:spacing w:line="360" w:lineRule="auto"/>
        <w:ind w:firstLine="480" w:firstLineChars="200"/>
        <w:rPr>
          <w:rFonts w:ascii="宋体"/>
          <w:dstrike/>
          <w:sz w:val="24"/>
        </w:rPr>
      </w:pPr>
      <w:r>
        <w:rPr>
          <w:rFonts w:hint="eastAsia" w:ascii="宋体" w:hAnsi="宋体"/>
          <w:sz w:val="24"/>
          <w:szCs w:val="32"/>
        </w:rPr>
        <w:t>监理人需要使用施工控制网的，承包人应提供必要的协助，发包人不再为此支付费用。</w:t>
      </w:r>
    </w:p>
    <w:p w14:paraId="29E4C4F2">
      <w:pPr>
        <w:tabs>
          <w:tab w:val="left" w:pos="576"/>
        </w:tabs>
        <w:wordWrap w:val="0"/>
        <w:spacing w:before="120" w:beforeLines="50" w:after="120" w:afterLines="50" w:line="360" w:lineRule="auto"/>
        <w:outlineLvl w:val="1"/>
        <w:rPr>
          <w:rFonts w:ascii="宋体" w:cs="宋体"/>
          <w:sz w:val="28"/>
          <w:szCs w:val="20"/>
        </w:rPr>
      </w:pPr>
      <w:bookmarkStart w:id="1452" w:name="_Toc207289641"/>
      <w:bookmarkStart w:id="1453" w:name="_Toc480486964"/>
      <w:bookmarkStart w:id="1454" w:name="_Toc480486792"/>
      <w:bookmarkStart w:id="1455" w:name="_Toc338944766"/>
      <w:bookmarkStart w:id="1456" w:name="_Toc490222555"/>
      <w:bookmarkStart w:id="1457" w:name="_Toc489279921"/>
      <w:bookmarkStart w:id="1458" w:name="_Toc483668139"/>
      <w:bookmarkStart w:id="1459" w:name="_Toc342296324"/>
      <w:bookmarkStart w:id="1460" w:name="_Toc486580110"/>
      <w:r>
        <w:rPr>
          <w:rFonts w:ascii="宋体" w:cs="宋体"/>
          <w:sz w:val="28"/>
          <w:szCs w:val="20"/>
        </w:rPr>
        <w:t>9.</w:t>
      </w:r>
      <w:r>
        <w:rPr>
          <w:rFonts w:hint="eastAsia" w:ascii="宋体" w:cs="宋体"/>
          <w:sz w:val="28"/>
          <w:szCs w:val="20"/>
        </w:rPr>
        <w:t>施工安全、治安保卫和环境保护</w:t>
      </w:r>
      <w:bookmarkEnd w:id="1452"/>
      <w:bookmarkEnd w:id="1453"/>
      <w:bookmarkEnd w:id="1454"/>
      <w:bookmarkEnd w:id="1455"/>
      <w:bookmarkEnd w:id="1456"/>
      <w:bookmarkEnd w:id="1457"/>
      <w:bookmarkEnd w:id="1458"/>
      <w:bookmarkEnd w:id="1459"/>
      <w:bookmarkEnd w:id="1460"/>
    </w:p>
    <w:p w14:paraId="486453C7">
      <w:pPr>
        <w:wordWrap w:val="0"/>
        <w:spacing w:before="120" w:beforeLines="50" w:after="120" w:afterLines="50" w:line="360" w:lineRule="auto"/>
        <w:outlineLvl w:val="2"/>
        <w:rPr>
          <w:rFonts w:ascii="宋体"/>
          <w:kern w:val="0"/>
          <w:sz w:val="24"/>
          <w:szCs w:val="20"/>
        </w:rPr>
      </w:pPr>
      <w:bookmarkStart w:id="1461" w:name="_Toc342296325"/>
      <w:bookmarkStart w:id="1462" w:name="_Toc207289642"/>
      <w:bookmarkStart w:id="1463" w:name="_Toc152045674"/>
      <w:bookmarkStart w:id="1464" w:name="_Toc338944767"/>
      <w:bookmarkStart w:id="1465" w:name="_Toc490222556"/>
      <w:bookmarkStart w:id="1466" w:name="_Toc179632692"/>
      <w:bookmarkStart w:id="1467" w:name="_Toc480486965"/>
      <w:bookmarkStart w:id="1468" w:name="_Toc144974642"/>
      <w:bookmarkStart w:id="1469" w:name="_Toc489279922"/>
      <w:bookmarkStart w:id="1470" w:name="_Toc483668140"/>
      <w:bookmarkStart w:id="1471" w:name="_Toc486580111"/>
      <w:bookmarkStart w:id="1472" w:name="_Toc480486793"/>
      <w:bookmarkStart w:id="1473" w:name="_Toc152042452"/>
      <w:r>
        <w:rPr>
          <w:rFonts w:ascii="宋体"/>
          <w:kern w:val="0"/>
          <w:sz w:val="24"/>
          <w:szCs w:val="20"/>
        </w:rPr>
        <w:t xml:space="preserve">9.1  </w:t>
      </w:r>
      <w:r>
        <w:rPr>
          <w:rFonts w:hint="eastAsia" w:ascii="宋体"/>
          <w:kern w:val="0"/>
          <w:sz w:val="24"/>
          <w:szCs w:val="20"/>
        </w:rPr>
        <w:t>发包人的施工安全责任</w:t>
      </w:r>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14:paraId="4BEEC74B">
      <w:pPr>
        <w:wordWrap w:val="0"/>
        <w:spacing w:line="360" w:lineRule="auto"/>
        <w:ind w:firstLine="480" w:firstLineChars="200"/>
        <w:rPr>
          <w:rFonts w:ascii="宋体"/>
          <w:sz w:val="24"/>
          <w:szCs w:val="32"/>
        </w:rPr>
      </w:pPr>
      <w:r>
        <w:rPr>
          <w:rFonts w:ascii="宋体" w:hAnsi="宋体"/>
          <w:sz w:val="24"/>
          <w:szCs w:val="32"/>
        </w:rPr>
        <w:t xml:space="preserve">9.1.1  </w:t>
      </w:r>
      <w:r>
        <w:rPr>
          <w:rFonts w:hint="eastAsia" w:ascii="宋体" w:hAnsi="宋体"/>
          <w:sz w:val="24"/>
          <w:szCs w:val="32"/>
        </w:rPr>
        <w:t>发包人应按合同约定履行安全职责，授权监理人按合同约定的安全工作内容监督、检查承包人安全工作的实施，组织承包人和有关单位进行安全检查。</w:t>
      </w:r>
    </w:p>
    <w:p w14:paraId="22606576">
      <w:pPr>
        <w:wordWrap w:val="0"/>
        <w:spacing w:line="360" w:lineRule="auto"/>
        <w:ind w:firstLine="480" w:firstLineChars="200"/>
        <w:rPr>
          <w:rFonts w:ascii="宋体"/>
          <w:sz w:val="24"/>
          <w:szCs w:val="32"/>
        </w:rPr>
      </w:pPr>
      <w:r>
        <w:rPr>
          <w:rFonts w:ascii="宋体" w:hAnsi="宋体"/>
          <w:sz w:val="24"/>
          <w:szCs w:val="32"/>
        </w:rPr>
        <w:t xml:space="preserve">9.1.2  </w:t>
      </w:r>
      <w:r>
        <w:rPr>
          <w:rFonts w:hint="eastAsia" w:ascii="宋体" w:hAnsi="宋体"/>
          <w:sz w:val="24"/>
          <w:szCs w:val="32"/>
        </w:rPr>
        <w:t>发包人应对其现场机构雇佣的全部人员的工伤事故承担责任，但由于承包人原因造成发包人人员工伤的，应由承包人承担责任。</w:t>
      </w:r>
    </w:p>
    <w:p w14:paraId="672111D8">
      <w:pPr>
        <w:wordWrap w:val="0"/>
        <w:spacing w:line="360" w:lineRule="auto"/>
        <w:ind w:firstLine="480" w:firstLineChars="200"/>
        <w:rPr>
          <w:rFonts w:ascii="宋体"/>
          <w:sz w:val="24"/>
          <w:szCs w:val="32"/>
        </w:rPr>
      </w:pPr>
      <w:r>
        <w:rPr>
          <w:rFonts w:ascii="宋体" w:hAnsi="宋体"/>
          <w:sz w:val="24"/>
          <w:szCs w:val="32"/>
        </w:rPr>
        <w:t xml:space="preserve">9.1.3  </w:t>
      </w:r>
      <w:r>
        <w:rPr>
          <w:rFonts w:hint="eastAsia" w:ascii="宋体" w:hAnsi="宋体"/>
          <w:sz w:val="24"/>
          <w:szCs w:val="32"/>
        </w:rPr>
        <w:t>发包人应负责赔偿以下各种情况造成的第三者人身伤亡和财产损失：</w:t>
      </w:r>
    </w:p>
    <w:p w14:paraId="7AB66B39">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）工程或工程的任何部分对土地的占用所造成的第三者财产损失；</w:t>
      </w:r>
    </w:p>
    <w:p w14:paraId="433C6F28">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）由于发包人原因在施工场地及其毗邻地带造成的第三者人身伤亡和财产损失。</w:t>
      </w:r>
    </w:p>
    <w:p w14:paraId="00811858">
      <w:pPr>
        <w:wordWrap w:val="0"/>
        <w:spacing w:before="120" w:beforeLines="50" w:after="120" w:afterLines="50" w:line="360" w:lineRule="auto"/>
        <w:outlineLvl w:val="2"/>
        <w:rPr>
          <w:rFonts w:ascii="宋体"/>
          <w:kern w:val="0"/>
          <w:sz w:val="24"/>
          <w:szCs w:val="20"/>
        </w:rPr>
      </w:pPr>
      <w:bookmarkStart w:id="1474" w:name="_Toc480486966"/>
      <w:bookmarkStart w:id="1475" w:name="_Toc486580112"/>
      <w:bookmarkStart w:id="1476" w:name="_Toc342296326"/>
      <w:bookmarkStart w:id="1477" w:name="_Toc490222557"/>
      <w:bookmarkStart w:id="1478" w:name="_Toc489279923"/>
      <w:bookmarkStart w:id="1479" w:name="_Toc480486794"/>
      <w:bookmarkStart w:id="1480" w:name="_Toc483668141"/>
      <w:bookmarkStart w:id="1481" w:name="_Toc207289643"/>
      <w:bookmarkStart w:id="1482" w:name="_Toc338944768"/>
      <w:r>
        <w:rPr>
          <w:rFonts w:ascii="宋体"/>
          <w:kern w:val="0"/>
          <w:sz w:val="24"/>
          <w:szCs w:val="20"/>
        </w:rPr>
        <w:t xml:space="preserve">9.2  </w:t>
      </w:r>
      <w:r>
        <w:rPr>
          <w:rFonts w:hint="eastAsia" w:ascii="宋体"/>
          <w:kern w:val="0"/>
          <w:sz w:val="24"/>
          <w:szCs w:val="20"/>
        </w:rPr>
        <w:t>承包人的施工安全责任</w:t>
      </w:r>
      <w:bookmarkEnd w:id="1474"/>
      <w:bookmarkEnd w:id="1475"/>
      <w:bookmarkEnd w:id="1476"/>
      <w:bookmarkEnd w:id="1477"/>
      <w:bookmarkEnd w:id="1478"/>
      <w:bookmarkEnd w:id="1479"/>
      <w:bookmarkEnd w:id="1480"/>
      <w:bookmarkEnd w:id="1481"/>
      <w:bookmarkEnd w:id="1482"/>
    </w:p>
    <w:p w14:paraId="738F8E08">
      <w:pPr>
        <w:wordWrap w:val="0"/>
        <w:spacing w:line="360" w:lineRule="auto"/>
        <w:ind w:firstLine="480" w:firstLineChars="200"/>
        <w:rPr>
          <w:rFonts w:ascii="宋体"/>
          <w:sz w:val="24"/>
          <w:szCs w:val="32"/>
        </w:rPr>
      </w:pPr>
      <w:r>
        <w:rPr>
          <w:rFonts w:ascii="宋体" w:hAnsi="宋体"/>
          <w:sz w:val="24"/>
          <w:szCs w:val="32"/>
        </w:rPr>
        <w:t xml:space="preserve">9.2.1  </w:t>
      </w:r>
      <w:r>
        <w:rPr>
          <w:rFonts w:hint="eastAsia" w:ascii="宋体" w:hAnsi="宋体"/>
          <w:sz w:val="24"/>
          <w:szCs w:val="32"/>
        </w:rPr>
        <w:t>承包人应按合同约定履行安全职责</w:t>
      </w:r>
      <w:r>
        <w:rPr>
          <w:rFonts w:ascii="宋体"/>
          <w:sz w:val="24"/>
          <w:szCs w:val="32"/>
        </w:rPr>
        <w:t>,</w:t>
      </w:r>
      <w:r>
        <w:rPr>
          <w:rFonts w:hint="eastAsia" w:ascii="宋体" w:hAnsi="宋体"/>
          <w:sz w:val="24"/>
          <w:szCs w:val="32"/>
        </w:rPr>
        <w:t>执行监理人有关安全工作的指示</w:t>
      </w:r>
      <w:r>
        <w:rPr>
          <w:rFonts w:ascii="宋体"/>
          <w:sz w:val="24"/>
          <w:szCs w:val="32"/>
        </w:rPr>
        <w:t>,</w:t>
      </w:r>
      <w:r>
        <w:rPr>
          <w:rFonts w:hint="eastAsia" w:ascii="宋体" w:hAnsi="宋体"/>
          <w:sz w:val="24"/>
          <w:szCs w:val="32"/>
        </w:rPr>
        <w:t>并在合同条款专用部分约定的期限内，按合同约定的安全工作内容，编制施工安全措施计划报送监理人审批。监理人应在合同条款专用部分约定的期限内完成批复。</w:t>
      </w:r>
    </w:p>
    <w:p w14:paraId="6548AD3C">
      <w:pPr>
        <w:wordWrap w:val="0"/>
        <w:spacing w:line="360" w:lineRule="auto"/>
        <w:ind w:firstLine="480" w:firstLineChars="200"/>
        <w:rPr>
          <w:rFonts w:ascii="宋体"/>
          <w:sz w:val="24"/>
          <w:szCs w:val="32"/>
        </w:rPr>
      </w:pPr>
      <w:r>
        <w:rPr>
          <w:rFonts w:ascii="宋体" w:hAnsi="宋体"/>
          <w:sz w:val="24"/>
          <w:szCs w:val="32"/>
        </w:rPr>
        <w:t xml:space="preserve">9.2.2  </w:t>
      </w:r>
      <w:r>
        <w:rPr>
          <w:rFonts w:hint="eastAsia" w:ascii="宋体" w:hAnsi="宋体"/>
          <w:sz w:val="24"/>
          <w:szCs w:val="32"/>
        </w:rPr>
        <w:t>承包人应加强施工作业安全管理，特别应加强易燃、易爆材料、火工器材、有毒与腐蚀性材料、行业挥发性有机物和其他危险品的管理，以及对爆破作业和地下工程施工等危险作业的管理。</w:t>
      </w:r>
    </w:p>
    <w:p w14:paraId="302AC491">
      <w:pPr>
        <w:wordWrap w:val="0"/>
        <w:spacing w:line="360" w:lineRule="auto"/>
        <w:ind w:firstLine="480" w:firstLineChars="200"/>
        <w:rPr>
          <w:rFonts w:ascii="宋体"/>
          <w:sz w:val="24"/>
          <w:szCs w:val="32"/>
        </w:rPr>
      </w:pPr>
      <w:r>
        <w:rPr>
          <w:rFonts w:ascii="宋体" w:hAnsi="宋体"/>
          <w:sz w:val="24"/>
          <w:szCs w:val="32"/>
        </w:rPr>
        <w:t xml:space="preserve">9.2.3  </w:t>
      </w:r>
      <w:r>
        <w:rPr>
          <w:rFonts w:hint="eastAsia" w:ascii="宋体" w:hAnsi="宋体"/>
          <w:sz w:val="24"/>
          <w:szCs w:val="32"/>
        </w:rPr>
        <w:t>承包人应严格按照国家安全标准制定施工安全操作规程，配备必要的安全生产和劳动保护设施，加强对承包人人员的安全教育，并发放安全工作手册和劳动保护用具。</w:t>
      </w:r>
    </w:p>
    <w:p w14:paraId="73C3CC7C">
      <w:pPr>
        <w:wordWrap w:val="0"/>
        <w:spacing w:line="360" w:lineRule="auto"/>
        <w:ind w:firstLine="480" w:firstLineChars="200"/>
        <w:rPr>
          <w:rFonts w:ascii="宋体"/>
          <w:sz w:val="24"/>
          <w:szCs w:val="32"/>
        </w:rPr>
      </w:pPr>
      <w:r>
        <w:rPr>
          <w:rFonts w:ascii="宋体" w:hAnsi="宋体"/>
          <w:sz w:val="24"/>
          <w:szCs w:val="32"/>
        </w:rPr>
        <w:t xml:space="preserve">9.2.4  </w:t>
      </w:r>
      <w:r>
        <w:rPr>
          <w:rFonts w:hint="eastAsia" w:ascii="宋体" w:hAnsi="宋体"/>
          <w:sz w:val="24"/>
          <w:szCs w:val="32"/>
        </w:rPr>
        <w:t>承包人应按监理人的指示制定应对灾害的紧急预案，报送监理人审批。承包人还应按预案做好安全检查，配置必要的救助物资和器材，切实保护好有关人员的人身和财产安全。</w:t>
      </w:r>
    </w:p>
    <w:p w14:paraId="39889AC5">
      <w:pPr>
        <w:wordWrap w:val="0"/>
        <w:spacing w:line="360" w:lineRule="auto"/>
        <w:ind w:firstLine="480" w:firstLineChars="200"/>
        <w:rPr>
          <w:rFonts w:ascii="宋体"/>
          <w:sz w:val="24"/>
          <w:szCs w:val="32"/>
        </w:rPr>
      </w:pPr>
      <w:r>
        <w:rPr>
          <w:rFonts w:ascii="宋体" w:hAnsi="宋体"/>
          <w:sz w:val="24"/>
          <w:szCs w:val="32"/>
        </w:rPr>
        <w:t xml:space="preserve">9.2.5  </w:t>
      </w:r>
      <w:r>
        <w:rPr>
          <w:rFonts w:hint="eastAsia" w:ascii="宋体" w:hAnsi="宋体"/>
          <w:sz w:val="24"/>
          <w:szCs w:val="32"/>
        </w:rPr>
        <w:t>合同约定的安全作业环境及安全施工措施所需费用应遵守有关规定，并包括在相关工作的合同价格中。因采取合同未约定的安全作业环境及安全施工措施增加的费用，由监理人按第</w:t>
      </w:r>
      <w:r>
        <w:rPr>
          <w:rFonts w:ascii="宋体" w:hAnsi="宋体"/>
          <w:sz w:val="24"/>
          <w:szCs w:val="32"/>
        </w:rPr>
        <w:t>3.5</w:t>
      </w:r>
      <w:r>
        <w:rPr>
          <w:rFonts w:hint="eastAsia" w:ascii="宋体" w:hAnsi="宋体"/>
          <w:sz w:val="24"/>
          <w:szCs w:val="32"/>
        </w:rPr>
        <w:t>款商定或确定。</w:t>
      </w:r>
    </w:p>
    <w:p w14:paraId="48A65CCB">
      <w:pPr>
        <w:wordWrap w:val="0"/>
        <w:spacing w:line="360" w:lineRule="auto"/>
        <w:ind w:firstLine="480" w:firstLineChars="200"/>
        <w:rPr>
          <w:rFonts w:ascii="宋体"/>
          <w:sz w:val="24"/>
          <w:szCs w:val="32"/>
        </w:rPr>
      </w:pPr>
      <w:r>
        <w:rPr>
          <w:rFonts w:ascii="宋体" w:hAnsi="宋体"/>
          <w:sz w:val="24"/>
          <w:szCs w:val="32"/>
        </w:rPr>
        <w:t xml:space="preserve">9.2.6  </w:t>
      </w:r>
      <w:r>
        <w:rPr>
          <w:rFonts w:hint="eastAsia" w:ascii="宋体" w:hAnsi="宋体"/>
          <w:sz w:val="24"/>
          <w:szCs w:val="32"/>
        </w:rPr>
        <w:t>承包人应对其履行合同所雇佣的全部人员，包括分包人人员的工伤事故承担责任，但由于发包人原因造成承包人人员工伤事故的，应由发包人承担责任。</w:t>
      </w:r>
    </w:p>
    <w:p w14:paraId="3142C0CC">
      <w:pPr>
        <w:wordWrap w:val="0"/>
        <w:spacing w:line="360" w:lineRule="auto"/>
        <w:ind w:firstLine="480" w:firstLineChars="200"/>
        <w:rPr>
          <w:rFonts w:ascii="宋体"/>
          <w:sz w:val="24"/>
          <w:szCs w:val="32"/>
        </w:rPr>
      </w:pPr>
      <w:r>
        <w:rPr>
          <w:rFonts w:ascii="宋体" w:hAnsi="宋体"/>
          <w:sz w:val="24"/>
          <w:szCs w:val="32"/>
        </w:rPr>
        <w:t xml:space="preserve">9.2.7  </w:t>
      </w:r>
      <w:r>
        <w:rPr>
          <w:rFonts w:hint="eastAsia" w:ascii="宋体" w:hAnsi="宋体"/>
          <w:sz w:val="24"/>
          <w:szCs w:val="32"/>
        </w:rPr>
        <w:t>由于承包人原因在施工场地内及其毗邻地带造成的第三者人员伤亡和财产损失，由承包人负责赔偿。</w:t>
      </w:r>
    </w:p>
    <w:p w14:paraId="68EB1EE9">
      <w:pPr>
        <w:wordWrap w:val="0"/>
        <w:spacing w:before="120" w:beforeLines="50" w:after="120" w:afterLines="50" w:line="360" w:lineRule="auto"/>
        <w:outlineLvl w:val="2"/>
        <w:rPr>
          <w:rFonts w:ascii="宋体"/>
          <w:kern w:val="0"/>
          <w:sz w:val="24"/>
          <w:szCs w:val="20"/>
        </w:rPr>
      </w:pPr>
      <w:bookmarkStart w:id="1483" w:name="_Toc480486967"/>
      <w:bookmarkStart w:id="1484" w:name="_Toc342296327"/>
      <w:bookmarkStart w:id="1485" w:name="_Toc207289644"/>
      <w:bookmarkStart w:id="1486" w:name="_Toc338944769"/>
      <w:bookmarkStart w:id="1487" w:name="_Toc486580113"/>
      <w:bookmarkStart w:id="1488" w:name="_Toc489279924"/>
      <w:bookmarkStart w:id="1489" w:name="_Toc480486795"/>
      <w:bookmarkStart w:id="1490" w:name="_Toc483668142"/>
      <w:bookmarkStart w:id="1491" w:name="_Toc490222558"/>
      <w:r>
        <w:rPr>
          <w:rFonts w:ascii="宋体"/>
          <w:kern w:val="0"/>
          <w:sz w:val="24"/>
          <w:szCs w:val="20"/>
        </w:rPr>
        <w:t xml:space="preserve">9.3  </w:t>
      </w:r>
      <w:r>
        <w:rPr>
          <w:rFonts w:hint="eastAsia" w:ascii="宋体"/>
          <w:kern w:val="0"/>
          <w:sz w:val="24"/>
          <w:szCs w:val="20"/>
        </w:rPr>
        <w:t>治安保卫</w:t>
      </w:r>
      <w:bookmarkEnd w:id="1483"/>
      <w:bookmarkEnd w:id="1484"/>
      <w:bookmarkEnd w:id="1485"/>
      <w:bookmarkEnd w:id="1486"/>
      <w:bookmarkEnd w:id="1487"/>
      <w:bookmarkEnd w:id="1488"/>
      <w:bookmarkEnd w:id="1489"/>
      <w:bookmarkEnd w:id="1490"/>
      <w:bookmarkEnd w:id="1491"/>
    </w:p>
    <w:p w14:paraId="1F0DB174">
      <w:pPr>
        <w:wordWrap w:val="0"/>
        <w:spacing w:line="360" w:lineRule="auto"/>
        <w:ind w:firstLine="480" w:firstLineChars="200"/>
        <w:rPr>
          <w:rFonts w:ascii="宋体"/>
          <w:sz w:val="24"/>
          <w:szCs w:val="32"/>
        </w:rPr>
      </w:pPr>
      <w:r>
        <w:rPr>
          <w:rFonts w:ascii="宋体" w:hAnsi="宋体"/>
          <w:sz w:val="24"/>
          <w:szCs w:val="32"/>
        </w:rPr>
        <w:t xml:space="preserve">9.3.1  </w:t>
      </w:r>
      <w:r>
        <w:rPr>
          <w:rFonts w:hint="eastAsia" w:ascii="宋体" w:hAnsi="宋体"/>
          <w:sz w:val="24"/>
          <w:szCs w:val="32"/>
        </w:rPr>
        <w:t>发包人应与当地公安部门协商，在现场建立治安管理机构或联防组织，负责统一管理施工场地的治安保卫事项，履行合同工程的治安保卫职责。</w:t>
      </w:r>
    </w:p>
    <w:p w14:paraId="6B5D7CB0">
      <w:pPr>
        <w:wordWrap w:val="0"/>
        <w:spacing w:line="360" w:lineRule="auto"/>
        <w:ind w:firstLine="480" w:firstLineChars="200"/>
        <w:rPr>
          <w:rFonts w:ascii="宋体"/>
          <w:sz w:val="24"/>
          <w:szCs w:val="32"/>
        </w:rPr>
      </w:pPr>
      <w:r>
        <w:rPr>
          <w:rFonts w:ascii="宋体" w:hAnsi="宋体"/>
          <w:sz w:val="24"/>
          <w:szCs w:val="32"/>
        </w:rPr>
        <w:t xml:space="preserve">9.3.2  </w:t>
      </w:r>
      <w:r>
        <w:rPr>
          <w:rFonts w:hint="eastAsia" w:ascii="宋体" w:hAnsi="宋体"/>
          <w:sz w:val="24"/>
          <w:szCs w:val="32"/>
        </w:rPr>
        <w:t>发包人和承包人除应协助现场治安管理机构或联防组织维护施工场地的社会治安外，还应做好包括生活区在内的各自管辖区的治安保卫工作。</w:t>
      </w:r>
    </w:p>
    <w:p w14:paraId="7C856C10">
      <w:pPr>
        <w:wordWrap w:val="0"/>
        <w:spacing w:line="360" w:lineRule="auto"/>
        <w:ind w:firstLine="480" w:firstLineChars="200"/>
        <w:rPr>
          <w:rFonts w:ascii="黑体" w:hAnsi="黑体" w:eastAsia="黑体"/>
          <w:sz w:val="24"/>
          <w:szCs w:val="32"/>
        </w:rPr>
      </w:pPr>
      <w:r>
        <w:rPr>
          <w:rFonts w:ascii="宋体" w:hAnsi="宋体"/>
          <w:sz w:val="24"/>
          <w:szCs w:val="32"/>
        </w:rPr>
        <w:t xml:space="preserve">9.3.3  </w:t>
      </w:r>
      <w:r>
        <w:rPr>
          <w:rFonts w:hint="eastAsia" w:ascii="宋体" w:hAnsi="宋体"/>
          <w:sz w:val="24"/>
          <w:szCs w:val="32"/>
        </w:rPr>
        <w:t>在工程开工前应当明确责任人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制定</w:t>
      </w:r>
      <w:r>
        <w:rPr>
          <w:rFonts w:hint="eastAsia" w:ascii="宋体" w:hAnsi="宋体"/>
          <w:sz w:val="24"/>
        </w:rPr>
        <w:t>施工场地治安管理计划和突发治安事件紧急预案的责任人</w:t>
      </w:r>
      <w:r>
        <w:rPr>
          <w:rFonts w:hint="eastAsia" w:ascii="黑体" w:hAnsi="黑体" w:eastAsia="黑体"/>
          <w:sz w:val="24"/>
          <w:szCs w:val="32"/>
        </w:rPr>
        <w:t>见合同条款专用部分。</w:t>
      </w:r>
    </w:p>
    <w:p w14:paraId="258F9308">
      <w:pPr>
        <w:wordWrap w:val="0"/>
        <w:spacing w:before="120" w:beforeLines="50" w:after="120" w:afterLines="50" w:line="360" w:lineRule="auto"/>
        <w:outlineLvl w:val="2"/>
        <w:rPr>
          <w:rFonts w:ascii="宋体"/>
          <w:kern w:val="0"/>
          <w:sz w:val="24"/>
          <w:szCs w:val="20"/>
        </w:rPr>
      </w:pPr>
      <w:bookmarkStart w:id="1492" w:name="_Toc342296328"/>
      <w:bookmarkStart w:id="1493" w:name="_Toc480486968"/>
      <w:bookmarkStart w:id="1494" w:name="_Toc483668143"/>
      <w:bookmarkStart w:id="1495" w:name="_Toc480486796"/>
      <w:bookmarkStart w:id="1496" w:name="_Toc207289645"/>
      <w:bookmarkStart w:id="1497" w:name="_Toc489279925"/>
      <w:bookmarkStart w:id="1498" w:name="_Toc486580114"/>
      <w:bookmarkStart w:id="1499" w:name="_Toc338944770"/>
      <w:bookmarkStart w:id="1500" w:name="_Toc490222559"/>
      <w:r>
        <w:rPr>
          <w:rFonts w:ascii="宋体"/>
          <w:kern w:val="0"/>
          <w:sz w:val="24"/>
          <w:szCs w:val="20"/>
        </w:rPr>
        <w:t xml:space="preserve">9.4  </w:t>
      </w:r>
      <w:r>
        <w:rPr>
          <w:rFonts w:hint="eastAsia" w:ascii="宋体"/>
          <w:kern w:val="0"/>
          <w:sz w:val="24"/>
          <w:szCs w:val="20"/>
        </w:rPr>
        <w:t>环境保护</w:t>
      </w:r>
      <w:bookmarkEnd w:id="1492"/>
      <w:bookmarkEnd w:id="1493"/>
      <w:bookmarkEnd w:id="1494"/>
      <w:bookmarkEnd w:id="1495"/>
      <w:bookmarkEnd w:id="1496"/>
      <w:bookmarkEnd w:id="1497"/>
      <w:bookmarkEnd w:id="1498"/>
      <w:bookmarkEnd w:id="1499"/>
      <w:bookmarkEnd w:id="1500"/>
    </w:p>
    <w:p w14:paraId="10085F11">
      <w:pPr>
        <w:wordWrap w:val="0"/>
        <w:spacing w:line="360" w:lineRule="auto"/>
        <w:ind w:firstLine="480" w:firstLineChars="200"/>
        <w:rPr>
          <w:rFonts w:ascii="宋体"/>
          <w:sz w:val="24"/>
          <w:szCs w:val="32"/>
        </w:rPr>
      </w:pPr>
      <w:r>
        <w:rPr>
          <w:rFonts w:ascii="宋体" w:hAnsi="宋体"/>
          <w:sz w:val="24"/>
          <w:szCs w:val="32"/>
        </w:rPr>
        <w:t xml:space="preserve">9.4.1  </w:t>
      </w:r>
      <w:r>
        <w:rPr>
          <w:rFonts w:hint="eastAsia" w:ascii="宋体" w:hAnsi="宋体"/>
          <w:sz w:val="24"/>
          <w:szCs w:val="32"/>
        </w:rPr>
        <w:t>承包人在施工过程中，应遵守有关环境保护的法律，履行合同约定的环境保护义务，并对违反法律和合同约定义务所造成的环境破坏、人身伤害和财产损失负责。</w:t>
      </w:r>
    </w:p>
    <w:p w14:paraId="2C33DBC1">
      <w:pPr>
        <w:wordWrap w:val="0"/>
        <w:spacing w:line="360" w:lineRule="auto"/>
        <w:ind w:firstLine="480" w:firstLineChars="200"/>
        <w:rPr>
          <w:rFonts w:ascii="宋体"/>
          <w:sz w:val="24"/>
          <w:szCs w:val="32"/>
        </w:rPr>
      </w:pPr>
      <w:r>
        <w:rPr>
          <w:rFonts w:ascii="宋体" w:hAnsi="宋体"/>
          <w:sz w:val="24"/>
          <w:szCs w:val="32"/>
        </w:rPr>
        <w:t xml:space="preserve">9.4.2  </w:t>
      </w:r>
      <w:r>
        <w:rPr>
          <w:rFonts w:hint="eastAsia" w:ascii="宋体" w:hAnsi="宋体"/>
          <w:sz w:val="24"/>
          <w:szCs w:val="32"/>
        </w:rPr>
        <w:t>承包人应建立</w:t>
      </w:r>
      <w:r>
        <w:rPr>
          <w:rFonts w:hint="eastAsia" w:ascii="宋体" w:hAnsi="宋体"/>
          <w:sz w:val="24"/>
        </w:rPr>
        <w:t>施工扬尘治理、建筑垃圾、土方和砂石清运与消纳、保证使用已在本市进行信息编码登记符合排放标准的非道路移动机械和严禁使用高排放非道路移动机械以及行业挥发性有机物治理</w:t>
      </w:r>
      <w:r>
        <w:rPr>
          <w:rFonts w:hint="eastAsia" w:ascii="宋体" w:hAnsi="宋体"/>
          <w:kern w:val="0"/>
          <w:sz w:val="24"/>
        </w:rPr>
        <w:t>（如</w:t>
      </w:r>
      <w:r>
        <w:rPr>
          <w:rFonts w:hint="eastAsia" w:ascii="宋体" w:hAnsi="宋体"/>
          <w:kern w:val="0"/>
          <w:sz w:val="24"/>
          <w:szCs w:val="32"/>
        </w:rPr>
        <w:t>建筑外墙涂装、钢结构等鼓励使用水性漆替代油性漆；建筑施工、室外构筑物防护和道路交通标识等其他涂装作业，推广使用水性、高固体分、无溶剂、粉末等涂料和水基、本体型等低VOCs含量胶粘剂</w:t>
      </w:r>
      <w:r>
        <w:rPr>
          <w:rFonts w:hint="eastAsia" w:ascii="宋体" w:hAnsi="宋体"/>
          <w:kern w:val="0"/>
          <w:sz w:val="24"/>
        </w:rPr>
        <w:t>）</w:t>
      </w:r>
      <w:r>
        <w:rPr>
          <w:rFonts w:hint="eastAsia" w:ascii="宋体" w:hAnsi="宋体"/>
          <w:sz w:val="24"/>
        </w:rPr>
        <w:t>等</w:t>
      </w:r>
      <w:r>
        <w:rPr>
          <w:rFonts w:hint="eastAsia" w:ascii="宋体" w:hAnsi="宋体"/>
          <w:sz w:val="24"/>
          <w:szCs w:val="32"/>
        </w:rPr>
        <w:t>责任制，针对工程项目特点制定具体的实施方案，并严格实施。如扬尘治理，承包人应在建筑工地公示施工扬尘治理措施、责任人、主管部门等信息，并及时向当地主管部门报送施工扬尘治理措施落实情况。</w:t>
      </w:r>
    </w:p>
    <w:p w14:paraId="5C824704">
      <w:pPr>
        <w:wordWrap w:val="0"/>
        <w:spacing w:line="360" w:lineRule="auto"/>
        <w:ind w:firstLine="480" w:firstLineChars="200"/>
        <w:rPr>
          <w:rFonts w:ascii="宋体"/>
          <w:sz w:val="24"/>
          <w:szCs w:val="32"/>
        </w:rPr>
      </w:pPr>
      <w:r>
        <w:rPr>
          <w:rFonts w:ascii="宋体" w:hAnsi="宋体"/>
          <w:sz w:val="24"/>
          <w:szCs w:val="32"/>
        </w:rPr>
        <w:t xml:space="preserve">9.4.3  </w:t>
      </w:r>
      <w:r>
        <w:rPr>
          <w:rFonts w:hint="eastAsia" w:ascii="宋体" w:hAnsi="宋体"/>
          <w:sz w:val="24"/>
          <w:szCs w:val="32"/>
        </w:rPr>
        <w:t>承包人应在合同条款专用部分约定的时限内，按合同约定的环保工作内容，编制施工环保措施计划（包含第</w:t>
      </w:r>
      <w:r>
        <w:rPr>
          <w:rFonts w:ascii="宋体" w:hAnsi="宋体"/>
          <w:sz w:val="24"/>
          <w:szCs w:val="32"/>
        </w:rPr>
        <w:t>9.4.2</w:t>
      </w:r>
      <w:r>
        <w:rPr>
          <w:rFonts w:hint="eastAsia" w:ascii="宋体" w:hAnsi="宋体"/>
          <w:sz w:val="24"/>
          <w:szCs w:val="32"/>
        </w:rPr>
        <w:t>项约定的实施方案内容），报送监理人审批。监理人在合同条款专用部分约定的期限内给予批复。</w:t>
      </w:r>
    </w:p>
    <w:p w14:paraId="0CEB3E5F">
      <w:pPr>
        <w:wordWrap w:val="0"/>
        <w:spacing w:line="360" w:lineRule="auto"/>
        <w:ind w:firstLine="480" w:firstLineChars="200"/>
        <w:rPr>
          <w:rFonts w:ascii="宋体"/>
          <w:sz w:val="24"/>
          <w:szCs w:val="32"/>
        </w:rPr>
      </w:pPr>
      <w:r>
        <w:rPr>
          <w:rFonts w:ascii="宋体" w:hAnsi="宋体"/>
          <w:sz w:val="24"/>
          <w:szCs w:val="32"/>
        </w:rPr>
        <w:t xml:space="preserve">9.4.4  </w:t>
      </w:r>
      <w:r>
        <w:rPr>
          <w:rFonts w:hint="eastAsia" w:ascii="宋体" w:hAnsi="宋体"/>
          <w:sz w:val="24"/>
          <w:szCs w:val="32"/>
        </w:rPr>
        <w:t>承包人应按照批准的施工环保措施计划有序地堆放和处理施工废弃物</w:t>
      </w:r>
      <w:r>
        <w:rPr>
          <w:rFonts w:hint="eastAsia" w:ascii="宋体" w:hAnsi="宋体"/>
          <w:sz w:val="24"/>
        </w:rPr>
        <w:t>，</w:t>
      </w:r>
      <w:r>
        <w:rPr>
          <w:rFonts w:hint="eastAsia" w:ascii="宋体" w:hAnsi="宋体"/>
          <w:sz w:val="24"/>
          <w:szCs w:val="32"/>
        </w:rPr>
        <w:t>避免对环境造成破坏。因承包人任意堆放或弃置施工废弃物造成妨碍公共交通、影响城镇居民生活、降低河流行洪能力、危及居民安全、破坏和污染环境，或者影响其他承包人施工等后果的，承包人应承担责任。</w:t>
      </w:r>
    </w:p>
    <w:p w14:paraId="37C474CA">
      <w:pPr>
        <w:wordWrap w:val="0"/>
        <w:spacing w:line="360" w:lineRule="auto"/>
        <w:ind w:firstLine="480" w:firstLineChars="200"/>
        <w:rPr>
          <w:rFonts w:ascii="宋体"/>
          <w:sz w:val="24"/>
          <w:szCs w:val="32"/>
        </w:rPr>
      </w:pPr>
      <w:r>
        <w:rPr>
          <w:rFonts w:ascii="宋体" w:hAnsi="宋体"/>
          <w:sz w:val="24"/>
          <w:szCs w:val="32"/>
        </w:rPr>
        <w:t xml:space="preserve">9.4.5  </w:t>
      </w:r>
      <w:r>
        <w:rPr>
          <w:rFonts w:hint="eastAsia" w:ascii="宋体" w:hAnsi="宋体"/>
          <w:sz w:val="24"/>
          <w:szCs w:val="32"/>
        </w:rPr>
        <w:t>承包人应按合同约定采取有效措施，对施工开挖的边坡及时进行支护</w:t>
      </w:r>
      <w:r>
        <w:rPr>
          <w:rFonts w:ascii="宋体"/>
          <w:sz w:val="24"/>
          <w:szCs w:val="32"/>
        </w:rPr>
        <w:t>,</w:t>
      </w:r>
      <w:r>
        <w:rPr>
          <w:rFonts w:hint="eastAsia" w:ascii="宋体" w:hAnsi="宋体"/>
          <w:sz w:val="24"/>
          <w:szCs w:val="32"/>
        </w:rPr>
        <w:t>维护排水设施，并进行水土保护，避免因施工造成的地质灾害。</w:t>
      </w:r>
    </w:p>
    <w:p w14:paraId="06C13EA8">
      <w:pPr>
        <w:wordWrap w:val="0"/>
        <w:spacing w:line="360" w:lineRule="auto"/>
        <w:ind w:firstLine="480" w:firstLineChars="200"/>
        <w:rPr>
          <w:rFonts w:ascii="宋体"/>
          <w:sz w:val="24"/>
          <w:szCs w:val="32"/>
        </w:rPr>
      </w:pPr>
      <w:r>
        <w:rPr>
          <w:rFonts w:ascii="宋体" w:hAnsi="宋体"/>
          <w:sz w:val="24"/>
          <w:szCs w:val="32"/>
        </w:rPr>
        <w:t xml:space="preserve">9.4.6  </w:t>
      </w:r>
      <w:r>
        <w:rPr>
          <w:rFonts w:hint="eastAsia" w:ascii="宋体" w:hAnsi="宋体"/>
          <w:sz w:val="24"/>
          <w:szCs w:val="32"/>
        </w:rPr>
        <w:t>承包人应按国家饮用水管理标准定期对饮用水源进行监测，防止施工活动污染饮用水源。</w:t>
      </w:r>
    </w:p>
    <w:p w14:paraId="3E8D5B45">
      <w:pPr>
        <w:wordWrap w:val="0"/>
        <w:spacing w:line="360" w:lineRule="auto"/>
        <w:ind w:firstLine="484" w:firstLineChars="202"/>
        <w:rPr>
          <w:rFonts w:ascii="宋体"/>
          <w:sz w:val="24"/>
          <w:szCs w:val="32"/>
        </w:rPr>
      </w:pPr>
      <w:r>
        <w:rPr>
          <w:rFonts w:ascii="宋体" w:hAnsi="宋体"/>
          <w:sz w:val="24"/>
          <w:szCs w:val="32"/>
        </w:rPr>
        <w:t xml:space="preserve">9.4.7  </w:t>
      </w:r>
      <w:r>
        <w:rPr>
          <w:rFonts w:hint="eastAsia" w:ascii="宋体" w:hAnsi="宋体"/>
          <w:sz w:val="24"/>
          <w:szCs w:val="32"/>
        </w:rPr>
        <w:t>承包人应按合同约定，加强对噪声、粉尘、废气、废水和废油的控制，努力降低噪声，控制粉尘和废气浓度，做好废水和废油的治理和排放。</w:t>
      </w:r>
    </w:p>
    <w:p w14:paraId="4FF32E4C">
      <w:pPr>
        <w:wordWrap w:val="0"/>
        <w:spacing w:before="120" w:beforeLines="50" w:after="120" w:afterLines="50" w:line="360" w:lineRule="auto"/>
        <w:outlineLvl w:val="2"/>
        <w:rPr>
          <w:rFonts w:ascii="宋体"/>
          <w:kern w:val="0"/>
          <w:sz w:val="24"/>
          <w:szCs w:val="20"/>
        </w:rPr>
      </w:pPr>
      <w:bookmarkStart w:id="1501" w:name="_Toc179632696"/>
      <w:bookmarkStart w:id="1502" w:name="_Toc483668144"/>
      <w:bookmarkStart w:id="1503" w:name="_Toc342296329"/>
      <w:bookmarkStart w:id="1504" w:name="_Toc480486969"/>
      <w:bookmarkStart w:id="1505" w:name="_Toc338944771"/>
      <w:bookmarkStart w:id="1506" w:name="_Toc480486797"/>
      <w:bookmarkStart w:id="1507" w:name="_Toc152045678"/>
      <w:bookmarkStart w:id="1508" w:name="_Toc144974646"/>
      <w:bookmarkStart w:id="1509" w:name="_Toc489279926"/>
      <w:bookmarkStart w:id="1510" w:name="_Toc152042456"/>
      <w:bookmarkStart w:id="1511" w:name="_Toc486580115"/>
      <w:bookmarkStart w:id="1512" w:name="_Toc207289646"/>
      <w:bookmarkStart w:id="1513" w:name="_Toc490222560"/>
      <w:r>
        <w:rPr>
          <w:rFonts w:ascii="宋体"/>
          <w:kern w:val="0"/>
          <w:sz w:val="24"/>
          <w:szCs w:val="20"/>
        </w:rPr>
        <w:t xml:space="preserve">9.5  </w:t>
      </w:r>
      <w:r>
        <w:rPr>
          <w:rFonts w:hint="eastAsia" w:ascii="宋体"/>
          <w:kern w:val="0"/>
          <w:sz w:val="24"/>
          <w:szCs w:val="20"/>
        </w:rPr>
        <w:t>事故处理</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p>
    <w:p w14:paraId="3F43F758">
      <w:pPr>
        <w:wordWrap w:val="0"/>
        <w:spacing w:line="360" w:lineRule="auto"/>
        <w:ind w:firstLine="480" w:firstLineChars="200"/>
        <w:rPr>
          <w:rFonts w:ascii="宋体"/>
          <w:sz w:val="24"/>
          <w:szCs w:val="32"/>
        </w:rPr>
      </w:pPr>
      <w:r>
        <w:rPr>
          <w:rFonts w:hint="eastAsia" w:ascii="宋体" w:hAnsi="宋体"/>
          <w:sz w:val="24"/>
          <w:szCs w:val="32"/>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D74CDBA">
      <w:pPr>
        <w:wordWrap w:val="0"/>
        <w:spacing w:before="120" w:beforeLines="50" w:after="120" w:afterLines="50" w:line="360" w:lineRule="auto"/>
        <w:outlineLvl w:val="2"/>
        <w:rPr>
          <w:rFonts w:ascii="宋体"/>
          <w:kern w:val="0"/>
          <w:sz w:val="24"/>
          <w:szCs w:val="20"/>
        </w:rPr>
      </w:pPr>
      <w:bookmarkStart w:id="1514" w:name="_Toc207289647"/>
      <w:r>
        <w:rPr>
          <w:rFonts w:ascii="宋体"/>
          <w:kern w:val="0"/>
          <w:sz w:val="24"/>
          <w:szCs w:val="20"/>
        </w:rPr>
        <w:t xml:space="preserve">9.6  </w:t>
      </w:r>
      <w:r>
        <w:rPr>
          <w:rFonts w:hint="eastAsia" w:ascii="宋体"/>
          <w:kern w:val="0"/>
          <w:sz w:val="24"/>
          <w:szCs w:val="20"/>
        </w:rPr>
        <w:t>施工现场安全生产标准化管理目标</w:t>
      </w:r>
      <w:bookmarkEnd w:id="1514"/>
    </w:p>
    <w:p w14:paraId="75051B7A">
      <w:pPr>
        <w:wordWrap w:val="0"/>
        <w:spacing w:line="360" w:lineRule="auto"/>
        <w:ind w:firstLine="480" w:firstLineChars="200"/>
        <w:rPr>
          <w:rFonts w:ascii="宋体"/>
          <w:sz w:val="24"/>
          <w:szCs w:val="32"/>
        </w:rPr>
      </w:pPr>
      <w:r>
        <w:rPr>
          <w:rFonts w:ascii="宋体" w:hAnsi="宋体"/>
          <w:sz w:val="24"/>
          <w:szCs w:val="32"/>
        </w:rPr>
        <w:t>9.6.1</w:t>
      </w:r>
      <w:r>
        <w:rPr>
          <w:rFonts w:hint="eastAsia" w:ascii="宋体" w:hAnsi="宋体"/>
          <w:sz w:val="24"/>
          <w:szCs w:val="32"/>
        </w:rPr>
        <w:t>由于承包人原因，施工现场安全生产标准化评定、认定等级未达到合同协议书中约定的管理目标等级但“达标（合格）”的，承包人应当向发包人支付未达到合同协议书中约定的安全生产标准化管理目标等级的违约金或损失赔偿金。未达到合同协议书中约定的安全生产标准化管理目标等级的违约金或损失赔偿金的金额或者计算方法</w:t>
      </w:r>
      <w:r>
        <w:rPr>
          <w:rFonts w:hint="eastAsia" w:ascii="黑体" w:hAnsi="黑体" w:eastAsia="黑体"/>
          <w:sz w:val="24"/>
          <w:szCs w:val="32"/>
        </w:rPr>
        <w:t>见合同条款专用部分。</w:t>
      </w:r>
    </w:p>
    <w:p w14:paraId="5FFC1F63">
      <w:pPr>
        <w:wordWrap w:val="0"/>
        <w:spacing w:line="360" w:lineRule="auto"/>
        <w:ind w:firstLine="480" w:firstLineChars="200"/>
        <w:rPr>
          <w:rFonts w:ascii="黑体" w:hAnsi="黑体" w:eastAsia="黑体"/>
          <w:sz w:val="24"/>
          <w:szCs w:val="32"/>
        </w:rPr>
      </w:pPr>
      <w:r>
        <w:rPr>
          <w:rFonts w:ascii="宋体" w:hAnsi="宋体"/>
          <w:sz w:val="24"/>
          <w:szCs w:val="32"/>
        </w:rPr>
        <w:t xml:space="preserve">9.6.2 </w:t>
      </w:r>
      <w:r>
        <w:rPr>
          <w:rFonts w:hint="eastAsia" w:ascii="宋体" w:hAnsi="宋体"/>
          <w:sz w:val="24"/>
          <w:szCs w:val="32"/>
        </w:rPr>
        <w:t>发包人鼓励承包人提高施工现场安全生产标准化管理。施工现场安全生产标准化评定、认定等级高于合同协议书中约定的管理目标等级的，发包人可给予承包人创优奖励。发包人是否给予承包人创优奖励及创优奖励金额或者计算方法</w:t>
      </w:r>
      <w:r>
        <w:rPr>
          <w:rFonts w:hint="eastAsia" w:ascii="黑体" w:hAnsi="黑体" w:eastAsia="黑体"/>
          <w:sz w:val="24"/>
          <w:szCs w:val="32"/>
        </w:rPr>
        <w:t>见合同条款专用部分。</w:t>
      </w:r>
    </w:p>
    <w:p w14:paraId="664D13C5">
      <w:pPr>
        <w:tabs>
          <w:tab w:val="left" w:pos="567"/>
        </w:tabs>
        <w:wordWrap w:val="0"/>
        <w:spacing w:before="120" w:beforeLines="50" w:after="120" w:afterLines="50" w:line="360" w:lineRule="auto"/>
        <w:outlineLvl w:val="2"/>
        <w:rPr>
          <w:rFonts w:ascii="宋体"/>
          <w:kern w:val="0"/>
          <w:sz w:val="24"/>
          <w:szCs w:val="20"/>
        </w:rPr>
      </w:pPr>
      <w:bookmarkStart w:id="1515" w:name="_Toc207289648"/>
      <w:r>
        <w:rPr>
          <w:rFonts w:ascii="宋体"/>
          <w:kern w:val="0"/>
          <w:sz w:val="24"/>
          <w:szCs w:val="20"/>
        </w:rPr>
        <w:t xml:space="preserve">9.7  </w:t>
      </w:r>
      <w:r>
        <w:rPr>
          <w:rFonts w:hint="eastAsia" w:ascii="宋体"/>
          <w:kern w:val="0"/>
          <w:sz w:val="24"/>
          <w:szCs w:val="20"/>
        </w:rPr>
        <w:t>特殊</w:t>
      </w:r>
      <w:bookmarkStart w:id="1516" w:name="_Hlk199426990"/>
      <w:r>
        <w:rPr>
          <w:rFonts w:hint="eastAsia" w:ascii="宋体"/>
          <w:kern w:val="0"/>
          <w:sz w:val="24"/>
          <w:szCs w:val="20"/>
        </w:rPr>
        <w:t>安全生产标准化</w:t>
      </w:r>
      <w:bookmarkEnd w:id="1515"/>
      <w:bookmarkEnd w:id="1516"/>
    </w:p>
    <w:p w14:paraId="35FC619B">
      <w:pPr>
        <w:wordWrap w:val="0"/>
        <w:spacing w:line="360" w:lineRule="auto"/>
        <w:ind w:firstLine="480" w:firstLineChars="200"/>
        <w:rPr>
          <w:rFonts w:ascii="宋体"/>
          <w:sz w:val="24"/>
          <w:szCs w:val="32"/>
        </w:rPr>
      </w:pPr>
      <w:r>
        <w:rPr>
          <w:rFonts w:ascii="宋体" w:hAnsi="宋体"/>
          <w:sz w:val="24"/>
          <w:szCs w:val="32"/>
        </w:rPr>
        <w:t>9.7.1</w:t>
      </w:r>
      <w:r>
        <w:rPr>
          <w:rFonts w:hint="eastAsia" w:ascii="宋体" w:hAnsi="宋体"/>
          <w:sz w:val="24"/>
          <w:szCs w:val="32"/>
        </w:rPr>
        <w:t>由于承包人原因，特殊安全生产标准化要求未达到合同约定的要求，承包人应当向发包人支付未达到合同约定的特殊安全生产标准化要求的违约金或损失赔偿金。未达到合同约定的特殊安全生产标准化要求的违约金或损失赔偿金的金额或者计算方法</w:t>
      </w:r>
      <w:r>
        <w:rPr>
          <w:rFonts w:hint="eastAsia" w:ascii="黑体" w:hAnsi="黑体" w:eastAsia="黑体"/>
          <w:sz w:val="24"/>
          <w:szCs w:val="32"/>
        </w:rPr>
        <w:t>见合同条款专用部分。</w:t>
      </w:r>
    </w:p>
    <w:p w14:paraId="2E394682">
      <w:pPr>
        <w:wordWrap w:val="0"/>
        <w:spacing w:line="360" w:lineRule="auto"/>
        <w:ind w:firstLine="480" w:firstLineChars="200"/>
        <w:rPr>
          <w:rFonts w:ascii="黑体" w:hAnsi="黑体" w:eastAsia="黑体"/>
          <w:sz w:val="24"/>
          <w:szCs w:val="32"/>
        </w:rPr>
      </w:pPr>
      <w:r>
        <w:rPr>
          <w:rFonts w:ascii="宋体" w:hAnsi="宋体"/>
          <w:sz w:val="24"/>
          <w:szCs w:val="32"/>
        </w:rPr>
        <w:t>9.7</w:t>
      </w:r>
      <w:r>
        <w:rPr>
          <w:rFonts w:ascii="宋体"/>
          <w:sz w:val="24"/>
          <w:szCs w:val="32"/>
        </w:rPr>
        <w:t>.</w:t>
      </w:r>
      <w:r>
        <w:rPr>
          <w:rFonts w:ascii="宋体" w:hAnsi="宋体"/>
          <w:sz w:val="24"/>
          <w:szCs w:val="32"/>
        </w:rPr>
        <w:t xml:space="preserve">2 </w:t>
      </w:r>
      <w:r>
        <w:rPr>
          <w:rFonts w:hint="eastAsia" w:ascii="宋体" w:hAnsi="宋体"/>
          <w:sz w:val="24"/>
          <w:szCs w:val="32"/>
        </w:rPr>
        <w:t>发包人鼓励承包人提高特殊安全生产标准化要求。特殊安全生产标准化要求高于合同约定的要求，发包人可给予承包人创优奖励。发包人是否给予承包人创优奖励及创优奖励金额或者计算方法</w:t>
      </w:r>
      <w:r>
        <w:rPr>
          <w:rFonts w:hint="eastAsia" w:ascii="黑体" w:hAnsi="黑体" w:eastAsia="黑体"/>
          <w:sz w:val="24"/>
          <w:szCs w:val="32"/>
        </w:rPr>
        <w:t>见合同条款专用部分。</w:t>
      </w:r>
    </w:p>
    <w:p w14:paraId="6652C2D7">
      <w:pPr>
        <w:tabs>
          <w:tab w:val="left" w:pos="576"/>
        </w:tabs>
        <w:wordWrap w:val="0"/>
        <w:spacing w:before="120" w:beforeLines="50" w:after="120" w:afterLines="50" w:line="360" w:lineRule="auto"/>
        <w:outlineLvl w:val="1"/>
        <w:rPr>
          <w:rFonts w:ascii="宋体" w:cs="宋体"/>
          <w:sz w:val="28"/>
          <w:szCs w:val="20"/>
        </w:rPr>
      </w:pPr>
      <w:bookmarkStart w:id="1517" w:name="_Toc486580116"/>
      <w:bookmarkStart w:id="1518" w:name="_Toc490222561"/>
      <w:bookmarkStart w:id="1519" w:name="_Toc338944772"/>
      <w:bookmarkStart w:id="1520" w:name="_Toc489279927"/>
      <w:bookmarkStart w:id="1521" w:name="_Toc483668145"/>
      <w:bookmarkStart w:id="1522" w:name="_Toc480486970"/>
      <w:bookmarkStart w:id="1523" w:name="_Toc480486798"/>
      <w:bookmarkStart w:id="1524" w:name="_Toc342296330"/>
      <w:bookmarkStart w:id="1525" w:name="_Toc207289649"/>
      <w:r>
        <w:rPr>
          <w:rFonts w:ascii="宋体" w:cs="宋体"/>
          <w:sz w:val="28"/>
          <w:szCs w:val="20"/>
        </w:rPr>
        <w:t>10.</w:t>
      </w:r>
      <w:r>
        <w:rPr>
          <w:rFonts w:hint="eastAsia" w:ascii="宋体" w:cs="宋体"/>
          <w:sz w:val="28"/>
          <w:szCs w:val="20"/>
        </w:rPr>
        <w:t>进度计划</w:t>
      </w:r>
      <w:bookmarkEnd w:id="1517"/>
      <w:bookmarkEnd w:id="1518"/>
      <w:bookmarkEnd w:id="1519"/>
      <w:bookmarkEnd w:id="1520"/>
      <w:bookmarkEnd w:id="1521"/>
      <w:bookmarkEnd w:id="1522"/>
      <w:bookmarkEnd w:id="1523"/>
      <w:bookmarkEnd w:id="1524"/>
      <w:bookmarkEnd w:id="1525"/>
    </w:p>
    <w:p w14:paraId="1009953D">
      <w:pPr>
        <w:wordWrap w:val="0"/>
        <w:spacing w:before="120" w:beforeLines="50" w:after="120" w:afterLines="50" w:line="360" w:lineRule="auto"/>
        <w:outlineLvl w:val="2"/>
        <w:rPr>
          <w:rFonts w:ascii="宋体"/>
          <w:kern w:val="0"/>
          <w:sz w:val="24"/>
          <w:szCs w:val="20"/>
        </w:rPr>
      </w:pPr>
      <w:bookmarkStart w:id="1526" w:name="_Toc207289650"/>
      <w:bookmarkStart w:id="1527" w:name="_Toc490222562"/>
      <w:bookmarkStart w:id="1528" w:name="_Toc480486799"/>
      <w:bookmarkStart w:id="1529" w:name="_Toc342296331"/>
      <w:bookmarkStart w:id="1530" w:name="_Toc480486971"/>
      <w:bookmarkStart w:id="1531" w:name="_Toc486580117"/>
      <w:bookmarkStart w:id="1532" w:name="_Toc489279928"/>
      <w:bookmarkStart w:id="1533" w:name="_Toc483668146"/>
      <w:bookmarkStart w:id="1534" w:name="_Toc338944773"/>
      <w:r>
        <w:rPr>
          <w:rFonts w:ascii="宋体"/>
          <w:kern w:val="0"/>
          <w:sz w:val="24"/>
          <w:szCs w:val="20"/>
        </w:rPr>
        <w:t xml:space="preserve">10.1  </w:t>
      </w:r>
      <w:r>
        <w:rPr>
          <w:rFonts w:hint="eastAsia" w:ascii="宋体"/>
          <w:kern w:val="0"/>
          <w:sz w:val="24"/>
          <w:szCs w:val="20"/>
        </w:rPr>
        <w:t>合同进度计划</w:t>
      </w:r>
      <w:bookmarkEnd w:id="1526"/>
      <w:bookmarkEnd w:id="1527"/>
      <w:bookmarkEnd w:id="1528"/>
      <w:bookmarkEnd w:id="1529"/>
      <w:bookmarkEnd w:id="1530"/>
      <w:bookmarkEnd w:id="1531"/>
      <w:bookmarkEnd w:id="1532"/>
      <w:bookmarkEnd w:id="1533"/>
      <w:bookmarkEnd w:id="1534"/>
    </w:p>
    <w:p w14:paraId="5AAF048C">
      <w:pPr>
        <w:wordWrap w:val="0"/>
        <w:spacing w:line="360" w:lineRule="auto"/>
        <w:ind w:firstLine="480" w:firstLineChars="200"/>
        <w:rPr>
          <w:rFonts w:ascii="宋体"/>
          <w:sz w:val="24"/>
          <w:szCs w:val="32"/>
        </w:rPr>
      </w:pPr>
      <w:r>
        <w:rPr>
          <w:rFonts w:ascii="宋体" w:hAnsi="宋体"/>
          <w:sz w:val="24"/>
          <w:szCs w:val="32"/>
        </w:rPr>
        <w:t xml:space="preserve">10.1.1  </w:t>
      </w:r>
      <w:r>
        <w:rPr>
          <w:rFonts w:hint="eastAsia" w:ascii="宋体" w:hAnsi="宋体"/>
          <w:sz w:val="24"/>
          <w:szCs w:val="32"/>
        </w:rPr>
        <w:t>承包人应</w:t>
      </w:r>
      <w:r>
        <w:rPr>
          <w:rFonts w:hint="eastAsia" w:ascii="宋体" w:hAnsi="宋体"/>
          <w:sz w:val="24"/>
        </w:rPr>
        <w:t>当在收到监理人按照第</w:t>
      </w:r>
      <w:r>
        <w:rPr>
          <w:rFonts w:ascii="宋体" w:hAnsi="宋体"/>
          <w:sz w:val="24"/>
        </w:rPr>
        <w:t>11.1.1</w:t>
      </w:r>
      <w:r>
        <w:rPr>
          <w:rFonts w:hint="eastAsia" w:ascii="宋体" w:hAnsi="宋体"/>
          <w:sz w:val="24"/>
        </w:rPr>
        <w:t>项发出的开工通知后</w:t>
      </w:r>
      <w:r>
        <w:rPr>
          <w:rFonts w:ascii="宋体" w:hAnsi="宋体"/>
          <w:sz w:val="24"/>
        </w:rPr>
        <w:t>7</w:t>
      </w:r>
      <w:r>
        <w:rPr>
          <w:rFonts w:hint="eastAsia" w:ascii="宋体" w:hAnsi="宋体"/>
          <w:sz w:val="24"/>
        </w:rPr>
        <w:t>天内，</w:t>
      </w:r>
      <w:r>
        <w:rPr>
          <w:rFonts w:hint="eastAsia" w:ascii="宋体" w:hAnsi="宋体"/>
          <w:sz w:val="24"/>
          <w:szCs w:val="32"/>
        </w:rPr>
        <w:t>编制详细的施工进度计划和施工方案说明报送监理人，</w:t>
      </w:r>
      <w:r>
        <w:rPr>
          <w:rFonts w:hint="eastAsia" w:ascii="宋体" w:hAnsi="宋体"/>
          <w:sz w:val="24"/>
        </w:rPr>
        <w:t>施工进度计划</w:t>
      </w:r>
      <w:bookmarkStart w:id="1535" w:name="_Hlk114649467"/>
      <w:r>
        <w:rPr>
          <w:rFonts w:hint="eastAsia" w:ascii="宋体" w:hAnsi="宋体"/>
          <w:sz w:val="24"/>
        </w:rPr>
        <w:t>应当</w:t>
      </w:r>
      <w:r>
        <w:rPr>
          <w:rFonts w:ascii="宋体" w:hAnsi="宋体"/>
          <w:sz w:val="24"/>
        </w:rPr>
        <w:t>反映</w:t>
      </w:r>
      <w:r>
        <w:rPr>
          <w:rFonts w:hint="eastAsia" w:ascii="宋体" w:hAnsi="宋体"/>
          <w:sz w:val="24"/>
        </w:rPr>
        <w:t>进度管理的相关要素，包括开工日期和竣工日期、要求发包人组织设计人进行阶段性工程设计交底的时间、区段工程的开始时间和完成时间、施工次序和方法、施工活动的逻辑关系，主要材料进场时间和数量，管理人员、劳动力及主要施工机械设备进出场时间和数量，保障</w:t>
      </w:r>
      <w:r>
        <w:rPr>
          <w:rFonts w:ascii="宋体" w:hAnsi="宋体"/>
          <w:sz w:val="24"/>
        </w:rPr>
        <w:t>工程</w:t>
      </w:r>
      <w:r>
        <w:rPr>
          <w:rFonts w:hint="eastAsia" w:ascii="宋体" w:hAnsi="宋体"/>
          <w:sz w:val="24"/>
        </w:rPr>
        <w:t>安全</w:t>
      </w:r>
      <w:r>
        <w:rPr>
          <w:rFonts w:ascii="宋体" w:hAnsi="宋体"/>
          <w:sz w:val="24"/>
        </w:rPr>
        <w:t>、质量</w:t>
      </w:r>
      <w:r>
        <w:rPr>
          <w:rFonts w:hint="eastAsia" w:ascii="宋体" w:hAnsi="宋体"/>
          <w:sz w:val="24"/>
        </w:rPr>
        <w:t>和工期</w:t>
      </w:r>
      <w:r>
        <w:rPr>
          <w:rFonts w:ascii="宋体" w:hAnsi="宋体"/>
          <w:sz w:val="24"/>
        </w:rPr>
        <w:t>的技术措施等</w:t>
      </w:r>
      <w:r>
        <w:rPr>
          <w:rFonts w:hint="eastAsia" w:ascii="宋体" w:hAnsi="宋体"/>
          <w:sz w:val="24"/>
        </w:rPr>
        <w:t>。</w:t>
      </w:r>
      <w:bookmarkEnd w:id="1535"/>
      <w:r>
        <w:rPr>
          <w:rFonts w:hint="eastAsia" w:ascii="宋体" w:hAnsi="宋体"/>
          <w:sz w:val="24"/>
          <w:szCs w:val="32"/>
        </w:rPr>
        <w:t>监理人应在</w:t>
      </w:r>
      <w:r>
        <w:rPr>
          <w:rFonts w:hint="eastAsia" w:ascii="宋体" w:hAnsi="宋体"/>
          <w:sz w:val="24"/>
        </w:rPr>
        <w:t>收到承包人报送的相关进度计划和施工方案说明后</w:t>
      </w:r>
      <w:r>
        <w:rPr>
          <w:rFonts w:ascii="宋体" w:hAnsi="宋体"/>
          <w:sz w:val="24"/>
        </w:rPr>
        <w:t>14</w:t>
      </w:r>
      <w:r>
        <w:rPr>
          <w:rFonts w:hint="eastAsia" w:ascii="宋体" w:hAnsi="宋体"/>
          <w:sz w:val="24"/>
        </w:rPr>
        <w:t>天内</w:t>
      </w:r>
      <w:r>
        <w:rPr>
          <w:rFonts w:hint="eastAsia" w:ascii="宋体" w:hAnsi="宋体"/>
          <w:sz w:val="24"/>
          <w:szCs w:val="32"/>
        </w:rPr>
        <w:t>批复或提出修改意见，否则该进度计划视为已得到批准。经监理人批准的施工进度计划称合同进度计划，是控制合同工程进度的依据。</w:t>
      </w:r>
      <w:r>
        <w:rPr>
          <w:rFonts w:hint="eastAsia" w:ascii="宋体" w:hAnsi="宋体"/>
          <w:sz w:val="24"/>
        </w:rPr>
        <w:t>承包人编制施工进度计划和施工方案说明的内容</w:t>
      </w:r>
      <w:r>
        <w:rPr>
          <w:rFonts w:hint="eastAsia" w:ascii="黑体" w:hAnsi="黑体" w:eastAsia="黑体"/>
          <w:sz w:val="24"/>
          <w:szCs w:val="32"/>
        </w:rPr>
        <w:t>见合同条款专用部分。</w:t>
      </w:r>
    </w:p>
    <w:p w14:paraId="074E6254">
      <w:pPr>
        <w:wordWrap w:val="0"/>
        <w:spacing w:line="360" w:lineRule="auto"/>
        <w:ind w:firstLine="480" w:firstLineChars="200"/>
        <w:rPr>
          <w:rFonts w:ascii="宋体"/>
          <w:sz w:val="24"/>
          <w:szCs w:val="32"/>
        </w:rPr>
      </w:pPr>
      <w:r>
        <w:rPr>
          <w:rFonts w:ascii="宋体" w:hAnsi="宋体"/>
          <w:sz w:val="24"/>
          <w:szCs w:val="32"/>
        </w:rPr>
        <w:t xml:space="preserve">10.1.2  </w:t>
      </w:r>
      <w:r>
        <w:rPr>
          <w:rFonts w:hint="eastAsia" w:ascii="宋体" w:hAnsi="宋体"/>
          <w:sz w:val="24"/>
          <w:szCs w:val="32"/>
        </w:rPr>
        <w:t>承包人还应根据合同进度计划，按照第</w:t>
      </w:r>
      <w:r>
        <w:rPr>
          <w:rFonts w:ascii="宋体" w:hAnsi="宋体"/>
          <w:sz w:val="24"/>
          <w:szCs w:val="32"/>
        </w:rPr>
        <w:t>10.1.1</w:t>
      </w:r>
      <w:r>
        <w:rPr>
          <w:rFonts w:hint="eastAsia" w:ascii="宋体" w:hAnsi="宋体"/>
          <w:sz w:val="24"/>
          <w:szCs w:val="32"/>
        </w:rPr>
        <w:t>项相关约定编制更为详细的分阶段或分项进度计划，报监理人审批。</w:t>
      </w:r>
      <w:r>
        <w:rPr>
          <w:rFonts w:hint="eastAsia" w:ascii="宋体" w:hAnsi="宋体"/>
          <w:sz w:val="24"/>
        </w:rPr>
        <w:t>承包人编制分阶段或分项施工进度计划和施工方案说明的内容及时限要求</w:t>
      </w:r>
      <w:r>
        <w:rPr>
          <w:rFonts w:hint="eastAsia" w:ascii="黑体" w:hAnsi="黑体" w:eastAsia="黑体"/>
          <w:sz w:val="24"/>
          <w:szCs w:val="32"/>
        </w:rPr>
        <w:t>见合同条款专用部分。</w:t>
      </w:r>
    </w:p>
    <w:p w14:paraId="651EE078">
      <w:pPr>
        <w:wordWrap w:val="0"/>
        <w:spacing w:line="360" w:lineRule="auto"/>
        <w:ind w:firstLine="480" w:firstLineChars="200"/>
        <w:rPr>
          <w:rFonts w:ascii="黑体" w:hAnsi="黑体" w:eastAsia="黑体"/>
          <w:sz w:val="24"/>
          <w:szCs w:val="32"/>
        </w:rPr>
      </w:pPr>
      <w:r>
        <w:rPr>
          <w:rFonts w:ascii="宋体" w:hAnsi="宋体"/>
          <w:sz w:val="24"/>
        </w:rPr>
        <w:t xml:space="preserve">10.1.3  </w:t>
      </w:r>
      <w:r>
        <w:rPr>
          <w:rFonts w:hint="eastAsia" w:ascii="宋体" w:hAnsi="宋体"/>
          <w:sz w:val="24"/>
        </w:rPr>
        <w:t>群体工程中单位工程分期进行施工的，承包人</w:t>
      </w:r>
      <w:r>
        <w:rPr>
          <w:rFonts w:hint="eastAsia" w:ascii="宋体" w:hAnsi="宋体"/>
          <w:sz w:val="24"/>
          <w:szCs w:val="32"/>
        </w:rPr>
        <w:t>应当</w:t>
      </w:r>
      <w:r>
        <w:rPr>
          <w:rFonts w:hint="eastAsia" w:ascii="宋体" w:hAnsi="宋体"/>
          <w:sz w:val="24"/>
        </w:rPr>
        <w:t>按照发包人提供图纸及有关资料的时间要求，编制单位工程进度计划和施工方案说明。群体工程中有关编制进度计划和施工方案说明的要求</w:t>
      </w:r>
      <w:r>
        <w:rPr>
          <w:rFonts w:hint="eastAsia" w:ascii="黑体" w:hAnsi="黑体" w:eastAsia="黑体"/>
          <w:sz w:val="24"/>
          <w:szCs w:val="32"/>
        </w:rPr>
        <w:t>见合同条款专用部分。</w:t>
      </w:r>
    </w:p>
    <w:p w14:paraId="6C963F05">
      <w:pPr>
        <w:wordWrap w:val="0"/>
        <w:spacing w:before="120" w:beforeLines="50" w:after="120" w:afterLines="50" w:line="360" w:lineRule="auto"/>
        <w:outlineLvl w:val="2"/>
        <w:rPr>
          <w:rFonts w:ascii="宋体"/>
          <w:kern w:val="0"/>
          <w:sz w:val="24"/>
          <w:szCs w:val="20"/>
        </w:rPr>
      </w:pPr>
      <w:bookmarkStart w:id="1536" w:name="_Toc480486800"/>
      <w:bookmarkStart w:id="1537" w:name="_Toc342296332"/>
      <w:bookmarkStart w:id="1538" w:name="_Toc486580118"/>
      <w:bookmarkStart w:id="1539" w:name="_Toc483668147"/>
      <w:bookmarkStart w:id="1540" w:name="_Toc480486972"/>
      <w:bookmarkStart w:id="1541" w:name="_Toc207289651"/>
      <w:bookmarkStart w:id="1542" w:name="_Toc489279929"/>
      <w:bookmarkStart w:id="1543" w:name="_Toc490222563"/>
      <w:bookmarkStart w:id="1544" w:name="_Toc338944774"/>
      <w:r>
        <w:rPr>
          <w:rFonts w:ascii="宋体"/>
          <w:kern w:val="0"/>
          <w:sz w:val="24"/>
          <w:szCs w:val="20"/>
        </w:rPr>
        <w:t xml:space="preserve">10.2  </w:t>
      </w:r>
      <w:r>
        <w:rPr>
          <w:rFonts w:hint="eastAsia" w:ascii="宋体"/>
          <w:kern w:val="0"/>
          <w:sz w:val="24"/>
          <w:szCs w:val="20"/>
        </w:rPr>
        <w:t>合同进度计划的修订</w:t>
      </w:r>
      <w:bookmarkEnd w:id="1536"/>
      <w:bookmarkEnd w:id="1537"/>
      <w:bookmarkEnd w:id="1538"/>
      <w:bookmarkEnd w:id="1539"/>
      <w:bookmarkEnd w:id="1540"/>
      <w:bookmarkEnd w:id="1541"/>
      <w:bookmarkEnd w:id="1542"/>
      <w:bookmarkEnd w:id="1543"/>
      <w:bookmarkEnd w:id="1544"/>
    </w:p>
    <w:p w14:paraId="5AFCA471">
      <w:pPr>
        <w:wordWrap w:val="0"/>
        <w:spacing w:line="360" w:lineRule="auto"/>
        <w:ind w:firstLine="480" w:firstLineChars="200"/>
        <w:rPr>
          <w:rFonts w:ascii="宋体"/>
          <w:sz w:val="24"/>
          <w:szCs w:val="32"/>
        </w:rPr>
      </w:pPr>
      <w:r>
        <w:rPr>
          <w:rFonts w:ascii="宋体" w:hAnsi="宋体"/>
          <w:sz w:val="24"/>
          <w:szCs w:val="32"/>
        </w:rPr>
        <w:t xml:space="preserve">10.2.1  </w:t>
      </w:r>
      <w:r>
        <w:rPr>
          <w:rFonts w:hint="eastAsia" w:ascii="宋体" w:hAnsi="宋体"/>
          <w:sz w:val="24"/>
          <w:szCs w:val="32"/>
        </w:rPr>
        <w:t>不论何种原因造成工程的实际进度与第</w:t>
      </w:r>
      <w:r>
        <w:rPr>
          <w:rFonts w:ascii="宋体" w:hAnsi="宋体"/>
          <w:sz w:val="24"/>
          <w:szCs w:val="32"/>
        </w:rPr>
        <w:t>10.1</w:t>
      </w:r>
      <w:r>
        <w:rPr>
          <w:rFonts w:hint="eastAsia" w:ascii="宋体" w:hAnsi="宋体"/>
          <w:sz w:val="24"/>
          <w:szCs w:val="32"/>
        </w:rPr>
        <w:t>款的合同进度计划不符时，承包人可以在合同条款专用部分约定的期限内向监理人提交修订合同进度计划的申请报告，并附有关措施和相关资料，报监理人审批；</w:t>
      </w:r>
    </w:p>
    <w:p w14:paraId="293D662F">
      <w:pPr>
        <w:wordWrap w:val="0"/>
        <w:spacing w:line="360" w:lineRule="auto"/>
        <w:ind w:firstLine="480" w:firstLineChars="200"/>
        <w:rPr>
          <w:rFonts w:ascii="宋体" w:hAnsi="宋体"/>
          <w:sz w:val="24"/>
          <w:szCs w:val="32"/>
        </w:rPr>
      </w:pPr>
      <w:r>
        <w:rPr>
          <w:rFonts w:ascii="宋体" w:hAnsi="宋体"/>
          <w:sz w:val="24"/>
          <w:szCs w:val="32"/>
        </w:rPr>
        <w:t xml:space="preserve">10.2.2  </w:t>
      </w:r>
      <w:r>
        <w:rPr>
          <w:rFonts w:hint="eastAsia" w:ascii="宋体" w:hAnsi="宋体"/>
          <w:sz w:val="24"/>
          <w:szCs w:val="32"/>
        </w:rPr>
        <w:t>监理人也可以直接向承包人作出修订合同进度计划的指示，承包人应按该指示修订合同进度计划，报监理人审批。监理人应在合同条款专用部分约定的期限内完成批复。监理人在批复前应获得发包人同意。</w:t>
      </w:r>
    </w:p>
    <w:p w14:paraId="3385D877">
      <w:pPr>
        <w:wordWrap w:val="0"/>
        <w:spacing w:line="360" w:lineRule="auto"/>
        <w:ind w:firstLine="480" w:firstLineChars="200"/>
        <w:rPr>
          <w:rFonts w:ascii="宋体" w:hAnsi="宋体"/>
          <w:sz w:val="24"/>
          <w:szCs w:val="32"/>
        </w:rPr>
      </w:pPr>
      <w:bookmarkStart w:id="1545" w:name="_Hlk114649618"/>
      <w:r>
        <w:rPr>
          <w:rFonts w:hint="eastAsia" w:ascii="宋体" w:hAnsi="宋体"/>
          <w:sz w:val="24"/>
          <w:szCs w:val="32"/>
        </w:rPr>
        <w:t>1</w:t>
      </w:r>
      <w:r>
        <w:rPr>
          <w:rFonts w:ascii="宋体" w:hAnsi="宋体"/>
          <w:sz w:val="24"/>
          <w:szCs w:val="32"/>
        </w:rPr>
        <w:t>0.2.3</w:t>
      </w:r>
      <w:r>
        <w:rPr>
          <w:rFonts w:hint="eastAsia" w:ascii="宋体" w:hAnsi="宋体"/>
          <w:sz w:val="24"/>
          <w:szCs w:val="32"/>
        </w:rPr>
        <w:t>发包人对修订合同进度计划的批准，不影响发包人主张逾期损失赔偿和（或）承包人主张工期顺延的权利。</w:t>
      </w:r>
    </w:p>
    <w:bookmarkEnd w:id="1545"/>
    <w:p w14:paraId="30CE1A55">
      <w:pPr>
        <w:wordWrap w:val="0"/>
        <w:spacing w:before="120" w:beforeLines="50" w:after="120" w:afterLines="50" w:line="360" w:lineRule="auto"/>
        <w:outlineLvl w:val="2"/>
        <w:rPr>
          <w:rFonts w:ascii="宋体"/>
          <w:kern w:val="0"/>
          <w:sz w:val="24"/>
          <w:szCs w:val="20"/>
        </w:rPr>
      </w:pPr>
      <w:bookmarkStart w:id="1546" w:name="_Toc207289652"/>
      <w:bookmarkStart w:id="1547" w:name="_Hlk114649637"/>
      <w:r>
        <w:rPr>
          <w:rFonts w:ascii="宋体"/>
          <w:kern w:val="0"/>
          <w:sz w:val="24"/>
          <w:szCs w:val="20"/>
        </w:rPr>
        <w:t xml:space="preserve">10.3  </w:t>
      </w:r>
      <w:bookmarkStart w:id="1548" w:name="_Hlk112684339"/>
      <w:r>
        <w:rPr>
          <w:rFonts w:hint="eastAsia" w:ascii="宋体"/>
          <w:kern w:val="0"/>
          <w:sz w:val="24"/>
          <w:szCs w:val="20"/>
        </w:rPr>
        <w:t>合同进度计划的其他要求</w:t>
      </w:r>
      <w:bookmarkEnd w:id="1546"/>
      <w:bookmarkEnd w:id="1548"/>
    </w:p>
    <w:p w14:paraId="6DD50532">
      <w:pPr>
        <w:wordWrap w:val="0"/>
        <w:spacing w:line="360" w:lineRule="auto"/>
        <w:ind w:firstLine="480" w:firstLineChars="200"/>
        <w:rPr>
          <w:rFonts w:ascii="宋体" w:hAnsi="宋体"/>
          <w:sz w:val="24"/>
          <w:szCs w:val="32"/>
        </w:rPr>
      </w:pPr>
      <w:r>
        <w:rPr>
          <w:rFonts w:ascii="宋体" w:hAnsi="宋体"/>
          <w:sz w:val="24"/>
        </w:rPr>
        <w:t xml:space="preserve">10.3.1  </w:t>
      </w:r>
      <w:r>
        <w:rPr>
          <w:rFonts w:hint="eastAsia" w:ascii="宋体" w:hAnsi="宋体"/>
          <w:sz w:val="24"/>
          <w:szCs w:val="32"/>
        </w:rPr>
        <w:t>经发包人批准的合同进度计划或最新版本合同进度计划的修订是合同双方调配施工生产资源和实施进度管理的根据。</w:t>
      </w:r>
    </w:p>
    <w:p w14:paraId="20353299">
      <w:pPr>
        <w:wordWrap w:val="0"/>
        <w:spacing w:line="360" w:lineRule="auto"/>
        <w:ind w:firstLine="480" w:firstLineChars="200"/>
        <w:rPr>
          <w:rFonts w:ascii="宋体"/>
          <w:sz w:val="24"/>
          <w:szCs w:val="32"/>
        </w:rPr>
      </w:pPr>
      <w:r>
        <w:rPr>
          <w:rFonts w:ascii="宋体" w:hAnsi="宋体"/>
          <w:sz w:val="24"/>
        </w:rPr>
        <w:t xml:space="preserve">10.3.2  </w:t>
      </w:r>
      <w:bookmarkStart w:id="1549" w:name="_Hlk112684475"/>
      <w:bookmarkStart w:id="1550" w:name="_Hlk112684377"/>
      <w:r>
        <w:rPr>
          <w:rFonts w:hint="eastAsia" w:ascii="宋体" w:hAnsi="宋体"/>
          <w:sz w:val="24"/>
        </w:rPr>
        <w:t>施工进度计划管理的人员配置</w:t>
      </w:r>
      <w:bookmarkEnd w:id="1549"/>
      <w:r>
        <w:rPr>
          <w:rFonts w:hint="eastAsia" w:ascii="宋体" w:hAnsi="宋体"/>
          <w:sz w:val="24"/>
        </w:rPr>
        <w:t>要求</w:t>
      </w:r>
      <w:bookmarkEnd w:id="1550"/>
      <w:r>
        <w:rPr>
          <w:rFonts w:hint="eastAsia" w:ascii="黑体" w:hAnsi="黑体" w:eastAsia="黑体"/>
          <w:sz w:val="24"/>
          <w:szCs w:val="32"/>
        </w:rPr>
        <w:t>见合同条款专用部分。</w:t>
      </w:r>
    </w:p>
    <w:p w14:paraId="33E2CC8F">
      <w:pPr>
        <w:wordWrap w:val="0"/>
        <w:spacing w:line="360" w:lineRule="auto"/>
        <w:ind w:firstLine="480" w:firstLineChars="200"/>
        <w:rPr>
          <w:rFonts w:ascii="宋体" w:hAnsi="宋体"/>
          <w:sz w:val="24"/>
          <w:szCs w:val="32"/>
        </w:rPr>
      </w:pPr>
      <w:r>
        <w:rPr>
          <w:rFonts w:ascii="宋体" w:hAnsi="宋体"/>
          <w:sz w:val="24"/>
        </w:rPr>
        <w:t xml:space="preserve">10.3.3  </w:t>
      </w:r>
      <w:bookmarkStart w:id="1551" w:name="_Hlk112684387"/>
      <w:r>
        <w:rPr>
          <w:rFonts w:hint="eastAsia" w:ascii="宋体" w:hAnsi="宋体"/>
          <w:sz w:val="24"/>
        </w:rPr>
        <w:t>施工进度计划的计算机应用软件要求</w:t>
      </w:r>
      <w:bookmarkEnd w:id="1551"/>
      <w:r>
        <w:rPr>
          <w:rFonts w:hint="eastAsia" w:ascii="黑体" w:hAnsi="黑体" w:eastAsia="黑体"/>
          <w:sz w:val="24"/>
          <w:szCs w:val="32"/>
        </w:rPr>
        <w:t>见合同条款专用部分。</w:t>
      </w:r>
    </w:p>
    <w:bookmarkEnd w:id="1547"/>
    <w:p w14:paraId="1ECE4D89">
      <w:pPr>
        <w:tabs>
          <w:tab w:val="left" w:pos="576"/>
        </w:tabs>
        <w:wordWrap w:val="0"/>
        <w:spacing w:before="120" w:beforeLines="50" w:after="120" w:afterLines="50" w:line="360" w:lineRule="auto"/>
        <w:outlineLvl w:val="1"/>
        <w:rPr>
          <w:rFonts w:ascii="宋体" w:cs="宋体"/>
          <w:sz w:val="28"/>
          <w:szCs w:val="20"/>
        </w:rPr>
      </w:pPr>
      <w:bookmarkStart w:id="1552" w:name="_Toc483668148"/>
      <w:bookmarkStart w:id="1553" w:name="_Toc480486973"/>
      <w:bookmarkStart w:id="1554" w:name="_Toc490222564"/>
      <w:bookmarkStart w:id="1555" w:name="_Toc480486801"/>
      <w:bookmarkStart w:id="1556" w:name="_Toc489279930"/>
      <w:bookmarkStart w:id="1557" w:name="_Toc342296333"/>
      <w:bookmarkStart w:id="1558" w:name="_Toc207289653"/>
      <w:bookmarkStart w:id="1559" w:name="_Toc486580119"/>
      <w:bookmarkStart w:id="1560" w:name="_Toc338944775"/>
      <w:r>
        <w:rPr>
          <w:rFonts w:ascii="宋体" w:cs="宋体"/>
          <w:sz w:val="28"/>
          <w:szCs w:val="20"/>
        </w:rPr>
        <w:t>11.</w:t>
      </w:r>
      <w:r>
        <w:rPr>
          <w:rFonts w:hint="eastAsia" w:ascii="宋体" w:cs="宋体"/>
          <w:sz w:val="28"/>
          <w:szCs w:val="20"/>
        </w:rPr>
        <w:t>开工和竣工</w:t>
      </w:r>
      <w:bookmarkEnd w:id="1552"/>
      <w:bookmarkEnd w:id="1553"/>
      <w:bookmarkEnd w:id="1554"/>
      <w:bookmarkEnd w:id="1555"/>
      <w:bookmarkEnd w:id="1556"/>
      <w:bookmarkEnd w:id="1557"/>
      <w:bookmarkEnd w:id="1558"/>
      <w:bookmarkEnd w:id="1559"/>
      <w:bookmarkEnd w:id="1560"/>
    </w:p>
    <w:p w14:paraId="6B815476">
      <w:pPr>
        <w:wordWrap w:val="0"/>
        <w:spacing w:before="120" w:beforeLines="50" w:after="120" w:afterLines="50" w:line="360" w:lineRule="auto"/>
        <w:outlineLvl w:val="2"/>
        <w:rPr>
          <w:rFonts w:ascii="宋体"/>
          <w:kern w:val="0"/>
          <w:sz w:val="24"/>
          <w:szCs w:val="20"/>
        </w:rPr>
      </w:pPr>
      <w:bookmarkStart w:id="1561" w:name="_Toc486580120"/>
      <w:bookmarkStart w:id="1562" w:name="_Toc480486802"/>
      <w:bookmarkStart w:id="1563" w:name="_Toc179632701"/>
      <w:bookmarkStart w:id="1564" w:name="_Toc490222565"/>
      <w:bookmarkStart w:id="1565" w:name="_Toc207289654"/>
      <w:bookmarkStart w:id="1566" w:name="_Toc489279931"/>
      <w:bookmarkStart w:id="1567" w:name="_Toc338944776"/>
      <w:bookmarkStart w:id="1568" w:name="_Toc152045683"/>
      <w:bookmarkStart w:id="1569" w:name="_Toc152042461"/>
      <w:bookmarkStart w:id="1570" w:name="_Toc342296334"/>
      <w:bookmarkStart w:id="1571" w:name="_Toc144974651"/>
      <w:bookmarkStart w:id="1572" w:name="_Toc480486974"/>
      <w:bookmarkStart w:id="1573" w:name="_Toc483668149"/>
      <w:r>
        <w:rPr>
          <w:rFonts w:ascii="宋体"/>
          <w:kern w:val="0"/>
          <w:sz w:val="24"/>
          <w:szCs w:val="20"/>
        </w:rPr>
        <w:t xml:space="preserve">11.1  </w:t>
      </w:r>
      <w:r>
        <w:rPr>
          <w:rFonts w:hint="eastAsia" w:ascii="宋体"/>
          <w:kern w:val="0"/>
          <w:sz w:val="24"/>
          <w:szCs w:val="20"/>
        </w:rPr>
        <w:t>开工</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14:paraId="5B922EF2">
      <w:pPr>
        <w:wordWrap w:val="0"/>
        <w:spacing w:line="360" w:lineRule="auto"/>
        <w:ind w:firstLine="480" w:firstLineChars="200"/>
        <w:rPr>
          <w:rFonts w:ascii="宋体"/>
          <w:sz w:val="24"/>
          <w:szCs w:val="32"/>
        </w:rPr>
      </w:pPr>
      <w:r>
        <w:rPr>
          <w:rFonts w:ascii="宋体" w:hAnsi="宋体"/>
          <w:sz w:val="24"/>
          <w:szCs w:val="32"/>
        </w:rPr>
        <w:t xml:space="preserve">11.1.1  </w:t>
      </w:r>
      <w:r>
        <w:rPr>
          <w:rFonts w:hint="eastAsia" w:ascii="宋体" w:hAnsi="宋体"/>
          <w:sz w:val="24"/>
          <w:szCs w:val="32"/>
        </w:rPr>
        <w:t>监理人应在开工日期</w:t>
      </w:r>
      <w:r>
        <w:rPr>
          <w:rFonts w:ascii="宋体" w:hAnsi="宋体"/>
          <w:sz w:val="24"/>
          <w:szCs w:val="32"/>
        </w:rPr>
        <w:t>7</w:t>
      </w:r>
      <w:r>
        <w:rPr>
          <w:rFonts w:hint="eastAsia" w:ascii="宋体" w:hAnsi="宋体"/>
          <w:sz w:val="24"/>
          <w:szCs w:val="32"/>
        </w:rPr>
        <w:t>天前向承包人发出开工通知。监理人在发出开工通知前应获得发包人同意。工期自监理人发出的开工通知中载明的开工日期起计算。承包人应在开工日期后尽快施工。</w:t>
      </w:r>
    </w:p>
    <w:p w14:paraId="121FF254">
      <w:pPr>
        <w:wordWrap w:val="0"/>
        <w:spacing w:line="360" w:lineRule="auto"/>
        <w:ind w:firstLine="480" w:firstLineChars="200"/>
        <w:rPr>
          <w:rFonts w:ascii="宋体"/>
          <w:sz w:val="24"/>
          <w:szCs w:val="32"/>
        </w:rPr>
      </w:pPr>
      <w:r>
        <w:rPr>
          <w:rFonts w:ascii="宋体" w:hAnsi="宋体"/>
          <w:sz w:val="24"/>
          <w:szCs w:val="32"/>
        </w:rPr>
        <w:t xml:space="preserve">11.1.2  </w:t>
      </w:r>
      <w:r>
        <w:rPr>
          <w:rFonts w:hint="eastAsia" w:ascii="宋体" w:hAnsi="宋体"/>
          <w:sz w:val="24"/>
          <w:szCs w:val="32"/>
        </w:rPr>
        <w:t>承包人应按第</w:t>
      </w:r>
      <w:r>
        <w:rPr>
          <w:rFonts w:ascii="宋体" w:hAnsi="宋体"/>
          <w:sz w:val="24"/>
          <w:szCs w:val="32"/>
        </w:rPr>
        <w:t>10.1</w:t>
      </w:r>
      <w:r>
        <w:rPr>
          <w:rFonts w:hint="eastAsia" w:ascii="宋体" w:hAnsi="宋体"/>
          <w:sz w:val="24"/>
          <w:szCs w:val="32"/>
        </w:rPr>
        <w:t>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6EA03005">
      <w:pPr>
        <w:wordWrap w:val="0"/>
        <w:spacing w:before="120" w:beforeLines="50" w:after="120" w:afterLines="50" w:line="360" w:lineRule="auto"/>
        <w:outlineLvl w:val="2"/>
        <w:rPr>
          <w:rFonts w:ascii="宋体"/>
          <w:kern w:val="0"/>
          <w:sz w:val="24"/>
          <w:szCs w:val="20"/>
        </w:rPr>
      </w:pPr>
      <w:bookmarkStart w:id="1574" w:name="_Toc144974652"/>
      <w:bookmarkStart w:id="1575" w:name="_Toc152045684"/>
      <w:bookmarkStart w:id="1576" w:name="_Toc152042462"/>
      <w:bookmarkStart w:id="1577" w:name="_Toc480486975"/>
      <w:bookmarkStart w:id="1578" w:name="_Toc483668150"/>
      <w:bookmarkStart w:id="1579" w:name="_Toc486580121"/>
      <w:bookmarkStart w:id="1580" w:name="_Toc207289655"/>
      <w:bookmarkStart w:id="1581" w:name="_Toc338944777"/>
      <w:bookmarkStart w:id="1582" w:name="_Toc179632702"/>
      <w:bookmarkStart w:id="1583" w:name="_Toc490222566"/>
      <w:bookmarkStart w:id="1584" w:name="_Toc489279932"/>
      <w:bookmarkStart w:id="1585" w:name="_Toc342296335"/>
      <w:bookmarkStart w:id="1586" w:name="_Toc480486803"/>
      <w:r>
        <w:rPr>
          <w:rFonts w:ascii="宋体"/>
          <w:kern w:val="0"/>
          <w:sz w:val="24"/>
          <w:szCs w:val="20"/>
        </w:rPr>
        <w:t xml:space="preserve">11.2  </w:t>
      </w:r>
      <w:r>
        <w:rPr>
          <w:rFonts w:hint="eastAsia" w:ascii="宋体"/>
          <w:kern w:val="0"/>
          <w:sz w:val="24"/>
          <w:szCs w:val="20"/>
        </w:rPr>
        <w:t>竣工</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14:paraId="125F0FCD">
      <w:pPr>
        <w:wordWrap w:val="0"/>
        <w:spacing w:line="360" w:lineRule="auto"/>
        <w:ind w:firstLine="480" w:firstLineChars="200"/>
        <w:rPr>
          <w:rFonts w:ascii="宋体"/>
          <w:sz w:val="24"/>
          <w:szCs w:val="32"/>
        </w:rPr>
      </w:pPr>
      <w:r>
        <w:rPr>
          <w:rFonts w:hint="eastAsia" w:ascii="宋体" w:hAnsi="宋体"/>
          <w:sz w:val="24"/>
          <w:szCs w:val="32"/>
        </w:rPr>
        <w:t>承包人应在第</w:t>
      </w:r>
      <w:r>
        <w:rPr>
          <w:rFonts w:ascii="宋体" w:hAnsi="宋体"/>
          <w:sz w:val="24"/>
          <w:szCs w:val="32"/>
        </w:rPr>
        <w:t>1.1.4.3</w:t>
      </w:r>
      <w:r>
        <w:rPr>
          <w:rFonts w:hint="eastAsia" w:ascii="宋体" w:hAnsi="宋体"/>
          <w:sz w:val="24"/>
          <w:szCs w:val="32"/>
        </w:rPr>
        <w:t>目约定的期限内完成合同工程。实际竣工日期在接收证书中写明。</w:t>
      </w:r>
    </w:p>
    <w:p w14:paraId="63EDF92C">
      <w:pPr>
        <w:wordWrap w:val="0"/>
        <w:spacing w:before="120" w:beforeLines="50" w:after="120" w:afterLines="50" w:line="360" w:lineRule="auto"/>
        <w:outlineLvl w:val="2"/>
        <w:rPr>
          <w:rFonts w:ascii="宋体"/>
          <w:kern w:val="0"/>
          <w:sz w:val="24"/>
          <w:szCs w:val="20"/>
        </w:rPr>
      </w:pPr>
      <w:bookmarkStart w:id="1587" w:name="_Toc338944778"/>
      <w:bookmarkStart w:id="1588" w:name="_Toc342296336"/>
      <w:bookmarkStart w:id="1589" w:name="_Toc486580122"/>
      <w:bookmarkStart w:id="1590" w:name="_Toc480486804"/>
      <w:bookmarkStart w:id="1591" w:name="_Toc489279933"/>
      <w:bookmarkStart w:id="1592" w:name="_Toc483668151"/>
      <w:bookmarkStart w:id="1593" w:name="_Toc207289656"/>
      <w:bookmarkStart w:id="1594" w:name="_Toc490222567"/>
      <w:bookmarkStart w:id="1595" w:name="_Toc480486976"/>
      <w:r>
        <w:rPr>
          <w:rFonts w:ascii="宋体"/>
          <w:kern w:val="0"/>
          <w:sz w:val="24"/>
          <w:szCs w:val="20"/>
        </w:rPr>
        <w:t xml:space="preserve">11.3  </w:t>
      </w:r>
      <w:r>
        <w:rPr>
          <w:rFonts w:hint="eastAsia" w:ascii="宋体"/>
          <w:kern w:val="0"/>
          <w:sz w:val="24"/>
          <w:szCs w:val="20"/>
        </w:rPr>
        <w:t>发包人的工期延误</w:t>
      </w:r>
      <w:bookmarkEnd w:id="1587"/>
      <w:bookmarkEnd w:id="1588"/>
      <w:bookmarkEnd w:id="1589"/>
      <w:bookmarkEnd w:id="1590"/>
      <w:bookmarkEnd w:id="1591"/>
      <w:bookmarkEnd w:id="1592"/>
      <w:bookmarkEnd w:id="1593"/>
      <w:bookmarkEnd w:id="1594"/>
      <w:bookmarkEnd w:id="1595"/>
    </w:p>
    <w:p w14:paraId="3B7CF4B0">
      <w:pPr>
        <w:wordWrap w:val="0"/>
        <w:spacing w:line="360" w:lineRule="auto"/>
        <w:ind w:firstLine="480" w:firstLineChars="200"/>
        <w:rPr>
          <w:rFonts w:ascii="宋体"/>
          <w:sz w:val="24"/>
          <w:szCs w:val="32"/>
        </w:rPr>
      </w:pPr>
      <w:r>
        <w:rPr>
          <w:rFonts w:hint="eastAsia" w:ascii="宋体" w:hAnsi="宋体"/>
          <w:sz w:val="24"/>
          <w:szCs w:val="32"/>
        </w:rPr>
        <w:t>在履行合同过程中，</w:t>
      </w:r>
      <w:bookmarkStart w:id="1596" w:name="_Hlk198230781"/>
      <w:r>
        <w:rPr>
          <w:rFonts w:hint="eastAsia" w:ascii="宋体" w:hAnsi="宋体"/>
          <w:sz w:val="24"/>
          <w:szCs w:val="32"/>
        </w:rPr>
        <w:t>由于发包人的下列原因造成承包人关键线路工期延误的，</w:t>
      </w:r>
      <w:bookmarkEnd w:id="1596"/>
      <w:r>
        <w:rPr>
          <w:rFonts w:hint="eastAsia" w:ascii="宋体" w:hAnsi="宋体"/>
          <w:sz w:val="24"/>
          <w:szCs w:val="32"/>
        </w:rPr>
        <w:t>承包人有权要求发包人延长工期和（或）增加费用，并支付合理利润。需要修订合同进度计划的，按照第</w:t>
      </w:r>
      <w:r>
        <w:rPr>
          <w:rFonts w:ascii="宋体" w:hAnsi="宋体"/>
          <w:sz w:val="24"/>
          <w:szCs w:val="32"/>
        </w:rPr>
        <w:t>10.2</w:t>
      </w:r>
      <w:r>
        <w:rPr>
          <w:rFonts w:hint="eastAsia" w:ascii="宋体" w:hAnsi="宋体"/>
          <w:sz w:val="24"/>
          <w:szCs w:val="32"/>
        </w:rPr>
        <w:t>款的约定办理。</w:t>
      </w:r>
    </w:p>
    <w:p w14:paraId="43C3C666">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）增加合同工作内容；</w:t>
      </w:r>
    </w:p>
    <w:p w14:paraId="489F1550">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）改变合同中任何一项工作的质量要求或其他特性；</w:t>
      </w:r>
    </w:p>
    <w:p w14:paraId="1A018B3C">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3</w:t>
      </w:r>
      <w:r>
        <w:rPr>
          <w:rFonts w:hint="eastAsia" w:ascii="宋体" w:hAnsi="宋体"/>
          <w:sz w:val="24"/>
          <w:szCs w:val="32"/>
        </w:rPr>
        <w:t>）发包人迟延提供材料或变更交货地点的；</w:t>
      </w:r>
    </w:p>
    <w:p w14:paraId="48474939">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4</w:t>
      </w:r>
      <w:r>
        <w:rPr>
          <w:rFonts w:hint="eastAsia" w:ascii="宋体" w:hAnsi="宋体"/>
          <w:sz w:val="24"/>
          <w:szCs w:val="32"/>
        </w:rPr>
        <w:t>）因发包人原因导致的暂停施工；</w:t>
      </w:r>
    </w:p>
    <w:p w14:paraId="71D0F409">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5</w:t>
      </w:r>
      <w:r>
        <w:rPr>
          <w:rFonts w:hint="eastAsia" w:ascii="宋体" w:hAnsi="宋体"/>
          <w:sz w:val="24"/>
          <w:szCs w:val="32"/>
        </w:rPr>
        <w:t>）提供图纸延误；</w:t>
      </w:r>
    </w:p>
    <w:p w14:paraId="782EDF6C">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6</w:t>
      </w:r>
      <w:r>
        <w:rPr>
          <w:rFonts w:hint="eastAsia" w:ascii="宋体" w:hAnsi="宋体"/>
          <w:sz w:val="24"/>
          <w:szCs w:val="32"/>
        </w:rPr>
        <w:t>）未按合同约定及时支付预付款、进度款；</w:t>
      </w:r>
    </w:p>
    <w:p w14:paraId="393E30A4">
      <w:pPr>
        <w:wordWrap w:val="0"/>
        <w:spacing w:line="360" w:lineRule="auto"/>
        <w:ind w:firstLine="360" w:firstLineChars="150"/>
        <w:rPr>
          <w:rFonts w:ascii="宋体" w:hAnsi="宋体"/>
          <w:sz w:val="24"/>
        </w:rPr>
      </w:pPr>
      <w:r>
        <w:rPr>
          <w:rFonts w:hint="eastAsia" w:ascii="宋体" w:hAnsi="宋体"/>
          <w:sz w:val="24"/>
          <w:szCs w:val="32"/>
        </w:rPr>
        <w:t>（</w:t>
      </w:r>
      <w:r>
        <w:rPr>
          <w:rFonts w:ascii="宋体" w:hAnsi="宋体"/>
          <w:sz w:val="24"/>
          <w:szCs w:val="32"/>
        </w:rPr>
        <w:t>7</w:t>
      </w:r>
      <w:r>
        <w:rPr>
          <w:rFonts w:hint="eastAsia" w:ascii="宋体" w:hAnsi="宋体"/>
          <w:sz w:val="24"/>
          <w:szCs w:val="32"/>
        </w:rPr>
        <w:t>）</w:t>
      </w:r>
      <w:r>
        <w:rPr>
          <w:rFonts w:hint="eastAsia" w:ascii="宋体" w:hAnsi="宋体"/>
          <w:sz w:val="24"/>
        </w:rPr>
        <w:t>因发包人原因不能按照监理人发出的开工通知中载明的开工日期开工；</w:t>
      </w:r>
    </w:p>
    <w:p w14:paraId="21DCC78A">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8</w:t>
      </w:r>
      <w:r>
        <w:rPr>
          <w:rFonts w:hint="eastAsia" w:ascii="宋体" w:hAnsi="宋体"/>
          <w:sz w:val="24"/>
          <w:szCs w:val="32"/>
        </w:rPr>
        <w:t>）发包人造成工期延误的其他原因</w:t>
      </w:r>
      <w:r>
        <w:rPr>
          <w:rFonts w:hint="eastAsia" w:ascii="黑体" w:hAnsi="黑体" w:eastAsia="黑体"/>
          <w:sz w:val="24"/>
          <w:szCs w:val="32"/>
        </w:rPr>
        <w:t>见合同条款专用部分。</w:t>
      </w:r>
    </w:p>
    <w:p w14:paraId="2DDFC94F">
      <w:pPr>
        <w:wordWrap w:val="0"/>
        <w:spacing w:before="120" w:beforeLines="50" w:after="120" w:afterLines="50" w:line="360" w:lineRule="auto"/>
        <w:outlineLvl w:val="2"/>
        <w:rPr>
          <w:rFonts w:ascii="宋体"/>
          <w:kern w:val="0"/>
          <w:sz w:val="24"/>
          <w:szCs w:val="20"/>
        </w:rPr>
      </w:pPr>
      <w:bookmarkStart w:id="1597" w:name="_Toc480486805"/>
      <w:bookmarkStart w:id="1598" w:name="_Toc207289657"/>
      <w:bookmarkStart w:id="1599" w:name="_Toc489279934"/>
      <w:bookmarkStart w:id="1600" w:name="_Toc486580123"/>
      <w:bookmarkStart w:id="1601" w:name="_Toc480486977"/>
      <w:bookmarkStart w:id="1602" w:name="_Toc483668152"/>
      <w:bookmarkStart w:id="1603" w:name="_Toc338944779"/>
      <w:bookmarkStart w:id="1604" w:name="_Toc342296337"/>
      <w:bookmarkStart w:id="1605" w:name="_Toc490222568"/>
      <w:r>
        <w:rPr>
          <w:rFonts w:ascii="宋体"/>
          <w:kern w:val="0"/>
          <w:sz w:val="24"/>
          <w:szCs w:val="20"/>
        </w:rPr>
        <w:t xml:space="preserve">11.4  </w:t>
      </w:r>
      <w:r>
        <w:rPr>
          <w:rFonts w:hint="eastAsia" w:ascii="宋体"/>
          <w:kern w:val="0"/>
          <w:sz w:val="24"/>
          <w:szCs w:val="20"/>
        </w:rPr>
        <w:t>异常恶劣的气候条件</w:t>
      </w:r>
      <w:bookmarkEnd w:id="1597"/>
      <w:bookmarkEnd w:id="1598"/>
      <w:bookmarkEnd w:id="1599"/>
      <w:bookmarkEnd w:id="1600"/>
      <w:bookmarkEnd w:id="1601"/>
      <w:bookmarkEnd w:id="1602"/>
      <w:bookmarkEnd w:id="1603"/>
      <w:bookmarkEnd w:id="1604"/>
      <w:bookmarkEnd w:id="1605"/>
    </w:p>
    <w:p w14:paraId="7D3A9CCF">
      <w:pPr>
        <w:wordWrap w:val="0"/>
        <w:spacing w:line="360" w:lineRule="auto"/>
        <w:ind w:firstLine="480" w:firstLineChars="200"/>
        <w:rPr>
          <w:rFonts w:ascii="黑体" w:hAnsi="黑体" w:eastAsia="黑体"/>
          <w:sz w:val="24"/>
          <w:szCs w:val="32"/>
        </w:rPr>
      </w:pPr>
      <w:r>
        <w:rPr>
          <w:rFonts w:hint="eastAsia" w:ascii="宋体" w:hAnsi="宋体"/>
          <w:sz w:val="24"/>
          <w:szCs w:val="32"/>
        </w:rPr>
        <w:t>由于出现异常恶劣气候的条件导致工期延误的，承包人有权要求发包人延长工期。</w:t>
      </w:r>
      <w:r>
        <w:rPr>
          <w:rFonts w:hint="eastAsia" w:ascii="宋体" w:hAnsi="宋体"/>
          <w:sz w:val="24"/>
        </w:rPr>
        <w:t>异常恶劣的气候条件的范围和标准</w:t>
      </w:r>
      <w:r>
        <w:rPr>
          <w:rFonts w:hint="eastAsia" w:ascii="黑体" w:hAnsi="黑体" w:eastAsia="黑体"/>
          <w:sz w:val="24"/>
          <w:szCs w:val="32"/>
        </w:rPr>
        <w:t>见合同条款专用部分。</w:t>
      </w:r>
    </w:p>
    <w:p w14:paraId="4C9EAB7B">
      <w:pPr>
        <w:wordWrap w:val="0"/>
        <w:spacing w:before="120" w:beforeLines="50" w:after="120" w:afterLines="50" w:line="360" w:lineRule="auto"/>
        <w:outlineLvl w:val="2"/>
        <w:rPr>
          <w:rFonts w:ascii="宋体"/>
          <w:kern w:val="0"/>
          <w:sz w:val="24"/>
          <w:szCs w:val="20"/>
        </w:rPr>
      </w:pPr>
      <w:bookmarkStart w:id="1606" w:name="_Toc486580124"/>
      <w:bookmarkStart w:id="1607" w:name="_Toc480486978"/>
      <w:bookmarkStart w:id="1608" w:name="_Toc338944780"/>
      <w:bookmarkStart w:id="1609" w:name="_Toc207289658"/>
      <w:bookmarkStart w:id="1610" w:name="_Toc489279935"/>
      <w:bookmarkStart w:id="1611" w:name="_Toc480486806"/>
      <w:bookmarkStart w:id="1612" w:name="_Toc483668153"/>
      <w:bookmarkStart w:id="1613" w:name="_Toc490222569"/>
      <w:bookmarkStart w:id="1614" w:name="_Toc342296338"/>
      <w:r>
        <w:rPr>
          <w:rFonts w:ascii="宋体"/>
          <w:kern w:val="0"/>
          <w:sz w:val="24"/>
          <w:szCs w:val="20"/>
        </w:rPr>
        <w:t xml:space="preserve">11.5  </w:t>
      </w:r>
      <w:r>
        <w:rPr>
          <w:rFonts w:hint="eastAsia" w:ascii="宋体"/>
          <w:kern w:val="0"/>
          <w:sz w:val="24"/>
          <w:szCs w:val="20"/>
        </w:rPr>
        <w:t>承包人的工期延误</w:t>
      </w:r>
      <w:bookmarkEnd w:id="1606"/>
      <w:bookmarkEnd w:id="1607"/>
      <w:bookmarkEnd w:id="1608"/>
      <w:bookmarkEnd w:id="1609"/>
      <w:bookmarkEnd w:id="1610"/>
      <w:bookmarkEnd w:id="1611"/>
      <w:bookmarkEnd w:id="1612"/>
      <w:bookmarkEnd w:id="1613"/>
      <w:bookmarkEnd w:id="1614"/>
    </w:p>
    <w:p w14:paraId="7E25784E">
      <w:pPr>
        <w:wordWrap w:val="0"/>
        <w:spacing w:line="360" w:lineRule="auto"/>
        <w:ind w:firstLine="480" w:firstLineChars="200"/>
        <w:rPr>
          <w:rFonts w:ascii="宋体"/>
          <w:sz w:val="24"/>
          <w:szCs w:val="32"/>
        </w:rPr>
      </w:pPr>
      <w:r>
        <w:rPr>
          <w:rFonts w:ascii="宋体" w:hAnsi="宋体"/>
          <w:sz w:val="24"/>
        </w:rPr>
        <w:t xml:space="preserve">11.5.1  </w:t>
      </w:r>
      <w:r>
        <w:rPr>
          <w:rFonts w:hint="eastAsia" w:ascii="宋体" w:hAnsi="宋体"/>
          <w:sz w:val="24"/>
          <w:szCs w:val="32"/>
        </w:rPr>
        <w:t>由于承包人原因，未能按合同进度计划完成工作，或监理人认为承包人施工进度不能满足合同工期要求的，承包人应</w:t>
      </w:r>
      <w:bookmarkStart w:id="1615" w:name="_Hlk114649740"/>
      <w:r>
        <w:rPr>
          <w:rFonts w:hint="eastAsia" w:ascii="宋体" w:hAnsi="宋体"/>
          <w:sz w:val="24"/>
          <w:szCs w:val="32"/>
        </w:rPr>
        <w:t>在不影响工程安全和质量的前提下</w:t>
      </w:r>
      <w:bookmarkEnd w:id="1615"/>
      <w:r>
        <w:rPr>
          <w:rFonts w:hint="eastAsia" w:ascii="宋体" w:hAnsi="宋体"/>
          <w:sz w:val="24"/>
          <w:szCs w:val="32"/>
        </w:rPr>
        <w:t>采取</w:t>
      </w:r>
      <w:bookmarkStart w:id="1616" w:name="_Hlk114649750"/>
      <w:r>
        <w:rPr>
          <w:rFonts w:hint="eastAsia" w:ascii="宋体" w:hAnsi="宋体"/>
          <w:sz w:val="24"/>
          <w:szCs w:val="32"/>
        </w:rPr>
        <w:t>必要的赶工</w:t>
      </w:r>
      <w:bookmarkEnd w:id="1616"/>
      <w:r>
        <w:rPr>
          <w:rFonts w:hint="eastAsia" w:ascii="宋体" w:hAnsi="宋体"/>
          <w:sz w:val="24"/>
          <w:szCs w:val="32"/>
        </w:rPr>
        <w:t>措施加快进度，并承担加快进度所增加的费用。</w:t>
      </w:r>
    </w:p>
    <w:p w14:paraId="7E853461">
      <w:pPr>
        <w:wordWrap w:val="0"/>
        <w:spacing w:line="360" w:lineRule="auto"/>
        <w:ind w:firstLine="480" w:firstLineChars="200"/>
        <w:rPr>
          <w:rFonts w:ascii="宋体"/>
          <w:sz w:val="24"/>
        </w:rPr>
      </w:pPr>
      <w:r>
        <w:rPr>
          <w:rFonts w:ascii="宋体" w:hAnsi="宋体"/>
          <w:sz w:val="24"/>
        </w:rPr>
        <w:t xml:space="preserve">11.5.2  </w:t>
      </w:r>
      <w:r>
        <w:rPr>
          <w:rFonts w:hint="eastAsia" w:ascii="宋体" w:hAnsi="宋体"/>
          <w:sz w:val="24"/>
        </w:rPr>
        <w:t>由于承包人原因造成不能按期竣工的，按照合同约定的竣工日期（包括按合同工期延长）后7天内，监理人应当按第23.4.1项的约定书面通知承包人</w:t>
      </w:r>
      <w:r>
        <w:rPr>
          <w:rFonts w:ascii="宋体"/>
          <w:sz w:val="24"/>
        </w:rPr>
        <w:t>,</w:t>
      </w:r>
      <w:r>
        <w:rPr>
          <w:rFonts w:hint="eastAsia" w:ascii="宋体" w:hAnsi="宋体"/>
          <w:sz w:val="24"/>
        </w:rPr>
        <w:t>说明发包人有权得到逾期竣工违约金，逾期竣工违约金计算标准和计算方法</w:t>
      </w:r>
      <w:r>
        <w:rPr>
          <w:rFonts w:hint="eastAsia" w:ascii="黑体" w:hAnsi="黑体" w:eastAsia="黑体"/>
          <w:sz w:val="24"/>
          <w:szCs w:val="32"/>
        </w:rPr>
        <w:t>见合同条款专用部分。</w:t>
      </w:r>
      <w:r>
        <w:rPr>
          <w:rFonts w:hint="eastAsia" w:ascii="宋体" w:hAnsi="宋体"/>
          <w:sz w:val="24"/>
        </w:rPr>
        <w:t>但最终逾期竣工违约金的金额不应超过合同约定的逾期竣工违约金最高限额。逾期竣工违约金最高限额</w:t>
      </w:r>
      <w:r>
        <w:rPr>
          <w:rFonts w:hint="eastAsia" w:ascii="黑体" w:hAnsi="黑体" w:eastAsia="黑体"/>
          <w:sz w:val="24"/>
          <w:szCs w:val="32"/>
        </w:rPr>
        <w:t>见合同条款专用部分</w:t>
      </w:r>
      <w:r>
        <w:rPr>
          <w:rFonts w:hint="eastAsia" w:ascii="黑体" w:hAnsi="黑体" w:eastAsia="黑体"/>
          <w:sz w:val="24"/>
        </w:rPr>
        <w:t>。</w:t>
      </w:r>
    </w:p>
    <w:p w14:paraId="57376ABE">
      <w:pPr>
        <w:wordWrap w:val="0"/>
        <w:spacing w:line="360" w:lineRule="auto"/>
        <w:ind w:firstLine="480" w:firstLineChars="200"/>
        <w:rPr>
          <w:rFonts w:ascii="宋体"/>
          <w:sz w:val="24"/>
        </w:rPr>
      </w:pPr>
      <w:r>
        <w:rPr>
          <w:rFonts w:hint="eastAsia" w:ascii="宋体" w:hAnsi="宋体"/>
          <w:sz w:val="24"/>
        </w:rPr>
        <w:t>监理人未在规定的期限内发出本款约定的书面通知的，发包人丧失主张逾期竣工违约金的权利。</w:t>
      </w:r>
    </w:p>
    <w:p w14:paraId="0406DE75">
      <w:pPr>
        <w:wordWrap w:val="0"/>
        <w:spacing w:line="360" w:lineRule="auto"/>
        <w:ind w:firstLine="480" w:firstLineChars="200"/>
        <w:rPr>
          <w:rFonts w:ascii="宋体" w:hAnsi="宋体"/>
          <w:sz w:val="24"/>
          <w:szCs w:val="32"/>
        </w:rPr>
      </w:pPr>
      <w:r>
        <w:rPr>
          <w:rFonts w:ascii="宋体" w:hAnsi="宋体"/>
          <w:sz w:val="24"/>
        </w:rPr>
        <w:t xml:space="preserve">11.5.3  </w:t>
      </w:r>
      <w:r>
        <w:rPr>
          <w:rFonts w:hint="eastAsia" w:ascii="宋体" w:hAnsi="宋体"/>
          <w:sz w:val="24"/>
          <w:szCs w:val="32"/>
        </w:rPr>
        <w:t>承包人支付逾期竣工违约金，不免除承包人完成工程及修补缺陷的义务。</w:t>
      </w:r>
    </w:p>
    <w:p w14:paraId="1690E368">
      <w:pPr>
        <w:wordWrap w:val="0"/>
        <w:spacing w:before="120" w:beforeLines="50" w:after="120" w:afterLines="50" w:line="360" w:lineRule="auto"/>
        <w:outlineLvl w:val="2"/>
        <w:rPr>
          <w:rFonts w:ascii="宋体"/>
          <w:kern w:val="0"/>
          <w:sz w:val="24"/>
          <w:szCs w:val="20"/>
        </w:rPr>
      </w:pPr>
      <w:bookmarkStart w:id="1617" w:name="_Toc207289659"/>
      <w:bookmarkStart w:id="1618" w:name="_Hlk114649770"/>
      <w:r>
        <w:rPr>
          <w:rFonts w:ascii="宋体"/>
          <w:kern w:val="0"/>
          <w:sz w:val="24"/>
          <w:szCs w:val="20"/>
        </w:rPr>
        <w:t xml:space="preserve">11.6  </w:t>
      </w:r>
      <w:r>
        <w:rPr>
          <w:rFonts w:hint="eastAsia" w:ascii="宋体"/>
          <w:kern w:val="0"/>
          <w:sz w:val="24"/>
          <w:szCs w:val="20"/>
        </w:rPr>
        <w:t>合同双方原因导致的工期延误</w:t>
      </w:r>
      <w:bookmarkEnd w:id="1617"/>
    </w:p>
    <w:p w14:paraId="4F70C966">
      <w:pPr>
        <w:wordWrap w:val="0"/>
        <w:spacing w:line="360" w:lineRule="auto"/>
        <w:ind w:firstLine="480" w:firstLineChars="200"/>
        <w:rPr>
          <w:rFonts w:ascii="宋体"/>
          <w:sz w:val="24"/>
          <w:szCs w:val="32"/>
        </w:rPr>
      </w:pPr>
      <w:r>
        <w:rPr>
          <w:rFonts w:hint="eastAsia" w:ascii="宋体" w:hAnsi="宋体"/>
          <w:sz w:val="24"/>
          <w:szCs w:val="32"/>
        </w:rPr>
        <w:t>在履行合同过程中，由于合同双方的原因造成承包人关键线路工期延误</w:t>
      </w:r>
      <w:r>
        <w:rPr>
          <w:rFonts w:hint="eastAsia" w:ascii="宋体" w:hAnsi="宋体"/>
          <w:sz w:val="24"/>
        </w:rPr>
        <w:t>或窝工降效的</w:t>
      </w:r>
      <w:r>
        <w:rPr>
          <w:rFonts w:hint="eastAsia" w:ascii="宋体" w:hAnsi="宋体"/>
          <w:sz w:val="24"/>
          <w:szCs w:val="32"/>
        </w:rPr>
        <w:t>，</w:t>
      </w:r>
      <w:r>
        <w:rPr>
          <w:rFonts w:ascii="宋体" w:hAnsi="宋体"/>
          <w:sz w:val="24"/>
        </w:rPr>
        <w:t>承</w:t>
      </w:r>
      <w:r>
        <w:rPr>
          <w:rFonts w:hint="eastAsia" w:ascii="宋体" w:hAnsi="宋体"/>
          <w:sz w:val="24"/>
        </w:rPr>
        <w:t>包</w:t>
      </w:r>
      <w:r>
        <w:rPr>
          <w:rFonts w:ascii="宋体" w:hAnsi="宋体"/>
          <w:sz w:val="24"/>
        </w:rPr>
        <w:t>人</w:t>
      </w:r>
      <w:r>
        <w:rPr>
          <w:rFonts w:hint="eastAsia" w:ascii="宋体" w:hAnsi="宋体"/>
          <w:sz w:val="24"/>
        </w:rPr>
        <w:t>可根据实际影响情况</w:t>
      </w:r>
      <w:r>
        <w:rPr>
          <w:rFonts w:ascii="宋体" w:hAnsi="宋体"/>
          <w:sz w:val="24"/>
        </w:rPr>
        <w:t>并按照合同约定期限提出工期顺延</w:t>
      </w:r>
      <w:r>
        <w:rPr>
          <w:rFonts w:hint="eastAsia" w:ascii="宋体" w:hAnsi="宋体"/>
          <w:sz w:val="24"/>
        </w:rPr>
        <w:t>和（或）费用损失申请</w:t>
      </w:r>
      <w:r>
        <w:rPr>
          <w:rFonts w:ascii="宋体" w:hAnsi="宋体"/>
          <w:sz w:val="24"/>
        </w:rPr>
        <w:t>，发包人应当在合同约定的期限内及时处理</w:t>
      </w:r>
      <w:r>
        <w:rPr>
          <w:rFonts w:hint="eastAsia" w:ascii="宋体" w:hAnsi="宋体"/>
          <w:sz w:val="24"/>
        </w:rPr>
        <w:t>，并</w:t>
      </w:r>
      <w:r>
        <w:rPr>
          <w:rFonts w:ascii="宋体" w:hAnsi="宋体"/>
          <w:sz w:val="24"/>
        </w:rPr>
        <w:t>按</w:t>
      </w:r>
      <w:r>
        <w:rPr>
          <w:rFonts w:hint="eastAsia" w:ascii="宋体" w:hAnsi="宋体"/>
          <w:sz w:val="24"/>
        </w:rPr>
        <w:t>过错</w:t>
      </w:r>
      <w:r>
        <w:rPr>
          <w:rFonts w:ascii="宋体" w:hAnsi="宋体"/>
          <w:sz w:val="24"/>
        </w:rPr>
        <w:t>责任分担</w:t>
      </w:r>
      <w:r>
        <w:rPr>
          <w:rFonts w:hint="eastAsia" w:ascii="宋体" w:hAnsi="宋体"/>
          <w:sz w:val="24"/>
        </w:rPr>
        <w:t>工期</w:t>
      </w:r>
      <w:r>
        <w:rPr>
          <w:rFonts w:ascii="宋体" w:hAnsi="宋体"/>
          <w:sz w:val="24"/>
        </w:rPr>
        <w:t>和</w:t>
      </w:r>
      <w:r>
        <w:rPr>
          <w:rFonts w:hint="eastAsia" w:ascii="宋体" w:hAnsi="宋体"/>
          <w:sz w:val="24"/>
        </w:rPr>
        <w:t>（或）费用损失；责任</w:t>
      </w:r>
      <w:r>
        <w:rPr>
          <w:rFonts w:ascii="宋体" w:hAnsi="宋体"/>
          <w:sz w:val="24"/>
        </w:rPr>
        <w:t>划分不清的，以主导原因为主</w:t>
      </w:r>
      <w:r>
        <w:rPr>
          <w:rFonts w:hint="eastAsia" w:ascii="宋体" w:hAnsi="宋体"/>
          <w:sz w:val="24"/>
        </w:rPr>
        <w:t>承担工期</w:t>
      </w:r>
      <w:r>
        <w:rPr>
          <w:rFonts w:ascii="宋体" w:hAnsi="宋体"/>
          <w:sz w:val="24"/>
        </w:rPr>
        <w:t>和</w:t>
      </w:r>
      <w:r>
        <w:rPr>
          <w:rFonts w:hint="eastAsia" w:ascii="宋体" w:hAnsi="宋体"/>
          <w:sz w:val="24"/>
        </w:rPr>
        <w:t>（或）费用损失。</w:t>
      </w:r>
      <w:r>
        <w:rPr>
          <w:rFonts w:hint="eastAsia" w:ascii="宋体" w:hAnsi="宋体"/>
          <w:sz w:val="24"/>
          <w:szCs w:val="32"/>
        </w:rPr>
        <w:t>需要修订合同进度计划的，按照第</w:t>
      </w:r>
      <w:r>
        <w:rPr>
          <w:rFonts w:ascii="宋体" w:hAnsi="宋体"/>
          <w:sz w:val="24"/>
          <w:szCs w:val="32"/>
        </w:rPr>
        <w:t>10.2</w:t>
      </w:r>
      <w:r>
        <w:rPr>
          <w:rFonts w:hint="eastAsia" w:ascii="宋体" w:hAnsi="宋体"/>
          <w:sz w:val="24"/>
          <w:szCs w:val="32"/>
        </w:rPr>
        <w:t>款的约定办理。合同双方导致工期延误的原因</w:t>
      </w:r>
      <w:r>
        <w:rPr>
          <w:rFonts w:hint="eastAsia" w:ascii="黑体" w:hAnsi="黑体" w:eastAsia="黑体"/>
          <w:sz w:val="24"/>
          <w:szCs w:val="32"/>
        </w:rPr>
        <w:t>见合同条款专用部分。</w:t>
      </w:r>
    </w:p>
    <w:p w14:paraId="34EB25DF">
      <w:pPr>
        <w:wordWrap w:val="0"/>
        <w:spacing w:before="120" w:beforeLines="50" w:after="120" w:afterLines="50" w:line="360" w:lineRule="auto"/>
        <w:outlineLvl w:val="2"/>
        <w:rPr>
          <w:rFonts w:ascii="宋体"/>
          <w:kern w:val="0"/>
          <w:sz w:val="24"/>
          <w:szCs w:val="20"/>
        </w:rPr>
      </w:pPr>
      <w:bookmarkStart w:id="1619" w:name="_Toc207289660"/>
      <w:r>
        <w:rPr>
          <w:rFonts w:ascii="宋体"/>
          <w:kern w:val="0"/>
          <w:sz w:val="24"/>
          <w:szCs w:val="20"/>
        </w:rPr>
        <w:t xml:space="preserve">11.7  </w:t>
      </w:r>
      <w:r>
        <w:rPr>
          <w:rFonts w:hint="eastAsia" w:ascii="宋体"/>
          <w:kern w:val="0"/>
          <w:sz w:val="24"/>
          <w:szCs w:val="20"/>
        </w:rPr>
        <w:t>非合同双方原因导致的工期延误</w:t>
      </w:r>
      <w:bookmarkEnd w:id="1619"/>
    </w:p>
    <w:p w14:paraId="3C18B15B">
      <w:pPr>
        <w:wordWrap w:val="0"/>
        <w:spacing w:line="360" w:lineRule="auto"/>
        <w:ind w:firstLine="480" w:firstLineChars="200"/>
        <w:rPr>
          <w:rFonts w:ascii="宋体"/>
          <w:sz w:val="24"/>
          <w:szCs w:val="32"/>
        </w:rPr>
      </w:pPr>
      <w:r>
        <w:rPr>
          <w:rFonts w:hint="eastAsia" w:ascii="宋体" w:hAnsi="宋体"/>
          <w:sz w:val="24"/>
          <w:szCs w:val="32"/>
        </w:rPr>
        <w:t>在履行合同过程中，由于非合同双方的原因造成承包人关键线路工期延误</w:t>
      </w:r>
      <w:r>
        <w:rPr>
          <w:rFonts w:hint="eastAsia" w:ascii="宋体" w:hAnsi="宋体"/>
          <w:sz w:val="24"/>
        </w:rPr>
        <w:t>或窝工降效的</w:t>
      </w:r>
      <w:r>
        <w:rPr>
          <w:rFonts w:hint="eastAsia" w:ascii="宋体" w:hAnsi="宋体"/>
          <w:sz w:val="24"/>
          <w:szCs w:val="32"/>
        </w:rPr>
        <w:t>，</w:t>
      </w:r>
      <w:r>
        <w:rPr>
          <w:rFonts w:ascii="宋体" w:hAnsi="宋体"/>
          <w:sz w:val="24"/>
        </w:rPr>
        <w:t>承</w:t>
      </w:r>
      <w:r>
        <w:rPr>
          <w:rFonts w:hint="eastAsia" w:ascii="宋体" w:hAnsi="宋体"/>
          <w:sz w:val="24"/>
        </w:rPr>
        <w:t>包</w:t>
      </w:r>
      <w:r>
        <w:rPr>
          <w:rFonts w:ascii="宋体" w:hAnsi="宋体"/>
          <w:sz w:val="24"/>
        </w:rPr>
        <w:t>人</w:t>
      </w:r>
      <w:r>
        <w:rPr>
          <w:rFonts w:hint="eastAsia" w:ascii="宋体" w:hAnsi="宋体"/>
          <w:sz w:val="24"/>
        </w:rPr>
        <w:t>可根据实际影响情况</w:t>
      </w:r>
      <w:r>
        <w:rPr>
          <w:rFonts w:ascii="宋体" w:hAnsi="宋体"/>
          <w:sz w:val="24"/>
        </w:rPr>
        <w:t>并按照合同约定期限提出工期顺延</w:t>
      </w:r>
      <w:r>
        <w:rPr>
          <w:rFonts w:hint="eastAsia" w:ascii="宋体" w:hAnsi="宋体"/>
          <w:sz w:val="24"/>
        </w:rPr>
        <w:t>和（或）费用损失申请</w:t>
      </w:r>
      <w:r>
        <w:rPr>
          <w:rFonts w:ascii="宋体" w:hAnsi="宋体"/>
          <w:sz w:val="24"/>
        </w:rPr>
        <w:t>，发包人应当在合同约定的期限内及时处理</w:t>
      </w:r>
      <w:r>
        <w:rPr>
          <w:rFonts w:hint="eastAsia" w:ascii="宋体" w:hAnsi="宋体"/>
          <w:sz w:val="24"/>
        </w:rPr>
        <w:t>，给予顺延工期，合同双方应根据公平原则分担费用损失。</w:t>
      </w:r>
      <w:r>
        <w:rPr>
          <w:rFonts w:hint="eastAsia" w:ascii="宋体" w:hAnsi="宋体"/>
          <w:sz w:val="24"/>
          <w:szCs w:val="32"/>
        </w:rPr>
        <w:t>需要修订合同进度计划的，按照第</w:t>
      </w:r>
      <w:r>
        <w:rPr>
          <w:rFonts w:ascii="宋体" w:hAnsi="宋体"/>
          <w:sz w:val="24"/>
          <w:szCs w:val="32"/>
        </w:rPr>
        <w:t>10.2</w:t>
      </w:r>
      <w:r>
        <w:rPr>
          <w:rFonts w:hint="eastAsia" w:ascii="宋体" w:hAnsi="宋体"/>
          <w:sz w:val="24"/>
          <w:szCs w:val="32"/>
        </w:rPr>
        <w:t>款的约定办理。非合同双方导致工期延误的原因</w:t>
      </w:r>
      <w:r>
        <w:rPr>
          <w:rFonts w:hint="eastAsia" w:ascii="黑体" w:hAnsi="黑体" w:eastAsia="黑体"/>
          <w:sz w:val="24"/>
          <w:szCs w:val="32"/>
        </w:rPr>
        <w:t>见合同条款专用部分。</w:t>
      </w:r>
    </w:p>
    <w:bookmarkEnd w:id="1618"/>
    <w:p w14:paraId="1A58C5A1">
      <w:pPr>
        <w:wordWrap w:val="0"/>
        <w:spacing w:before="120" w:beforeLines="50" w:after="120" w:afterLines="50" w:line="360" w:lineRule="auto"/>
        <w:outlineLvl w:val="2"/>
        <w:rPr>
          <w:rFonts w:ascii="宋体"/>
          <w:kern w:val="0"/>
          <w:sz w:val="24"/>
          <w:szCs w:val="20"/>
        </w:rPr>
      </w:pPr>
      <w:bookmarkStart w:id="1620" w:name="_Toc489279936"/>
      <w:bookmarkStart w:id="1621" w:name="_Toc480486979"/>
      <w:bookmarkStart w:id="1622" w:name="_Toc490222570"/>
      <w:bookmarkStart w:id="1623" w:name="_Toc480486807"/>
      <w:bookmarkStart w:id="1624" w:name="_Toc483668154"/>
      <w:bookmarkStart w:id="1625" w:name="_Toc486580125"/>
      <w:bookmarkStart w:id="1626" w:name="_Toc207289661"/>
      <w:bookmarkStart w:id="1627" w:name="_Toc338944781"/>
      <w:bookmarkStart w:id="1628" w:name="_Toc342296339"/>
      <w:r>
        <w:rPr>
          <w:rFonts w:ascii="宋体"/>
          <w:kern w:val="0"/>
          <w:sz w:val="24"/>
          <w:szCs w:val="20"/>
        </w:rPr>
        <w:t xml:space="preserve">11.8  </w:t>
      </w:r>
      <w:r>
        <w:rPr>
          <w:rFonts w:hint="eastAsia" w:ascii="宋体"/>
          <w:kern w:val="0"/>
          <w:sz w:val="24"/>
          <w:szCs w:val="20"/>
        </w:rPr>
        <w:t>工期提前</w:t>
      </w:r>
      <w:bookmarkEnd w:id="1620"/>
      <w:bookmarkEnd w:id="1621"/>
      <w:bookmarkEnd w:id="1622"/>
      <w:bookmarkEnd w:id="1623"/>
      <w:bookmarkEnd w:id="1624"/>
      <w:bookmarkEnd w:id="1625"/>
      <w:bookmarkEnd w:id="1626"/>
      <w:bookmarkEnd w:id="1627"/>
      <w:bookmarkEnd w:id="1628"/>
    </w:p>
    <w:p w14:paraId="5AA27599">
      <w:pPr>
        <w:wordWrap w:val="0"/>
        <w:spacing w:line="360" w:lineRule="auto"/>
        <w:ind w:firstLine="480" w:firstLineChars="200"/>
        <w:rPr>
          <w:rFonts w:ascii="宋体"/>
          <w:sz w:val="24"/>
          <w:szCs w:val="32"/>
        </w:rPr>
      </w:pPr>
      <w:r>
        <w:rPr>
          <w:rFonts w:hint="eastAsia" w:ascii="宋体" w:hAnsi="宋体"/>
          <w:sz w:val="24"/>
          <w:szCs w:val="32"/>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相应的奖金。</w:t>
      </w:r>
      <w:r>
        <w:rPr>
          <w:rFonts w:hint="eastAsia" w:ascii="宋体" w:hAnsi="宋体"/>
          <w:sz w:val="24"/>
        </w:rPr>
        <w:t>提前竣工的奖励办法</w:t>
      </w:r>
      <w:r>
        <w:rPr>
          <w:rFonts w:hint="eastAsia" w:ascii="黑体" w:hAnsi="黑体" w:eastAsia="黑体"/>
          <w:sz w:val="24"/>
          <w:szCs w:val="32"/>
        </w:rPr>
        <w:t>见合同条款专用部分。</w:t>
      </w:r>
    </w:p>
    <w:p w14:paraId="25864CB2">
      <w:pPr>
        <w:tabs>
          <w:tab w:val="left" w:pos="576"/>
        </w:tabs>
        <w:wordWrap w:val="0"/>
        <w:spacing w:before="120" w:beforeLines="50" w:after="120" w:afterLines="50" w:line="360" w:lineRule="auto"/>
        <w:outlineLvl w:val="1"/>
        <w:rPr>
          <w:rFonts w:ascii="宋体" w:cs="宋体"/>
          <w:sz w:val="28"/>
          <w:szCs w:val="20"/>
        </w:rPr>
      </w:pPr>
      <w:bookmarkStart w:id="1629" w:name="_Toc207289662"/>
      <w:bookmarkStart w:id="1630" w:name="_Toc489279937"/>
      <w:bookmarkStart w:id="1631" w:name="_Toc480486808"/>
      <w:bookmarkStart w:id="1632" w:name="_Toc342296340"/>
      <w:bookmarkStart w:id="1633" w:name="_Toc486580126"/>
      <w:bookmarkStart w:id="1634" w:name="_Toc338944782"/>
      <w:bookmarkStart w:id="1635" w:name="_Toc490222571"/>
      <w:bookmarkStart w:id="1636" w:name="_Toc480486980"/>
      <w:bookmarkStart w:id="1637" w:name="_Toc483668155"/>
      <w:r>
        <w:rPr>
          <w:rFonts w:ascii="宋体" w:cs="宋体"/>
          <w:sz w:val="28"/>
          <w:szCs w:val="20"/>
        </w:rPr>
        <w:t>12.</w:t>
      </w:r>
      <w:r>
        <w:rPr>
          <w:rFonts w:hint="eastAsia" w:ascii="宋体" w:cs="宋体"/>
          <w:sz w:val="28"/>
          <w:szCs w:val="20"/>
        </w:rPr>
        <w:t>暂停施工</w:t>
      </w:r>
      <w:bookmarkEnd w:id="1629"/>
      <w:bookmarkEnd w:id="1630"/>
      <w:bookmarkEnd w:id="1631"/>
      <w:bookmarkEnd w:id="1632"/>
      <w:bookmarkEnd w:id="1633"/>
      <w:bookmarkEnd w:id="1634"/>
      <w:bookmarkEnd w:id="1635"/>
      <w:bookmarkEnd w:id="1636"/>
      <w:bookmarkEnd w:id="1637"/>
    </w:p>
    <w:p w14:paraId="2C390189">
      <w:pPr>
        <w:wordWrap w:val="0"/>
        <w:spacing w:before="120" w:beforeLines="50" w:after="120" w:afterLines="50" w:line="360" w:lineRule="auto"/>
        <w:outlineLvl w:val="2"/>
        <w:rPr>
          <w:rFonts w:ascii="宋体"/>
          <w:kern w:val="0"/>
          <w:sz w:val="24"/>
          <w:szCs w:val="20"/>
        </w:rPr>
      </w:pPr>
      <w:bookmarkStart w:id="1638" w:name="_Toc486580127"/>
      <w:bookmarkStart w:id="1639" w:name="_Toc480486809"/>
      <w:bookmarkStart w:id="1640" w:name="_Toc207289663"/>
      <w:bookmarkStart w:id="1641" w:name="_Toc338944783"/>
      <w:bookmarkStart w:id="1642" w:name="_Toc483668156"/>
      <w:bookmarkStart w:id="1643" w:name="_Toc480486981"/>
      <w:bookmarkStart w:id="1644" w:name="_Toc489279938"/>
      <w:bookmarkStart w:id="1645" w:name="_Toc342296341"/>
      <w:bookmarkStart w:id="1646" w:name="_Toc490222572"/>
      <w:r>
        <w:rPr>
          <w:rFonts w:ascii="宋体"/>
          <w:kern w:val="0"/>
          <w:sz w:val="24"/>
          <w:szCs w:val="20"/>
        </w:rPr>
        <w:t xml:space="preserve">12.1  </w:t>
      </w:r>
      <w:r>
        <w:rPr>
          <w:rFonts w:hint="eastAsia" w:ascii="宋体"/>
          <w:kern w:val="0"/>
          <w:sz w:val="24"/>
          <w:szCs w:val="20"/>
        </w:rPr>
        <w:t>承包人暂停施工的责任</w:t>
      </w:r>
      <w:bookmarkEnd w:id="1638"/>
      <w:bookmarkEnd w:id="1639"/>
      <w:bookmarkEnd w:id="1640"/>
      <w:bookmarkEnd w:id="1641"/>
      <w:bookmarkEnd w:id="1642"/>
      <w:bookmarkEnd w:id="1643"/>
      <w:bookmarkEnd w:id="1644"/>
      <w:bookmarkEnd w:id="1645"/>
      <w:bookmarkEnd w:id="1646"/>
    </w:p>
    <w:p w14:paraId="21FCB971">
      <w:pPr>
        <w:wordWrap w:val="0"/>
        <w:spacing w:line="360" w:lineRule="auto"/>
        <w:ind w:firstLine="480" w:firstLineChars="200"/>
        <w:rPr>
          <w:rFonts w:ascii="宋体"/>
          <w:sz w:val="24"/>
          <w:szCs w:val="32"/>
        </w:rPr>
      </w:pPr>
      <w:r>
        <w:rPr>
          <w:rFonts w:hint="eastAsia" w:ascii="宋体" w:hAnsi="宋体"/>
          <w:sz w:val="24"/>
          <w:szCs w:val="32"/>
        </w:rPr>
        <w:t>因下列</w:t>
      </w:r>
      <w:r>
        <w:rPr>
          <w:rFonts w:hint="eastAsia" w:ascii="宋体" w:hAnsi="宋体"/>
          <w:sz w:val="24"/>
        </w:rPr>
        <w:t>情形</w:t>
      </w:r>
      <w:r>
        <w:rPr>
          <w:rFonts w:hint="eastAsia" w:ascii="宋体" w:hAnsi="宋体"/>
          <w:sz w:val="24"/>
          <w:szCs w:val="32"/>
        </w:rPr>
        <w:t>暂停施工增加的费用和（或）工期延误由承包人承担：</w:t>
      </w:r>
    </w:p>
    <w:p w14:paraId="7762E144">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）承包人违约引起的暂停施工；</w:t>
      </w:r>
    </w:p>
    <w:p w14:paraId="2768D6E7">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）由于承包人原因为工程合理施工和安全保障所必需的暂停施工；</w:t>
      </w:r>
    </w:p>
    <w:p w14:paraId="7C0936A7">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3</w:t>
      </w:r>
      <w:r>
        <w:rPr>
          <w:rFonts w:hint="eastAsia" w:ascii="宋体" w:hAnsi="宋体"/>
          <w:sz w:val="24"/>
          <w:szCs w:val="32"/>
        </w:rPr>
        <w:t>）承包人擅自暂停施工；</w:t>
      </w:r>
    </w:p>
    <w:p w14:paraId="0882A39A">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4</w:t>
      </w:r>
      <w:r>
        <w:rPr>
          <w:rFonts w:hint="eastAsia" w:ascii="宋体" w:hAnsi="宋体"/>
          <w:sz w:val="24"/>
          <w:szCs w:val="32"/>
        </w:rPr>
        <w:t>）</w:t>
      </w:r>
      <w:r>
        <w:rPr>
          <w:rFonts w:hint="eastAsia" w:ascii="宋体" w:hAnsi="宋体"/>
          <w:sz w:val="24"/>
        </w:rPr>
        <w:t>承包人承担暂停施工责任的其他情形</w:t>
      </w:r>
      <w:r>
        <w:rPr>
          <w:rFonts w:hint="eastAsia" w:ascii="黑体" w:hAnsi="黑体" w:eastAsia="黑体"/>
          <w:sz w:val="24"/>
          <w:szCs w:val="32"/>
        </w:rPr>
        <w:t>见合同条款专用部分。</w:t>
      </w:r>
    </w:p>
    <w:p w14:paraId="16CAF309">
      <w:pPr>
        <w:wordWrap w:val="0"/>
        <w:spacing w:before="120" w:beforeLines="50" w:after="120" w:afterLines="50" w:line="360" w:lineRule="auto"/>
        <w:outlineLvl w:val="2"/>
        <w:rPr>
          <w:rFonts w:ascii="宋体"/>
          <w:kern w:val="0"/>
          <w:sz w:val="24"/>
          <w:szCs w:val="20"/>
        </w:rPr>
      </w:pPr>
      <w:bookmarkStart w:id="1647" w:name="_Toc152045691"/>
      <w:bookmarkStart w:id="1648" w:name="_Toc152042469"/>
      <w:bookmarkStart w:id="1649" w:name="_Toc490222573"/>
      <w:bookmarkStart w:id="1650" w:name="_Toc483668157"/>
      <w:bookmarkStart w:id="1651" w:name="_Toc489279939"/>
      <w:bookmarkStart w:id="1652" w:name="_Toc486580128"/>
      <w:bookmarkStart w:id="1653" w:name="_Toc338944784"/>
      <w:bookmarkStart w:id="1654" w:name="_Toc179632709"/>
      <w:bookmarkStart w:id="1655" w:name="_Toc207289664"/>
      <w:bookmarkStart w:id="1656" w:name="_Toc480486810"/>
      <w:bookmarkStart w:id="1657" w:name="_Toc342296342"/>
      <w:bookmarkStart w:id="1658" w:name="_Toc144974660"/>
      <w:bookmarkStart w:id="1659" w:name="_Toc480486982"/>
      <w:r>
        <w:rPr>
          <w:rFonts w:ascii="宋体"/>
          <w:kern w:val="0"/>
          <w:sz w:val="24"/>
          <w:szCs w:val="20"/>
        </w:rPr>
        <w:t xml:space="preserve">12.2  </w:t>
      </w:r>
      <w:r>
        <w:rPr>
          <w:rFonts w:hint="eastAsia" w:ascii="宋体"/>
          <w:kern w:val="0"/>
          <w:sz w:val="24"/>
          <w:szCs w:val="20"/>
        </w:rPr>
        <w:t>发包人暂停施工的责任</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14:paraId="02DA5A91">
      <w:pPr>
        <w:wordWrap w:val="0"/>
        <w:spacing w:line="360" w:lineRule="auto"/>
        <w:ind w:firstLine="480" w:firstLineChars="200"/>
        <w:rPr>
          <w:rFonts w:ascii="宋体"/>
          <w:sz w:val="24"/>
          <w:szCs w:val="32"/>
        </w:rPr>
      </w:pPr>
      <w:r>
        <w:rPr>
          <w:rFonts w:hint="eastAsia" w:ascii="宋体" w:hAnsi="宋体"/>
          <w:sz w:val="24"/>
          <w:szCs w:val="32"/>
        </w:rPr>
        <w:t>由于发包人原因引起的暂停施工造成工期延误的，承包人有权要求发包人延长工期和（或）增加费用，并支付合理利润。</w:t>
      </w:r>
    </w:p>
    <w:p w14:paraId="0DD12C4B">
      <w:pPr>
        <w:wordWrap w:val="0"/>
        <w:spacing w:before="120" w:beforeLines="50" w:after="120" w:afterLines="50" w:line="360" w:lineRule="auto"/>
        <w:outlineLvl w:val="2"/>
        <w:rPr>
          <w:rFonts w:ascii="宋体"/>
          <w:kern w:val="0"/>
          <w:sz w:val="24"/>
          <w:szCs w:val="20"/>
        </w:rPr>
      </w:pPr>
      <w:bookmarkStart w:id="1660" w:name="_Toc152042470"/>
      <w:bookmarkStart w:id="1661" w:name="_Toc207289665"/>
      <w:bookmarkStart w:id="1662" w:name="_Toc490222574"/>
      <w:bookmarkStart w:id="1663" w:name="_Toc483668158"/>
      <w:bookmarkStart w:id="1664" w:name="_Toc342296343"/>
      <w:bookmarkStart w:id="1665" w:name="_Toc486580129"/>
      <w:bookmarkStart w:id="1666" w:name="_Toc480486811"/>
      <w:bookmarkStart w:id="1667" w:name="_Toc152045692"/>
      <w:bookmarkStart w:id="1668" w:name="_Toc338944785"/>
      <w:bookmarkStart w:id="1669" w:name="_Toc144974661"/>
      <w:bookmarkStart w:id="1670" w:name="_Toc480486983"/>
      <w:bookmarkStart w:id="1671" w:name="_Toc489279940"/>
      <w:bookmarkStart w:id="1672" w:name="_Toc179632710"/>
      <w:r>
        <w:rPr>
          <w:rFonts w:ascii="宋体"/>
          <w:kern w:val="0"/>
          <w:sz w:val="24"/>
          <w:szCs w:val="20"/>
        </w:rPr>
        <w:t xml:space="preserve">12.3  </w:t>
      </w:r>
      <w:r>
        <w:rPr>
          <w:rFonts w:hint="eastAsia" w:ascii="宋体"/>
          <w:kern w:val="0"/>
          <w:sz w:val="24"/>
          <w:szCs w:val="20"/>
        </w:rPr>
        <w:t>监理人暂停施工指示</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14:paraId="2C9CF4E5">
      <w:pPr>
        <w:wordWrap w:val="0"/>
        <w:spacing w:line="360" w:lineRule="auto"/>
        <w:ind w:firstLine="480" w:firstLineChars="200"/>
        <w:rPr>
          <w:rFonts w:ascii="宋体"/>
          <w:sz w:val="24"/>
          <w:szCs w:val="32"/>
        </w:rPr>
      </w:pPr>
      <w:r>
        <w:rPr>
          <w:rFonts w:ascii="宋体" w:hAnsi="宋体"/>
          <w:sz w:val="24"/>
          <w:szCs w:val="32"/>
        </w:rPr>
        <w:t xml:space="preserve">12.3.1  </w:t>
      </w:r>
      <w:r>
        <w:rPr>
          <w:rFonts w:hint="eastAsia" w:ascii="宋体" w:hAnsi="宋体"/>
          <w:sz w:val="24"/>
          <w:szCs w:val="32"/>
        </w:rPr>
        <w:t>监理人认为有必要时，可向承包人作出暂停施工的指示，承包人应按监理人指示暂停施工。不论由于何种原因引起的暂停施工，暂停施工期间承包人应负责妥善保护工程并提供安全保障。</w:t>
      </w:r>
    </w:p>
    <w:p w14:paraId="1C6BAFCA">
      <w:pPr>
        <w:wordWrap w:val="0"/>
        <w:spacing w:line="360" w:lineRule="auto"/>
        <w:ind w:firstLine="480" w:firstLineChars="200"/>
        <w:rPr>
          <w:rFonts w:ascii="宋体"/>
          <w:sz w:val="24"/>
          <w:szCs w:val="32"/>
        </w:rPr>
      </w:pPr>
      <w:r>
        <w:rPr>
          <w:rFonts w:ascii="宋体" w:hAnsi="宋体"/>
          <w:sz w:val="24"/>
          <w:szCs w:val="32"/>
        </w:rPr>
        <w:t xml:space="preserve">12.3.2  </w:t>
      </w:r>
      <w:r>
        <w:rPr>
          <w:rFonts w:hint="eastAsia" w:ascii="宋体" w:hAnsi="宋体"/>
          <w:sz w:val="24"/>
          <w:szCs w:val="32"/>
        </w:rPr>
        <w:t>由于发包人的原因发生暂停施工的紧急情况，且监理人未及时下达暂停施工指示的，承包人可先暂停施工，并及时向监理人提出暂停施工的书面请求。监理人应在接到书面请求后的</w:t>
      </w:r>
      <w:r>
        <w:rPr>
          <w:rFonts w:ascii="宋体" w:hAnsi="宋体"/>
          <w:sz w:val="24"/>
          <w:szCs w:val="32"/>
        </w:rPr>
        <w:t>24</w:t>
      </w:r>
      <w:r>
        <w:rPr>
          <w:rFonts w:hint="eastAsia" w:ascii="宋体" w:hAnsi="宋体"/>
          <w:sz w:val="24"/>
          <w:szCs w:val="32"/>
        </w:rPr>
        <w:t>小时内予以答复，逾期未答复的，视为同意承包人的暂停施工请求。</w:t>
      </w:r>
    </w:p>
    <w:p w14:paraId="6A438D81">
      <w:pPr>
        <w:wordWrap w:val="0"/>
        <w:spacing w:before="120" w:beforeLines="50" w:after="120" w:afterLines="50" w:line="360" w:lineRule="auto"/>
        <w:outlineLvl w:val="2"/>
        <w:rPr>
          <w:rFonts w:ascii="宋体"/>
          <w:kern w:val="0"/>
          <w:sz w:val="24"/>
          <w:szCs w:val="20"/>
        </w:rPr>
      </w:pPr>
      <w:bookmarkStart w:id="1673" w:name="_Toc338944786"/>
      <w:bookmarkStart w:id="1674" w:name="_Toc207289666"/>
      <w:bookmarkStart w:id="1675" w:name="_Toc152042471"/>
      <w:bookmarkStart w:id="1676" w:name="_Toc480486984"/>
      <w:bookmarkStart w:id="1677" w:name="_Toc152045693"/>
      <w:bookmarkStart w:id="1678" w:name="_Toc483668159"/>
      <w:bookmarkStart w:id="1679" w:name="_Toc480486812"/>
      <w:bookmarkStart w:id="1680" w:name="_Toc486580130"/>
      <w:bookmarkStart w:id="1681" w:name="_Toc489279941"/>
      <w:bookmarkStart w:id="1682" w:name="_Toc490222575"/>
      <w:bookmarkStart w:id="1683" w:name="_Toc144974662"/>
      <w:bookmarkStart w:id="1684" w:name="_Toc342296344"/>
      <w:bookmarkStart w:id="1685" w:name="_Toc179632711"/>
      <w:r>
        <w:rPr>
          <w:rFonts w:ascii="宋体"/>
          <w:kern w:val="0"/>
          <w:sz w:val="24"/>
          <w:szCs w:val="20"/>
        </w:rPr>
        <w:t xml:space="preserve">12.4  </w:t>
      </w:r>
      <w:r>
        <w:rPr>
          <w:rFonts w:hint="eastAsia" w:ascii="宋体"/>
          <w:kern w:val="0"/>
          <w:sz w:val="24"/>
          <w:szCs w:val="20"/>
        </w:rPr>
        <w:t>暂停施工后的复工</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14:paraId="3C9885C0">
      <w:pPr>
        <w:wordWrap w:val="0"/>
        <w:spacing w:line="360" w:lineRule="auto"/>
        <w:ind w:firstLine="480" w:firstLineChars="200"/>
        <w:rPr>
          <w:rFonts w:ascii="宋体"/>
          <w:sz w:val="24"/>
          <w:szCs w:val="32"/>
        </w:rPr>
      </w:pPr>
      <w:r>
        <w:rPr>
          <w:rFonts w:ascii="宋体" w:hAnsi="宋体"/>
          <w:sz w:val="24"/>
          <w:szCs w:val="32"/>
        </w:rPr>
        <w:t xml:space="preserve">12.4.1  </w:t>
      </w:r>
      <w:r>
        <w:rPr>
          <w:rFonts w:hint="eastAsia" w:ascii="宋体" w:hAnsi="宋体"/>
          <w:sz w:val="24"/>
          <w:szCs w:val="32"/>
        </w:rPr>
        <w:t>暂停施工后，监理人应与发包人和承包人协商，采取有效措施积极消除暂停施工的影响。当工程具备复工条件时，监理人应立即向承包人发出复工通知。承包人收到复工通知后，应在监理人指定的期限内复工。</w:t>
      </w:r>
    </w:p>
    <w:p w14:paraId="424FE234">
      <w:pPr>
        <w:wordWrap w:val="0"/>
        <w:spacing w:line="360" w:lineRule="auto"/>
        <w:ind w:firstLine="480" w:firstLineChars="200"/>
        <w:rPr>
          <w:rFonts w:ascii="宋体"/>
          <w:sz w:val="24"/>
          <w:szCs w:val="32"/>
        </w:rPr>
      </w:pPr>
      <w:r>
        <w:rPr>
          <w:rFonts w:ascii="宋体" w:hAnsi="宋体"/>
          <w:sz w:val="24"/>
          <w:szCs w:val="32"/>
        </w:rPr>
        <w:t xml:space="preserve">12.4.2  </w:t>
      </w:r>
      <w:r>
        <w:rPr>
          <w:rFonts w:hint="eastAsia" w:ascii="宋体" w:hAnsi="宋体"/>
          <w:sz w:val="24"/>
          <w:szCs w:val="32"/>
        </w:rPr>
        <w:t>承包人无故拖延和拒绝复工的，由此增加的费用和工期延误由承包人承担；因发包人原因无法按时复工的，承包人有权要求发包人延长工期和（或）增加费用，并支付合理利润。</w:t>
      </w:r>
    </w:p>
    <w:p w14:paraId="0DA5BB5C">
      <w:pPr>
        <w:wordWrap w:val="0"/>
        <w:spacing w:line="360" w:lineRule="auto"/>
        <w:ind w:firstLine="480" w:firstLineChars="200"/>
        <w:rPr>
          <w:rFonts w:ascii="宋体"/>
          <w:sz w:val="24"/>
        </w:rPr>
      </w:pPr>
      <w:r>
        <w:rPr>
          <w:rFonts w:ascii="宋体" w:hAnsi="宋体"/>
          <w:sz w:val="24"/>
          <w:szCs w:val="32"/>
        </w:rPr>
        <w:t xml:space="preserve">12.4.3  </w:t>
      </w:r>
      <w:r>
        <w:rPr>
          <w:rFonts w:hint="eastAsia" w:ascii="宋体" w:hAnsi="宋体"/>
          <w:sz w:val="24"/>
        </w:rPr>
        <w:t>根据第</w:t>
      </w:r>
      <w:r>
        <w:rPr>
          <w:rFonts w:ascii="宋体" w:hAnsi="宋体"/>
          <w:sz w:val="24"/>
        </w:rPr>
        <w:t>12.4.1</w:t>
      </w:r>
      <w:r>
        <w:rPr>
          <w:rFonts w:hint="eastAsia" w:ascii="宋体" w:hAnsi="宋体"/>
          <w:sz w:val="24"/>
        </w:rPr>
        <w:t>款的约定，监理人发出复工通知后，监理人应和承包人一起对受到暂停施工影响的工程</w:t>
      </w:r>
      <w:bookmarkStart w:id="1686" w:name="_Hlk199427286"/>
      <w:r>
        <w:rPr>
          <w:rFonts w:hint="eastAsia" w:ascii="宋体" w:hAnsi="宋体"/>
          <w:sz w:val="24"/>
        </w:rPr>
        <w:t>以</w:t>
      </w:r>
      <w:bookmarkEnd w:id="1686"/>
      <w:r>
        <w:rPr>
          <w:rFonts w:hint="eastAsia" w:ascii="宋体" w:hAnsi="宋体"/>
          <w:sz w:val="24"/>
        </w:rPr>
        <w:t>及材料进行检查。承包人负责修复在暂停施工期间发生在工程以及材料上的任何损蚀、缺陷或损失，修复费用由承担暂停施工责任的责任人承担。</w:t>
      </w:r>
    </w:p>
    <w:p w14:paraId="2A11836D">
      <w:pPr>
        <w:wordWrap w:val="0"/>
        <w:spacing w:line="360" w:lineRule="auto"/>
        <w:ind w:firstLine="480" w:firstLineChars="200"/>
        <w:rPr>
          <w:rFonts w:ascii="宋体"/>
          <w:sz w:val="24"/>
          <w:szCs w:val="32"/>
        </w:rPr>
      </w:pPr>
      <w:r>
        <w:rPr>
          <w:rFonts w:ascii="宋体" w:hAnsi="宋体"/>
          <w:sz w:val="24"/>
          <w:szCs w:val="32"/>
        </w:rPr>
        <w:t xml:space="preserve">12.4.4  </w:t>
      </w:r>
      <w:r>
        <w:rPr>
          <w:rFonts w:hint="eastAsia" w:ascii="宋体" w:hAnsi="宋体"/>
          <w:sz w:val="24"/>
          <w:szCs w:val="32"/>
        </w:rPr>
        <w:t>暂停施工持续</w:t>
      </w:r>
      <w:r>
        <w:rPr>
          <w:rFonts w:ascii="宋体" w:hAnsi="宋体"/>
          <w:sz w:val="24"/>
          <w:szCs w:val="32"/>
        </w:rPr>
        <w:t>56</w:t>
      </w:r>
      <w:r>
        <w:rPr>
          <w:rFonts w:hint="eastAsia" w:ascii="宋体" w:hAnsi="宋体"/>
          <w:sz w:val="24"/>
          <w:szCs w:val="32"/>
        </w:rPr>
        <w:t>天以上，按合同约定由承包人提供的材料，由于暂停施工原因导致承包人在暂停施工前已经订购但被暂停运至施工现场的，发包人应按照承包人订购合同的约定支付相应的订购款项。</w:t>
      </w:r>
    </w:p>
    <w:p w14:paraId="7CEBBF9D">
      <w:pPr>
        <w:wordWrap w:val="0"/>
        <w:spacing w:before="120" w:beforeLines="50" w:after="120" w:afterLines="50" w:line="360" w:lineRule="auto"/>
        <w:outlineLvl w:val="2"/>
        <w:rPr>
          <w:rFonts w:ascii="宋体"/>
          <w:kern w:val="0"/>
          <w:sz w:val="24"/>
          <w:szCs w:val="20"/>
        </w:rPr>
      </w:pPr>
      <w:bookmarkStart w:id="1687" w:name="_Toc152045694"/>
      <w:bookmarkStart w:id="1688" w:name="_Toc480486985"/>
      <w:bookmarkStart w:id="1689" w:name="_Toc207289667"/>
      <w:bookmarkStart w:id="1690" w:name="_Toc489279942"/>
      <w:bookmarkStart w:id="1691" w:name="_Toc338944787"/>
      <w:bookmarkStart w:id="1692" w:name="_Toc480486813"/>
      <w:bookmarkStart w:id="1693" w:name="_Toc179632712"/>
      <w:bookmarkStart w:id="1694" w:name="_Toc486580131"/>
      <w:bookmarkStart w:id="1695" w:name="_Toc342296345"/>
      <w:bookmarkStart w:id="1696" w:name="_Toc144974663"/>
      <w:bookmarkStart w:id="1697" w:name="_Toc483668160"/>
      <w:bookmarkStart w:id="1698" w:name="_Toc490222576"/>
      <w:bookmarkStart w:id="1699" w:name="_Toc152042472"/>
      <w:r>
        <w:rPr>
          <w:rFonts w:ascii="宋体"/>
          <w:kern w:val="0"/>
          <w:sz w:val="24"/>
          <w:szCs w:val="20"/>
        </w:rPr>
        <w:t xml:space="preserve">12.5  </w:t>
      </w:r>
      <w:r>
        <w:rPr>
          <w:rFonts w:hint="eastAsia" w:ascii="宋体"/>
          <w:kern w:val="0"/>
          <w:sz w:val="24"/>
          <w:szCs w:val="20"/>
        </w:rPr>
        <w:t>暂停施工持续</w:t>
      </w:r>
      <w:r>
        <w:rPr>
          <w:rFonts w:ascii="宋体"/>
          <w:kern w:val="0"/>
          <w:sz w:val="24"/>
          <w:szCs w:val="20"/>
        </w:rPr>
        <w:t>56</w:t>
      </w:r>
      <w:r>
        <w:rPr>
          <w:rFonts w:hint="eastAsia" w:ascii="宋体"/>
          <w:kern w:val="0"/>
          <w:sz w:val="24"/>
          <w:szCs w:val="20"/>
        </w:rPr>
        <w:t>天以上</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p>
    <w:p w14:paraId="7B22F420">
      <w:pPr>
        <w:wordWrap w:val="0"/>
        <w:spacing w:line="360" w:lineRule="auto"/>
        <w:ind w:firstLine="470" w:firstLineChars="196"/>
        <w:rPr>
          <w:rFonts w:ascii="宋体"/>
          <w:sz w:val="24"/>
          <w:szCs w:val="32"/>
        </w:rPr>
      </w:pPr>
      <w:r>
        <w:rPr>
          <w:rFonts w:ascii="宋体" w:hAnsi="宋体"/>
          <w:sz w:val="24"/>
          <w:szCs w:val="32"/>
        </w:rPr>
        <w:t xml:space="preserve">12.5.1  </w:t>
      </w:r>
      <w:r>
        <w:rPr>
          <w:rFonts w:hint="eastAsia" w:ascii="宋体" w:hAnsi="宋体"/>
          <w:sz w:val="24"/>
          <w:szCs w:val="32"/>
        </w:rPr>
        <w:t>监理人发出暂停施工指示后</w:t>
      </w:r>
      <w:r>
        <w:rPr>
          <w:rFonts w:ascii="宋体" w:hAnsi="宋体"/>
          <w:sz w:val="24"/>
          <w:szCs w:val="32"/>
        </w:rPr>
        <w:t>56</w:t>
      </w:r>
      <w:r>
        <w:rPr>
          <w:rFonts w:hint="eastAsia" w:ascii="宋体" w:hAnsi="宋体"/>
          <w:sz w:val="24"/>
          <w:szCs w:val="32"/>
        </w:rPr>
        <w:t>天内未向承包人发出复工通知，除了该项停工属于第</w:t>
      </w:r>
      <w:r>
        <w:rPr>
          <w:rFonts w:ascii="宋体" w:hAnsi="宋体"/>
          <w:sz w:val="24"/>
          <w:szCs w:val="32"/>
        </w:rPr>
        <w:t>12.1</w:t>
      </w:r>
      <w:r>
        <w:rPr>
          <w:rFonts w:hint="eastAsia" w:ascii="宋体" w:hAnsi="宋体"/>
          <w:sz w:val="24"/>
          <w:szCs w:val="32"/>
        </w:rPr>
        <w:t>款的情况外，承包人可向监理人提交书面通知，要求监理人在收到书面通知后</w:t>
      </w:r>
      <w:r>
        <w:rPr>
          <w:rFonts w:ascii="宋体" w:hAnsi="宋体"/>
          <w:sz w:val="24"/>
          <w:szCs w:val="32"/>
        </w:rPr>
        <w:t>28</w:t>
      </w:r>
      <w:r>
        <w:rPr>
          <w:rFonts w:hint="eastAsia" w:ascii="宋体" w:hAnsi="宋体"/>
          <w:sz w:val="24"/>
          <w:szCs w:val="32"/>
        </w:rPr>
        <w:t>天内准许已暂停施工的工程或其中一部分工程继续施工。如监理人逾期不予批准，则承包人可以通知监理人，将工程受影响的部分视为按第</w:t>
      </w:r>
      <w:r>
        <w:rPr>
          <w:rFonts w:ascii="宋体" w:hAnsi="宋体"/>
          <w:sz w:val="24"/>
          <w:szCs w:val="32"/>
        </w:rPr>
        <w:t>15.1</w:t>
      </w:r>
      <w:r>
        <w:rPr>
          <w:rFonts w:hint="eastAsia" w:ascii="宋体" w:hAnsi="宋体"/>
          <w:sz w:val="24"/>
          <w:szCs w:val="32"/>
        </w:rPr>
        <w:t>.1（</w:t>
      </w:r>
      <w:r>
        <w:rPr>
          <w:rFonts w:ascii="宋体" w:hAnsi="宋体"/>
          <w:sz w:val="24"/>
          <w:szCs w:val="32"/>
        </w:rPr>
        <w:t>1</w:t>
      </w:r>
      <w:r>
        <w:rPr>
          <w:rFonts w:hint="eastAsia" w:ascii="宋体" w:hAnsi="宋体"/>
          <w:sz w:val="24"/>
          <w:szCs w:val="32"/>
        </w:rPr>
        <w:t>）目的可取消工作。如暂停施工影响到整个工程，可视为发包人违约，应按第</w:t>
      </w:r>
      <w:r>
        <w:rPr>
          <w:rFonts w:ascii="宋体" w:hAnsi="宋体"/>
          <w:sz w:val="24"/>
          <w:szCs w:val="32"/>
        </w:rPr>
        <w:t>22.2</w:t>
      </w:r>
      <w:r>
        <w:rPr>
          <w:rFonts w:hint="eastAsia" w:ascii="宋体" w:hAnsi="宋体"/>
          <w:sz w:val="24"/>
          <w:szCs w:val="32"/>
        </w:rPr>
        <w:t>款的规定办理。</w:t>
      </w:r>
    </w:p>
    <w:p w14:paraId="06FC66D7">
      <w:pPr>
        <w:tabs>
          <w:tab w:val="left" w:pos="1560"/>
        </w:tabs>
        <w:wordWrap w:val="0"/>
        <w:spacing w:line="360" w:lineRule="auto"/>
        <w:ind w:firstLine="480" w:firstLineChars="200"/>
        <w:rPr>
          <w:rFonts w:ascii="宋体"/>
          <w:sz w:val="24"/>
          <w:szCs w:val="32"/>
        </w:rPr>
      </w:pPr>
      <w:r>
        <w:rPr>
          <w:rFonts w:ascii="宋体" w:hAnsi="宋体"/>
          <w:sz w:val="24"/>
          <w:szCs w:val="32"/>
        </w:rPr>
        <w:t xml:space="preserve">12.5.2  </w:t>
      </w:r>
      <w:r>
        <w:rPr>
          <w:rFonts w:hint="eastAsia" w:ascii="宋体" w:hAnsi="宋体"/>
          <w:sz w:val="24"/>
          <w:szCs w:val="32"/>
        </w:rPr>
        <w:t>由于承包人责任引起的暂停施工，如承包人在收到监理人暂停施工指示后</w:t>
      </w:r>
      <w:r>
        <w:rPr>
          <w:rFonts w:ascii="宋体" w:hAnsi="宋体"/>
          <w:sz w:val="24"/>
          <w:szCs w:val="32"/>
        </w:rPr>
        <w:t>56</w:t>
      </w:r>
      <w:r>
        <w:rPr>
          <w:rFonts w:hint="eastAsia" w:ascii="宋体" w:hAnsi="宋体"/>
          <w:sz w:val="24"/>
          <w:szCs w:val="32"/>
        </w:rPr>
        <w:t>天内不认真采取有效的复工措施，造成工期延误，可视为承包人违约，应按第</w:t>
      </w:r>
      <w:r>
        <w:rPr>
          <w:rFonts w:ascii="宋体" w:hAnsi="宋体"/>
          <w:sz w:val="24"/>
          <w:szCs w:val="32"/>
        </w:rPr>
        <w:t>22.1</w:t>
      </w:r>
      <w:r>
        <w:rPr>
          <w:rFonts w:hint="eastAsia" w:ascii="宋体" w:hAnsi="宋体"/>
          <w:sz w:val="24"/>
          <w:szCs w:val="32"/>
        </w:rPr>
        <w:t>款的规定办理。</w:t>
      </w:r>
    </w:p>
    <w:p w14:paraId="1C01F949">
      <w:pPr>
        <w:tabs>
          <w:tab w:val="left" w:pos="576"/>
        </w:tabs>
        <w:wordWrap w:val="0"/>
        <w:spacing w:before="120" w:beforeLines="50" w:after="120" w:afterLines="50" w:line="360" w:lineRule="auto"/>
        <w:outlineLvl w:val="1"/>
        <w:rPr>
          <w:rFonts w:ascii="宋体" w:cs="宋体"/>
          <w:sz w:val="28"/>
          <w:szCs w:val="20"/>
        </w:rPr>
      </w:pPr>
      <w:bookmarkStart w:id="1700" w:name="_Toc480486986"/>
      <w:bookmarkStart w:id="1701" w:name="_Toc486580132"/>
      <w:bookmarkStart w:id="1702" w:name="_Toc490222577"/>
      <w:bookmarkStart w:id="1703" w:name="_Toc342296346"/>
      <w:bookmarkStart w:id="1704" w:name="_Toc480486814"/>
      <w:bookmarkStart w:id="1705" w:name="_Toc489279943"/>
      <w:bookmarkStart w:id="1706" w:name="_Toc338944788"/>
      <w:bookmarkStart w:id="1707" w:name="_Toc483668161"/>
      <w:bookmarkStart w:id="1708" w:name="_Toc207289668"/>
      <w:r>
        <w:rPr>
          <w:rFonts w:ascii="宋体" w:cs="宋体"/>
          <w:sz w:val="28"/>
          <w:szCs w:val="20"/>
        </w:rPr>
        <w:t>13.</w:t>
      </w:r>
      <w:r>
        <w:rPr>
          <w:rFonts w:hint="eastAsia" w:ascii="宋体" w:cs="宋体"/>
          <w:sz w:val="28"/>
          <w:szCs w:val="20"/>
        </w:rPr>
        <w:t>工程质量</w:t>
      </w:r>
      <w:bookmarkEnd w:id="1700"/>
      <w:bookmarkEnd w:id="1701"/>
      <w:bookmarkEnd w:id="1702"/>
      <w:bookmarkEnd w:id="1703"/>
      <w:bookmarkEnd w:id="1704"/>
      <w:bookmarkEnd w:id="1705"/>
      <w:bookmarkEnd w:id="1706"/>
      <w:bookmarkEnd w:id="1707"/>
      <w:bookmarkEnd w:id="1708"/>
    </w:p>
    <w:p w14:paraId="12C51B52">
      <w:pPr>
        <w:wordWrap w:val="0"/>
        <w:spacing w:before="120" w:beforeLines="50" w:after="120" w:afterLines="50" w:line="360" w:lineRule="auto"/>
        <w:outlineLvl w:val="2"/>
        <w:rPr>
          <w:rFonts w:ascii="宋体"/>
          <w:kern w:val="0"/>
          <w:sz w:val="24"/>
          <w:szCs w:val="20"/>
        </w:rPr>
      </w:pPr>
      <w:bookmarkStart w:id="1709" w:name="_Toc480486987"/>
      <w:bookmarkStart w:id="1710" w:name="_Toc489279944"/>
      <w:bookmarkStart w:id="1711" w:name="_Toc207289669"/>
      <w:bookmarkStart w:id="1712" w:name="_Toc483668162"/>
      <w:bookmarkStart w:id="1713" w:name="_Toc152045696"/>
      <w:bookmarkStart w:id="1714" w:name="_Toc179632714"/>
      <w:bookmarkStart w:id="1715" w:name="_Toc486580133"/>
      <w:bookmarkStart w:id="1716" w:name="_Toc152042474"/>
      <w:bookmarkStart w:id="1717" w:name="_Toc480486815"/>
      <w:bookmarkStart w:id="1718" w:name="_Toc338944789"/>
      <w:bookmarkStart w:id="1719" w:name="_Toc490222578"/>
      <w:bookmarkStart w:id="1720" w:name="_Toc144974665"/>
      <w:bookmarkStart w:id="1721" w:name="_Toc342296347"/>
      <w:r>
        <w:rPr>
          <w:rFonts w:ascii="宋体"/>
          <w:kern w:val="0"/>
          <w:sz w:val="24"/>
          <w:szCs w:val="20"/>
        </w:rPr>
        <w:t xml:space="preserve">13.1  </w:t>
      </w:r>
      <w:r>
        <w:rPr>
          <w:rFonts w:hint="eastAsia" w:ascii="宋体"/>
          <w:kern w:val="0"/>
          <w:sz w:val="24"/>
          <w:szCs w:val="20"/>
        </w:rPr>
        <w:t>工程质量要求</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14:paraId="2EB5DC4D">
      <w:pPr>
        <w:wordWrap w:val="0"/>
        <w:spacing w:line="360" w:lineRule="auto"/>
        <w:ind w:firstLine="480" w:firstLineChars="200"/>
        <w:rPr>
          <w:rFonts w:ascii="宋体"/>
          <w:sz w:val="24"/>
          <w:szCs w:val="32"/>
        </w:rPr>
      </w:pPr>
      <w:r>
        <w:rPr>
          <w:rFonts w:ascii="宋体" w:hAnsi="宋体"/>
          <w:sz w:val="24"/>
          <w:szCs w:val="32"/>
        </w:rPr>
        <w:t xml:space="preserve">13.1.1  </w:t>
      </w:r>
      <w:r>
        <w:rPr>
          <w:rFonts w:hint="eastAsia" w:ascii="宋体" w:hAnsi="宋体"/>
          <w:sz w:val="24"/>
          <w:szCs w:val="32"/>
        </w:rPr>
        <w:t>工程质量验收按合同约定验收标准执行。</w:t>
      </w:r>
    </w:p>
    <w:p w14:paraId="11D142B4">
      <w:pPr>
        <w:wordWrap w:val="0"/>
        <w:spacing w:line="360" w:lineRule="auto"/>
        <w:ind w:firstLine="480" w:firstLineChars="200"/>
        <w:rPr>
          <w:rFonts w:ascii="宋体"/>
          <w:sz w:val="24"/>
          <w:szCs w:val="32"/>
        </w:rPr>
      </w:pPr>
      <w:r>
        <w:rPr>
          <w:rFonts w:ascii="宋体" w:hAnsi="宋体"/>
          <w:sz w:val="24"/>
          <w:szCs w:val="32"/>
        </w:rPr>
        <w:t xml:space="preserve">13.1.2  </w:t>
      </w:r>
      <w:r>
        <w:rPr>
          <w:rFonts w:hint="eastAsia" w:ascii="宋体" w:hAnsi="宋体"/>
          <w:sz w:val="24"/>
          <w:szCs w:val="32"/>
        </w:rPr>
        <w:t>因承包人原因造成工程质量达不到合同约定验收标准的，监理人有权要求承包人返工直至符合合同要求为止，由此造成的费用增加和（或）工期延误由承包人承担。</w:t>
      </w:r>
    </w:p>
    <w:p w14:paraId="23F8A6DE">
      <w:pPr>
        <w:wordWrap w:val="0"/>
        <w:spacing w:line="360" w:lineRule="auto"/>
        <w:ind w:firstLine="480" w:firstLineChars="200"/>
        <w:rPr>
          <w:rFonts w:ascii="宋体"/>
          <w:sz w:val="24"/>
          <w:szCs w:val="32"/>
        </w:rPr>
      </w:pPr>
      <w:r>
        <w:rPr>
          <w:rFonts w:ascii="宋体" w:hAnsi="宋体"/>
          <w:sz w:val="24"/>
          <w:szCs w:val="32"/>
        </w:rPr>
        <w:t xml:space="preserve">13.1.3  </w:t>
      </w:r>
      <w:r>
        <w:rPr>
          <w:rFonts w:hint="eastAsia" w:ascii="宋体" w:hAnsi="宋体"/>
          <w:sz w:val="24"/>
          <w:szCs w:val="32"/>
        </w:rPr>
        <w:t>因发包人原因造成工程质量达不到合同约定验收标准的，发包人应承担由于承包人返工造成的费用增加和（或）工期延误，并支付承包人合理利润。</w:t>
      </w:r>
    </w:p>
    <w:p w14:paraId="15266453">
      <w:pPr>
        <w:wordWrap w:val="0"/>
        <w:spacing w:before="120" w:beforeLines="50" w:after="120" w:afterLines="50" w:line="360" w:lineRule="auto"/>
        <w:outlineLvl w:val="2"/>
        <w:rPr>
          <w:rFonts w:ascii="宋体"/>
          <w:kern w:val="0"/>
          <w:sz w:val="32"/>
          <w:szCs w:val="22"/>
        </w:rPr>
      </w:pPr>
      <w:bookmarkStart w:id="1722" w:name="_Toc342296348"/>
      <w:bookmarkStart w:id="1723" w:name="_Toc338944790"/>
      <w:bookmarkStart w:id="1724" w:name="_Toc483668163"/>
      <w:bookmarkStart w:id="1725" w:name="_Toc490222579"/>
      <w:bookmarkStart w:id="1726" w:name="_Toc489279945"/>
      <w:bookmarkStart w:id="1727" w:name="_Toc480486988"/>
      <w:bookmarkStart w:id="1728" w:name="_Toc207289670"/>
      <w:bookmarkStart w:id="1729" w:name="_Toc486580134"/>
      <w:bookmarkStart w:id="1730" w:name="_Toc480486816"/>
      <w:r>
        <w:rPr>
          <w:rFonts w:ascii="宋体"/>
          <w:kern w:val="0"/>
          <w:sz w:val="32"/>
          <w:szCs w:val="22"/>
        </w:rPr>
        <w:t xml:space="preserve">13.2  </w:t>
      </w:r>
      <w:r>
        <w:rPr>
          <w:rFonts w:hint="eastAsia" w:ascii="宋体"/>
          <w:kern w:val="0"/>
          <w:sz w:val="32"/>
          <w:szCs w:val="22"/>
        </w:rPr>
        <w:t>承包人的质量管理</w:t>
      </w:r>
      <w:bookmarkEnd w:id="1722"/>
      <w:bookmarkEnd w:id="1723"/>
      <w:bookmarkEnd w:id="1724"/>
      <w:bookmarkEnd w:id="1725"/>
      <w:bookmarkEnd w:id="1726"/>
      <w:bookmarkEnd w:id="1727"/>
      <w:bookmarkEnd w:id="1728"/>
      <w:bookmarkEnd w:id="1729"/>
      <w:bookmarkEnd w:id="1730"/>
    </w:p>
    <w:p w14:paraId="7CE3772D">
      <w:pPr>
        <w:wordWrap w:val="0"/>
        <w:spacing w:line="360" w:lineRule="auto"/>
        <w:ind w:firstLine="480" w:firstLineChars="200"/>
        <w:rPr>
          <w:rFonts w:ascii="宋体"/>
          <w:sz w:val="24"/>
          <w:szCs w:val="32"/>
        </w:rPr>
      </w:pPr>
      <w:r>
        <w:rPr>
          <w:rFonts w:ascii="宋体" w:hAnsi="宋体"/>
          <w:sz w:val="24"/>
          <w:szCs w:val="32"/>
        </w:rPr>
        <w:t xml:space="preserve">13.2.1  </w:t>
      </w:r>
      <w:r>
        <w:rPr>
          <w:rFonts w:hint="eastAsia" w:ascii="宋体" w:hAnsi="宋体"/>
          <w:sz w:val="24"/>
          <w:szCs w:val="32"/>
        </w:rPr>
        <w:t>承包人应在施工场地设置专门的质量检查机构，配备专职质量检查人员，建立完善的质量检查制度。承包人应在合同条款专用部分约定的期限内，提交工程质量保证措施文件，包括质量检查机构的组织和岗位责任、质检人员的组成、质量检查程序和实施细则等，报送监理人审批。监理人应在合同条款专用部分约定的期限内完成审批。</w:t>
      </w:r>
    </w:p>
    <w:p w14:paraId="3D5FEDF0">
      <w:pPr>
        <w:wordWrap w:val="0"/>
        <w:spacing w:line="360" w:lineRule="auto"/>
        <w:ind w:firstLine="480" w:firstLineChars="200"/>
        <w:rPr>
          <w:rFonts w:ascii="宋体"/>
          <w:sz w:val="24"/>
          <w:szCs w:val="32"/>
        </w:rPr>
      </w:pPr>
      <w:r>
        <w:rPr>
          <w:rFonts w:ascii="宋体" w:hAnsi="宋体"/>
          <w:sz w:val="24"/>
          <w:szCs w:val="32"/>
        </w:rPr>
        <w:t xml:space="preserve">13.2.2  </w:t>
      </w:r>
      <w:r>
        <w:rPr>
          <w:rFonts w:hint="eastAsia" w:ascii="宋体" w:hAnsi="宋体"/>
          <w:sz w:val="24"/>
          <w:szCs w:val="32"/>
        </w:rPr>
        <w:t>承包人应加强对施工人员的质量教育和技术培训，定期考核施工人员的劳动技能，严格执行规范和操作规程。</w:t>
      </w:r>
    </w:p>
    <w:p w14:paraId="2437DBF1">
      <w:pPr>
        <w:wordWrap w:val="0"/>
        <w:spacing w:before="120" w:beforeLines="50" w:after="120" w:afterLines="50" w:line="360" w:lineRule="auto"/>
        <w:outlineLvl w:val="2"/>
        <w:rPr>
          <w:rFonts w:ascii="宋体"/>
          <w:kern w:val="0"/>
          <w:sz w:val="24"/>
          <w:szCs w:val="20"/>
        </w:rPr>
      </w:pPr>
      <w:bookmarkStart w:id="1731" w:name="_Toc483668164"/>
      <w:bookmarkStart w:id="1732" w:name="_Toc207289671"/>
      <w:bookmarkStart w:id="1733" w:name="_Toc338944791"/>
      <w:bookmarkStart w:id="1734" w:name="_Toc342296349"/>
      <w:bookmarkStart w:id="1735" w:name="_Toc480486989"/>
      <w:bookmarkStart w:id="1736" w:name="_Toc489279946"/>
      <w:bookmarkStart w:id="1737" w:name="_Toc486580135"/>
      <w:bookmarkStart w:id="1738" w:name="_Toc480486817"/>
      <w:bookmarkStart w:id="1739" w:name="_Toc490222580"/>
      <w:r>
        <w:rPr>
          <w:rFonts w:ascii="宋体"/>
          <w:kern w:val="0"/>
          <w:sz w:val="24"/>
          <w:szCs w:val="20"/>
        </w:rPr>
        <w:t xml:space="preserve">13.3  </w:t>
      </w:r>
      <w:r>
        <w:rPr>
          <w:rFonts w:hint="eastAsia" w:ascii="宋体"/>
          <w:kern w:val="0"/>
          <w:sz w:val="24"/>
          <w:szCs w:val="20"/>
        </w:rPr>
        <w:t>承包人的质量检查</w:t>
      </w:r>
      <w:bookmarkEnd w:id="1731"/>
      <w:bookmarkEnd w:id="1732"/>
      <w:bookmarkEnd w:id="1733"/>
      <w:bookmarkEnd w:id="1734"/>
      <w:bookmarkEnd w:id="1735"/>
      <w:bookmarkEnd w:id="1736"/>
      <w:bookmarkEnd w:id="1737"/>
      <w:bookmarkEnd w:id="1738"/>
      <w:bookmarkEnd w:id="1739"/>
    </w:p>
    <w:p w14:paraId="0DFD7888">
      <w:pPr>
        <w:wordWrap w:val="0"/>
        <w:spacing w:line="360" w:lineRule="auto"/>
        <w:ind w:firstLine="480" w:firstLineChars="200"/>
        <w:rPr>
          <w:rFonts w:ascii="宋体"/>
          <w:sz w:val="24"/>
          <w:szCs w:val="32"/>
        </w:rPr>
      </w:pPr>
      <w:r>
        <w:rPr>
          <w:rFonts w:hint="eastAsia" w:ascii="宋体" w:hAnsi="宋体"/>
          <w:sz w:val="24"/>
          <w:szCs w:val="32"/>
        </w:rPr>
        <w:t>承包人应按合同条款专用部分的约定对材料以及工程的所有部位及其施工工艺进行全过程的质量检查和检验，并作详细记录，编制工程质量报表，报送监理人审查。监理人应在合同条款专用部分约定的期限内完成审查。</w:t>
      </w:r>
    </w:p>
    <w:p w14:paraId="5005B3ED">
      <w:pPr>
        <w:wordWrap w:val="0"/>
        <w:spacing w:before="120" w:beforeLines="50" w:after="120" w:afterLines="50" w:line="360" w:lineRule="auto"/>
        <w:outlineLvl w:val="2"/>
        <w:rPr>
          <w:rFonts w:ascii="宋体"/>
          <w:kern w:val="0"/>
          <w:sz w:val="24"/>
          <w:szCs w:val="20"/>
        </w:rPr>
      </w:pPr>
      <w:bookmarkStart w:id="1740" w:name="_Toc480486990"/>
      <w:bookmarkStart w:id="1741" w:name="_Toc342296350"/>
      <w:bookmarkStart w:id="1742" w:name="_Toc483668165"/>
      <w:bookmarkStart w:id="1743" w:name="_Toc489279947"/>
      <w:bookmarkStart w:id="1744" w:name="_Toc207289672"/>
      <w:bookmarkStart w:id="1745" w:name="_Toc338944792"/>
      <w:bookmarkStart w:id="1746" w:name="_Toc480486818"/>
      <w:bookmarkStart w:id="1747" w:name="_Toc490222581"/>
      <w:bookmarkStart w:id="1748" w:name="_Toc486580136"/>
      <w:r>
        <w:rPr>
          <w:rFonts w:ascii="宋体"/>
          <w:kern w:val="0"/>
          <w:sz w:val="24"/>
          <w:szCs w:val="20"/>
        </w:rPr>
        <w:t xml:space="preserve">13.4  </w:t>
      </w:r>
      <w:r>
        <w:rPr>
          <w:rFonts w:hint="eastAsia" w:ascii="宋体"/>
          <w:kern w:val="0"/>
          <w:sz w:val="24"/>
          <w:szCs w:val="20"/>
        </w:rPr>
        <w:t>监理人的质量检查</w:t>
      </w:r>
      <w:bookmarkEnd w:id="1740"/>
      <w:bookmarkEnd w:id="1741"/>
      <w:bookmarkEnd w:id="1742"/>
      <w:bookmarkEnd w:id="1743"/>
      <w:bookmarkEnd w:id="1744"/>
      <w:bookmarkEnd w:id="1745"/>
      <w:bookmarkEnd w:id="1746"/>
      <w:bookmarkEnd w:id="1747"/>
      <w:bookmarkEnd w:id="1748"/>
    </w:p>
    <w:p w14:paraId="05D45F9F">
      <w:pPr>
        <w:wordWrap w:val="0"/>
        <w:spacing w:line="360" w:lineRule="auto"/>
        <w:ind w:firstLine="480" w:firstLineChars="200"/>
        <w:rPr>
          <w:rFonts w:ascii="宋体"/>
          <w:sz w:val="24"/>
          <w:szCs w:val="32"/>
        </w:rPr>
      </w:pPr>
      <w:r>
        <w:rPr>
          <w:rFonts w:hint="eastAsia" w:ascii="宋体" w:hAnsi="宋体"/>
          <w:sz w:val="24"/>
          <w:szCs w:val="32"/>
        </w:rPr>
        <w:t>监理人有权对工程的所有部位及其施工工艺以及材料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监理人可以进行察看和查阅施工原始记录的其他地方</w:t>
      </w:r>
      <w:r>
        <w:rPr>
          <w:rFonts w:hint="eastAsia" w:ascii="黑体" w:hAnsi="黑体" w:eastAsia="黑体"/>
          <w:sz w:val="24"/>
          <w:szCs w:val="32"/>
        </w:rPr>
        <w:t>见合同条款专用部分</w:t>
      </w:r>
      <w:r>
        <w:rPr>
          <w:rFonts w:hint="eastAsia" w:ascii="宋体" w:hAnsi="宋体"/>
          <w:sz w:val="24"/>
          <w:szCs w:val="32"/>
        </w:rPr>
        <w:t>。</w:t>
      </w:r>
    </w:p>
    <w:p w14:paraId="3F65060B">
      <w:pPr>
        <w:wordWrap w:val="0"/>
        <w:spacing w:before="120" w:beforeLines="50" w:after="120" w:afterLines="50" w:line="360" w:lineRule="auto"/>
        <w:outlineLvl w:val="2"/>
        <w:rPr>
          <w:rFonts w:ascii="宋体"/>
          <w:kern w:val="0"/>
          <w:sz w:val="24"/>
          <w:szCs w:val="20"/>
        </w:rPr>
      </w:pPr>
      <w:bookmarkStart w:id="1749" w:name="_Toc480486819"/>
      <w:bookmarkStart w:id="1750" w:name="_Toc490222582"/>
      <w:bookmarkStart w:id="1751" w:name="_Toc342296351"/>
      <w:bookmarkStart w:id="1752" w:name="_Toc480486991"/>
      <w:bookmarkStart w:id="1753" w:name="_Toc338944793"/>
      <w:bookmarkStart w:id="1754" w:name="_Toc483668166"/>
      <w:bookmarkStart w:id="1755" w:name="_Toc486580137"/>
      <w:bookmarkStart w:id="1756" w:name="_Toc207289673"/>
      <w:bookmarkStart w:id="1757" w:name="_Toc489279948"/>
      <w:r>
        <w:rPr>
          <w:rFonts w:ascii="宋体"/>
          <w:kern w:val="0"/>
          <w:sz w:val="24"/>
          <w:szCs w:val="20"/>
        </w:rPr>
        <w:t xml:space="preserve">13.5  </w:t>
      </w:r>
      <w:r>
        <w:rPr>
          <w:rFonts w:hint="eastAsia" w:ascii="宋体"/>
          <w:kern w:val="0"/>
          <w:sz w:val="24"/>
          <w:szCs w:val="20"/>
        </w:rPr>
        <w:t>工程隐蔽部位覆盖前的检查</w:t>
      </w:r>
      <w:bookmarkEnd w:id="1749"/>
      <w:bookmarkEnd w:id="1750"/>
      <w:bookmarkEnd w:id="1751"/>
      <w:bookmarkEnd w:id="1752"/>
      <w:bookmarkEnd w:id="1753"/>
      <w:bookmarkEnd w:id="1754"/>
      <w:bookmarkEnd w:id="1755"/>
      <w:bookmarkEnd w:id="1756"/>
      <w:bookmarkEnd w:id="1757"/>
    </w:p>
    <w:p w14:paraId="21A59F14">
      <w:pPr>
        <w:wordWrap w:val="0"/>
        <w:spacing w:line="360" w:lineRule="auto"/>
        <w:ind w:firstLine="480" w:firstLineChars="200"/>
        <w:rPr>
          <w:rFonts w:ascii="宋体"/>
          <w:sz w:val="24"/>
          <w:szCs w:val="32"/>
        </w:rPr>
      </w:pPr>
      <w:r>
        <w:rPr>
          <w:rFonts w:ascii="宋体" w:hAnsi="宋体"/>
          <w:sz w:val="24"/>
          <w:szCs w:val="32"/>
        </w:rPr>
        <w:t xml:space="preserve">13.5.1  </w:t>
      </w:r>
      <w:r>
        <w:rPr>
          <w:rFonts w:hint="eastAsia" w:ascii="宋体" w:hAnsi="宋体"/>
          <w:sz w:val="24"/>
          <w:szCs w:val="32"/>
        </w:rPr>
        <w:t>通知监理人检查</w:t>
      </w:r>
    </w:p>
    <w:p w14:paraId="69D475E4">
      <w:pPr>
        <w:wordWrap w:val="0"/>
        <w:spacing w:line="360" w:lineRule="auto"/>
        <w:ind w:firstLine="480" w:firstLineChars="200"/>
        <w:rPr>
          <w:rFonts w:ascii="宋体"/>
          <w:sz w:val="24"/>
          <w:szCs w:val="32"/>
        </w:rPr>
      </w:pPr>
      <w:r>
        <w:rPr>
          <w:rFonts w:hint="eastAsia" w:ascii="宋体" w:hAnsi="宋体"/>
          <w:sz w:val="24"/>
          <w:szCs w:val="32"/>
        </w:rPr>
        <w:t>经承包人自检确认的工程隐蔽部位具备覆盖条件后，承包人应通知监理人在合同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r>
        <w:rPr>
          <w:rFonts w:hint="eastAsia" w:ascii="宋体" w:hAnsi="宋体"/>
          <w:sz w:val="24"/>
        </w:rPr>
        <w:t>监理人对工程隐蔽部位进行检查的期限</w:t>
      </w:r>
      <w:r>
        <w:rPr>
          <w:rFonts w:hint="eastAsia" w:ascii="黑体" w:hAnsi="黑体" w:eastAsia="黑体"/>
          <w:sz w:val="24"/>
          <w:szCs w:val="32"/>
        </w:rPr>
        <w:t>见合同条款专用部分。</w:t>
      </w:r>
    </w:p>
    <w:p w14:paraId="16BB8B71">
      <w:pPr>
        <w:wordWrap w:val="0"/>
        <w:spacing w:line="360" w:lineRule="auto"/>
        <w:ind w:firstLine="480" w:firstLineChars="200"/>
        <w:rPr>
          <w:rFonts w:ascii="宋体"/>
          <w:sz w:val="24"/>
          <w:szCs w:val="32"/>
        </w:rPr>
      </w:pPr>
      <w:r>
        <w:rPr>
          <w:rFonts w:ascii="宋体" w:hAnsi="宋体"/>
          <w:sz w:val="24"/>
          <w:szCs w:val="32"/>
        </w:rPr>
        <w:t xml:space="preserve">13.5.2  </w:t>
      </w:r>
      <w:r>
        <w:rPr>
          <w:rFonts w:hint="eastAsia" w:ascii="宋体" w:hAnsi="宋体"/>
          <w:sz w:val="24"/>
          <w:szCs w:val="32"/>
        </w:rPr>
        <w:t>监理人未到场检查</w:t>
      </w:r>
    </w:p>
    <w:p w14:paraId="33E118D6">
      <w:pPr>
        <w:wordWrap w:val="0"/>
        <w:spacing w:line="360" w:lineRule="auto"/>
        <w:ind w:firstLine="480" w:firstLineChars="200"/>
        <w:rPr>
          <w:rFonts w:ascii="宋体"/>
          <w:sz w:val="24"/>
          <w:szCs w:val="32"/>
        </w:rPr>
      </w:pPr>
      <w:r>
        <w:rPr>
          <w:rFonts w:hint="eastAsia" w:ascii="宋体" w:hAnsi="宋体"/>
          <w:sz w:val="24"/>
          <w:szCs w:val="32"/>
        </w:rPr>
        <w:t>监理人未按第</w:t>
      </w:r>
      <w:r>
        <w:rPr>
          <w:rFonts w:ascii="宋体" w:hAnsi="宋体"/>
          <w:sz w:val="24"/>
          <w:szCs w:val="32"/>
        </w:rPr>
        <w:t>13.5.1</w:t>
      </w:r>
      <w:r>
        <w:rPr>
          <w:rFonts w:hint="eastAsia" w:ascii="宋体" w:hAnsi="宋体"/>
          <w:sz w:val="24"/>
          <w:szCs w:val="32"/>
        </w:rPr>
        <w:t>项约定的时间进行检查的，除监理人另有指示外，承包人可自行完成覆盖工作，并作相应记录报送监理人，监理人应签字确认。监理人事后对检查记录有疑问的，可按第</w:t>
      </w:r>
      <w:r>
        <w:rPr>
          <w:rFonts w:ascii="宋体" w:hAnsi="宋体"/>
          <w:sz w:val="24"/>
          <w:szCs w:val="32"/>
        </w:rPr>
        <w:t>13.5.3</w:t>
      </w:r>
      <w:r>
        <w:rPr>
          <w:rFonts w:hint="eastAsia" w:ascii="宋体" w:hAnsi="宋体"/>
          <w:sz w:val="24"/>
          <w:szCs w:val="32"/>
        </w:rPr>
        <w:t>项的约定重新检查。</w:t>
      </w:r>
    </w:p>
    <w:p w14:paraId="5D8298B7">
      <w:pPr>
        <w:wordWrap w:val="0"/>
        <w:spacing w:line="360" w:lineRule="auto"/>
        <w:ind w:firstLine="480" w:firstLineChars="200"/>
        <w:rPr>
          <w:rFonts w:ascii="宋体"/>
          <w:sz w:val="24"/>
          <w:szCs w:val="32"/>
        </w:rPr>
      </w:pPr>
      <w:r>
        <w:rPr>
          <w:rFonts w:ascii="宋体" w:hAnsi="宋体"/>
          <w:sz w:val="24"/>
          <w:szCs w:val="32"/>
        </w:rPr>
        <w:t xml:space="preserve">13.5.3  </w:t>
      </w:r>
      <w:r>
        <w:rPr>
          <w:rFonts w:hint="eastAsia" w:ascii="宋体" w:hAnsi="宋体"/>
          <w:sz w:val="24"/>
          <w:szCs w:val="32"/>
        </w:rPr>
        <w:t>监理人重新检查</w:t>
      </w:r>
    </w:p>
    <w:p w14:paraId="76298F8D">
      <w:pPr>
        <w:wordWrap w:val="0"/>
        <w:spacing w:line="360" w:lineRule="auto"/>
        <w:ind w:firstLine="480" w:firstLineChars="200"/>
        <w:rPr>
          <w:rFonts w:ascii="宋体"/>
          <w:sz w:val="24"/>
          <w:szCs w:val="32"/>
        </w:rPr>
      </w:pPr>
      <w:r>
        <w:rPr>
          <w:rFonts w:hint="eastAsia" w:ascii="宋体" w:hAnsi="宋体"/>
          <w:sz w:val="24"/>
          <w:szCs w:val="32"/>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337503B8">
      <w:pPr>
        <w:wordWrap w:val="0"/>
        <w:spacing w:line="360" w:lineRule="auto"/>
        <w:ind w:firstLine="480" w:firstLineChars="200"/>
        <w:rPr>
          <w:rFonts w:ascii="宋体"/>
          <w:sz w:val="24"/>
          <w:szCs w:val="32"/>
        </w:rPr>
      </w:pPr>
      <w:r>
        <w:rPr>
          <w:rFonts w:ascii="宋体" w:hAnsi="宋体"/>
          <w:sz w:val="24"/>
          <w:szCs w:val="32"/>
        </w:rPr>
        <w:t xml:space="preserve">13.5.4  </w:t>
      </w:r>
      <w:r>
        <w:rPr>
          <w:rFonts w:hint="eastAsia" w:ascii="宋体" w:hAnsi="宋体"/>
          <w:sz w:val="24"/>
          <w:szCs w:val="32"/>
        </w:rPr>
        <w:t>承包人私自覆盖</w:t>
      </w:r>
    </w:p>
    <w:p w14:paraId="2B1C681C">
      <w:pPr>
        <w:wordWrap w:val="0"/>
        <w:spacing w:line="360" w:lineRule="auto"/>
        <w:ind w:firstLine="480" w:firstLineChars="200"/>
        <w:rPr>
          <w:rFonts w:ascii="宋体"/>
          <w:sz w:val="24"/>
          <w:szCs w:val="32"/>
        </w:rPr>
      </w:pPr>
      <w:r>
        <w:rPr>
          <w:rFonts w:hint="eastAsia" w:ascii="宋体" w:hAnsi="宋体"/>
          <w:sz w:val="24"/>
          <w:szCs w:val="32"/>
        </w:rPr>
        <w:t>承包人未通知监理人到场检查，私自将工程隐蔽部位覆盖的，监理人有权指示承包人钻孔探测或揭开检查，由此增加的费用和（或）工期延误由承包人承担。</w:t>
      </w:r>
    </w:p>
    <w:p w14:paraId="7BD2D1D6">
      <w:pPr>
        <w:wordWrap w:val="0"/>
        <w:spacing w:before="120" w:beforeLines="50" w:after="120" w:afterLines="50" w:line="360" w:lineRule="auto"/>
        <w:outlineLvl w:val="2"/>
        <w:rPr>
          <w:rFonts w:ascii="宋体"/>
          <w:kern w:val="0"/>
          <w:sz w:val="24"/>
          <w:szCs w:val="20"/>
        </w:rPr>
      </w:pPr>
      <w:bookmarkStart w:id="1758" w:name="_Toc152045701"/>
      <w:bookmarkStart w:id="1759" w:name="_Toc486580138"/>
      <w:bookmarkStart w:id="1760" w:name="_Toc144974670"/>
      <w:bookmarkStart w:id="1761" w:name="_Toc338944794"/>
      <w:bookmarkStart w:id="1762" w:name="_Toc480486992"/>
      <w:bookmarkStart w:id="1763" w:name="_Toc207289674"/>
      <w:bookmarkStart w:id="1764" w:name="_Toc483668167"/>
      <w:bookmarkStart w:id="1765" w:name="_Toc179632719"/>
      <w:bookmarkStart w:id="1766" w:name="_Toc480486820"/>
      <w:bookmarkStart w:id="1767" w:name="_Toc490222583"/>
      <w:bookmarkStart w:id="1768" w:name="_Toc152042479"/>
      <w:bookmarkStart w:id="1769" w:name="_Toc489279949"/>
      <w:bookmarkStart w:id="1770" w:name="_Toc342296352"/>
      <w:r>
        <w:rPr>
          <w:rFonts w:ascii="宋体"/>
          <w:kern w:val="0"/>
          <w:sz w:val="24"/>
          <w:szCs w:val="20"/>
        </w:rPr>
        <w:t xml:space="preserve">13.6  </w:t>
      </w:r>
      <w:r>
        <w:rPr>
          <w:rFonts w:hint="eastAsia" w:ascii="宋体"/>
          <w:kern w:val="0"/>
          <w:sz w:val="24"/>
          <w:szCs w:val="20"/>
        </w:rPr>
        <w:t>清除不合格工程</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p>
    <w:p w14:paraId="61C8EC83">
      <w:pPr>
        <w:wordWrap w:val="0"/>
        <w:spacing w:line="360" w:lineRule="auto"/>
        <w:ind w:firstLine="480" w:firstLineChars="200"/>
        <w:rPr>
          <w:rFonts w:ascii="宋体"/>
          <w:sz w:val="24"/>
          <w:szCs w:val="32"/>
        </w:rPr>
      </w:pPr>
      <w:r>
        <w:rPr>
          <w:rFonts w:ascii="宋体" w:hAnsi="宋体"/>
          <w:sz w:val="24"/>
          <w:szCs w:val="32"/>
        </w:rPr>
        <w:t xml:space="preserve">13.6.1  </w:t>
      </w:r>
      <w:r>
        <w:rPr>
          <w:rFonts w:hint="eastAsia" w:ascii="宋体" w:hAnsi="宋体"/>
          <w:sz w:val="24"/>
          <w:szCs w:val="32"/>
        </w:rPr>
        <w:t>承包人使用不合格材料，或采用不适当的施工工艺，或施工不当，造成工程不合格的，监理人可以随时发出指示，要求承包人立即采取措施进行补救，直至达到合同要求的质量标准，由此增加的费用和（或）工期延误由承包人承担。</w:t>
      </w:r>
    </w:p>
    <w:p w14:paraId="74263B79">
      <w:pPr>
        <w:wordWrap w:val="0"/>
        <w:spacing w:line="360" w:lineRule="auto"/>
        <w:ind w:firstLine="480" w:firstLineChars="200"/>
        <w:rPr>
          <w:rFonts w:ascii="宋体"/>
          <w:sz w:val="24"/>
          <w:szCs w:val="32"/>
        </w:rPr>
      </w:pPr>
      <w:r>
        <w:rPr>
          <w:rFonts w:ascii="宋体" w:hAnsi="宋体"/>
          <w:sz w:val="24"/>
          <w:szCs w:val="32"/>
        </w:rPr>
        <w:t xml:space="preserve">13.6.2  </w:t>
      </w:r>
      <w:r>
        <w:rPr>
          <w:rFonts w:hint="eastAsia" w:ascii="宋体" w:hAnsi="宋体"/>
          <w:sz w:val="24"/>
          <w:szCs w:val="32"/>
        </w:rPr>
        <w:t>由于发包人提供的材料不合格造成的工程不合格，需要承包人采取措施补救的，发包人应承担由此增加的费用和（或）工期延误，并支付承包人合理利润。</w:t>
      </w:r>
    </w:p>
    <w:p w14:paraId="79C481A5">
      <w:pPr>
        <w:wordWrap w:val="0"/>
        <w:spacing w:before="120" w:beforeLines="50" w:after="120" w:afterLines="50" w:line="360" w:lineRule="auto"/>
        <w:outlineLvl w:val="2"/>
        <w:rPr>
          <w:rFonts w:ascii="宋体"/>
          <w:kern w:val="0"/>
          <w:sz w:val="24"/>
          <w:szCs w:val="20"/>
        </w:rPr>
      </w:pPr>
      <w:bookmarkStart w:id="1771" w:name="_Toc480486821"/>
      <w:bookmarkStart w:id="1772" w:name="_Toc480486993"/>
      <w:bookmarkStart w:id="1773" w:name="_Toc207289675"/>
      <w:bookmarkStart w:id="1774" w:name="_Toc490222584"/>
      <w:bookmarkStart w:id="1775" w:name="_Toc489279950"/>
      <w:bookmarkStart w:id="1776" w:name="_Toc241459713"/>
      <w:bookmarkStart w:id="1777" w:name="_Toc476479360"/>
      <w:bookmarkStart w:id="1778" w:name="_Toc483668168"/>
      <w:bookmarkStart w:id="1779" w:name="_Toc342296472"/>
      <w:bookmarkStart w:id="1780" w:name="_Toc486580139"/>
      <w:r>
        <w:rPr>
          <w:rFonts w:ascii="宋体"/>
          <w:kern w:val="0"/>
          <w:sz w:val="24"/>
          <w:szCs w:val="20"/>
        </w:rPr>
        <w:t xml:space="preserve">13.7  </w:t>
      </w:r>
      <w:r>
        <w:rPr>
          <w:rFonts w:hint="eastAsia" w:ascii="宋体"/>
          <w:kern w:val="0"/>
          <w:sz w:val="24"/>
          <w:szCs w:val="20"/>
        </w:rPr>
        <w:t>质量争议</w:t>
      </w:r>
      <w:bookmarkEnd w:id="1771"/>
      <w:bookmarkEnd w:id="1772"/>
      <w:bookmarkEnd w:id="1773"/>
      <w:bookmarkEnd w:id="1774"/>
      <w:bookmarkEnd w:id="1775"/>
      <w:bookmarkEnd w:id="1776"/>
      <w:bookmarkEnd w:id="1777"/>
      <w:bookmarkEnd w:id="1778"/>
      <w:bookmarkEnd w:id="1779"/>
      <w:bookmarkEnd w:id="1780"/>
    </w:p>
    <w:p w14:paraId="02AE9E57">
      <w:pPr>
        <w:wordWrap w:val="0"/>
        <w:spacing w:line="360" w:lineRule="auto"/>
        <w:ind w:firstLine="480" w:firstLineChars="200"/>
        <w:rPr>
          <w:rFonts w:ascii="宋体"/>
        </w:rPr>
      </w:pPr>
      <w:r>
        <w:rPr>
          <w:rFonts w:hint="eastAsia" w:ascii="宋体" w:hAnsi="宋体"/>
          <w:sz w:val="24"/>
        </w:rPr>
        <w:t>发包人和承包人对工程质量有争议的，除可按第</w:t>
      </w:r>
      <w:r>
        <w:rPr>
          <w:rFonts w:ascii="宋体" w:hAnsi="宋体"/>
          <w:sz w:val="24"/>
        </w:rPr>
        <w:t>24</w:t>
      </w:r>
      <w:r>
        <w:rPr>
          <w:rFonts w:hint="eastAsia" w:ascii="宋体" w:hAnsi="宋体"/>
          <w:sz w:val="24"/>
        </w:rPr>
        <w:t>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w:t>
      </w:r>
      <w:r>
        <w:rPr>
          <w:rFonts w:hint="eastAsia" w:ascii="宋体" w:hAnsi="宋体"/>
          <w:szCs w:val="21"/>
        </w:rPr>
        <w:t>及停工、停建的工程，根据检测结果确定解决方案，或按工程质量监督机构的处理决定执行。</w:t>
      </w:r>
    </w:p>
    <w:p w14:paraId="7FFD2BC5">
      <w:pPr>
        <w:tabs>
          <w:tab w:val="left" w:pos="576"/>
        </w:tabs>
        <w:wordWrap w:val="0"/>
        <w:spacing w:before="120" w:beforeLines="50" w:after="120" w:afterLines="50" w:line="360" w:lineRule="auto"/>
        <w:outlineLvl w:val="1"/>
        <w:rPr>
          <w:rFonts w:ascii="宋体" w:cs="宋体"/>
          <w:sz w:val="28"/>
          <w:szCs w:val="20"/>
        </w:rPr>
      </w:pPr>
      <w:bookmarkStart w:id="1781" w:name="_Toc486580140"/>
      <w:bookmarkStart w:id="1782" w:name="_Toc179632720"/>
      <w:bookmarkStart w:id="1783" w:name="_Toc152042480"/>
      <w:bookmarkStart w:id="1784" w:name="_Toc480486822"/>
      <w:bookmarkStart w:id="1785" w:name="_Toc207289676"/>
      <w:bookmarkStart w:id="1786" w:name="_Toc489279951"/>
      <w:bookmarkStart w:id="1787" w:name="_Toc490222585"/>
      <w:bookmarkStart w:id="1788" w:name="_Toc152045702"/>
      <w:bookmarkStart w:id="1789" w:name="_Toc480486994"/>
      <w:bookmarkStart w:id="1790" w:name="_Toc342296353"/>
      <w:bookmarkStart w:id="1791" w:name="_Toc144974671"/>
      <w:bookmarkStart w:id="1792" w:name="_Toc338944795"/>
      <w:bookmarkStart w:id="1793" w:name="_Toc483668169"/>
      <w:r>
        <w:rPr>
          <w:rFonts w:ascii="宋体" w:cs="宋体"/>
          <w:sz w:val="28"/>
          <w:szCs w:val="20"/>
        </w:rPr>
        <w:t>14.</w:t>
      </w:r>
      <w:r>
        <w:rPr>
          <w:rFonts w:hint="eastAsia" w:ascii="宋体" w:cs="宋体"/>
          <w:sz w:val="28"/>
          <w:szCs w:val="20"/>
        </w:rPr>
        <w:t>试验和检验</w:t>
      </w:r>
      <w:bookmarkEnd w:id="1781"/>
      <w:bookmarkEnd w:id="1782"/>
      <w:bookmarkEnd w:id="1783"/>
      <w:bookmarkEnd w:id="1784"/>
      <w:bookmarkEnd w:id="1785"/>
      <w:bookmarkEnd w:id="1786"/>
      <w:bookmarkEnd w:id="1787"/>
      <w:bookmarkEnd w:id="1788"/>
      <w:bookmarkEnd w:id="1789"/>
      <w:bookmarkEnd w:id="1790"/>
      <w:bookmarkEnd w:id="1791"/>
      <w:bookmarkEnd w:id="1792"/>
      <w:bookmarkEnd w:id="1793"/>
    </w:p>
    <w:p w14:paraId="2E851F4D">
      <w:pPr>
        <w:wordWrap w:val="0"/>
        <w:spacing w:before="120" w:beforeLines="50" w:after="120" w:afterLines="50" w:line="360" w:lineRule="auto"/>
        <w:outlineLvl w:val="2"/>
        <w:rPr>
          <w:rFonts w:ascii="宋体"/>
          <w:kern w:val="0"/>
          <w:sz w:val="24"/>
          <w:szCs w:val="20"/>
        </w:rPr>
      </w:pPr>
      <w:bookmarkStart w:id="1794" w:name="_Toc152042481"/>
      <w:bookmarkStart w:id="1795" w:name="_Toc480486995"/>
      <w:bookmarkStart w:id="1796" w:name="_Toc486580141"/>
      <w:bookmarkStart w:id="1797" w:name="_Toc480486823"/>
      <w:bookmarkStart w:id="1798" w:name="_Toc342296354"/>
      <w:bookmarkStart w:id="1799" w:name="_Toc483668170"/>
      <w:bookmarkStart w:id="1800" w:name="_Toc338944796"/>
      <w:bookmarkStart w:id="1801" w:name="_Toc490222586"/>
      <w:bookmarkStart w:id="1802" w:name="_Toc144974672"/>
      <w:bookmarkStart w:id="1803" w:name="_Toc207289677"/>
      <w:bookmarkStart w:id="1804" w:name="_Toc489279952"/>
      <w:bookmarkStart w:id="1805" w:name="_Toc152045703"/>
      <w:bookmarkStart w:id="1806" w:name="_Toc179632721"/>
      <w:r>
        <w:rPr>
          <w:rFonts w:ascii="宋体"/>
          <w:kern w:val="0"/>
          <w:sz w:val="24"/>
          <w:szCs w:val="20"/>
        </w:rPr>
        <w:t xml:space="preserve">14.1  </w:t>
      </w:r>
      <w:r>
        <w:rPr>
          <w:rFonts w:hint="eastAsia" w:ascii="宋体"/>
          <w:kern w:val="0"/>
          <w:sz w:val="24"/>
          <w:szCs w:val="20"/>
        </w:rPr>
        <w:t>材料和工程的试验和检验</w:t>
      </w:r>
      <w:bookmarkEnd w:id="1794"/>
      <w:bookmarkEnd w:id="1795"/>
      <w:bookmarkEnd w:id="1796"/>
      <w:bookmarkEnd w:id="1797"/>
      <w:bookmarkEnd w:id="1798"/>
      <w:bookmarkEnd w:id="1799"/>
      <w:bookmarkEnd w:id="1800"/>
      <w:bookmarkEnd w:id="1801"/>
      <w:bookmarkEnd w:id="1802"/>
      <w:bookmarkEnd w:id="1803"/>
      <w:bookmarkEnd w:id="1804"/>
      <w:bookmarkEnd w:id="1805"/>
      <w:bookmarkEnd w:id="1806"/>
    </w:p>
    <w:p w14:paraId="440EABC2">
      <w:pPr>
        <w:wordWrap w:val="0"/>
        <w:spacing w:line="360" w:lineRule="auto"/>
        <w:ind w:firstLine="480" w:firstLineChars="200"/>
        <w:rPr>
          <w:rFonts w:ascii="宋体"/>
          <w:sz w:val="24"/>
          <w:szCs w:val="32"/>
        </w:rPr>
      </w:pPr>
      <w:r>
        <w:rPr>
          <w:rFonts w:ascii="宋体" w:hAnsi="宋体"/>
          <w:sz w:val="24"/>
          <w:szCs w:val="32"/>
        </w:rPr>
        <w:t xml:space="preserve">14.1.1  </w:t>
      </w:r>
      <w:r>
        <w:rPr>
          <w:rFonts w:hint="eastAsia" w:ascii="宋体" w:hAnsi="宋体"/>
          <w:sz w:val="24"/>
          <w:szCs w:val="32"/>
        </w:rPr>
        <w:t>承包人应按合同约定进行材料和工程的试验和检验</w:t>
      </w:r>
      <w:bookmarkStart w:id="1807" w:name="_Hlk199427612"/>
      <w:r>
        <w:rPr>
          <w:rFonts w:hint="eastAsia" w:ascii="宋体" w:hAnsi="宋体"/>
          <w:sz w:val="24"/>
          <w:szCs w:val="32"/>
        </w:rPr>
        <w:t>，</w:t>
      </w:r>
      <w:bookmarkEnd w:id="1807"/>
      <w:r>
        <w:rPr>
          <w:rFonts w:hint="eastAsia" w:ascii="宋体" w:hAnsi="宋体"/>
          <w:sz w:val="24"/>
          <w:szCs w:val="32"/>
        </w:rPr>
        <w:t>并为监理人对上述材料和工程的质量检查提供必要的试验资料和原始记录。按合同约定应由监理人与承包人共同进行试验和检验的，由承包人负责提供必要的试验资料和原始记录。</w:t>
      </w:r>
    </w:p>
    <w:p w14:paraId="01E002B4">
      <w:pPr>
        <w:wordWrap w:val="0"/>
        <w:spacing w:line="360" w:lineRule="auto"/>
        <w:ind w:firstLine="480" w:firstLineChars="200"/>
        <w:rPr>
          <w:rFonts w:ascii="宋体"/>
          <w:sz w:val="24"/>
          <w:szCs w:val="32"/>
        </w:rPr>
      </w:pPr>
      <w:r>
        <w:rPr>
          <w:rFonts w:ascii="宋体" w:hAnsi="宋体"/>
          <w:sz w:val="24"/>
          <w:szCs w:val="32"/>
        </w:rPr>
        <w:t xml:space="preserve">14.1.2  </w:t>
      </w:r>
      <w:r>
        <w:rPr>
          <w:rFonts w:hint="eastAsia" w:ascii="宋体" w:hAnsi="宋体"/>
          <w:sz w:val="24"/>
          <w:szCs w:val="32"/>
        </w:rPr>
        <w:t>监理人未按合同约定派员参加试验和检验的，除监理人另有指示外，承包人可自行试验和检验，并应立即将试验和检验结果报送监理人，监理人应签字确认。</w:t>
      </w:r>
    </w:p>
    <w:p w14:paraId="09D462F9">
      <w:pPr>
        <w:wordWrap w:val="0"/>
        <w:spacing w:line="360" w:lineRule="auto"/>
        <w:ind w:firstLine="480" w:firstLineChars="200"/>
        <w:rPr>
          <w:rFonts w:ascii="宋体"/>
          <w:sz w:val="24"/>
          <w:szCs w:val="32"/>
        </w:rPr>
      </w:pPr>
      <w:r>
        <w:rPr>
          <w:rFonts w:ascii="宋体" w:hAnsi="宋体"/>
          <w:sz w:val="24"/>
          <w:szCs w:val="32"/>
        </w:rPr>
        <w:t xml:space="preserve">14.1.3  </w:t>
      </w:r>
      <w:r>
        <w:rPr>
          <w:rFonts w:hint="eastAsia" w:ascii="宋体" w:hAnsi="宋体"/>
          <w:sz w:val="24"/>
          <w:szCs w:val="32"/>
        </w:rPr>
        <w:t>监理人对承包人的试验和检验结果有疑问的，或为查清承包人试验和检验成果的可靠性要求承包人重新试验和检验的，可按合同约定由监理人与承包人共同进行。重新试验和检验的结果证明该项材料或工程的质量不符合合同要求的，由此增加的费用和（或）工期延误由承包人承担；重新试验和检验结果证明该项材料和工程符合合同要求，由发包人承担由此增加的费用和（或）工期延误，并支付承包人合理利润。</w:t>
      </w:r>
    </w:p>
    <w:p w14:paraId="33E5AB0C">
      <w:pPr>
        <w:wordWrap w:val="0"/>
        <w:spacing w:before="120" w:beforeLines="50" w:after="120" w:afterLines="50" w:line="360" w:lineRule="auto"/>
        <w:outlineLvl w:val="2"/>
        <w:rPr>
          <w:rFonts w:ascii="宋体"/>
          <w:kern w:val="0"/>
          <w:sz w:val="24"/>
          <w:szCs w:val="20"/>
        </w:rPr>
      </w:pPr>
      <w:bookmarkStart w:id="1808" w:name="_Toc480486996"/>
      <w:bookmarkStart w:id="1809" w:name="_Toc490222587"/>
      <w:bookmarkStart w:id="1810" w:name="_Toc144974673"/>
      <w:bookmarkStart w:id="1811" w:name="_Toc152042482"/>
      <w:bookmarkStart w:id="1812" w:name="_Toc338944797"/>
      <w:bookmarkStart w:id="1813" w:name="_Toc179632722"/>
      <w:bookmarkStart w:id="1814" w:name="_Toc207289678"/>
      <w:bookmarkStart w:id="1815" w:name="_Toc483668171"/>
      <w:bookmarkStart w:id="1816" w:name="_Toc480486824"/>
      <w:bookmarkStart w:id="1817" w:name="_Toc489279953"/>
      <w:bookmarkStart w:id="1818" w:name="_Toc486580142"/>
      <w:bookmarkStart w:id="1819" w:name="_Toc342296355"/>
      <w:bookmarkStart w:id="1820" w:name="_Toc152045704"/>
      <w:r>
        <w:rPr>
          <w:rFonts w:ascii="宋体"/>
          <w:kern w:val="0"/>
          <w:sz w:val="24"/>
          <w:szCs w:val="20"/>
        </w:rPr>
        <w:t xml:space="preserve">14.2  </w:t>
      </w:r>
      <w:r>
        <w:rPr>
          <w:rFonts w:hint="eastAsia" w:ascii="宋体"/>
          <w:kern w:val="0"/>
          <w:sz w:val="24"/>
          <w:szCs w:val="20"/>
        </w:rPr>
        <w:t>现场材料试验</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14:paraId="0CDFCBDC">
      <w:pPr>
        <w:wordWrap w:val="0"/>
        <w:spacing w:line="360" w:lineRule="auto"/>
        <w:ind w:firstLine="480" w:firstLineChars="200"/>
        <w:rPr>
          <w:rFonts w:ascii="宋体"/>
          <w:sz w:val="24"/>
          <w:szCs w:val="32"/>
        </w:rPr>
      </w:pPr>
      <w:r>
        <w:rPr>
          <w:rFonts w:ascii="宋体" w:hAnsi="宋体"/>
          <w:sz w:val="24"/>
          <w:szCs w:val="32"/>
        </w:rPr>
        <w:t xml:space="preserve">14.2.1  </w:t>
      </w:r>
      <w:r>
        <w:rPr>
          <w:rFonts w:hint="eastAsia" w:ascii="宋体" w:hAnsi="宋体"/>
          <w:sz w:val="24"/>
          <w:szCs w:val="32"/>
        </w:rPr>
        <w:t>承包人根据合同约定或监理人指示进行的现场材料试验，应由承包人提供试验场所、试验人员、试验设备器材以及其他必要的试验条件。</w:t>
      </w:r>
    </w:p>
    <w:p w14:paraId="009C7FB8">
      <w:pPr>
        <w:wordWrap w:val="0"/>
        <w:spacing w:line="360" w:lineRule="auto"/>
        <w:ind w:firstLine="480" w:firstLineChars="200"/>
        <w:rPr>
          <w:rFonts w:ascii="宋体"/>
          <w:sz w:val="24"/>
          <w:szCs w:val="32"/>
        </w:rPr>
      </w:pPr>
      <w:r>
        <w:rPr>
          <w:rFonts w:ascii="宋体" w:hAnsi="宋体"/>
          <w:sz w:val="24"/>
          <w:szCs w:val="32"/>
        </w:rPr>
        <w:t xml:space="preserve">14.2.2  </w:t>
      </w:r>
      <w:r>
        <w:rPr>
          <w:rFonts w:hint="eastAsia" w:ascii="宋体" w:hAnsi="宋体"/>
          <w:sz w:val="24"/>
          <w:szCs w:val="32"/>
        </w:rPr>
        <w:t>监理人在必要时可以使用承包人的试验场所、试验设备器材以及其他试验条件，进行以工程质量检查为目的的复核性材料试验，承包人应予以协助。</w:t>
      </w:r>
    </w:p>
    <w:p w14:paraId="0EDC67F0">
      <w:pPr>
        <w:wordWrap w:val="0"/>
        <w:spacing w:before="120" w:beforeLines="50" w:after="120" w:afterLines="50" w:line="360" w:lineRule="auto"/>
        <w:outlineLvl w:val="2"/>
        <w:rPr>
          <w:rFonts w:ascii="宋体"/>
          <w:kern w:val="0"/>
          <w:sz w:val="24"/>
          <w:szCs w:val="20"/>
        </w:rPr>
      </w:pPr>
      <w:bookmarkStart w:id="1821" w:name="_Toc486580143"/>
      <w:bookmarkStart w:id="1822" w:name="_Toc342296356"/>
      <w:bookmarkStart w:id="1823" w:name="_Toc480486825"/>
      <w:bookmarkStart w:id="1824" w:name="_Toc483668172"/>
      <w:bookmarkStart w:id="1825" w:name="_Toc144974674"/>
      <w:bookmarkStart w:id="1826" w:name="_Toc338944798"/>
      <w:bookmarkStart w:id="1827" w:name="_Toc489279954"/>
      <w:bookmarkStart w:id="1828" w:name="_Toc179632723"/>
      <w:bookmarkStart w:id="1829" w:name="_Toc490222588"/>
      <w:bookmarkStart w:id="1830" w:name="_Toc207289679"/>
      <w:bookmarkStart w:id="1831" w:name="_Toc152042483"/>
      <w:bookmarkStart w:id="1832" w:name="_Toc152045705"/>
      <w:bookmarkStart w:id="1833" w:name="_Toc480486997"/>
      <w:r>
        <w:rPr>
          <w:rFonts w:ascii="宋体"/>
          <w:kern w:val="0"/>
          <w:sz w:val="24"/>
          <w:szCs w:val="20"/>
        </w:rPr>
        <w:t xml:space="preserve">14.3  </w:t>
      </w:r>
      <w:r>
        <w:rPr>
          <w:rFonts w:hint="eastAsia" w:ascii="宋体"/>
          <w:kern w:val="0"/>
          <w:sz w:val="24"/>
          <w:szCs w:val="20"/>
        </w:rPr>
        <w:t>现场工艺试验</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14:paraId="388C12DB">
      <w:pPr>
        <w:wordWrap w:val="0"/>
        <w:spacing w:line="360" w:lineRule="auto"/>
        <w:ind w:firstLine="480" w:firstLineChars="200"/>
        <w:rPr>
          <w:rFonts w:ascii="宋体"/>
          <w:sz w:val="24"/>
          <w:szCs w:val="32"/>
        </w:rPr>
      </w:pPr>
      <w:r>
        <w:rPr>
          <w:rFonts w:hint="eastAsia" w:ascii="宋体" w:hAnsi="宋体"/>
          <w:sz w:val="24"/>
          <w:szCs w:val="32"/>
        </w:rPr>
        <w:t>承包人应按合同约定或监理人指示进行现场工艺试验。对大型的现场工艺试验，监理人认为必要时，应由承包人根据监理人提出的工艺试验要求，编制工艺试验措施计划，报送监理人审批。</w:t>
      </w:r>
    </w:p>
    <w:p w14:paraId="70BC2CC7">
      <w:pPr>
        <w:tabs>
          <w:tab w:val="left" w:pos="576"/>
        </w:tabs>
        <w:wordWrap w:val="0"/>
        <w:spacing w:before="120" w:beforeLines="50" w:after="120" w:afterLines="50" w:line="360" w:lineRule="auto"/>
        <w:outlineLvl w:val="1"/>
        <w:rPr>
          <w:rFonts w:ascii="宋体" w:cs="宋体"/>
          <w:sz w:val="28"/>
          <w:szCs w:val="20"/>
        </w:rPr>
      </w:pPr>
      <w:bookmarkStart w:id="1834" w:name="_Toc490222589"/>
      <w:bookmarkStart w:id="1835" w:name="_Toc480486826"/>
      <w:bookmarkStart w:id="1836" w:name="_Toc342296357"/>
      <w:bookmarkStart w:id="1837" w:name="_Toc486580144"/>
      <w:bookmarkStart w:id="1838" w:name="_Toc338944799"/>
      <w:bookmarkStart w:id="1839" w:name="_Toc483668173"/>
      <w:bookmarkStart w:id="1840" w:name="_Toc489279955"/>
      <w:bookmarkStart w:id="1841" w:name="_Toc480486998"/>
      <w:bookmarkStart w:id="1842" w:name="_Toc207289680"/>
      <w:r>
        <w:rPr>
          <w:rFonts w:ascii="宋体" w:cs="宋体"/>
          <w:sz w:val="28"/>
          <w:szCs w:val="20"/>
        </w:rPr>
        <w:t>15.</w:t>
      </w:r>
      <w:r>
        <w:rPr>
          <w:rFonts w:hint="eastAsia" w:ascii="宋体" w:cs="宋体"/>
          <w:sz w:val="28"/>
          <w:szCs w:val="20"/>
        </w:rPr>
        <w:t>变更</w:t>
      </w:r>
      <w:bookmarkEnd w:id="1834"/>
      <w:bookmarkEnd w:id="1835"/>
      <w:bookmarkEnd w:id="1836"/>
      <w:bookmarkEnd w:id="1837"/>
      <w:bookmarkEnd w:id="1838"/>
      <w:bookmarkEnd w:id="1839"/>
      <w:bookmarkEnd w:id="1840"/>
      <w:bookmarkEnd w:id="1841"/>
      <w:bookmarkEnd w:id="1842"/>
    </w:p>
    <w:p w14:paraId="7E0ECA98">
      <w:pPr>
        <w:wordWrap w:val="0"/>
        <w:spacing w:before="120" w:beforeLines="50" w:after="120" w:afterLines="50" w:line="360" w:lineRule="auto"/>
        <w:outlineLvl w:val="2"/>
        <w:rPr>
          <w:rFonts w:ascii="宋体"/>
          <w:kern w:val="0"/>
          <w:sz w:val="24"/>
          <w:szCs w:val="20"/>
        </w:rPr>
      </w:pPr>
      <w:bookmarkStart w:id="1843" w:name="_Toc480486999"/>
      <w:bookmarkStart w:id="1844" w:name="_Toc207289681"/>
      <w:bookmarkStart w:id="1845" w:name="_Toc489279956"/>
      <w:bookmarkStart w:id="1846" w:name="_Toc486580145"/>
      <w:bookmarkStart w:id="1847" w:name="_Toc490222590"/>
      <w:bookmarkStart w:id="1848" w:name="_Toc480486827"/>
      <w:bookmarkStart w:id="1849" w:name="_Toc483668174"/>
      <w:bookmarkStart w:id="1850" w:name="_Toc342296358"/>
      <w:bookmarkStart w:id="1851" w:name="_Toc338944800"/>
      <w:r>
        <w:rPr>
          <w:rFonts w:ascii="宋体"/>
          <w:kern w:val="0"/>
          <w:sz w:val="24"/>
          <w:szCs w:val="20"/>
        </w:rPr>
        <w:t xml:space="preserve">15.1  </w:t>
      </w:r>
      <w:r>
        <w:rPr>
          <w:rFonts w:hint="eastAsia" w:ascii="宋体"/>
          <w:kern w:val="0"/>
          <w:sz w:val="24"/>
          <w:szCs w:val="20"/>
        </w:rPr>
        <w:t>变更的范围和内容</w:t>
      </w:r>
      <w:bookmarkEnd w:id="1843"/>
      <w:bookmarkEnd w:id="1844"/>
      <w:bookmarkEnd w:id="1845"/>
      <w:bookmarkEnd w:id="1846"/>
      <w:bookmarkEnd w:id="1847"/>
      <w:bookmarkEnd w:id="1848"/>
      <w:bookmarkEnd w:id="1849"/>
      <w:bookmarkEnd w:id="1850"/>
      <w:bookmarkEnd w:id="1851"/>
    </w:p>
    <w:p w14:paraId="187F369C">
      <w:pPr>
        <w:wordWrap w:val="0"/>
        <w:spacing w:line="360" w:lineRule="auto"/>
        <w:ind w:firstLine="480" w:firstLineChars="200"/>
        <w:rPr>
          <w:rFonts w:ascii="宋体"/>
          <w:sz w:val="24"/>
          <w:szCs w:val="32"/>
        </w:rPr>
      </w:pPr>
      <w:r>
        <w:rPr>
          <w:rFonts w:ascii="宋体" w:hAnsi="宋体"/>
          <w:sz w:val="24"/>
          <w:szCs w:val="32"/>
        </w:rPr>
        <w:t xml:space="preserve">15.1.1  </w:t>
      </w:r>
      <w:r>
        <w:rPr>
          <w:rFonts w:hint="eastAsia" w:ascii="宋体" w:hAnsi="宋体"/>
          <w:sz w:val="24"/>
          <w:szCs w:val="32"/>
        </w:rPr>
        <w:t>在履行合同中发生以下情形之一，应按照本条规定进行变更。</w:t>
      </w:r>
    </w:p>
    <w:p w14:paraId="635ECF38">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）取消合同中任何一项工作，但被取消的工作不能转由发包人或其他人实施；</w:t>
      </w:r>
    </w:p>
    <w:p w14:paraId="47407B4C">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）改变合同中任何一项工作的质量或其他特性；</w:t>
      </w:r>
    </w:p>
    <w:p w14:paraId="0FC6F84A">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3</w:t>
      </w:r>
      <w:r>
        <w:rPr>
          <w:rFonts w:hint="eastAsia" w:ascii="宋体" w:hAnsi="宋体"/>
          <w:sz w:val="24"/>
          <w:szCs w:val="32"/>
        </w:rPr>
        <w:t>）改变合同工程的基线、标高、位置或尺寸；</w:t>
      </w:r>
    </w:p>
    <w:p w14:paraId="5F2FF504">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4</w:t>
      </w:r>
      <w:r>
        <w:rPr>
          <w:rFonts w:hint="eastAsia" w:ascii="宋体" w:hAnsi="宋体"/>
          <w:sz w:val="24"/>
          <w:szCs w:val="32"/>
        </w:rPr>
        <w:t>）改变合同中任何一项工作的施工时间或改变已批准的施工工艺或顺序；</w:t>
      </w:r>
    </w:p>
    <w:p w14:paraId="4DD774E4">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5</w:t>
      </w:r>
      <w:r>
        <w:rPr>
          <w:rFonts w:hint="eastAsia" w:ascii="宋体" w:hAnsi="宋体"/>
          <w:sz w:val="24"/>
          <w:szCs w:val="32"/>
        </w:rPr>
        <w:t>）为完成工程需要追加的额外工作；</w:t>
      </w:r>
    </w:p>
    <w:p w14:paraId="5DAC31E2">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6</w:t>
      </w:r>
      <w:r>
        <w:rPr>
          <w:rFonts w:hint="eastAsia" w:ascii="宋体" w:hAnsi="宋体"/>
          <w:sz w:val="24"/>
          <w:szCs w:val="32"/>
        </w:rPr>
        <w:t>）</w:t>
      </w:r>
      <w:r>
        <w:rPr>
          <w:rFonts w:hint="eastAsia" w:ascii="宋体" w:hAnsi="宋体"/>
          <w:sz w:val="24"/>
        </w:rPr>
        <w:t>变更的其他情形</w:t>
      </w:r>
      <w:r>
        <w:rPr>
          <w:rFonts w:hint="eastAsia" w:ascii="黑体" w:hAnsi="黑体" w:eastAsia="黑体"/>
          <w:sz w:val="24"/>
          <w:szCs w:val="32"/>
        </w:rPr>
        <w:t>见合同条款专用部分。</w:t>
      </w:r>
    </w:p>
    <w:p w14:paraId="320289E3">
      <w:pPr>
        <w:wordWrap w:val="0"/>
        <w:spacing w:line="360" w:lineRule="auto"/>
        <w:ind w:firstLine="480" w:firstLineChars="200"/>
        <w:rPr>
          <w:rFonts w:ascii="宋体"/>
          <w:sz w:val="24"/>
        </w:rPr>
      </w:pPr>
      <w:r>
        <w:rPr>
          <w:rFonts w:ascii="宋体" w:hAnsi="宋体"/>
          <w:sz w:val="24"/>
        </w:rPr>
        <w:t xml:space="preserve">15.1.2  </w:t>
      </w:r>
      <w:r>
        <w:rPr>
          <w:rFonts w:hint="eastAsia" w:ascii="宋体" w:hAnsi="宋体"/>
          <w:sz w:val="24"/>
        </w:rPr>
        <w:t>发包人违背第</w:t>
      </w:r>
      <w:r>
        <w:rPr>
          <w:rFonts w:ascii="宋体" w:hAnsi="宋体"/>
          <w:sz w:val="24"/>
        </w:rPr>
        <w:t>15.1</w:t>
      </w:r>
      <w:r>
        <w:rPr>
          <w:rFonts w:hint="eastAsia" w:ascii="宋体" w:hAnsi="宋体"/>
          <w:sz w:val="24"/>
        </w:rPr>
        <w:t>.1（</w:t>
      </w:r>
      <w:r>
        <w:rPr>
          <w:rFonts w:ascii="宋体" w:hAnsi="宋体"/>
          <w:sz w:val="24"/>
        </w:rPr>
        <w:t>1</w:t>
      </w:r>
      <w:r>
        <w:rPr>
          <w:rFonts w:hint="eastAsia" w:ascii="宋体" w:hAnsi="宋体"/>
          <w:sz w:val="24"/>
        </w:rPr>
        <w:t>）目的约定，将被取消的合同中的工作转由发包人或其他人实施的，承包人可向监理人发出通知，要求发包人采取有效措施纠正违约行为，发包人在监理人收到承包人通知后</w:t>
      </w:r>
      <w:r>
        <w:rPr>
          <w:rFonts w:ascii="宋体" w:hAnsi="宋体"/>
          <w:sz w:val="24"/>
        </w:rPr>
        <w:t>28</w:t>
      </w:r>
      <w:r>
        <w:rPr>
          <w:rFonts w:hint="eastAsia" w:ascii="宋体" w:hAnsi="宋体"/>
          <w:sz w:val="24"/>
        </w:rPr>
        <w:t>天内仍不纠正违约行为的，应当赔偿承包人损失（包括合理的利润）并承担由此引起的其他责任。承包人应当按第</w:t>
      </w:r>
      <w:r>
        <w:rPr>
          <w:rFonts w:ascii="宋体" w:hAnsi="宋体"/>
          <w:sz w:val="24"/>
        </w:rPr>
        <w:t>23.1</w:t>
      </w:r>
      <w:r>
        <w:rPr>
          <w:rFonts w:hint="eastAsia" w:ascii="宋体" w:hAnsi="宋体"/>
          <w:sz w:val="24"/>
        </w:rPr>
        <w:t>（</w:t>
      </w:r>
      <w:r>
        <w:rPr>
          <w:rFonts w:ascii="宋体" w:hAnsi="宋体"/>
          <w:sz w:val="24"/>
        </w:rPr>
        <w:t>1</w:t>
      </w:r>
      <w:r>
        <w:rPr>
          <w:rFonts w:hint="eastAsia" w:ascii="宋体" w:hAnsi="宋体"/>
          <w:sz w:val="24"/>
        </w:rPr>
        <w:t>）项的约定，在上述</w:t>
      </w:r>
      <w:r>
        <w:rPr>
          <w:rFonts w:ascii="宋体" w:hAnsi="宋体"/>
          <w:sz w:val="24"/>
        </w:rPr>
        <w:t>28</w:t>
      </w:r>
      <w:r>
        <w:rPr>
          <w:rFonts w:hint="eastAsia" w:ascii="宋体" w:hAnsi="宋体"/>
          <w:sz w:val="24"/>
        </w:rPr>
        <w:t>天期限到期后的</w:t>
      </w:r>
      <w:r>
        <w:rPr>
          <w:rFonts w:ascii="宋体" w:hAnsi="宋体"/>
          <w:sz w:val="24"/>
        </w:rPr>
        <w:t>28</w:t>
      </w:r>
      <w:r>
        <w:rPr>
          <w:rFonts w:hint="eastAsia" w:ascii="宋体" w:hAnsi="宋体"/>
          <w:sz w:val="24"/>
        </w:rPr>
        <w:t>天内，向监理人递交工程索赔意向通知书</w:t>
      </w:r>
      <w:r>
        <w:rPr>
          <w:rFonts w:ascii="宋体"/>
          <w:sz w:val="24"/>
        </w:rPr>
        <w:t>,</w:t>
      </w:r>
      <w:r>
        <w:rPr>
          <w:rFonts w:hint="eastAsia" w:ascii="宋体" w:hAnsi="宋体"/>
          <w:sz w:val="24"/>
        </w:rPr>
        <w:t>并按第</w:t>
      </w:r>
      <w:r>
        <w:rPr>
          <w:rFonts w:ascii="宋体" w:hAnsi="宋体"/>
          <w:sz w:val="24"/>
        </w:rPr>
        <w:t>23.1</w:t>
      </w:r>
      <w:r>
        <w:rPr>
          <w:rFonts w:hint="eastAsia" w:ascii="宋体" w:hAnsi="宋体"/>
          <w:sz w:val="24"/>
        </w:rPr>
        <w:t>（</w:t>
      </w:r>
      <w:r>
        <w:rPr>
          <w:rFonts w:ascii="宋体" w:hAnsi="宋体"/>
          <w:sz w:val="24"/>
        </w:rPr>
        <w:t>2</w:t>
      </w:r>
      <w:r>
        <w:rPr>
          <w:rFonts w:hint="eastAsia" w:ascii="宋体" w:hAnsi="宋体"/>
          <w:sz w:val="24"/>
        </w:rPr>
        <w:t>）项的约定，及时向监理人递交正式工程索赔通知书，说明有权得到的损失赔偿金额并附必要的记录和证明材料。发包人支付给承包人的损失赔偿金额应当包括被取消工作的合同价值中所包含的承包人管理费、利润以及相应的增值税。</w:t>
      </w:r>
    </w:p>
    <w:p w14:paraId="26709AB0">
      <w:pPr>
        <w:wordWrap w:val="0"/>
        <w:spacing w:before="120" w:beforeLines="50" w:after="120" w:afterLines="50" w:line="360" w:lineRule="auto"/>
        <w:outlineLvl w:val="2"/>
        <w:rPr>
          <w:rFonts w:ascii="宋体"/>
          <w:kern w:val="0"/>
          <w:sz w:val="24"/>
          <w:szCs w:val="20"/>
        </w:rPr>
      </w:pPr>
      <w:bookmarkStart w:id="1852" w:name="_Toc152042486"/>
      <w:bookmarkStart w:id="1853" w:name="_Toc489279957"/>
      <w:bookmarkStart w:id="1854" w:name="_Toc152045708"/>
      <w:bookmarkStart w:id="1855" w:name="_Toc486580146"/>
      <w:bookmarkStart w:id="1856" w:name="_Toc480487000"/>
      <w:bookmarkStart w:id="1857" w:name="_Toc490222591"/>
      <w:bookmarkStart w:id="1858" w:name="_Toc179632726"/>
      <w:bookmarkStart w:id="1859" w:name="_Toc342296359"/>
      <w:bookmarkStart w:id="1860" w:name="_Toc483668175"/>
      <w:bookmarkStart w:id="1861" w:name="_Toc144974677"/>
      <w:bookmarkStart w:id="1862" w:name="_Toc480486828"/>
      <w:bookmarkStart w:id="1863" w:name="_Toc338944801"/>
      <w:bookmarkStart w:id="1864" w:name="_Toc207289682"/>
      <w:r>
        <w:rPr>
          <w:rFonts w:ascii="宋体"/>
          <w:kern w:val="0"/>
          <w:sz w:val="24"/>
          <w:szCs w:val="20"/>
        </w:rPr>
        <w:t xml:space="preserve">15.2  </w:t>
      </w:r>
      <w:r>
        <w:rPr>
          <w:rFonts w:hint="eastAsia" w:ascii="宋体"/>
          <w:kern w:val="0"/>
          <w:sz w:val="24"/>
          <w:szCs w:val="20"/>
        </w:rPr>
        <w:t>变更权</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p>
    <w:p w14:paraId="48EB27E1">
      <w:pPr>
        <w:wordWrap w:val="0"/>
        <w:spacing w:line="360" w:lineRule="auto"/>
        <w:ind w:firstLine="480" w:firstLineChars="200"/>
        <w:rPr>
          <w:rFonts w:ascii="宋体"/>
          <w:sz w:val="24"/>
          <w:szCs w:val="32"/>
        </w:rPr>
      </w:pPr>
      <w:r>
        <w:rPr>
          <w:rFonts w:hint="eastAsia" w:ascii="宋体" w:hAnsi="宋体"/>
          <w:sz w:val="24"/>
          <w:szCs w:val="32"/>
        </w:rPr>
        <w:t>在履行合同过程中，经发包人同意，监理人可按第</w:t>
      </w:r>
      <w:r>
        <w:rPr>
          <w:rFonts w:ascii="宋体" w:hAnsi="宋体"/>
          <w:sz w:val="24"/>
          <w:szCs w:val="32"/>
        </w:rPr>
        <w:t>15.3</w:t>
      </w:r>
      <w:r>
        <w:rPr>
          <w:rFonts w:hint="eastAsia" w:ascii="宋体" w:hAnsi="宋体"/>
          <w:sz w:val="24"/>
          <w:szCs w:val="32"/>
        </w:rPr>
        <w:t>款约定的变更程序向承包人作出变更指示，承包人应遵照执行。没有监理人的变更指示，承包人不得擅自变更。</w:t>
      </w:r>
    </w:p>
    <w:p w14:paraId="0065C9B2">
      <w:pPr>
        <w:wordWrap w:val="0"/>
        <w:spacing w:before="120" w:beforeLines="50" w:after="120" w:afterLines="50" w:line="360" w:lineRule="auto"/>
        <w:outlineLvl w:val="2"/>
        <w:rPr>
          <w:rFonts w:ascii="宋体"/>
          <w:kern w:val="0"/>
          <w:sz w:val="24"/>
          <w:szCs w:val="20"/>
        </w:rPr>
      </w:pPr>
      <w:bookmarkStart w:id="1865" w:name="_Toc480487001"/>
      <w:bookmarkStart w:id="1866" w:name="_Toc486580147"/>
      <w:bookmarkStart w:id="1867" w:name="_Toc489279958"/>
      <w:bookmarkStart w:id="1868" w:name="_Toc490222592"/>
      <w:bookmarkStart w:id="1869" w:name="_Toc483668176"/>
      <w:bookmarkStart w:id="1870" w:name="_Toc480486829"/>
      <w:bookmarkStart w:id="1871" w:name="_Toc338944802"/>
      <w:bookmarkStart w:id="1872" w:name="_Toc342296360"/>
      <w:bookmarkStart w:id="1873" w:name="_Toc207289683"/>
      <w:r>
        <w:rPr>
          <w:rFonts w:ascii="宋体"/>
          <w:kern w:val="0"/>
          <w:sz w:val="24"/>
          <w:szCs w:val="20"/>
        </w:rPr>
        <w:t xml:space="preserve">15.3  </w:t>
      </w:r>
      <w:r>
        <w:rPr>
          <w:rFonts w:hint="eastAsia" w:ascii="宋体"/>
          <w:kern w:val="0"/>
          <w:sz w:val="24"/>
          <w:szCs w:val="20"/>
        </w:rPr>
        <w:t>变更程序</w:t>
      </w:r>
      <w:bookmarkEnd w:id="1865"/>
      <w:bookmarkEnd w:id="1866"/>
      <w:bookmarkEnd w:id="1867"/>
      <w:bookmarkEnd w:id="1868"/>
      <w:bookmarkEnd w:id="1869"/>
      <w:bookmarkEnd w:id="1870"/>
      <w:bookmarkEnd w:id="1871"/>
      <w:bookmarkEnd w:id="1872"/>
      <w:bookmarkEnd w:id="1873"/>
    </w:p>
    <w:p w14:paraId="5BF754CE">
      <w:pPr>
        <w:wordWrap w:val="0"/>
        <w:spacing w:line="360" w:lineRule="auto"/>
        <w:ind w:firstLine="480" w:firstLineChars="200"/>
        <w:rPr>
          <w:rFonts w:ascii="宋体"/>
          <w:sz w:val="24"/>
          <w:szCs w:val="32"/>
        </w:rPr>
      </w:pPr>
      <w:r>
        <w:rPr>
          <w:rFonts w:ascii="宋体" w:hAnsi="宋体"/>
          <w:sz w:val="24"/>
          <w:szCs w:val="32"/>
        </w:rPr>
        <w:t xml:space="preserve">15.3.1  </w:t>
      </w:r>
      <w:r>
        <w:rPr>
          <w:rFonts w:hint="eastAsia" w:ascii="宋体" w:hAnsi="宋体"/>
          <w:sz w:val="24"/>
          <w:szCs w:val="32"/>
        </w:rPr>
        <w:t>变更的提出</w:t>
      </w:r>
    </w:p>
    <w:p w14:paraId="3A7D43F2">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）在合同履行过程中，可能发生第</w:t>
      </w:r>
      <w:r>
        <w:rPr>
          <w:rFonts w:ascii="宋体" w:hAnsi="宋体"/>
          <w:sz w:val="24"/>
          <w:szCs w:val="32"/>
        </w:rPr>
        <w:t>15.1.1</w:t>
      </w:r>
      <w:r>
        <w:rPr>
          <w:rFonts w:hint="eastAsia" w:ascii="宋体" w:hAnsi="宋体"/>
          <w:sz w:val="24"/>
          <w:szCs w:val="32"/>
        </w:rPr>
        <w:t>项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Pr>
          <w:rFonts w:ascii="宋体" w:hAnsi="宋体"/>
          <w:sz w:val="24"/>
          <w:szCs w:val="32"/>
        </w:rPr>
        <w:t>15.3.3</w:t>
      </w:r>
      <w:r>
        <w:rPr>
          <w:rFonts w:hint="eastAsia" w:ascii="宋体" w:hAnsi="宋体"/>
          <w:sz w:val="24"/>
          <w:szCs w:val="32"/>
        </w:rPr>
        <w:t>项约定发出变更指示。</w:t>
      </w:r>
      <w:r>
        <w:rPr>
          <w:rFonts w:ascii="宋体" w:hAnsi="宋体"/>
          <w:sz w:val="24"/>
          <w:szCs w:val="32"/>
        </w:rPr>
        <w:t xml:space="preserve"> </w:t>
      </w:r>
    </w:p>
    <w:p w14:paraId="72A46C5C">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）在合同履行过程中，发生第</w:t>
      </w:r>
      <w:r>
        <w:rPr>
          <w:rFonts w:ascii="宋体" w:hAnsi="宋体"/>
          <w:sz w:val="24"/>
          <w:szCs w:val="32"/>
        </w:rPr>
        <w:t>15.1.1</w:t>
      </w:r>
      <w:r>
        <w:rPr>
          <w:rFonts w:hint="eastAsia" w:ascii="宋体" w:hAnsi="宋体"/>
          <w:sz w:val="24"/>
          <w:szCs w:val="32"/>
        </w:rPr>
        <w:t>项约定情形的，监理人应按照第</w:t>
      </w:r>
      <w:r>
        <w:rPr>
          <w:rFonts w:ascii="宋体" w:hAnsi="宋体"/>
          <w:sz w:val="24"/>
          <w:szCs w:val="32"/>
        </w:rPr>
        <w:t>15.3.3</w:t>
      </w:r>
      <w:r>
        <w:rPr>
          <w:rFonts w:hint="eastAsia" w:ascii="宋体" w:hAnsi="宋体"/>
          <w:sz w:val="24"/>
          <w:szCs w:val="32"/>
        </w:rPr>
        <w:t>项约定向承包人发出变更指示。</w:t>
      </w:r>
    </w:p>
    <w:p w14:paraId="28DDF045">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3</w:t>
      </w:r>
      <w:r>
        <w:rPr>
          <w:rFonts w:hint="eastAsia" w:ascii="宋体" w:hAnsi="宋体"/>
          <w:sz w:val="24"/>
          <w:szCs w:val="32"/>
        </w:rPr>
        <w:t>）承包人收到监理人按合同约定发出的图纸和文件，经检查认为其中存在第</w:t>
      </w:r>
      <w:r>
        <w:rPr>
          <w:rFonts w:ascii="宋体" w:hAnsi="宋体"/>
          <w:sz w:val="24"/>
          <w:szCs w:val="32"/>
        </w:rPr>
        <w:t>15.1.1</w:t>
      </w:r>
      <w:r>
        <w:rPr>
          <w:rFonts w:hint="eastAsia" w:ascii="宋体" w:hAnsi="宋体"/>
          <w:sz w:val="24"/>
          <w:szCs w:val="32"/>
        </w:rPr>
        <w:t>项约定情形的，可向监理人提出书面变更建议。变更建议应阐明要求变更的依据，并附必要的图纸和说明。监理人收到承包人书面建议后，应与发包人共同研究，确认存在变更的，应在收到承包人书面建议后的</w:t>
      </w:r>
      <w:r>
        <w:rPr>
          <w:rFonts w:ascii="宋体" w:hAnsi="宋体"/>
          <w:sz w:val="24"/>
          <w:szCs w:val="32"/>
        </w:rPr>
        <w:t>14</w:t>
      </w:r>
      <w:r>
        <w:rPr>
          <w:rFonts w:hint="eastAsia" w:ascii="宋体" w:hAnsi="宋体"/>
          <w:sz w:val="24"/>
          <w:szCs w:val="32"/>
        </w:rPr>
        <w:t>天内作出变更指示。经研究后不同意作为变更的，应由监理人书面答复承包人。</w:t>
      </w:r>
    </w:p>
    <w:p w14:paraId="655761CD">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4</w:t>
      </w:r>
      <w:r>
        <w:rPr>
          <w:rFonts w:hint="eastAsia" w:ascii="宋体" w:hAnsi="宋体"/>
          <w:sz w:val="24"/>
          <w:szCs w:val="32"/>
        </w:rPr>
        <w:t>）若承包人收到监理人的变更意向书后认为难以实施此项变更，应立即通知监理人，说明原因并附详细依据。监理人与承包人和发包人协商后确定撤销、改变或不改变原变更意向书。</w:t>
      </w:r>
    </w:p>
    <w:p w14:paraId="644FF466">
      <w:pPr>
        <w:wordWrap w:val="0"/>
        <w:spacing w:line="360" w:lineRule="auto"/>
        <w:ind w:firstLine="480" w:firstLineChars="200"/>
        <w:rPr>
          <w:rFonts w:ascii="宋体"/>
          <w:sz w:val="24"/>
          <w:szCs w:val="32"/>
        </w:rPr>
      </w:pPr>
      <w:r>
        <w:rPr>
          <w:rFonts w:ascii="宋体" w:hAnsi="宋体"/>
          <w:sz w:val="24"/>
          <w:szCs w:val="32"/>
        </w:rPr>
        <w:t xml:space="preserve">15.3.2  </w:t>
      </w:r>
      <w:r>
        <w:rPr>
          <w:rFonts w:hint="eastAsia" w:ascii="宋体" w:hAnsi="宋体"/>
          <w:sz w:val="24"/>
          <w:szCs w:val="32"/>
        </w:rPr>
        <w:t>变更估价</w:t>
      </w:r>
    </w:p>
    <w:p w14:paraId="6A5FE1B7">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）除合同条款专用部分对期限另有约定外，承包人应在收到变更指示或变更意向书后的</w:t>
      </w:r>
      <w:r>
        <w:rPr>
          <w:rFonts w:ascii="宋体" w:hAnsi="宋体"/>
          <w:sz w:val="24"/>
          <w:szCs w:val="32"/>
        </w:rPr>
        <w:t>14</w:t>
      </w:r>
      <w:r>
        <w:rPr>
          <w:rFonts w:hint="eastAsia" w:ascii="宋体" w:hAnsi="宋体"/>
          <w:sz w:val="24"/>
          <w:szCs w:val="32"/>
        </w:rPr>
        <w:t>天内，向监理人提交变更报价书，报价内容应根据第</w:t>
      </w:r>
      <w:r>
        <w:rPr>
          <w:rFonts w:ascii="宋体" w:hAnsi="宋体"/>
          <w:sz w:val="24"/>
          <w:szCs w:val="32"/>
        </w:rPr>
        <w:t>15.4</w:t>
      </w:r>
      <w:r>
        <w:rPr>
          <w:rFonts w:hint="eastAsia" w:ascii="宋体" w:hAnsi="宋体"/>
          <w:sz w:val="24"/>
          <w:szCs w:val="32"/>
        </w:rPr>
        <w:t>款约定的估价原则，详细开列变更工作的价格组成及其依据，并附必要的施工方法说明和有关图纸。</w:t>
      </w:r>
      <w:r>
        <w:rPr>
          <w:rFonts w:hint="eastAsia" w:ascii="宋体" w:hAnsi="宋体"/>
          <w:sz w:val="24"/>
        </w:rPr>
        <w:t>承包人提交变更报价书的期限</w:t>
      </w:r>
      <w:r>
        <w:rPr>
          <w:rFonts w:hint="eastAsia" w:ascii="黑体" w:hAnsi="黑体" w:eastAsia="黑体"/>
          <w:sz w:val="24"/>
          <w:szCs w:val="32"/>
        </w:rPr>
        <w:t>见合同条款专用部分。</w:t>
      </w:r>
    </w:p>
    <w:p w14:paraId="7B632290">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）变更工作影响工期的，承包人应提出调整工期的具体细节。监理人认为有必要时，可要求承包人提交要求提前或延长工期的施工进度计划，及相应施工措施等详细资料。</w:t>
      </w:r>
    </w:p>
    <w:p w14:paraId="2531DC89">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3</w:t>
      </w:r>
      <w:r>
        <w:rPr>
          <w:rFonts w:hint="eastAsia" w:ascii="宋体" w:hAnsi="宋体"/>
          <w:sz w:val="24"/>
          <w:szCs w:val="32"/>
        </w:rPr>
        <w:t>）除合同条款专用部分对期限另有约定外，监理人收到承包人变更报价书后的</w:t>
      </w:r>
      <w:r>
        <w:rPr>
          <w:rFonts w:ascii="宋体" w:hAnsi="宋体"/>
          <w:sz w:val="24"/>
          <w:szCs w:val="32"/>
        </w:rPr>
        <w:t>14</w:t>
      </w:r>
      <w:r>
        <w:rPr>
          <w:rFonts w:hint="eastAsia" w:ascii="宋体" w:hAnsi="宋体"/>
          <w:sz w:val="24"/>
          <w:szCs w:val="32"/>
        </w:rPr>
        <w:t>天内，根据第</w:t>
      </w:r>
      <w:r>
        <w:rPr>
          <w:rFonts w:ascii="宋体" w:hAnsi="宋体"/>
          <w:sz w:val="24"/>
          <w:szCs w:val="32"/>
        </w:rPr>
        <w:t>15.4</w:t>
      </w:r>
      <w:r>
        <w:rPr>
          <w:rFonts w:hint="eastAsia" w:ascii="宋体" w:hAnsi="宋体"/>
          <w:sz w:val="24"/>
          <w:szCs w:val="32"/>
        </w:rPr>
        <w:t>款约定的估价原则，按照第</w:t>
      </w:r>
      <w:r>
        <w:rPr>
          <w:rFonts w:ascii="宋体" w:hAnsi="宋体"/>
          <w:sz w:val="24"/>
          <w:szCs w:val="32"/>
        </w:rPr>
        <w:t>3.5</w:t>
      </w:r>
      <w:r>
        <w:rPr>
          <w:rFonts w:hint="eastAsia" w:ascii="宋体" w:hAnsi="宋体"/>
          <w:sz w:val="24"/>
          <w:szCs w:val="32"/>
        </w:rPr>
        <w:t>款商定或确定变更价格。</w:t>
      </w:r>
      <w:r>
        <w:rPr>
          <w:rFonts w:hint="eastAsia" w:ascii="宋体" w:hAnsi="宋体"/>
          <w:sz w:val="24"/>
        </w:rPr>
        <w:t>监理人商定或确定变更价格的期限</w:t>
      </w:r>
      <w:r>
        <w:rPr>
          <w:rFonts w:hint="eastAsia" w:ascii="黑体" w:hAnsi="黑体" w:eastAsia="黑体"/>
          <w:sz w:val="24"/>
          <w:szCs w:val="32"/>
        </w:rPr>
        <w:t>见合同条款专用部分。</w:t>
      </w:r>
    </w:p>
    <w:p w14:paraId="04E62EBE">
      <w:pPr>
        <w:wordWrap w:val="0"/>
        <w:spacing w:line="360" w:lineRule="auto"/>
        <w:ind w:firstLine="360" w:firstLineChars="150"/>
        <w:rPr>
          <w:rFonts w:ascii="宋体"/>
          <w:sz w:val="24"/>
          <w:szCs w:val="32"/>
        </w:rPr>
      </w:pPr>
      <w:r>
        <w:rPr>
          <w:rFonts w:hint="eastAsia" w:ascii="宋体" w:hAnsi="宋体"/>
          <w:sz w:val="24"/>
        </w:rPr>
        <w:t>（</w:t>
      </w:r>
      <w:r>
        <w:rPr>
          <w:rFonts w:ascii="宋体" w:hAnsi="宋体"/>
          <w:sz w:val="24"/>
        </w:rPr>
        <w:t>4</w:t>
      </w:r>
      <w:r>
        <w:rPr>
          <w:rFonts w:hint="eastAsia" w:ascii="宋体" w:hAnsi="宋体"/>
          <w:sz w:val="24"/>
        </w:rPr>
        <w:t>）收到变更指示后，如承包人未在规定的期限内提交变更报价书的，监理人可自行决定是否调整合同价款以及如果监理人决定调整合同价款时，相应调整的具体金额。</w:t>
      </w:r>
    </w:p>
    <w:p w14:paraId="0D9BE0A1">
      <w:pPr>
        <w:wordWrap w:val="0"/>
        <w:spacing w:line="360" w:lineRule="auto"/>
        <w:ind w:firstLine="480" w:firstLineChars="200"/>
        <w:rPr>
          <w:rFonts w:ascii="宋体"/>
          <w:sz w:val="24"/>
          <w:szCs w:val="32"/>
        </w:rPr>
      </w:pPr>
      <w:r>
        <w:rPr>
          <w:rFonts w:ascii="宋体" w:hAnsi="宋体"/>
          <w:sz w:val="24"/>
          <w:szCs w:val="32"/>
        </w:rPr>
        <w:t xml:space="preserve">15.3.3  </w:t>
      </w:r>
      <w:r>
        <w:rPr>
          <w:rFonts w:hint="eastAsia" w:ascii="宋体" w:hAnsi="宋体"/>
          <w:sz w:val="24"/>
          <w:szCs w:val="32"/>
        </w:rPr>
        <w:t>变更指示</w:t>
      </w:r>
    </w:p>
    <w:p w14:paraId="30053D68">
      <w:pPr>
        <w:wordWrap w:val="0"/>
        <w:spacing w:line="360" w:lineRule="auto"/>
        <w:ind w:firstLine="480" w:firstLineChars="20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）变更指示只能由监理人发出。</w:t>
      </w:r>
    </w:p>
    <w:p w14:paraId="54118C1B">
      <w:pPr>
        <w:wordWrap w:val="0"/>
        <w:spacing w:line="360" w:lineRule="auto"/>
        <w:ind w:firstLine="480" w:firstLineChars="200"/>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）变更指示应说明变更的目的、范围、变更内容以及变更的工程量及其进度和技术要求，并附有关图纸和文件。承包人收到变更指示后，应按变更指示进行变更工作。</w:t>
      </w:r>
    </w:p>
    <w:p w14:paraId="4038D308">
      <w:pPr>
        <w:wordWrap w:val="0"/>
        <w:spacing w:before="120" w:beforeLines="50" w:after="120" w:afterLines="50" w:line="360" w:lineRule="auto"/>
        <w:outlineLvl w:val="2"/>
        <w:rPr>
          <w:rFonts w:ascii="宋体"/>
          <w:kern w:val="0"/>
          <w:sz w:val="24"/>
          <w:szCs w:val="20"/>
        </w:rPr>
      </w:pPr>
      <w:bookmarkStart w:id="1874" w:name="_Toc483668177"/>
      <w:bookmarkStart w:id="1875" w:name="_Toc342296361"/>
      <w:bookmarkStart w:id="1876" w:name="_Toc338944803"/>
      <w:bookmarkStart w:id="1877" w:name="_Toc486580148"/>
      <w:bookmarkStart w:id="1878" w:name="_Toc490222593"/>
      <w:bookmarkStart w:id="1879" w:name="_Toc480486830"/>
      <w:bookmarkStart w:id="1880" w:name="_Toc207289684"/>
      <w:bookmarkStart w:id="1881" w:name="_Toc480487002"/>
      <w:bookmarkStart w:id="1882" w:name="_Toc489279959"/>
      <w:bookmarkStart w:id="1883" w:name="_Hlk198569072"/>
      <w:r>
        <w:rPr>
          <w:rFonts w:hint="eastAsia" w:ascii="宋体"/>
          <w:kern w:val="0"/>
          <w:sz w:val="24"/>
          <w:szCs w:val="20"/>
        </w:rPr>
        <w:t>15.4  变更的估价原则</w:t>
      </w:r>
      <w:bookmarkEnd w:id="1874"/>
      <w:bookmarkEnd w:id="1875"/>
      <w:bookmarkEnd w:id="1876"/>
      <w:bookmarkEnd w:id="1877"/>
      <w:bookmarkEnd w:id="1878"/>
      <w:bookmarkEnd w:id="1879"/>
      <w:bookmarkEnd w:id="1880"/>
      <w:bookmarkEnd w:id="1881"/>
      <w:bookmarkEnd w:id="1882"/>
    </w:p>
    <w:p w14:paraId="5F04B0F9">
      <w:pPr>
        <w:wordWrap w:val="0"/>
        <w:spacing w:line="360" w:lineRule="auto"/>
        <w:ind w:firstLine="480" w:firstLineChars="200"/>
        <w:rPr>
          <w:rFonts w:ascii="宋体"/>
          <w:sz w:val="24"/>
          <w:szCs w:val="32"/>
        </w:rPr>
      </w:pPr>
      <w:bookmarkStart w:id="1884" w:name="_Hlk199427696"/>
      <w:bookmarkStart w:id="1885" w:name="OLE_LINK48"/>
      <w:r>
        <w:rPr>
          <w:rFonts w:hint="eastAsia" w:ascii="宋体" w:hAnsi="宋体"/>
          <w:sz w:val="24"/>
          <w:szCs w:val="32"/>
        </w:rPr>
        <w:t>除合同条款专用部分另有约定外，</w:t>
      </w:r>
      <w:bookmarkEnd w:id="1884"/>
      <w:bookmarkStart w:id="1886" w:name="OLE_LINK68"/>
      <w:r>
        <w:rPr>
          <w:rFonts w:hint="eastAsia" w:ascii="宋体" w:hAnsi="宋体"/>
          <w:sz w:val="24"/>
          <w:szCs w:val="32"/>
        </w:rPr>
        <w:t>因变更引起的价格调整</w:t>
      </w:r>
      <w:bookmarkEnd w:id="1886"/>
      <w:r>
        <w:rPr>
          <w:rFonts w:hint="eastAsia" w:ascii="宋体" w:hAnsi="宋体"/>
          <w:sz w:val="24"/>
          <w:szCs w:val="32"/>
        </w:rPr>
        <w:t>按照本款约定处理。</w:t>
      </w:r>
    </w:p>
    <w:bookmarkEnd w:id="1885"/>
    <w:p w14:paraId="52061CD8">
      <w:pPr>
        <w:wordWrap w:val="0"/>
        <w:spacing w:line="360" w:lineRule="auto"/>
        <w:ind w:firstLine="480" w:firstLineChars="200"/>
        <w:rPr>
          <w:rFonts w:ascii="宋体"/>
          <w:sz w:val="24"/>
          <w:szCs w:val="32"/>
        </w:rPr>
      </w:pPr>
      <w:bookmarkStart w:id="1887" w:name="OLE_LINK47"/>
      <w:r>
        <w:rPr>
          <w:rFonts w:ascii="宋体" w:hAnsi="宋体"/>
          <w:sz w:val="24"/>
          <w:szCs w:val="32"/>
        </w:rPr>
        <w:t xml:space="preserve">15.4.1  </w:t>
      </w:r>
      <w:bookmarkStart w:id="1888" w:name="_Hlk199427729"/>
      <w:r>
        <w:rPr>
          <w:rFonts w:hint="eastAsia" w:ascii="宋体" w:hAnsi="宋体"/>
          <w:sz w:val="24"/>
          <w:szCs w:val="32"/>
        </w:rPr>
        <w:t>合同清单</w:t>
      </w:r>
      <w:bookmarkEnd w:id="1888"/>
      <w:r>
        <w:rPr>
          <w:rFonts w:hint="eastAsia" w:ascii="宋体" w:hAnsi="宋体"/>
          <w:sz w:val="24"/>
          <w:szCs w:val="32"/>
        </w:rPr>
        <w:t>中有适用于变更工作的项目的，采用该项目的合同单价。</w:t>
      </w:r>
    </w:p>
    <w:p w14:paraId="4F8D62E2">
      <w:pPr>
        <w:wordWrap w:val="0"/>
        <w:spacing w:line="360" w:lineRule="auto"/>
        <w:ind w:firstLine="480" w:firstLineChars="200"/>
        <w:rPr>
          <w:rFonts w:ascii="宋体"/>
          <w:sz w:val="24"/>
          <w:szCs w:val="32"/>
        </w:rPr>
      </w:pPr>
      <w:r>
        <w:rPr>
          <w:rFonts w:ascii="宋体" w:hAnsi="宋体"/>
          <w:sz w:val="24"/>
          <w:szCs w:val="32"/>
        </w:rPr>
        <w:t xml:space="preserve">15.4.2  </w:t>
      </w:r>
      <w:r>
        <w:rPr>
          <w:rFonts w:hint="eastAsia" w:ascii="宋体" w:hAnsi="宋体"/>
          <w:sz w:val="24"/>
          <w:szCs w:val="32"/>
        </w:rPr>
        <w:t>合同清单中无适用于变更工作的项目，但有类似项目的，可在合理范围内参照类似项目的合同单价，由监理人按第</w:t>
      </w:r>
      <w:r>
        <w:rPr>
          <w:rFonts w:ascii="宋体" w:hAnsi="宋体"/>
          <w:sz w:val="24"/>
          <w:szCs w:val="32"/>
        </w:rPr>
        <w:t>3.5</w:t>
      </w:r>
      <w:r>
        <w:rPr>
          <w:rFonts w:hint="eastAsia" w:ascii="宋体" w:hAnsi="宋体"/>
          <w:sz w:val="24"/>
          <w:szCs w:val="32"/>
        </w:rPr>
        <w:t>款商定或确定变更工作的单价。</w:t>
      </w:r>
    </w:p>
    <w:p w14:paraId="7E175ED3">
      <w:pPr>
        <w:wordWrap w:val="0"/>
        <w:spacing w:line="360" w:lineRule="auto"/>
        <w:ind w:firstLine="480" w:firstLineChars="200"/>
        <w:rPr>
          <w:rFonts w:ascii="宋体"/>
          <w:sz w:val="24"/>
          <w:szCs w:val="32"/>
        </w:rPr>
      </w:pPr>
      <w:r>
        <w:rPr>
          <w:rFonts w:ascii="宋体" w:hAnsi="宋体"/>
          <w:sz w:val="24"/>
          <w:szCs w:val="32"/>
        </w:rPr>
        <w:t xml:space="preserve">15.4.3  </w:t>
      </w:r>
      <w:r>
        <w:rPr>
          <w:rFonts w:hint="eastAsia" w:ascii="宋体" w:hAnsi="宋体"/>
          <w:sz w:val="24"/>
          <w:szCs w:val="32"/>
        </w:rPr>
        <w:t>合同清单中无适用或类似项目的合同单价，可按照成本加利润的原则，由监理人按第</w:t>
      </w:r>
      <w:r>
        <w:rPr>
          <w:rFonts w:ascii="宋体" w:hAnsi="宋体"/>
          <w:sz w:val="24"/>
          <w:szCs w:val="32"/>
        </w:rPr>
        <w:t>3.5</w:t>
      </w:r>
      <w:r>
        <w:rPr>
          <w:rFonts w:hint="eastAsia" w:ascii="宋体" w:hAnsi="宋体"/>
          <w:sz w:val="24"/>
          <w:szCs w:val="32"/>
        </w:rPr>
        <w:t>款商定或确定变更工作的单价。</w:t>
      </w:r>
    </w:p>
    <w:bookmarkEnd w:id="1887"/>
    <w:p w14:paraId="619DC5FA">
      <w:pPr>
        <w:wordWrap w:val="0"/>
        <w:spacing w:line="360" w:lineRule="auto"/>
        <w:ind w:firstLine="480" w:firstLineChars="200"/>
        <w:rPr>
          <w:rFonts w:ascii="宋体"/>
          <w:sz w:val="24"/>
        </w:rPr>
      </w:pPr>
      <w:r>
        <w:rPr>
          <w:rFonts w:ascii="宋体" w:hAnsi="宋体"/>
          <w:sz w:val="24"/>
          <w:szCs w:val="32"/>
        </w:rPr>
        <w:t xml:space="preserve">15.4.4  </w:t>
      </w:r>
      <w:bookmarkStart w:id="1889" w:name="_Hlk198229749"/>
      <w:bookmarkStart w:id="1890" w:name="OLE_LINK14"/>
      <w:r>
        <w:rPr>
          <w:rFonts w:hint="eastAsia" w:ascii="宋体" w:hAnsi="宋体"/>
          <w:sz w:val="24"/>
        </w:rPr>
        <w:t>因</w:t>
      </w:r>
      <w:bookmarkStart w:id="1891" w:name="_Hlk198226699"/>
      <w:r>
        <w:rPr>
          <w:rFonts w:hint="eastAsia" w:ascii="宋体" w:hAnsi="宋体"/>
          <w:sz w:val="24"/>
        </w:rPr>
        <w:t>变更引起措施项目发生变化的，</w:t>
      </w:r>
      <w:bookmarkStart w:id="1892" w:name="_Hlk199427859"/>
      <w:r>
        <w:rPr>
          <w:rFonts w:hint="eastAsia" w:ascii="宋体" w:hAnsi="宋体"/>
          <w:sz w:val="24"/>
        </w:rPr>
        <w:t>措施项目费调整方法</w:t>
      </w:r>
      <w:bookmarkEnd w:id="1889"/>
      <w:bookmarkEnd w:id="1891"/>
      <w:r>
        <w:rPr>
          <w:rFonts w:hint="eastAsia" w:ascii="黑体" w:hAnsi="黑体" w:eastAsia="黑体"/>
          <w:sz w:val="24"/>
        </w:rPr>
        <w:t>见合同条款专用部分</w:t>
      </w:r>
      <w:bookmarkEnd w:id="1892"/>
      <w:r>
        <w:rPr>
          <w:rFonts w:hint="eastAsia" w:ascii="宋体" w:hAnsi="宋体"/>
          <w:sz w:val="24"/>
        </w:rPr>
        <w:t>。</w:t>
      </w:r>
      <w:bookmarkEnd w:id="1890"/>
    </w:p>
    <w:p w14:paraId="7CC0F570">
      <w:pPr>
        <w:wordWrap w:val="0"/>
        <w:spacing w:line="360" w:lineRule="auto"/>
        <w:ind w:firstLine="480" w:firstLineChars="200"/>
        <w:rPr>
          <w:rFonts w:ascii="黑体" w:hAnsi="黑体" w:eastAsia="黑体"/>
          <w:sz w:val="24"/>
        </w:rPr>
      </w:pPr>
      <w:r>
        <w:rPr>
          <w:rFonts w:ascii="宋体" w:hAnsi="宋体"/>
          <w:sz w:val="24"/>
          <w:szCs w:val="32"/>
        </w:rPr>
        <w:t xml:space="preserve">15.4.5  </w:t>
      </w:r>
      <w:bookmarkStart w:id="1893" w:name="OLE_LINK93"/>
      <w:r>
        <w:rPr>
          <w:rFonts w:hint="eastAsia" w:ascii="宋体" w:hAnsi="宋体"/>
          <w:sz w:val="24"/>
        </w:rPr>
        <w:t>合同协议书约定采用单价合同形式时，因非承包人原因引起合同清单中列明的工程量发生增减，超过合同约定范围且导致分部分项工程费总额变化超过一定幅度时，可以调整单价，否则不因合同清单中列明工程量的增减而调整单价。其调整的原则</w:t>
      </w:r>
      <w:r>
        <w:rPr>
          <w:rFonts w:hint="eastAsia" w:ascii="黑体" w:hAnsi="黑体" w:eastAsia="黑体"/>
          <w:sz w:val="24"/>
        </w:rPr>
        <w:t>见合同条款专用部分。</w:t>
      </w:r>
    </w:p>
    <w:bookmarkEnd w:id="1893"/>
    <w:p w14:paraId="1194BFED">
      <w:pPr>
        <w:wordWrap w:val="0"/>
        <w:spacing w:line="360" w:lineRule="auto"/>
        <w:ind w:firstLine="480" w:firstLineChars="200"/>
        <w:rPr>
          <w:rFonts w:ascii="宋体" w:hAnsi="宋体"/>
          <w:sz w:val="24"/>
          <w:szCs w:val="32"/>
        </w:rPr>
      </w:pPr>
      <w:r>
        <w:rPr>
          <w:rFonts w:hint="eastAsia" w:ascii="宋体" w:hAnsi="宋体"/>
          <w:sz w:val="24"/>
          <w:szCs w:val="32"/>
        </w:rPr>
        <w:t xml:space="preserve">15.4.6  </w:t>
      </w:r>
      <w:bookmarkStart w:id="1894" w:name="OLE_LINK131"/>
      <w:r>
        <w:rPr>
          <w:rFonts w:hint="eastAsia" w:ascii="宋体" w:hAnsi="宋体"/>
          <w:sz w:val="24"/>
          <w:szCs w:val="32"/>
        </w:rPr>
        <w:t>合同单价中存在修正综合单价的，本条第15.4.1、15.4.2、15.4.3项中的合同单价是指修正综合单价。</w:t>
      </w:r>
      <w:bookmarkEnd w:id="1894"/>
    </w:p>
    <w:p w14:paraId="1293B2DA">
      <w:pPr>
        <w:wordWrap w:val="0"/>
        <w:spacing w:line="360" w:lineRule="auto"/>
        <w:ind w:firstLine="480" w:firstLineChars="200"/>
        <w:rPr>
          <w:rFonts w:ascii="黑体" w:hAnsi="黑体" w:eastAsia="黑体"/>
          <w:sz w:val="24"/>
        </w:rPr>
      </w:pPr>
      <w:r>
        <w:rPr>
          <w:rFonts w:ascii="宋体" w:hAnsi="宋体"/>
          <w:sz w:val="24"/>
          <w:szCs w:val="32"/>
        </w:rPr>
        <w:t>15.4.</w:t>
      </w:r>
      <w:r>
        <w:rPr>
          <w:rFonts w:hint="eastAsia" w:ascii="宋体" w:hAnsi="宋体"/>
          <w:sz w:val="24"/>
          <w:szCs w:val="32"/>
        </w:rPr>
        <w:t>7</w:t>
      </w:r>
      <w:r>
        <w:rPr>
          <w:rFonts w:ascii="宋体" w:hAnsi="宋体"/>
          <w:sz w:val="24"/>
          <w:szCs w:val="32"/>
        </w:rPr>
        <w:t xml:space="preserve">  </w:t>
      </w:r>
      <w:r>
        <w:rPr>
          <w:rFonts w:hint="eastAsia" w:ascii="宋体" w:hAnsi="宋体"/>
          <w:sz w:val="24"/>
        </w:rPr>
        <w:t>因变更引起价格调整的其他处理方式</w:t>
      </w:r>
      <w:r>
        <w:rPr>
          <w:rFonts w:hint="eastAsia" w:ascii="黑体" w:hAnsi="黑体" w:eastAsia="黑体"/>
          <w:sz w:val="24"/>
        </w:rPr>
        <w:t>见合同条款专用部分。</w:t>
      </w:r>
    </w:p>
    <w:bookmarkEnd w:id="1883"/>
    <w:p w14:paraId="4741212C">
      <w:pPr>
        <w:wordWrap w:val="0"/>
        <w:spacing w:before="120" w:beforeLines="50" w:after="120" w:afterLines="50" w:line="360" w:lineRule="auto"/>
        <w:outlineLvl w:val="2"/>
        <w:rPr>
          <w:rFonts w:ascii="宋体"/>
          <w:kern w:val="0"/>
          <w:sz w:val="24"/>
          <w:szCs w:val="20"/>
        </w:rPr>
      </w:pPr>
      <w:bookmarkStart w:id="1895" w:name="_Toc489279960"/>
      <w:bookmarkStart w:id="1896" w:name="_Toc480487003"/>
      <w:bookmarkStart w:id="1897" w:name="_Toc338944804"/>
      <w:bookmarkStart w:id="1898" w:name="_Toc342296362"/>
      <w:bookmarkStart w:id="1899" w:name="_Toc480486831"/>
      <w:bookmarkStart w:id="1900" w:name="_Toc483668178"/>
      <w:bookmarkStart w:id="1901" w:name="_Toc486580149"/>
      <w:bookmarkStart w:id="1902" w:name="_Toc490222594"/>
      <w:bookmarkStart w:id="1903" w:name="_Toc207289685"/>
      <w:r>
        <w:rPr>
          <w:rFonts w:ascii="宋体"/>
          <w:kern w:val="0"/>
          <w:sz w:val="24"/>
          <w:szCs w:val="20"/>
        </w:rPr>
        <w:t xml:space="preserve">15.5  </w:t>
      </w:r>
      <w:r>
        <w:rPr>
          <w:rFonts w:hint="eastAsia" w:ascii="宋体"/>
          <w:kern w:val="0"/>
          <w:sz w:val="24"/>
          <w:szCs w:val="20"/>
        </w:rPr>
        <w:t>承包人的合理化建议</w:t>
      </w:r>
      <w:bookmarkEnd w:id="1895"/>
      <w:bookmarkEnd w:id="1896"/>
      <w:bookmarkEnd w:id="1897"/>
      <w:bookmarkEnd w:id="1898"/>
      <w:bookmarkEnd w:id="1899"/>
      <w:bookmarkEnd w:id="1900"/>
      <w:bookmarkEnd w:id="1901"/>
      <w:bookmarkEnd w:id="1902"/>
      <w:bookmarkEnd w:id="1903"/>
    </w:p>
    <w:p w14:paraId="28A275DE">
      <w:pPr>
        <w:wordWrap w:val="0"/>
        <w:spacing w:line="360" w:lineRule="auto"/>
        <w:ind w:firstLine="480" w:firstLineChars="200"/>
        <w:rPr>
          <w:rFonts w:ascii="宋体"/>
          <w:sz w:val="24"/>
          <w:szCs w:val="32"/>
        </w:rPr>
      </w:pPr>
      <w:r>
        <w:rPr>
          <w:rFonts w:ascii="宋体" w:hAnsi="宋体"/>
          <w:sz w:val="24"/>
          <w:szCs w:val="32"/>
        </w:rPr>
        <w:t xml:space="preserve">15.5.1  </w:t>
      </w:r>
      <w:r>
        <w:rPr>
          <w:rFonts w:hint="eastAsia" w:ascii="宋体" w:hAnsi="宋体"/>
          <w:sz w:val="24"/>
          <w:szCs w:val="32"/>
        </w:rPr>
        <w:t>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Fonts w:ascii="宋体" w:hAnsi="宋体"/>
          <w:sz w:val="24"/>
          <w:szCs w:val="32"/>
        </w:rPr>
        <w:t>15.3.3</w:t>
      </w:r>
      <w:r>
        <w:rPr>
          <w:rFonts w:hint="eastAsia" w:ascii="宋体" w:hAnsi="宋体"/>
          <w:sz w:val="24"/>
          <w:szCs w:val="32"/>
        </w:rPr>
        <w:t>项约定向承包人发出变更指示。</w:t>
      </w:r>
    </w:p>
    <w:p w14:paraId="7B909A2A">
      <w:pPr>
        <w:wordWrap w:val="0"/>
        <w:spacing w:line="360" w:lineRule="auto"/>
        <w:ind w:firstLine="480" w:firstLineChars="200"/>
        <w:rPr>
          <w:rFonts w:ascii="宋体"/>
          <w:sz w:val="24"/>
          <w:szCs w:val="32"/>
        </w:rPr>
      </w:pPr>
      <w:r>
        <w:rPr>
          <w:rFonts w:ascii="宋体" w:hAnsi="宋体"/>
          <w:sz w:val="24"/>
          <w:szCs w:val="32"/>
        </w:rPr>
        <w:t xml:space="preserve">15.5.2  </w:t>
      </w:r>
      <w:r>
        <w:rPr>
          <w:rFonts w:hint="eastAsia" w:ascii="宋体" w:hAnsi="宋体"/>
          <w:sz w:val="24"/>
          <w:szCs w:val="32"/>
        </w:rPr>
        <w:t>承包人提出的合理化建议降低了合同价格、缩短了工期或者提高了工程经济效益的，发包人可按国家有关规定给予奖励。</w:t>
      </w:r>
      <w:r>
        <w:rPr>
          <w:rFonts w:hint="eastAsia" w:ascii="宋体" w:hAnsi="宋体"/>
          <w:sz w:val="24"/>
        </w:rPr>
        <w:t>对承包人提出合理化建议的奖励方法</w:t>
      </w:r>
      <w:r>
        <w:rPr>
          <w:rFonts w:hint="eastAsia" w:ascii="黑体" w:hAnsi="黑体" w:eastAsia="黑体"/>
          <w:sz w:val="24"/>
        </w:rPr>
        <w:t>见合同条款专用部分。</w:t>
      </w:r>
    </w:p>
    <w:p w14:paraId="75773943">
      <w:pPr>
        <w:wordWrap w:val="0"/>
        <w:spacing w:before="120" w:beforeLines="50" w:after="120" w:afterLines="50" w:line="360" w:lineRule="auto"/>
        <w:outlineLvl w:val="2"/>
        <w:rPr>
          <w:rFonts w:ascii="宋体"/>
          <w:kern w:val="0"/>
          <w:sz w:val="24"/>
          <w:szCs w:val="20"/>
        </w:rPr>
      </w:pPr>
      <w:bookmarkStart w:id="1904" w:name="_Toc152042490"/>
      <w:bookmarkStart w:id="1905" w:name="_Toc144974681"/>
      <w:bookmarkStart w:id="1906" w:name="_Toc480486832"/>
      <w:bookmarkStart w:id="1907" w:name="_Toc480487004"/>
      <w:bookmarkStart w:id="1908" w:name="_Toc179632730"/>
      <w:bookmarkStart w:id="1909" w:name="_Toc483668179"/>
      <w:bookmarkStart w:id="1910" w:name="_Toc207289686"/>
      <w:bookmarkStart w:id="1911" w:name="_Toc342296363"/>
      <w:bookmarkStart w:id="1912" w:name="_Toc490222595"/>
      <w:bookmarkStart w:id="1913" w:name="_Toc489279961"/>
      <w:bookmarkStart w:id="1914" w:name="_Toc338944805"/>
      <w:bookmarkStart w:id="1915" w:name="_Toc152045712"/>
      <w:bookmarkStart w:id="1916" w:name="_Toc486580150"/>
      <w:r>
        <w:rPr>
          <w:rFonts w:ascii="宋体"/>
          <w:kern w:val="0"/>
          <w:sz w:val="24"/>
          <w:szCs w:val="20"/>
        </w:rPr>
        <w:t xml:space="preserve">15.6  </w:t>
      </w:r>
      <w:r>
        <w:rPr>
          <w:rFonts w:hint="eastAsia" w:ascii="宋体"/>
          <w:kern w:val="0"/>
          <w:sz w:val="24"/>
          <w:szCs w:val="20"/>
        </w:rPr>
        <w:t>暂列金额</w:t>
      </w:r>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14:paraId="79DCB0DA">
      <w:pPr>
        <w:wordWrap w:val="0"/>
        <w:spacing w:line="360" w:lineRule="auto"/>
        <w:ind w:firstLine="480" w:firstLineChars="200"/>
        <w:rPr>
          <w:rFonts w:ascii="宋体"/>
          <w:sz w:val="24"/>
          <w:szCs w:val="32"/>
        </w:rPr>
      </w:pPr>
      <w:r>
        <w:rPr>
          <w:rFonts w:hint="eastAsia" w:ascii="宋体" w:hAnsi="宋体"/>
          <w:sz w:val="24"/>
          <w:szCs w:val="32"/>
        </w:rPr>
        <w:t>暂列金额只能按照监理人的指示使用，并对合同价格进行相应调整。</w:t>
      </w:r>
    </w:p>
    <w:p w14:paraId="2279A298">
      <w:pPr>
        <w:wordWrap w:val="0"/>
        <w:spacing w:before="120" w:beforeLines="50" w:after="120" w:afterLines="50" w:line="360" w:lineRule="auto"/>
        <w:outlineLvl w:val="2"/>
        <w:rPr>
          <w:rFonts w:ascii="宋体"/>
          <w:kern w:val="0"/>
          <w:sz w:val="24"/>
          <w:szCs w:val="20"/>
        </w:rPr>
      </w:pPr>
      <w:bookmarkStart w:id="1917" w:name="_Toc489279962"/>
      <w:bookmarkStart w:id="1918" w:name="_Toc480486833"/>
      <w:bookmarkStart w:id="1919" w:name="_Toc207289687"/>
      <w:bookmarkStart w:id="1920" w:name="_Toc338944806"/>
      <w:bookmarkStart w:id="1921" w:name="_Toc152045713"/>
      <w:bookmarkStart w:id="1922" w:name="_Toc342296364"/>
      <w:bookmarkStart w:id="1923" w:name="_Toc483668180"/>
      <w:bookmarkStart w:id="1924" w:name="_Toc144974682"/>
      <w:bookmarkStart w:id="1925" w:name="_Toc152042491"/>
      <w:bookmarkStart w:id="1926" w:name="_Toc480487005"/>
      <w:bookmarkStart w:id="1927" w:name="_Toc486580151"/>
      <w:bookmarkStart w:id="1928" w:name="_Toc179632731"/>
      <w:bookmarkStart w:id="1929" w:name="_Toc490222596"/>
      <w:r>
        <w:rPr>
          <w:rFonts w:ascii="宋体"/>
          <w:kern w:val="0"/>
          <w:sz w:val="24"/>
          <w:szCs w:val="20"/>
        </w:rPr>
        <w:t xml:space="preserve">15.7  </w:t>
      </w:r>
      <w:r>
        <w:rPr>
          <w:rFonts w:hint="eastAsia" w:ascii="宋体"/>
          <w:kern w:val="0"/>
          <w:sz w:val="24"/>
          <w:szCs w:val="20"/>
        </w:rPr>
        <w:t>计日工</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p>
    <w:p w14:paraId="2F5F5D63">
      <w:pPr>
        <w:wordWrap w:val="0"/>
        <w:spacing w:line="360" w:lineRule="auto"/>
        <w:ind w:firstLine="480" w:firstLineChars="200"/>
        <w:rPr>
          <w:rFonts w:ascii="宋体"/>
          <w:sz w:val="24"/>
          <w:szCs w:val="32"/>
        </w:rPr>
      </w:pPr>
      <w:bookmarkStart w:id="1930" w:name="OLE_LINK49"/>
      <w:r>
        <w:rPr>
          <w:rFonts w:ascii="宋体" w:hAnsi="宋体"/>
          <w:sz w:val="24"/>
          <w:szCs w:val="32"/>
        </w:rPr>
        <w:t xml:space="preserve">15.7.1  </w:t>
      </w:r>
      <w:r>
        <w:rPr>
          <w:rFonts w:hint="eastAsia" w:ascii="宋体" w:hAnsi="宋体"/>
          <w:sz w:val="24"/>
          <w:szCs w:val="32"/>
        </w:rPr>
        <w:t>发包人认为有必要时，</w:t>
      </w:r>
      <w:r>
        <w:rPr>
          <w:rFonts w:hint="eastAsia" w:ascii="宋体" w:hAnsi="宋体"/>
          <w:sz w:val="24"/>
        </w:rPr>
        <w:t>由</w:t>
      </w:r>
      <w:r>
        <w:rPr>
          <w:rFonts w:hint="eastAsia" w:ascii="宋体" w:hAnsi="宋体"/>
          <w:sz w:val="24"/>
          <w:szCs w:val="32"/>
        </w:rPr>
        <w:t>监理人通知承包人以计日工方式实施变更的零星工作。其价款按列入</w:t>
      </w:r>
      <w:bookmarkStart w:id="1931" w:name="_Hlk199428033"/>
      <w:r>
        <w:rPr>
          <w:rFonts w:hint="eastAsia" w:ascii="宋体" w:hAnsi="宋体"/>
          <w:sz w:val="24"/>
          <w:szCs w:val="32"/>
        </w:rPr>
        <w:t>合同清单</w:t>
      </w:r>
      <w:bookmarkEnd w:id="1931"/>
      <w:r>
        <w:rPr>
          <w:rFonts w:hint="eastAsia" w:ascii="宋体" w:hAnsi="宋体"/>
          <w:sz w:val="24"/>
          <w:szCs w:val="32"/>
        </w:rPr>
        <w:t>中的计日工计价项目及其合同单价进行计算。</w:t>
      </w:r>
      <w:bookmarkEnd w:id="1930"/>
      <w:bookmarkStart w:id="1932" w:name="OLE_LINK15"/>
      <w:r>
        <w:rPr>
          <w:rFonts w:hint="eastAsia" w:ascii="宋体" w:hAnsi="宋体"/>
          <w:sz w:val="24"/>
          <w:szCs w:val="32"/>
        </w:rPr>
        <w:t>除合同条款专用部分另有约定外，合同单价中存在修正综合单价的，本项中的合同单价是指修正综合单价。</w:t>
      </w:r>
    </w:p>
    <w:bookmarkEnd w:id="1932"/>
    <w:p w14:paraId="788E7355">
      <w:pPr>
        <w:wordWrap w:val="0"/>
        <w:spacing w:line="360" w:lineRule="auto"/>
        <w:ind w:firstLine="480" w:firstLineChars="200"/>
        <w:rPr>
          <w:rFonts w:ascii="宋体"/>
          <w:sz w:val="24"/>
          <w:szCs w:val="32"/>
        </w:rPr>
      </w:pPr>
      <w:bookmarkStart w:id="1933" w:name="OLE_LINK51"/>
      <w:r>
        <w:rPr>
          <w:rFonts w:ascii="宋体" w:hAnsi="宋体"/>
          <w:sz w:val="24"/>
          <w:szCs w:val="32"/>
        </w:rPr>
        <w:t xml:space="preserve">15.7.2  </w:t>
      </w:r>
      <w:r>
        <w:rPr>
          <w:rFonts w:hint="eastAsia" w:ascii="宋体" w:hAnsi="宋体"/>
          <w:sz w:val="24"/>
          <w:szCs w:val="32"/>
        </w:rPr>
        <w:t>采用计日工计价的任何一项变更工作，应从暂列金额中支付，承包人应在该项变更的实施过程中，每天提交以下报表和有关凭证报送监理人审批：</w:t>
      </w:r>
    </w:p>
    <w:p w14:paraId="0BEB71F4">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1</w:t>
      </w:r>
      <w:r>
        <w:rPr>
          <w:rFonts w:hint="eastAsia" w:ascii="宋体" w:hAnsi="宋体"/>
          <w:sz w:val="24"/>
          <w:szCs w:val="32"/>
        </w:rPr>
        <w:t>）工作名称、内容和数量；</w:t>
      </w:r>
    </w:p>
    <w:p w14:paraId="627F4AAC">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2</w:t>
      </w:r>
      <w:r>
        <w:rPr>
          <w:rFonts w:hint="eastAsia" w:ascii="宋体" w:hAnsi="宋体"/>
          <w:sz w:val="24"/>
          <w:szCs w:val="32"/>
        </w:rPr>
        <w:t>）投入该工作所有人员的姓名、工种、级别和耗用工时；</w:t>
      </w:r>
    </w:p>
    <w:p w14:paraId="486088B1">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3</w:t>
      </w:r>
      <w:r>
        <w:rPr>
          <w:rFonts w:hint="eastAsia" w:ascii="宋体" w:hAnsi="宋体"/>
          <w:sz w:val="24"/>
          <w:szCs w:val="32"/>
        </w:rPr>
        <w:t>）投入该工作的材料</w:t>
      </w:r>
      <w:bookmarkStart w:id="1934" w:name="_Hlk199428051"/>
      <w:r>
        <w:rPr>
          <w:rFonts w:hint="eastAsia" w:ascii="宋体" w:hAnsi="宋体"/>
          <w:sz w:val="24"/>
          <w:szCs w:val="32"/>
        </w:rPr>
        <w:t>名称、</w:t>
      </w:r>
      <w:bookmarkEnd w:id="1934"/>
      <w:r>
        <w:rPr>
          <w:rFonts w:hint="eastAsia" w:ascii="宋体" w:hAnsi="宋体"/>
          <w:sz w:val="24"/>
          <w:szCs w:val="32"/>
        </w:rPr>
        <w:t>类别</w:t>
      </w:r>
      <w:bookmarkStart w:id="1935" w:name="_Hlk199428057"/>
      <w:r>
        <w:rPr>
          <w:rFonts w:hint="eastAsia" w:ascii="宋体" w:hAnsi="宋体"/>
          <w:sz w:val="24"/>
          <w:szCs w:val="32"/>
        </w:rPr>
        <w:t>、规格、品牌</w:t>
      </w:r>
      <w:bookmarkEnd w:id="1935"/>
      <w:r>
        <w:rPr>
          <w:rFonts w:hint="eastAsia" w:ascii="宋体" w:hAnsi="宋体"/>
          <w:sz w:val="24"/>
          <w:szCs w:val="32"/>
        </w:rPr>
        <w:t>和数量；</w:t>
      </w:r>
    </w:p>
    <w:p w14:paraId="3A68D0D5">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4</w:t>
      </w:r>
      <w:r>
        <w:rPr>
          <w:rFonts w:hint="eastAsia" w:ascii="宋体" w:hAnsi="宋体"/>
          <w:sz w:val="24"/>
          <w:szCs w:val="32"/>
        </w:rPr>
        <w:t>）投入该工作的施工机具型号、数量和耗用台班；</w:t>
      </w:r>
    </w:p>
    <w:p w14:paraId="62204FBF">
      <w:pPr>
        <w:wordWrap w:val="0"/>
        <w:spacing w:line="360" w:lineRule="auto"/>
        <w:ind w:firstLine="360" w:firstLineChars="150"/>
        <w:rPr>
          <w:rFonts w:ascii="宋体"/>
          <w:sz w:val="24"/>
          <w:szCs w:val="32"/>
        </w:rPr>
      </w:pPr>
      <w:r>
        <w:rPr>
          <w:rFonts w:hint="eastAsia" w:ascii="宋体" w:hAnsi="宋体"/>
          <w:sz w:val="24"/>
          <w:szCs w:val="32"/>
        </w:rPr>
        <w:t>（</w:t>
      </w:r>
      <w:r>
        <w:rPr>
          <w:rFonts w:ascii="宋体" w:hAnsi="宋体"/>
          <w:sz w:val="24"/>
          <w:szCs w:val="32"/>
        </w:rPr>
        <w:t>5</w:t>
      </w:r>
      <w:r>
        <w:rPr>
          <w:rFonts w:hint="eastAsia" w:ascii="宋体" w:hAnsi="宋体"/>
          <w:sz w:val="24"/>
          <w:szCs w:val="32"/>
        </w:rPr>
        <w:t>）监理人要求提交的其他资料和凭证。</w:t>
      </w:r>
    </w:p>
    <w:bookmarkEnd w:id="1933"/>
    <w:p w14:paraId="0CA04076">
      <w:pPr>
        <w:wordWrap w:val="0"/>
        <w:spacing w:line="360" w:lineRule="auto"/>
        <w:ind w:firstLine="480" w:firstLineChars="200"/>
        <w:rPr>
          <w:rFonts w:ascii="宋体"/>
          <w:sz w:val="24"/>
          <w:szCs w:val="32"/>
        </w:rPr>
      </w:pPr>
      <w:r>
        <w:rPr>
          <w:rFonts w:ascii="宋体" w:hAnsi="宋体"/>
          <w:sz w:val="24"/>
          <w:szCs w:val="32"/>
        </w:rPr>
        <w:t xml:space="preserve">15.7.3  </w:t>
      </w:r>
      <w:r>
        <w:rPr>
          <w:rFonts w:hint="eastAsia" w:ascii="宋体" w:hAnsi="宋体"/>
          <w:sz w:val="24"/>
          <w:szCs w:val="32"/>
        </w:rPr>
        <w:t>计日工由承包人汇总后，按第</w:t>
      </w:r>
      <w:r>
        <w:rPr>
          <w:rFonts w:ascii="宋体" w:hAnsi="宋体"/>
          <w:sz w:val="24"/>
          <w:szCs w:val="32"/>
        </w:rPr>
        <w:t>17.3.2</w:t>
      </w:r>
      <w:r>
        <w:rPr>
          <w:rFonts w:hint="eastAsia" w:ascii="宋体" w:hAnsi="宋体"/>
          <w:sz w:val="24"/>
          <w:szCs w:val="32"/>
        </w:rPr>
        <w:t>项的约定列入进度付款申请单，由监理人复核并经发包人同意后列入进度付款。</w:t>
      </w:r>
      <w:bookmarkStart w:id="1936" w:name="OLE_LINK54"/>
    </w:p>
    <w:bookmarkEnd w:id="1936"/>
    <w:p w14:paraId="7AD59BD2">
      <w:pPr>
        <w:wordWrap w:val="0"/>
        <w:spacing w:before="120" w:beforeLines="50" w:after="120" w:afterLines="50" w:line="360" w:lineRule="auto"/>
        <w:outlineLvl w:val="2"/>
        <w:rPr>
          <w:rFonts w:ascii="宋体"/>
          <w:kern w:val="0"/>
          <w:sz w:val="24"/>
          <w:szCs w:val="20"/>
        </w:rPr>
      </w:pPr>
      <w:bookmarkStart w:id="1937" w:name="_Toc480486834"/>
      <w:bookmarkStart w:id="1938" w:name="_Toc486580152"/>
      <w:bookmarkStart w:id="1939" w:name="_Toc342296365"/>
      <w:bookmarkStart w:id="1940" w:name="_Toc207289688"/>
      <w:bookmarkStart w:id="1941" w:name="_Toc480487006"/>
      <w:bookmarkStart w:id="1942" w:name="_Toc483668181"/>
      <w:bookmarkStart w:id="1943" w:name="_Toc338944807"/>
      <w:bookmarkStart w:id="1944" w:name="_Toc490222597"/>
      <w:bookmarkStart w:id="1945" w:name="_Toc489279963"/>
      <w:r>
        <w:rPr>
          <w:rFonts w:ascii="宋体"/>
          <w:kern w:val="0"/>
          <w:sz w:val="24"/>
          <w:szCs w:val="20"/>
        </w:rPr>
        <w:t xml:space="preserve">15.8  </w:t>
      </w:r>
      <w:r>
        <w:rPr>
          <w:rFonts w:hint="eastAsia" w:ascii="宋体"/>
          <w:kern w:val="0"/>
          <w:sz w:val="24"/>
          <w:szCs w:val="20"/>
        </w:rPr>
        <w:t>暂估价</w:t>
      </w:r>
      <w:bookmarkEnd w:id="1937"/>
      <w:bookmarkEnd w:id="1938"/>
      <w:bookmarkEnd w:id="1939"/>
      <w:bookmarkEnd w:id="1940"/>
      <w:bookmarkEnd w:id="1941"/>
      <w:bookmarkEnd w:id="1942"/>
      <w:bookmarkEnd w:id="1943"/>
      <w:bookmarkEnd w:id="1944"/>
      <w:bookmarkEnd w:id="1945"/>
    </w:p>
    <w:p w14:paraId="6FC7C6E4">
      <w:pPr>
        <w:wordWrap w:val="0"/>
        <w:spacing w:line="360" w:lineRule="auto"/>
        <w:ind w:firstLine="480" w:firstLineChars="200"/>
        <w:rPr>
          <w:rFonts w:ascii="宋体"/>
          <w:sz w:val="24"/>
        </w:rPr>
      </w:pPr>
      <w:r>
        <w:rPr>
          <w:rFonts w:ascii="宋体" w:hAnsi="宋体"/>
          <w:sz w:val="24"/>
        </w:rPr>
        <w:t xml:space="preserve">15.8.1  </w:t>
      </w:r>
      <w:r>
        <w:rPr>
          <w:rFonts w:hint="eastAsia" w:ascii="宋体" w:hAnsi="宋体"/>
          <w:sz w:val="24"/>
        </w:rPr>
        <w:t>发包人在工程量清单中给定暂估价的材料及专业工程属于依法必须招标的范围并达到规定的规模标准的，由发包人和承包人采用招标方式选择专项供应商或专业分包人。发包人和承包人的权利义务关系约定如下：</w:t>
      </w:r>
      <w:r>
        <w:rPr>
          <w:rFonts w:ascii="宋体" w:hAnsi="宋体"/>
          <w:sz w:val="24"/>
        </w:rPr>
        <w:t xml:space="preserve"> </w:t>
      </w:r>
    </w:p>
    <w:p w14:paraId="5E25FF8E">
      <w:pPr>
        <w:wordWrap w:val="0"/>
        <w:spacing w:line="360" w:lineRule="auto"/>
        <w:ind w:firstLine="360" w:firstLineChars="150"/>
        <w:rPr>
          <w:rFonts w:ascii="宋体"/>
          <w:sz w:val="24"/>
        </w:rPr>
      </w:pPr>
      <w:r>
        <w:rPr>
          <w:rFonts w:hint="eastAsia" w:ascii="宋体" w:hAnsi="宋体"/>
          <w:sz w:val="24"/>
        </w:rPr>
        <w:t>（</w:t>
      </w:r>
      <w:r>
        <w:rPr>
          <w:rFonts w:ascii="宋体" w:hAnsi="宋体"/>
          <w:sz w:val="24"/>
        </w:rPr>
        <w:t>1</w:t>
      </w:r>
      <w:r>
        <w:rPr>
          <w:rFonts w:hint="eastAsia" w:ascii="宋体" w:hAnsi="宋体"/>
          <w:sz w:val="24"/>
        </w:rPr>
        <w:t>）由承包人作为招标人，依法组织招标工作并接受有管辖权的建设工程招标投标行政监督部门的监督。</w:t>
      </w:r>
    </w:p>
    <w:p w14:paraId="72C9C59F">
      <w:pPr>
        <w:wordWrap w:val="0"/>
        <w:spacing w:line="360" w:lineRule="auto"/>
        <w:ind w:firstLine="360" w:firstLineChars="150"/>
        <w:rPr>
          <w:rFonts w:ascii="宋体"/>
          <w:sz w:val="24"/>
        </w:rPr>
      </w:pPr>
      <w:r>
        <w:rPr>
          <w:rFonts w:hint="eastAsia" w:ascii="宋体" w:hAnsi="宋体"/>
          <w:sz w:val="24"/>
        </w:rPr>
        <w:t>（</w:t>
      </w:r>
      <w:r>
        <w:rPr>
          <w:rFonts w:ascii="宋体" w:hAnsi="宋体"/>
          <w:sz w:val="24"/>
        </w:rPr>
        <w:t>2</w:t>
      </w:r>
      <w:r>
        <w:rPr>
          <w:rFonts w:hint="eastAsia" w:ascii="宋体" w:hAnsi="宋体"/>
          <w:sz w:val="24"/>
        </w:rPr>
        <w:t>）与组织招标工作有关的费用应当被认为已经包括在承包人的签约合同价（投标总报价）中。</w:t>
      </w:r>
    </w:p>
    <w:p w14:paraId="41AF5933">
      <w:pPr>
        <w:wordWrap w:val="0"/>
        <w:spacing w:line="360" w:lineRule="auto"/>
        <w:ind w:firstLine="360" w:firstLineChars="150"/>
        <w:rPr>
          <w:rFonts w:ascii="宋体"/>
          <w:sz w:val="24"/>
        </w:rPr>
      </w:pPr>
      <w:r>
        <w:rPr>
          <w:rFonts w:hint="eastAsia" w:ascii="宋体" w:hAnsi="宋体"/>
          <w:sz w:val="24"/>
        </w:rPr>
        <w:t>（</w:t>
      </w:r>
      <w:r>
        <w:rPr>
          <w:rFonts w:ascii="宋体" w:hAnsi="宋体"/>
          <w:sz w:val="24"/>
        </w:rPr>
        <w:t>3</w:t>
      </w:r>
      <w:r>
        <w:rPr>
          <w:rFonts w:hint="eastAsia" w:ascii="宋体" w:hAnsi="宋体"/>
          <w:sz w:val="24"/>
        </w:rPr>
        <w:t>）中标金额与工程量清单中所列的暂估价的金额差以及相应的增值税等其他费用列入合同价格。</w:t>
      </w:r>
    </w:p>
    <w:p w14:paraId="7EFDDDDA">
      <w:pPr>
        <w:wordWrap w:val="0"/>
        <w:spacing w:line="360" w:lineRule="auto"/>
        <w:ind w:firstLine="360" w:firstLineChars="150"/>
        <w:rPr>
          <w:rFonts w:ascii="宋体"/>
          <w:sz w:val="24"/>
        </w:rPr>
      </w:pPr>
      <w:r>
        <w:rPr>
          <w:rFonts w:hint="eastAsia" w:ascii="宋体" w:hAnsi="宋体"/>
          <w:sz w:val="24"/>
        </w:rPr>
        <w:t>（</w:t>
      </w:r>
      <w:r>
        <w:rPr>
          <w:rFonts w:ascii="宋体" w:hAnsi="宋体"/>
          <w:sz w:val="24"/>
        </w:rPr>
        <w:t>4</w:t>
      </w:r>
      <w:r>
        <w:rPr>
          <w:rFonts w:hint="eastAsia" w:ascii="宋体" w:hAnsi="宋体"/>
          <w:sz w:val="24"/>
        </w:rPr>
        <w:t>）在任何招标工作启动前，承包人应当按照合同条款专用部分约定期限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w:t>
      </w:r>
      <w:bookmarkStart w:id="1946" w:name="_Hlk199428130"/>
      <w:r>
        <w:rPr>
          <w:rFonts w:hint="eastAsia" w:ascii="宋体" w:hAnsi="宋体"/>
          <w:sz w:val="24"/>
        </w:rPr>
        <w:t>最高投标限价</w:t>
      </w:r>
      <w:bookmarkEnd w:id="1946"/>
      <w:r>
        <w:rPr>
          <w:rFonts w:hint="eastAsia" w:ascii="宋体" w:hAnsi="宋体"/>
          <w:sz w:val="24"/>
        </w:rPr>
        <w:t>和（或）标底以及最高投标限价和（或）标底编制原则。发包人应当在监理人收到承包人报送的招标工作计划后应当在合同条款专用部分约定期限内给予批准或者提出修改意见。承包人应当严格按照经过发包人批准的招标工作计划开展招标工作。</w:t>
      </w:r>
    </w:p>
    <w:p w14:paraId="6C34FCB6">
      <w:pPr>
        <w:wordWrap w:val="0"/>
        <w:spacing w:line="360" w:lineRule="auto"/>
        <w:ind w:firstLine="360" w:firstLineChars="150"/>
        <w:rPr>
          <w:rFonts w:ascii="宋体"/>
          <w:sz w:val="24"/>
        </w:rPr>
      </w:pPr>
      <w:r>
        <w:rPr>
          <w:rFonts w:hint="eastAsia" w:ascii="宋体" w:hAnsi="宋体"/>
          <w:sz w:val="24"/>
        </w:rPr>
        <w:t>（</w:t>
      </w:r>
      <w:r>
        <w:rPr>
          <w:rFonts w:ascii="宋体" w:hAnsi="宋体"/>
          <w:sz w:val="24"/>
        </w:rPr>
        <w:t>5</w:t>
      </w:r>
      <w:r>
        <w:rPr>
          <w:rFonts w:hint="eastAsia" w:ascii="宋体" w:hAnsi="宋体"/>
          <w:sz w:val="24"/>
        </w:rPr>
        <w:t>）承包人应当在发出招标公告（或者资格预审公告或者投标邀请书）、资格预审文件和招标文件前按照合同条款专用部分约定期限，分别将相关文件通过监理人报请发包人审批，发包人应当在监理人收到承包人报送的相关文件后应当在合同条款专用部分约定期限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14:paraId="47CFD085">
      <w:pPr>
        <w:wordWrap w:val="0"/>
        <w:spacing w:line="360" w:lineRule="auto"/>
        <w:ind w:firstLine="360" w:firstLineChars="150"/>
        <w:rPr>
          <w:rFonts w:ascii="宋体"/>
          <w:sz w:val="24"/>
        </w:rPr>
      </w:pPr>
      <w:r>
        <w:rPr>
          <w:rFonts w:hint="eastAsia" w:ascii="宋体" w:hAnsi="宋体"/>
          <w:sz w:val="24"/>
        </w:rPr>
        <w:t>（</w:t>
      </w:r>
      <w:r>
        <w:rPr>
          <w:rFonts w:ascii="宋体" w:hAnsi="宋体"/>
          <w:sz w:val="24"/>
        </w:rPr>
        <w:t>6</w:t>
      </w:r>
      <w:r>
        <w:rPr>
          <w:rFonts w:hint="eastAsia" w:ascii="宋体" w:hAnsi="宋体"/>
          <w:sz w:val="24"/>
        </w:rPr>
        <w:t>）除发包人或者承包人自愿放弃委派评标代表的权利外，招标人评标代表应当分别由发包人和承包人等额委派。</w:t>
      </w:r>
    </w:p>
    <w:p w14:paraId="0A7F68A5">
      <w:pPr>
        <w:wordWrap w:val="0"/>
        <w:spacing w:line="360" w:lineRule="auto"/>
        <w:ind w:firstLine="360" w:firstLineChars="150"/>
        <w:rPr>
          <w:rFonts w:ascii="宋体"/>
          <w:sz w:val="24"/>
        </w:rPr>
      </w:pPr>
      <w:r>
        <w:rPr>
          <w:rFonts w:hint="eastAsia" w:ascii="宋体" w:hAnsi="宋体"/>
          <w:sz w:val="24"/>
        </w:rPr>
        <w:t>（</w:t>
      </w:r>
      <w:r>
        <w:rPr>
          <w:rFonts w:ascii="宋体" w:hAnsi="宋体"/>
          <w:sz w:val="24"/>
        </w:rPr>
        <w:t>7</w:t>
      </w:r>
      <w:r>
        <w:rPr>
          <w:rFonts w:hint="eastAsia" w:ascii="宋体" w:hAnsi="宋体"/>
          <w:sz w:val="24"/>
        </w:rPr>
        <w:t>）设有标底的，承包人应当在开标前提前</w:t>
      </w:r>
      <w:r>
        <w:rPr>
          <w:rFonts w:ascii="宋体" w:hAnsi="宋体"/>
          <w:sz w:val="24"/>
        </w:rPr>
        <w:t>48</w:t>
      </w:r>
      <w:r>
        <w:rPr>
          <w:rFonts w:hint="eastAsia" w:ascii="宋体" w:hAnsi="宋体"/>
          <w:sz w:val="24"/>
        </w:rPr>
        <w:t>小时将标底报发包人审核认可，发包人应当在收到承包人报送的标底后</w:t>
      </w:r>
      <w:r>
        <w:rPr>
          <w:rFonts w:ascii="宋体" w:hAnsi="宋体"/>
          <w:sz w:val="24"/>
        </w:rPr>
        <w:t>24</w:t>
      </w:r>
      <w:r>
        <w:rPr>
          <w:rFonts w:hint="eastAsia" w:ascii="宋体" w:hAnsi="宋体"/>
          <w:sz w:val="24"/>
        </w:rPr>
        <w:t>小时内给予批准或者提出修改意见。承包人和发包人应当共同制定标底保密措施，不得提前泄露标底。标底的最终审核和决定权属于发包人。</w:t>
      </w:r>
    </w:p>
    <w:p w14:paraId="54DE2BC0">
      <w:pPr>
        <w:wordWrap w:val="0"/>
        <w:spacing w:line="360" w:lineRule="auto"/>
        <w:ind w:firstLine="360" w:firstLineChars="150"/>
        <w:rPr>
          <w:rFonts w:ascii="宋体"/>
          <w:sz w:val="24"/>
        </w:rPr>
      </w:pPr>
      <w:r>
        <w:rPr>
          <w:rFonts w:hint="eastAsia" w:ascii="宋体" w:hAnsi="宋体"/>
          <w:sz w:val="24"/>
        </w:rPr>
        <w:t>（</w:t>
      </w:r>
      <w:r>
        <w:rPr>
          <w:rFonts w:ascii="宋体" w:hAnsi="宋体"/>
          <w:sz w:val="24"/>
        </w:rPr>
        <w:t>8</w:t>
      </w:r>
      <w:r>
        <w:rPr>
          <w:rFonts w:hint="eastAsia" w:ascii="宋体" w:hAnsi="宋体"/>
          <w:sz w:val="24"/>
        </w:rPr>
        <w:t>）设有最高投标限价的，承包人应当在招标文件发出前提前</w:t>
      </w:r>
      <w:r>
        <w:rPr>
          <w:rFonts w:ascii="宋体" w:hAnsi="宋体"/>
          <w:sz w:val="24"/>
        </w:rPr>
        <w:t>7</w:t>
      </w:r>
      <w:r>
        <w:rPr>
          <w:rFonts w:hint="eastAsia" w:ascii="宋体" w:hAnsi="宋体"/>
          <w:sz w:val="24"/>
        </w:rPr>
        <w:t>天将最高投标限价报发包人审核认可，发包人应当在收到承包人报送的最高投标限价后</w:t>
      </w:r>
      <w:r>
        <w:rPr>
          <w:rFonts w:ascii="宋体" w:hAnsi="宋体"/>
          <w:sz w:val="24"/>
        </w:rPr>
        <w:t>72</w:t>
      </w:r>
      <w:r>
        <w:rPr>
          <w:rFonts w:hint="eastAsia" w:ascii="宋体" w:hAnsi="宋体"/>
          <w:sz w:val="24"/>
        </w:rPr>
        <w:t>小时内给予认可或者提出修改意见。最高投标限价的最终审核和决定权属于发包人，未经发包人认可，承包人不得发出招标文件。</w:t>
      </w:r>
    </w:p>
    <w:p w14:paraId="6A414C39">
      <w:pPr>
        <w:wordWrap w:val="0"/>
        <w:spacing w:line="360" w:lineRule="auto"/>
        <w:ind w:firstLine="360" w:firstLineChars="150"/>
        <w:rPr>
          <w:rFonts w:ascii="宋体"/>
          <w:sz w:val="24"/>
        </w:rPr>
      </w:pPr>
      <w:r>
        <w:rPr>
          <w:rFonts w:hint="eastAsia" w:ascii="宋体" w:hAnsi="宋体"/>
          <w:sz w:val="24"/>
        </w:rPr>
        <w:t>（</w:t>
      </w:r>
      <w:r>
        <w:rPr>
          <w:rFonts w:ascii="宋体" w:hAnsi="宋体"/>
          <w:sz w:val="24"/>
        </w:rPr>
        <w:t>9</w:t>
      </w:r>
      <w:r>
        <w:rPr>
          <w:rFonts w:hint="eastAsia" w:ascii="宋体" w:hAnsi="宋体"/>
          <w:sz w:val="24"/>
        </w:rPr>
        <w:t>）承包人在收到相关招标项目评标委员会提交的评标报告后，应当在</w:t>
      </w:r>
      <w:r>
        <w:rPr>
          <w:rFonts w:ascii="宋体" w:hAnsi="宋体"/>
          <w:sz w:val="24"/>
        </w:rPr>
        <w:t>24</w:t>
      </w:r>
      <w:r>
        <w:rPr>
          <w:rFonts w:hint="eastAsia" w:ascii="宋体" w:hAnsi="宋体"/>
          <w:sz w:val="24"/>
        </w:rPr>
        <w:t>小时内通过监理人转报发包人核查，发包人应当在监理人收到承包人报送的评标报告后</w:t>
      </w:r>
      <w:r>
        <w:rPr>
          <w:rFonts w:ascii="宋体" w:hAnsi="宋体"/>
          <w:sz w:val="24"/>
        </w:rPr>
        <w:t>48</w:t>
      </w:r>
      <w:r>
        <w:rPr>
          <w:rFonts w:hint="eastAsia" w:ascii="宋体" w:hAnsi="宋体"/>
          <w:sz w:val="24"/>
        </w:rPr>
        <w:t>小时内核查完毕，评标报告经过发包人核查认可后，承包人才可以开始后续程序，依法确定中标人并发出中标通知书。</w:t>
      </w:r>
    </w:p>
    <w:p w14:paraId="661620FD">
      <w:pPr>
        <w:wordWrap w:val="0"/>
        <w:spacing w:line="360" w:lineRule="auto"/>
        <w:ind w:firstLine="360" w:firstLineChars="150"/>
        <w:rPr>
          <w:rFonts w:ascii="宋体"/>
          <w:sz w:val="24"/>
        </w:rPr>
      </w:pPr>
      <w:r>
        <w:rPr>
          <w:rFonts w:hint="eastAsia" w:ascii="宋体" w:hAnsi="宋体"/>
          <w:sz w:val="24"/>
        </w:rPr>
        <w:t>（</w:t>
      </w:r>
      <w:r>
        <w:rPr>
          <w:rFonts w:ascii="宋体" w:hAnsi="宋体"/>
          <w:sz w:val="24"/>
        </w:rPr>
        <w:t>10</w:t>
      </w:r>
      <w:r>
        <w:rPr>
          <w:rFonts w:hint="eastAsia" w:ascii="宋体" w:hAnsi="宋体"/>
          <w:sz w:val="24"/>
        </w:rPr>
        <w:t>）承包人与专业分包人或者专项供应商订立合同前应当按照合同条款专用部分约定期限，将准备用于正式签订的合同文件通过监理人报发包人审核，发包人应当在监理人收到相关文件后在合同条款专用部分约定期限内给予批准或者提出修改意见，承包人应当按照发包人批准的合同文件签订相关合同，合同订立后，在合同条款专用部分约定期限内，承包人应当将其中的两份副本报送监理人，其中一份由监理人报发包人留存。</w:t>
      </w:r>
    </w:p>
    <w:p w14:paraId="79FC7488">
      <w:pPr>
        <w:wordWrap w:val="0"/>
        <w:spacing w:line="360" w:lineRule="auto"/>
        <w:ind w:firstLine="360" w:firstLineChars="150"/>
        <w:rPr>
          <w:rFonts w:ascii="宋体"/>
          <w:sz w:val="24"/>
        </w:rPr>
      </w:pPr>
      <w:r>
        <w:rPr>
          <w:rFonts w:hint="eastAsia" w:ascii="宋体" w:hAnsi="宋体"/>
          <w:sz w:val="24"/>
        </w:rPr>
        <w:t>（</w:t>
      </w:r>
      <w:r>
        <w:rPr>
          <w:rFonts w:ascii="宋体" w:hAnsi="宋体"/>
          <w:sz w:val="24"/>
        </w:rPr>
        <w:t>11</w:t>
      </w:r>
      <w:r>
        <w:rPr>
          <w:rFonts w:hint="eastAsia" w:ascii="宋体" w:hAnsi="宋体"/>
          <w:sz w:val="24"/>
        </w:rPr>
        <w:t>）发包人对承包人报送文件进行审批或提出的修改意见应当合理，并符合现行有关法律法规的规定。</w:t>
      </w:r>
    </w:p>
    <w:p w14:paraId="650F7173">
      <w:pPr>
        <w:wordWrap w:val="0"/>
        <w:spacing w:line="360" w:lineRule="auto"/>
        <w:ind w:firstLine="360" w:firstLineChars="150"/>
        <w:rPr>
          <w:rFonts w:ascii="宋体"/>
          <w:sz w:val="24"/>
        </w:rPr>
      </w:pPr>
      <w:r>
        <w:rPr>
          <w:rFonts w:hint="eastAsia" w:ascii="宋体" w:hAnsi="宋体"/>
          <w:sz w:val="24"/>
        </w:rPr>
        <w:t>（</w:t>
      </w:r>
      <w:r>
        <w:rPr>
          <w:rFonts w:ascii="宋体" w:hAnsi="宋体"/>
          <w:sz w:val="24"/>
        </w:rPr>
        <w:t>12</w:t>
      </w:r>
      <w:r>
        <w:rPr>
          <w:rFonts w:hint="eastAsia" w:ascii="宋体" w:hAnsi="宋体"/>
          <w:sz w:val="24"/>
        </w:rPr>
        <w:t>）承包人违背本项上述约定的程序或者未履行本项上述约定的报批手续的，发包人有权拒绝对相关专业工程或者涉及相关专项供应的材料的工程进行验收和拨付相应工程款项，所造成的费用增加和（或）工期延误由承包人承担。发包人未按本项上述约定履行审批手续的，所造成的费用增加和（或）工期延误由发包人承担。</w:t>
      </w:r>
    </w:p>
    <w:p w14:paraId="1C804649">
      <w:pPr>
        <w:wordWrap w:val="0"/>
        <w:spacing w:line="360" w:lineRule="auto"/>
        <w:ind w:firstLine="480" w:firstLineChars="200"/>
        <w:rPr>
          <w:rFonts w:ascii="宋体"/>
          <w:sz w:val="24"/>
        </w:rPr>
      </w:pPr>
      <w:r>
        <w:rPr>
          <w:rFonts w:ascii="宋体" w:hAnsi="宋体"/>
          <w:sz w:val="24"/>
        </w:rPr>
        <w:t xml:space="preserve">15.8.2  </w:t>
      </w:r>
      <w:r>
        <w:rPr>
          <w:rFonts w:hint="eastAsia" w:ascii="宋体" w:hAnsi="宋体"/>
          <w:sz w:val="24"/>
        </w:rPr>
        <w:t>发包人在工程量清单中给定暂估价的材料不属于依法必须招标的范围或未达到规定的规模标准的，应由承包人按第</w:t>
      </w:r>
      <w:r>
        <w:rPr>
          <w:rFonts w:ascii="宋体" w:hAnsi="宋体"/>
          <w:sz w:val="24"/>
        </w:rPr>
        <w:t>5.1</w:t>
      </w:r>
      <w:r>
        <w:rPr>
          <w:rFonts w:hint="eastAsia" w:ascii="宋体" w:hAnsi="宋体"/>
          <w:sz w:val="24"/>
        </w:rPr>
        <w:t>款的约定提供。经监理人确认的材料价格与工程量清单中所列的暂估价的金额差以及相应的</w:t>
      </w:r>
      <w:bookmarkStart w:id="1947" w:name="_Hlk199428279"/>
      <w:r>
        <w:rPr>
          <w:rFonts w:hint="eastAsia" w:ascii="宋体" w:hAnsi="宋体"/>
          <w:sz w:val="24"/>
        </w:rPr>
        <w:t>增值税</w:t>
      </w:r>
      <w:bookmarkEnd w:id="1947"/>
      <w:r>
        <w:rPr>
          <w:rFonts w:hint="eastAsia" w:ascii="宋体" w:hAnsi="宋体"/>
          <w:sz w:val="24"/>
        </w:rPr>
        <w:t>等其他费用列入合同价格。</w:t>
      </w:r>
    </w:p>
    <w:p w14:paraId="00151B84">
      <w:pPr>
        <w:wordWrap w:val="0"/>
        <w:spacing w:line="360" w:lineRule="auto"/>
        <w:ind w:firstLine="480" w:firstLineChars="200"/>
        <w:rPr>
          <w:rFonts w:ascii="宋体"/>
          <w:sz w:val="24"/>
        </w:rPr>
      </w:pPr>
      <w:r>
        <w:rPr>
          <w:rFonts w:ascii="宋体" w:hAnsi="宋体"/>
          <w:sz w:val="24"/>
        </w:rPr>
        <w:t xml:space="preserve">15.8.3  </w:t>
      </w:r>
      <w:r>
        <w:rPr>
          <w:rFonts w:hint="eastAsia" w:ascii="宋体" w:hAnsi="宋体"/>
          <w:sz w:val="24"/>
        </w:rPr>
        <w:t>发包人在工程量清单中给定暂估价的专业工程不属于依法必须招标的范围或未达到规定的规模标准的，由监理人按照第</w:t>
      </w:r>
      <w:r>
        <w:rPr>
          <w:rFonts w:ascii="宋体" w:hAnsi="宋体"/>
          <w:sz w:val="24"/>
        </w:rPr>
        <w:t>15.4</w:t>
      </w:r>
      <w:r>
        <w:rPr>
          <w:rFonts w:hint="eastAsia" w:ascii="宋体" w:hAnsi="宋体"/>
          <w:sz w:val="24"/>
        </w:rPr>
        <w:t>款进行估价，</w:t>
      </w:r>
      <w:bookmarkStart w:id="1948" w:name="_Hlk199428341"/>
      <w:r>
        <w:rPr>
          <w:rFonts w:hint="eastAsia" w:ascii="宋体" w:hAnsi="宋体"/>
          <w:sz w:val="24"/>
        </w:rPr>
        <w:t>并计算对应的增值税，</w:t>
      </w:r>
      <w:bookmarkEnd w:id="1948"/>
      <w:r>
        <w:rPr>
          <w:rFonts w:hint="eastAsia" w:ascii="宋体" w:hAnsi="宋体"/>
          <w:sz w:val="24"/>
        </w:rPr>
        <w:t>但合同条款专用部分另有约定的除外。经估价的专业工程与工程量清单中所列的暂估价的金额差列入合同价格。</w:t>
      </w:r>
    </w:p>
    <w:p w14:paraId="44CD44E2">
      <w:pPr>
        <w:tabs>
          <w:tab w:val="left" w:pos="576"/>
        </w:tabs>
        <w:wordWrap w:val="0"/>
        <w:spacing w:before="120" w:beforeLines="50" w:after="120" w:afterLines="50" w:line="360" w:lineRule="auto"/>
        <w:outlineLvl w:val="1"/>
        <w:rPr>
          <w:rFonts w:ascii="宋体" w:cs="宋体"/>
          <w:sz w:val="28"/>
          <w:szCs w:val="20"/>
        </w:rPr>
      </w:pPr>
      <w:bookmarkStart w:id="1949" w:name="_Toc480486835"/>
      <w:bookmarkStart w:id="1950" w:name="_Toc489279964"/>
      <w:bookmarkStart w:id="1951" w:name="_Toc486580153"/>
      <w:bookmarkStart w:id="1952" w:name="_Toc480487007"/>
      <w:bookmarkStart w:id="1953" w:name="_Toc338944808"/>
      <w:bookmarkStart w:id="1954" w:name="_Toc490222598"/>
      <w:bookmarkStart w:id="1955" w:name="_Toc207289689"/>
      <w:bookmarkStart w:id="1956" w:name="_Toc342296366"/>
      <w:bookmarkStart w:id="1957" w:name="_Toc483668182"/>
      <w:r>
        <w:rPr>
          <w:rFonts w:ascii="宋体" w:cs="宋体"/>
          <w:sz w:val="28"/>
          <w:szCs w:val="20"/>
        </w:rPr>
        <w:t>16.</w:t>
      </w:r>
      <w:r>
        <w:rPr>
          <w:rFonts w:hint="eastAsia" w:ascii="宋体" w:cs="宋体"/>
          <w:sz w:val="28"/>
          <w:szCs w:val="20"/>
        </w:rPr>
        <w:t>价格调整</w:t>
      </w:r>
      <w:bookmarkEnd w:id="1949"/>
      <w:bookmarkEnd w:id="1950"/>
      <w:bookmarkEnd w:id="1951"/>
      <w:bookmarkEnd w:id="1952"/>
      <w:bookmarkEnd w:id="1953"/>
      <w:bookmarkEnd w:id="1954"/>
      <w:bookmarkEnd w:id="1955"/>
      <w:bookmarkEnd w:id="1956"/>
      <w:bookmarkEnd w:id="1957"/>
    </w:p>
    <w:p w14:paraId="11D87935">
      <w:pPr>
        <w:wordWrap w:val="0"/>
        <w:spacing w:before="120" w:beforeLines="50" w:after="120" w:afterLines="50" w:line="360" w:lineRule="auto"/>
        <w:outlineLvl w:val="2"/>
        <w:rPr>
          <w:rFonts w:ascii="宋体"/>
          <w:kern w:val="0"/>
          <w:sz w:val="24"/>
        </w:rPr>
      </w:pPr>
      <w:bookmarkStart w:id="1958" w:name="_Toc480486836"/>
      <w:bookmarkStart w:id="1959" w:name="_Toc486580154"/>
      <w:bookmarkStart w:id="1960" w:name="_Toc489279965"/>
      <w:bookmarkStart w:id="1961" w:name="_Toc338944809"/>
      <w:bookmarkStart w:id="1962" w:name="_Toc480487008"/>
      <w:bookmarkStart w:id="1963" w:name="_Toc342296367"/>
      <w:bookmarkStart w:id="1964" w:name="_Toc490222599"/>
      <w:bookmarkStart w:id="1965" w:name="_Toc483668183"/>
      <w:bookmarkStart w:id="1966" w:name="_Toc207289690"/>
      <w:r>
        <w:rPr>
          <w:rFonts w:ascii="宋体"/>
          <w:kern w:val="0"/>
          <w:sz w:val="24"/>
        </w:rPr>
        <w:t xml:space="preserve">16.1  </w:t>
      </w:r>
      <w:r>
        <w:rPr>
          <w:rFonts w:hint="eastAsia" w:ascii="宋体"/>
          <w:kern w:val="0"/>
          <w:sz w:val="24"/>
        </w:rPr>
        <w:t>物价波动引起的价格调整</w:t>
      </w:r>
      <w:bookmarkEnd w:id="1958"/>
      <w:bookmarkEnd w:id="1959"/>
      <w:bookmarkEnd w:id="1960"/>
      <w:bookmarkEnd w:id="1961"/>
      <w:bookmarkEnd w:id="1962"/>
      <w:bookmarkEnd w:id="1963"/>
      <w:bookmarkEnd w:id="1964"/>
      <w:bookmarkEnd w:id="1965"/>
      <w:bookmarkEnd w:id="1966"/>
    </w:p>
    <w:p w14:paraId="38AEA4F8">
      <w:pPr>
        <w:wordWrap w:val="0"/>
        <w:spacing w:line="360" w:lineRule="auto"/>
        <w:ind w:firstLine="480" w:firstLineChars="200"/>
        <w:rPr>
          <w:sz w:val="24"/>
        </w:rPr>
      </w:pPr>
      <w:bookmarkStart w:id="1967" w:name="OLE_LINK141"/>
      <w:bookmarkStart w:id="1968" w:name="OLE_LINK77"/>
      <w:r>
        <w:rPr>
          <w:rFonts w:hint="eastAsia"/>
          <w:sz w:val="24"/>
        </w:rPr>
        <w:t>除合同条款专用部分另有约定外，</w:t>
      </w:r>
      <w:bookmarkEnd w:id="1967"/>
      <w:bookmarkStart w:id="1969" w:name="_Hlk202883665"/>
      <w:r>
        <w:rPr>
          <w:rFonts w:hint="eastAsia"/>
          <w:sz w:val="24"/>
        </w:rPr>
        <w:t>因物价波动引起的价格调整</w:t>
      </w:r>
      <w:bookmarkEnd w:id="1969"/>
      <w:r>
        <w:rPr>
          <w:rFonts w:hint="eastAsia"/>
          <w:sz w:val="24"/>
        </w:rPr>
        <w:t>按照本款约定处理。</w:t>
      </w:r>
    </w:p>
    <w:bookmarkEnd w:id="1968"/>
    <w:p w14:paraId="1EFB9935">
      <w:pPr>
        <w:wordWrap w:val="0"/>
        <w:spacing w:line="360" w:lineRule="auto"/>
        <w:ind w:firstLine="480" w:firstLineChars="200"/>
        <w:rPr>
          <w:rFonts w:ascii="宋体"/>
          <w:sz w:val="24"/>
        </w:rPr>
      </w:pPr>
      <w:bookmarkStart w:id="1970" w:name="OLE_LINK61"/>
      <w:r>
        <w:rPr>
          <w:rFonts w:ascii="宋体" w:hAnsi="宋体"/>
          <w:sz w:val="24"/>
        </w:rPr>
        <w:t xml:space="preserve">16.1.1 </w:t>
      </w:r>
      <w:r>
        <w:rPr>
          <w:rFonts w:hint="eastAsia" w:ascii="宋体" w:hAnsi="宋体"/>
          <w:sz w:val="24"/>
        </w:rPr>
        <w:t>采用价格指数调整价格差额</w:t>
      </w:r>
    </w:p>
    <w:bookmarkEnd w:id="1970"/>
    <w:p w14:paraId="35315B4C">
      <w:pPr>
        <w:wordWrap w:val="0"/>
        <w:spacing w:line="360" w:lineRule="auto"/>
        <w:ind w:firstLine="720" w:firstLineChars="300"/>
        <w:rPr>
          <w:rFonts w:ascii="宋体"/>
          <w:sz w:val="24"/>
        </w:rPr>
      </w:pPr>
      <w:bookmarkStart w:id="1971" w:name="_Toc429569374"/>
      <w:r>
        <w:rPr>
          <w:rFonts w:ascii="宋体" w:hAnsi="宋体"/>
          <w:sz w:val="24"/>
        </w:rPr>
        <w:t xml:space="preserve">16.1.1.1 </w:t>
      </w:r>
      <w:r>
        <w:rPr>
          <w:rFonts w:hint="eastAsia" w:ascii="宋体" w:hAnsi="宋体"/>
          <w:sz w:val="24"/>
        </w:rPr>
        <w:t>价格调整公式</w:t>
      </w:r>
      <w:bookmarkEnd w:id="1971"/>
    </w:p>
    <w:p w14:paraId="418852AB">
      <w:pPr>
        <w:wordWrap w:val="0"/>
        <w:spacing w:line="360" w:lineRule="auto"/>
        <w:ind w:firstLine="720" w:firstLineChars="300"/>
        <w:rPr>
          <w:sz w:val="24"/>
        </w:rPr>
      </w:pPr>
      <w:r>
        <w:rPr>
          <w:rFonts w:hint="eastAsia"/>
          <w:sz w:val="24"/>
        </w:rPr>
        <w:t>因人工、材料</w:t>
      </w:r>
      <w:bookmarkStart w:id="1972" w:name="_Hlk199428396"/>
      <w:r>
        <w:rPr>
          <w:rFonts w:hint="eastAsia"/>
          <w:sz w:val="24"/>
        </w:rPr>
        <w:t>和机械台班</w:t>
      </w:r>
      <w:bookmarkEnd w:id="1972"/>
      <w:r>
        <w:rPr>
          <w:rFonts w:hint="eastAsia"/>
          <w:sz w:val="24"/>
        </w:rPr>
        <w:t>等价格波动影响合同价格时，根据投标函附录中的价格指数和权重表约定的数据，按以下公式计算差额并调整合同价格。</w:t>
      </w:r>
    </w:p>
    <w:p w14:paraId="25D83EB8">
      <w:pPr>
        <w:wordWrap w:val="0"/>
        <w:autoSpaceDE w:val="0"/>
        <w:autoSpaceDN w:val="0"/>
        <w:adjustRightInd w:val="0"/>
        <w:spacing w:line="1200" w:lineRule="exact"/>
        <w:ind w:right="248" w:firstLine="959" w:firstLineChars="398"/>
        <w:rPr>
          <w:sz w:val="24"/>
        </w:rPr>
      </w:pPr>
      <w:r>
        <w:rPr>
          <w:b/>
          <w:bCs/>
          <w:kern w:val="0"/>
          <w:sz w:val="24"/>
          <w:lang w:val="zh-CN"/>
        </w:rPr>
        <w:t xml:space="preserve">        </w:t>
      </w:r>
      <w:r>
        <w:rPr>
          <w:position w:val="-34"/>
          <w:sz w:val="24"/>
        </w:rPr>
        <w:object>
          <v:shape id="_x0000_i1025" o:spt="75" type="#_x0000_t75" style="height:42.75pt;width:305.25pt;" o:ole="t" filled="f" o:preferrelative="t" stroked="f" coordsize="21600,21600">
            <v:path/>
            <v:fill on="f" focussize="0,0"/>
            <v:stroke on="f" joinstyle="miter"/>
            <v:imagedata r:id="rId29" o:title=""/>
            <o:lock v:ext="edit" aspectratio="t"/>
            <w10:wrap type="none"/>
            <w10:anchorlock/>
          </v:shape>
          <o:OLEObject Type="Embed" ProgID="Equation.3" ShapeID="_x0000_i1025" DrawAspect="Content" ObjectID="_1468075725" r:id="rId28">
            <o:LockedField>false</o:LockedField>
          </o:OLEObject>
        </w:object>
      </w:r>
    </w:p>
    <w:p w14:paraId="73EACF17">
      <w:pPr>
        <w:tabs>
          <w:tab w:val="left" w:pos="1260"/>
        </w:tabs>
        <w:wordWrap w:val="0"/>
        <w:spacing w:line="400" w:lineRule="exact"/>
        <w:ind w:firstLine="480" w:firstLineChars="200"/>
        <w:rPr>
          <w:sz w:val="24"/>
        </w:rPr>
      </w:pPr>
      <w:r>
        <w:rPr>
          <w:sz w:val="24"/>
        </w:rPr>
        <w:t xml:space="preserve"> </w:t>
      </w:r>
    </w:p>
    <w:p w14:paraId="121792AE">
      <w:pPr>
        <w:tabs>
          <w:tab w:val="left" w:pos="1260"/>
        </w:tabs>
        <w:wordWrap w:val="0"/>
        <w:spacing w:line="360" w:lineRule="auto"/>
        <w:ind w:firstLine="480" w:firstLineChars="200"/>
        <w:rPr>
          <w:sz w:val="24"/>
        </w:rPr>
      </w:pPr>
      <w:r>
        <w:rPr>
          <w:rFonts w:hint="eastAsia"/>
          <w:sz w:val="24"/>
        </w:rPr>
        <w:t>式中：</w:t>
      </w:r>
      <w:r>
        <w:rPr>
          <w:sz w:val="24"/>
        </w:rPr>
        <w:t xml:space="preserve"> </w:t>
      </w:r>
      <w:r>
        <w:rPr>
          <w:rFonts w:hint="eastAsia"/>
          <w:sz w:val="24"/>
        </w:rPr>
        <w:t>△</w:t>
      </w:r>
      <w:r>
        <w:rPr>
          <w:sz w:val="24"/>
        </w:rPr>
        <w:t xml:space="preserve">P -- </w:t>
      </w:r>
      <w:r>
        <w:rPr>
          <w:rFonts w:hint="eastAsia"/>
          <w:sz w:val="24"/>
        </w:rPr>
        <w:t>需调整的价格差额；</w:t>
      </w:r>
    </w:p>
    <w:p w14:paraId="2D62D14A">
      <w:pPr>
        <w:tabs>
          <w:tab w:val="left" w:pos="1260"/>
        </w:tabs>
        <w:wordWrap w:val="0"/>
        <w:spacing w:line="360" w:lineRule="auto"/>
        <w:rPr>
          <w:sz w:val="24"/>
        </w:rPr>
      </w:pPr>
      <w:r>
        <w:rPr>
          <w:sz w:val="24"/>
        </w:rPr>
        <w:tab/>
      </w:r>
      <w:r>
        <w:rPr>
          <w:sz w:val="24"/>
        </w:rPr>
        <w:t>P</w:t>
      </w:r>
      <w:r>
        <w:rPr>
          <w:sz w:val="24"/>
          <w:vertAlign w:val="subscript"/>
        </w:rPr>
        <w:t>0</w:t>
      </w:r>
      <w:r>
        <w:rPr>
          <w:sz w:val="24"/>
        </w:rPr>
        <w:t xml:space="preserve"> -- </w:t>
      </w:r>
      <w:r>
        <w:rPr>
          <w:rFonts w:hint="eastAsia"/>
          <w:sz w:val="24"/>
        </w:rPr>
        <w:t>第</w:t>
      </w:r>
      <w:r>
        <w:rPr>
          <w:rFonts w:ascii="宋体" w:hAnsi="宋体"/>
          <w:sz w:val="24"/>
        </w:rPr>
        <w:t>17.3.3</w:t>
      </w:r>
      <w:r>
        <w:rPr>
          <w:rFonts w:hint="eastAsia" w:ascii="宋体" w:hAnsi="宋体"/>
          <w:sz w:val="24"/>
        </w:rPr>
        <w:t>项、第</w:t>
      </w:r>
      <w:r>
        <w:rPr>
          <w:rFonts w:ascii="宋体" w:hAnsi="宋体"/>
          <w:sz w:val="24"/>
        </w:rPr>
        <w:t>17.5.3</w:t>
      </w:r>
      <w:r>
        <w:rPr>
          <w:rFonts w:hint="eastAsia" w:ascii="宋体" w:hAnsi="宋体"/>
          <w:sz w:val="24"/>
        </w:rPr>
        <w:t>项和第</w:t>
      </w:r>
      <w:r>
        <w:rPr>
          <w:rFonts w:ascii="宋体" w:hAnsi="宋体"/>
          <w:sz w:val="24"/>
        </w:rPr>
        <w:t>17.6.2</w:t>
      </w:r>
      <w:r>
        <w:rPr>
          <w:rFonts w:hint="eastAsia" w:ascii="宋体" w:hAnsi="宋体"/>
          <w:sz w:val="24"/>
        </w:rPr>
        <w:t>项</w:t>
      </w:r>
      <w:r>
        <w:rPr>
          <w:rFonts w:hint="eastAsia"/>
          <w:sz w:val="24"/>
        </w:rPr>
        <w:t>约定的付款证书中承包人应得到的已完成工程量的金额</w:t>
      </w:r>
      <w:bookmarkStart w:id="1973" w:name="_Hlk199428417"/>
      <w:r>
        <w:rPr>
          <w:rFonts w:hint="eastAsia"/>
          <w:sz w:val="24"/>
        </w:rPr>
        <w:t>（不含税）</w:t>
      </w:r>
      <w:bookmarkEnd w:id="1973"/>
      <w:r>
        <w:rPr>
          <w:rFonts w:hint="eastAsia"/>
          <w:sz w:val="24"/>
        </w:rPr>
        <w:t>。此项金额应不包括价格调整、不计质量保证金的扣留和支付、预付款的支付和扣回。第</w:t>
      </w:r>
      <w:r>
        <w:rPr>
          <w:sz w:val="24"/>
        </w:rPr>
        <w:t>15</w:t>
      </w:r>
      <w:r>
        <w:rPr>
          <w:rFonts w:hint="eastAsia"/>
          <w:sz w:val="24"/>
        </w:rPr>
        <w:t>条约定的变更及其他金额已按现行价格计价的，也不计在内；</w:t>
      </w:r>
    </w:p>
    <w:p w14:paraId="4303C093">
      <w:pPr>
        <w:tabs>
          <w:tab w:val="left" w:pos="1260"/>
        </w:tabs>
        <w:wordWrap w:val="0"/>
        <w:spacing w:line="360" w:lineRule="auto"/>
        <w:rPr>
          <w:sz w:val="24"/>
        </w:rPr>
      </w:pPr>
      <w:r>
        <w:rPr>
          <w:sz w:val="24"/>
        </w:rPr>
        <w:tab/>
      </w:r>
      <w:bookmarkStart w:id="1974" w:name="_Toc152042495"/>
      <w:bookmarkStart w:id="1975" w:name="_Toc144974686"/>
      <w:r>
        <w:rPr>
          <w:sz w:val="24"/>
        </w:rPr>
        <w:t xml:space="preserve">A -- </w:t>
      </w:r>
      <w:r>
        <w:rPr>
          <w:rFonts w:hint="eastAsia"/>
          <w:sz w:val="24"/>
        </w:rPr>
        <w:t>定值权重</w:t>
      </w:r>
      <w:r>
        <w:rPr>
          <w:sz w:val="24"/>
        </w:rPr>
        <w:t>(</w:t>
      </w:r>
      <w:r>
        <w:rPr>
          <w:rFonts w:hint="eastAsia"/>
          <w:sz w:val="24"/>
        </w:rPr>
        <w:t>即不调部分的权重</w:t>
      </w:r>
      <w:r>
        <w:rPr>
          <w:sz w:val="24"/>
        </w:rPr>
        <w:t>)</w:t>
      </w:r>
      <w:r>
        <w:rPr>
          <w:rFonts w:hint="eastAsia"/>
          <w:sz w:val="24"/>
        </w:rPr>
        <w:t>；</w:t>
      </w:r>
      <w:bookmarkEnd w:id="1974"/>
      <w:bookmarkEnd w:id="1975"/>
    </w:p>
    <w:p w14:paraId="01FFA631">
      <w:pPr>
        <w:tabs>
          <w:tab w:val="left" w:pos="1260"/>
        </w:tabs>
        <w:wordWrap w:val="0"/>
        <w:spacing w:line="360" w:lineRule="auto"/>
        <w:rPr>
          <w:sz w:val="24"/>
        </w:rPr>
      </w:pPr>
      <w:r>
        <w:rPr>
          <w:sz w:val="24"/>
        </w:rPr>
        <w:tab/>
      </w:r>
      <w:r>
        <w:rPr>
          <w:sz w:val="24"/>
        </w:rPr>
        <w:t>B</w:t>
      </w:r>
      <w:r>
        <w:rPr>
          <w:sz w:val="24"/>
          <w:vertAlign w:val="subscript"/>
        </w:rPr>
        <w:t>1</w:t>
      </w:r>
      <w:r>
        <w:rPr>
          <w:sz w:val="24"/>
        </w:rPr>
        <w:t>; B</w:t>
      </w:r>
      <w:r>
        <w:rPr>
          <w:sz w:val="24"/>
          <w:vertAlign w:val="subscript"/>
        </w:rPr>
        <w:t>2</w:t>
      </w:r>
      <w:r>
        <w:rPr>
          <w:sz w:val="24"/>
        </w:rPr>
        <w:t xml:space="preserve"> ;B</w:t>
      </w:r>
      <w:r>
        <w:rPr>
          <w:sz w:val="24"/>
          <w:vertAlign w:val="subscript"/>
        </w:rPr>
        <w:t>3</w:t>
      </w:r>
      <w:r>
        <w:rPr>
          <w:rFonts w:hint="eastAsia" w:ascii="宋体" w:hAnsi="宋体"/>
          <w:sz w:val="24"/>
        </w:rPr>
        <w:t>·····</w:t>
      </w:r>
      <w:r>
        <w:rPr>
          <w:sz w:val="24"/>
        </w:rPr>
        <w:t>B</w:t>
      </w:r>
      <w:r>
        <w:rPr>
          <w:sz w:val="24"/>
          <w:vertAlign w:val="subscript"/>
        </w:rPr>
        <w:t>n</w:t>
      </w:r>
      <w:r>
        <w:rPr>
          <w:sz w:val="24"/>
        </w:rPr>
        <w:t xml:space="preserve"> -- </w:t>
      </w:r>
      <w:r>
        <w:rPr>
          <w:rFonts w:hint="eastAsia"/>
          <w:sz w:val="24"/>
        </w:rPr>
        <w:t>各可调因子的变值权重</w:t>
      </w:r>
      <w:r>
        <w:rPr>
          <w:sz w:val="24"/>
        </w:rPr>
        <w:t>(</w:t>
      </w:r>
      <w:r>
        <w:rPr>
          <w:rFonts w:hint="eastAsia"/>
          <w:sz w:val="24"/>
        </w:rPr>
        <w:t>即可调部分的权重</w:t>
      </w:r>
      <w:r>
        <w:rPr>
          <w:sz w:val="24"/>
        </w:rPr>
        <w:t>)</w:t>
      </w:r>
      <w:r>
        <w:rPr>
          <w:rFonts w:hint="eastAsia"/>
          <w:sz w:val="24"/>
        </w:rPr>
        <w:t>为各可调因子在投标函投标总报价中所占的比例；</w:t>
      </w:r>
    </w:p>
    <w:p w14:paraId="479750A9">
      <w:pPr>
        <w:tabs>
          <w:tab w:val="left" w:pos="1260"/>
        </w:tabs>
        <w:wordWrap w:val="0"/>
        <w:spacing w:line="360" w:lineRule="auto"/>
        <w:rPr>
          <w:sz w:val="24"/>
        </w:rPr>
      </w:pPr>
      <w:r>
        <w:rPr>
          <w:sz w:val="24"/>
        </w:rPr>
        <w:tab/>
      </w:r>
      <w:r>
        <w:rPr>
          <w:sz w:val="24"/>
        </w:rPr>
        <w:t>F</w:t>
      </w:r>
      <w:r>
        <w:rPr>
          <w:sz w:val="24"/>
          <w:vertAlign w:val="subscript"/>
        </w:rPr>
        <w:t>t1</w:t>
      </w:r>
      <w:r>
        <w:rPr>
          <w:sz w:val="24"/>
        </w:rPr>
        <w:t xml:space="preserve"> ;F</w:t>
      </w:r>
      <w:r>
        <w:rPr>
          <w:sz w:val="24"/>
          <w:vertAlign w:val="subscript"/>
        </w:rPr>
        <w:t>t2</w:t>
      </w:r>
      <w:r>
        <w:rPr>
          <w:sz w:val="24"/>
        </w:rPr>
        <w:t xml:space="preserve"> ;F</w:t>
      </w:r>
      <w:r>
        <w:rPr>
          <w:sz w:val="24"/>
          <w:vertAlign w:val="subscript"/>
        </w:rPr>
        <w:t>t3</w:t>
      </w:r>
      <w:r>
        <w:rPr>
          <w:rFonts w:hint="eastAsia" w:ascii="宋体" w:hAnsi="宋体"/>
          <w:sz w:val="24"/>
        </w:rPr>
        <w:t>·····</w:t>
      </w:r>
      <w:r>
        <w:rPr>
          <w:sz w:val="24"/>
        </w:rPr>
        <w:t>F</w:t>
      </w:r>
      <w:r>
        <w:rPr>
          <w:sz w:val="24"/>
          <w:vertAlign w:val="subscript"/>
        </w:rPr>
        <w:t>tn</w:t>
      </w:r>
      <w:r>
        <w:rPr>
          <w:sz w:val="24"/>
        </w:rPr>
        <w:t xml:space="preserve"> -- </w:t>
      </w:r>
      <w:r>
        <w:rPr>
          <w:rFonts w:hint="eastAsia"/>
          <w:sz w:val="24"/>
        </w:rPr>
        <w:t>各可调因子的现行价格指数，指第</w:t>
      </w:r>
      <w:r>
        <w:rPr>
          <w:sz w:val="24"/>
        </w:rPr>
        <w:t>17.3.3</w:t>
      </w:r>
      <w:r>
        <w:rPr>
          <w:rFonts w:hint="eastAsia"/>
          <w:sz w:val="24"/>
        </w:rPr>
        <w:t>项、第</w:t>
      </w:r>
      <w:r>
        <w:rPr>
          <w:sz w:val="24"/>
        </w:rPr>
        <w:t>17.5.3</w:t>
      </w:r>
      <w:r>
        <w:rPr>
          <w:rFonts w:hint="eastAsia"/>
          <w:sz w:val="24"/>
        </w:rPr>
        <w:t>项和第</w:t>
      </w:r>
      <w:r>
        <w:rPr>
          <w:sz w:val="24"/>
        </w:rPr>
        <w:t>17.6.2</w:t>
      </w:r>
      <w:r>
        <w:rPr>
          <w:rFonts w:hint="eastAsia"/>
          <w:sz w:val="24"/>
        </w:rPr>
        <w:t>项约定的付款证书相关周期最后一天的前</w:t>
      </w:r>
      <w:r>
        <w:rPr>
          <w:sz w:val="24"/>
        </w:rPr>
        <w:t>42</w:t>
      </w:r>
      <w:r>
        <w:rPr>
          <w:rFonts w:hint="eastAsia"/>
          <w:sz w:val="24"/>
        </w:rPr>
        <w:t>天的各可调因子的价格指数；</w:t>
      </w:r>
    </w:p>
    <w:p w14:paraId="12FE3958">
      <w:pPr>
        <w:tabs>
          <w:tab w:val="left" w:pos="1260"/>
        </w:tabs>
        <w:wordWrap w:val="0"/>
        <w:spacing w:line="360" w:lineRule="auto"/>
        <w:rPr>
          <w:sz w:val="24"/>
        </w:rPr>
      </w:pPr>
      <w:r>
        <w:rPr>
          <w:sz w:val="24"/>
        </w:rPr>
        <w:tab/>
      </w:r>
      <w:r>
        <w:rPr>
          <w:sz w:val="24"/>
        </w:rPr>
        <w:t>F</w:t>
      </w:r>
      <w:r>
        <w:rPr>
          <w:sz w:val="24"/>
          <w:vertAlign w:val="subscript"/>
        </w:rPr>
        <w:t>o1</w:t>
      </w:r>
      <w:r>
        <w:rPr>
          <w:sz w:val="24"/>
        </w:rPr>
        <w:t>; F</w:t>
      </w:r>
      <w:r>
        <w:rPr>
          <w:sz w:val="24"/>
          <w:vertAlign w:val="subscript"/>
        </w:rPr>
        <w:t>o2</w:t>
      </w:r>
      <w:r>
        <w:rPr>
          <w:sz w:val="24"/>
        </w:rPr>
        <w:t>; F</w:t>
      </w:r>
      <w:r>
        <w:rPr>
          <w:sz w:val="24"/>
          <w:vertAlign w:val="subscript"/>
        </w:rPr>
        <w:t>o3</w:t>
      </w:r>
      <w:r>
        <w:rPr>
          <w:rFonts w:hint="eastAsia" w:ascii="宋体" w:hAnsi="宋体"/>
          <w:sz w:val="24"/>
        </w:rPr>
        <w:t>·····</w:t>
      </w:r>
      <w:r>
        <w:rPr>
          <w:sz w:val="24"/>
        </w:rPr>
        <w:t>F</w:t>
      </w:r>
      <w:r>
        <w:rPr>
          <w:sz w:val="24"/>
          <w:vertAlign w:val="subscript"/>
        </w:rPr>
        <w:t>on</w:t>
      </w:r>
      <w:r>
        <w:rPr>
          <w:sz w:val="24"/>
        </w:rPr>
        <w:t xml:space="preserve"> -- </w:t>
      </w:r>
      <w:r>
        <w:rPr>
          <w:rFonts w:hint="eastAsia"/>
          <w:sz w:val="24"/>
        </w:rPr>
        <w:t>各可调因子的基本价格指数，指基准日期的各可调因子的价格指数。</w:t>
      </w:r>
    </w:p>
    <w:p w14:paraId="3DEA9632">
      <w:pPr>
        <w:wordWrap w:val="0"/>
        <w:spacing w:line="360" w:lineRule="auto"/>
        <w:ind w:firstLine="720" w:firstLineChars="300"/>
        <w:rPr>
          <w:sz w:val="24"/>
        </w:rPr>
      </w:pPr>
      <w:r>
        <w:rPr>
          <w:rFonts w:hint="eastAsia"/>
          <w:sz w:val="24"/>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B90E2F7">
      <w:pPr>
        <w:wordWrap w:val="0"/>
        <w:spacing w:line="360" w:lineRule="auto"/>
        <w:ind w:firstLine="720" w:firstLineChars="300"/>
        <w:rPr>
          <w:rFonts w:ascii="宋体"/>
          <w:sz w:val="24"/>
        </w:rPr>
      </w:pPr>
      <w:r>
        <w:rPr>
          <w:rFonts w:ascii="宋体" w:hAnsi="宋体"/>
          <w:sz w:val="24"/>
        </w:rPr>
        <w:t xml:space="preserve">16.1.1.2 </w:t>
      </w:r>
      <w:r>
        <w:rPr>
          <w:rFonts w:hint="eastAsia" w:ascii="宋体" w:hAnsi="宋体"/>
          <w:sz w:val="24"/>
        </w:rPr>
        <w:t>暂时确定调整差额</w:t>
      </w:r>
    </w:p>
    <w:p w14:paraId="305FFFAA">
      <w:pPr>
        <w:wordWrap w:val="0"/>
        <w:spacing w:line="360" w:lineRule="auto"/>
        <w:ind w:firstLine="720" w:firstLineChars="300"/>
        <w:rPr>
          <w:sz w:val="24"/>
        </w:rPr>
      </w:pPr>
      <w:r>
        <w:rPr>
          <w:rFonts w:hint="eastAsia"/>
          <w:sz w:val="24"/>
        </w:rPr>
        <w:t>在计算调整差额时得不到现行价格指数的，可暂用上一次价格指数计算，并在以后的付款中再按实际价格指数进行调整。</w:t>
      </w:r>
    </w:p>
    <w:p w14:paraId="6DDFDFD1">
      <w:pPr>
        <w:wordWrap w:val="0"/>
        <w:spacing w:line="360" w:lineRule="auto"/>
        <w:ind w:firstLine="720" w:firstLineChars="300"/>
        <w:rPr>
          <w:rFonts w:ascii="宋体"/>
          <w:sz w:val="24"/>
        </w:rPr>
      </w:pPr>
      <w:bookmarkStart w:id="1976" w:name="_Toc429569375"/>
      <w:r>
        <w:rPr>
          <w:rFonts w:ascii="宋体" w:hAnsi="宋体"/>
          <w:sz w:val="24"/>
        </w:rPr>
        <w:t xml:space="preserve">16.1.1.3 </w:t>
      </w:r>
      <w:r>
        <w:rPr>
          <w:rFonts w:hint="eastAsia" w:ascii="宋体" w:hAnsi="宋体"/>
          <w:sz w:val="24"/>
        </w:rPr>
        <w:t>权重的调整</w:t>
      </w:r>
      <w:bookmarkEnd w:id="1976"/>
    </w:p>
    <w:p w14:paraId="409A4492">
      <w:pPr>
        <w:wordWrap w:val="0"/>
        <w:spacing w:line="360" w:lineRule="auto"/>
        <w:ind w:firstLine="720" w:firstLineChars="300"/>
        <w:rPr>
          <w:sz w:val="24"/>
        </w:rPr>
      </w:pPr>
      <w:r>
        <w:rPr>
          <w:rFonts w:hint="eastAsia"/>
          <w:sz w:val="24"/>
        </w:rPr>
        <w:t>按第</w:t>
      </w:r>
      <w:r>
        <w:rPr>
          <w:sz w:val="24"/>
        </w:rPr>
        <w:t>15.1</w:t>
      </w:r>
      <w:r>
        <w:rPr>
          <w:rFonts w:hint="eastAsia"/>
          <w:sz w:val="24"/>
        </w:rPr>
        <w:t>款约定的变更导致原定合同中的权重不合理时，由监理人与承包人和发包人协商后进行调整。</w:t>
      </w:r>
    </w:p>
    <w:p w14:paraId="79456163">
      <w:pPr>
        <w:wordWrap w:val="0"/>
        <w:spacing w:line="360" w:lineRule="auto"/>
        <w:ind w:firstLine="720" w:firstLineChars="300"/>
        <w:rPr>
          <w:rFonts w:ascii="宋体"/>
          <w:sz w:val="24"/>
        </w:rPr>
      </w:pPr>
      <w:r>
        <w:rPr>
          <w:rFonts w:ascii="宋体" w:hAnsi="宋体"/>
          <w:sz w:val="24"/>
        </w:rPr>
        <w:t xml:space="preserve">16.1.1.4 </w:t>
      </w:r>
      <w:r>
        <w:rPr>
          <w:rFonts w:hint="eastAsia" w:ascii="宋体" w:hAnsi="宋体"/>
          <w:sz w:val="24"/>
        </w:rPr>
        <w:t>承包人工期延误后的价格调整</w:t>
      </w:r>
    </w:p>
    <w:p w14:paraId="75B616B0">
      <w:pPr>
        <w:wordWrap w:val="0"/>
        <w:spacing w:line="360" w:lineRule="auto"/>
        <w:ind w:firstLine="720" w:firstLineChars="300"/>
        <w:rPr>
          <w:sz w:val="24"/>
        </w:rPr>
      </w:pPr>
      <w:r>
        <w:rPr>
          <w:rFonts w:hint="eastAsia"/>
          <w:sz w:val="24"/>
        </w:rPr>
        <w:t>由于承包人原因未在约定的工期内竣工的，则对原约定竣工日期后继续施工的工程，在使用第</w:t>
      </w:r>
      <w:r>
        <w:rPr>
          <w:sz w:val="24"/>
        </w:rPr>
        <w:t>16.1.1.1</w:t>
      </w:r>
      <w:r>
        <w:rPr>
          <w:rFonts w:hint="eastAsia"/>
          <w:sz w:val="24"/>
        </w:rPr>
        <w:t>目价格调整公式时，应采用原约定竣工日期与实际竣工日期的两个价格指数中较低的一个作为现行价格指数。</w:t>
      </w:r>
    </w:p>
    <w:p w14:paraId="6591445D">
      <w:pPr>
        <w:wordWrap w:val="0"/>
        <w:spacing w:line="360" w:lineRule="auto"/>
        <w:ind w:firstLine="480" w:firstLineChars="200"/>
        <w:rPr>
          <w:rFonts w:ascii="宋体"/>
          <w:sz w:val="24"/>
        </w:rPr>
      </w:pPr>
      <w:r>
        <w:rPr>
          <w:rFonts w:ascii="宋体" w:hAnsi="宋体"/>
          <w:sz w:val="24"/>
        </w:rPr>
        <w:t xml:space="preserve">16.1.2  </w:t>
      </w:r>
      <w:r>
        <w:rPr>
          <w:rFonts w:hint="eastAsia" w:ascii="宋体" w:hAnsi="宋体"/>
          <w:sz w:val="24"/>
        </w:rPr>
        <w:t>采用造价信息调整价格差额</w:t>
      </w:r>
    </w:p>
    <w:p w14:paraId="10F88951">
      <w:pPr>
        <w:wordWrap w:val="0"/>
        <w:spacing w:line="360" w:lineRule="auto"/>
        <w:ind w:firstLine="480" w:firstLineChars="200"/>
        <w:rPr>
          <w:rFonts w:ascii="宋体"/>
          <w:sz w:val="24"/>
        </w:rPr>
      </w:pPr>
      <w:r>
        <w:rPr>
          <w:rFonts w:hint="eastAsia" w:ascii="宋体" w:hAnsi="宋体"/>
          <w:sz w:val="24"/>
        </w:rPr>
        <w:t>施工期内，因人工、材料和</w:t>
      </w:r>
      <w:bookmarkStart w:id="1977" w:name="_Hlk197543955"/>
      <w:r>
        <w:rPr>
          <w:rFonts w:hint="eastAsia" w:ascii="宋体" w:hAnsi="宋体"/>
          <w:sz w:val="24"/>
        </w:rPr>
        <w:t>机械台班</w:t>
      </w:r>
      <w:bookmarkEnd w:id="1977"/>
      <w:r>
        <w:rPr>
          <w:rFonts w:hint="eastAsia" w:ascii="宋体" w:hAnsi="宋体"/>
          <w:sz w:val="24"/>
        </w:rPr>
        <w:t>价格波动影响合同价格时，需要进行价格调整的，其价格和数量应由监理人审核，监理人确认需调整的内容、范围、价格和数量作为调整工程合同价格差额的依据。</w:t>
      </w:r>
    </w:p>
    <w:p w14:paraId="29B8A0A0">
      <w:pPr>
        <w:wordWrap w:val="0"/>
        <w:spacing w:line="360" w:lineRule="auto"/>
        <w:ind w:firstLine="720" w:firstLineChars="300"/>
        <w:rPr>
          <w:rFonts w:ascii="宋体"/>
          <w:sz w:val="24"/>
        </w:rPr>
      </w:pPr>
      <w:r>
        <w:rPr>
          <w:rFonts w:ascii="宋体" w:hAnsi="宋体"/>
          <w:sz w:val="24"/>
        </w:rPr>
        <w:t xml:space="preserve">16.1.2.1  </w:t>
      </w:r>
      <w:r>
        <w:rPr>
          <w:rFonts w:hint="eastAsia" w:ascii="宋体" w:hAnsi="宋体"/>
          <w:sz w:val="24"/>
        </w:rPr>
        <w:t>引起价格调整的物价波动风险范围及幅度</w:t>
      </w:r>
    </w:p>
    <w:p w14:paraId="2AF6D672">
      <w:pPr>
        <w:wordWrap w:val="0"/>
        <w:spacing w:line="360" w:lineRule="auto"/>
        <w:ind w:firstLine="720" w:firstLineChars="300"/>
        <w:rPr>
          <w:rFonts w:ascii="宋体"/>
          <w:sz w:val="24"/>
        </w:rPr>
      </w:pPr>
      <w:r>
        <w:rPr>
          <w:rFonts w:hint="eastAsia" w:ascii="宋体" w:hAnsi="宋体"/>
          <w:sz w:val="24"/>
        </w:rPr>
        <w:t>施工期内，因人工、材料和机械台班发生物价波动变化幅度在合同约定的风险幅度范围以内的，由承包人承担或受益，不调整合同价格；其价格波动变化幅度在合同约定的风险幅度范围以外的，由发包人承担或受益。物价波动引起价格调整的风险范围以及调整的风险幅度</w:t>
      </w:r>
      <w:r>
        <w:rPr>
          <w:rFonts w:hint="eastAsia" w:ascii="黑体" w:hAnsi="黑体" w:eastAsia="黑体"/>
          <w:sz w:val="24"/>
        </w:rPr>
        <w:t>见合同条款专用部分。</w:t>
      </w:r>
    </w:p>
    <w:p w14:paraId="5A8D8F5B">
      <w:pPr>
        <w:wordWrap w:val="0"/>
        <w:spacing w:line="360" w:lineRule="auto"/>
        <w:ind w:firstLine="720" w:firstLineChars="300"/>
        <w:rPr>
          <w:rFonts w:ascii="宋体"/>
          <w:sz w:val="24"/>
        </w:rPr>
      </w:pPr>
      <w:r>
        <w:rPr>
          <w:rFonts w:ascii="宋体" w:hAnsi="宋体"/>
          <w:sz w:val="24"/>
        </w:rPr>
        <w:t xml:space="preserve">16.1.2.2  </w:t>
      </w:r>
      <w:r>
        <w:rPr>
          <w:rFonts w:hint="eastAsia" w:ascii="宋体" w:hAnsi="宋体"/>
          <w:sz w:val="24"/>
        </w:rPr>
        <w:t>物价波动变化幅度的计算方法</w:t>
      </w:r>
    </w:p>
    <w:p w14:paraId="03C17BE4">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）投标报价基准期确定的</w:t>
      </w:r>
      <w:bookmarkStart w:id="1978" w:name="OLE_LINK74"/>
      <w:r>
        <w:rPr>
          <w:rFonts w:hint="eastAsia" w:ascii="宋体" w:hAnsi="宋体"/>
          <w:sz w:val="24"/>
        </w:rPr>
        <w:t>人工、材料和机械台班</w:t>
      </w:r>
      <w:bookmarkEnd w:id="1978"/>
      <w:r>
        <w:rPr>
          <w:rFonts w:hint="eastAsia" w:ascii="宋体" w:hAnsi="宋体"/>
          <w:sz w:val="24"/>
        </w:rPr>
        <w:t>的市场价格即为基准价。投标报价基准期</w:t>
      </w:r>
      <w:r>
        <w:rPr>
          <w:rFonts w:hint="eastAsia" w:ascii="黑体" w:hAnsi="黑体" w:eastAsia="黑体"/>
          <w:sz w:val="24"/>
        </w:rPr>
        <w:t>见合同条款专用部分。</w:t>
      </w:r>
    </w:p>
    <w:p w14:paraId="30BA8789">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北京工程造价信息》中工程造价信息价有的，以北京市建设工程造价管理机构发布的《北京工程造价信息》中的工程造价信息价（以下简称造价信息价格）为依据确定基准价，造价信息价格中有上、下限的，以下限为准；《北京工程造价信息》工程造价信息价中没有的，确定基准价的方法</w:t>
      </w:r>
      <w:r>
        <w:rPr>
          <w:rFonts w:hint="eastAsia" w:ascii="黑体" w:hAnsi="黑体" w:eastAsia="黑体"/>
          <w:sz w:val="24"/>
        </w:rPr>
        <w:t>见合同条款专用部分。</w:t>
      </w:r>
    </w:p>
    <w:p w14:paraId="7EEE64F6">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）合同履行期间价格的确定方法</w:t>
      </w:r>
      <w:r>
        <w:rPr>
          <w:rFonts w:hint="eastAsia" w:ascii="黑体" w:hAnsi="黑体" w:eastAsia="黑体"/>
          <w:sz w:val="24"/>
        </w:rPr>
        <w:t>见合同条款专用部分。</w:t>
      </w:r>
    </w:p>
    <w:p w14:paraId="1AA43B8A">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）物价波动变化幅度的计算方法</w:t>
      </w:r>
      <w:r>
        <w:rPr>
          <w:rFonts w:hint="eastAsia" w:ascii="黑体" w:hAnsi="黑体" w:eastAsia="黑体"/>
          <w:sz w:val="24"/>
        </w:rPr>
        <w:t>见合同条款专用部分。</w:t>
      </w:r>
    </w:p>
    <w:p w14:paraId="298CCE83">
      <w:pPr>
        <w:wordWrap w:val="0"/>
        <w:spacing w:line="360" w:lineRule="auto"/>
        <w:ind w:firstLine="720" w:firstLineChars="300"/>
        <w:rPr>
          <w:rFonts w:ascii="宋体"/>
          <w:sz w:val="24"/>
        </w:rPr>
      </w:pPr>
      <w:r>
        <w:rPr>
          <w:rFonts w:ascii="宋体" w:hAnsi="宋体"/>
          <w:sz w:val="24"/>
        </w:rPr>
        <w:t>16.1.2</w:t>
      </w:r>
      <w:r>
        <w:rPr>
          <w:rFonts w:ascii="宋体"/>
          <w:sz w:val="24"/>
        </w:rPr>
        <w:t>.</w:t>
      </w:r>
      <w:r>
        <w:rPr>
          <w:rFonts w:ascii="宋体" w:hAnsi="宋体"/>
          <w:sz w:val="24"/>
        </w:rPr>
        <w:t xml:space="preserve">3  </w:t>
      </w:r>
      <w:r>
        <w:rPr>
          <w:rFonts w:hint="eastAsia" w:ascii="宋体" w:hAnsi="宋体"/>
          <w:sz w:val="24"/>
        </w:rPr>
        <w:t>物价波动引起价格调整的方法</w:t>
      </w:r>
    </w:p>
    <w:p w14:paraId="19DB45F8">
      <w:pPr>
        <w:wordWrap w:val="0"/>
        <w:spacing w:line="360" w:lineRule="auto"/>
        <w:ind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）第</w:t>
      </w:r>
      <w:r>
        <w:rPr>
          <w:rFonts w:ascii="宋体" w:hAnsi="宋体"/>
          <w:sz w:val="24"/>
        </w:rPr>
        <w:t>16.1.2.1</w:t>
      </w:r>
      <w:r>
        <w:rPr>
          <w:rFonts w:hint="eastAsia" w:ascii="宋体" w:hAnsi="宋体"/>
          <w:sz w:val="24"/>
        </w:rPr>
        <w:t>目中约定的人工、材料和机械台班的物价波动变化幅度超过风险幅度时，价格调整方法</w:t>
      </w:r>
      <w:r>
        <w:rPr>
          <w:rFonts w:hint="eastAsia" w:ascii="黑体" w:hAnsi="黑体" w:eastAsia="黑体"/>
          <w:sz w:val="24"/>
        </w:rPr>
        <w:t>见合同条款专用部分</w:t>
      </w:r>
      <w:r>
        <w:rPr>
          <w:rFonts w:hint="eastAsia" w:ascii="宋体" w:hAnsi="宋体"/>
          <w:sz w:val="24"/>
        </w:rPr>
        <w:t>。</w:t>
      </w:r>
    </w:p>
    <w:p w14:paraId="0C17EE6C">
      <w:pPr>
        <w:wordWrap w:val="0"/>
        <w:spacing w:line="360" w:lineRule="auto"/>
        <w:ind w:firstLine="480" w:firstLineChars="200"/>
        <w:rPr>
          <w:rFonts w:ascii="宋体" w:hAnsi="宋体"/>
          <w:sz w:val="24"/>
        </w:rPr>
      </w:pPr>
      <w:r>
        <w:rPr>
          <w:rFonts w:hint="eastAsia" w:ascii="宋体" w:hAnsi="宋体"/>
          <w:sz w:val="24"/>
        </w:rPr>
        <w:t>（2）第16.1.2.1目中约定的人工的物价波动变化幅度超过风险幅度时，应当计算全部价格差额，其价格差额由发包人承担或受益，其价格差额只计取</w:t>
      </w:r>
      <w:bookmarkStart w:id="1979" w:name="_Hlk199428473"/>
      <w:r>
        <w:rPr>
          <w:rFonts w:hint="eastAsia" w:ascii="宋体" w:hAnsi="宋体"/>
          <w:sz w:val="24"/>
        </w:rPr>
        <w:t>增值税</w:t>
      </w:r>
      <w:bookmarkEnd w:id="1979"/>
      <w:r>
        <w:rPr>
          <w:rFonts w:hint="eastAsia" w:ascii="宋体" w:hAnsi="宋体"/>
          <w:sz w:val="24"/>
        </w:rPr>
        <w:t>。</w:t>
      </w:r>
    </w:p>
    <w:p w14:paraId="0D2268F9">
      <w:pPr>
        <w:wordWrap w:val="0"/>
        <w:spacing w:line="360" w:lineRule="auto"/>
        <w:ind w:firstLine="480" w:firstLineChars="200"/>
        <w:rPr>
          <w:rFonts w:ascii="宋体" w:hAnsi="宋体"/>
          <w:sz w:val="24"/>
        </w:rPr>
      </w:pPr>
      <w:r>
        <w:rPr>
          <w:rFonts w:hint="eastAsia" w:ascii="宋体" w:hAnsi="宋体"/>
          <w:sz w:val="24"/>
        </w:rPr>
        <w:t>（3）第16.1.2.1目中约定的材料和机械台班的物价波动变化幅度超过风险幅度时，应当计算超过部分的价格差额，其价格差额由发包人承担或受益，其价格差额只计取增值税。</w:t>
      </w:r>
    </w:p>
    <w:p w14:paraId="7C21D3B9">
      <w:pPr>
        <w:wordWrap w:val="0"/>
        <w:spacing w:line="360" w:lineRule="auto"/>
        <w:ind w:firstLine="480" w:firstLineChars="200"/>
        <w:rPr>
          <w:rFonts w:ascii="宋体" w:hAnsi="宋体"/>
          <w:sz w:val="24"/>
        </w:rPr>
      </w:pPr>
      <w:r>
        <w:rPr>
          <w:rFonts w:hint="eastAsia" w:ascii="宋体" w:hAnsi="宋体"/>
          <w:sz w:val="24"/>
        </w:rPr>
        <w:t xml:space="preserve">16.1.2.4  </w:t>
      </w:r>
      <w:bookmarkStart w:id="1980" w:name="OLE_LINK56"/>
      <w:r>
        <w:rPr>
          <w:rFonts w:hint="eastAsia" w:ascii="宋体" w:hAnsi="宋体"/>
          <w:sz w:val="24"/>
        </w:rPr>
        <w:t>物价波动引起价格调整的其他约定</w:t>
      </w:r>
      <w:bookmarkEnd w:id="1980"/>
      <w:r>
        <w:rPr>
          <w:rFonts w:hint="eastAsia" w:ascii="黑体" w:hAnsi="黑体" w:eastAsia="黑体"/>
          <w:sz w:val="24"/>
        </w:rPr>
        <w:t>见合同条款专用部分</w:t>
      </w:r>
      <w:r>
        <w:rPr>
          <w:rFonts w:hint="eastAsia" w:ascii="宋体" w:hAnsi="宋体"/>
          <w:sz w:val="24"/>
        </w:rPr>
        <w:t>。</w:t>
      </w:r>
    </w:p>
    <w:p w14:paraId="38C4540C">
      <w:pPr>
        <w:wordWrap w:val="0"/>
        <w:spacing w:line="360" w:lineRule="auto"/>
        <w:ind w:firstLine="480" w:firstLineChars="200"/>
        <w:rPr>
          <w:rFonts w:ascii="宋体" w:hAnsi="宋体"/>
          <w:sz w:val="24"/>
        </w:rPr>
      </w:pPr>
      <w:r>
        <w:rPr>
          <w:rFonts w:ascii="宋体" w:hAnsi="宋体"/>
          <w:sz w:val="24"/>
        </w:rPr>
        <w:t>16.1.3</w:t>
      </w:r>
      <w:bookmarkStart w:id="1981" w:name="OLE_LINK76"/>
      <w:r>
        <w:rPr>
          <w:rFonts w:ascii="宋体" w:hAnsi="宋体"/>
          <w:sz w:val="24"/>
        </w:rPr>
        <w:t xml:space="preserve">  </w:t>
      </w:r>
      <w:bookmarkEnd w:id="1981"/>
      <w:bookmarkStart w:id="1982" w:name="_Hlk198134749"/>
      <w:r>
        <w:rPr>
          <w:rFonts w:hint="eastAsia" w:ascii="宋体" w:hAnsi="宋体"/>
          <w:sz w:val="24"/>
        </w:rPr>
        <w:t>物价波动引起价格调整的其他方法</w:t>
      </w:r>
      <w:bookmarkEnd w:id="1982"/>
      <w:r>
        <w:rPr>
          <w:rFonts w:hint="eastAsia" w:ascii="黑体" w:hAnsi="黑体" w:eastAsia="黑体"/>
          <w:sz w:val="24"/>
        </w:rPr>
        <w:t>见合同条款专用部分</w:t>
      </w:r>
      <w:r>
        <w:rPr>
          <w:rFonts w:hint="eastAsia" w:ascii="宋体" w:hAnsi="宋体"/>
          <w:sz w:val="24"/>
        </w:rPr>
        <w:t>。</w:t>
      </w:r>
    </w:p>
    <w:p w14:paraId="5ED9234E">
      <w:pPr>
        <w:wordWrap w:val="0"/>
        <w:spacing w:line="360" w:lineRule="auto"/>
        <w:ind w:firstLine="480" w:firstLineChars="200"/>
        <w:rPr>
          <w:rFonts w:ascii="宋体"/>
          <w:sz w:val="24"/>
        </w:rPr>
      </w:pPr>
      <w:bookmarkStart w:id="1983" w:name="OLE_LINK97"/>
      <w:bookmarkStart w:id="1984" w:name="OLE_LINK59"/>
      <w:r>
        <w:rPr>
          <w:rFonts w:ascii="宋体" w:hAnsi="宋体"/>
          <w:sz w:val="24"/>
        </w:rPr>
        <w:t>16.1.</w:t>
      </w:r>
      <w:r>
        <w:rPr>
          <w:rFonts w:hint="eastAsia" w:ascii="宋体" w:hAnsi="宋体"/>
          <w:sz w:val="24"/>
        </w:rPr>
        <w:t>4</w:t>
      </w:r>
      <w:bookmarkStart w:id="1985" w:name="_Hlk198232609"/>
      <w:r>
        <w:rPr>
          <w:rFonts w:ascii="宋体" w:hAnsi="宋体"/>
          <w:sz w:val="24"/>
        </w:rPr>
        <w:t xml:space="preserve">  </w:t>
      </w:r>
      <w:r>
        <w:rPr>
          <w:rFonts w:hint="eastAsia" w:ascii="宋体"/>
          <w:sz w:val="24"/>
        </w:rPr>
        <w:t>不属于本条上述条款约定的引起价格调整的物价波动风险范围内的人工、材料和机械台班等，如市场价格出现异常变动</w:t>
      </w:r>
      <w:r>
        <w:rPr>
          <w:rFonts w:ascii="宋体"/>
          <w:sz w:val="24"/>
        </w:rPr>
        <w:t>,</w:t>
      </w:r>
      <w:r>
        <w:rPr>
          <w:rFonts w:hint="eastAsia" w:ascii="宋体"/>
          <w:sz w:val="24"/>
        </w:rPr>
        <w:t>且是合同双方在订立合同时无法预见的重大变化，继续履行合同对于受不利影响的合同一方明显不公平的</w:t>
      </w:r>
      <w:bookmarkEnd w:id="1985"/>
      <w:r>
        <w:rPr>
          <w:rFonts w:hint="eastAsia" w:ascii="宋体"/>
          <w:sz w:val="24"/>
        </w:rPr>
        <w:t>，合同双方可按风险合理分担原则，协商合同风险幅度或费用分担比例，承担相关部分的增</w:t>
      </w:r>
      <w:r>
        <w:rPr>
          <w:rFonts w:ascii="宋体"/>
          <w:sz w:val="24"/>
        </w:rPr>
        <w:t>(</w:t>
      </w:r>
      <w:r>
        <w:rPr>
          <w:rFonts w:hint="eastAsia" w:ascii="宋体"/>
          <w:sz w:val="24"/>
        </w:rPr>
        <w:t>减</w:t>
      </w:r>
      <w:r>
        <w:rPr>
          <w:rFonts w:ascii="宋体"/>
          <w:sz w:val="24"/>
        </w:rPr>
        <w:t>)</w:t>
      </w:r>
      <w:r>
        <w:rPr>
          <w:rFonts w:hint="eastAsia" w:ascii="宋体"/>
          <w:sz w:val="24"/>
        </w:rPr>
        <w:t>价差或据实调整合同价格</w:t>
      </w:r>
      <w:bookmarkEnd w:id="1983"/>
      <w:r>
        <w:rPr>
          <w:rFonts w:hint="eastAsia" w:ascii="宋体"/>
          <w:sz w:val="24"/>
        </w:rPr>
        <w:t>。</w:t>
      </w:r>
    </w:p>
    <w:bookmarkEnd w:id="1984"/>
    <w:p w14:paraId="4B2C4419">
      <w:pPr>
        <w:wordWrap w:val="0"/>
        <w:spacing w:before="120" w:beforeLines="50" w:after="120" w:afterLines="50" w:line="360" w:lineRule="auto"/>
        <w:outlineLvl w:val="2"/>
        <w:rPr>
          <w:rFonts w:ascii="宋体"/>
          <w:kern w:val="0"/>
          <w:sz w:val="24"/>
          <w:szCs w:val="20"/>
        </w:rPr>
      </w:pPr>
      <w:bookmarkStart w:id="1986" w:name="_Toc486580155"/>
      <w:bookmarkStart w:id="1987" w:name="_Toc490222600"/>
      <w:bookmarkStart w:id="1988" w:name="_Toc179632735"/>
      <w:bookmarkStart w:id="1989" w:name="_Toc338944810"/>
      <w:bookmarkStart w:id="1990" w:name="_Toc480487009"/>
      <w:bookmarkStart w:id="1991" w:name="_Toc152045717"/>
      <w:bookmarkStart w:id="1992" w:name="_Toc489279966"/>
      <w:bookmarkStart w:id="1993" w:name="_Toc207289691"/>
      <w:bookmarkStart w:id="1994" w:name="_Toc480486837"/>
      <w:bookmarkStart w:id="1995" w:name="_Toc144974688"/>
      <w:bookmarkStart w:id="1996" w:name="_Toc483668184"/>
      <w:bookmarkStart w:id="1997" w:name="_Toc342296368"/>
      <w:bookmarkStart w:id="1998" w:name="_Toc152042496"/>
      <w:r>
        <w:rPr>
          <w:rFonts w:ascii="宋体"/>
          <w:kern w:val="0"/>
          <w:sz w:val="24"/>
          <w:szCs w:val="20"/>
        </w:rPr>
        <w:t xml:space="preserve">16.2  </w:t>
      </w:r>
      <w:bookmarkStart w:id="1999" w:name="_Hlk197543994"/>
      <w:r>
        <w:rPr>
          <w:rFonts w:hint="eastAsia" w:ascii="宋体"/>
          <w:kern w:val="0"/>
          <w:sz w:val="24"/>
          <w:szCs w:val="20"/>
        </w:rPr>
        <w:t>法律变化引起的价格调整</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14:paraId="7C3D47F9">
      <w:pPr>
        <w:wordWrap w:val="0"/>
        <w:spacing w:line="360" w:lineRule="auto"/>
        <w:ind w:firstLine="480" w:firstLineChars="200"/>
        <w:rPr>
          <w:rFonts w:ascii="宋体"/>
          <w:sz w:val="24"/>
          <w:szCs w:val="32"/>
        </w:rPr>
      </w:pPr>
      <w:r>
        <w:rPr>
          <w:rFonts w:hint="eastAsia" w:ascii="宋体" w:hAnsi="宋体"/>
          <w:sz w:val="24"/>
          <w:szCs w:val="32"/>
        </w:rPr>
        <w:t>在基准日后，因法律变化导致承包人在合同履行中所需要的工程费用发生除第</w:t>
      </w:r>
      <w:r>
        <w:rPr>
          <w:rFonts w:ascii="宋体" w:hAnsi="宋体"/>
          <w:sz w:val="24"/>
          <w:szCs w:val="32"/>
        </w:rPr>
        <w:t>16.1</w:t>
      </w:r>
      <w:r>
        <w:rPr>
          <w:rFonts w:hint="eastAsia" w:ascii="宋体" w:hAnsi="宋体"/>
          <w:sz w:val="24"/>
          <w:szCs w:val="32"/>
        </w:rPr>
        <w:t>款约定以外的增减时，监理人应根据法律、国家或省、自治区、直辖市有关部门的规定，按第</w:t>
      </w:r>
      <w:r>
        <w:rPr>
          <w:rFonts w:ascii="宋体" w:hAnsi="宋体"/>
          <w:sz w:val="24"/>
          <w:szCs w:val="32"/>
        </w:rPr>
        <w:t>3.5</w:t>
      </w:r>
      <w:r>
        <w:rPr>
          <w:rFonts w:hint="eastAsia" w:ascii="宋体" w:hAnsi="宋体"/>
          <w:sz w:val="24"/>
          <w:szCs w:val="32"/>
        </w:rPr>
        <w:t>款商定或确定需调整的合同价款。</w:t>
      </w:r>
    </w:p>
    <w:p w14:paraId="55FF13F1">
      <w:pPr>
        <w:tabs>
          <w:tab w:val="left" w:pos="576"/>
        </w:tabs>
        <w:wordWrap w:val="0"/>
        <w:spacing w:before="120" w:beforeLines="50" w:after="120" w:afterLines="50" w:line="360" w:lineRule="auto"/>
        <w:outlineLvl w:val="1"/>
        <w:rPr>
          <w:rFonts w:ascii="宋体" w:cs="宋体"/>
          <w:sz w:val="28"/>
          <w:szCs w:val="20"/>
        </w:rPr>
      </w:pPr>
      <w:bookmarkStart w:id="2000" w:name="_Toc489279967"/>
      <w:bookmarkStart w:id="2001" w:name="_Toc480487010"/>
      <w:bookmarkStart w:id="2002" w:name="_Toc483668185"/>
      <w:bookmarkStart w:id="2003" w:name="_Toc486580156"/>
      <w:bookmarkStart w:id="2004" w:name="_Toc490222601"/>
      <w:bookmarkStart w:id="2005" w:name="_Toc480486838"/>
      <w:bookmarkStart w:id="2006" w:name="_Toc338944811"/>
      <w:bookmarkStart w:id="2007" w:name="_Toc342296369"/>
      <w:bookmarkStart w:id="2008" w:name="_Toc207289692"/>
      <w:r>
        <w:rPr>
          <w:rFonts w:ascii="宋体" w:cs="宋体"/>
          <w:sz w:val="28"/>
          <w:szCs w:val="20"/>
        </w:rPr>
        <w:t>17.</w:t>
      </w:r>
      <w:r>
        <w:rPr>
          <w:rFonts w:hint="eastAsia" w:ascii="宋体" w:cs="宋体"/>
          <w:sz w:val="28"/>
          <w:szCs w:val="20"/>
        </w:rPr>
        <w:t>计量与支付</w:t>
      </w:r>
      <w:bookmarkEnd w:id="2000"/>
      <w:bookmarkEnd w:id="2001"/>
      <w:bookmarkEnd w:id="2002"/>
      <w:bookmarkEnd w:id="2003"/>
      <w:bookmarkEnd w:id="2004"/>
      <w:bookmarkEnd w:id="2005"/>
      <w:bookmarkEnd w:id="2006"/>
      <w:bookmarkEnd w:id="2007"/>
      <w:bookmarkEnd w:id="2008"/>
    </w:p>
    <w:p w14:paraId="35ACE163">
      <w:pPr>
        <w:wordWrap w:val="0"/>
        <w:spacing w:before="120" w:beforeLines="50" w:after="120" w:afterLines="50" w:line="360" w:lineRule="auto"/>
        <w:outlineLvl w:val="2"/>
        <w:rPr>
          <w:rFonts w:ascii="宋体"/>
          <w:kern w:val="0"/>
          <w:sz w:val="24"/>
        </w:rPr>
      </w:pPr>
      <w:bookmarkStart w:id="2009" w:name="_Toc486580157"/>
      <w:bookmarkStart w:id="2010" w:name="_Toc207289693"/>
      <w:bookmarkStart w:id="2011" w:name="_Toc483668186"/>
      <w:bookmarkStart w:id="2012" w:name="_Toc490222602"/>
      <w:bookmarkStart w:id="2013" w:name="_Toc489279968"/>
      <w:bookmarkStart w:id="2014" w:name="_Toc480486839"/>
      <w:bookmarkStart w:id="2015" w:name="_Toc338944812"/>
      <w:bookmarkStart w:id="2016" w:name="_Toc480487011"/>
      <w:bookmarkStart w:id="2017" w:name="_Toc342296370"/>
      <w:r>
        <w:rPr>
          <w:rFonts w:ascii="宋体"/>
          <w:kern w:val="0"/>
          <w:sz w:val="24"/>
        </w:rPr>
        <w:t xml:space="preserve">17.1  </w:t>
      </w:r>
      <w:r>
        <w:rPr>
          <w:rFonts w:hint="eastAsia" w:ascii="宋体"/>
          <w:kern w:val="0"/>
          <w:sz w:val="24"/>
        </w:rPr>
        <w:t>计量</w:t>
      </w:r>
      <w:bookmarkEnd w:id="2009"/>
      <w:bookmarkEnd w:id="2010"/>
      <w:bookmarkEnd w:id="2011"/>
      <w:bookmarkEnd w:id="2012"/>
      <w:bookmarkEnd w:id="2013"/>
      <w:bookmarkEnd w:id="2014"/>
      <w:bookmarkEnd w:id="2015"/>
      <w:bookmarkEnd w:id="2016"/>
      <w:bookmarkEnd w:id="2017"/>
    </w:p>
    <w:p w14:paraId="444F6ED4">
      <w:pPr>
        <w:wordWrap w:val="0"/>
        <w:spacing w:line="360" w:lineRule="auto"/>
        <w:ind w:firstLine="480" w:firstLineChars="200"/>
        <w:rPr>
          <w:rFonts w:ascii="宋体"/>
          <w:sz w:val="24"/>
        </w:rPr>
      </w:pPr>
      <w:r>
        <w:rPr>
          <w:rFonts w:ascii="宋体" w:hAnsi="宋体"/>
          <w:sz w:val="24"/>
        </w:rPr>
        <w:t xml:space="preserve">17.1.1  </w:t>
      </w:r>
      <w:r>
        <w:rPr>
          <w:rFonts w:hint="eastAsia" w:ascii="宋体" w:hAnsi="宋体"/>
          <w:sz w:val="24"/>
        </w:rPr>
        <w:t>计量单位</w:t>
      </w:r>
    </w:p>
    <w:p w14:paraId="365B8904">
      <w:pPr>
        <w:wordWrap w:val="0"/>
        <w:spacing w:line="360" w:lineRule="auto"/>
        <w:ind w:firstLine="480" w:firstLineChars="200"/>
        <w:rPr>
          <w:rFonts w:ascii="宋体"/>
          <w:sz w:val="24"/>
        </w:rPr>
      </w:pPr>
      <w:r>
        <w:rPr>
          <w:rFonts w:hint="eastAsia" w:ascii="宋体" w:hAnsi="宋体"/>
          <w:sz w:val="24"/>
        </w:rPr>
        <w:t>计量采用国家法定的计量单位。</w:t>
      </w:r>
    </w:p>
    <w:p w14:paraId="70A43BA9">
      <w:pPr>
        <w:wordWrap w:val="0"/>
        <w:spacing w:line="360" w:lineRule="auto"/>
        <w:ind w:firstLine="480" w:firstLineChars="200"/>
        <w:rPr>
          <w:rFonts w:ascii="宋体"/>
          <w:sz w:val="24"/>
        </w:rPr>
      </w:pPr>
      <w:r>
        <w:rPr>
          <w:rFonts w:ascii="宋体" w:hAnsi="宋体"/>
          <w:sz w:val="24"/>
        </w:rPr>
        <w:t xml:space="preserve">17.1.2  </w:t>
      </w:r>
      <w:r>
        <w:rPr>
          <w:rFonts w:hint="eastAsia" w:ascii="宋体" w:hAnsi="宋体"/>
          <w:sz w:val="24"/>
        </w:rPr>
        <w:t>计量方法</w:t>
      </w:r>
    </w:p>
    <w:p w14:paraId="6791C119">
      <w:pPr>
        <w:wordWrap w:val="0"/>
        <w:spacing w:line="360" w:lineRule="auto"/>
        <w:ind w:firstLine="480" w:firstLineChars="200"/>
        <w:rPr>
          <w:rFonts w:ascii="宋体"/>
          <w:sz w:val="24"/>
        </w:rPr>
      </w:pPr>
      <w:r>
        <w:rPr>
          <w:rFonts w:hint="eastAsia" w:ascii="宋体" w:hAnsi="宋体"/>
          <w:sz w:val="24"/>
        </w:rPr>
        <w:t>工程量计算规则执行工程量清单中约定的</w:t>
      </w:r>
      <w:bookmarkStart w:id="2018" w:name="_Hlk199428584"/>
      <w:r>
        <w:rPr>
          <w:rFonts w:hint="eastAsia" w:ascii="宋体" w:hAnsi="宋体"/>
          <w:sz w:val="24"/>
        </w:rPr>
        <w:t>计量计价标准</w:t>
      </w:r>
      <w:bookmarkEnd w:id="2018"/>
      <w:r>
        <w:rPr>
          <w:rFonts w:hint="eastAsia" w:ascii="宋体" w:hAnsi="宋体"/>
          <w:sz w:val="24"/>
        </w:rPr>
        <w:t>。除合同另有约定外，承包人实际完成的工程量按约定的工程量计算规则和有合同约束力的图纸进行计量。</w:t>
      </w:r>
    </w:p>
    <w:p w14:paraId="5DA9BBEA">
      <w:pPr>
        <w:wordWrap w:val="0"/>
        <w:spacing w:line="360" w:lineRule="auto"/>
        <w:ind w:firstLine="480" w:firstLineChars="200"/>
        <w:rPr>
          <w:rFonts w:ascii="宋体"/>
          <w:sz w:val="24"/>
        </w:rPr>
      </w:pPr>
      <w:r>
        <w:rPr>
          <w:rFonts w:ascii="宋体" w:hAnsi="宋体"/>
          <w:sz w:val="24"/>
        </w:rPr>
        <w:t xml:space="preserve">17.1.3  </w:t>
      </w:r>
      <w:r>
        <w:rPr>
          <w:rFonts w:hint="eastAsia" w:ascii="宋体" w:hAnsi="宋体"/>
          <w:sz w:val="24"/>
        </w:rPr>
        <w:t>计量周期</w:t>
      </w:r>
    </w:p>
    <w:p w14:paraId="539AE60F">
      <w:pPr>
        <w:wordWrap w:val="0"/>
        <w:spacing w:line="360" w:lineRule="auto"/>
        <w:ind w:firstLine="480" w:firstLineChars="200"/>
        <w:rPr>
          <w:rFonts w:ascii="宋体" w:hAnsi="宋体"/>
          <w:sz w:val="24"/>
        </w:rPr>
      </w:pPr>
      <w:bookmarkStart w:id="2019" w:name="_Hlk199428634"/>
      <w:r>
        <w:rPr>
          <w:rFonts w:hint="eastAsia" w:ascii="宋体" w:hAnsi="宋体"/>
          <w:sz w:val="24"/>
        </w:rPr>
        <w:t>除合同条款专用部分另有约定外，计量周期按照本项约定执行。</w:t>
      </w:r>
    </w:p>
    <w:bookmarkEnd w:id="2019"/>
    <w:p w14:paraId="7878B66C">
      <w:pPr>
        <w:wordWrap w:val="0"/>
        <w:spacing w:line="360" w:lineRule="auto"/>
        <w:ind w:firstLine="480" w:firstLineChars="200"/>
        <w:rPr>
          <w:sz w:val="24"/>
        </w:rPr>
      </w:pPr>
      <w:r>
        <w:rPr>
          <w:rFonts w:hint="eastAsia" w:ascii="宋体" w:hAnsi="宋体"/>
          <w:sz w:val="24"/>
        </w:rPr>
        <w:t>（</w:t>
      </w:r>
      <w:r>
        <w:rPr>
          <w:rFonts w:ascii="宋体" w:hAnsi="宋体"/>
          <w:sz w:val="24"/>
        </w:rPr>
        <w:t>1</w:t>
      </w:r>
      <w:r>
        <w:rPr>
          <w:rFonts w:hint="eastAsia" w:ascii="宋体" w:hAnsi="宋体"/>
          <w:sz w:val="24"/>
        </w:rPr>
        <w:t>）本合同的计量周期为月，当月计量截止日期（不含当日）和下月计量起始日期（含当日）</w:t>
      </w:r>
      <w:r>
        <w:rPr>
          <w:rFonts w:hint="eastAsia" w:ascii="黑体" w:hAnsi="黑体" w:eastAsia="黑体"/>
          <w:sz w:val="24"/>
        </w:rPr>
        <w:t>见合同条款专用部分</w:t>
      </w:r>
      <w:r>
        <w:rPr>
          <w:rFonts w:hint="eastAsia" w:ascii="宋体" w:hAnsi="宋体"/>
          <w:sz w:val="24"/>
        </w:rPr>
        <w:t>。</w:t>
      </w:r>
    </w:p>
    <w:p w14:paraId="49FB396E">
      <w:pPr>
        <w:wordWrap w:val="0"/>
        <w:spacing w:line="360" w:lineRule="auto"/>
        <w:ind w:firstLine="480" w:firstLineChars="200"/>
        <w:rPr>
          <w:sz w:val="24"/>
        </w:rPr>
      </w:pPr>
      <w:r>
        <w:rPr>
          <w:rFonts w:hint="eastAsia"/>
          <w:sz w:val="24"/>
        </w:rPr>
        <w:t>（</w:t>
      </w:r>
      <w:r>
        <w:rPr>
          <w:rFonts w:ascii="宋体" w:hAnsi="宋体"/>
          <w:sz w:val="24"/>
        </w:rPr>
        <w:t>2</w:t>
      </w:r>
      <w:r>
        <w:rPr>
          <w:rFonts w:hint="eastAsia"/>
          <w:sz w:val="24"/>
        </w:rPr>
        <w:t>）单价项目已完成工程量是否按月计量</w:t>
      </w:r>
      <w:r>
        <w:rPr>
          <w:rFonts w:hint="eastAsia" w:ascii="黑体" w:hAnsi="黑体" w:eastAsia="黑体"/>
          <w:sz w:val="24"/>
        </w:rPr>
        <w:t>见合同条款专用部分</w:t>
      </w:r>
      <w:r>
        <w:rPr>
          <w:rFonts w:hint="eastAsia" w:ascii="宋体" w:hAnsi="宋体"/>
          <w:sz w:val="24"/>
        </w:rPr>
        <w:t>。</w:t>
      </w:r>
    </w:p>
    <w:p w14:paraId="45D715E4">
      <w:pPr>
        <w:wordWrap w:val="0"/>
        <w:spacing w:line="360" w:lineRule="auto"/>
        <w:ind w:firstLine="480" w:firstLineChars="200"/>
        <w:rPr>
          <w:sz w:val="24"/>
        </w:rPr>
      </w:pPr>
      <w:r>
        <w:rPr>
          <w:rFonts w:hint="eastAsia" w:ascii="宋体" w:hAnsi="宋体"/>
          <w:sz w:val="24"/>
        </w:rPr>
        <w:t>（</w:t>
      </w:r>
      <w:r>
        <w:rPr>
          <w:rFonts w:ascii="宋体" w:hAnsi="宋体"/>
          <w:sz w:val="24"/>
        </w:rPr>
        <w:t>3</w:t>
      </w:r>
      <w:r>
        <w:rPr>
          <w:rFonts w:hint="eastAsia" w:ascii="宋体" w:hAnsi="宋体"/>
          <w:sz w:val="24"/>
        </w:rPr>
        <w:t>）总价项目计量方法</w:t>
      </w:r>
      <w:r>
        <w:rPr>
          <w:rFonts w:hint="eastAsia" w:ascii="黑体" w:hAnsi="黑体" w:eastAsia="黑体"/>
          <w:sz w:val="24"/>
        </w:rPr>
        <w:t>见合同条款专用部分</w:t>
      </w:r>
      <w:r>
        <w:rPr>
          <w:rFonts w:hint="eastAsia" w:ascii="宋体" w:hAnsi="宋体" w:cs="Arial"/>
          <w:sz w:val="24"/>
        </w:rPr>
        <w:t>。</w:t>
      </w:r>
    </w:p>
    <w:p w14:paraId="676F9901">
      <w:pPr>
        <w:wordWrap w:val="0"/>
        <w:spacing w:line="360" w:lineRule="auto"/>
        <w:ind w:firstLine="480" w:firstLineChars="200"/>
        <w:rPr>
          <w:rFonts w:ascii="宋体"/>
          <w:sz w:val="24"/>
        </w:rPr>
      </w:pPr>
      <w:r>
        <w:rPr>
          <w:rFonts w:ascii="宋体" w:hAnsi="宋体"/>
          <w:sz w:val="24"/>
        </w:rPr>
        <w:t xml:space="preserve">17.1.4  </w:t>
      </w:r>
      <w:r>
        <w:rPr>
          <w:rFonts w:hint="eastAsia" w:ascii="宋体" w:hAnsi="宋体"/>
          <w:sz w:val="24"/>
        </w:rPr>
        <w:t>单价项目的计量</w:t>
      </w:r>
    </w:p>
    <w:p w14:paraId="3F4D98A6">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）合同清单中的单价项目工程量为估算工程量。结算工程量是承包人实际完成的，并按合同约定的计量方法进行计量的工程量。</w:t>
      </w:r>
    </w:p>
    <w:p w14:paraId="1EE5F79E">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）承包人对已完成的工程进行计量，向监理人提交进度付款申请单、已完成工程量报表和有关计量资料。</w:t>
      </w:r>
    </w:p>
    <w:p w14:paraId="77591DA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）监理人对承包人提交的工程量报表进行复核，以确定实际完成的工程量。对数量有异议的，可要求承包人按第</w:t>
      </w:r>
      <w:r>
        <w:rPr>
          <w:rFonts w:ascii="宋体" w:hAnsi="宋体"/>
          <w:sz w:val="24"/>
        </w:rPr>
        <w:t>8.2</w:t>
      </w:r>
      <w:r>
        <w:rPr>
          <w:rFonts w:hint="eastAsia" w:ascii="宋体" w:hAnsi="宋体"/>
          <w:sz w:val="24"/>
        </w:rPr>
        <w:t>款约定进行共同复核和抽样复测。承包人应协助监理人进行复核并按监理人要求提供补充计量资料。承包人未按监理人要求参加复核，监理人复核或修正的工程量视为承包人实际完成的工程量。</w:t>
      </w:r>
    </w:p>
    <w:p w14:paraId="30D42EF2">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）监理人认为有必要时，可通知承包人共同进行联合测量、计量，承包人应遵照执行。</w:t>
      </w:r>
    </w:p>
    <w:p w14:paraId="5719BD46">
      <w:pPr>
        <w:wordWrap w:val="0"/>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承包人完成工程量清单中每个项目的工程量后，监理人应要求承包人派员共同对每个项目的历次计量报表进行汇总，以核实最终结算工程量。监理人可要求承包人提供补充计量资料，以确定最后一次进度付款的准确工程量。承包人未按监理人要求派员参加的，监理人最终核实的工程量视为承包人完成该项目的准确工程量。</w:t>
      </w:r>
    </w:p>
    <w:p w14:paraId="117F0B96">
      <w:pPr>
        <w:wordWrap w:val="0"/>
        <w:spacing w:line="360" w:lineRule="auto"/>
        <w:ind w:firstLine="480" w:firstLineChars="200"/>
        <w:rPr>
          <w:rFonts w:ascii="宋体"/>
          <w:sz w:val="24"/>
        </w:rPr>
      </w:pPr>
      <w:r>
        <w:rPr>
          <w:rFonts w:hint="eastAsia" w:ascii="宋体" w:hAnsi="宋体"/>
          <w:sz w:val="24"/>
        </w:rPr>
        <w:t>（</w:t>
      </w:r>
      <w:r>
        <w:rPr>
          <w:rFonts w:ascii="宋体" w:hAnsi="宋体"/>
          <w:sz w:val="24"/>
        </w:rPr>
        <w:t>6</w:t>
      </w:r>
      <w:r>
        <w:rPr>
          <w:rFonts w:hint="eastAsia" w:ascii="宋体" w:hAnsi="宋体"/>
          <w:sz w:val="24"/>
        </w:rPr>
        <w:t>）监理人应在收到承包人提交的工程量报表后的</w:t>
      </w:r>
      <w:r>
        <w:rPr>
          <w:rFonts w:ascii="宋体" w:hAnsi="宋体"/>
          <w:sz w:val="24"/>
        </w:rPr>
        <w:t>7</w:t>
      </w:r>
      <w:r>
        <w:rPr>
          <w:rFonts w:hint="eastAsia" w:ascii="宋体" w:hAnsi="宋体"/>
          <w:sz w:val="24"/>
        </w:rPr>
        <w:t>天内进行复核，监理人未在约定时间内复核的，承包人提交的工程量报表中的工程量视为承包人实际完成的工程量，据此计算工程价款。</w:t>
      </w:r>
    </w:p>
    <w:p w14:paraId="51EC3536">
      <w:pPr>
        <w:wordWrap w:val="0"/>
        <w:spacing w:line="360" w:lineRule="auto"/>
        <w:ind w:firstLine="480" w:firstLineChars="200"/>
        <w:rPr>
          <w:rFonts w:ascii="宋体"/>
          <w:sz w:val="24"/>
        </w:rPr>
      </w:pPr>
      <w:r>
        <w:rPr>
          <w:rFonts w:ascii="宋体" w:hAnsi="宋体"/>
          <w:sz w:val="24"/>
        </w:rPr>
        <w:t xml:space="preserve">17.1.5  </w:t>
      </w:r>
      <w:r>
        <w:rPr>
          <w:rFonts w:hint="eastAsia" w:ascii="宋体" w:hAnsi="宋体"/>
          <w:sz w:val="24"/>
        </w:rPr>
        <w:t>总价项目的计量（适用于采用支付分解报告）</w:t>
      </w:r>
    </w:p>
    <w:p w14:paraId="6DC2298A">
      <w:pPr>
        <w:wordWrap w:val="0"/>
        <w:spacing w:line="400" w:lineRule="exact"/>
        <w:ind w:firstLine="480" w:firstLineChars="200"/>
        <w:rPr>
          <w:rFonts w:ascii="宋体"/>
          <w:sz w:val="24"/>
        </w:rPr>
      </w:pPr>
      <w:r>
        <w:rPr>
          <w:rFonts w:hint="eastAsia" w:ascii="宋体" w:hAnsi="宋体"/>
          <w:sz w:val="24"/>
        </w:rPr>
        <w:t>总价项目按照有合同约束力的支付分解表支付。承包人应根据合同条款第</w:t>
      </w:r>
      <w:r>
        <w:rPr>
          <w:rFonts w:ascii="宋体" w:hAnsi="宋体"/>
          <w:sz w:val="24"/>
        </w:rPr>
        <w:t>10</w:t>
      </w:r>
      <w:r>
        <w:rPr>
          <w:rFonts w:hint="eastAsia" w:ascii="宋体" w:hAnsi="宋体"/>
          <w:sz w:val="24"/>
        </w:rPr>
        <w:t>条约定的合同进度计划和总价项目的总价构成、费用性质、计划发生时间和相应工作量等因素对各个总价项目的总价按月进行分解，形成支付分解报告。承包人应当在收到经过监理人批复的合同进度计划后</w:t>
      </w:r>
      <w:r>
        <w:rPr>
          <w:rFonts w:ascii="宋体" w:hAnsi="宋体"/>
          <w:sz w:val="24"/>
        </w:rPr>
        <w:t>7</w:t>
      </w:r>
      <w:r>
        <w:rPr>
          <w:rFonts w:hint="eastAsia" w:ascii="宋体" w:hAnsi="宋体"/>
          <w:sz w:val="24"/>
        </w:rPr>
        <w:t>天内，将支付分解报告以及形成支付分解报告的分项计量和总价分解等支持性资料报监理人审批，监理人应当在收到承包人报送的支付分解报告后</w:t>
      </w:r>
      <w:r>
        <w:rPr>
          <w:rFonts w:ascii="宋体" w:hAnsi="宋体"/>
          <w:sz w:val="24"/>
        </w:rPr>
        <w:t>7</w:t>
      </w:r>
      <w:r>
        <w:rPr>
          <w:rFonts w:hint="eastAsia" w:ascii="宋体" w:hAnsi="宋体"/>
          <w:sz w:val="24"/>
        </w:rPr>
        <w:t>天内给予批复或提出修改意见，经监理人批准的支付分解报告为有合同约束力的支付分解表。支付分解表应根据合同条款第</w:t>
      </w:r>
      <w:r>
        <w:rPr>
          <w:rFonts w:ascii="宋体" w:hAnsi="宋体"/>
          <w:sz w:val="24"/>
        </w:rPr>
        <w:t>10.2</w:t>
      </w:r>
      <w:r>
        <w:rPr>
          <w:rFonts w:hint="eastAsia" w:ascii="宋体" w:hAnsi="宋体"/>
          <w:sz w:val="24"/>
        </w:rPr>
        <w:t>款约定的修订合同进度计划进行修正，修正的程序和期限应当依照本项上述约定，经修正的支付分解表为有合同约束力的支付分解表。</w:t>
      </w:r>
    </w:p>
    <w:p w14:paraId="4CC07391">
      <w:pPr>
        <w:wordWrap w:val="0"/>
        <w:spacing w:line="400" w:lineRule="exact"/>
        <w:ind w:firstLine="480" w:firstLineChars="200"/>
        <w:rPr>
          <w:rFonts w:ascii="宋体" w:cs="Arial"/>
          <w:sz w:val="24"/>
        </w:rPr>
      </w:pPr>
      <w:r>
        <w:rPr>
          <w:rFonts w:hint="eastAsia" w:ascii="宋体" w:hAnsi="宋体" w:cs="Arial"/>
          <w:sz w:val="24"/>
        </w:rPr>
        <w:t>（</w:t>
      </w:r>
      <w:r>
        <w:rPr>
          <w:rFonts w:ascii="宋体" w:hAnsi="宋体" w:cs="Arial"/>
          <w:sz w:val="24"/>
        </w:rPr>
        <w:t>1</w:t>
      </w:r>
      <w:r>
        <w:rPr>
          <w:rFonts w:hint="eastAsia" w:ascii="宋体" w:hAnsi="宋体" w:cs="Arial"/>
          <w:sz w:val="24"/>
        </w:rPr>
        <w:t>）总价</w:t>
      </w:r>
      <w:r>
        <w:rPr>
          <w:rFonts w:hint="eastAsia" w:ascii="宋体" w:hAnsi="宋体"/>
          <w:sz w:val="24"/>
        </w:rPr>
        <w:t>项目</w:t>
      </w:r>
      <w:r>
        <w:rPr>
          <w:rFonts w:hint="eastAsia" w:ascii="宋体" w:hAnsi="宋体" w:cs="Arial"/>
          <w:sz w:val="24"/>
        </w:rPr>
        <w:t>的价格调整方法</w:t>
      </w:r>
      <w:r>
        <w:rPr>
          <w:rFonts w:hint="eastAsia" w:ascii="黑体" w:hAnsi="黑体" w:eastAsia="黑体"/>
          <w:sz w:val="24"/>
        </w:rPr>
        <w:t>见合同条款专用部分</w:t>
      </w:r>
      <w:r>
        <w:rPr>
          <w:rFonts w:hint="eastAsia" w:ascii="宋体" w:hAnsi="宋体" w:cs="Arial"/>
          <w:sz w:val="24"/>
        </w:rPr>
        <w:t>。</w:t>
      </w:r>
    </w:p>
    <w:p w14:paraId="0E1E52D4">
      <w:pPr>
        <w:wordWrap w:val="0"/>
        <w:spacing w:line="400" w:lineRule="exact"/>
        <w:ind w:firstLine="480" w:firstLineChars="200"/>
        <w:rPr>
          <w:rFonts w:ascii="宋体" w:cs="Arial"/>
          <w:sz w:val="24"/>
        </w:rPr>
      </w:pPr>
      <w:r>
        <w:rPr>
          <w:rFonts w:hint="eastAsia" w:ascii="宋体" w:hAnsi="宋体" w:cs="Arial"/>
          <w:sz w:val="24"/>
        </w:rPr>
        <w:t>（</w:t>
      </w:r>
      <w:r>
        <w:rPr>
          <w:rFonts w:ascii="宋体" w:hAnsi="宋体" w:cs="Arial"/>
          <w:sz w:val="24"/>
        </w:rPr>
        <w:t>2</w:t>
      </w:r>
      <w:r>
        <w:rPr>
          <w:rFonts w:hint="eastAsia" w:ascii="宋体" w:hAnsi="宋体" w:cs="Arial"/>
          <w:sz w:val="24"/>
        </w:rPr>
        <w:t>）列入每月进度付款申请单中各总价</w:t>
      </w:r>
      <w:r>
        <w:rPr>
          <w:rFonts w:hint="eastAsia" w:ascii="宋体" w:hAnsi="宋体"/>
          <w:sz w:val="24"/>
        </w:rPr>
        <w:t>项目</w:t>
      </w:r>
      <w:r>
        <w:rPr>
          <w:rFonts w:hint="eastAsia" w:ascii="宋体" w:hAnsi="宋体" w:cs="Arial"/>
          <w:sz w:val="24"/>
        </w:rPr>
        <w:t>的价值为有合同约束力的支付分解表中对应月份的总价</w:t>
      </w:r>
      <w:r>
        <w:rPr>
          <w:rFonts w:hint="eastAsia" w:ascii="宋体" w:hAnsi="宋体"/>
          <w:sz w:val="24"/>
        </w:rPr>
        <w:t>项目</w:t>
      </w:r>
      <w:r>
        <w:rPr>
          <w:rFonts w:hint="eastAsia" w:ascii="宋体" w:hAnsi="宋体" w:cs="Arial"/>
          <w:sz w:val="24"/>
        </w:rPr>
        <w:t>总价值。</w:t>
      </w:r>
    </w:p>
    <w:p w14:paraId="3C5C37A1">
      <w:pPr>
        <w:wordWrap w:val="0"/>
        <w:spacing w:line="400" w:lineRule="exact"/>
        <w:ind w:firstLine="480" w:firstLineChars="200"/>
        <w:rPr>
          <w:rFonts w:ascii="宋体" w:cs="Arial"/>
          <w:sz w:val="24"/>
        </w:rPr>
      </w:pPr>
      <w:r>
        <w:rPr>
          <w:rFonts w:hint="eastAsia" w:ascii="宋体" w:hAnsi="宋体" w:cs="Arial"/>
          <w:sz w:val="24"/>
        </w:rPr>
        <w:t>（</w:t>
      </w:r>
      <w:r>
        <w:rPr>
          <w:rFonts w:ascii="宋体" w:hAnsi="宋体" w:cs="Arial"/>
          <w:sz w:val="24"/>
        </w:rPr>
        <w:t>3</w:t>
      </w:r>
      <w:r>
        <w:rPr>
          <w:rFonts w:hint="eastAsia" w:ascii="宋体" w:hAnsi="宋体" w:cs="Arial"/>
          <w:sz w:val="24"/>
        </w:rPr>
        <w:t>）监理人根据有合同约束力的支付分解表复核列入每月进度付款申请单中的总价</w:t>
      </w:r>
      <w:r>
        <w:rPr>
          <w:rFonts w:hint="eastAsia" w:ascii="宋体" w:hAnsi="宋体"/>
          <w:sz w:val="24"/>
        </w:rPr>
        <w:t>项目</w:t>
      </w:r>
      <w:r>
        <w:rPr>
          <w:rFonts w:hint="eastAsia" w:ascii="宋体" w:hAnsi="宋体" w:cs="Arial"/>
          <w:sz w:val="24"/>
        </w:rPr>
        <w:t>的总价值。</w:t>
      </w:r>
    </w:p>
    <w:p w14:paraId="38CEE033">
      <w:pPr>
        <w:wordWrap w:val="0"/>
        <w:spacing w:line="360" w:lineRule="auto"/>
        <w:ind w:firstLine="480" w:firstLineChars="200"/>
        <w:rPr>
          <w:rFonts w:ascii="宋体" w:cs="Arial"/>
          <w:sz w:val="24"/>
        </w:rPr>
      </w:pPr>
      <w:r>
        <w:rPr>
          <w:rFonts w:hint="eastAsia" w:ascii="宋体" w:hAnsi="宋体" w:cs="Arial"/>
          <w:sz w:val="24"/>
        </w:rPr>
        <w:t>（</w:t>
      </w:r>
      <w:r>
        <w:rPr>
          <w:rFonts w:ascii="宋体" w:hAnsi="宋体" w:cs="Arial"/>
          <w:sz w:val="24"/>
        </w:rPr>
        <w:t>4</w:t>
      </w:r>
      <w:r>
        <w:rPr>
          <w:rFonts w:hint="eastAsia" w:ascii="宋体" w:hAnsi="宋体" w:cs="Arial"/>
          <w:sz w:val="24"/>
        </w:rPr>
        <w:t>）除按照第</w:t>
      </w:r>
      <w:r>
        <w:rPr>
          <w:rFonts w:ascii="宋体" w:hAnsi="宋体" w:cs="Arial"/>
          <w:sz w:val="24"/>
        </w:rPr>
        <w:t>15</w:t>
      </w:r>
      <w:r>
        <w:rPr>
          <w:rFonts w:hint="eastAsia" w:ascii="宋体" w:hAnsi="宋体" w:cs="Arial"/>
          <w:sz w:val="24"/>
        </w:rPr>
        <w:t>条约定的变更外，在竣工结算时总价</w:t>
      </w:r>
      <w:r>
        <w:rPr>
          <w:rFonts w:hint="eastAsia" w:ascii="宋体" w:hAnsi="宋体"/>
          <w:sz w:val="24"/>
        </w:rPr>
        <w:t>项目</w:t>
      </w:r>
      <w:r>
        <w:rPr>
          <w:rFonts w:hint="eastAsia" w:ascii="宋体" w:hAnsi="宋体" w:cs="Arial"/>
          <w:sz w:val="24"/>
        </w:rPr>
        <w:t>的工程量不应当重新计量，签约合同价所基于的工程量即是用于竣工结算的最终工程量。</w:t>
      </w:r>
    </w:p>
    <w:p w14:paraId="737BCDA8">
      <w:pPr>
        <w:wordWrap w:val="0"/>
        <w:spacing w:line="360" w:lineRule="auto"/>
        <w:ind w:firstLine="480" w:firstLineChars="200"/>
        <w:rPr>
          <w:rFonts w:ascii="宋体" w:cs="Arial"/>
          <w:sz w:val="24"/>
        </w:rPr>
      </w:pPr>
      <w:r>
        <w:rPr>
          <w:rFonts w:ascii="宋体" w:hAnsi="宋体" w:cs="Arial"/>
          <w:sz w:val="24"/>
        </w:rPr>
        <w:t xml:space="preserve">17.1.5  </w:t>
      </w:r>
      <w:r>
        <w:rPr>
          <w:rFonts w:hint="eastAsia" w:ascii="宋体" w:hAnsi="宋体" w:cs="Arial"/>
          <w:sz w:val="24"/>
        </w:rPr>
        <w:t>总价</w:t>
      </w:r>
      <w:r>
        <w:rPr>
          <w:rFonts w:hint="eastAsia" w:ascii="宋体" w:hAnsi="宋体"/>
          <w:sz w:val="24"/>
        </w:rPr>
        <w:t>项目</w:t>
      </w:r>
      <w:r>
        <w:rPr>
          <w:rFonts w:hint="eastAsia" w:ascii="宋体" w:hAnsi="宋体" w:cs="Arial"/>
          <w:sz w:val="24"/>
        </w:rPr>
        <w:t>的计量（适用于采用按实际完成工程量计量）</w:t>
      </w:r>
    </w:p>
    <w:p w14:paraId="6F8D8AA8">
      <w:pPr>
        <w:wordWrap w:val="0"/>
        <w:spacing w:line="360" w:lineRule="auto"/>
        <w:ind w:firstLine="480" w:firstLineChars="200"/>
        <w:rPr>
          <w:rFonts w:ascii="宋体" w:cs="Arial"/>
          <w:sz w:val="24"/>
        </w:rPr>
      </w:pPr>
      <w:r>
        <w:rPr>
          <w:rFonts w:hint="eastAsia" w:ascii="宋体" w:hAnsi="宋体" w:cs="Arial"/>
          <w:sz w:val="24"/>
        </w:rPr>
        <w:t>（</w:t>
      </w:r>
      <w:r>
        <w:rPr>
          <w:rFonts w:ascii="宋体" w:hAnsi="宋体" w:cs="Arial"/>
          <w:sz w:val="24"/>
        </w:rPr>
        <w:t>1</w:t>
      </w:r>
      <w:r>
        <w:rPr>
          <w:rFonts w:hint="eastAsia" w:ascii="宋体" w:hAnsi="宋体" w:cs="Arial"/>
          <w:sz w:val="24"/>
        </w:rPr>
        <w:t>）总价</w:t>
      </w:r>
      <w:r>
        <w:rPr>
          <w:rFonts w:hint="eastAsia" w:ascii="宋体" w:hAnsi="宋体"/>
          <w:sz w:val="24"/>
        </w:rPr>
        <w:t>项目</w:t>
      </w:r>
      <w:r>
        <w:rPr>
          <w:rFonts w:hint="eastAsia" w:ascii="宋体" w:hAnsi="宋体" w:cs="Arial"/>
          <w:sz w:val="24"/>
        </w:rPr>
        <w:t>的计量和支付应以总价为基础，对承包人实际完成的工程量进行计量，是进行工程目标管理和控制进度款支付的依据。总价</w:t>
      </w:r>
      <w:r>
        <w:rPr>
          <w:rFonts w:hint="eastAsia" w:ascii="宋体" w:hAnsi="宋体"/>
          <w:sz w:val="24"/>
        </w:rPr>
        <w:t>项目</w:t>
      </w:r>
      <w:r>
        <w:rPr>
          <w:rFonts w:hint="eastAsia" w:ascii="宋体" w:hAnsi="宋体" w:cs="Arial"/>
          <w:sz w:val="24"/>
        </w:rPr>
        <w:t>的价格调整方法</w:t>
      </w:r>
      <w:r>
        <w:rPr>
          <w:rFonts w:hint="eastAsia" w:ascii="黑体" w:hAnsi="黑体" w:eastAsia="黑体"/>
          <w:sz w:val="24"/>
        </w:rPr>
        <w:t>见合同条款专用部分</w:t>
      </w:r>
      <w:r>
        <w:rPr>
          <w:rFonts w:hint="eastAsia" w:ascii="宋体" w:hAnsi="宋体" w:cs="Arial"/>
          <w:sz w:val="24"/>
        </w:rPr>
        <w:t>。</w:t>
      </w:r>
    </w:p>
    <w:p w14:paraId="240D4D23">
      <w:pPr>
        <w:wordWrap w:val="0"/>
        <w:spacing w:line="360" w:lineRule="auto"/>
        <w:ind w:firstLine="480" w:firstLineChars="200"/>
        <w:rPr>
          <w:rFonts w:ascii="宋体" w:cs="Arial"/>
          <w:sz w:val="24"/>
        </w:rPr>
      </w:pPr>
      <w:r>
        <w:rPr>
          <w:rFonts w:hint="eastAsia" w:ascii="宋体" w:hAnsi="宋体" w:cs="Arial"/>
          <w:sz w:val="24"/>
        </w:rPr>
        <w:t>（</w:t>
      </w:r>
      <w:r>
        <w:rPr>
          <w:rFonts w:ascii="宋体" w:hAnsi="宋体" w:cs="Arial"/>
          <w:sz w:val="24"/>
        </w:rPr>
        <w:t>2</w:t>
      </w:r>
      <w:r>
        <w:rPr>
          <w:rFonts w:hint="eastAsia" w:ascii="宋体" w:hAnsi="宋体" w:cs="Arial"/>
          <w:sz w:val="24"/>
        </w:rPr>
        <w:t>）承包人在合同条款专用部分第</w:t>
      </w:r>
      <w:r>
        <w:rPr>
          <w:rFonts w:ascii="宋体" w:hAnsi="宋体" w:cs="Arial"/>
          <w:sz w:val="24"/>
        </w:rPr>
        <w:t>17.1.3</w:t>
      </w:r>
      <w:r>
        <w:rPr>
          <w:rFonts w:hint="eastAsia" w:ascii="宋体" w:hAnsi="宋体" w:cs="Arial"/>
          <w:sz w:val="24"/>
        </w:rPr>
        <w:t>（</w:t>
      </w:r>
      <w:r>
        <w:rPr>
          <w:rFonts w:ascii="宋体" w:hAnsi="宋体" w:cs="Arial"/>
          <w:sz w:val="24"/>
        </w:rPr>
        <w:t>1</w:t>
      </w:r>
      <w:r>
        <w:rPr>
          <w:rFonts w:hint="eastAsia" w:ascii="宋体" w:hAnsi="宋体" w:cs="Arial"/>
          <w:sz w:val="24"/>
        </w:rPr>
        <w:t>）目约定的每月计量截止日期后，对已完成的分部分项工程项目的</w:t>
      </w:r>
      <w:r>
        <w:rPr>
          <w:rFonts w:hint="eastAsia" w:ascii="宋体" w:hAnsi="宋体"/>
          <w:sz w:val="24"/>
        </w:rPr>
        <w:t>项目</w:t>
      </w:r>
      <w:r>
        <w:rPr>
          <w:rFonts w:hint="eastAsia" w:ascii="宋体" w:hAnsi="宋体" w:cs="Arial"/>
          <w:sz w:val="24"/>
        </w:rPr>
        <w:t>，按照合同条款第</w:t>
      </w:r>
      <w:r>
        <w:rPr>
          <w:rFonts w:ascii="宋体" w:hAnsi="宋体" w:cs="Arial"/>
          <w:sz w:val="24"/>
        </w:rPr>
        <w:t>17.1.2</w:t>
      </w:r>
      <w:r>
        <w:rPr>
          <w:rFonts w:hint="eastAsia" w:ascii="宋体" w:hAnsi="宋体" w:cs="Arial"/>
          <w:sz w:val="24"/>
        </w:rPr>
        <w:t>项约定的计量方法进行计量，对已完成的措施项目的相关</w:t>
      </w:r>
      <w:r>
        <w:rPr>
          <w:rFonts w:hint="eastAsia" w:ascii="宋体" w:hAnsi="宋体"/>
          <w:sz w:val="24"/>
        </w:rPr>
        <w:t>项目，按其总价构成、费用性质和实际发生比例进行计量，向监理人提交进度付款申请单、已完成工程量报表和有关计量资料</w:t>
      </w:r>
      <w:r>
        <w:rPr>
          <w:rFonts w:hint="eastAsia" w:ascii="宋体" w:hAnsi="宋体" w:cs="Arial"/>
          <w:sz w:val="24"/>
        </w:rPr>
        <w:t>。</w:t>
      </w:r>
    </w:p>
    <w:p w14:paraId="2D55062B">
      <w:pPr>
        <w:wordWrap w:val="0"/>
        <w:spacing w:line="360" w:lineRule="auto"/>
        <w:ind w:firstLine="480" w:firstLineChars="200"/>
        <w:rPr>
          <w:rFonts w:ascii="宋体"/>
          <w:sz w:val="24"/>
        </w:rPr>
      </w:pPr>
      <w:r>
        <w:rPr>
          <w:rFonts w:hint="eastAsia" w:ascii="宋体" w:hAnsi="宋体" w:cs="Arial"/>
          <w:sz w:val="24"/>
        </w:rPr>
        <w:t>（</w:t>
      </w:r>
      <w:r>
        <w:rPr>
          <w:rFonts w:ascii="宋体" w:hAnsi="宋体" w:cs="Arial"/>
          <w:sz w:val="24"/>
        </w:rPr>
        <w:t>3</w:t>
      </w:r>
      <w:r>
        <w:rPr>
          <w:rFonts w:hint="eastAsia" w:ascii="宋体" w:hAnsi="宋体" w:cs="Arial"/>
          <w:sz w:val="24"/>
        </w:rPr>
        <w:t>）</w:t>
      </w:r>
      <w:r>
        <w:rPr>
          <w:rFonts w:hint="eastAsia" w:ascii="宋体" w:hAnsi="宋体"/>
          <w:sz w:val="24"/>
        </w:rPr>
        <w:t>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14:paraId="31DA59E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）监理人应在收到承包人提交的工程量报表后的</w:t>
      </w:r>
      <w:r>
        <w:rPr>
          <w:rFonts w:ascii="宋体" w:hAnsi="宋体"/>
          <w:sz w:val="24"/>
        </w:rPr>
        <w:t>7</w:t>
      </w:r>
      <w:r>
        <w:rPr>
          <w:rFonts w:hint="eastAsia" w:ascii="宋体" w:hAnsi="宋体"/>
          <w:sz w:val="24"/>
        </w:rPr>
        <w:t>天内进行复核，监理人未在约定时间内复核的，承包人提交的工程量报表中的工程量视为承包人实际完成的工程量，据此计算工程价款。</w:t>
      </w:r>
    </w:p>
    <w:p w14:paraId="20B84BFD">
      <w:pPr>
        <w:wordWrap w:val="0"/>
        <w:spacing w:line="360" w:lineRule="auto"/>
        <w:ind w:firstLine="480" w:firstLineChars="200"/>
        <w:rPr>
          <w:rFonts w:ascii="宋体" w:cs="Arial"/>
          <w:sz w:val="24"/>
        </w:rPr>
      </w:pPr>
      <w:r>
        <w:rPr>
          <w:rFonts w:hint="eastAsia" w:ascii="宋体" w:hAnsi="宋体" w:cs="Arial"/>
          <w:sz w:val="24"/>
        </w:rPr>
        <w:t>（</w:t>
      </w:r>
      <w:r>
        <w:rPr>
          <w:rFonts w:ascii="宋体" w:hAnsi="宋体" w:cs="Arial"/>
          <w:sz w:val="24"/>
        </w:rPr>
        <w:t>5</w:t>
      </w:r>
      <w:r>
        <w:rPr>
          <w:rFonts w:hint="eastAsia" w:ascii="宋体" w:hAnsi="宋体" w:cs="Arial"/>
          <w:sz w:val="24"/>
        </w:rPr>
        <w:t>）除按照第</w:t>
      </w:r>
      <w:r>
        <w:rPr>
          <w:rFonts w:ascii="宋体" w:hAnsi="宋体" w:cs="Arial"/>
          <w:sz w:val="24"/>
        </w:rPr>
        <w:t>15</w:t>
      </w:r>
      <w:r>
        <w:rPr>
          <w:rFonts w:hint="eastAsia" w:ascii="宋体" w:hAnsi="宋体" w:cs="Arial"/>
          <w:sz w:val="24"/>
        </w:rPr>
        <w:t>条约定的变更外，在竣工结算时总价</w:t>
      </w:r>
      <w:r>
        <w:rPr>
          <w:rFonts w:hint="eastAsia" w:ascii="宋体" w:hAnsi="宋体"/>
          <w:sz w:val="24"/>
        </w:rPr>
        <w:t>项目</w:t>
      </w:r>
      <w:r>
        <w:rPr>
          <w:rFonts w:hint="eastAsia" w:ascii="宋体" w:hAnsi="宋体" w:cs="Arial"/>
          <w:sz w:val="24"/>
        </w:rPr>
        <w:t>的工程量不应当重新计量，签约合同价所基于的工程量即是用于竣工结算的最终工程量。</w:t>
      </w:r>
      <w:bookmarkStart w:id="2020" w:name="OLE_LINK26"/>
    </w:p>
    <w:bookmarkEnd w:id="2020"/>
    <w:p w14:paraId="5947E48D">
      <w:pPr>
        <w:wordWrap w:val="0"/>
        <w:spacing w:before="120" w:beforeLines="50" w:after="120" w:afterLines="50" w:line="360" w:lineRule="auto"/>
        <w:outlineLvl w:val="2"/>
        <w:rPr>
          <w:rFonts w:ascii="宋体"/>
          <w:kern w:val="0"/>
          <w:sz w:val="24"/>
          <w:szCs w:val="20"/>
        </w:rPr>
      </w:pPr>
      <w:bookmarkStart w:id="2021" w:name="_Toc480487012"/>
      <w:bookmarkStart w:id="2022" w:name="_Toc486580158"/>
      <w:bookmarkStart w:id="2023" w:name="_Toc207289694"/>
      <w:bookmarkStart w:id="2024" w:name="_Toc490222603"/>
      <w:bookmarkStart w:id="2025" w:name="_Toc338944813"/>
      <w:bookmarkStart w:id="2026" w:name="_Toc342296371"/>
      <w:bookmarkStart w:id="2027" w:name="_Toc480486840"/>
      <w:bookmarkStart w:id="2028" w:name="_Toc489279969"/>
      <w:bookmarkStart w:id="2029" w:name="_Toc483668187"/>
      <w:r>
        <w:rPr>
          <w:rFonts w:ascii="宋体"/>
          <w:kern w:val="0"/>
          <w:sz w:val="24"/>
          <w:szCs w:val="20"/>
        </w:rPr>
        <w:t xml:space="preserve">17.2  </w:t>
      </w:r>
      <w:r>
        <w:rPr>
          <w:rFonts w:hint="eastAsia" w:ascii="宋体"/>
          <w:kern w:val="0"/>
          <w:sz w:val="24"/>
          <w:szCs w:val="20"/>
        </w:rPr>
        <w:t>预付款</w:t>
      </w:r>
      <w:bookmarkEnd w:id="2021"/>
      <w:bookmarkEnd w:id="2022"/>
      <w:bookmarkEnd w:id="2023"/>
      <w:bookmarkEnd w:id="2024"/>
      <w:bookmarkEnd w:id="2025"/>
      <w:bookmarkEnd w:id="2026"/>
      <w:bookmarkEnd w:id="2027"/>
      <w:bookmarkEnd w:id="2028"/>
      <w:bookmarkEnd w:id="2029"/>
    </w:p>
    <w:p w14:paraId="3617E58B">
      <w:pPr>
        <w:wordWrap w:val="0"/>
        <w:spacing w:line="360" w:lineRule="auto"/>
        <w:ind w:firstLine="480" w:firstLineChars="200"/>
        <w:rPr>
          <w:rFonts w:ascii="宋体"/>
          <w:sz w:val="24"/>
        </w:rPr>
      </w:pPr>
      <w:r>
        <w:rPr>
          <w:rFonts w:ascii="宋体" w:hAnsi="宋体"/>
          <w:sz w:val="24"/>
        </w:rPr>
        <w:t xml:space="preserve">17.2.1  </w:t>
      </w:r>
      <w:r>
        <w:rPr>
          <w:rFonts w:hint="eastAsia" w:ascii="宋体" w:hAnsi="宋体"/>
          <w:sz w:val="24"/>
        </w:rPr>
        <w:t>预付款</w:t>
      </w:r>
    </w:p>
    <w:p w14:paraId="4DCDC3B0">
      <w:pPr>
        <w:wordWrap w:val="0"/>
        <w:spacing w:line="360" w:lineRule="auto"/>
        <w:ind w:firstLine="480" w:firstLineChars="200"/>
        <w:rPr>
          <w:rFonts w:ascii="宋体"/>
          <w:sz w:val="24"/>
        </w:rPr>
      </w:pPr>
      <w:r>
        <w:rPr>
          <w:rFonts w:hint="eastAsia" w:ascii="宋体" w:hAnsi="宋体"/>
          <w:sz w:val="24"/>
        </w:rPr>
        <w:t>预付款用于承包人为合同工程施工购置材料、施工设备、修建临时设施以及组织施工队伍进场等。预付款必须专用于合同工程。预付款的额度和预付办法以及支付时间</w:t>
      </w:r>
      <w:r>
        <w:rPr>
          <w:rFonts w:hint="eastAsia" w:ascii="黑体" w:hAnsi="黑体" w:eastAsia="黑体"/>
          <w:sz w:val="24"/>
        </w:rPr>
        <w:t>见合同条款专用部分</w:t>
      </w:r>
      <w:r>
        <w:rPr>
          <w:rFonts w:hint="eastAsia" w:ascii="宋体" w:hAnsi="宋体"/>
          <w:sz w:val="24"/>
        </w:rPr>
        <w:t>。</w:t>
      </w:r>
    </w:p>
    <w:p w14:paraId="69D907A2">
      <w:pPr>
        <w:wordWrap w:val="0"/>
        <w:spacing w:line="360" w:lineRule="auto"/>
        <w:ind w:firstLine="480" w:firstLineChars="200"/>
        <w:rPr>
          <w:rFonts w:ascii="宋体" w:hAnsi="宋体"/>
          <w:sz w:val="24"/>
        </w:rPr>
      </w:pPr>
      <w:bookmarkStart w:id="2030" w:name="OLE_LINK34"/>
      <w:r>
        <w:rPr>
          <w:rFonts w:hint="eastAsia" w:ascii="宋体" w:hAnsi="宋体"/>
          <w:sz w:val="24"/>
        </w:rPr>
        <w:t>安全生产标准化措施费</w:t>
      </w:r>
      <w:bookmarkEnd w:id="2030"/>
      <w:r>
        <w:rPr>
          <w:rFonts w:hint="eastAsia" w:ascii="宋体" w:hAnsi="宋体"/>
          <w:sz w:val="24"/>
        </w:rPr>
        <w:t>预付款额度及方式</w:t>
      </w:r>
      <w:r>
        <w:rPr>
          <w:rFonts w:hint="eastAsia" w:ascii="黑体" w:hAnsi="黑体" w:eastAsia="黑体"/>
          <w:sz w:val="24"/>
        </w:rPr>
        <w:t>见合同条款专用部分</w:t>
      </w:r>
      <w:r>
        <w:rPr>
          <w:rFonts w:hint="eastAsia" w:ascii="宋体" w:hAnsi="宋体"/>
          <w:sz w:val="24"/>
        </w:rPr>
        <w:t>。</w:t>
      </w:r>
    </w:p>
    <w:p w14:paraId="4606C3BE">
      <w:pPr>
        <w:wordWrap w:val="0"/>
        <w:spacing w:line="360" w:lineRule="auto"/>
        <w:ind w:firstLine="480" w:firstLineChars="200"/>
        <w:rPr>
          <w:rFonts w:ascii="宋体"/>
          <w:sz w:val="24"/>
        </w:rPr>
      </w:pPr>
      <w:bookmarkStart w:id="2031" w:name="_Hlk200724843"/>
      <w:bookmarkStart w:id="2032" w:name="_Hlk199428911"/>
      <w:r>
        <w:rPr>
          <w:rFonts w:hint="eastAsia" w:ascii="宋体" w:hAnsi="宋体"/>
          <w:sz w:val="24"/>
        </w:rPr>
        <w:t>预付款额度及安全生产标准化措施费预付款额度均应满足相应规定。</w:t>
      </w:r>
      <w:bookmarkEnd w:id="2031"/>
    </w:p>
    <w:bookmarkEnd w:id="2032"/>
    <w:p w14:paraId="0C902D76">
      <w:pPr>
        <w:wordWrap w:val="0"/>
        <w:spacing w:line="360" w:lineRule="auto"/>
        <w:ind w:firstLine="480" w:firstLineChars="200"/>
        <w:rPr>
          <w:rFonts w:ascii="宋体"/>
          <w:sz w:val="24"/>
        </w:rPr>
      </w:pPr>
      <w:r>
        <w:rPr>
          <w:rFonts w:hint="eastAsia" w:ascii="宋体" w:hAnsi="宋体"/>
          <w:sz w:val="24"/>
        </w:rPr>
        <w:t>发包人逾期支付合同约定的预付款，除承担第</w:t>
      </w:r>
      <w:r>
        <w:rPr>
          <w:rFonts w:ascii="宋体" w:hAnsi="宋体"/>
          <w:sz w:val="24"/>
        </w:rPr>
        <w:t>22.2</w:t>
      </w:r>
      <w:r>
        <w:rPr>
          <w:rFonts w:hint="eastAsia" w:ascii="宋体" w:hAnsi="宋体"/>
          <w:sz w:val="24"/>
        </w:rPr>
        <w:t>款约定的违约责任外，还应向承包人支付按第</w:t>
      </w:r>
      <w:r>
        <w:rPr>
          <w:rFonts w:ascii="宋体" w:hAnsi="宋体"/>
          <w:sz w:val="24"/>
        </w:rPr>
        <w:t>17.3.3</w:t>
      </w:r>
      <w:r>
        <w:rPr>
          <w:rFonts w:hint="eastAsia" w:ascii="宋体" w:hAnsi="宋体"/>
          <w:sz w:val="24"/>
        </w:rPr>
        <w:t>(2)目约定的标准和方法计算的逾期付款违约金。</w:t>
      </w:r>
    </w:p>
    <w:p w14:paraId="122CCEC1">
      <w:pPr>
        <w:wordWrap w:val="0"/>
        <w:spacing w:line="360" w:lineRule="auto"/>
        <w:ind w:firstLine="480" w:firstLineChars="200"/>
        <w:rPr>
          <w:rFonts w:ascii="宋体"/>
          <w:sz w:val="24"/>
        </w:rPr>
      </w:pPr>
      <w:r>
        <w:rPr>
          <w:rFonts w:ascii="宋体" w:hAnsi="宋体"/>
          <w:sz w:val="24"/>
        </w:rPr>
        <w:t xml:space="preserve">17.2.2  </w:t>
      </w:r>
      <w:r>
        <w:rPr>
          <w:rFonts w:hint="eastAsia" w:ascii="宋体" w:hAnsi="宋体"/>
          <w:sz w:val="24"/>
        </w:rPr>
        <w:t>预付款的扣回与还清</w:t>
      </w:r>
    </w:p>
    <w:p w14:paraId="5C046F25">
      <w:pPr>
        <w:wordWrap w:val="0"/>
        <w:spacing w:line="360" w:lineRule="auto"/>
        <w:ind w:firstLine="480" w:firstLineChars="200"/>
        <w:rPr>
          <w:rFonts w:ascii="宋体"/>
          <w:sz w:val="24"/>
        </w:rPr>
      </w:pPr>
      <w:r>
        <w:rPr>
          <w:rFonts w:hint="eastAsia" w:ascii="宋体" w:hAnsi="宋体"/>
          <w:sz w:val="24"/>
        </w:rPr>
        <w:t>预付款在进度付款中按照合同约定扣回。在颁发工程接收证书前，由于不可抗力或其他原因解除合同时，预付款尚未扣清的，尚未扣清的预付款余额应作为承包人的到期应付款。预付款扣回办法</w:t>
      </w:r>
      <w:r>
        <w:rPr>
          <w:rFonts w:hint="eastAsia" w:ascii="黑体" w:hAnsi="黑体" w:eastAsia="黑体"/>
          <w:sz w:val="24"/>
        </w:rPr>
        <w:t>见合同条款专用部分</w:t>
      </w:r>
      <w:r>
        <w:rPr>
          <w:rFonts w:hint="eastAsia" w:ascii="宋体" w:hAnsi="宋体"/>
          <w:sz w:val="24"/>
        </w:rPr>
        <w:t>。</w:t>
      </w:r>
    </w:p>
    <w:p w14:paraId="3128BEA7">
      <w:pPr>
        <w:wordWrap w:val="0"/>
        <w:spacing w:before="120" w:beforeLines="50" w:after="120" w:afterLines="50" w:line="360" w:lineRule="auto"/>
        <w:outlineLvl w:val="2"/>
        <w:rPr>
          <w:rFonts w:ascii="宋体"/>
          <w:kern w:val="0"/>
          <w:sz w:val="24"/>
          <w:szCs w:val="20"/>
        </w:rPr>
      </w:pPr>
      <w:bookmarkStart w:id="2033" w:name="_Toc489279970"/>
      <w:bookmarkStart w:id="2034" w:name="_Toc486580159"/>
      <w:bookmarkStart w:id="2035" w:name="_Toc207289695"/>
      <w:bookmarkStart w:id="2036" w:name="_Toc342296372"/>
      <w:bookmarkStart w:id="2037" w:name="_Toc480486841"/>
      <w:bookmarkStart w:id="2038" w:name="_Toc483668188"/>
      <w:bookmarkStart w:id="2039" w:name="_Toc338944814"/>
      <w:bookmarkStart w:id="2040" w:name="_Toc480487013"/>
      <w:bookmarkStart w:id="2041" w:name="_Toc490222604"/>
      <w:r>
        <w:rPr>
          <w:rFonts w:ascii="宋体"/>
          <w:kern w:val="0"/>
          <w:sz w:val="24"/>
          <w:szCs w:val="20"/>
        </w:rPr>
        <w:t xml:space="preserve">17.3  </w:t>
      </w:r>
      <w:r>
        <w:rPr>
          <w:rFonts w:hint="eastAsia" w:ascii="宋体"/>
          <w:kern w:val="0"/>
          <w:sz w:val="24"/>
          <w:szCs w:val="20"/>
        </w:rPr>
        <w:t>工程进度付款</w:t>
      </w:r>
      <w:bookmarkEnd w:id="2033"/>
      <w:bookmarkEnd w:id="2034"/>
      <w:bookmarkEnd w:id="2035"/>
      <w:bookmarkEnd w:id="2036"/>
      <w:bookmarkEnd w:id="2037"/>
      <w:bookmarkEnd w:id="2038"/>
      <w:bookmarkEnd w:id="2039"/>
      <w:bookmarkEnd w:id="2040"/>
      <w:bookmarkEnd w:id="2041"/>
    </w:p>
    <w:p w14:paraId="0326C8D7">
      <w:pPr>
        <w:wordWrap w:val="0"/>
        <w:spacing w:line="360" w:lineRule="auto"/>
        <w:ind w:firstLine="480" w:firstLineChars="200"/>
        <w:rPr>
          <w:rFonts w:ascii="宋体"/>
          <w:sz w:val="24"/>
        </w:rPr>
      </w:pPr>
      <w:r>
        <w:rPr>
          <w:rFonts w:ascii="宋体" w:hAnsi="宋体"/>
          <w:sz w:val="24"/>
        </w:rPr>
        <w:t xml:space="preserve">17.3.1  </w:t>
      </w:r>
      <w:r>
        <w:rPr>
          <w:rFonts w:hint="eastAsia" w:ascii="宋体" w:hAnsi="宋体"/>
          <w:sz w:val="24"/>
        </w:rPr>
        <w:t>付款周期</w:t>
      </w:r>
    </w:p>
    <w:p w14:paraId="01F38E1E">
      <w:pPr>
        <w:wordWrap w:val="0"/>
        <w:spacing w:line="360" w:lineRule="auto"/>
        <w:ind w:firstLine="480" w:firstLineChars="200"/>
        <w:rPr>
          <w:rFonts w:ascii="宋体"/>
          <w:sz w:val="24"/>
        </w:rPr>
      </w:pPr>
      <w:r>
        <w:rPr>
          <w:rFonts w:hint="eastAsia" w:ascii="宋体" w:hAnsi="宋体"/>
          <w:sz w:val="24"/>
        </w:rPr>
        <w:t>付款周期同计量周期。</w:t>
      </w:r>
    </w:p>
    <w:p w14:paraId="779FB63E">
      <w:pPr>
        <w:wordWrap w:val="0"/>
        <w:spacing w:line="360" w:lineRule="auto"/>
        <w:ind w:firstLine="480" w:firstLineChars="200"/>
        <w:rPr>
          <w:rFonts w:ascii="宋体"/>
          <w:sz w:val="24"/>
        </w:rPr>
      </w:pPr>
      <w:r>
        <w:rPr>
          <w:rFonts w:ascii="宋体" w:hAnsi="宋体"/>
          <w:sz w:val="24"/>
        </w:rPr>
        <w:t xml:space="preserve">17.3.2  </w:t>
      </w:r>
      <w:r>
        <w:rPr>
          <w:rFonts w:hint="eastAsia" w:ascii="宋体" w:hAnsi="宋体"/>
          <w:sz w:val="24"/>
        </w:rPr>
        <w:t>进度付款申请单</w:t>
      </w:r>
    </w:p>
    <w:p w14:paraId="451F52D8">
      <w:pPr>
        <w:wordWrap w:val="0"/>
        <w:spacing w:line="360" w:lineRule="auto"/>
        <w:ind w:firstLine="480" w:firstLineChars="200"/>
        <w:rPr>
          <w:rFonts w:ascii="宋体"/>
          <w:sz w:val="24"/>
        </w:rPr>
      </w:pPr>
      <w:r>
        <w:rPr>
          <w:rFonts w:hint="eastAsia" w:ascii="宋体" w:hAnsi="宋体"/>
          <w:sz w:val="24"/>
        </w:rPr>
        <w:t>承包人应在每个付款周期末，按监理人批准的格式和合同约定的份数，向监理人提交进度付款申请单，并附相应的支持性证明文件。承包人提交进度付款申请单份数</w:t>
      </w:r>
      <w:r>
        <w:rPr>
          <w:rFonts w:hint="eastAsia" w:ascii="黑体" w:hAnsi="黑体" w:eastAsia="黑体"/>
          <w:sz w:val="24"/>
        </w:rPr>
        <w:t>见合同条款专用部分</w:t>
      </w:r>
      <w:r>
        <w:rPr>
          <w:rFonts w:hint="eastAsia" w:ascii="宋体" w:hAnsi="宋体"/>
          <w:sz w:val="24"/>
        </w:rPr>
        <w:t>。</w:t>
      </w:r>
    </w:p>
    <w:p w14:paraId="5DB9F113">
      <w:pPr>
        <w:wordWrap w:val="0"/>
        <w:spacing w:line="360" w:lineRule="auto"/>
        <w:ind w:firstLine="480" w:firstLineChars="200"/>
        <w:rPr>
          <w:rFonts w:ascii="宋体"/>
          <w:dstrike/>
          <w:sz w:val="24"/>
        </w:rPr>
      </w:pPr>
      <w:r>
        <w:rPr>
          <w:rFonts w:hint="eastAsia" w:ascii="宋体" w:hAnsi="宋体"/>
          <w:sz w:val="24"/>
        </w:rPr>
        <w:t>除合同条款专用部分另有约定外，承包人报送监理人的进度付款申请单应包括下列内容：</w:t>
      </w:r>
    </w:p>
    <w:p w14:paraId="4162401E">
      <w:pPr>
        <w:wordWrap w:val="0"/>
        <w:spacing w:line="360" w:lineRule="auto"/>
        <w:ind w:firstLine="360" w:firstLineChars="150"/>
        <w:rPr>
          <w:sz w:val="24"/>
        </w:rPr>
      </w:pPr>
      <w:r>
        <w:rPr>
          <w:rFonts w:hint="eastAsia" w:ascii="宋体" w:hAnsi="宋体"/>
          <w:sz w:val="24"/>
        </w:rPr>
        <w:t>（</w:t>
      </w:r>
      <w:r>
        <w:rPr>
          <w:rFonts w:ascii="宋体" w:hAnsi="宋体"/>
          <w:sz w:val="24"/>
        </w:rPr>
        <w:t>1</w:t>
      </w:r>
      <w:r>
        <w:rPr>
          <w:rFonts w:hint="eastAsia" w:ascii="宋体" w:hAnsi="宋体"/>
          <w:sz w:val="24"/>
        </w:rPr>
        <w:t>）</w:t>
      </w:r>
      <w:bookmarkStart w:id="2042" w:name="OLE_LINK132"/>
      <w:r>
        <w:rPr>
          <w:rFonts w:hint="eastAsia"/>
          <w:sz w:val="24"/>
        </w:rPr>
        <w:t>截至本次付款周期末</w:t>
      </w:r>
      <w:bookmarkEnd w:id="2042"/>
      <w:r>
        <w:rPr>
          <w:rFonts w:hint="eastAsia"/>
          <w:sz w:val="24"/>
        </w:rPr>
        <w:t>已实施工程的合同清单价款</w:t>
      </w:r>
      <w:bookmarkStart w:id="2043" w:name="_Hlk114650047"/>
      <w:r>
        <w:rPr>
          <w:rFonts w:hint="eastAsia"/>
          <w:sz w:val="24"/>
        </w:rPr>
        <w:t>及其中人工费占工程款比例</w:t>
      </w:r>
      <w:bookmarkEnd w:id="2043"/>
      <w:r>
        <w:rPr>
          <w:rFonts w:hint="eastAsia"/>
          <w:sz w:val="24"/>
        </w:rPr>
        <w:t>；</w:t>
      </w:r>
    </w:p>
    <w:p w14:paraId="71428D0C">
      <w:pPr>
        <w:wordWrap w:val="0"/>
        <w:spacing w:line="360" w:lineRule="auto"/>
        <w:ind w:firstLine="360" w:firstLineChars="150"/>
        <w:rPr>
          <w:sz w:val="24"/>
        </w:rPr>
      </w:pPr>
      <w:r>
        <w:rPr>
          <w:rFonts w:hint="eastAsia" w:ascii="宋体" w:hAnsi="宋体"/>
          <w:sz w:val="24"/>
        </w:rPr>
        <w:t>（</w:t>
      </w:r>
      <w:r>
        <w:rPr>
          <w:rFonts w:ascii="宋体" w:hAnsi="宋体"/>
          <w:sz w:val="24"/>
        </w:rPr>
        <w:t>2</w:t>
      </w:r>
      <w:r>
        <w:rPr>
          <w:rFonts w:hint="eastAsia" w:ascii="宋体" w:hAnsi="宋体"/>
          <w:sz w:val="24"/>
        </w:rPr>
        <w:t>）截</w:t>
      </w:r>
      <w:r>
        <w:rPr>
          <w:rFonts w:hint="eastAsia"/>
          <w:sz w:val="24"/>
        </w:rPr>
        <w:t>至本次付款周期末已实施工程的工程量清单缺陷调整价款及其中人工费占工程款比例；</w:t>
      </w:r>
    </w:p>
    <w:p w14:paraId="2129F082">
      <w:pPr>
        <w:wordWrap w:val="0"/>
        <w:spacing w:line="360" w:lineRule="auto"/>
        <w:ind w:firstLine="360" w:firstLineChars="150"/>
        <w:rPr>
          <w:rFonts w:ascii="宋体"/>
          <w:sz w:val="24"/>
        </w:rPr>
      </w:pPr>
      <w:r>
        <w:rPr>
          <w:rFonts w:hint="eastAsia" w:ascii="宋体" w:hAnsi="宋体"/>
          <w:sz w:val="24"/>
        </w:rPr>
        <w:t>（3）根据第15条应增加和扣减的变更金额；</w:t>
      </w:r>
    </w:p>
    <w:p w14:paraId="60FC7B79">
      <w:pPr>
        <w:wordWrap w:val="0"/>
        <w:spacing w:line="360" w:lineRule="auto"/>
        <w:ind w:firstLine="360" w:firstLineChars="150"/>
        <w:rPr>
          <w:rFonts w:ascii="宋体"/>
          <w:sz w:val="24"/>
        </w:rPr>
      </w:pPr>
      <w:bookmarkStart w:id="2044" w:name="OLE_LINK28"/>
      <w:r>
        <w:rPr>
          <w:rFonts w:hint="eastAsia" w:ascii="宋体" w:hAnsi="宋体"/>
          <w:sz w:val="24"/>
        </w:rPr>
        <w:t>（4）根据第23条应增加和扣减的索赔金额；</w:t>
      </w:r>
    </w:p>
    <w:p w14:paraId="5119BF67">
      <w:pPr>
        <w:wordWrap w:val="0"/>
        <w:spacing w:line="360" w:lineRule="auto"/>
        <w:ind w:firstLine="360" w:firstLineChars="150"/>
        <w:rPr>
          <w:rFonts w:ascii="宋体"/>
          <w:sz w:val="24"/>
        </w:rPr>
      </w:pPr>
      <w:r>
        <w:rPr>
          <w:rFonts w:hint="eastAsia" w:ascii="宋体" w:hAnsi="宋体"/>
          <w:sz w:val="24"/>
        </w:rPr>
        <w:t>（5）</w:t>
      </w:r>
      <w:bookmarkStart w:id="2045" w:name="OLE_LINK133"/>
      <w:r>
        <w:rPr>
          <w:rFonts w:hint="eastAsia" w:ascii="宋体" w:hAnsi="宋体"/>
          <w:sz w:val="24"/>
        </w:rPr>
        <w:t>根据第17.2款约定应支付的预付款和扣减的返还预付款</w:t>
      </w:r>
      <w:bookmarkEnd w:id="2045"/>
      <w:r>
        <w:rPr>
          <w:rFonts w:hint="eastAsia" w:ascii="宋体" w:hAnsi="宋体"/>
          <w:sz w:val="24"/>
        </w:rPr>
        <w:t>；</w:t>
      </w:r>
    </w:p>
    <w:p w14:paraId="63D0A237">
      <w:pPr>
        <w:wordWrap w:val="0"/>
        <w:spacing w:line="360" w:lineRule="auto"/>
        <w:ind w:firstLine="360" w:firstLineChars="150"/>
        <w:rPr>
          <w:rFonts w:ascii="宋体"/>
          <w:sz w:val="24"/>
        </w:rPr>
      </w:pPr>
      <w:r>
        <w:rPr>
          <w:rFonts w:hint="eastAsia" w:ascii="宋体" w:hAnsi="宋体"/>
          <w:sz w:val="24"/>
        </w:rPr>
        <w:t>（6）根据第17.4.1项约定应扣减的质量保证金；</w:t>
      </w:r>
    </w:p>
    <w:p w14:paraId="55EC02FA">
      <w:pPr>
        <w:wordWrap w:val="0"/>
        <w:spacing w:line="360" w:lineRule="auto"/>
        <w:ind w:firstLine="360" w:firstLineChars="150"/>
        <w:rPr>
          <w:rFonts w:ascii="宋体" w:hAnsi="宋体"/>
          <w:sz w:val="24"/>
        </w:rPr>
      </w:pPr>
      <w:bookmarkStart w:id="2046" w:name="OLE_LINK140"/>
      <w:r>
        <w:rPr>
          <w:rFonts w:hint="eastAsia" w:ascii="宋体" w:hAnsi="宋体"/>
          <w:sz w:val="24"/>
        </w:rPr>
        <w:t>（7）</w:t>
      </w:r>
      <w:bookmarkEnd w:id="2046"/>
      <w:r>
        <w:rPr>
          <w:rFonts w:hint="eastAsia" w:ascii="宋体" w:hAnsi="宋体"/>
          <w:sz w:val="24"/>
        </w:rPr>
        <w:t>根据合同应增加和（或）扣减的其他内容金额</w:t>
      </w:r>
      <w:r>
        <w:rPr>
          <w:rFonts w:hint="eastAsia" w:ascii="黑体" w:hAnsi="黑体" w:eastAsia="黑体"/>
          <w:sz w:val="24"/>
        </w:rPr>
        <w:t>见合同条款专用部分</w:t>
      </w:r>
      <w:r>
        <w:rPr>
          <w:rFonts w:hint="eastAsia" w:ascii="宋体" w:hAnsi="宋体"/>
          <w:sz w:val="24"/>
        </w:rPr>
        <w:t>；</w:t>
      </w:r>
    </w:p>
    <w:p w14:paraId="5A3B1958">
      <w:pPr>
        <w:wordWrap w:val="0"/>
        <w:spacing w:line="360" w:lineRule="auto"/>
        <w:ind w:firstLine="360" w:firstLineChars="150"/>
        <w:rPr>
          <w:rFonts w:ascii="宋体" w:hAnsi="宋体"/>
          <w:sz w:val="24"/>
        </w:rPr>
      </w:pPr>
      <w:bookmarkStart w:id="2047" w:name="_Hlk114650054"/>
      <w:r>
        <w:rPr>
          <w:rFonts w:hint="eastAsia" w:ascii="宋体" w:hAnsi="宋体"/>
          <w:sz w:val="24"/>
        </w:rPr>
        <w:t>（8）本期应付进度款</w:t>
      </w:r>
      <w:r>
        <w:rPr>
          <w:rFonts w:hint="eastAsia" w:ascii="黑体" w:hAnsi="黑体" w:eastAsia="黑体"/>
          <w:sz w:val="24"/>
        </w:rPr>
        <w:t>见合同条款专用部分</w:t>
      </w:r>
      <w:r>
        <w:rPr>
          <w:rFonts w:hint="eastAsia" w:ascii="宋体" w:hAnsi="宋体"/>
          <w:sz w:val="24"/>
        </w:rPr>
        <w:t>。</w:t>
      </w:r>
      <w:bookmarkEnd w:id="2044"/>
    </w:p>
    <w:p w14:paraId="28482DB8">
      <w:pPr>
        <w:wordWrap w:val="0"/>
        <w:spacing w:line="360" w:lineRule="auto"/>
        <w:ind w:firstLine="360" w:firstLineChars="150"/>
        <w:rPr>
          <w:rFonts w:ascii="宋体" w:hAnsi="宋体"/>
          <w:sz w:val="24"/>
        </w:rPr>
      </w:pPr>
      <w:r>
        <w:rPr>
          <w:rFonts w:hint="eastAsia" w:ascii="宋体" w:hAnsi="宋体"/>
          <w:sz w:val="24"/>
        </w:rPr>
        <w:t>政府机关、事业单位、国有企业建设工程进度款支付应不低于已完成工程价款的</w:t>
      </w:r>
      <w:r>
        <w:rPr>
          <w:rFonts w:ascii="宋体" w:hAnsi="宋体"/>
          <w:sz w:val="24"/>
        </w:rPr>
        <w:t>80%</w:t>
      </w:r>
      <w:r>
        <w:rPr>
          <w:rFonts w:hint="eastAsia" w:ascii="宋体" w:hAnsi="宋体"/>
          <w:sz w:val="24"/>
        </w:rPr>
        <w:t>。</w:t>
      </w:r>
    </w:p>
    <w:bookmarkEnd w:id="2047"/>
    <w:p w14:paraId="740EC322">
      <w:pPr>
        <w:wordWrap w:val="0"/>
        <w:spacing w:line="360" w:lineRule="auto"/>
        <w:ind w:firstLine="480" w:firstLineChars="200"/>
        <w:rPr>
          <w:rFonts w:ascii="宋体"/>
          <w:sz w:val="24"/>
        </w:rPr>
      </w:pPr>
      <w:r>
        <w:rPr>
          <w:rFonts w:ascii="宋体" w:hAnsi="宋体"/>
          <w:sz w:val="24"/>
        </w:rPr>
        <w:t xml:space="preserve">17.3.3  </w:t>
      </w:r>
      <w:r>
        <w:rPr>
          <w:rFonts w:hint="eastAsia" w:ascii="宋体" w:hAnsi="宋体"/>
          <w:sz w:val="24"/>
        </w:rPr>
        <w:t>进度付款证书和支付时间</w:t>
      </w:r>
    </w:p>
    <w:p w14:paraId="7560E0A4">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）监理人在收到承包人进度付款申请单以及相应的支持性证明文件后的</w:t>
      </w:r>
      <w:r>
        <w:rPr>
          <w:rFonts w:ascii="宋体" w:hAnsi="宋体"/>
          <w:sz w:val="24"/>
        </w:rPr>
        <w:t>14</w:t>
      </w:r>
      <w:r>
        <w:rPr>
          <w:rFonts w:hint="eastAsia" w:ascii="宋体" w:hAnsi="宋体"/>
          <w:sz w:val="24"/>
        </w:rPr>
        <w:t>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2096E5FF">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）发包人应在监理人收到进度付款申请单后的</w:t>
      </w:r>
      <w:r>
        <w:rPr>
          <w:rFonts w:ascii="宋体" w:hAnsi="宋体"/>
          <w:sz w:val="24"/>
        </w:rPr>
        <w:t>28</w:t>
      </w:r>
      <w:r>
        <w:rPr>
          <w:rFonts w:hint="eastAsia" w:ascii="宋体" w:hAnsi="宋体"/>
          <w:sz w:val="24"/>
        </w:rPr>
        <w:t>天内，将进度应付款支付给承包人。发包人未按第</w:t>
      </w:r>
      <w:r>
        <w:rPr>
          <w:rFonts w:ascii="宋体" w:hAnsi="宋体"/>
          <w:sz w:val="24"/>
        </w:rPr>
        <w:t>17.2.1</w:t>
      </w:r>
      <w:r>
        <w:rPr>
          <w:rFonts w:hint="eastAsia" w:ascii="宋体" w:hAnsi="宋体"/>
          <w:sz w:val="24"/>
        </w:rPr>
        <w:t>项、第</w:t>
      </w:r>
      <w:r>
        <w:rPr>
          <w:rFonts w:ascii="宋体" w:hAnsi="宋体"/>
          <w:sz w:val="24"/>
        </w:rPr>
        <w:t>17.3.3</w:t>
      </w:r>
      <w:r>
        <w:rPr>
          <w:rFonts w:hint="eastAsia" w:ascii="宋体" w:hAnsi="宋体"/>
          <w:sz w:val="24"/>
        </w:rPr>
        <w:t>（2）目、第</w:t>
      </w:r>
      <w:r>
        <w:rPr>
          <w:rFonts w:ascii="宋体" w:hAnsi="宋体"/>
          <w:sz w:val="24"/>
        </w:rPr>
        <w:t>17.5.3</w:t>
      </w:r>
      <w:r>
        <w:rPr>
          <w:rFonts w:hint="eastAsia" w:ascii="宋体" w:hAnsi="宋体"/>
          <w:sz w:val="24"/>
        </w:rPr>
        <w:t>（2）目和第</w:t>
      </w:r>
      <w:r>
        <w:rPr>
          <w:rFonts w:ascii="宋体" w:hAnsi="宋体"/>
          <w:sz w:val="24"/>
        </w:rPr>
        <w:t>17.6.2</w:t>
      </w:r>
      <w:r>
        <w:rPr>
          <w:rFonts w:hint="eastAsia" w:ascii="宋体" w:hAnsi="宋体"/>
          <w:sz w:val="24"/>
        </w:rPr>
        <w:t>（2）目约定的期限支付承包人依合同约定应当得到的款项，应当从应付之日起按照合同约定的计算标准和计算方法向承包人支付逾期付款违约金。承包人应当按第</w:t>
      </w:r>
      <w:r>
        <w:rPr>
          <w:rFonts w:ascii="宋体" w:hAnsi="宋体"/>
          <w:sz w:val="24"/>
        </w:rPr>
        <w:t>23.1</w:t>
      </w:r>
      <w:r>
        <w:rPr>
          <w:rFonts w:hint="eastAsia" w:ascii="宋体" w:hAnsi="宋体"/>
          <w:sz w:val="24"/>
        </w:rPr>
        <w:t>（</w:t>
      </w:r>
      <w:r>
        <w:rPr>
          <w:rFonts w:ascii="宋体" w:hAnsi="宋体"/>
          <w:sz w:val="24"/>
        </w:rPr>
        <w:t>1</w:t>
      </w:r>
      <w:r>
        <w:rPr>
          <w:rFonts w:hint="eastAsia" w:ascii="宋体" w:hAnsi="宋体"/>
          <w:sz w:val="24"/>
        </w:rPr>
        <w:t>）目的约定，在最终付款期限到期后</w:t>
      </w:r>
      <w:r>
        <w:rPr>
          <w:rFonts w:ascii="宋体" w:hAnsi="宋体"/>
          <w:sz w:val="24"/>
        </w:rPr>
        <w:t>28</w:t>
      </w:r>
      <w:r>
        <w:rPr>
          <w:rFonts w:hint="eastAsia" w:ascii="宋体" w:hAnsi="宋体"/>
          <w:sz w:val="24"/>
        </w:rPr>
        <w:t>天内，向监理人递交工程索赔意向通知书</w:t>
      </w:r>
      <w:r>
        <w:rPr>
          <w:rFonts w:ascii="宋体"/>
          <w:sz w:val="24"/>
        </w:rPr>
        <w:t>,</w:t>
      </w:r>
      <w:r>
        <w:rPr>
          <w:rFonts w:hint="eastAsia" w:ascii="宋体" w:hAnsi="宋体"/>
          <w:sz w:val="24"/>
        </w:rPr>
        <w:t>说明有权得到按本款约定的标准和方法计算的逾期付款违约金。承包人要求发包人支付逾期付款违约金不影响承包人要求发包人承担第</w:t>
      </w:r>
      <w:r>
        <w:rPr>
          <w:rFonts w:ascii="宋体" w:hAnsi="宋体"/>
          <w:sz w:val="24"/>
        </w:rPr>
        <w:t>22.2</w:t>
      </w:r>
      <w:r>
        <w:rPr>
          <w:rFonts w:hint="eastAsia" w:ascii="宋体" w:hAnsi="宋体"/>
          <w:sz w:val="24"/>
        </w:rPr>
        <w:t>款约定的其他违约责任的权利。逾期付款违约金计算标准和计算方法</w:t>
      </w:r>
      <w:r>
        <w:rPr>
          <w:rFonts w:hint="eastAsia" w:ascii="黑体" w:hAnsi="黑体" w:eastAsia="黑体"/>
          <w:sz w:val="24"/>
        </w:rPr>
        <w:t>见合同条款专用部分</w:t>
      </w:r>
      <w:r>
        <w:rPr>
          <w:rFonts w:hint="eastAsia" w:ascii="宋体" w:hAnsi="宋体"/>
          <w:sz w:val="24"/>
        </w:rPr>
        <w:t>。</w:t>
      </w:r>
    </w:p>
    <w:p w14:paraId="58022933">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）监理人出具进度付款证书，不应视为监理人已同意、批准或接受了承包人完成的该部分工作。</w:t>
      </w:r>
    </w:p>
    <w:p w14:paraId="65F360E4">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）进度付款涉及政府投资资金的，按照国库集中支付等国家相关规定和合同约定办理。进度付款涉及政府性资金的支付方法</w:t>
      </w:r>
      <w:r>
        <w:rPr>
          <w:rFonts w:hint="eastAsia" w:ascii="黑体" w:hAnsi="黑体" w:eastAsia="黑体"/>
          <w:sz w:val="24"/>
        </w:rPr>
        <w:t>见合同条款专用部分</w:t>
      </w:r>
      <w:r>
        <w:rPr>
          <w:rFonts w:hint="eastAsia" w:ascii="宋体" w:hAnsi="宋体"/>
          <w:sz w:val="24"/>
        </w:rPr>
        <w:t>。</w:t>
      </w:r>
    </w:p>
    <w:p w14:paraId="44D90317">
      <w:pPr>
        <w:wordWrap w:val="0"/>
        <w:spacing w:line="360" w:lineRule="auto"/>
        <w:ind w:firstLine="480" w:firstLineChars="200"/>
        <w:rPr>
          <w:rFonts w:ascii="宋体"/>
          <w:sz w:val="24"/>
        </w:rPr>
      </w:pPr>
      <w:r>
        <w:rPr>
          <w:rFonts w:ascii="宋体" w:hAnsi="宋体"/>
          <w:sz w:val="24"/>
        </w:rPr>
        <w:t xml:space="preserve">17.3.4  </w:t>
      </w:r>
      <w:r>
        <w:rPr>
          <w:rFonts w:hint="eastAsia" w:ascii="宋体" w:hAnsi="宋体"/>
          <w:sz w:val="24"/>
        </w:rPr>
        <w:t>工程进度付款的修正</w:t>
      </w:r>
    </w:p>
    <w:p w14:paraId="54585149">
      <w:pPr>
        <w:wordWrap w:val="0"/>
        <w:spacing w:line="360" w:lineRule="auto"/>
        <w:ind w:firstLine="480" w:firstLineChars="200"/>
        <w:rPr>
          <w:rFonts w:ascii="宋体"/>
          <w:sz w:val="24"/>
        </w:rPr>
      </w:pPr>
      <w:r>
        <w:rPr>
          <w:rFonts w:hint="eastAsia" w:ascii="宋体" w:hAnsi="宋体"/>
          <w:sz w:val="24"/>
        </w:rPr>
        <w:t>在对以往历次已签发的进度付款证书进行汇总和复核中发现错、漏或重复的，监理人有权予以修正，承包人也有权提出修正申请。经双方复核同意的修正，应在本次进度付款中支付或扣除。</w:t>
      </w:r>
    </w:p>
    <w:p w14:paraId="5B3345BE">
      <w:pPr>
        <w:wordWrap w:val="0"/>
        <w:spacing w:line="360" w:lineRule="auto"/>
        <w:ind w:firstLine="480" w:firstLineChars="200"/>
        <w:rPr>
          <w:rFonts w:ascii="宋体"/>
          <w:sz w:val="24"/>
        </w:rPr>
      </w:pPr>
      <w:r>
        <w:rPr>
          <w:rFonts w:ascii="宋体" w:hAnsi="宋体"/>
          <w:sz w:val="24"/>
        </w:rPr>
        <w:t xml:space="preserve">17.3.5  </w:t>
      </w:r>
      <w:r>
        <w:rPr>
          <w:rFonts w:hint="eastAsia" w:ascii="宋体" w:hAnsi="宋体"/>
          <w:sz w:val="24"/>
        </w:rPr>
        <w:t>临时付款证书</w:t>
      </w:r>
    </w:p>
    <w:p w14:paraId="59077D43">
      <w:pPr>
        <w:wordWrap w:val="0"/>
        <w:spacing w:line="360" w:lineRule="auto"/>
        <w:ind w:firstLine="480" w:firstLineChars="200"/>
        <w:rPr>
          <w:rFonts w:ascii="宋体"/>
          <w:sz w:val="24"/>
        </w:rPr>
      </w:pPr>
      <w:r>
        <w:rPr>
          <w:rFonts w:hint="eastAsia" w:ascii="宋体" w:hAnsi="宋体"/>
          <w:sz w:val="24"/>
        </w:rPr>
        <w:t>在合同约定的期限内，承包人和监理人无法对当期已完工程量和按合同约定应当支付的其他款项达成一致的，监理人应当在收到承包人报送的进度付款申请单等文件后</w:t>
      </w:r>
      <w:r>
        <w:rPr>
          <w:rFonts w:ascii="宋体" w:hAnsi="宋体"/>
          <w:sz w:val="24"/>
        </w:rPr>
        <w:t>14</w:t>
      </w:r>
      <w:r>
        <w:rPr>
          <w:rFonts w:hint="eastAsia" w:ascii="宋体" w:hAnsi="宋体"/>
          <w:sz w:val="24"/>
        </w:rPr>
        <w:t>天内，就与承包人达成一致意见的金额编制临时付款证书，报送发包人审查。临时付款证书中应当说明承包人有异议部分的金额及其原因，经发包人签字确认后，由监理人向承包人出具临时付款证书。发包人应当在监理人收到进度付款申请单后</w:t>
      </w:r>
      <w:r>
        <w:rPr>
          <w:rFonts w:ascii="宋体" w:hAnsi="宋体"/>
          <w:sz w:val="24"/>
        </w:rPr>
        <w:t>28</w:t>
      </w:r>
      <w:r>
        <w:rPr>
          <w:rFonts w:hint="eastAsia" w:ascii="宋体" w:hAnsi="宋体"/>
          <w:sz w:val="24"/>
        </w:rPr>
        <w:t>天内，将临时付款证书中确定的应付金额支付给承包人。发包人和监理人均不得以任何理由延期支付工程进度付款。</w:t>
      </w:r>
    </w:p>
    <w:p w14:paraId="0F5D5B1E">
      <w:pPr>
        <w:wordWrap w:val="0"/>
        <w:spacing w:line="360" w:lineRule="auto"/>
        <w:ind w:firstLine="480" w:firstLineChars="200"/>
        <w:rPr>
          <w:rFonts w:ascii="宋体"/>
          <w:sz w:val="24"/>
        </w:rPr>
      </w:pPr>
      <w:r>
        <w:rPr>
          <w:rFonts w:hint="eastAsia" w:ascii="宋体" w:hAnsi="宋体"/>
          <w:sz w:val="24"/>
        </w:rPr>
        <w:t>对临时付款证书中承包人有异议部分的金额，承包人应当按照监理人要求，提交进一步的支持性文件，经监理人进一步审核并认可的应付金额，应当按第</w:t>
      </w:r>
      <w:r>
        <w:rPr>
          <w:rFonts w:ascii="宋体" w:hAnsi="宋体"/>
          <w:sz w:val="24"/>
        </w:rPr>
        <w:t>17.3.4</w:t>
      </w:r>
      <w:r>
        <w:rPr>
          <w:rFonts w:hint="eastAsia" w:ascii="宋体" w:hAnsi="宋体"/>
          <w:sz w:val="24"/>
        </w:rPr>
        <w:t>项的约定纳入到下一期进度付款证书中。经过进一步努力，承包人仍有异议的，按合同条款第</w:t>
      </w:r>
      <w:r>
        <w:rPr>
          <w:rFonts w:ascii="宋体" w:hAnsi="宋体"/>
          <w:sz w:val="24"/>
        </w:rPr>
        <w:t>24</w:t>
      </w:r>
      <w:r>
        <w:rPr>
          <w:rFonts w:hint="eastAsia" w:ascii="宋体" w:hAnsi="宋体"/>
          <w:sz w:val="24"/>
        </w:rPr>
        <w:t>条的约定办理。</w:t>
      </w:r>
    </w:p>
    <w:p w14:paraId="0B7D5755">
      <w:pPr>
        <w:wordWrap w:val="0"/>
        <w:spacing w:line="360" w:lineRule="auto"/>
        <w:ind w:firstLine="480" w:firstLineChars="200"/>
        <w:rPr>
          <w:rFonts w:ascii="宋体" w:hAnsi="宋体"/>
          <w:sz w:val="24"/>
        </w:rPr>
      </w:pPr>
      <w:r>
        <w:rPr>
          <w:rFonts w:hint="eastAsia" w:ascii="宋体" w:hAnsi="宋体"/>
          <w:sz w:val="24"/>
        </w:rPr>
        <w:t>有异议款项中经监理人进一步审核后认可的，或者经过合同条款第</w:t>
      </w:r>
      <w:r>
        <w:rPr>
          <w:rFonts w:ascii="宋体" w:hAnsi="宋体"/>
          <w:sz w:val="24"/>
        </w:rPr>
        <w:t>24</w:t>
      </w:r>
      <w:r>
        <w:rPr>
          <w:rFonts w:hint="eastAsia" w:ascii="宋体" w:hAnsi="宋体"/>
          <w:sz w:val="24"/>
        </w:rPr>
        <w:t>条约定的争议解决方式确定的应付金额，其应付之日为引发异议的进度付款证书的应付之日，承包人有权得到按第</w:t>
      </w:r>
      <w:r>
        <w:rPr>
          <w:rFonts w:ascii="宋体" w:hAnsi="宋体"/>
          <w:sz w:val="24"/>
        </w:rPr>
        <w:t>17.3.3</w:t>
      </w:r>
      <w:r>
        <w:rPr>
          <w:rFonts w:hint="eastAsia" w:ascii="宋体" w:hAnsi="宋体"/>
          <w:sz w:val="24"/>
        </w:rPr>
        <w:t>（</w:t>
      </w:r>
      <w:r>
        <w:rPr>
          <w:rFonts w:ascii="宋体" w:hAnsi="宋体"/>
          <w:sz w:val="24"/>
        </w:rPr>
        <w:t>2</w:t>
      </w:r>
      <w:r>
        <w:rPr>
          <w:rFonts w:hint="eastAsia" w:ascii="宋体" w:hAnsi="宋体"/>
          <w:sz w:val="24"/>
        </w:rPr>
        <w:t>）目约定计算的逾期付款违约金。</w:t>
      </w:r>
    </w:p>
    <w:p w14:paraId="628C0BA7">
      <w:pPr>
        <w:wordWrap w:val="0"/>
        <w:spacing w:before="120" w:beforeLines="50" w:after="120" w:afterLines="50" w:line="360" w:lineRule="auto"/>
        <w:outlineLvl w:val="2"/>
        <w:rPr>
          <w:rFonts w:ascii="宋体"/>
          <w:kern w:val="0"/>
          <w:sz w:val="24"/>
          <w:szCs w:val="20"/>
        </w:rPr>
      </w:pPr>
      <w:bookmarkStart w:id="2048" w:name="_Toc207289696"/>
      <w:bookmarkStart w:id="2049" w:name="_Toc483668189"/>
      <w:bookmarkStart w:id="2050" w:name="_Toc486580160"/>
      <w:bookmarkStart w:id="2051" w:name="_Toc338944815"/>
      <w:bookmarkStart w:id="2052" w:name="_Toc480487015"/>
      <w:bookmarkStart w:id="2053" w:name="_Toc342296373"/>
      <w:bookmarkStart w:id="2054" w:name="_Toc490222605"/>
      <w:bookmarkStart w:id="2055" w:name="_Toc480486843"/>
      <w:bookmarkStart w:id="2056" w:name="_Toc489279971"/>
      <w:r>
        <w:rPr>
          <w:rFonts w:ascii="宋体"/>
          <w:kern w:val="0"/>
          <w:sz w:val="24"/>
          <w:szCs w:val="20"/>
        </w:rPr>
        <w:t xml:space="preserve">17.4  </w:t>
      </w:r>
      <w:r>
        <w:rPr>
          <w:rFonts w:hint="eastAsia" w:ascii="宋体"/>
          <w:kern w:val="0"/>
          <w:sz w:val="24"/>
          <w:szCs w:val="20"/>
        </w:rPr>
        <w:t>质量保证金</w:t>
      </w:r>
      <w:bookmarkEnd w:id="2048"/>
      <w:bookmarkEnd w:id="2049"/>
      <w:bookmarkEnd w:id="2050"/>
      <w:bookmarkEnd w:id="2051"/>
      <w:bookmarkEnd w:id="2052"/>
      <w:bookmarkEnd w:id="2053"/>
      <w:bookmarkEnd w:id="2054"/>
      <w:bookmarkEnd w:id="2055"/>
      <w:bookmarkEnd w:id="2056"/>
    </w:p>
    <w:p w14:paraId="31A7F337">
      <w:pPr>
        <w:wordWrap w:val="0"/>
        <w:spacing w:line="360" w:lineRule="auto"/>
        <w:ind w:firstLine="480" w:firstLineChars="200"/>
        <w:rPr>
          <w:rFonts w:ascii="宋体"/>
          <w:sz w:val="24"/>
        </w:rPr>
      </w:pPr>
      <w:bookmarkStart w:id="2057" w:name="_Toc490222606"/>
      <w:bookmarkStart w:id="2058" w:name="_Toc342296374"/>
      <w:bookmarkStart w:id="2059" w:name="_Toc338944816"/>
      <w:bookmarkStart w:id="2060" w:name="_Toc483668190"/>
      <w:bookmarkStart w:id="2061" w:name="_Toc489279972"/>
      <w:bookmarkStart w:id="2062" w:name="_Toc486580161"/>
      <w:bookmarkStart w:id="2063" w:name="_Toc480486844"/>
      <w:bookmarkStart w:id="2064" w:name="_Toc480487016"/>
      <w:r>
        <w:rPr>
          <w:rFonts w:ascii="宋体" w:hAnsi="宋体"/>
          <w:sz w:val="24"/>
        </w:rPr>
        <w:t xml:space="preserve">17.4.1  </w:t>
      </w:r>
      <w:r>
        <w:rPr>
          <w:rFonts w:hint="eastAsia" w:ascii="宋体" w:hAnsi="宋体"/>
          <w:sz w:val="24"/>
        </w:rPr>
        <w:t>质量保证金处理</w:t>
      </w:r>
    </w:p>
    <w:p w14:paraId="132A4DE4">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）合同条款专用部分第</w:t>
      </w:r>
      <w:r>
        <w:rPr>
          <w:rFonts w:ascii="宋体" w:hAnsi="宋体"/>
          <w:sz w:val="24"/>
        </w:rPr>
        <w:t>4.2.1</w:t>
      </w:r>
      <w:r>
        <w:rPr>
          <w:rFonts w:hint="eastAsia" w:ascii="宋体" w:hAnsi="宋体"/>
          <w:sz w:val="24"/>
        </w:rPr>
        <w:t>项约定不提交履约担保，采用扣留质量保证金的，质量保证金由监理人从第一个付款周期开始按进度付款证书确认的已实施工程的合同清单价款、已实施工程的工程量清单缺陷调整价款、根据合同条款第</w:t>
      </w:r>
      <w:r>
        <w:rPr>
          <w:rFonts w:ascii="宋体" w:hAnsi="宋体"/>
          <w:sz w:val="24"/>
        </w:rPr>
        <w:t>15</w:t>
      </w:r>
      <w:r>
        <w:rPr>
          <w:rFonts w:hint="eastAsia" w:ascii="宋体" w:hAnsi="宋体"/>
          <w:sz w:val="24"/>
        </w:rPr>
        <w:t>条增加和扣减的变更金额、根据合同条款第</w:t>
      </w:r>
      <w:r>
        <w:rPr>
          <w:rFonts w:ascii="宋体" w:hAnsi="宋体"/>
          <w:sz w:val="24"/>
        </w:rPr>
        <w:t>23</w:t>
      </w:r>
      <w:r>
        <w:rPr>
          <w:rFonts w:hint="eastAsia" w:ascii="宋体" w:hAnsi="宋体"/>
          <w:sz w:val="24"/>
        </w:rPr>
        <w:t>条增加和扣减的索赔金额以及根据合同应增加和扣减的其他金额（不包括预付款的支付、返还、此前已经按合同约定支付给承包人的进度款以及已经扣留的质量保证金）的总额的约定比例扣留，直至质量保证金累计扣留金额达到</w:t>
      </w:r>
      <w:r>
        <w:rPr>
          <w:rFonts w:hint="eastAsia" w:ascii="宋体" w:hAnsi="宋体" w:cs="Arial"/>
          <w:sz w:val="24"/>
        </w:rPr>
        <w:t>竣工结算</w:t>
      </w:r>
      <w:r>
        <w:rPr>
          <w:rFonts w:hint="eastAsia" w:ascii="宋体" w:hAnsi="宋体"/>
          <w:sz w:val="24"/>
        </w:rPr>
        <w:t>合同总价的约定比例为止；</w:t>
      </w:r>
    </w:p>
    <w:p w14:paraId="58FACD30">
      <w:pPr>
        <w:wordWrap w:val="0"/>
        <w:spacing w:line="360" w:lineRule="auto"/>
        <w:ind w:firstLine="480" w:firstLineChars="200"/>
        <w:rPr>
          <w:rFonts w:ascii="宋体"/>
          <w:sz w:val="24"/>
        </w:rPr>
      </w:pPr>
      <w:r>
        <w:rPr>
          <w:rFonts w:hint="eastAsia" w:ascii="宋体" w:hAnsi="宋体"/>
          <w:sz w:val="24"/>
        </w:rPr>
        <w:t>采用质量保证金保函担保形式的，工程竣工前，不得扣留质量保证金。</w:t>
      </w:r>
    </w:p>
    <w:p w14:paraId="289E8E78">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）合同条款专用部分第</w:t>
      </w:r>
      <w:r>
        <w:rPr>
          <w:rFonts w:ascii="宋体" w:hAnsi="宋体"/>
          <w:sz w:val="24"/>
        </w:rPr>
        <w:t>4.2.1</w:t>
      </w:r>
      <w:r>
        <w:rPr>
          <w:rFonts w:hint="eastAsia" w:ascii="宋体" w:hAnsi="宋体"/>
          <w:sz w:val="24"/>
        </w:rPr>
        <w:t>项约定提交履约担保，采用扣留质量保证金的，在第</w:t>
      </w:r>
      <w:r>
        <w:rPr>
          <w:rFonts w:ascii="宋体" w:hAnsi="宋体"/>
          <w:sz w:val="24"/>
        </w:rPr>
        <w:t>17.5</w:t>
      </w:r>
      <w:r>
        <w:rPr>
          <w:rFonts w:hint="eastAsia" w:ascii="宋体" w:hAnsi="宋体"/>
          <w:sz w:val="24"/>
        </w:rPr>
        <w:t>款竣工结算中，应当按照</w:t>
      </w:r>
      <w:r>
        <w:rPr>
          <w:rFonts w:hint="eastAsia" w:ascii="宋体" w:hAnsi="宋体" w:cs="Arial"/>
          <w:sz w:val="24"/>
        </w:rPr>
        <w:t>竣工结算</w:t>
      </w:r>
      <w:r>
        <w:rPr>
          <w:rFonts w:hint="eastAsia" w:ascii="宋体" w:hAnsi="宋体"/>
          <w:sz w:val="24"/>
        </w:rPr>
        <w:t>合同总价约定的比例扣留质量保证金；采用质量保证金保函担保形式的，工程竣工前，不得扣留质量保证金。</w:t>
      </w:r>
    </w:p>
    <w:p w14:paraId="65CC57E0">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）质量保证金的形式与约定比例</w:t>
      </w:r>
      <w:r>
        <w:rPr>
          <w:rFonts w:hint="eastAsia" w:ascii="黑体" w:hAnsi="黑体" w:eastAsia="黑体"/>
          <w:sz w:val="24"/>
        </w:rPr>
        <w:t>见合同条款专用部分。</w:t>
      </w:r>
    </w:p>
    <w:p w14:paraId="6B5414BF">
      <w:pPr>
        <w:wordWrap w:val="0"/>
        <w:spacing w:line="360" w:lineRule="auto"/>
        <w:ind w:firstLine="480" w:firstLineChars="200"/>
        <w:rPr>
          <w:rFonts w:ascii="宋体"/>
          <w:sz w:val="24"/>
        </w:rPr>
      </w:pPr>
      <w:r>
        <w:rPr>
          <w:rFonts w:ascii="宋体" w:hAnsi="宋体"/>
          <w:sz w:val="24"/>
        </w:rPr>
        <w:t xml:space="preserve">17.4.2  </w:t>
      </w:r>
      <w:r>
        <w:rPr>
          <w:rFonts w:hint="eastAsia" w:ascii="宋体" w:hAnsi="宋体"/>
          <w:sz w:val="24"/>
        </w:rPr>
        <w:t>在第</w:t>
      </w:r>
      <w:r>
        <w:rPr>
          <w:rFonts w:ascii="宋体" w:hAnsi="宋体"/>
          <w:sz w:val="24"/>
        </w:rPr>
        <w:t>1.1.4.5</w:t>
      </w:r>
      <w:r>
        <w:rPr>
          <w:rFonts w:hint="eastAsia" w:ascii="宋体" w:hAnsi="宋体"/>
          <w:sz w:val="24"/>
        </w:rPr>
        <w:t>目约定的缺陷责任期满时，承包人向发包人申请到期应返还承包人剩余的质量保证金金额或退还保函担保，发包人应在</w:t>
      </w:r>
      <w:r>
        <w:rPr>
          <w:rFonts w:ascii="宋体" w:hAnsi="宋体"/>
          <w:sz w:val="24"/>
        </w:rPr>
        <w:t>14</w:t>
      </w:r>
      <w:r>
        <w:rPr>
          <w:rFonts w:hint="eastAsia" w:ascii="宋体" w:hAnsi="宋体"/>
          <w:sz w:val="24"/>
        </w:rPr>
        <w:t>天内会同承包人按照合同约定的内容核实承包人是否完成缺陷责任。如无异议，发包人应当在核实后将剩余保证金返还承包人或将其保函退还承包人。</w:t>
      </w:r>
    </w:p>
    <w:p w14:paraId="13ACE491">
      <w:pPr>
        <w:wordWrap w:val="0"/>
        <w:spacing w:line="360" w:lineRule="auto"/>
        <w:ind w:firstLine="480" w:firstLineChars="200"/>
        <w:rPr>
          <w:rFonts w:ascii="宋体"/>
          <w:sz w:val="24"/>
        </w:rPr>
      </w:pPr>
      <w:r>
        <w:rPr>
          <w:rFonts w:ascii="宋体" w:hAnsi="宋体"/>
          <w:sz w:val="24"/>
        </w:rPr>
        <w:t xml:space="preserve">17.4.3  </w:t>
      </w:r>
      <w:r>
        <w:rPr>
          <w:rFonts w:hint="eastAsia" w:ascii="宋体" w:hAnsi="宋体"/>
          <w:sz w:val="24"/>
        </w:rPr>
        <w:t>在第</w:t>
      </w:r>
      <w:r>
        <w:rPr>
          <w:rFonts w:ascii="宋体" w:hAnsi="宋体"/>
          <w:sz w:val="24"/>
        </w:rPr>
        <w:t>1.1.4.5</w:t>
      </w:r>
      <w:r>
        <w:rPr>
          <w:rFonts w:hint="eastAsia" w:ascii="宋体" w:hAnsi="宋体"/>
          <w:sz w:val="24"/>
        </w:rPr>
        <w:t>目约定的缺陷责任期满时，承包人没有完成缺陷责任的，发包人有权扣留与未履行责任剩余工作所需金额相应的质量保证金余额或依据其保函担保约定追究责任，并有权根据第</w:t>
      </w:r>
      <w:r>
        <w:rPr>
          <w:rFonts w:ascii="宋体" w:hAnsi="宋体"/>
          <w:sz w:val="24"/>
        </w:rPr>
        <w:t>19.3</w:t>
      </w:r>
      <w:r>
        <w:rPr>
          <w:rFonts w:hint="eastAsia" w:ascii="宋体" w:hAnsi="宋体"/>
          <w:sz w:val="24"/>
        </w:rPr>
        <w:t>款约定要求延长缺陷责任期，直至完成剩余工作为止。</w:t>
      </w:r>
    </w:p>
    <w:p w14:paraId="6AC947D8">
      <w:pPr>
        <w:wordWrap w:val="0"/>
        <w:spacing w:before="120" w:beforeLines="50" w:after="120" w:afterLines="50" w:line="360" w:lineRule="auto"/>
        <w:outlineLvl w:val="2"/>
        <w:rPr>
          <w:rFonts w:ascii="宋体"/>
          <w:kern w:val="0"/>
          <w:sz w:val="24"/>
          <w:szCs w:val="20"/>
        </w:rPr>
      </w:pPr>
      <w:bookmarkStart w:id="2065" w:name="_Toc207289697"/>
      <w:r>
        <w:rPr>
          <w:rFonts w:ascii="宋体"/>
          <w:kern w:val="0"/>
          <w:sz w:val="24"/>
          <w:szCs w:val="20"/>
        </w:rPr>
        <w:t xml:space="preserve">17.5  </w:t>
      </w:r>
      <w:r>
        <w:rPr>
          <w:rFonts w:hint="eastAsia" w:ascii="宋体"/>
          <w:kern w:val="0"/>
          <w:sz w:val="24"/>
          <w:szCs w:val="20"/>
        </w:rPr>
        <w:t>竣工结算</w:t>
      </w:r>
      <w:bookmarkEnd w:id="2057"/>
      <w:bookmarkEnd w:id="2058"/>
      <w:bookmarkEnd w:id="2059"/>
      <w:bookmarkEnd w:id="2060"/>
      <w:bookmarkEnd w:id="2061"/>
      <w:bookmarkEnd w:id="2062"/>
      <w:bookmarkEnd w:id="2063"/>
      <w:bookmarkEnd w:id="2064"/>
      <w:bookmarkEnd w:id="2065"/>
    </w:p>
    <w:p w14:paraId="46D61A03">
      <w:pPr>
        <w:wordWrap w:val="0"/>
        <w:spacing w:line="360" w:lineRule="auto"/>
        <w:ind w:firstLine="480" w:firstLineChars="200"/>
        <w:rPr>
          <w:rFonts w:ascii="宋体" w:hAnsi="宋体"/>
          <w:sz w:val="24"/>
        </w:rPr>
      </w:pPr>
      <w:bookmarkStart w:id="2066" w:name="_Hlk114650119"/>
      <w:r>
        <w:rPr>
          <w:rFonts w:ascii="宋体" w:hAnsi="宋体"/>
          <w:sz w:val="24"/>
        </w:rPr>
        <w:t xml:space="preserve">17.5.1  </w:t>
      </w:r>
      <w:r>
        <w:rPr>
          <w:rFonts w:hint="eastAsia" w:ascii="宋体" w:hAnsi="宋体"/>
          <w:sz w:val="24"/>
        </w:rPr>
        <w:t>过程结算</w:t>
      </w:r>
    </w:p>
    <w:p w14:paraId="1EB0B856">
      <w:pPr>
        <w:wordWrap w:val="0"/>
        <w:spacing w:line="360" w:lineRule="auto"/>
        <w:ind w:firstLine="480" w:firstLineChars="200"/>
        <w:rPr>
          <w:rFonts w:ascii="宋体"/>
          <w:sz w:val="24"/>
        </w:rPr>
      </w:pPr>
      <w:bookmarkStart w:id="2067" w:name="_Hlk111558437"/>
      <w:bookmarkStart w:id="2068" w:name="_Hlk200725783"/>
      <w:r>
        <w:rPr>
          <w:rFonts w:hint="eastAsia" w:ascii="宋体" w:hAnsi="宋体"/>
          <w:sz w:val="24"/>
        </w:rPr>
        <w:t>本工程是否进行过程结算及相关要求</w:t>
      </w:r>
      <w:bookmarkEnd w:id="2067"/>
      <w:r>
        <w:rPr>
          <w:rFonts w:hint="eastAsia" w:ascii="黑体" w:hAnsi="黑体" w:eastAsia="黑体"/>
          <w:sz w:val="24"/>
        </w:rPr>
        <w:t>见合同条款专用部分</w:t>
      </w:r>
      <w:r>
        <w:rPr>
          <w:rFonts w:hint="eastAsia" w:ascii="宋体" w:hAnsi="宋体"/>
          <w:sz w:val="24"/>
        </w:rPr>
        <w:t>。</w:t>
      </w:r>
    </w:p>
    <w:bookmarkEnd w:id="2066"/>
    <w:bookmarkEnd w:id="2068"/>
    <w:p w14:paraId="7C9C8D83">
      <w:pPr>
        <w:wordWrap w:val="0"/>
        <w:spacing w:line="360" w:lineRule="auto"/>
        <w:ind w:firstLine="480" w:firstLineChars="200"/>
        <w:rPr>
          <w:rFonts w:ascii="宋体"/>
          <w:sz w:val="24"/>
        </w:rPr>
      </w:pPr>
      <w:r>
        <w:rPr>
          <w:rFonts w:ascii="宋体" w:hAnsi="宋体"/>
          <w:sz w:val="24"/>
        </w:rPr>
        <w:t xml:space="preserve">17.5.2  </w:t>
      </w:r>
      <w:r>
        <w:rPr>
          <w:rFonts w:hint="eastAsia" w:ascii="宋体" w:hAnsi="宋体"/>
          <w:sz w:val="24"/>
        </w:rPr>
        <w:t>竣工付款申请单</w:t>
      </w:r>
    </w:p>
    <w:p w14:paraId="1CEDC55D">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）工程接收证书颁发后，承包人应按合同约定的份数和期限向监理人提交竣工付款申请单，并提供相关证明材料。承包人提交竣工付款申请单份数和期限</w:t>
      </w:r>
      <w:r>
        <w:rPr>
          <w:rFonts w:hint="eastAsia" w:ascii="黑体" w:hAnsi="黑体" w:eastAsia="黑体"/>
          <w:sz w:val="24"/>
        </w:rPr>
        <w:t>见合同条款专用部分</w:t>
      </w:r>
      <w:r>
        <w:rPr>
          <w:rFonts w:hint="eastAsia" w:ascii="宋体" w:hAnsi="宋体"/>
          <w:sz w:val="24"/>
        </w:rPr>
        <w:t>。</w:t>
      </w:r>
    </w:p>
    <w:p w14:paraId="68B9547A">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）竣工付款申请单应包括下列内容：竣工结算合同总价、发包人已支付承包人的工程价款、应扣留的质量保证金、应支付的竣工付款金额和应支付或扣减的其他内容金额。竣工付款申请单的其他内容</w:t>
      </w:r>
      <w:r>
        <w:rPr>
          <w:rFonts w:hint="eastAsia" w:ascii="黑体" w:hAnsi="黑体" w:eastAsia="黑体"/>
          <w:sz w:val="24"/>
        </w:rPr>
        <w:t>见合同条款专用部分</w:t>
      </w:r>
      <w:r>
        <w:rPr>
          <w:rFonts w:hint="eastAsia" w:ascii="宋体" w:hAnsi="宋体"/>
          <w:sz w:val="24"/>
        </w:rPr>
        <w:t>。</w:t>
      </w:r>
    </w:p>
    <w:p w14:paraId="28EAC867">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）监理人对竣工付款申请单有异议的，有权要求承包人进行修正和提供补充资料。经监理人和承包人协商后，由承包人向监理人提交修正后的竣工付款申请单。</w:t>
      </w:r>
    </w:p>
    <w:p w14:paraId="5216E977">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）承包人未按本项约定的期限和内容提交竣工付款申请单或者未按第</w:t>
      </w:r>
      <w:r>
        <w:rPr>
          <w:rFonts w:ascii="宋体" w:hAnsi="宋体"/>
          <w:sz w:val="24"/>
        </w:rPr>
        <w:t>17.5.2</w:t>
      </w:r>
      <w:r>
        <w:rPr>
          <w:rFonts w:hint="eastAsia" w:ascii="宋体" w:hAnsi="宋体"/>
          <w:sz w:val="24"/>
        </w:rPr>
        <w:t>（</w:t>
      </w:r>
      <w:r>
        <w:rPr>
          <w:rFonts w:ascii="宋体" w:hAnsi="宋体"/>
          <w:sz w:val="24"/>
        </w:rPr>
        <w:t>3</w:t>
      </w:r>
      <w:r>
        <w:rPr>
          <w:rFonts w:hint="eastAsia" w:ascii="宋体" w:hAnsi="宋体"/>
          <w:sz w:val="24"/>
        </w:rPr>
        <w:t>）目约定提交修正后的竣工付款申请单，经监理人催促后</w:t>
      </w:r>
      <w:r>
        <w:rPr>
          <w:rFonts w:ascii="宋体" w:hAnsi="宋体"/>
          <w:sz w:val="24"/>
        </w:rPr>
        <w:t>14</w:t>
      </w:r>
      <w:r>
        <w:rPr>
          <w:rFonts w:hint="eastAsia" w:ascii="宋体" w:hAnsi="宋体"/>
          <w:sz w:val="24"/>
        </w:rPr>
        <w:t>天内仍未提交或者没有明确答复的，监理人和发包人有权根据已有资料进行审查，审查确定的竣工结算合同总价和竣工付款金额视同是经承包人认可的工程竣工结算合同总价和竣工付款金额。</w:t>
      </w:r>
    </w:p>
    <w:p w14:paraId="54075019">
      <w:pPr>
        <w:wordWrap w:val="0"/>
        <w:spacing w:line="360" w:lineRule="auto"/>
        <w:ind w:firstLine="480" w:firstLineChars="200"/>
        <w:rPr>
          <w:rFonts w:ascii="宋体"/>
          <w:sz w:val="24"/>
        </w:rPr>
      </w:pPr>
      <w:r>
        <w:rPr>
          <w:rFonts w:ascii="宋体" w:hAnsi="宋体"/>
          <w:sz w:val="24"/>
        </w:rPr>
        <w:t xml:space="preserve">17.5.3  </w:t>
      </w:r>
      <w:r>
        <w:rPr>
          <w:rFonts w:hint="eastAsia" w:ascii="宋体" w:hAnsi="宋体"/>
          <w:sz w:val="24"/>
        </w:rPr>
        <w:t>竣工付款证书及支付时间</w:t>
      </w:r>
    </w:p>
    <w:p w14:paraId="3798AF11">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）监理人在收到承包人提交的竣工付款申请单后的</w:t>
      </w:r>
      <w:r>
        <w:rPr>
          <w:rFonts w:ascii="宋体" w:hAnsi="宋体"/>
          <w:sz w:val="24"/>
        </w:rPr>
        <w:t>14</w:t>
      </w:r>
      <w:r>
        <w:rPr>
          <w:rFonts w:hint="eastAsia" w:ascii="宋体" w:hAnsi="宋体"/>
          <w:sz w:val="24"/>
        </w:rPr>
        <w:t>天内完成审核，并提出发包人到期应支付给承包人的价款等审核意见，报送发包人审核。发包人应在收到后</w:t>
      </w:r>
      <w:r>
        <w:rPr>
          <w:rFonts w:ascii="宋体" w:hAnsi="宋体"/>
          <w:sz w:val="24"/>
        </w:rPr>
        <w:t>14</w:t>
      </w:r>
      <w:r>
        <w:rPr>
          <w:rFonts w:hint="eastAsia" w:ascii="宋体" w:hAnsi="宋体"/>
          <w:sz w:val="24"/>
        </w:rPr>
        <w:t>天内审核完毕，由监理人向承包人出具经发包人签字确认的竣工付款证书。监理人未在约定时间内提出具体意见的，视为承包人提交的竣工付款申请单已经监理人核查同意；发包人未在约定时间内提出具体意见的，监理人提出发包人到期应支付给承包人的价款视为已经发包人同意。</w:t>
      </w:r>
    </w:p>
    <w:p w14:paraId="7780ECCC">
      <w:pPr>
        <w:wordWrap w:val="0"/>
        <w:spacing w:line="360" w:lineRule="auto"/>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）发包人应在监理人出具竣工付款证书后的</w:t>
      </w:r>
      <w:r>
        <w:rPr>
          <w:rFonts w:ascii="宋体" w:hAnsi="宋体"/>
          <w:sz w:val="24"/>
        </w:rPr>
        <w:t>14</w:t>
      </w:r>
      <w:r>
        <w:rPr>
          <w:rFonts w:hint="eastAsia" w:ascii="宋体" w:hAnsi="宋体"/>
          <w:sz w:val="24"/>
        </w:rPr>
        <w:t>天内，将应支付款支付给承包人。发包人不按期支付的，按第</w:t>
      </w:r>
      <w:r>
        <w:rPr>
          <w:rFonts w:ascii="宋体" w:hAnsi="宋体"/>
          <w:sz w:val="24"/>
        </w:rPr>
        <w:t>17.3.3</w:t>
      </w:r>
      <w:r>
        <w:rPr>
          <w:rFonts w:hint="eastAsia" w:ascii="宋体" w:hAnsi="宋体"/>
          <w:sz w:val="24"/>
        </w:rPr>
        <w:t>（</w:t>
      </w:r>
      <w:r>
        <w:rPr>
          <w:rFonts w:ascii="宋体" w:hAnsi="宋体"/>
          <w:sz w:val="24"/>
        </w:rPr>
        <w:t>2</w:t>
      </w:r>
      <w:r>
        <w:rPr>
          <w:rFonts w:hint="eastAsia" w:ascii="宋体" w:hAnsi="宋体"/>
          <w:sz w:val="24"/>
        </w:rPr>
        <w:t>）目的约定，将逾期付款违约金支付给承包人。</w:t>
      </w:r>
    </w:p>
    <w:p w14:paraId="28095535">
      <w:pPr>
        <w:wordWrap w:val="0"/>
        <w:spacing w:line="360" w:lineRule="auto"/>
        <w:ind w:firstLine="480" w:firstLineChars="200"/>
        <w:rPr>
          <w:rFonts w:ascii="宋体" w:hAnsi="宋体"/>
          <w:sz w:val="24"/>
        </w:rPr>
      </w:pPr>
      <w:bookmarkStart w:id="2069" w:name="_Hlk114650160"/>
      <w:r>
        <w:rPr>
          <w:rFonts w:hint="eastAsia" w:ascii="宋体" w:hAnsi="宋体"/>
          <w:sz w:val="24"/>
        </w:rPr>
        <w:t>（</w:t>
      </w:r>
      <w:r>
        <w:rPr>
          <w:rFonts w:ascii="宋体" w:hAnsi="宋体"/>
          <w:sz w:val="24"/>
        </w:rPr>
        <w:t>3</w:t>
      </w:r>
      <w:r>
        <w:rPr>
          <w:rFonts w:hint="eastAsia" w:ascii="宋体" w:hAnsi="宋体"/>
          <w:sz w:val="24"/>
        </w:rPr>
        <w:t>）如竣工付款证书中显示进度款支付超出实际已完成工程价款的情况，承包人应在监理人出具竣工付款证书后</w:t>
      </w:r>
      <w:r>
        <w:rPr>
          <w:rFonts w:ascii="宋体" w:hAnsi="宋体"/>
          <w:sz w:val="24"/>
        </w:rPr>
        <w:t>30日内向发包</w:t>
      </w:r>
      <w:r>
        <w:rPr>
          <w:rFonts w:hint="eastAsia" w:ascii="宋体" w:hAnsi="宋体"/>
          <w:sz w:val="24"/>
        </w:rPr>
        <w:t>人返还多收到的工程进度款。</w:t>
      </w:r>
    </w:p>
    <w:bookmarkEnd w:id="2069"/>
    <w:p w14:paraId="091698EA">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）承包人对发包人签认的竣工付款证书有异议的，发包人可出具竣工付款申请单中与承包人达成一致意见部分的临时付款证书。存在争议的部分，按第</w:t>
      </w:r>
      <w:r>
        <w:rPr>
          <w:rFonts w:ascii="宋体" w:hAnsi="宋体"/>
          <w:sz w:val="24"/>
        </w:rPr>
        <w:t>24</w:t>
      </w:r>
      <w:r>
        <w:rPr>
          <w:rFonts w:hint="eastAsia" w:ascii="宋体" w:hAnsi="宋体"/>
          <w:sz w:val="24"/>
        </w:rPr>
        <w:t>条“争议的解决”的约定办理。</w:t>
      </w:r>
    </w:p>
    <w:p w14:paraId="42F50780">
      <w:pPr>
        <w:wordWrap w:val="0"/>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）竣工付款涉及政府投资资金的，按第</w:t>
      </w:r>
      <w:r>
        <w:rPr>
          <w:rFonts w:ascii="宋体" w:hAnsi="宋体"/>
          <w:sz w:val="24"/>
        </w:rPr>
        <w:t>17.3.3</w:t>
      </w:r>
      <w:r>
        <w:rPr>
          <w:rFonts w:hint="eastAsia" w:ascii="宋体" w:hAnsi="宋体"/>
          <w:sz w:val="24"/>
        </w:rPr>
        <w:t>（</w:t>
      </w:r>
      <w:r>
        <w:rPr>
          <w:rFonts w:ascii="宋体" w:hAnsi="宋体"/>
          <w:sz w:val="24"/>
        </w:rPr>
        <w:t>4</w:t>
      </w:r>
      <w:r>
        <w:rPr>
          <w:rFonts w:hint="eastAsia" w:ascii="宋体" w:hAnsi="宋体"/>
          <w:sz w:val="24"/>
        </w:rPr>
        <w:t>）目的约定办理。</w:t>
      </w:r>
    </w:p>
    <w:p w14:paraId="4D2D7FB5">
      <w:pPr>
        <w:wordWrap w:val="0"/>
        <w:spacing w:line="360" w:lineRule="auto"/>
        <w:ind w:firstLine="480" w:firstLineChars="200"/>
        <w:rPr>
          <w:rFonts w:ascii="宋体"/>
          <w:sz w:val="24"/>
        </w:rPr>
      </w:pPr>
      <w:r>
        <w:rPr>
          <w:rFonts w:ascii="宋体" w:hAnsi="宋体"/>
          <w:sz w:val="24"/>
        </w:rPr>
        <w:t>17.5</w:t>
      </w:r>
      <w:r>
        <w:rPr>
          <w:rFonts w:ascii="宋体"/>
          <w:sz w:val="24"/>
        </w:rPr>
        <w:t>.</w:t>
      </w:r>
      <w:r>
        <w:rPr>
          <w:rFonts w:ascii="宋体" w:hAnsi="宋体"/>
          <w:sz w:val="24"/>
        </w:rPr>
        <w:t xml:space="preserve">4  </w:t>
      </w:r>
      <w:r>
        <w:rPr>
          <w:rFonts w:hint="eastAsia" w:ascii="宋体" w:hAnsi="宋体"/>
          <w:sz w:val="24"/>
        </w:rPr>
        <w:t>除第</w:t>
      </w:r>
      <w:r>
        <w:rPr>
          <w:rFonts w:ascii="宋体" w:hAnsi="宋体"/>
          <w:sz w:val="24"/>
        </w:rPr>
        <w:t>17.5</w:t>
      </w:r>
      <w:r>
        <w:rPr>
          <w:rFonts w:ascii="宋体"/>
          <w:sz w:val="24"/>
        </w:rPr>
        <w:t>.</w:t>
      </w:r>
      <w:r>
        <w:rPr>
          <w:rFonts w:ascii="宋体" w:hAnsi="宋体"/>
          <w:sz w:val="24"/>
        </w:rPr>
        <w:t>5</w:t>
      </w:r>
      <w:r>
        <w:rPr>
          <w:rFonts w:hint="eastAsia" w:ascii="宋体" w:hAnsi="宋体"/>
          <w:sz w:val="24"/>
        </w:rPr>
        <w:t>项约定的情况外，发包人和承包人应当在监理人颁发（出具）工程接收证书后</w:t>
      </w:r>
      <w:r>
        <w:rPr>
          <w:rFonts w:ascii="宋体" w:hAnsi="宋体"/>
          <w:sz w:val="24"/>
        </w:rPr>
        <w:t>56</w:t>
      </w:r>
      <w:r>
        <w:rPr>
          <w:rFonts w:hint="eastAsia" w:ascii="宋体" w:hAnsi="宋体"/>
          <w:sz w:val="24"/>
        </w:rPr>
        <w:t>天内办清竣工结算和竣工付款。</w:t>
      </w:r>
    </w:p>
    <w:p w14:paraId="65892429">
      <w:pPr>
        <w:wordWrap w:val="0"/>
        <w:spacing w:line="360" w:lineRule="auto"/>
        <w:ind w:firstLine="480" w:firstLineChars="200"/>
        <w:rPr>
          <w:rFonts w:ascii="宋体"/>
          <w:sz w:val="24"/>
        </w:rPr>
      </w:pPr>
      <w:r>
        <w:rPr>
          <w:rFonts w:ascii="宋体" w:hAnsi="宋体"/>
          <w:sz w:val="24"/>
        </w:rPr>
        <w:t>17.5</w:t>
      </w:r>
      <w:r>
        <w:rPr>
          <w:rFonts w:ascii="宋体"/>
          <w:sz w:val="24"/>
        </w:rPr>
        <w:t>.</w:t>
      </w:r>
      <w:r>
        <w:rPr>
          <w:rFonts w:ascii="宋体" w:hAnsi="宋体"/>
          <w:sz w:val="24"/>
        </w:rPr>
        <w:t xml:space="preserve">5  </w:t>
      </w:r>
      <w:r>
        <w:rPr>
          <w:rFonts w:hint="eastAsia" w:ascii="宋体" w:hAnsi="宋体"/>
          <w:sz w:val="24"/>
        </w:rPr>
        <w:t>政府投资或者以政府投资为主的建设项目纳入审计项目计划的，发包人和承包人均负有配合、接受审计机关审计的义务，竣工结算应当依据审计结论，办清竣工结算和竣工付款的时间按照相关规定执行。</w:t>
      </w:r>
    </w:p>
    <w:p w14:paraId="593D17D4">
      <w:pPr>
        <w:wordWrap w:val="0"/>
        <w:spacing w:before="120" w:beforeLines="50" w:after="120" w:afterLines="50" w:line="360" w:lineRule="auto"/>
        <w:outlineLvl w:val="2"/>
        <w:rPr>
          <w:rFonts w:ascii="宋体"/>
          <w:kern w:val="0"/>
          <w:sz w:val="24"/>
          <w:szCs w:val="20"/>
        </w:rPr>
      </w:pPr>
      <w:bookmarkStart w:id="2070" w:name="_Toc490222607"/>
      <w:bookmarkStart w:id="2071" w:name="_Toc342296375"/>
      <w:bookmarkStart w:id="2072" w:name="_Toc480486845"/>
      <w:bookmarkStart w:id="2073" w:name="_Toc483668191"/>
      <w:bookmarkStart w:id="2074" w:name="_Toc207289698"/>
      <w:bookmarkStart w:id="2075" w:name="_Toc480487017"/>
      <w:bookmarkStart w:id="2076" w:name="_Toc486580162"/>
      <w:bookmarkStart w:id="2077" w:name="_Toc338944817"/>
      <w:bookmarkStart w:id="2078" w:name="_Toc489279973"/>
      <w:r>
        <w:rPr>
          <w:rFonts w:ascii="宋体"/>
          <w:kern w:val="0"/>
          <w:sz w:val="24"/>
          <w:szCs w:val="20"/>
        </w:rPr>
        <w:t xml:space="preserve">17.6  </w:t>
      </w:r>
      <w:r>
        <w:rPr>
          <w:rFonts w:hint="eastAsia" w:ascii="宋体"/>
          <w:kern w:val="0"/>
          <w:sz w:val="24"/>
          <w:szCs w:val="20"/>
        </w:rPr>
        <w:t>最终结清</w:t>
      </w:r>
      <w:bookmarkEnd w:id="2070"/>
      <w:bookmarkEnd w:id="2071"/>
      <w:bookmarkEnd w:id="2072"/>
      <w:bookmarkEnd w:id="2073"/>
      <w:bookmarkEnd w:id="2074"/>
      <w:bookmarkEnd w:id="2075"/>
      <w:bookmarkEnd w:id="2076"/>
      <w:bookmarkEnd w:id="2077"/>
      <w:bookmarkEnd w:id="2078"/>
    </w:p>
    <w:p w14:paraId="17C7FF2D">
      <w:pPr>
        <w:wordWrap w:val="0"/>
        <w:spacing w:line="360" w:lineRule="auto"/>
        <w:ind w:firstLine="480" w:firstLineChars="200"/>
        <w:rPr>
          <w:rFonts w:ascii="宋体"/>
          <w:sz w:val="24"/>
        </w:rPr>
      </w:pPr>
      <w:r>
        <w:rPr>
          <w:rFonts w:ascii="宋体" w:hAnsi="宋体"/>
          <w:sz w:val="24"/>
        </w:rPr>
        <w:t xml:space="preserve">17.6.1  </w:t>
      </w:r>
      <w:r>
        <w:rPr>
          <w:rFonts w:hint="eastAsia" w:ascii="宋体" w:hAnsi="宋体"/>
          <w:sz w:val="24"/>
        </w:rPr>
        <w:t>最终结清申请单</w:t>
      </w:r>
    </w:p>
    <w:p w14:paraId="6E952F0C">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）缺陷责任期终止证书签发后，承包人可按合同约定的份数和期限向监理人提交最终结清申请单，并提供相关证明材料。承包人提交最终结清申请单的份数和期限</w:t>
      </w:r>
      <w:r>
        <w:rPr>
          <w:rFonts w:hint="eastAsia" w:ascii="黑体" w:hAnsi="黑体" w:eastAsia="黑体"/>
          <w:sz w:val="24"/>
        </w:rPr>
        <w:t>见合同条款专用部分</w:t>
      </w:r>
      <w:r>
        <w:rPr>
          <w:rFonts w:hint="eastAsia" w:ascii="宋体" w:hAnsi="宋体"/>
          <w:sz w:val="24"/>
        </w:rPr>
        <w:t>。</w:t>
      </w:r>
    </w:p>
    <w:p w14:paraId="6C3AC70F">
      <w:pPr>
        <w:wordWrap w:val="0"/>
        <w:spacing w:line="360" w:lineRule="auto"/>
        <w:ind w:firstLine="480" w:firstLineChars="200"/>
        <w:rPr>
          <w:rFonts w:ascii="宋体"/>
          <w:sz w:val="24"/>
        </w:rPr>
      </w:pPr>
      <w:r>
        <w:rPr>
          <w:rFonts w:hint="eastAsia" w:ascii="宋体" w:hAnsi="宋体"/>
          <w:sz w:val="24"/>
        </w:rPr>
        <w:t>发包人向承包人支付质量保证金利息的，承包人应按照约定的利息计算方法计算利息，并列入最终结清申请单中。是否支付质量保证金利息及利息计算方法</w:t>
      </w:r>
      <w:r>
        <w:rPr>
          <w:rFonts w:hint="eastAsia" w:ascii="黑体" w:hAnsi="黑体" w:eastAsia="黑体"/>
          <w:sz w:val="24"/>
        </w:rPr>
        <w:t>见合同条款专用部分</w:t>
      </w:r>
      <w:r>
        <w:rPr>
          <w:rFonts w:hint="eastAsia" w:ascii="宋体" w:hAnsi="宋体"/>
          <w:sz w:val="24"/>
        </w:rPr>
        <w:t>。</w:t>
      </w:r>
    </w:p>
    <w:p w14:paraId="25F37347">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）发包人对最终结清申请单内容有异议的，有权要求承包人进行修正和提供补充资料，由承包人向监理人提交修正后的最终结清申请单。</w:t>
      </w:r>
    </w:p>
    <w:p w14:paraId="079A22C5">
      <w:pPr>
        <w:wordWrap w:val="0"/>
        <w:spacing w:line="360" w:lineRule="auto"/>
        <w:ind w:firstLine="480" w:firstLineChars="200"/>
        <w:rPr>
          <w:rFonts w:ascii="宋体"/>
          <w:sz w:val="24"/>
        </w:rPr>
      </w:pPr>
      <w:r>
        <w:rPr>
          <w:rFonts w:ascii="宋体" w:hAnsi="宋体"/>
          <w:sz w:val="24"/>
        </w:rPr>
        <w:t xml:space="preserve">17.6.2  </w:t>
      </w:r>
      <w:r>
        <w:rPr>
          <w:rFonts w:hint="eastAsia" w:ascii="宋体" w:hAnsi="宋体"/>
          <w:sz w:val="24"/>
        </w:rPr>
        <w:t>最终结清证书和支付时间</w:t>
      </w:r>
    </w:p>
    <w:p w14:paraId="3F3486F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）监理人收到承包人提交的最终结清申请单后的</w:t>
      </w:r>
      <w:r>
        <w:rPr>
          <w:rFonts w:ascii="宋体" w:hAnsi="宋体"/>
          <w:sz w:val="24"/>
        </w:rPr>
        <w:t>14</w:t>
      </w:r>
      <w:r>
        <w:rPr>
          <w:rFonts w:hint="eastAsia" w:ascii="宋体" w:hAnsi="宋体"/>
          <w:sz w:val="24"/>
        </w:rPr>
        <w:t>天内，提出发包人应支付给承包人的价款等审核意见，并报送发包人审核。发包人应在收到后</w:t>
      </w:r>
      <w:r>
        <w:rPr>
          <w:rFonts w:ascii="宋体" w:hAnsi="宋体"/>
          <w:sz w:val="24"/>
        </w:rPr>
        <w:t>14</w:t>
      </w:r>
      <w:r>
        <w:rPr>
          <w:rFonts w:hint="eastAsia" w:ascii="宋体" w:hAnsi="宋体"/>
          <w:sz w:val="24"/>
        </w:rPr>
        <w:t>天内审核完毕，由监理人向承包人出具经发包人签认的最终结清证书。监理人未在约定时间内提出具体意见的，视为承包人提交的最终结清申请已经监理人核查同意；发包人未在约定时间内提出具体意见的，监理人提出应支付给承包人的价款视为已经发包人同意。</w:t>
      </w:r>
    </w:p>
    <w:p w14:paraId="5D2B137D">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）发包人应在监理人出具最终结清证书后的</w:t>
      </w:r>
      <w:r>
        <w:rPr>
          <w:rFonts w:ascii="宋体" w:hAnsi="宋体"/>
          <w:sz w:val="24"/>
        </w:rPr>
        <w:t>14</w:t>
      </w:r>
      <w:r>
        <w:rPr>
          <w:rFonts w:hint="eastAsia" w:ascii="宋体" w:hAnsi="宋体"/>
          <w:sz w:val="24"/>
        </w:rPr>
        <w:t>天内，将应支付款支付给承包人。发包人不按期支付的，按第</w:t>
      </w:r>
      <w:r>
        <w:rPr>
          <w:rFonts w:ascii="宋体" w:hAnsi="宋体"/>
          <w:sz w:val="24"/>
        </w:rPr>
        <w:t>17.3.3</w:t>
      </w:r>
      <w:r>
        <w:rPr>
          <w:rFonts w:hint="eastAsia" w:ascii="宋体" w:hAnsi="宋体"/>
          <w:sz w:val="24"/>
        </w:rPr>
        <w:t>（</w:t>
      </w:r>
      <w:r>
        <w:rPr>
          <w:rFonts w:ascii="宋体" w:hAnsi="宋体"/>
          <w:sz w:val="24"/>
        </w:rPr>
        <w:t>2</w:t>
      </w:r>
      <w:r>
        <w:rPr>
          <w:rFonts w:hint="eastAsia" w:ascii="宋体" w:hAnsi="宋体"/>
          <w:sz w:val="24"/>
        </w:rPr>
        <w:t>）目的约定，将逾期付款违约金支付给承包人。</w:t>
      </w:r>
    </w:p>
    <w:p w14:paraId="5897871D">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）承包人对发包人签认的最终结清证书有异议的，按第</w:t>
      </w:r>
      <w:r>
        <w:rPr>
          <w:rFonts w:ascii="宋体" w:hAnsi="宋体"/>
          <w:sz w:val="24"/>
        </w:rPr>
        <w:t>24</w:t>
      </w:r>
      <w:r>
        <w:rPr>
          <w:rFonts w:hint="eastAsia" w:ascii="宋体" w:hAnsi="宋体"/>
          <w:sz w:val="24"/>
        </w:rPr>
        <w:t>条“争议的解决”的约定办理。</w:t>
      </w:r>
    </w:p>
    <w:p w14:paraId="4827422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）最终结清付款涉及政府投资资金的，按第</w:t>
      </w:r>
      <w:r>
        <w:rPr>
          <w:rFonts w:ascii="宋体" w:hAnsi="宋体"/>
          <w:sz w:val="24"/>
        </w:rPr>
        <w:t>17.3.3</w:t>
      </w:r>
      <w:r>
        <w:rPr>
          <w:rFonts w:hint="eastAsia" w:ascii="宋体" w:hAnsi="宋体"/>
          <w:sz w:val="24"/>
        </w:rPr>
        <w:t>（</w:t>
      </w:r>
      <w:r>
        <w:rPr>
          <w:rFonts w:ascii="宋体" w:hAnsi="宋体"/>
          <w:sz w:val="24"/>
        </w:rPr>
        <w:t>4</w:t>
      </w:r>
      <w:r>
        <w:rPr>
          <w:rFonts w:hint="eastAsia" w:ascii="宋体" w:hAnsi="宋体"/>
          <w:sz w:val="24"/>
        </w:rPr>
        <w:t>）目的约定办理。</w:t>
      </w:r>
    </w:p>
    <w:p w14:paraId="25225546">
      <w:pPr>
        <w:tabs>
          <w:tab w:val="left" w:pos="576"/>
        </w:tabs>
        <w:wordWrap w:val="0"/>
        <w:spacing w:before="120" w:beforeLines="50" w:after="120" w:afterLines="50" w:line="360" w:lineRule="auto"/>
        <w:outlineLvl w:val="1"/>
        <w:rPr>
          <w:rFonts w:ascii="宋体" w:cs="宋体"/>
          <w:sz w:val="28"/>
          <w:szCs w:val="20"/>
        </w:rPr>
      </w:pPr>
      <w:bookmarkStart w:id="2079" w:name="_Toc480487018"/>
      <w:bookmarkStart w:id="2080" w:name="_Toc483668192"/>
      <w:bookmarkStart w:id="2081" w:name="_Toc338944818"/>
      <w:bookmarkStart w:id="2082" w:name="_Toc342296376"/>
      <w:bookmarkStart w:id="2083" w:name="_Toc489279974"/>
      <w:bookmarkStart w:id="2084" w:name="_Toc490222608"/>
      <w:bookmarkStart w:id="2085" w:name="_Toc207289699"/>
      <w:bookmarkStart w:id="2086" w:name="_Toc480486846"/>
      <w:bookmarkStart w:id="2087" w:name="_Toc486580163"/>
      <w:r>
        <w:rPr>
          <w:rFonts w:ascii="宋体" w:cs="宋体"/>
          <w:sz w:val="28"/>
          <w:szCs w:val="20"/>
        </w:rPr>
        <w:t>18.</w:t>
      </w:r>
      <w:r>
        <w:rPr>
          <w:rFonts w:hint="eastAsia" w:ascii="宋体" w:cs="宋体"/>
          <w:sz w:val="28"/>
          <w:szCs w:val="20"/>
        </w:rPr>
        <w:t>竣工验收</w:t>
      </w:r>
      <w:bookmarkEnd w:id="2079"/>
      <w:bookmarkEnd w:id="2080"/>
      <w:bookmarkEnd w:id="2081"/>
      <w:bookmarkEnd w:id="2082"/>
      <w:bookmarkEnd w:id="2083"/>
      <w:bookmarkEnd w:id="2084"/>
      <w:bookmarkEnd w:id="2085"/>
      <w:bookmarkEnd w:id="2086"/>
      <w:bookmarkEnd w:id="2087"/>
    </w:p>
    <w:p w14:paraId="312E1641">
      <w:pPr>
        <w:wordWrap w:val="0"/>
        <w:spacing w:before="120" w:beforeLines="50" w:after="120" w:afterLines="50" w:line="360" w:lineRule="auto"/>
        <w:outlineLvl w:val="2"/>
        <w:rPr>
          <w:rFonts w:ascii="宋体"/>
          <w:kern w:val="0"/>
          <w:sz w:val="24"/>
        </w:rPr>
      </w:pPr>
      <w:bookmarkStart w:id="2088" w:name="_Toc489279975"/>
      <w:bookmarkStart w:id="2089" w:name="_Toc480486847"/>
      <w:bookmarkStart w:id="2090" w:name="_Toc338944819"/>
      <w:bookmarkStart w:id="2091" w:name="_Toc144974697"/>
      <w:bookmarkStart w:id="2092" w:name="_Toc152042505"/>
      <w:bookmarkStart w:id="2093" w:name="_Toc179632744"/>
      <w:bookmarkStart w:id="2094" w:name="_Toc207289700"/>
      <w:bookmarkStart w:id="2095" w:name="_Toc483668193"/>
      <w:bookmarkStart w:id="2096" w:name="_Toc490222609"/>
      <w:bookmarkStart w:id="2097" w:name="_Toc152045726"/>
      <w:bookmarkStart w:id="2098" w:name="_Toc486580164"/>
      <w:bookmarkStart w:id="2099" w:name="_Toc480487019"/>
      <w:bookmarkStart w:id="2100" w:name="_Toc342296377"/>
      <w:r>
        <w:rPr>
          <w:rFonts w:ascii="宋体"/>
          <w:kern w:val="0"/>
          <w:sz w:val="24"/>
        </w:rPr>
        <w:t xml:space="preserve">18.1  </w:t>
      </w:r>
      <w:r>
        <w:rPr>
          <w:rFonts w:hint="eastAsia" w:ascii="宋体"/>
          <w:kern w:val="0"/>
          <w:sz w:val="24"/>
        </w:rPr>
        <w:t>竣工验收的含义</w:t>
      </w:r>
      <w:bookmarkEnd w:id="2088"/>
      <w:bookmarkEnd w:id="2089"/>
      <w:bookmarkEnd w:id="2090"/>
      <w:bookmarkEnd w:id="2091"/>
      <w:bookmarkEnd w:id="2092"/>
      <w:bookmarkEnd w:id="2093"/>
      <w:bookmarkEnd w:id="2094"/>
      <w:bookmarkEnd w:id="2095"/>
      <w:bookmarkEnd w:id="2096"/>
      <w:bookmarkEnd w:id="2097"/>
      <w:bookmarkEnd w:id="2098"/>
      <w:bookmarkEnd w:id="2099"/>
      <w:bookmarkEnd w:id="2100"/>
    </w:p>
    <w:p w14:paraId="50187B74">
      <w:pPr>
        <w:wordWrap w:val="0"/>
        <w:spacing w:line="360" w:lineRule="auto"/>
        <w:ind w:firstLine="480" w:firstLineChars="200"/>
        <w:rPr>
          <w:rFonts w:ascii="宋体"/>
          <w:sz w:val="24"/>
        </w:rPr>
      </w:pPr>
      <w:r>
        <w:rPr>
          <w:rFonts w:ascii="宋体" w:hAnsi="宋体"/>
          <w:sz w:val="24"/>
        </w:rPr>
        <w:t xml:space="preserve">18.1.1  </w:t>
      </w:r>
      <w:r>
        <w:rPr>
          <w:rFonts w:hint="eastAsia" w:ascii="宋体" w:hAnsi="宋体"/>
          <w:sz w:val="24"/>
        </w:rPr>
        <w:t>竣工验收指承包人完成了全部合同工作后，发包人按合同要求进行的验收。</w:t>
      </w:r>
    </w:p>
    <w:p w14:paraId="5644E1B0">
      <w:pPr>
        <w:wordWrap w:val="0"/>
        <w:spacing w:line="360" w:lineRule="auto"/>
        <w:ind w:firstLine="480" w:firstLineChars="200"/>
        <w:rPr>
          <w:rFonts w:ascii="宋体"/>
          <w:sz w:val="24"/>
        </w:rPr>
      </w:pPr>
      <w:r>
        <w:rPr>
          <w:rFonts w:ascii="宋体" w:hAnsi="宋体"/>
          <w:sz w:val="24"/>
        </w:rPr>
        <w:t xml:space="preserve">18.1.2  </w:t>
      </w:r>
      <w:r>
        <w:rPr>
          <w:rFonts w:hint="eastAsia" w:ascii="宋体" w:hAnsi="宋体"/>
          <w:sz w:val="24"/>
        </w:rPr>
        <w:t>国家验收是政府有关部门根据法律、规范、规程和政策要求，针对发包人全面组织实施的整个工程正式交付投运前的验收。</w:t>
      </w:r>
    </w:p>
    <w:p w14:paraId="2B9300E5">
      <w:pPr>
        <w:wordWrap w:val="0"/>
        <w:spacing w:line="360" w:lineRule="auto"/>
        <w:ind w:firstLine="480" w:firstLineChars="200"/>
        <w:rPr>
          <w:rFonts w:ascii="宋体"/>
          <w:sz w:val="24"/>
        </w:rPr>
      </w:pPr>
      <w:r>
        <w:rPr>
          <w:rFonts w:ascii="宋体" w:hAnsi="宋体"/>
          <w:sz w:val="24"/>
        </w:rPr>
        <w:t xml:space="preserve">18.1.3  </w:t>
      </w:r>
      <w:r>
        <w:rPr>
          <w:rFonts w:hint="eastAsia" w:ascii="宋体" w:hAnsi="宋体"/>
          <w:sz w:val="24"/>
        </w:rPr>
        <w:t>需要进行国家验收的，竣工验收是国家验收的一部分。竣工验收所采用的各项验收和评定标准应符合国家验收标准。发包人和承包人为竣工验收提供的各项竣工验收资料应符合国家验收的要求。</w:t>
      </w:r>
      <w:r>
        <w:rPr>
          <w:rFonts w:ascii="宋体" w:hAnsi="宋体"/>
          <w:sz w:val="24"/>
        </w:rPr>
        <w:t xml:space="preserve"> </w:t>
      </w:r>
    </w:p>
    <w:p w14:paraId="41961082">
      <w:pPr>
        <w:wordWrap w:val="0"/>
        <w:spacing w:before="120" w:beforeLines="50" w:after="120" w:afterLines="50" w:line="360" w:lineRule="auto"/>
        <w:outlineLvl w:val="2"/>
        <w:rPr>
          <w:rFonts w:ascii="宋体"/>
          <w:kern w:val="0"/>
          <w:sz w:val="24"/>
        </w:rPr>
      </w:pPr>
      <w:bookmarkStart w:id="2101" w:name="_Toc489279976"/>
      <w:bookmarkStart w:id="2102" w:name="_Toc483668194"/>
      <w:bookmarkStart w:id="2103" w:name="_Toc480487020"/>
      <w:bookmarkStart w:id="2104" w:name="_Toc486580165"/>
      <w:bookmarkStart w:id="2105" w:name="_Toc207289701"/>
      <w:bookmarkStart w:id="2106" w:name="_Toc342296378"/>
      <w:bookmarkStart w:id="2107" w:name="_Toc480486848"/>
      <w:bookmarkStart w:id="2108" w:name="_Toc490222610"/>
      <w:bookmarkStart w:id="2109" w:name="_Toc338944820"/>
      <w:r>
        <w:rPr>
          <w:rFonts w:ascii="宋体"/>
          <w:kern w:val="0"/>
          <w:sz w:val="24"/>
        </w:rPr>
        <w:t xml:space="preserve">18.2  </w:t>
      </w:r>
      <w:r>
        <w:rPr>
          <w:rFonts w:hint="eastAsia" w:ascii="宋体"/>
          <w:kern w:val="0"/>
          <w:sz w:val="24"/>
        </w:rPr>
        <w:t>竣工验收申请报告</w:t>
      </w:r>
      <w:bookmarkEnd w:id="2101"/>
      <w:bookmarkEnd w:id="2102"/>
      <w:bookmarkEnd w:id="2103"/>
      <w:bookmarkEnd w:id="2104"/>
      <w:bookmarkEnd w:id="2105"/>
      <w:bookmarkEnd w:id="2106"/>
      <w:bookmarkEnd w:id="2107"/>
      <w:bookmarkEnd w:id="2108"/>
      <w:bookmarkEnd w:id="2109"/>
    </w:p>
    <w:p w14:paraId="3504115C">
      <w:pPr>
        <w:wordWrap w:val="0"/>
        <w:spacing w:line="360" w:lineRule="auto"/>
        <w:ind w:firstLine="480" w:firstLineChars="200"/>
        <w:rPr>
          <w:rFonts w:ascii="宋体"/>
          <w:sz w:val="24"/>
        </w:rPr>
      </w:pPr>
      <w:r>
        <w:rPr>
          <w:rFonts w:hint="eastAsia" w:ascii="宋体" w:hAnsi="宋体"/>
          <w:sz w:val="24"/>
        </w:rPr>
        <w:t>当工程具备以下条件时，承包人即可向监理人报送竣工验收申请报告：</w:t>
      </w:r>
    </w:p>
    <w:p w14:paraId="781AD0D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）除监理人同意列入缺陷责任期内完成的尾工（甩项）工程和缺陷修补工作外，合同范围内的全部单位工程以及有关工作，包括合同要求的试验、试运行以及检验和验收均已完成，并符合合同要求。</w:t>
      </w:r>
    </w:p>
    <w:p w14:paraId="37CB6AFA">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承包人负责整理和提交的竣工验收资料应当符合工程所在地建设行政主管部门和（或）城市建设档案管理机构有关施工资料的要求，同时已按合同条款专用部分约定备齐了符合要求的竣工资料。竣工验收资料的内容和份数以及费用支付方式</w:t>
      </w:r>
      <w:r>
        <w:rPr>
          <w:rFonts w:hint="eastAsia" w:ascii="黑体" w:hAnsi="黑体" w:eastAsia="黑体"/>
          <w:sz w:val="24"/>
        </w:rPr>
        <w:t>见合同条款专用部分</w:t>
      </w:r>
      <w:r>
        <w:rPr>
          <w:rFonts w:hint="eastAsia" w:ascii="宋体" w:hAnsi="宋体"/>
          <w:sz w:val="24"/>
        </w:rPr>
        <w:t>。</w:t>
      </w:r>
    </w:p>
    <w:p w14:paraId="11D3D7C2">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）已按监理人的要求编制了在缺陷责任期内需完成的尾工（甩项）工程，和缺陷修补工作清单等相应施工计划。</w:t>
      </w:r>
    </w:p>
    <w:p w14:paraId="0708E647">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）监理人要求在竣工验收前应完成的其他工作。</w:t>
      </w:r>
    </w:p>
    <w:p w14:paraId="7B76D921">
      <w:pPr>
        <w:wordWrap w:val="0"/>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）监理人要求提交的竣工验收资料清单。</w:t>
      </w:r>
    </w:p>
    <w:p w14:paraId="1974AEB1">
      <w:pPr>
        <w:wordWrap w:val="0"/>
        <w:spacing w:before="120" w:beforeLines="50" w:after="120" w:afterLines="50" w:line="360" w:lineRule="auto"/>
        <w:outlineLvl w:val="2"/>
        <w:rPr>
          <w:rFonts w:ascii="宋体"/>
          <w:kern w:val="0"/>
          <w:sz w:val="24"/>
        </w:rPr>
      </w:pPr>
      <w:bookmarkStart w:id="2110" w:name="_Toc342296379"/>
      <w:bookmarkStart w:id="2111" w:name="_Toc480487021"/>
      <w:bookmarkStart w:id="2112" w:name="_Toc480486849"/>
      <w:bookmarkStart w:id="2113" w:name="_Toc489279977"/>
      <w:bookmarkStart w:id="2114" w:name="_Toc338944821"/>
      <w:bookmarkStart w:id="2115" w:name="_Toc490222611"/>
      <w:bookmarkStart w:id="2116" w:name="_Toc207289702"/>
      <w:bookmarkStart w:id="2117" w:name="_Toc483668195"/>
      <w:bookmarkStart w:id="2118" w:name="_Toc486580166"/>
      <w:r>
        <w:rPr>
          <w:rFonts w:ascii="宋体"/>
          <w:kern w:val="0"/>
          <w:sz w:val="24"/>
        </w:rPr>
        <w:t xml:space="preserve">18.3  </w:t>
      </w:r>
      <w:r>
        <w:rPr>
          <w:rFonts w:hint="eastAsia" w:ascii="宋体"/>
          <w:kern w:val="0"/>
          <w:sz w:val="24"/>
        </w:rPr>
        <w:t>验收</w:t>
      </w:r>
      <w:bookmarkEnd w:id="2110"/>
      <w:bookmarkEnd w:id="2111"/>
      <w:bookmarkEnd w:id="2112"/>
      <w:bookmarkEnd w:id="2113"/>
      <w:bookmarkEnd w:id="2114"/>
      <w:bookmarkEnd w:id="2115"/>
      <w:bookmarkEnd w:id="2116"/>
      <w:bookmarkEnd w:id="2117"/>
      <w:bookmarkEnd w:id="2118"/>
    </w:p>
    <w:p w14:paraId="2C5E7EC4">
      <w:pPr>
        <w:wordWrap w:val="0"/>
        <w:spacing w:line="360" w:lineRule="auto"/>
        <w:ind w:firstLine="480" w:firstLineChars="200"/>
        <w:rPr>
          <w:rFonts w:ascii="宋体"/>
          <w:sz w:val="24"/>
        </w:rPr>
      </w:pPr>
      <w:r>
        <w:rPr>
          <w:rFonts w:hint="eastAsia" w:ascii="宋体" w:hAnsi="宋体"/>
          <w:sz w:val="24"/>
        </w:rPr>
        <w:t>监理人收到承包人按第</w:t>
      </w:r>
      <w:r>
        <w:rPr>
          <w:rFonts w:ascii="宋体" w:hAnsi="宋体"/>
          <w:sz w:val="24"/>
        </w:rPr>
        <w:t>18.2</w:t>
      </w:r>
      <w:r>
        <w:rPr>
          <w:rFonts w:hint="eastAsia" w:ascii="宋体" w:hAnsi="宋体"/>
          <w:sz w:val="24"/>
        </w:rPr>
        <w:t>款约定提交的竣工验收申请报告后，应审查申请报告的各项内容，并按以下不同情况进行处理。</w:t>
      </w:r>
    </w:p>
    <w:p w14:paraId="4031DD1A">
      <w:pPr>
        <w:wordWrap w:val="0"/>
        <w:spacing w:line="360" w:lineRule="auto"/>
        <w:ind w:firstLine="480" w:firstLineChars="200"/>
        <w:rPr>
          <w:rFonts w:ascii="宋体"/>
          <w:sz w:val="24"/>
        </w:rPr>
      </w:pPr>
      <w:r>
        <w:rPr>
          <w:rFonts w:ascii="宋体" w:hAnsi="宋体"/>
          <w:sz w:val="24"/>
        </w:rPr>
        <w:t xml:space="preserve">18.3.1  </w:t>
      </w:r>
      <w:r>
        <w:rPr>
          <w:rFonts w:hint="eastAsia" w:ascii="宋体" w:hAnsi="宋体"/>
          <w:sz w:val="24"/>
        </w:rPr>
        <w:t>监理人审查后认为尚不具备竣工验收条件的，应在收到竣工验收申请报告后的</w:t>
      </w:r>
      <w:r>
        <w:rPr>
          <w:rFonts w:ascii="宋体" w:hAnsi="宋体"/>
          <w:sz w:val="24"/>
        </w:rPr>
        <w:t>28</w:t>
      </w:r>
      <w:r>
        <w:rPr>
          <w:rFonts w:hint="eastAsia" w:ascii="宋体" w:hAnsi="宋体"/>
          <w:sz w:val="24"/>
        </w:rPr>
        <w:t>天内通知承包人，并指出在颁发接收证书前承包人需进行的工作内容。承包人完成监理人通知的全部工作内容后，应再次提交竣工验收申请报告，直至监理人同意为止。</w:t>
      </w:r>
    </w:p>
    <w:p w14:paraId="53FBF540">
      <w:pPr>
        <w:wordWrap w:val="0"/>
        <w:spacing w:line="360" w:lineRule="auto"/>
        <w:ind w:firstLine="480" w:firstLineChars="200"/>
        <w:rPr>
          <w:rFonts w:ascii="宋体"/>
          <w:sz w:val="24"/>
        </w:rPr>
      </w:pPr>
      <w:r>
        <w:rPr>
          <w:rFonts w:ascii="宋体" w:hAnsi="宋体"/>
          <w:sz w:val="24"/>
        </w:rPr>
        <w:t xml:space="preserve">18.3.2  </w:t>
      </w:r>
      <w:r>
        <w:rPr>
          <w:rFonts w:hint="eastAsia" w:ascii="宋体" w:hAnsi="宋体"/>
          <w:sz w:val="24"/>
        </w:rPr>
        <w:t>监理人审查后认为已具备竣工验收条件的，应在收到竣工验收申请报告后的</w:t>
      </w:r>
      <w:r>
        <w:rPr>
          <w:rFonts w:ascii="宋体" w:hAnsi="宋体"/>
          <w:sz w:val="24"/>
        </w:rPr>
        <w:t>28</w:t>
      </w:r>
      <w:r>
        <w:rPr>
          <w:rFonts w:hint="eastAsia" w:ascii="宋体" w:hAnsi="宋体"/>
          <w:sz w:val="24"/>
        </w:rPr>
        <w:t>天内提请发包人进行工程验收。</w:t>
      </w:r>
    </w:p>
    <w:p w14:paraId="03FC8B0B">
      <w:pPr>
        <w:wordWrap w:val="0"/>
        <w:spacing w:line="360" w:lineRule="auto"/>
        <w:ind w:firstLine="480" w:firstLineChars="200"/>
        <w:rPr>
          <w:rFonts w:ascii="宋体"/>
          <w:sz w:val="24"/>
        </w:rPr>
      </w:pPr>
      <w:r>
        <w:rPr>
          <w:rFonts w:ascii="宋体" w:hAnsi="宋体"/>
          <w:sz w:val="24"/>
        </w:rPr>
        <w:t xml:space="preserve">18.3.3  </w:t>
      </w:r>
      <w:r>
        <w:rPr>
          <w:rFonts w:hint="eastAsia" w:ascii="宋体" w:hAnsi="宋体"/>
          <w:sz w:val="24"/>
        </w:rPr>
        <w:t>发包人经过验收后同意接受工程的，应在监理人收到竣工验收申请报告后的</w:t>
      </w:r>
      <w:r>
        <w:rPr>
          <w:rFonts w:ascii="宋体" w:hAnsi="宋体"/>
          <w:sz w:val="24"/>
        </w:rPr>
        <w:t>56</w:t>
      </w:r>
      <w:r>
        <w:rPr>
          <w:rFonts w:hint="eastAsia" w:ascii="宋体" w:hAnsi="宋体"/>
          <w:sz w:val="24"/>
        </w:rPr>
        <w:t>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0A6EE2F7">
      <w:pPr>
        <w:wordWrap w:val="0"/>
        <w:spacing w:line="360" w:lineRule="auto"/>
        <w:ind w:firstLine="480" w:firstLineChars="200"/>
        <w:rPr>
          <w:rFonts w:ascii="宋体"/>
          <w:sz w:val="24"/>
        </w:rPr>
      </w:pPr>
      <w:r>
        <w:rPr>
          <w:rFonts w:ascii="宋体" w:hAnsi="宋体"/>
          <w:sz w:val="24"/>
        </w:rPr>
        <w:t xml:space="preserve">18.3.4  </w:t>
      </w:r>
      <w:r>
        <w:rPr>
          <w:rFonts w:hint="eastAsia" w:ascii="宋体" w:hAnsi="宋体"/>
          <w:sz w:val="24"/>
        </w:rPr>
        <w:t>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w:t>
      </w:r>
      <w:r>
        <w:rPr>
          <w:rFonts w:ascii="宋体" w:hAnsi="宋体"/>
          <w:sz w:val="24"/>
        </w:rPr>
        <w:t>18.3.1</w:t>
      </w:r>
      <w:r>
        <w:rPr>
          <w:rFonts w:hint="eastAsia" w:ascii="宋体" w:hAnsi="宋体"/>
          <w:sz w:val="24"/>
        </w:rPr>
        <w:t>项、第</w:t>
      </w:r>
      <w:r>
        <w:rPr>
          <w:rFonts w:ascii="宋体" w:hAnsi="宋体"/>
          <w:sz w:val="24"/>
        </w:rPr>
        <w:t>18.3.2</w:t>
      </w:r>
      <w:r>
        <w:rPr>
          <w:rFonts w:hint="eastAsia" w:ascii="宋体" w:hAnsi="宋体"/>
          <w:sz w:val="24"/>
        </w:rPr>
        <w:t>项和第</w:t>
      </w:r>
      <w:r>
        <w:rPr>
          <w:rFonts w:ascii="宋体" w:hAnsi="宋体"/>
          <w:sz w:val="24"/>
        </w:rPr>
        <w:t>18.3.3</w:t>
      </w:r>
      <w:r>
        <w:rPr>
          <w:rFonts w:hint="eastAsia" w:ascii="宋体" w:hAnsi="宋体"/>
          <w:sz w:val="24"/>
        </w:rPr>
        <w:t>项的约定进行。</w:t>
      </w:r>
    </w:p>
    <w:p w14:paraId="5B05D986">
      <w:pPr>
        <w:wordWrap w:val="0"/>
        <w:spacing w:line="360" w:lineRule="auto"/>
        <w:ind w:firstLine="480" w:firstLineChars="200"/>
        <w:rPr>
          <w:rFonts w:ascii="宋体"/>
          <w:sz w:val="24"/>
        </w:rPr>
      </w:pPr>
      <w:r>
        <w:rPr>
          <w:rFonts w:ascii="宋体" w:hAnsi="宋体"/>
          <w:sz w:val="24"/>
        </w:rPr>
        <w:t xml:space="preserve">18.3.5  </w:t>
      </w:r>
      <w:r>
        <w:rPr>
          <w:rFonts w:hint="eastAsia" w:ascii="宋体" w:hAnsi="宋体"/>
          <w:sz w:val="24"/>
        </w:rPr>
        <w:t>经验收合格的工程</w:t>
      </w:r>
      <w:r>
        <w:rPr>
          <w:rFonts w:ascii="宋体" w:hAnsi="宋体"/>
          <w:sz w:val="24"/>
        </w:rPr>
        <w:t xml:space="preserve">, </w:t>
      </w:r>
      <w:r>
        <w:rPr>
          <w:rFonts w:hint="eastAsia" w:ascii="宋体" w:hAnsi="宋体"/>
          <w:sz w:val="24"/>
        </w:rPr>
        <w:t>实际竣工日期为承包人按照第</w:t>
      </w:r>
      <w:r>
        <w:rPr>
          <w:rFonts w:ascii="宋体" w:hAnsi="宋体"/>
          <w:sz w:val="24"/>
        </w:rPr>
        <w:t>18.2</w:t>
      </w:r>
      <w:r>
        <w:rPr>
          <w:rFonts w:hint="eastAsia" w:ascii="宋体" w:hAnsi="宋体"/>
          <w:sz w:val="24"/>
        </w:rPr>
        <w:t>款提交竣工验收申请报告或按照本款重新提交竣工验收申请报告的日期（以两者中时间在后者为准）。</w:t>
      </w:r>
    </w:p>
    <w:p w14:paraId="0A76C193">
      <w:pPr>
        <w:wordWrap w:val="0"/>
        <w:spacing w:line="360" w:lineRule="auto"/>
        <w:ind w:firstLine="480" w:firstLineChars="200"/>
        <w:rPr>
          <w:rFonts w:ascii="宋体"/>
          <w:sz w:val="24"/>
        </w:rPr>
      </w:pPr>
      <w:r>
        <w:rPr>
          <w:rFonts w:ascii="宋体" w:hAnsi="宋体"/>
          <w:sz w:val="24"/>
        </w:rPr>
        <w:t xml:space="preserve">18.3.6  </w:t>
      </w:r>
      <w:r>
        <w:rPr>
          <w:rFonts w:hint="eastAsia" w:ascii="宋体" w:hAnsi="宋体"/>
          <w:sz w:val="24"/>
        </w:rPr>
        <w:t>发包人在收到承包人竣工验收申请报告</w:t>
      </w:r>
      <w:r>
        <w:rPr>
          <w:rFonts w:ascii="宋体" w:hAnsi="宋体"/>
          <w:sz w:val="24"/>
        </w:rPr>
        <w:t>56</w:t>
      </w:r>
      <w:r>
        <w:rPr>
          <w:rFonts w:hint="eastAsia" w:ascii="宋体" w:hAnsi="宋体"/>
          <w:sz w:val="24"/>
        </w:rPr>
        <w:t>天后未进行验收的，视为验收合格，实际竣工日期以提交竣工验收申请报告的日期为准，但发包人由于不可抗力不能进行验收的除外。</w:t>
      </w:r>
    </w:p>
    <w:p w14:paraId="08ECDA5B">
      <w:pPr>
        <w:wordWrap w:val="0"/>
        <w:spacing w:before="120" w:beforeLines="50" w:after="120" w:afterLines="50" w:line="360" w:lineRule="auto"/>
        <w:outlineLvl w:val="2"/>
        <w:rPr>
          <w:rFonts w:ascii="宋体"/>
          <w:kern w:val="0"/>
          <w:sz w:val="24"/>
        </w:rPr>
      </w:pPr>
      <w:bookmarkStart w:id="2119" w:name="_Toc179632747"/>
      <w:bookmarkStart w:id="2120" w:name="_Toc486580167"/>
      <w:bookmarkStart w:id="2121" w:name="_Toc144974700"/>
      <w:bookmarkStart w:id="2122" w:name="_Toc490222612"/>
      <w:bookmarkStart w:id="2123" w:name="_Toc480487022"/>
      <w:bookmarkStart w:id="2124" w:name="_Toc480486850"/>
      <w:bookmarkStart w:id="2125" w:name="_Toc483668196"/>
      <w:bookmarkStart w:id="2126" w:name="_Toc207289703"/>
      <w:bookmarkStart w:id="2127" w:name="_Toc342296380"/>
      <w:bookmarkStart w:id="2128" w:name="_Toc338944822"/>
      <w:bookmarkStart w:id="2129" w:name="_Toc152042508"/>
      <w:bookmarkStart w:id="2130" w:name="_Toc489279978"/>
      <w:bookmarkStart w:id="2131" w:name="_Toc152045729"/>
      <w:r>
        <w:rPr>
          <w:rFonts w:ascii="宋体"/>
          <w:kern w:val="0"/>
          <w:sz w:val="24"/>
        </w:rPr>
        <w:t xml:space="preserve">18.4  </w:t>
      </w:r>
      <w:r>
        <w:rPr>
          <w:rFonts w:hint="eastAsia" w:ascii="宋体"/>
          <w:kern w:val="0"/>
          <w:sz w:val="24"/>
        </w:rPr>
        <w:t>单位工程验收</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p>
    <w:p w14:paraId="01818026">
      <w:pPr>
        <w:wordWrap w:val="0"/>
        <w:spacing w:line="360" w:lineRule="auto"/>
        <w:ind w:firstLine="480" w:firstLineChars="200"/>
        <w:rPr>
          <w:rFonts w:ascii="宋体"/>
          <w:sz w:val="24"/>
        </w:rPr>
      </w:pPr>
      <w:r>
        <w:rPr>
          <w:rFonts w:ascii="宋体" w:hAnsi="宋体"/>
          <w:sz w:val="24"/>
        </w:rPr>
        <w:t xml:space="preserve">18.4.1  </w:t>
      </w:r>
      <w:r>
        <w:rPr>
          <w:rFonts w:hint="eastAsia" w:ascii="宋体" w:hAnsi="宋体"/>
          <w:sz w:val="24"/>
        </w:rPr>
        <w:t>发包人根据合同进度计划安排，在全部工程竣工前需要使用已经竣工的单位工程时，或承包人提出经发包人同意时，可进行单位工程验收。验收的程序可参照第</w:t>
      </w:r>
      <w:r>
        <w:rPr>
          <w:rFonts w:ascii="宋体" w:hAnsi="宋体"/>
          <w:sz w:val="24"/>
        </w:rPr>
        <w:t>18.2</w:t>
      </w:r>
      <w:r>
        <w:rPr>
          <w:rFonts w:hint="eastAsia" w:ascii="宋体" w:hAnsi="宋体"/>
          <w:sz w:val="24"/>
        </w:rPr>
        <w:t>款与第</w:t>
      </w:r>
      <w:r>
        <w:rPr>
          <w:rFonts w:ascii="宋体" w:hAnsi="宋体"/>
          <w:sz w:val="24"/>
        </w:rPr>
        <w:t>18.3</w:t>
      </w:r>
      <w:r>
        <w:rPr>
          <w:rFonts w:hint="eastAsia" w:ascii="宋体" w:hAnsi="宋体"/>
          <w:sz w:val="24"/>
        </w:rPr>
        <w:t>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601DCFED">
      <w:pPr>
        <w:wordWrap w:val="0"/>
        <w:spacing w:line="360" w:lineRule="auto"/>
        <w:ind w:firstLine="480" w:firstLineChars="200"/>
        <w:rPr>
          <w:rFonts w:ascii="宋体"/>
          <w:sz w:val="24"/>
        </w:rPr>
      </w:pPr>
      <w:r>
        <w:rPr>
          <w:rFonts w:ascii="宋体" w:hAnsi="宋体"/>
          <w:sz w:val="24"/>
        </w:rPr>
        <w:t xml:space="preserve">18.4.2  </w:t>
      </w:r>
      <w:r>
        <w:rPr>
          <w:rFonts w:hint="eastAsia" w:ascii="宋体" w:hAnsi="宋体"/>
          <w:sz w:val="24"/>
        </w:rPr>
        <w:t>发包人在全部工程竣工前，使用已接收的单位工程导致承包人费用增加的，发包人应承担由此增加的费用和（或）工期延误，并支付承包人合理利润。</w:t>
      </w:r>
    </w:p>
    <w:p w14:paraId="72BE91AF">
      <w:pPr>
        <w:wordWrap w:val="0"/>
        <w:spacing w:before="120" w:beforeLines="50" w:after="120" w:afterLines="50" w:line="360" w:lineRule="auto"/>
        <w:outlineLvl w:val="2"/>
        <w:rPr>
          <w:rFonts w:ascii="宋体"/>
          <w:kern w:val="0"/>
          <w:sz w:val="24"/>
        </w:rPr>
      </w:pPr>
      <w:bookmarkStart w:id="2132" w:name="_Toc480487023"/>
      <w:bookmarkStart w:id="2133" w:name="_Toc342296381"/>
      <w:bookmarkStart w:id="2134" w:name="_Toc486580168"/>
      <w:bookmarkStart w:id="2135" w:name="_Toc338944823"/>
      <w:bookmarkStart w:id="2136" w:name="_Toc480486851"/>
      <w:bookmarkStart w:id="2137" w:name="_Toc489279979"/>
      <w:bookmarkStart w:id="2138" w:name="_Toc483668197"/>
      <w:bookmarkStart w:id="2139" w:name="_Toc207289704"/>
      <w:bookmarkStart w:id="2140" w:name="_Toc490222613"/>
      <w:r>
        <w:rPr>
          <w:rFonts w:ascii="宋体"/>
          <w:kern w:val="0"/>
          <w:sz w:val="24"/>
        </w:rPr>
        <w:t xml:space="preserve">18.5  </w:t>
      </w:r>
      <w:r>
        <w:rPr>
          <w:rFonts w:hint="eastAsia" w:ascii="宋体"/>
          <w:kern w:val="0"/>
          <w:sz w:val="24"/>
        </w:rPr>
        <w:t>施工期运行</w:t>
      </w:r>
      <w:bookmarkEnd w:id="2132"/>
      <w:bookmarkEnd w:id="2133"/>
      <w:bookmarkEnd w:id="2134"/>
      <w:bookmarkEnd w:id="2135"/>
      <w:bookmarkEnd w:id="2136"/>
      <w:bookmarkEnd w:id="2137"/>
      <w:bookmarkEnd w:id="2138"/>
      <w:bookmarkEnd w:id="2139"/>
      <w:bookmarkEnd w:id="2140"/>
    </w:p>
    <w:p w14:paraId="13E7E308">
      <w:pPr>
        <w:wordWrap w:val="0"/>
        <w:spacing w:line="360" w:lineRule="auto"/>
        <w:ind w:firstLine="480" w:firstLineChars="200"/>
        <w:rPr>
          <w:rFonts w:ascii="宋体"/>
          <w:sz w:val="24"/>
        </w:rPr>
      </w:pPr>
      <w:r>
        <w:rPr>
          <w:rFonts w:ascii="宋体" w:hAnsi="宋体"/>
          <w:sz w:val="24"/>
        </w:rPr>
        <w:t xml:space="preserve">18.5.1  </w:t>
      </w:r>
      <w:r>
        <w:rPr>
          <w:rFonts w:hint="eastAsia" w:ascii="宋体" w:hAnsi="宋体"/>
          <w:sz w:val="24"/>
        </w:rPr>
        <w:t>施工期运行是指合同工程尚未全部竣工，其中某项或某几项单位工程或工程设备安装已竣工，根据合同条款专用部分约定，需要投入施工期运行的，经发包人按第</w:t>
      </w:r>
      <w:r>
        <w:rPr>
          <w:rFonts w:ascii="宋体" w:hAnsi="宋体"/>
          <w:sz w:val="24"/>
        </w:rPr>
        <w:t>18.4</w:t>
      </w:r>
      <w:r>
        <w:rPr>
          <w:rFonts w:hint="eastAsia" w:ascii="宋体" w:hAnsi="宋体"/>
          <w:sz w:val="24"/>
        </w:rPr>
        <w:t>款的约定验收合格，证明能确保安全后，才能在施工期投入运行。</w:t>
      </w:r>
    </w:p>
    <w:p w14:paraId="41FD7882">
      <w:pPr>
        <w:wordWrap w:val="0"/>
        <w:spacing w:line="360" w:lineRule="auto"/>
        <w:ind w:firstLine="480" w:firstLineChars="200"/>
        <w:rPr>
          <w:rFonts w:ascii="宋体"/>
          <w:sz w:val="24"/>
        </w:rPr>
      </w:pPr>
      <w:r>
        <w:rPr>
          <w:rFonts w:ascii="宋体" w:hAnsi="宋体"/>
          <w:sz w:val="24"/>
        </w:rPr>
        <w:t xml:space="preserve">18.5.2  </w:t>
      </w:r>
      <w:r>
        <w:rPr>
          <w:rFonts w:hint="eastAsia" w:ascii="宋体" w:hAnsi="宋体"/>
          <w:sz w:val="24"/>
        </w:rPr>
        <w:t>在施工期运行中发现工程或工程设备损坏或存在缺陷的，由承包人按第</w:t>
      </w:r>
      <w:r>
        <w:rPr>
          <w:rFonts w:ascii="宋体" w:hAnsi="宋体"/>
          <w:sz w:val="24"/>
        </w:rPr>
        <w:t>19.2</w:t>
      </w:r>
      <w:r>
        <w:rPr>
          <w:rFonts w:hint="eastAsia" w:ascii="宋体" w:hAnsi="宋体"/>
          <w:sz w:val="24"/>
        </w:rPr>
        <w:t>款约定进行修复。</w:t>
      </w:r>
    </w:p>
    <w:p w14:paraId="3404DB75">
      <w:pPr>
        <w:wordWrap w:val="0"/>
        <w:spacing w:before="120" w:beforeLines="50" w:after="120" w:afterLines="50" w:line="360" w:lineRule="auto"/>
        <w:outlineLvl w:val="2"/>
        <w:rPr>
          <w:rFonts w:ascii="宋体"/>
          <w:kern w:val="0"/>
          <w:sz w:val="24"/>
        </w:rPr>
      </w:pPr>
      <w:bookmarkStart w:id="2141" w:name="_Toc480487024"/>
      <w:bookmarkStart w:id="2142" w:name="_Toc480486852"/>
      <w:bookmarkStart w:id="2143" w:name="_Toc483668198"/>
      <w:bookmarkStart w:id="2144" w:name="_Toc338944824"/>
      <w:bookmarkStart w:id="2145" w:name="_Toc486580169"/>
      <w:bookmarkStart w:id="2146" w:name="_Toc490222614"/>
      <w:bookmarkStart w:id="2147" w:name="_Toc489279980"/>
      <w:bookmarkStart w:id="2148" w:name="_Toc207289705"/>
      <w:bookmarkStart w:id="2149" w:name="_Toc342296382"/>
      <w:r>
        <w:rPr>
          <w:rFonts w:ascii="宋体"/>
          <w:kern w:val="0"/>
          <w:sz w:val="24"/>
        </w:rPr>
        <w:t xml:space="preserve">18.6  </w:t>
      </w:r>
      <w:r>
        <w:rPr>
          <w:rFonts w:hint="eastAsia" w:ascii="宋体"/>
          <w:kern w:val="0"/>
          <w:sz w:val="24"/>
        </w:rPr>
        <w:t>试运行</w:t>
      </w:r>
      <w:bookmarkEnd w:id="2141"/>
      <w:bookmarkEnd w:id="2142"/>
      <w:bookmarkEnd w:id="2143"/>
      <w:bookmarkEnd w:id="2144"/>
      <w:bookmarkEnd w:id="2145"/>
      <w:bookmarkEnd w:id="2146"/>
      <w:bookmarkEnd w:id="2147"/>
      <w:bookmarkEnd w:id="2148"/>
      <w:bookmarkEnd w:id="2149"/>
    </w:p>
    <w:p w14:paraId="3963F53D">
      <w:pPr>
        <w:wordWrap w:val="0"/>
        <w:spacing w:line="360" w:lineRule="auto"/>
        <w:ind w:firstLine="480" w:firstLineChars="200"/>
        <w:rPr>
          <w:rFonts w:ascii="宋体"/>
          <w:sz w:val="24"/>
        </w:rPr>
      </w:pPr>
      <w:r>
        <w:rPr>
          <w:rFonts w:ascii="宋体" w:hAnsi="宋体"/>
          <w:sz w:val="24"/>
        </w:rPr>
        <w:t xml:space="preserve">18.6.1  </w:t>
      </w:r>
      <w:r>
        <w:rPr>
          <w:rFonts w:hint="eastAsia" w:ascii="宋体" w:hAnsi="宋体"/>
          <w:sz w:val="24"/>
        </w:rPr>
        <w:t>工程及工程设备试运行的组织与费用承担</w:t>
      </w:r>
    </w:p>
    <w:p w14:paraId="4AC407EA">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）工程设备安装具备单机无负荷试运行条件，由承包人组织试运行，费用由承包人承担。</w:t>
      </w:r>
    </w:p>
    <w:p w14:paraId="5D708548">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）工程设备安装具备无负荷联动试运行条件，由发包人组织试运行，费用由发包人承担。</w:t>
      </w:r>
    </w:p>
    <w:p w14:paraId="40B5FCDD">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）投料试运行应在工程竣工验收后由发包人负责，如发包人要求在工程竣工验收前进行或需要承包人配合时，应征得承包人同意，另行签订补充协议。</w:t>
      </w:r>
    </w:p>
    <w:p w14:paraId="20B27EBB">
      <w:pPr>
        <w:wordWrap w:val="0"/>
        <w:spacing w:line="360" w:lineRule="auto"/>
        <w:ind w:firstLine="480" w:firstLineChars="200"/>
        <w:rPr>
          <w:rFonts w:ascii="宋体"/>
          <w:sz w:val="24"/>
        </w:rPr>
      </w:pPr>
      <w:r>
        <w:rPr>
          <w:rFonts w:hint="eastAsia" w:ascii="宋体" w:hAnsi="宋体"/>
          <w:sz w:val="24"/>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7AB49A9B">
      <w:pPr>
        <w:wordWrap w:val="0"/>
        <w:spacing w:before="120" w:beforeLines="50" w:after="120" w:afterLines="50" w:line="360" w:lineRule="auto"/>
        <w:outlineLvl w:val="2"/>
        <w:rPr>
          <w:rFonts w:ascii="宋体"/>
          <w:kern w:val="0"/>
          <w:sz w:val="24"/>
        </w:rPr>
      </w:pPr>
      <w:bookmarkStart w:id="2150" w:name="_Toc480486853"/>
      <w:bookmarkStart w:id="2151" w:name="_Toc489279981"/>
      <w:bookmarkStart w:id="2152" w:name="_Toc486580170"/>
      <w:bookmarkStart w:id="2153" w:name="_Toc490222615"/>
      <w:bookmarkStart w:id="2154" w:name="_Toc483668199"/>
      <w:bookmarkStart w:id="2155" w:name="_Toc338944825"/>
      <w:bookmarkStart w:id="2156" w:name="_Toc480487025"/>
      <w:bookmarkStart w:id="2157" w:name="_Toc207289706"/>
      <w:bookmarkStart w:id="2158" w:name="_Toc342296383"/>
      <w:r>
        <w:rPr>
          <w:rFonts w:ascii="宋体"/>
          <w:kern w:val="0"/>
          <w:sz w:val="24"/>
        </w:rPr>
        <w:t xml:space="preserve">18.7  </w:t>
      </w:r>
      <w:r>
        <w:rPr>
          <w:rFonts w:hint="eastAsia" w:ascii="宋体"/>
          <w:kern w:val="0"/>
          <w:sz w:val="24"/>
        </w:rPr>
        <w:t>竣工清场</w:t>
      </w:r>
      <w:bookmarkEnd w:id="2150"/>
      <w:bookmarkEnd w:id="2151"/>
      <w:bookmarkEnd w:id="2152"/>
      <w:bookmarkEnd w:id="2153"/>
      <w:bookmarkEnd w:id="2154"/>
      <w:bookmarkEnd w:id="2155"/>
      <w:bookmarkEnd w:id="2156"/>
      <w:bookmarkEnd w:id="2157"/>
      <w:bookmarkEnd w:id="2158"/>
    </w:p>
    <w:p w14:paraId="7D9C21DE">
      <w:pPr>
        <w:wordWrap w:val="0"/>
        <w:spacing w:line="360" w:lineRule="auto"/>
        <w:ind w:firstLine="480" w:firstLineChars="200"/>
        <w:rPr>
          <w:rFonts w:ascii="宋体"/>
          <w:sz w:val="24"/>
        </w:rPr>
      </w:pPr>
      <w:r>
        <w:rPr>
          <w:rFonts w:ascii="宋体" w:hAnsi="宋体"/>
          <w:sz w:val="24"/>
        </w:rPr>
        <w:t xml:space="preserve">18.7.1  </w:t>
      </w:r>
      <w:r>
        <w:rPr>
          <w:rFonts w:hint="eastAsia" w:ascii="宋体" w:hAnsi="宋体"/>
          <w:sz w:val="24"/>
        </w:rPr>
        <w:t>监理人颁发（出具）工程接收证书后，承包人负责按照以下要求对施工场地进行清理，直至监理人检验合格为止。竣工清场费用由承包人承担。</w:t>
      </w:r>
    </w:p>
    <w:p w14:paraId="69CC41B3">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）施工场地内残留的垃圾已全部清除出场；</w:t>
      </w:r>
    </w:p>
    <w:p w14:paraId="5C015A33">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）临时工程已拆除，场地已按合同要求进行清理、平整或复原；</w:t>
      </w:r>
    </w:p>
    <w:p w14:paraId="3AEE3F21">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）按合同约定应撤离的承包人设备和剩余的材料，包括废弃的施工设备和材料，已按计划撤离施工场地；</w:t>
      </w:r>
    </w:p>
    <w:p w14:paraId="60F89E57">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）工程建筑物周边及其附近道路、河道的施工堆积物，已按监理人指示全部清理；</w:t>
      </w:r>
    </w:p>
    <w:p w14:paraId="3CDF6924">
      <w:pPr>
        <w:wordWrap w:val="0"/>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）监理人指示的其他场地清理工作已全部完成。</w:t>
      </w:r>
    </w:p>
    <w:p w14:paraId="61D15561">
      <w:pPr>
        <w:wordWrap w:val="0"/>
        <w:spacing w:line="360" w:lineRule="auto"/>
        <w:ind w:firstLine="480" w:firstLineChars="200"/>
        <w:rPr>
          <w:rFonts w:ascii="宋体"/>
          <w:sz w:val="24"/>
        </w:rPr>
      </w:pPr>
      <w:r>
        <w:rPr>
          <w:rFonts w:ascii="宋体" w:hAnsi="宋体"/>
          <w:sz w:val="24"/>
        </w:rPr>
        <w:t xml:space="preserve">18.7.2  </w:t>
      </w:r>
      <w:r>
        <w:rPr>
          <w:rFonts w:hint="eastAsia" w:ascii="宋体" w:hAnsi="宋体"/>
          <w:sz w:val="24"/>
        </w:rPr>
        <w:t>承包人未按监理人的要求恢复临时占地，或者场地清理未达到合同约定的，发包人有权委托其他人恢复或清理，所发生的金额从拟支付给承包人的款项中扣除。</w:t>
      </w:r>
    </w:p>
    <w:p w14:paraId="36C55922">
      <w:pPr>
        <w:wordWrap w:val="0"/>
        <w:spacing w:before="120" w:beforeLines="50" w:after="120" w:afterLines="50" w:line="360" w:lineRule="auto"/>
        <w:outlineLvl w:val="2"/>
        <w:rPr>
          <w:rFonts w:ascii="宋体"/>
          <w:kern w:val="0"/>
          <w:sz w:val="24"/>
        </w:rPr>
      </w:pPr>
      <w:bookmarkStart w:id="2159" w:name="_Toc342296384"/>
      <w:bookmarkStart w:id="2160" w:name="_Toc480487026"/>
      <w:bookmarkStart w:id="2161" w:name="_Toc207289707"/>
      <w:bookmarkStart w:id="2162" w:name="_Toc480486854"/>
      <w:bookmarkStart w:id="2163" w:name="_Toc486580171"/>
      <w:bookmarkStart w:id="2164" w:name="_Toc338944826"/>
      <w:bookmarkStart w:id="2165" w:name="_Toc490222616"/>
      <w:bookmarkStart w:id="2166" w:name="_Toc489279982"/>
      <w:bookmarkStart w:id="2167" w:name="_Toc483668200"/>
      <w:r>
        <w:rPr>
          <w:rFonts w:ascii="宋体"/>
          <w:kern w:val="0"/>
          <w:sz w:val="24"/>
        </w:rPr>
        <w:t xml:space="preserve">18.8  </w:t>
      </w:r>
      <w:r>
        <w:rPr>
          <w:rFonts w:hint="eastAsia" w:ascii="宋体"/>
          <w:kern w:val="0"/>
          <w:sz w:val="24"/>
        </w:rPr>
        <w:t>施工队伍的撤离</w:t>
      </w:r>
      <w:bookmarkEnd w:id="2159"/>
      <w:bookmarkEnd w:id="2160"/>
      <w:bookmarkEnd w:id="2161"/>
      <w:bookmarkEnd w:id="2162"/>
      <w:bookmarkEnd w:id="2163"/>
      <w:bookmarkEnd w:id="2164"/>
      <w:bookmarkEnd w:id="2165"/>
      <w:bookmarkEnd w:id="2166"/>
      <w:bookmarkEnd w:id="2167"/>
    </w:p>
    <w:p w14:paraId="4BF94099">
      <w:pPr>
        <w:wordWrap w:val="0"/>
        <w:spacing w:line="360" w:lineRule="auto"/>
        <w:ind w:firstLine="480" w:firstLineChars="200"/>
        <w:rPr>
          <w:rFonts w:ascii="宋体"/>
          <w:sz w:val="24"/>
        </w:rPr>
      </w:pPr>
      <w:r>
        <w:rPr>
          <w:rFonts w:ascii="宋体" w:hAnsi="宋体"/>
          <w:sz w:val="24"/>
        </w:rPr>
        <w:t xml:space="preserve">18.8.1  </w:t>
      </w:r>
      <w:r>
        <w:rPr>
          <w:rFonts w:hint="eastAsia" w:ascii="宋体" w:hAnsi="宋体"/>
          <w:sz w:val="24"/>
        </w:rPr>
        <w:t>工程接收证书颁发后的</w:t>
      </w:r>
      <w:r>
        <w:rPr>
          <w:rFonts w:ascii="宋体" w:hAnsi="宋体"/>
          <w:sz w:val="24"/>
        </w:rPr>
        <w:t>56</w:t>
      </w:r>
      <w:r>
        <w:rPr>
          <w:rFonts w:hint="eastAsia" w:ascii="宋体" w:hAnsi="宋体"/>
          <w:sz w:val="24"/>
        </w:rPr>
        <w:t>天内，除了经监理人同意需在缺陷责任期内继续工作和使用的人员、施工设备和临时工程外，其余的人员、施工设备和临时工程均应撤离施工场地或拆除。</w:t>
      </w:r>
    </w:p>
    <w:p w14:paraId="342FFFDB">
      <w:pPr>
        <w:wordWrap w:val="0"/>
        <w:spacing w:line="360" w:lineRule="auto"/>
        <w:ind w:firstLine="480" w:firstLineChars="200"/>
        <w:rPr>
          <w:rFonts w:ascii="宋体"/>
          <w:sz w:val="24"/>
        </w:rPr>
      </w:pPr>
      <w:r>
        <w:rPr>
          <w:rFonts w:ascii="宋体" w:hAnsi="宋体"/>
          <w:sz w:val="24"/>
        </w:rPr>
        <w:t xml:space="preserve">18.8.2  </w:t>
      </w:r>
      <w:r>
        <w:rPr>
          <w:rFonts w:hint="eastAsia" w:ascii="宋体" w:hAnsi="宋体"/>
          <w:sz w:val="24"/>
        </w:rPr>
        <w:t>承包人撤离施工场地（现场）时，监理人和承包人应当办理永久工程和施工场地移交手续，移交手续以书面方式出具，并分别经过发包人、监理人和承包人的签认。但是，监理人和发包人未按第</w:t>
      </w:r>
      <w:r>
        <w:rPr>
          <w:rFonts w:ascii="宋体" w:hAnsi="宋体"/>
          <w:sz w:val="24"/>
        </w:rPr>
        <w:t>17.5.2</w:t>
      </w:r>
      <w:r>
        <w:rPr>
          <w:rFonts w:hint="eastAsia" w:ascii="宋体" w:hAnsi="宋体"/>
          <w:sz w:val="24"/>
        </w:rPr>
        <w:t>项约定的期限办清竣工结算和竣工付款的，本工程不得交付使用，发包人和监理人也无权要求承包人按合同约定的期限撤离施工场地（现场）和办理工程移交手续。</w:t>
      </w:r>
    </w:p>
    <w:p w14:paraId="307738F8">
      <w:pPr>
        <w:wordWrap w:val="0"/>
        <w:spacing w:line="360" w:lineRule="auto"/>
        <w:ind w:firstLine="480" w:firstLineChars="200"/>
        <w:rPr>
          <w:rFonts w:ascii="宋体"/>
          <w:sz w:val="24"/>
        </w:rPr>
      </w:pPr>
      <w:r>
        <w:rPr>
          <w:rFonts w:ascii="宋体" w:hAnsi="宋体"/>
          <w:sz w:val="24"/>
        </w:rPr>
        <w:t xml:space="preserve">18.8.3  </w:t>
      </w:r>
      <w:r>
        <w:rPr>
          <w:rFonts w:hint="eastAsia" w:ascii="宋体" w:hAnsi="宋体"/>
          <w:sz w:val="24"/>
        </w:rPr>
        <w:t>缺陷责任期满时，承包人的人员和施工设备应在合同约定期限内全部撤离施工场地。撤离施工场地的期限要求</w:t>
      </w:r>
      <w:r>
        <w:rPr>
          <w:rFonts w:hint="eastAsia" w:ascii="黑体" w:hAnsi="黑体" w:eastAsia="黑体"/>
          <w:sz w:val="24"/>
        </w:rPr>
        <w:t>见合同条款专用部分</w:t>
      </w:r>
      <w:r>
        <w:rPr>
          <w:rFonts w:hint="eastAsia" w:ascii="宋体" w:hAnsi="宋体"/>
          <w:sz w:val="24"/>
        </w:rPr>
        <w:t>。</w:t>
      </w:r>
    </w:p>
    <w:p w14:paraId="68D155B6">
      <w:pPr>
        <w:wordWrap w:val="0"/>
        <w:spacing w:before="120" w:beforeLines="50" w:after="120" w:afterLines="50" w:line="360" w:lineRule="auto"/>
        <w:outlineLvl w:val="2"/>
        <w:rPr>
          <w:rFonts w:ascii="宋体"/>
          <w:kern w:val="0"/>
          <w:sz w:val="24"/>
        </w:rPr>
      </w:pPr>
      <w:bookmarkStart w:id="2168" w:name="_Toc207289708"/>
      <w:bookmarkStart w:id="2169" w:name="_Toc483668201"/>
      <w:bookmarkStart w:id="2170" w:name="_Toc490222617"/>
      <w:bookmarkStart w:id="2171" w:name="_Toc342296495"/>
      <w:bookmarkStart w:id="2172" w:name="_Toc480486855"/>
      <w:bookmarkStart w:id="2173" w:name="_Toc480487027"/>
      <w:bookmarkStart w:id="2174" w:name="_Toc476479383"/>
      <w:bookmarkStart w:id="2175" w:name="_Toc241459736"/>
      <w:bookmarkStart w:id="2176" w:name="_Toc486580172"/>
      <w:bookmarkStart w:id="2177" w:name="_Toc489279983"/>
      <w:r>
        <w:rPr>
          <w:rFonts w:ascii="宋体"/>
          <w:kern w:val="0"/>
          <w:sz w:val="24"/>
        </w:rPr>
        <w:t xml:space="preserve">18.9  </w:t>
      </w:r>
      <w:r>
        <w:rPr>
          <w:rFonts w:hint="eastAsia" w:ascii="宋体"/>
          <w:kern w:val="0"/>
          <w:sz w:val="24"/>
        </w:rPr>
        <w:t>中间验收</w:t>
      </w:r>
      <w:bookmarkEnd w:id="2168"/>
      <w:bookmarkEnd w:id="2169"/>
      <w:bookmarkEnd w:id="2170"/>
      <w:bookmarkEnd w:id="2171"/>
      <w:bookmarkEnd w:id="2172"/>
      <w:bookmarkEnd w:id="2173"/>
      <w:bookmarkEnd w:id="2174"/>
      <w:bookmarkEnd w:id="2175"/>
      <w:bookmarkEnd w:id="2176"/>
      <w:bookmarkEnd w:id="2177"/>
    </w:p>
    <w:p w14:paraId="41D21C3B">
      <w:pPr>
        <w:wordWrap w:val="0"/>
        <w:spacing w:line="360" w:lineRule="auto"/>
        <w:ind w:firstLine="480" w:firstLineChars="200"/>
        <w:rPr>
          <w:rFonts w:ascii="宋体"/>
          <w:sz w:val="24"/>
        </w:rPr>
      </w:pPr>
      <w:r>
        <w:rPr>
          <w:rFonts w:ascii="宋体" w:hAnsi="宋体"/>
          <w:sz w:val="24"/>
        </w:rPr>
        <w:t xml:space="preserve">18.9.1  </w:t>
      </w:r>
      <w:r>
        <w:rPr>
          <w:rFonts w:hint="eastAsia" w:ascii="宋体" w:hAnsi="宋体"/>
          <w:sz w:val="24"/>
        </w:rPr>
        <w:t>本工程需要按照合同约定进行中间验收。进行中间验收的部位</w:t>
      </w:r>
      <w:r>
        <w:rPr>
          <w:rFonts w:hint="eastAsia" w:ascii="黑体" w:hAnsi="黑体" w:eastAsia="黑体"/>
          <w:sz w:val="24"/>
        </w:rPr>
        <w:t>见合同条款专用部分</w:t>
      </w:r>
      <w:r>
        <w:rPr>
          <w:rFonts w:hint="eastAsia" w:ascii="宋体" w:hAnsi="宋体"/>
          <w:sz w:val="24"/>
        </w:rPr>
        <w:t>。</w:t>
      </w:r>
    </w:p>
    <w:p w14:paraId="3491D99A">
      <w:pPr>
        <w:wordWrap w:val="0"/>
        <w:spacing w:line="360" w:lineRule="auto"/>
        <w:ind w:firstLine="480" w:firstLineChars="200"/>
        <w:rPr>
          <w:rFonts w:ascii="宋体"/>
          <w:sz w:val="24"/>
        </w:rPr>
      </w:pPr>
      <w:r>
        <w:rPr>
          <w:rFonts w:ascii="宋体" w:hAnsi="宋体"/>
          <w:sz w:val="24"/>
        </w:rPr>
        <w:t xml:space="preserve">18.9.2  </w:t>
      </w:r>
      <w:r>
        <w:rPr>
          <w:rFonts w:hint="eastAsia" w:ascii="宋体" w:hAnsi="宋体"/>
          <w:sz w:val="24"/>
        </w:rPr>
        <w:t>当工程进度达到第</w:t>
      </w:r>
      <w:r>
        <w:rPr>
          <w:rFonts w:ascii="宋体" w:hAnsi="宋体"/>
          <w:sz w:val="24"/>
        </w:rPr>
        <w:t>18.9.1</w:t>
      </w:r>
      <w:r>
        <w:rPr>
          <w:rFonts w:hint="eastAsia" w:ascii="宋体" w:hAnsi="宋体"/>
          <w:sz w:val="24"/>
        </w:rPr>
        <w:t>项约定的中间验收部位时，承包人应当进行自检，并在中间验收前</w:t>
      </w:r>
      <w:r>
        <w:rPr>
          <w:rFonts w:ascii="宋体" w:hAnsi="宋体"/>
          <w:sz w:val="24"/>
        </w:rPr>
        <w:t>48</w:t>
      </w:r>
      <w:r>
        <w:rPr>
          <w:rFonts w:hint="eastAsia" w:ascii="宋体" w:hAnsi="宋体"/>
          <w:sz w:val="24"/>
        </w:rPr>
        <w:t>小时以书面形式通知监理人验收。书面通知应包括中间验收的内容、验收时间和地点。承包人应当准备验收记录。只有监理人验收合格并在验收记录上签字后，承包人方可继续施工。验收不合格的，承包人在合同约定的期限内修改后重新验收。重新验收的期限</w:t>
      </w:r>
      <w:r>
        <w:rPr>
          <w:rFonts w:hint="eastAsia" w:ascii="黑体" w:hAnsi="黑体" w:eastAsia="黑体"/>
          <w:sz w:val="24"/>
        </w:rPr>
        <w:t>见合同条款专用部分</w:t>
      </w:r>
      <w:r>
        <w:rPr>
          <w:rFonts w:hint="eastAsia" w:ascii="宋体" w:hAnsi="宋体"/>
          <w:sz w:val="24"/>
        </w:rPr>
        <w:t>。</w:t>
      </w:r>
    </w:p>
    <w:p w14:paraId="5A55BE70">
      <w:pPr>
        <w:wordWrap w:val="0"/>
        <w:spacing w:line="360" w:lineRule="auto"/>
        <w:ind w:firstLine="480" w:firstLineChars="200"/>
        <w:rPr>
          <w:rFonts w:ascii="宋体"/>
          <w:sz w:val="24"/>
        </w:rPr>
      </w:pPr>
      <w:r>
        <w:rPr>
          <w:rFonts w:ascii="宋体" w:hAnsi="宋体"/>
          <w:sz w:val="24"/>
        </w:rPr>
        <w:t xml:space="preserve">18.9.3  </w:t>
      </w:r>
      <w:r>
        <w:rPr>
          <w:rFonts w:hint="eastAsia" w:ascii="宋体" w:hAnsi="宋体"/>
          <w:sz w:val="24"/>
        </w:rPr>
        <w:t>监理人不能按时进行验收的，应在验收前至少</w:t>
      </w:r>
      <w:r>
        <w:rPr>
          <w:rFonts w:ascii="宋体" w:hAnsi="宋体"/>
          <w:sz w:val="24"/>
        </w:rPr>
        <w:t>24</w:t>
      </w:r>
      <w:r>
        <w:rPr>
          <w:rFonts w:hint="eastAsia" w:ascii="宋体" w:hAnsi="宋体"/>
          <w:sz w:val="24"/>
        </w:rPr>
        <w:t>小时以书面形式向承包人提出延期要求，但延期不能超过</w:t>
      </w:r>
      <w:r>
        <w:rPr>
          <w:rFonts w:ascii="宋体" w:hAnsi="宋体"/>
          <w:sz w:val="24"/>
        </w:rPr>
        <w:t>48</w:t>
      </w:r>
      <w:r>
        <w:rPr>
          <w:rFonts w:hint="eastAsia" w:ascii="宋体" w:hAnsi="宋体"/>
          <w:sz w:val="24"/>
        </w:rPr>
        <w:t>小时。监理人未能按本款约定的时限提出延期要求，又未按期进行验收的，承包人可自行组织验收，监理人必须认同验收记录。</w:t>
      </w:r>
    </w:p>
    <w:p w14:paraId="2677B232">
      <w:pPr>
        <w:wordWrap w:val="0"/>
        <w:spacing w:line="360" w:lineRule="auto"/>
        <w:ind w:firstLine="480" w:firstLineChars="200"/>
        <w:rPr>
          <w:rFonts w:ascii="宋体"/>
          <w:sz w:val="24"/>
        </w:rPr>
      </w:pPr>
      <w:r>
        <w:rPr>
          <w:rFonts w:hint="eastAsia" w:ascii="宋体" w:hAnsi="宋体"/>
          <w:sz w:val="24"/>
        </w:rPr>
        <w:t>经监理人验收后工程质量符合约定的验收标准，但验收</w:t>
      </w:r>
      <w:r>
        <w:rPr>
          <w:rFonts w:ascii="宋体" w:hAnsi="宋体"/>
          <w:sz w:val="24"/>
        </w:rPr>
        <w:t>24</w:t>
      </w:r>
      <w:r>
        <w:rPr>
          <w:rFonts w:hint="eastAsia" w:ascii="宋体" w:hAnsi="宋体"/>
          <w:sz w:val="24"/>
        </w:rPr>
        <w:t>小时后监理人仍不在验收记录上签字的，视为监理人已经认可验收记录，承包人可继续施工。</w:t>
      </w:r>
    </w:p>
    <w:p w14:paraId="58FBE408">
      <w:pPr>
        <w:tabs>
          <w:tab w:val="left" w:pos="576"/>
        </w:tabs>
        <w:wordWrap w:val="0"/>
        <w:spacing w:before="120" w:beforeLines="50" w:after="120" w:afterLines="50" w:line="360" w:lineRule="auto"/>
        <w:outlineLvl w:val="1"/>
        <w:rPr>
          <w:rFonts w:ascii="宋体" w:cs="宋体"/>
          <w:sz w:val="28"/>
          <w:szCs w:val="20"/>
        </w:rPr>
      </w:pPr>
      <w:bookmarkStart w:id="2178" w:name="_Toc480486856"/>
      <w:bookmarkStart w:id="2179" w:name="_Toc489279984"/>
      <w:bookmarkStart w:id="2180" w:name="_Toc490222618"/>
      <w:bookmarkStart w:id="2181" w:name="_Toc486580173"/>
      <w:bookmarkStart w:id="2182" w:name="_Toc338944827"/>
      <w:bookmarkStart w:id="2183" w:name="_Toc483668202"/>
      <w:bookmarkStart w:id="2184" w:name="_Toc480487028"/>
      <w:bookmarkStart w:id="2185" w:name="_Toc342296385"/>
      <w:bookmarkStart w:id="2186" w:name="_Toc207289709"/>
      <w:r>
        <w:rPr>
          <w:rFonts w:ascii="宋体" w:cs="宋体"/>
          <w:sz w:val="28"/>
          <w:szCs w:val="20"/>
        </w:rPr>
        <w:t>19.</w:t>
      </w:r>
      <w:bookmarkStart w:id="2187" w:name="OLE_LINK40"/>
      <w:r>
        <w:rPr>
          <w:rFonts w:hint="eastAsia" w:ascii="宋体" w:cs="宋体"/>
          <w:sz w:val="28"/>
          <w:szCs w:val="20"/>
        </w:rPr>
        <w:t>缺陷责任与保修责任</w:t>
      </w:r>
      <w:bookmarkEnd w:id="2178"/>
      <w:bookmarkEnd w:id="2179"/>
      <w:bookmarkEnd w:id="2180"/>
      <w:bookmarkEnd w:id="2181"/>
      <w:bookmarkEnd w:id="2182"/>
      <w:bookmarkEnd w:id="2183"/>
      <w:bookmarkEnd w:id="2184"/>
      <w:bookmarkEnd w:id="2185"/>
      <w:bookmarkEnd w:id="2186"/>
      <w:bookmarkEnd w:id="2187"/>
    </w:p>
    <w:p w14:paraId="5267E5C4">
      <w:pPr>
        <w:wordWrap w:val="0"/>
        <w:spacing w:before="120" w:beforeLines="50" w:after="120" w:afterLines="50" w:line="360" w:lineRule="auto"/>
        <w:outlineLvl w:val="2"/>
        <w:rPr>
          <w:rFonts w:ascii="宋体"/>
          <w:kern w:val="0"/>
          <w:sz w:val="24"/>
        </w:rPr>
      </w:pPr>
      <w:bookmarkStart w:id="2188" w:name="_Toc490222619"/>
      <w:bookmarkStart w:id="2189" w:name="_Toc483668203"/>
      <w:bookmarkStart w:id="2190" w:name="_Toc207289710"/>
      <w:bookmarkStart w:id="2191" w:name="_Toc486580174"/>
      <w:bookmarkStart w:id="2192" w:name="_Toc179632753"/>
      <w:bookmarkStart w:id="2193" w:name="_Toc342296386"/>
      <w:bookmarkStart w:id="2194" w:name="_Toc480486857"/>
      <w:bookmarkStart w:id="2195" w:name="_Toc338944828"/>
      <w:bookmarkStart w:id="2196" w:name="_Toc152042514"/>
      <w:bookmarkStart w:id="2197" w:name="_Toc152045735"/>
      <w:bookmarkStart w:id="2198" w:name="_Toc480487029"/>
      <w:bookmarkStart w:id="2199" w:name="_Toc144974706"/>
      <w:bookmarkStart w:id="2200" w:name="_Toc489279985"/>
      <w:r>
        <w:rPr>
          <w:rFonts w:ascii="宋体"/>
          <w:kern w:val="0"/>
          <w:sz w:val="24"/>
        </w:rPr>
        <w:t xml:space="preserve">19.1  </w:t>
      </w:r>
      <w:r>
        <w:rPr>
          <w:rFonts w:hint="eastAsia" w:ascii="宋体"/>
          <w:kern w:val="0"/>
          <w:sz w:val="24"/>
        </w:rPr>
        <w:t>缺陷责任期的起算时间</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p>
    <w:p w14:paraId="76E66864">
      <w:pPr>
        <w:wordWrap w:val="0"/>
        <w:spacing w:line="360" w:lineRule="auto"/>
        <w:ind w:firstLine="480" w:firstLineChars="200"/>
        <w:rPr>
          <w:rFonts w:ascii="宋体"/>
          <w:sz w:val="24"/>
        </w:rPr>
      </w:pPr>
      <w:r>
        <w:rPr>
          <w:rFonts w:hint="eastAsia" w:ascii="宋体" w:hAnsi="宋体"/>
          <w:sz w:val="24"/>
        </w:rPr>
        <w:t>缺陷责任期自实际竣工日期起计算。在全部工程竣工验收前，已经发包人提前验收的单位工程，其缺陷责任期的起算日期相应提前。</w:t>
      </w:r>
    </w:p>
    <w:p w14:paraId="003FBC84">
      <w:pPr>
        <w:wordWrap w:val="0"/>
        <w:spacing w:before="120" w:beforeLines="50" w:after="120" w:afterLines="50" w:line="360" w:lineRule="auto"/>
        <w:outlineLvl w:val="2"/>
        <w:rPr>
          <w:rFonts w:ascii="宋体"/>
          <w:kern w:val="0"/>
          <w:sz w:val="24"/>
        </w:rPr>
      </w:pPr>
      <w:bookmarkStart w:id="2201" w:name="_Toc483668204"/>
      <w:bookmarkStart w:id="2202" w:name="_Toc486580175"/>
      <w:bookmarkStart w:id="2203" w:name="_Toc152042515"/>
      <w:bookmarkStart w:id="2204" w:name="_Toc152045736"/>
      <w:bookmarkStart w:id="2205" w:name="_Toc144974707"/>
      <w:bookmarkStart w:id="2206" w:name="_Toc480486858"/>
      <w:bookmarkStart w:id="2207" w:name="_Toc490222620"/>
      <w:bookmarkStart w:id="2208" w:name="_Toc179632754"/>
      <w:bookmarkStart w:id="2209" w:name="_Toc207289711"/>
      <w:bookmarkStart w:id="2210" w:name="_Toc489279986"/>
      <w:bookmarkStart w:id="2211" w:name="_Toc342296387"/>
      <w:bookmarkStart w:id="2212" w:name="_Toc338944829"/>
      <w:bookmarkStart w:id="2213" w:name="_Toc480487030"/>
      <w:r>
        <w:rPr>
          <w:rFonts w:ascii="宋体"/>
          <w:kern w:val="0"/>
          <w:sz w:val="24"/>
        </w:rPr>
        <w:t xml:space="preserve">19.2  </w:t>
      </w:r>
      <w:r>
        <w:rPr>
          <w:rFonts w:hint="eastAsia" w:ascii="宋体"/>
          <w:kern w:val="0"/>
          <w:sz w:val="24"/>
        </w:rPr>
        <w:t>缺陷责任</w:t>
      </w:r>
      <w:bookmarkEnd w:id="2201"/>
      <w:bookmarkEnd w:id="2202"/>
      <w:bookmarkEnd w:id="2203"/>
      <w:bookmarkEnd w:id="2204"/>
      <w:bookmarkEnd w:id="2205"/>
      <w:bookmarkEnd w:id="2206"/>
      <w:bookmarkEnd w:id="2207"/>
      <w:bookmarkEnd w:id="2208"/>
      <w:bookmarkEnd w:id="2209"/>
      <w:bookmarkEnd w:id="2210"/>
      <w:bookmarkEnd w:id="2211"/>
      <w:bookmarkEnd w:id="2212"/>
      <w:bookmarkEnd w:id="2213"/>
    </w:p>
    <w:p w14:paraId="282FD4EB">
      <w:pPr>
        <w:wordWrap w:val="0"/>
        <w:spacing w:line="360" w:lineRule="auto"/>
        <w:ind w:firstLine="480" w:firstLineChars="200"/>
        <w:rPr>
          <w:rFonts w:ascii="宋体"/>
          <w:sz w:val="24"/>
        </w:rPr>
      </w:pPr>
      <w:r>
        <w:rPr>
          <w:rFonts w:ascii="宋体" w:hAnsi="宋体"/>
          <w:sz w:val="24"/>
        </w:rPr>
        <w:t xml:space="preserve">19.2.1  </w:t>
      </w:r>
      <w:r>
        <w:rPr>
          <w:rFonts w:hint="eastAsia" w:ascii="宋体" w:hAnsi="宋体"/>
          <w:sz w:val="24"/>
        </w:rPr>
        <w:t>承包人应在缺陷责任期内对已交付使用的工程承担缺陷责任。</w:t>
      </w:r>
    </w:p>
    <w:p w14:paraId="4E08015B">
      <w:pPr>
        <w:wordWrap w:val="0"/>
        <w:spacing w:line="360" w:lineRule="auto"/>
        <w:ind w:firstLine="480" w:firstLineChars="200"/>
        <w:rPr>
          <w:rFonts w:ascii="宋体"/>
          <w:sz w:val="24"/>
        </w:rPr>
      </w:pPr>
      <w:r>
        <w:rPr>
          <w:rFonts w:ascii="宋体" w:hAnsi="宋体"/>
          <w:sz w:val="24"/>
        </w:rPr>
        <w:t xml:space="preserve">19.2.2  </w:t>
      </w:r>
      <w:r>
        <w:rPr>
          <w:rFonts w:hint="eastAsia" w:ascii="宋体" w:hAnsi="宋体"/>
          <w:sz w:val="24"/>
        </w:rPr>
        <w:t>缺陷责任期内，发包人对已接收使用的工程负责日常维护工作。发包人在使用过程中，发现已接收的工程存在新的缺陷或已修复的缺陷部位或部件又遭损坏的，承包人应负责修复，直至检验合格为止。</w:t>
      </w:r>
    </w:p>
    <w:p w14:paraId="2428DAF3">
      <w:pPr>
        <w:wordWrap w:val="0"/>
        <w:spacing w:line="360" w:lineRule="auto"/>
        <w:ind w:firstLine="480" w:firstLineChars="200"/>
        <w:rPr>
          <w:rFonts w:ascii="宋体"/>
          <w:sz w:val="24"/>
        </w:rPr>
      </w:pPr>
      <w:r>
        <w:rPr>
          <w:rFonts w:ascii="宋体" w:hAnsi="宋体"/>
          <w:sz w:val="24"/>
        </w:rPr>
        <w:t xml:space="preserve">19.2.3  </w:t>
      </w:r>
      <w:r>
        <w:rPr>
          <w:rFonts w:hint="eastAsia" w:ascii="宋体" w:hAnsi="宋体"/>
          <w:sz w:val="24"/>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4E645C6A">
      <w:pPr>
        <w:wordWrap w:val="0"/>
        <w:spacing w:line="360" w:lineRule="auto"/>
        <w:ind w:firstLine="480" w:firstLineChars="200"/>
        <w:rPr>
          <w:rFonts w:ascii="宋体"/>
          <w:sz w:val="24"/>
        </w:rPr>
      </w:pPr>
      <w:r>
        <w:rPr>
          <w:rFonts w:ascii="宋体" w:hAnsi="宋体"/>
          <w:sz w:val="24"/>
        </w:rPr>
        <w:t xml:space="preserve">19.2.4  </w:t>
      </w:r>
      <w:r>
        <w:rPr>
          <w:rFonts w:hint="eastAsia" w:ascii="宋体" w:hAnsi="宋体"/>
          <w:sz w:val="24"/>
        </w:rPr>
        <w:t>承包人不能在合理时间内修复缺陷的，发包人可自行修复或委托其他人修复，所需费用和利润的承担，按第</w:t>
      </w:r>
      <w:r>
        <w:rPr>
          <w:rFonts w:ascii="宋体" w:hAnsi="宋体"/>
          <w:sz w:val="24"/>
        </w:rPr>
        <w:t>19.2.3</w:t>
      </w:r>
      <w:r>
        <w:rPr>
          <w:rFonts w:hint="eastAsia" w:ascii="宋体" w:hAnsi="宋体"/>
          <w:sz w:val="24"/>
        </w:rPr>
        <w:t>项约定办理。</w:t>
      </w:r>
    </w:p>
    <w:p w14:paraId="7B3A3AED">
      <w:pPr>
        <w:wordWrap w:val="0"/>
        <w:spacing w:before="120" w:beforeLines="50" w:after="120" w:afterLines="50" w:line="360" w:lineRule="auto"/>
        <w:outlineLvl w:val="2"/>
        <w:rPr>
          <w:rFonts w:ascii="宋体"/>
          <w:kern w:val="0"/>
          <w:sz w:val="24"/>
        </w:rPr>
      </w:pPr>
      <w:bookmarkStart w:id="2214" w:name="_Toc207289712"/>
      <w:bookmarkStart w:id="2215" w:name="_Toc144974708"/>
      <w:bookmarkStart w:id="2216" w:name="_Toc342296388"/>
      <w:bookmarkStart w:id="2217" w:name="_Toc338944830"/>
      <w:bookmarkStart w:id="2218" w:name="_Toc480487031"/>
      <w:bookmarkStart w:id="2219" w:name="_Toc480486859"/>
      <w:bookmarkStart w:id="2220" w:name="_Toc152045737"/>
      <w:bookmarkStart w:id="2221" w:name="_Toc179632755"/>
      <w:bookmarkStart w:id="2222" w:name="_Toc152042516"/>
      <w:bookmarkStart w:id="2223" w:name="_Toc489279987"/>
      <w:bookmarkStart w:id="2224" w:name="_Toc486580176"/>
      <w:bookmarkStart w:id="2225" w:name="_Toc483668205"/>
      <w:bookmarkStart w:id="2226" w:name="_Toc490222621"/>
      <w:r>
        <w:rPr>
          <w:rFonts w:ascii="宋体"/>
          <w:kern w:val="0"/>
          <w:sz w:val="24"/>
        </w:rPr>
        <w:t xml:space="preserve">19.3  </w:t>
      </w:r>
      <w:r>
        <w:rPr>
          <w:rFonts w:hint="eastAsia" w:ascii="宋体"/>
          <w:kern w:val="0"/>
          <w:sz w:val="24"/>
        </w:rPr>
        <w:t>缺陷责任期的延长</w:t>
      </w:r>
      <w:bookmarkEnd w:id="2214"/>
      <w:bookmarkEnd w:id="2215"/>
      <w:bookmarkEnd w:id="2216"/>
      <w:bookmarkEnd w:id="2217"/>
      <w:bookmarkEnd w:id="2218"/>
      <w:bookmarkEnd w:id="2219"/>
      <w:bookmarkEnd w:id="2220"/>
      <w:bookmarkEnd w:id="2221"/>
      <w:bookmarkEnd w:id="2222"/>
      <w:bookmarkEnd w:id="2223"/>
      <w:bookmarkEnd w:id="2224"/>
      <w:bookmarkEnd w:id="2225"/>
      <w:bookmarkEnd w:id="2226"/>
    </w:p>
    <w:p w14:paraId="03F38FEF">
      <w:pPr>
        <w:wordWrap w:val="0"/>
        <w:spacing w:line="360" w:lineRule="auto"/>
        <w:ind w:firstLine="480" w:firstLineChars="200"/>
        <w:rPr>
          <w:rFonts w:ascii="宋体"/>
          <w:sz w:val="24"/>
        </w:rPr>
      </w:pPr>
      <w:r>
        <w:rPr>
          <w:rFonts w:hint="eastAsia" w:ascii="宋体" w:hAnsi="宋体"/>
          <w:sz w:val="24"/>
        </w:rPr>
        <w:t>由于承包人原因造成某项缺陷或损坏，使某项工程或工程设备不能按原定目标使用，需要再次检查、检验和修复的，发包人有权要求承包人相应延长缺陷责任期，但缺陷责任期最长不超过</w:t>
      </w:r>
      <w:r>
        <w:rPr>
          <w:rFonts w:ascii="宋体" w:hAnsi="宋体"/>
          <w:sz w:val="24"/>
        </w:rPr>
        <w:t>2</w:t>
      </w:r>
      <w:r>
        <w:rPr>
          <w:rFonts w:hint="eastAsia" w:ascii="宋体" w:hAnsi="宋体"/>
          <w:sz w:val="24"/>
        </w:rPr>
        <w:t>年。</w:t>
      </w:r>
    </w:p>
    <w:p w14:paraId="31E584CA">
      <w:pPr>
        <w:wordWrap w:val="0"/>
        <w:spacing w:before="120" w:beforeLines="50" w:after="120" w:afterLines="50" w:line="360" w:lineRule="auto"/>
        <w:outlineLvl w:val="2"/>
        <w:rPr>
          <w:rFonts w:ascii="宋体"/>
          <w:kern w:val="0"/>
          <w:sz w:val="24"/>
        </w:rPr>
      </w:pPr>
      <w:bookmarkStart w:id="2227" w:name="_Toc152042517"/>
      <w:bookmarkStart w:id="2228" w:name="_Toc486580177"/>
      <w:bookmarkStart w:id="2229" w:name="_Toc480486860"/>
      <w:bookmarkStart w:id="2230" w:name="_Toc144974709"/>
      <w:bookmarkStart w:id="2231" w:name="_Toc338944831"/>
      <w:bookmarkStart w:id="2232" w:name="_Toc342296389"/>
      <w:bookmarkStart w:id="2233" w:name="_Toc483668206"/>
      <w:bookmarkStart w:id="2234" w:name="_Toc489279988"/>
      <w:bookmarkStart w:id="2235" w:name="_Toc480487032"/>
      <w:bookmarkStart w:id="2236" w:name="_Toc179632756"/>
      <w:bookmarkStart w:id="2237" w:name="_Toc152045738"/>
      <w:bookmarkStart w:id="2238" w:name="_Toc490222622"/>
      <w:bookmarkStart w:id="2239" w:name="_Toc207289713"/>
      <w:r>
        <w:rPr>
          <w:rFonts w:ascii="宋体"/>
          <w:kern w:val="0"/>
          <w:sz w:val="24"/>
        </w:rPr>
        <w:t xml:space="preserve">19.4  </w:t>
      </w:r>
      <w:r>
        <w:rPr>
          <w:rFonts w:hint="eastAsia" w:ascii="宋体"/>
          <w:kern w:val="0"/>
          <w:sz w:val="24"/>
        </w:rPr>
        <w:t>进一步试验和试运行</w:t>
      </w:r>
      <w:bookmarkEnd w:id="2227"/>
      <w:bookmarkEnd w:id="2228"/>
      <w:bookmarkEnd w:id="2229"/>
      <w:bookmarkEnd w:id="2230"/>
      <w:bookmarkEnd w:id="2231"/>
      <w:bookmarkEnd w:id="2232"/>
      <w:bookmarkEnd w:id="2233"/>
      <w:bookmarkEnd w:id="2234"/>
      <w:bookmarkEnd w:id="2235"/>
      <w:bookmarkEnd w:id="2236"/>
      <w:bookmarkEnd w:id="2237"/>
      <w:bookmarkEnd w:id="2238"/>
      <w:bookmarkEnd w:id="2239"/>
    </w:p>
    <w:p w14:paraId="4D23FF5E">
      <w:pPr>
        <w:wordWrap w:val="0"/>
        <w:spacing w:line="360" w:lineRule="auto"/>
        <w:ind w:firstLine="480" w:firstLineChars="200"/>
        <w:rPr>
          <w:rFonts w:ascii="宋体"/>
          <w:sz w:val="24"/>
        </w:rPr>
      </w:pPr>
      <w:r>
        <w:rPr>
          <w:rFonts w:hint="eastAsia" w:ascii="宋体" w:hAnsi="宋体"/>
          <w:sz w:val="24"/>
        </w:rPr>
        <w:t>任何一项缺陷或损坏修复后，经检查证明其影响了工程或工程设备的使用性能，承包人应重新进行合同约定的试验和试运行，试验和试运行的全部费用应由责任方承担。</w:t>
      </w:r>
    </w:p>
    <w:p w14:paraId="790885A6">
      <w:pPr>
        <w:wordWrap w:val="0"/>
        <w:spacing w:before="120" w:beforeLines="50" w:after="120" w:afterLines="50" w:line="360" w:lineRule="auto"/>
        <w:outlineLvl w:val="2"/>
        <w:rPr>
          <w:rFonts w:ascii="宋体"/>
          <w:kern w:val="0"/>
          <w:sz w:val="24"/>
        </w:rPr>
      </w:pPr>
      <w:bookmarkStart w:id="2240" w:name="_Toc338944832"/>
      <w:bookmarkStart w:id="2241" w:name="_Toc144974710"/>
      <w:bookmarkStart w:id="2242" w:name="_Toc480486861"/>
      <w:bookmarkStart w:id="2243" w:name="_Toc480487033"/>
      <w:bookmarkStart w:id="2244" w:name="_Toc342296390"/>
      <w:bookmarkStart w:id="2245" w:name="_Toc179632757"/>
      <w:bookmarkStart w:id="2246" w:name="_Toc207289714"/>
      <w:bookmarkStart w:id="2247" w:name="_Toc486580178"/>
      <w:bookmarkStart w:id="2248" w:name="_Toc483668207"/>
      <w:bookmarkStart w:id="2249" w:name="_Toc490222623"/>
      <w:bookmarkStart w:id="2250" w:name="_Toc152045739"/>
      <w:bookmarkStart w:id="2251" w:name="_Toc152042518"/>
      <w:bookmarkStart w:id="2252" w:name="_Toc489279989"/>
      <w:r>
        <w:rPr>
          <w:rFonts w:ascii="宋体"/>
          <w:kern w:val="0"/>
          <w:sz w:val="24"/>
        </w:rPr>
        <w:t xml:space="preserve">19.5  </w:t>
      </w:r>
      <w:r>
        <w:rPr>
          <w:rFonts w:hint="eastAsia" w:ascii="宋体"/>
          <w:kern w:val="0"/>
          <w:sz w:val="24"/>
        </w:rPr>
        <w:t>承包人的进入权</w:t>
      </w:r>
      <w:bookmarkEnd w:id="2240"/>
      <w:bookmarkEnd w:id="2241"/>
      <w:bookmarkEnd w:id="2242"/>
      <w:bookmarkEnd w:id="2243"/>
      <w:bookmarkEnd w:id="2244"/>
      <w:bookmarkEnd w:id="2245"/>
      <w:bookmarkEnd w:id="2246"/>
      <w:bookmarkEnd w:id="2247"/>
      <w:bookmarkEnd w:id="2248"/>
      <w:bookmarkEnd w:id="2249"/>
      <w:bookmarkEnd w:id="2250"/>
      <w:bookmarkEnd w:id="2251"/>
      <w:bookmarkEnd w:id="2252"/>
    </w:p>
    <w:p w14:paraId="56FC1C9A">
      <w:pPr>
        <w:wordWrap w:val="0"/>
        <w:spacing w:line="360" w:lineRule="auto"/>
        <w:ind w:firstLine="480" w:firstLineChars="200"/>
        <w:rPr>
          <w:rFonts w:ascii="宋体"/>
          <w:sz w:val="24"/>
        </w:rPr>
      </w:pPr>
      <w:r>
        <w:rPr>
          <w:rFonts w:hint="eastAsia" w:ascii="宋体" w:hAnsi="宋体"/>
          <w:sz w:val="24"/>
        </w:rPr>
        <w:t>缺陷责任期内承包人为缺陷修复工作需要，有权进入工程现场，但应遵守发包人的保安和保密规定。</w:t>
      </w:r>
    </w:p>
    <w:p w14:paraId="20E21DFC">
      <w:pPr>
        <w:wordWrap w:val="0"/>
        <w:spacing w:before="120" w:beforeLines="50" w:after="120" w:afterLines="50" w:line="360" w:lineRule="auto"/>
        <w:outlineLvl w:val="2"/>
        <w:rPr>
          <w:rFonts w:ascii="宋体"/>
          <w:kern w:val="0"/>
          <w:sz w:val="24"/>
        </w:rPr>
      </w:pPr>
      <w:bookmarkStart w:id="2253" w:name="_Toc489279990"/>
      <w:bookmarkStart w:id="2254" w:name="_Toc152042519"/>
      <w:bookmarkStart w:id="2255" w:name="_Toc480487034"/>
      <w:bookmarkStart w:id="2256" w:name="_Toc338944833"/>
      <w:bookmarkStart w:id="2257" w:name="_Toc483668208"/>
      <w:bookmarkStart w:id="2258" w:name="_Toc486580179"/>
      <w:bookmarkStart w:id="2259" w:name="_Toc179632758"/>
      <w:bookmarkStart w:id="2260" w:name="_Toc490222624"/>
      <w:bookmarkStart w:id="2261" w:name="_Toc207289715"/>
      <w:bookmarkStart w:id="2262" w:name="_Toc144974711"/>
      <w:bookmarkStart w:id="2263" w:name="_Toc342296391"/>
      <w:bookmarkStart w:id="2264" w:name="_Toc480486862"/>
      <w:bookmarkStart w:id="2265" w:name="_Toc152045740"/>
      <w:r>
        <w:rPr>
          <w:rFonts w:ascii="宋体"/>
          <w:kern w:val="0"/>
          <w:sz w:val="24"/>
        </w:rPr>
        <w:t xml:space="preserve">19.6  </w:t>
      </w:r>
      <w:r>
        <w:rPr>
          <w:rFonts w:hint="eastAsia" w:ascii="宋体"/>
          <w:kern w:val="0"/>
          <w:sz w:val="24"/>
        </w:rPr>
        <w:t>缺陷责任期终止证书</w:t>
      </w:r>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14:paraId="1DA4FE74">
      <w:pPr>
        <w:wordWrap w:val="0"/>
        <w:spacing w:line="360" w:lineRule="auto"/>
        <w:ind w:firstLine="480" w:firstLineChars="200"/>
        <w:rPr>
          <w:rFonts w:ascii="宋体"/>
          <w:sz w:val="24"/>
        </w:rPr>
      </w:pPr>
      <w:r>
        <w:rPr>
          <w:rFonts w:hint="eastAsia" w:ascii="宋体" w:hAnsi="宋体"/>
          <w:sz w:val="24"/>
        </w:rPr>
        <w:t>在第</w:t>
      </w:r>
      <w:r>
        <w:rPr>
          <w:rFonts w:ascii="宋体" w:hAnsi="宋体"/>
          <w:sz w:val="24"/>
        </w:rPr>
        <w:t>1.1.4.5</w:t>
      </w:r>
      <w:r>
        <w:rPr>
          <w:rFonts w:hint="eastAsia" w:ascii="宋体" w:hAnsi="宋体"/>
          <w:sz w:val="24"/>
        </w:rPr>
        <w:t>目约定的缺陷责任期，包括根据第</w:t>
      </w:r>
      <w:r>
        <w:rPr>
          <w:rFonts w:ascii="宋体" w:hAnsi="宋体"/>
          <w:sz w:val="24"/>
        </w:rPr>
        <w:t>19.3</w:t>
      </w:r>
      <w:r>
        <w:rPr>
          <w:rFonts w:hint="eastAsia" w:ascii="宋体" w:hAnsi="宋体"/>
          <w:sz w:val="24"/>
        </w:rPr>
        <w:t>款延长的期限终止后</w:t>
      </w:r>
      <w:r>
        <w:rPr>
          <w:rFonts w:ascii="宋体" w:hAnsi="宋体"/>
          <w:sz w:val="24"/>
        </w:rPr>
        <w:t>14</w:t>
      </w:r>
      <w:r>
        <w:rPr>
          <w:rFonts w:hint="eastAsia" w:ascii="宋体" w:hAnsi="宋体"/>
          <w:sz w:val="24"/>
        </w:rPr>
        <w:t>天内，由监理人向承包人出具经发包人签认的缺陷责任期终止证书，并退还剩余的质量保证金或退还保函。</w:t>
      </w:r>
    </w:p>
    <w:p w14:paraId="5DC25A91">
      <w:pPr>
        <w:wordWrap w:val="0"/>
        <w:spacing w:before="120" w:beforeLines="50" w:after="120" w:afterLines="50" w:line="360" w:lineRule="auto"/>
        <w:outlineLvl w:val="2"/>
        <w:rPr>
          <w:rFonts w:ascii="宋体"/>
          <w:kern w:val="0"/>
          <w:sz w:val="24"/>
        </w:rPr>
      </w:pPr>
      <w:bookmarkStart w:id="2266" w:name="_Toc207289716"/>
      <w:bookmarkStart w:id="2267" w:name="_Toc338944834"/>
      <w:bookmarkStart w:id="2268" w:name="_Toc483668209"/>
      <w:bookmarkStart w:id="2269" w:name="_Toc480486863"/>
      <w:bookmarkStart w:id="2270" w:name="_Toc490222625"/>
      <w:bookmarkStart w:id="2271" w:name="_Toc486580180"/>
      <w:bookmarkStart w:id="2272" w:name="_Toc480487035"/>
      <w:bookmarkStart w:id="2273" w:name="_Toc489279991"/>
      <w:bookmarkStart w:id="2274" w:name="_Toc342296392"/>
      <w:r>
        <w:rPr>
          <w:rFonts w:ascii="宋体"/>
          <w:kern w:val="0"/>
          <w:sz w:val="24"/>
        </w:rPr>
        <w:t xml:space="preserve">19.7  </w:t>
      </w:r>
      <w:r>
        <w:rPr>
          <w:rFonts w:hint="eastAsia" w:ascii="宋体"/>
          <w:kern w:val="0"/>
          <w:sz w:val="24"/>
        </w:rPr>
        <w:t>保修责任</w:t>
      </w:r>
      <w:bookmarkEnd w:id="2266"/>
      <w:bookmarkEnd w:id="2267"/>
      <w:bookmarkEnd w:id="2268"/>
      <w:bookmarkEnd w:id="2269"/>
      <w:bookmarkEnd w:id="2270"/>
      <w:bookmarkEnd w:id="2271"/>
      <w:bookmarkEnd w:id="2272"/>
      <w:bookmarkEnd w:id="2273"/>
      <w:bookmarkEnd w:id="2274"/>
    </w:p>
    <w:p w14:paraId="04194FE3">
      <w:pPr>
        <w:wordWrap w:val="0"/>
        <w:spacing w:line="360" w:lineRule="auto"/>
        <w:ind w:firstLine="480" w:firstLineChars="200"/>
        <w:rPr>
          <w:rFonts w:ascii="宋体"/>
          <w:sz w:val="24"/>
        </w:rPr>
      </w:pPr>
      <w:r>
        <w:rPr>
          <w:rFonts w:ascii="宋体" w:hAnsi="宋体"/>
          <w:sz w:val="24"/>
        </w:rPr>
        <w:t xml:space="preserve">19.7.1  </w:t>
      </w:r>
      <w:r>
        <w:rPr>
          <w:rFonts w:hint="eastAsia" w:ascii="宋体" w:hAnsi="宋体"/>
          <w:sz w:val="24"/>
        </w:rPr>
        <w:t>合同当事人根据有关法律法规规定明确工程质量保修范围、期限和责任。保修期自实际竣工日期起计算。在全部工程竣工验收前，已经发包人提前验收的单位工程，其保修期的起算日期相应提前。工程质量保修范围、期限和责任</w:t>
      </w:r>
      <w:r>
        <w:rPr>
          <w:rFonts w:hint="eastAsia" w:ascii="黑体" w:hAnsi="黑体" w:eastAsia="黑体"/>
          <w:sz w:val="24"/>
        </w:rPr>
        <w:t>见合同条款专用部分</w:t>
      </w:r>
      <w:r>
        <w:rPr>
          <w:rFonts w:hint="eastAsia" w:ascii="宋体" w:hAnsi="宋体"/>
          <w:sz w:val="24"/>
        </w:rPr>
        <w:t>。</w:t>
      </w:r>
    </w:p>
    <w:p w14:paraId="5A1A5775">
      <w:pPr>
        <w:wordWrap w:val="0"/>
        <w:spacing w:line="360" w:lineRule="auto"/>
        <w:ind w:firstLine="480" w:firstLineChars="200"/>
        <w:rPr>
          <w:rFonts w:ascii="宋体"/>
          <w:szCs w:val="21"/>
        </w:rPr>
      </w:pPr>
      <w:r>
        <w:rPr>
          <w:rFonts w:ascii="宋体" w:hAnsi="宋体"/>
          <w:sz w:val="24"/>
        </w:rPr>
        <w:t xml:space="preserve">19.7.2  </w:t>
      </w:r>
      <w:r>
        <w:rPr>
          <w:rFonts w:hint="eastAsia" w:ascii="宋体" w:hAnsi="宋体"/>
          <w:sz w:val="24"/>
        </w:rPr>
        <w:t>质量保修书是竣工验收申请报告的组成内容。承包人应当按照有关法律法规规定和合同所附的格式出具质量保修书，质量保修书的主要内容应当与本款上述约定内容一致。承包人在递交合同条款第</w:t>
      </w:r>
      <w:r>
        <w:rPr>
          <w:rFonts w:ascii="宋体" w:hAnsi="宋体"/>
          <w:sz w:val="24"/>
        </w:rPr>
        <w:t>18.2</w:t>
      </w:r>
      <w:r>
        <w:rPr>
          <w:rFonts w:hint="eastAsia" w:ascii="宋体" w:hAnsi="宋体"/>
          <w:sz w:val="24"/>
        </w:rPr>
        <w:t>款约定的竣工验收报告的同时，将质量保修书一并报送监理</w:t>
      </w:r>
      <w:r>
        <w:rPr>
          <w:rFonts w:hint="eastAsia" w:ascii="宋体" w:hAnsi="宋体"/>
          <w:szCs w:val="21"/>
        </w:rPr>
        <w:t>人。</w:t>
      </w:r>
    </w:p>
    <w:p w14:paraId="3F9A12D9">
      <w:pPr>
        <w:tabs>
          <w:tab w:val="left" w:pos="576"/>
        </w:tabs>
        <w:wordWrap w:val="0"/>
        <w:spacing w:before="120" w:beforeLines="50" w:after="120" w:afterLines="50" w:line="360" w:lineRule="auto"/>
        <w:outlineLvl w:val="1"/>
        <w:rPr>
          <w:rFonts w:ascii="宋体" w:cs="宋体"/>
          <w:sz w:val="28"/>
          <w:szCs w:val="20"/>
        </w:rPr>
      </w:pPr>
      <w:bookmarkStart w:id="2275" w:name="_Toc489279992"/>
      <w:bookmarkStart w:id="2276" w:name="_Toc490222626"/>
      <w:bookmarkStart w:id="2277" w:name="_Toc483668210"/>
      <w:bookmarkStart w:id="2278" w:name="_Toc480487036"/>
      <w:bookmarkStart w:id="2279" w:name="_Toc342296393"/>
      <w:bookmarkStart w:id="2280" w:name="_Toc486580181"/>
      <w:bookmarkStart w:id="2281" w:name="_Toc207289717"/>
      <w:bookmarkStart w:id="2282" w:name="_Toc338944835"/>
      <w:bookmarkStart w:id="2283" w:name="_Toc480486864"/>
      <w:r>
        <w:rPr>
          <w:rFonts w:ascii="宋体" w:cs="宋体"/>
          <w:sz w:val="28"/>
          <w:szCs w:val="20"/>
        </w:rPr>
        <w:t>20.</w:t>
      </w:r>
      <w:r>
        <w:rPr>
          <w:rFonts w:hint="eastAsia" w:ascii="宋体" w:cs="宋体"/>
          <w:sz w:val="28"/>
          <w:szCs w:val="20"/>
        </w:rPr>
        <w:t>保险</w:t>
      </w:r>
      <w:bookmarkEnd w:id="2275"/>
      <w:bookmarkEnd w:id="2276"/>
      <w:bookmarkEnd w:id="2277"/>
      <w:bookmarkEnd w:id="2278"/>
      <w:bookmarkEnd w:id="2279"/>
      <w:bookmarkEnd w:id="2280"/>
      <w:bookmarkEnd w:id="2281"/>
      <w:bookmarkEnd w:id="2282"/>
      <w:bookmarkEnd w:id="2283"/>
    </w:p>
    <w:p w14:paraId="14D1E587">
      <w:pPr>
        <w:wordWrap w:val="0"/>
        <w:spacing w:before="120" w:beforeLines="50" w:after="120" w:afterLines="50" w:line="360" w:lineRule="auto"/>
        <w:outlineLvl w:val="2"/>
        <w:rPr>
          <w:rFonts w:ascii="宋体"/>
          <w:kern w:val="0"/>
          <w:sz w:val="24"/>
        </w:rPr>
      </w:pPr>
      <w:bookmarkStart w:id="2284" w:name="_Toc489279993"/>
      <w:bookmarkStart w:id="2285" w:name="_Toc490222627"/>
      <w:bookmarkStart w:id="2286" w:name="_Toc207289718"/>
      <w:bookmarkStart w:id="2287" w:name="_Toc342296394"/>
      <w:bookmarkStart w:id="2288" w:name="_Toc480486865"/>
      <w:bookmarkStart w:id="2289" w:name="_Toc483668211"/>
      <w:bookmarkStart w:id="2290" w:name="_Toc480487037"/>
      <w:bookmarkStart w:id="2291" w:name="_Toc338944836"/>
      <w:bookmarkStart w:id="2292" w:name="_Toc486580182"/>
      <w:r>
        <w:rPr>
          <w:rFonts w:ascii="宋体"/>
          <w:kern w:val="0"/>
          <w:sz w:val="24"/>
        </w:rPr>
        <w:t xml:space="preserve">20.1  </w:t>
      </w:r>
      <w:r>
        <w:rPr>
          <w:rFonts w:hint="eastAsia" w:ascii="宋体"/>
          <w:kern w:val="0"/>
          <w:sz w:val="24"/>
        </w:rPr>
        <w:t>工程保险</w:t>
      </w:r>
      <w:bookmarkEnd w:id="2284"/>
      <w:bookmarkEnd w:id="2285"/>
      <w:bookmarkEnd w:id="2286"/>
      <w:bookmarkEnd w:id="2287"/>
      <w:bookmarkEnd w:id="2288"/>
      <w:bookmarkEnd w:id="2289"/>
      <w:bookmarkEnd w:id="2290"/>
      <w:bookmarkEnd w:id="2291"/>
      <w:bookmarkEnd w:id="2292"/>
    </w:p>
    <w:p w14:paraId="535F2596">
      <w:pPr>
        <w:wordWrap w:val="0"/>
        <w:spacing w:line="360" w:lineRule="auto"/>
        <w:ind w:firstLine="480" w:firstLineChars="200"/>
        <w:rPr>
          <w:rFonts w:ascii="宋体"/>
          <w:sz w:val="24"/>
        </w:rPr>
      </w:pPr>
      <w:r>
        <w:rPr>
          <w:rFonts w:hint="eastAsia" w:ascii="宋体" w:hAnsi="宋体"/>
          <w:sz w:val="24"/>
        </w:rPr>
        <w:t>承包人应以发包人和承包人的共同名义向双方同意的保险人投保建筑工程一切险、安装工程一切险。其具体的投保内容、保险金额、保险费率、保险期限等有关内容</w:t>
      </w:r>
      <w:r>
        <w:rPr>
          <w:rFonts w:hint="eastAsia" w:ascii="黑体" w:hAnsi="黑体" w:eastAsia="黑体"/>
          <w:sz w:val="24"/>
        </w:rPr>
        <w:t>见合同条款专用部分</w:t>
      </w:r>
      <w:r>
        <w:rPr>
          <w:rFonts w:hint="eastAsia" w:ascii="宋体" w:hAnsi="宋体"/>
          <w:sz w:val="24"/>
        </w:rPr>
        <w:t>。</w:t>
      </w:r>
    </w:p>
    <w:p w14:paraId="0431D884">
      <w:pPr>
        <w:wordWrap w:val="0"/>
        <w:spacing w:before="120" w:beforeLines="50" w:after="120" w:afterLines="50" w:line="360" w:lineRule="auto"/>
        <w:outlineLvl w:val="2"/>
        <w:rPr>
          <w:rFonts w:ascii="宋体"/>
          <w:kern w:val="0"/>
          <w:sz w:val="24"/>
        </w:rPr>
      </w:pPr>
      <w:bookmarkStart w:id="2293" w:name="_Toc338944837"/>
      <w:bookmarkStart w:id="2294" w:name="_Toc342296395"/>
      <w:bookmarkStart w:id="2295" w:name="_Toc483668212"/>
      <w:bookmarkStart w:id="2296" w:name="_Toc489279994"/>
      <w:bookmarkStart w:id="2297" w:name="_Toc480486866"/>
      <w:bookmarkStart w:id="2298" w:name="_Toc207289719"/>
      <w:bookmarkStart w:id="2299" w:name="_Toc480487038"/>
      <w:bookmarkStart w:id="2300" w:name="_Toc486580183"/>
      <w:bookmarkStart w:id="2301" w:name="_Toc490222628"/>
      <w:r>
        <w:rPr>
          <w:rFonts w:ascii="宋体"/>
          <w:kern w:val="0"/>
          <w:sz w:val="24"/>
        </w:rPr>
        <w:t xml:space="preserve">20.2  </w:t>
      </w:r>
      <w:r>
        <w:rPr>
          <w:rFonts w:hint="eastAsia" w:ascii="宋体"/>
          <w:kern w:val="0"/>
          <w:sz w:val="24"/>
        </w:rPr>
        <w:t>人员工伤事故的保险</w:t>
      </w:r>
      <w:bookmarkEnd w:id="2293"/>
      <w:bookmarkEnd w:id="2294"/>
      <w:bookmarkEnd w:id="2295"/>
      <w:bookmarkEnd w:id="2296"/>
      <w:bookmarkEnd w:id="2297"/>
      <w:bookmarkEnd w:id="2298"/>
      <w:bookmarkEnd w:id="2299"/>
      <w:bookmarkEnd w:id="2300"/>
      <w:bookmarkEnd w:id="2301"/>
    </w:p>
    <w:p w14:paraId="074BFE72">
      <w:pPr>
        <w:wordWrap w:val="0"/>
        <w:spacing w:line="360" w:lineRule="auto"/>
        <w:ind w:firstLine="480" w:firstLineChars="200"/>
        <w:rPr>
          <w:rFonts w:ascii="宋体"/>
          <w:sz w:val="24"/>
        </w:rPr>
      </w:pPr>
      <w:r>
        <w:rPr>
          <w:rFonts w:ascii="宋体" w:hAnsi="宋体"/>
          <w:sz w:val="24"/>
        </w:rPr>
        <w:t xml:space="preserve">20.2.1  </w:t>
      </w:r>
      <w:r>
        <w:rPr>
          <w:rFonts w:hint="eastAsia" w:ascii="宋体" w:hAnsi="宋体"/>
          <w:sz w:val="24"/>
        </w:rPr>
        <w:t>承包人员工伤事故的保险</w:t>
      </w:r>
    </w:p>
    <w:p w14:paraId="096D21A0">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承包人应依照有关法律法规规定参加工伤保险，为其履行合同所雇佣的全部人员（包括专业分包人、劳务分包人使用的人员），在合同工程开工前应当一次性缴纳工伤保险费。承包人在工程分包计费时，不得再向分包人另行计提、划拨工伤保险费。</w:t>
      </w:r>
    </w:p>
    <w:p w14:paraId="3AAFB22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）承包人工伤事故保险期限自合同工程开工之日起至合同终止之日止。</w:t>
      </w:r>
    </w:p>
    <w:p w14:paraId="0152FA8F">
      <w:pPr>
        <w:wordWrap w:val="0"/>
        <w:spacing w:line="360" w:lineRule="auto"/>
        <w:ind w:firstLine="480" w:firstLineChars="200"/>
        <w:rPr>
          <w:rFonts w:ascii="宋体"/>
          <w:sz w:val="24"/>
        </w:rPr>
      </w:pPr>
      <w:r>
        <w:rPr>
          <w:rFonts w:ascii="宋体" w:hAnsi="宋体"/>
          <w:sz w:val="24"/>
        </w:rPr>
        <w:t xml:space="preserve">20.2.2  </w:t>
      </w:r>
      <w:r>
        <w:rPr>
          <w:rFonts w:hint="eastAsia" w:ascii="宋体" w:hAnsi="宋体"/>
          <w:sz w:val="24"/>
        </w:rPr>
        <w:t>发包人员工伤事故的保险</w:t>
      </w:r>
    </w:p>
    <w:p w14:paraId="6762F8BE">
      <w:pPr>
        <w:wordWrap w:val="0"/>
        <w:spacing w:line="360" w:lineRule="auto"/>
        <w:ind w:firstLine="480" w:firstLineChars="200"/>
        <w:rPr>
          <w:rFonts w:ascii="宋体"/>
          <w:sz w:val="24"/>
        </w:rPr>
      </w:pPr>
      <w:r>
        <w:rPr>
          <w:rFonts w:hint="eastAsia" w:ascii="宋体" w:hAnsi="宋体"/>
          <w:sz w:val="24"/>
        </w:rPr>
        <w:t>发包人应依照有关法律法规规定参加工伤保险，为其现场机构雇佣的全部人员，缴纳工伤保险费，并要求其监理人也进行此项保险。</w:t>
      </w:r>
    </w:p>
    <w:p w14:paraId="5AED8516">
      <w:pPr>
        <w:wordWrap w:val="0"/>
        <w:spacing w:before="120" w:beforeLines="50" w:after="120" w:afterLines="50" w:line="360" w:lineRule="auto"/>
        <w:outlineLvl w:val="2"/>
        <w:rPr>
          <w:rFonts w:ascii="宋体"/>
          <w:kern w:val="0"/>
          <w:sz w:val="24"/>
        </w:rPr>
      </w:pPr>
      <w:bookmarkStart w:id="2302" w:name="_Toc480486867"/>
      <w:bookmarkStart w:id="2303" w:name="_Toc489279995"/>
      <w:bookmarkStart w:id="2304" w:name="_Toc152042524"/>
      <w:bookmarkStart w:id="2305" w:name="_Toc152045745"/>
      <w:bookmarkStart w:id="2306" w:name="_Toc490222629"/>
      <w:bookmarkStart w:id="2307" w:name="_Toc338944838"/>
      <w:bookmarkStart w:id="2308" w:name="_Toc144974716"/>
      <w:bookmarkStart w:id="2309" w:name="_Toc342296396"/>
      <w:bookmarkStart w:id="2310" w:name="_Toc207289720"/>
      <w:bookmarkStart w:id="2311" w:name="_Toc483668213"/>
      <w:bookmarkStart w:id="2312" w:name="_Toc486580184"/>
      <w:bookmarkStart w:id="2313" w:name="_Toc179632763"/>
      <w:bookmarkStart w:id="2314" w:name="_Toc480487039"/>
      <w:r>
        <w:rPr>
          <w:rFonts w:ascii="宋体"/>
          <w:kern w:val="0"/>
          <w:sz w:val="24"/>
        </w:rPr>
        <w:t xml:space="preserve">20.3  </w:t>
      </w:r>
      <w:r>
        <w:rPr>
          <w:rFonts w:hint="eastAsia" w:ascii="宋体"/>
          <w:kern w:val="0"/>
          <w:sz w:val="24"/>
        </w:rPr>
        <w:t>人身意外伤害险</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p>
    <w:p w14:paraId="65179028">
      <w:pPr>
        <w:wordWrap w:val="0"/>
        <w:spacing w:line="360" w:lineRule="auto"/>
        <w:ind w:firstLine="480" w:firstLineChars="200"/>
        <w:rPr>
          <w:rFonts w:ascii="宋体"/>
          <w:sz w:val="24"/>
        </w:rPr>
      </w:pPr>
      <w:r>
        <w:rPr>
          <w:rFonts w:ascii="宋体" w:hAnsi="宋体"/>
          <w:sz w:val="24"/>
        </w:rPr>
        <w:t xml:space="preserve">20.3.1  </w:t>
      </w:r>
      <w:r>
        <w:rPr>
          <w:rFonts w:hint="eastAsia" w:ascii="宋体" w:hAnsi="宋体"/>
          <w:sz w:val="24"/>
        </w:rPr>
        <w:t>发包人应在整个施工期间为其现场机构雇用的全部人员，投保人身意外伤害险，缴纳保险费，并要求其监理人也进行此项保险。</w:t>
      </w:r>
    </w:p>
    <w:p w14:paraId="54022F56">
      <w:pPr>
        <w:wordWrap w:val="0"/>
        <w:spacing w:line="360" w:lineRule="auto"/>
        <w:ind w:firstLine="480" w:firstLineChars="200"/>
        <w:rPr>
          <w:rFonts w:ascii="宋体"/>
          <w:sz w:val="24"/>
        </w:rPr>
      </w:pPr>
      <w:r>
        <w:rPr>
          <w:rFonts w:ascii="宋体" w:hAnsi="宋体"/>
          <w:sz w:val="24"/>
        </w:rPr>
        <w:t xml:space="preserve">20.3.2  </w:t>
      </w:r>
      <w:r>
        <w:rPr>
          <w:rFonts w:hint="eastAsia" w:ascii="宋体" w:hAnsi="宋体"/>
          <w:sz w:val="24"/>
        </w:rPr>
        <w:t>承包人应在整个施工期间为其现场机构雇用的全部人员，投保人身意外伤害险，缴纳保险费，并要求其分包人也进行此项保险。</w:t>
      </w:r>
    </w:p>
    <w:p w14:paraId="72DEEA27">
      <w:pPr>
        <w:wordWrap w:val="0"/>
        <w:spacing w:before="120" w:beforeLines="50" w:after="120" w:afterLines="50" w:line="360" w:lineRule="auto"/>
        <w:outlineLvl w:val="2"/>
        <w:rPr>
          <w:rFonts w:ascii="宋体"/>
          <w:kern w:val="0"/>
          <w:sz w:val="24"/>
        </w:rPr>
      </w:pPr>
      <w:bookmarkStart w:id="2315" w:name="_Toc480486868"/>
      <w:bookmarkStart w:id="2316" w:name="_Toc489279996"/>
      <w:bookmarkStart w:id="2317" w:name="_Toc480487040"/>
      <w:bookmarkStart w:id="2318" w:name="_Toc207289721"/>
      <w:bookmarkStart w:id="2319" w:name="_Toc490222630"/>
      <w:bookmarkStart w:id="2320" w:name="_Toc483668214"/>
      <w:bookmarkStart w:id="2321" w:name="_Toc338944839"/>
      <w:bookmarkStart w:id="2322" w:name="_Toc342296397"/>
      <w:bookmarkStart w:id="2323" w:name="_Toc486580185"/>
      <w:r>
        <w:rPr>
          <w:rFonts w:ascii="宋体"/>
          <w:kern w:val="0"/>
          <w:sz w:val="24"/>
        </w:rPr>
        <w:t xml:space="preserve">20.4  </w:t>
      </w:r>
      <w:r>
        <w:rPr>
          <w:rFonts w:hint="eastAsia" w:ascii="宋体"/>
          <w:kern w:val="0"/>
          <w:sz w:val="24"/>
        </w:rPr>
        <w:t>第三者责任险</w:t>
      </w:r>
      <w:bookmarkEnd w:id="2315"/>
      <w:bookmarkEnd w:id="2316"/>
      <w:bookmarkEnd w:id="2317"/>
      <w:bookmarkEnd w:id="2318"/>
      <w:bookmarkEnd w:id="2319"/>
      <w:bookmarkEnd w:id="2320"/>
      <w:bookmarkEnd w:id="2321"/>
      <w:bookmarkEnd w:id="2322"/>
      <w:bookmarkEnd w:id="2323"/>
    </w:p>
    <w:p w14:paraId="6CC9DA4B">
      <w:pPr>
        <w:wordWrap w:val="0"/>
        <w:spacing w:line="360" w:lineRule="auto"/>
        <w:ind w:firstLine="480" w:firstLineChars="200"/>
        <w:rPr>
          <w:rFonts w:ascii="宋体"/>
          <w:sz w:val="24"/>
        </w:rPr>
      </w:pPr>
      <w:r>
        <w:rPr>
          <w:rFonts w:ascii="宋体" w:hAnsi="宋体"/>
          <w:sz w:val="24"/>
        </w:rPr>
        <w:t xml:space="preserve">20.4.1  </w:t>
      </w:r>
      <w:r>
        <w:rPr>
          <w:rFonts w:hint="eastAsia" w:ascii="宋体" w:hAnsi="宋体"/>
          <w:sz w:val="24"/>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16C86077">
      <w:pPr>
        <w:wordWrap w:val="0"/>
        <w:spacing w:line="360" w:lineRule="auto"/>
        <w:ind w:firstLine="480" w:firstLineChars="200"/>
        <w:rPr>
          <w:rFonts w:ascii="宋体"/>
          <w:sz w:val="24"/>
        </w:rPr>
      </w:pPr>
      <w:r>
        <w:rPr>
          <w:rFonts w:ascii="宋体" w:hAnsi="宋体"/>
          <w:sz w:val="24"/>
        </w:rPr>
        <w:t xml:space="preserve">20.4.2  </w:t>
      </w:r>
      <w:r>
        <w:rPr>
          <w:rFonts w:hint="eastAsia" w:ascii="宋体" w:hAnsi="宋体"/>
          <w:sz w:val="24"/>
        </w:rPr>
        <w:t>在缺陷责任期终止证书颁发前，承包人应以承包人和发包人的共同名义，投保第</w:t>
      </w:r>
      <w:r>
        <w:rPr>
          <w:rFonts w:ascii="宋体" w:hAnsi="宋体"/>
          <w:sz w:val="24"/>
        </w:rPr>
        <w:t>20.4.1</w:t>
      </w:r>
      <w:r>
        <w:rPr>
          <w:rFonts w:hint="eastAsia" w:ascii="宋体" w:hAnsi="宋体"/>
          <w:sz w:val="24"/>
        </w:rPr>
        <w:t>项约定的第三者责任险，其保险费率、保险金额、保险费承担人等有关内容</w:t>
      </w:r>
      <w:r>
        <w:rPr>
          <w:rFonts w:hint="eastAsia" w:ascii="黑体" w:hAnsi="黑体" w:eastAsia="黑体"/>
          <w:sz w:val="24"/>
        </w:rPr>
        <w:t>见合同条款专用部分</w:t>
      </w:r>
      <w:r>
        <w:rPr>
          <w:rFonts w:hint="eastAsia" w:ascii="宋体" w:hAnsi="宋体"/>
          <w:sz w:val="24"/>
        </w:rPr>
        <w:t>。</w:t>
      </w:r>
    </w:p>
    <w:p w14:paraId="20297A64">
      <w:pPr>
        <w:wordWrap w:val="0"/>
        <w:spacing w:before="120" w:beforeLines="50" w:after="120" w:afterLines="50" w:line="360" w:lineRule="auto"/>
        <w:outlineLvl w:val="2"/>
        <w:rPr>
          <w:rFonts w:ascii="宋体"/>
          <w:kern w:val="0"/>
          <w:sz w:val="24"/>
        </w:rPr>
      </w:pPr>
      <w:bookmarkStart w:id="2324" w:name="_Toc480486869"/>
      <w:bookmarkStart w:id="2325" w:name="_Toc480487041"/>
      <w:bookmarkStart w:id="2326" w:name="_Toc486580186"/>
      <w:bookmarkStart w:id="2327" w:name="_Toc342296398"/>
      <w:bookmarkStart w:id="2328" w:name="_Toc483668215"/>
      <w:bookmarkStart w:id="2329" w:name="_Toc490222631"/>
      <w:bookmarkStart w:id="2330" w:name="_Toc489279997"/>
      <w:bookmarkStart w:id="2331" w:name="_Toc207289722"/>
      <w:bookmarkStart w:id="2332" w:name="_Toc338944840"/>
      <w:r>
        <w:rPr>
          <w:rFonts w:ascii="宋体"/>
          <w:kern w:val="0"/>
          <w:sz w:val="24"/>
        </w:rPr>
        <w:t xml:space="preserve">20.5  </w:t>
      </w:r>
      <w:r>
        <w:rPr>
          <w:rFonts w:hint="eastAsia" w:ascii="宋体"/>
          <w:kern w:val="0"/>
          <w:sz w:val="24"/>
        </w:rPr>
        <w:t>其他保险</w:t>
      </w:r>
      <w:bookmarkEnd w:id="2324"/>
      <w:bookmarkEnd w:id="2325"/>
      <w:bookmarkEnd w:id="2326"/>
      <w:bookmarkEnd w:id="2327"/>
      <w:bookmarkEnd w:id="2328"/>
      <w:bookmarkEnd w:id="2329"/>
      <w:bookmarkEnd w:id="2330"/>
      <w:bookmarkEnd w:id="2331"/>
      <w:bookmarkEnd w:id="2332"/>
    </w:p>
    <w:p w14:paraId="72491AE7">
      <w:pPr>
        <w:wordWrap w:val="0"/>
        <w:spacing w:line="360" w:lineRule="auto"/>
        <w:ind w:firstLine="480" w:firstLineChars="200"/>
        <w:rPr>
          <w:rFonts w:ascii="宋体"/>
          <w:sz w:val="24"/>
        </w:rPr>
      </w:pPr>
      <w:r>
        <w:rPr>
          <w:rFonts w:hint="eastAsia" w:ascii="宋体" w:hAnsi="宋体"/>
          <w:sz w:val="24"/>
        </w:rPr>
        <w:t>承包人应为其施工设备和进场的材料等办理保险。办理保险的险种</w:t>
      </w:r>
      <w:r>
        <w:rPr>
          <w:rFonts w:hint="eastAsia" w:ascii="黑体" w:hAnsi="黑体" w:eastAsia="黑体"/>
          <w:sz w:val="24"/>
        </w:rPr>
        <w:t>见合同条款专用部分</w:t>
      </w:r>
      <w:r>
        <w:rPr>
          <w:rFonts w:hint="eastAsia" w:ascii="宋体" w:hAnsi="宋体"/>
          <w:sz w:val="24"/>
        </w:rPr>
        <w:t>。</w:t>
      </w:r>
    </w:p>
    <w:p w14:paraId="799A022E">
      <w:pPr>
        <w:wordWrap w:val="0"/>
        <w:spacing w:before="120" w:beforeLines="50" w:after="120" w:afterLines="50" w:line="360" w:lineRule="auto"/>
        <w:outlineLvl w:val="2"/>
        <w:rPr>
          <w:rFonts w:ascii="宋体"/>
          <w:kern w:val="0"/>
          <w:sz w:val="24"/>
        </w:rPr>
      </w:pPr>
      <w:bookmarkStart w:id="2333" w:name="_Toc207289723"/>
      <w:bookmarkStart w:id="2334" w:name="_Toc489279998"/>
      <w:bookmarkStart w:id="2335" w:name="_Toc483668216"/>
      <w:bookmarkStart w:id="2336" w:name="_Toc490222632"/>
      <w:bookmarkStart w:id="2337" w:name="_Toc480486870"/>
      <w:bookmarkStart w:id="2338" w:name="_Toc338944841"/>
      <w:bookmarkStart w:id="2339" w:name="_Toc480487042"/>
      <w:bookmarkStart w:id="2340" w:name="_Toc486580187"/>
      <w:bookmarkStart w:id="2341" w:name="_Toc342296399"/>
      <w:r>
        <w:rPr>
          <w:rFonts w:ascii="宋体"/>
          <w:kern w:val="0"/>
          <w:sz w:val="24"/>
        </w:rPr>
        <w:t xml:space="preserve">20.6  </w:t>
      </w:r>
      <w:r>
        <w:rPr>
          <w:rFonts w:hint="eastAsia" w:ascii="宋体"/>
          <w:kern w:val="0"/>
          <w:sz w:val="24"/>
        </w:rPr>
        <w:t>对各项保险的一般要求</w:t>
      </w:r>
      <w:bookmarkEnd w:id="2333"/>
      <w:bookmarkEnd w:id="2334"/>
      <w:bookmarkEnd w:id="2335"/>
      <w:bookmarkEnd w:id="2336"/>
      <w:bookmarkEnd w:id="2337"/>
      <w:bookmarkEnd w:id="2338"/>
      <w:bookmarkEnd w:id="2339"/>
      <w:bookmarkEnd w:id="2340"/>
      <w:bookmarkEnd w:id="2341"/>
    </w:p>
    <w:p w14:paraId="24529F11">
      <w:pPr>
        <w:wordWrap w:val="0"/>
        <w:spacing w:line="360" w:lineRule="auto"/>
        <w:ind w:firstLine="480" w:firstLineChars="200"/>
        <w:rPr>
          <w:rFonts w:ascii="宋体"/>
          <w:sz w:val="24"/>
        </w:rPr>
      </w:pPr>
      <w:r>
        <w:rPr>
          <w:rFonts w:ascii="宋体" w:hAnsi="宋体"/>
          <w:sz w:val="24"/>
        </w:rPr>
        <w:t xml:space="preserve">20.6.1  </w:t>
      </w:r>
      <w:r>
        <w:rPr>
          <w:rFonts w:hint="eastAsia" w:ascii="宋体" w:hAnsi="宋体"/>
          <w:sz w:val="24"/>
        </w:rPr>
        <w:t>保险凭证</w:t>
      </w:r>
    </w:p>
    <w:p w14:paraId="10AD0880">
      <w:pPr>
        <w:wordWrap w:val="0"/>
        <w:spacing w:line="360" w:lineRule="auto"/>
        <w:ind w:firstLine="480" w:firstLineChars="200"/>
        <w:rPr>
          <w:rFonts w:ascii="宋体"/>
          <w:sz w:val="24"/>
        </w:rPr>
      </w:pPr>
      <w:r>
        <w:rPr>
          <w:rFonts w:hint="eastAsia" w:ascii="宋体" w:hAnsi="宋体"/>
          <w:sz w:val="24"/>
        </w:rPr>
        <w:t>承包人应在合同约定的期限内向发包人提交各项保险生效的证据和保险单副本，保险单必须与合同约定的条件保持一致。各项保险生效的证据和保险单副本的期限</w:t>
      </w:r>
      <w:r>
        <w:rPr>
          <w:rFonts w:hint="eastAsia" w:ascii="黑体" w:hAnsi="黑体" w:eastAsia="黑体"/>
          <w:sz w:val="24"/>
        </w:rPr>
        <w:t>见合同条款专用部分</w:t>
      </w:r>
      <w:r>
        <w:rPr>
          <w:rFonts w:hint="eastAsia" w:ascii="宋体" w:hAnsi="宋体"/>
          <w:sz w:val="24"/>
        </w:rPr>
        <w:t>。</w:t>
      </w:r>
    </w:p>
    <w:p w14:paraId="592BC840">
      <w:pPr>
        <w:wordWrap w:val="0"/>
        <w:spacing w:line="360" w:lineRule="auto"/>
        <w:ind w:firstLine="480" w:firstLineChars="200"/>
        <w:rPr>
          <w:rFonts w:ascii="宋体"/>
          <w:sz w:val="24"/>
        </w:rPr>
      </w:pPr>
      <w:r>
        <w:rPr>
          <w:rFonts w:ascii="宋体" w:hAnsi="宋体"/>
          <w:sz w:val="24"/>
        </w:rPr>
        <w:t xml:space="preserve">20.6.2  </w:t>
      </w:r>
      <w:r>
        <w:rPr>
          <w:rFonts w:hint="eastAsia" w:ascii="宋体" w:hAnsi="宋体"/>
          <w:sz w:val="24"/>
        </w:rPr>
        <w:t>保险合同条款的变动</w:t>
      </w:r>
    </w:p>
    <w:p w14:paraId="7FAE3077">
      <w:pPr>
        <w:wordWrap w:val="0"/>
        <w:spacing w:line="360" w:lineRule="auto"/>
        <w:ind w:firstLine="480" w:firstLineChars="200"/>
        <w:rPr>
          <w:rFonts w:ascii="宋体"/>
          <w:sz w:val="24"/>
        </w:rPr>
      </w:pPr>
      <w:r>
        <w:rPr>
          <w:rFonts w:hint="eastAsia" w:ascii="宋体" w:hAnsi="宋体"/>
          <w:sz w:val="24"/>
        </w:rPr>
        <w:t>承包人需要变动保险合同条款时，应事先征得发包人同意，并通知监理人。保险人作出变动的，承包人应在收到保险人通知后立即通知发包人和监理人。</w:t>
      </w:r>
    </w:p>
    <w:p w14:paraId="588630AD">
      <w:pPr>
        <w:wordWrap w:val="0"/>
        <w:spacing w:line="360" w:lineRule="auto"/>
        <w:ind w:firstLine="480" w:firstLineChars="200"/>
        <w:rPr>
          <w:rFonts w:ascii="宋体"/>
          <w:sz w:val="24"/>
        </w:rPr>
      </w:pPr>
      <w:r>
        <w:rPr>
          <w:rFonts w:ascii="宋体" w:hAnsi="宋体"/>
          <w:sz w:val="24"/>
        </w:rPr>
        <w:t xml:space="preserve">20.6.3  </w:t>
      </w:r>
      <w:r>
        <w:rPr>
          <w:rFonts w:hint="eastAsia" w:ascii="宋体" w:hAnsi="宋体"/>
          <w:sz w:val="24"/>
        </w:rPr>
        <w:t>持续保险</w:t>
      </w:r>
    </w:p>
    <w:p w14:paraId="2F0648F8">
      <w:pPr>
        <w:wordWrap w:val="0"/>
        <w:spacing w:line="360" w:lineRule="auto"/>
        <w:ind w:firstLine="480" w:firstLineChars="200"/>
        <w:rPr>
          <w:rFonts w:ascii="宋体"/>
          <w:sz w:val="24"/>
        </w:rPr>
      </w:pPr>
      <w:r>
        <w:rPr>
          <w:rFonts w:hint="eastAsia" w:ascii="宋体" w:hAnsi="宋体"/>
          <w:sz w:val="24"/>
        </w:rPr>
        <w:t>承包人应与保险人保持联系，使保险人能够随时了解工程实施中的变动，并确保按保险合同条款要求持续保险。</w:t>
      </w:r>
    </w:p>
    <w:p w14:paraId="1F2A300E">
      <w:pPr>
        <w:wordWrap w:val="0"/>
        <w:spacing w:line="360" w:lineRule="auto"/>
        <w:ind w:firstLine="480" w:firstLineChars="200"/>
        <w:rPr>
          <w:rFonts w:ascii="宋体"/>
          <w:sz w:val="24"/>
        </w:rPr>
      </w:pPr>
      <w:r>
        <w:rPr>
          <w:rFonts w:ascii="宋体" w:hAnsi="宋体"/>
          <w:sz w:val="24"/>
        </w:rPr>
        <w:t xml:space="preserve">20.6.4  </w:t>
      </w:r>
      <w:r>
        <w:rPr>
          <w:rFonts w:hint="eastAsia" w:ascii="宋体" w:hAnsi="宋体"/>
          <w:sz w:val="24"/>
        </w:rPr>
        <w:t>保险金不足的补偿</w:t>
      </w:r>
    </w:p>
    <w:p w14:paraId="30825A62">
      <w:pPr>
        <w:wordWrap w:val="0"/>
        <w:spacing w:line="360" w:lineRule="auto"/>
        <w:ind w:firstLine="480" w:firstLineChars="200"/>
        <w:rPr>
          <w:rFonts w:ascii="宋体"/>
          <w:sz w:val="24"/>
        </w:rPr>
      </w:pPr>
      <w:r>
        <w:rPr>
          <w:rFonts w:hint="eastAsia" w:ascii="宋体" w:hAnsi="宋体"/>
          <w:sz w:val="24"/>
        </w:rPr>
        <w:t>保险金不足以补偿损失的，应由承包人和（或）发包人按合同约定负责补偿。保险金不足的补偿原则</w:t>
      </w:r>
      <w:r>
        <w:rPr>
          <w:rFonts w:hint="eastAsia" w:ascii="黑体" w:hAnsi="黑体" w:eastAsia="黑体"/>
          <w:sz w:val="24"/>
        </w:rPr>
        <w:t>见合同条款专用部分</w:t>
      </w:r>
      <w:r>
        <w:rPr>
          <w:rFonts w:hint="eastAsia" w:ascii="宋体" w:hAnsi="宋体"/>
          <w:sz w:val="24"/>
        </w:rPr>
        <w:t>。</w:t>
      </w:r>
    </w:p>
    <w:p w14:paraId="13D23E84">
      <w:pPr>
        <w:wordWrap w:val="0"/>
        <w:spacing w:line="360" w:lineRule="auto"/>
        <w:ind w:firstLine="480" w:firstLineChars="200"/>
        <w:rPr>
          <w:rFonts w:ascii="宋体"/>
          <w:sz w:val="24"/>
        </w:rPr>
      </w:pPr>
      <w:r>
        <w:rPr>
          <w:rFonts w:ascii="宋体" w:hAnsi="宋体"/>
          <w:sz w:val="24"/>
        </w:rPr>
        <w:t xml:space="preserve">20.6.5  </w:t>
      </w:r>
      <w:r>
        <w:rPr>
          <w:rFonts w:hint="eastAsia" w:ascii="宋体" w:hAnsi="宋体"/>
          <w:sz w:val="24"/>
        </w:rPr>
        <w:t>未按约定投保的补救</w:t>
      </w:r>
    </w:p>
    <w:p w14:paraId="03B50A6D">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）由于负有投保义务的一方当事人未按合同约定办理保险，或未能使保险持续有效的，另一方当事人可代为办理，所需费用由对方当事人承担。</w:t>
      </w:r>
    </w:p>
    <w:p w14:paraId="535D9B1D">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）由于负有投保义务的一方当事人未按合同约定办理某项保险，导致受益人未能得到保险人的赔偿，原应从该项保险得到的保险金应由负有投保义务的一方当事人支付。</w:t>
      </w:r>
    </w:p>
    <w:p w14:paraId="4914851F">
      <w:pPr>
        <w:wordWrap w:val="0"/>
        <w:spacing w:line="360" w:lineRule="auto"/>
        <w:ind w:firstLine="480" w:firstLineChars="200"/>
        <w:rPr>
          <w:rFonts w:ascii="宋体"/>
          <w:sz w:val="24"/>
        </w:rPr>
      </w:pPr>
      <w:r>
        <w:rPr>
          <w:rFonts w:ascii="宋体" w:hAnsi="宋体"/>
          <w:sz w:val="24"/>
        </w:rPr>
        <w:t xml:space="preserve">20.6.6  </w:t>
      </w:r>
      <w:r>
        <w:rPr>
          <w:rFonts w:hint="eastAsia" w:ascii="宋体" w:hAnsi="宋体"/>
          <w:sz w:val="24"/>
        </w:rPr>
        <w:t>报告义务</w:t>
      </w:r>
    </w:p>
    <w:p w14:paraId="3343CB15">
      <w:pPr>
        <w:wordWrap w:val="0"/>
        <w:spacing w:line="360" w:lineRule="auto"/>
        <w:ind w:firstLine="480" w:firstLineChars="200"/>
        <w:rPr>
          <w:rFonts w:ascii="宋体"/>
          <w:sz w:val="24"/>
        </w:rPr>
      </w:pPr>
      <w:r>
        <w:rPr>
          <w:rFonts w:hint="eastAsia" w:ascii="宋体" w:hAnsi="宋体"/>
          <w:sz w:val="24"/>
        </w:rPr>
        <w:t>当保险事故发生时，投保人应按照保险单规定的条件和期限及时向保险人报告。</w:t>
      </w:r>
    </w:p>
    <w:p w14:paraId="4AD2AFC8">
      <w:pPr>
        <w:tabs>
          <w:tab w:val="left" w:pos="576"/>
        </w:tabs>
        <w:wordWrap w:val="0"/>
        <w:spacing w:before="120" w:beforeLines="50" w:after="120" w:afterLines="50" w:line="360" w:lineRule="auto"/>
        <w:outlineLvl w:val="1"/>
        <w:rPr>
          <w:rFonts w:ascii="宋体" w:cs="宋体"/>
          <w:sz w:val="28"/>
          <w:szCs w:val="20"/>
        </w:rPr>
      </w:pPr>
      <w:bookmarkStart w:id="2342" w:name="_Toc207289724"/>
      <w:bookmarkStart w:id="2343" w:name="_Toc480486871"/>
      <w:bookmarkStart w:id="2344" w:name="_Toc338944842"/>
      <w:bookmarkStart w:id="2345" w:name="_Toc490222633"/>
      <w:bookmarkStart w:id="2346" w:name="_Toc483668217"/>
      <w:bookmarkStart w:id="2347" w:name="_Toc480487043"/>
      <w:bookmarkStart w:id="2348" w:name="_Toc486580188"/>
      <w:bookmarkStart w:id="2349" w:name="_Toc489279999"/>
      <w:bookmarkStart w:id="2350" w:name="_Toc342296400"/>
      <w:r>
        <w:rPr>
          <w:rFonts w:ascii="宋体" w:cs="宋体"/>
          <w:sz w:val="28"/>
          <w:szCs w:val="20"/>
        </w:rPr>
        <w:t>21.</w:t>
      </w:r>
      <w:r>
        <w:rPr>
          <w:rFonts w:hint="eastAsia" w:ascii="宋体" w:cs="宋体"/>
          <w:sz w:val="28"/>
          <w:szCs w:val="20"/>
        </w:rPr>
        <w:t>不可抗力</w:t>
      </w:r>
      <w:bookmarkEnd w:id="2342"/>
      <w:bookmarkEnd w:id="2343"/>
      <w:bookmarkEnd w:id="2344"/>
      <w:bookmarkEnd w:id="2345"/>
      <w:bookmarkEnd w:id="2346"/>
      <w:bookmarkEnd w:id="2347"/>
      <w:bookmarkEnd w:id="2348"/>
      <w:bookmarkEnd w:id="2349"/>
      <w:bookmarkEnd w:id="2350"/>
    </w:p>
    <w:p w14:paraId="0FAE6C9E">
      <w:pPr>
        <w:wordWrap w:val="0"/>
        <w:spacing w:before="120" w:beforeLines="50" w:after="120" w:afterLines="50" w:line="360" w:lineRule="auto"/>
        <w:outlineLvl w:val="2"/>
        <w:rPr>
          <w:rFonts w:ascii="宋体"/>
          <w:kern w:val="0"/>
          <w:sz w:val="24"/>
        </w:rPr>
      </w:pPr>
      <w:bookmarkStart w:id="2351" w:name="_Toc483668218"/>
      <w:bookmarkStart w:id="2352" w:name="_Toc207289725"/>
      <w:bookmarkStart w:id="2353" w:name="_Toc338944843"/>
      <w:bookmarkStart w:id="2354" w:name="_Toc486580189"/>
      <w:bookmarkStart w:id="2355" w:name="_Toc490222634"/>
      <w:bookmarkStart w:id="2356" w:name="_Toc489280000"/>
      <w:bookmarkStart w:id="2357" w:name="_Toc342296401"/>
      <w:bookmarkStart w:id="2358" w:name="_Toc480486872"/>
      <w:bookmarkStart w:id="2359" w:name="_Toc480487044"/>
      <w:r>
        <w:rPr>
          <w:rFonts w:ascii="宋体"/>
          <w:kern w:val="0"/>
          <w:sz w:val="24"/>
        </w:rPr>
        <w:t xml:space="preserve">21.1  </w:t>
      </w:r>
      <w:r>
        <w:rPr>
          <w:rFonts w:hint="eastAsia" w:ascii="宋体"/>
          <w:kern w:val="0"/>
          <w:sz w:val="24"/>
        </w:rPr>
        <w:t>不可抗力的确认</w:t>
      </w:r>
      <w:bookmarkEnd w:id="2351"/>
      <w:bookmarkEnd w:id="2352"/>
      <w:bookmarkEnd w:id="2353"/>
      <w:bookmarkEnd w:id="2354"/>
      <w:bookmarkEnd w:id="2355"/>
      <w:bookmarkEnd w:id="2356"/>
      <w:bookmarkEnd w:id="2357"/>
      <w:bookmarkEnd w:id="2358"/>
      <w:bookmarkEnd w:id="2359"/>
    </w:p>
    <w:p w14:paraId="31899E86">
      <w:pPr>
        <w:wordWrap w:val="0"/>
        <w:spacing w:line="360" w:lineRule="auto"/>
        <w:ind w:firstLine="480" w:firstLineChars="200"/>
        <w:rPr>
          <w:rFonts w:ascii="宋体"/>
          <w:sz w:val="24"/>
        </w:rPr>
      </w:pPr>
      <w:r>
        <w:rPr>
          <w:rFonts w:ascii="宋体" w:hAnsi="宋体"/>
          <w:sz w:val="24"/>
        </w:rPr>
        <w:t xml:space="preserve">21.1.1  </w:t>
      </w:r>
      <w:r>
        <w:rPr>
          <w:rFonts w:hint="eastAsia" w:ascii="宋体" w:hAnsi="宋体"/>
          <w:sz w:val="24"/>
        </w:rPr>
        <w:t>不可抗力是指承包人和发包人在订立合同时不可预见，在工程施工过程中不可避免发生并不能克服的自然灾害和社会性突发事件，如地震、海啸、瘟疫、水灾、骚乱、暴动、战争和合同约定的其他情形。其他情形</w:t>
      </w:r>
      <w:r>
        <w:rPr>
          <w:rFonts w:hint="eastAsia" w:ascii="黑体" w:hAnsi="黑体" w:eastAsia="黑体"/>
          <w:sz w:val="24"/>
        </w:rPr>
        <w:t>见合同条款专用部分</w:t>
      </w:r>
      <w:r>
        <w:rPr>
          <w:rFonts w:hint="eastAsia" w:ascii="宋体" w:hAnsi="宋体"/>
          <w:sz w:val="24"/>
        </w:rPr>
        <w:t>。</w:t>
      </w:r>
    </w:p>
    <w:p w14:paraId="07934C35">
      <w:pPr>
        <w:wordWrap w:val="0"/>
        <w:spacing w:line="360" w:lineRule="auto"/>
        <w:ind w:firstLine="480" w:firstLineChars="200"/>
        <w:rPr>
          <w:rFonts w:ascii="宋体"/>
          <w:sz w:val="24"/>
        </w:rPr>
      </w:pPr>
      <w:r>
        <w:rPr>
          <w:rFonts w:ascii="宋体" w:hAnsi="宋体"/>
          <w:sz w:val="24"/>
        </w:rPr>
        <w:t xml:space="preserve">21.1.2  </w:t>
      </w:r>
      <w:r>
        <w:rPr>
          <w:rFonts w:hint="eastAsia" w:ascii="宋体" w:hAnsi="宋体"/>
          <w:sz w:val="24"/>
        </w:rPr>
        <w:t>不可抗力发生后，发包人和承包人应及时认真统计所造成的损失，收集不可抗力造成损失的证据。合同双方对是否属于不可抗力或其损失的意见不一致的，由监理人按第</w:t>
      </w:r>
      <w:r>
        <w:rPr>
          <w:rFonts w:ascii="宋体" w:hAnsi="宋体"/>
          <w:sz w:val="24"/>
        </w:rPr>
        <w:t>3.5</w:t>
      </w:r>
      <w:r>
        <w:rPr>
          <w:rFonts w:hint="eastAsia" w:ascii="宋体" w:hAnsi="宋体"/>
          <w:sz w:val="24"/>
        </w:rPr>
        <w:t>款商定或确定。发生争议时，按第</w:t>
      </w:r>
      <w:r>
        <w:rPr>
          <w:rFonts w:ascii="宋体" w:hAnsi="宋体"/>
          <w:sz w:val="24"/>
        </w:rPr>
        <w:t>24</w:t>
      </w:r>
      <w:r>
        <w:rPr>
          <w:rFonts w:hint="eastAsia" w:ascii="宋体" w:hAnsi="宋体"/>
          <w:sz w:val="24"/>
        </w:rPr>
        <w:t>条的约定办理。</w:t>
      </w:r>
    </w:p>
    <w:p w14:paraId="38DF3258">
      <w:pPr>
        <w:wordWrap w:val="0"/>
        <w:spacing w:before="120" w:beforeLines="50" w:after="120" w:afterLines="50" w:line="360" w:lineRule="auto"/>
        <w:outlineLvl w:val="2"/>
        <w:rPr>
          <w:rFonts w:ascii="宋体"/>
          <w:kern w:val="0"/>
          <w:sz w:val="24"/>
        </w:rPr>
      </w:pPr>
      <w:bookmarkStart w:id="2360" w:name="_Toc489280001"/>
      <w:bookmarkStart w:id="2361" w:name="_Toc490222635"/>
      <w:bookmarkStart w:id="2362" w:name="_Toc144974722"/>
      <w:bookmarkStart w:id="2363" w:name="_Toc179632769"/>
      <w:bookmarkStart w:id="2364" w:name="_Toc480486873"/>
      <w:bookmarkStart w:id="2365" w:name="_Toc207289726"/>
      <w:bookmarkStart w:id="2366" w:name="_Toc342296402"/>
      <w:bookmarkStart w:id="2367" w:name="_Toc152042530"/>
      <w:bookmarkStart w:id="2368" w:name="_Toc152045751"/>
      <w:bookmarkStart w:id="2369" w:name="_Toc338944844"/>
      <w:bookmarkStart w:id="2370" w:name="_Toc486580190"/>
      <w:bookmarkStart w:id="2371" w:name="_Toc483668219"/>
      <w:bookmarkStart w:id="2372" w:name="_Toc480487045"/>
      <w:r>
        <w:rPr>
          <w:rFonts w:ascii="宋体"/>
          <w:kern w:val="0"/>
          <w:sz w:val="24"/>
        </w:rPr>
        <w:t xml:space="preserve">21.2  </w:t>
      </w:r>
      <w:r>
        <w:rPr>
          <w:rFonts w:hint="eastAsia" w:ascii="宋体"/>
          <w:kern w:val="0"/>
          <w:sz w:val="24"/>
        </w:rPr>
        <w:t>不可抗力的通知</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p>
    <w:p w14:paraId="659B306F">
      <w:pPr>
        <w:wordWrap w:val="0"/>
        <w:spacing w:line="360" w:lineRule="auto"/>
        <w:ind w:firstLine="480" w:firstLineChars="200"/>
        <w:rPr>
          <w:rFonts w:ascii="宋体"/>
          <w:sz w:val="24"/>
        </w:rPr>
      </w:pPr>
      <w:r>
        <w:rPr>
          <w:rFonts w:ascii="宋体" w:hAnsi="宋体"/>
          <w:sz w:val="24"/>
        </w:rPr>
        <w:t xml:space="preserve">21.2.1  </w:t>
      </w:r>
      <w:r>
        <w:rPr>
          <w:rFonts w:hint="eastAsia" w:ascii="宋体" w:hAnsi="宋体"/>
          <w:sz w:val="24"/>
        </w:rPr>
        <w:t>合同一方当事人遇到不可抗力事件，使其履行合同义务受到阻碍时，应立即通知合同另一方当事人和监理人，书面说明不可抗力和受阻碍的详细情况，并提供必要的证明。</w:t>
      </w:r>
    </w:p>
    <w:p w14:paraId="0D9E03B2">
      <w:pPr>
        <w:wordWrap w:val="0"/>
        <w:spacing w:line="360" w:lineRule="auto"/>
        <w:ind w:firstLine="480" w:firstLineChars="200"/>
        <w:rPr>
          <w:rFonts w:ascii="宋体"/>
          <w:szCs w:val="21"/>
        </w:rPr>
      </w:pPr>
      <w:r>
        <w:rPr>
          <w:rFonts w:ascii="宋体" w:hAnsi="宋体"/>
          <w:sz w:val="24"/>
        </w:rPr>
        <w:t xml:space="preserve">21.2.2  </w:t>
      </w:r>
      <w:r>
        <w:rPr>
          <w:rFonts w:hint="eastAsia" w:ascii="宋体" w:hAnsi="宋体"/>
          <w:sz w:val="24"/>
        </w:rPr>
        <w:t>如不可抗力持续发生，合同一方当事人应及时向合同另一方当事人和监理人提交中间报告，说明不可抗力和履行合同受</w:t>
      </w:r>
      <w:r>
        <w:rPr>
          <w:rFonts w:hint="eastAsia" w:ascii="宋体" w:hAnsi="宋体"/>
          <w:szCs w:val="21"/>
        </w:rPr>
        <w:t>阻的情况</w:t>
      </w:r>
      <w:r>
        <w:rPr>
          <w:rFonts w:hint="eastAsia" w:ascii="宋体" w:hAnsi="宋体"/>
          <w:sz w:val="24"/>
        </w:rPr>
        <w:t>，并于不可抗力事件结束后28天内提交最终报告及有关资料。</w:t>
      </w:r>
    </w:p>
    <w:p w14:paraId="02007053">
      <w:pPr>
        <w:wordWrap w:val="0"/>
        <w:spacing w:before="120" w:beforeLines="50" w:after="120" w:afterLines="50" w:line="360" w:lineRule="auto"/>
        <w:outlineLvl w:val="2"/>
        <w:rPr>
          <w:rFonts w:ascii="宋体"/>
          <w:kern w:val="0"/>
          <w:sz w:val="24"/>
          <w:szCs w:val="20"/>
        </w:rPr>
      </w:pPr>
      <w:bookmarkStart w:id="2373" w:name="_Toc486580191"/>
      <w:bookmarkStart w:id="2374" w:name="_Toc338944845"/>
      <w:bookmarkStart w:id="2375" w:name="_Toc483668220"/>
      <w:bookmarkStart w:id="2376" w:name="_Toc480487046"/>
      <w:bookmarkStart w:id="2377" w:name="_Toc342296403"/>
      <w:bookmarkStart w:id="2378" w:name="_Toc489280002"/>
      <w:bookmarkStart w:id="2379" w:name="_Toc207289727"/>
      <w:bookmarkStart w:id="2380" w:name="_Toc480486874"/>
      <w:bookmarkStart w:id="2381" w:name="_Toc490222636"/>
      <w:r>
        <w:rPr>
          <w:rFonts w:ascii="宋体"/>
          <w:kern w:val="0"/>
          <w:sz w:val="24"/>
          <w:szCs w:val="20"/>
        </w:rPr>
        <w:t xml:space="preserve">21.3  </w:t>
      </w:r>
      <w:r>
        <w:rPr>
          <w:rFonts w:hint="eastAsia" w:ascii="宋体"/>
          <w:kern w:val="0"/>
          <w:sz w:val="24"/>
          <w:szCs w:val="20"/>
        </w:rPr>
        <w:t>不可抗力后果及其处理</w:t>
      </w:r>
      <w:bookmarkEnd w:id="2373"/>
      <w:bookmarkEnd w:id="2374"/>
      <w:bookmarkEnd w:id="2375"/>
      <w:bookmarkEnd w:id="2376"/>
      <w:bookmarkEnd w:id="2377"/>
      <w:bookmarkEnd w:id="2378"/>
      <w:bookmarkEnd w:id="2379"/>
      <w:bookmarkEnd w:id="2380"/>
      <w:bookmarkEnd w:id="2381"/>
    </w:p>
    <w:p w14:paraId="65E1DD84">
      <w:pPr>
        <w:wordWrap w:val="0"/>
        <w:spacing w:line="360" w:lineRule="auto"/>
        <w:ind w:firstLine="480" w:firstLineChars="200"/>
        <w:rPr>
          <w:rFonts w:ascii="宋体"/>
          <w:sz w:val="24"/>
        </w:rPr>
      </w:pPr>
      <w:bookmarkStart w:id="2382" w:name="OLE_LINK33"/>
      <w:r>
        <w:rPr>
          <w:rFonts w:ascii="宋体" w:hAnsi="宋体"/>
          <w:sz w:val="24"/>
        </w:rPr>
        <w:t xml:space="preserve">21.3.1  </w:t>
      </w:r>
      <w:r>
        <w:rPr>
          <w:rFonts w:hint="eastAsia" w:ascii="宋体" w:hAnsi="宋体"/>
          <w:sz w:val="24"/>
        </w:rPr>
        <w:t>不可抗力造成损害的责任</w:t>
      </w:r>
    </w:p>
    <w:p w14:paraId="24FC0818">
      <w:pPr>
        <w:wordWrap w:val="0"/>
        <w:spacing w:line="360" w:lineRule="auto"/>
        <w:ind w:firstLine="480" w:firstLineChars="200"/>
        <w:rPr>
          <w:rFonts w:ascii="宋体"/>
          <w:sz w:val="24"/>
        </w:rPr>
      </w:pPr>
      <w:r>
        <w:rPr>
          <w:rFonts w:hint="eastAsia" w:ascii="宋体" w:hAnsi="宋体"/>
          <w:sz w:val="24"/>
        </w:rPr>
        <w:t>不可抗力导致的人员伤亡、财产损失、费用增加和（或）工期延误等后果，由合同双方按以下原则承担：</w:t>
      </w:r>
      <w:r>
        <w:rPr>
          <w:rFonts w:ascii="宋体" w:hAnsi="宋体"/>
          <w:sz w:val="24"/>
        </w:rPr>
        <w:t xml:space="preserve"> </w:t>
      </w:r>
    </w:p>
    <w:p w14:paraId="73CF43DA">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）永久工程、已运至施工</w:t>
      </w:r>
      <w:bookmarkStart w:id="2383" w:name="_Hlk199429210"/>
      <w:r>
        <w:rPr>
          <w:rFonts w:hint="eastAsia" w:ascii="宋体" w:hAnsi="宋体"/>
          <w:sz w:val="24"/>
        </w:rPr>
        <w:t>现场</w:t>
      </w:r>
      <w:bookmarkEnd w:id="2383"/>
      <w:r>
        <w:rPr>
          <w:rFonts w:hint="eastAsia" w:ascii="宋体" w:hAnsi="宋体"/>
          <w:sz w:val="24"/>
        </w:rPr>
        <w:t>的材料的损</w:t>
      </w:r>
      <w:bookmarkStart w:id="2384" w:name="_Hlk199429225"/>
      <w:r>
        <w:rPr>
          <w:rFonts w:hint="eastAsia" w:ascii="宋体" w:hAnsi="宋体"/>
          <w:sz w:val="24"/>
        </w:rPr>
        <w:t>坏及修复费用</w:t>
      </w:r>
      <w:bookmarkEnd w:id="2384"/>
      <w:r>
        <w:rPr>
          <w:rFonts w:hint="eastAsia" w:ascii="宋体" w:hAnsi="宋体"/>
          <w:sz w:val="24"/>
        </w:rPr>
        <w:t>，以及</w:t>
      </w:r>
      <w:bookmarkStart w:id="2385" w:name="_Hlk199429241"/>
      <w:r>
        <w:rPr>
          <w:rFonts w:hint="eastAsia" w:ascii="宋体" w:hAnsi="宋体"/>
          <w:sz w:val="24"/>
        </w:rPr>
        <w:t>因</w:t>
      </w:r>
      <w:bookmarkStart w:id="2386" w:name="_Hlk200726886"/>
      <w:r>
        <w:rPr>
          <w:rFonts w:hint="eastAsia" w:ascii="宋体" w:hAnsi="宋体"/>
          <w:sz w:val="24"/>
        </w:rPr>
        <w:t>不可抗力事件引起施工场地内及工程损坏</w:t>
      </w:r>
      <w:bookmarkEnd w:id="2385"/>
      <w:bookmarkEnd w:id="2386"/>
      <w:r>
        <w:rPr>
          <w:rFonts w:hint="eastAsia" w:ascii="宋体" w:hAnsi="宋体"/>
          <w:sz w:val="24"/>
        </w:rPr>
        <w:t>造成的第三方人员伤亡和财产损失由发包人承担；</w:t>
      </w:r>
    </w:p>
    <w:p w14:paraId="716AF8CE">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）承包人</w:t>
      </w:r>
      <w:bookmarkStart w:id="2387" w:name="_Hlk199429324"/>
      <w:r>
        <w:rPr>
          <w:rFonts w:hint="eastAsia" w:ascii="宋体" w:hAnsi="宋体"/>
          <w:sz w:val="24"/>
        </w:rPr>
        <w:t>施工机具</w:t>
      </w:r>
      <w:bookmarkEnd w:id="2387"/>
      <w:r>
        <w:rPr>
          <w:rFonts w:hint="eastAsia" w:ascii="宋体" w:hAnsi="宋体"/>
          <w:sz w:val="24"/>
        </w:rPr>
        <w:t>的损坏</w:t>
      </w:r>
      <w:bookmarkStart w:id="2388" w:name="_Hlk199429335"/>
      <w:r>
        <w:rPr>
          <w:rFonts w:hint="eastAsia" w:ascii="宋体" w:hAnsi="宋体"/>
          <w:sz w:val="24"/>
        </w:rPr>
        <w:t>及停工损失和措施项目的损坏、清理、修复费用，以及因承包人原因发生的第三方人员伤亡和财产损失</w:t>
      </w:r>
      <w:bookmarkEnd w:id="2388"/>
      <w:r>
        <w:rPr>
          <w:rFonts w:hint="eastAsia" w:ascii="宋体" w:hAnsi="宋体"/>
          <w:sz w:val="24"/>
        </w:rPr>
        <w:t>由承包人承担；</w:t>
      </w:r>
    </w:p>
    <w:p w14:paraId="2FD7E55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）发包人和承包人各自承担其人员伤亡和其他财产损失；</w:t>
      </w:r>
    </w:p>
    <w:p w14:paraId="0886AAE7">
      <w:pPr>
        <w:wordWrap w:val="0"/>
        <w:spacing w:line="360" w:lineRule="auto"/>
        <w:ind w:firstLine="480" w:firstLineChars="200"/>
        <w:rPr>
          <w:rFonts w:ascii="宋体"/>
          <w:sz w:val="24"/>
        </w:rPr>
      </w:pPr>
      <w:r>
        <w:rPr>
          <w:rFonts w:hint="eastAsia" w:ascii="宋体" w:hAnsi="宋体"/>
          <w:sz w:val="24"/>
        </w:rPr>
        <w:t>（4）</w:t>
      </w:r>
      <w:bookmarkStart w:id="2389" w:name="_Hlk199429361"/>
      <w:r>
        <w:rPr>
          <w:rFonts w:hint="eastAsia" w:ascii="宋体" w:hAnsi="宋体"/>
          <w:sz w:val="24"/>
        </w:rPr>
        <w:t>因不可抗力引起暂停施工的，</w:t>
      </w:r>
      <w:bookmarkEnd w:id="2389"/>
      <w:r>
        <w:rPr>
          <w:rFonts w:hint="eastAsia" w:ascii="宋体" w:hAnsi="宋体"/>
          <w:sz w:val="24"/>
        </w:rPr>
        <w:t>停工期间应监理人要求照管、清理、修复工程</w:t>
      </w:r>
      <w:bookmarkStart w:id="2390" w:name="_Hlk199429394"/>
      <w:r>
        <w:rPr>
          <w:rFonts w:hint="eastAsia" w:ascii="宋体" w:hAnsi="宋体"/>
          <w:sz w:val="24"/>
        </w:rPr>
        <w:t>的费用和监理人要求留驻施工现场必要的管理与保卫人员工资，以及按监理人要求留驻现场待工人员的工资</w:t>
      </w:r>
      <w:bookmarkEnd w:id="2390"/>
      <w:r>
        <w:rPr>
          <w:rFonts w:hint="eastAsia" w:ascii="宋体" w:hAnsi="宋体"/>
          <w:sz w:val="24"/>
        </w:rPr>
        <w:t>由发包人承担；</w:t>
      </w:r>
    </w:p>
    <w:p w14:paraId="31572767">
      <w:pPr>
        <w:wordWrap w:val="0"/>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w:t>
      </w:r>
      <w:bookmarkStart w:id="2391" w:name="_Hlk199429412"/>
      <w:r>
        <w:rPr>
          <w:rFonts w:hint="eastAsia" w:ascii="宋体" w:hAnsi="宋体"/>
          <w:sz w:val="24"/>
        </w:rPr>
        <w:t>因不可抗力影响承包人履行合同约定的义务，引起工期延误的，</w:t>
      </w:r>
      <w:bookmarkEnd w:id="2391"/>
      <w:r>
        <w:rPr>
          <w:rFonts w:hint="eastAsia" w:ascii="宋体" w:hAnsi="宋体"/>
          <w:sz w:val="24"/>
        </w:rPr>
        <w:t>应</w:t>
      </w:r>
      <w:bookmarkStart w:id="2392" w:name="_Hlk199429421"/>
      <w:r>
        <w:rPr>
          <w:rFonts w:hint="eastAsia" w:ascii="宋体" w:hAnsi="宋体"/>
          <w:sz w:val="24"/>
        </w:rPr>
        <w:t>顺延</w:t>
      </w:r>
      <w:bookmarkEnd w:id="2392"/>
      <w:r>
        <w:rPr>
          <w:rFonts w:hint="eastAsia" w:ascii="宋体" w:hAnsi="宋体"/>
          <w:sz w:val="24"/>
        </w:rPr>
        <w:t>工期，承包人不需支付逾期竣工违约金。发包人要求赶工的，承包人应采取赶工措施，赶工费用由发包人承担。</w:t>
      </w:r>
    </w:p>
    <w:bookmarkEnd w:id="2382"/>
    <w:p w14:paraId="778F58D5">
      <w:pPr>
        <w:wordWrap w:val="0"/>
        <w:spacing w:line="360" w:lineRule="auto"/>
        <w:ind w:firstLine="480" w:firstLineChars="200"/>
        <w:rPr>
          <w:rFonts w:ascii="宋体"/>
          <w:sz w:val="24"/>
        </w:rPr>
      </w:pPr>
      <w:r>
        <w:rPr>
          <w:rFonts w:ascii="宋体" w:hAnsi="宋体"/>
          <w:sz w:val="24"/>
        </w:rPr>
        <w:t xml:space="preserve">21.3.2  </w:t>
      </w:r>
      <w:r>
        <w:rPr>
          <w:rFonts w:hint="eastAsia" w:ascii="宋体" w:hAnsi="宋体"/>
          <w:sz w:val="24"/>
        </w:rPr>
        <w:t>延迟履行期间发生的不可抗力</w:t>
      </w:r>
    </w:p>
    <w:p w14:paraId="514FC8FB">
      <w:pPr>
        <w:wordWrap w:val="0"/>
        <w:spacing w:line="360" w:lineRule="auto"/>
        <w:ind w:firstLine="480" w:firstLineChars="200"/>
        <w:rPr>
          <w:rFonts w:ascii="宋体"/>
          <w:sz w:val="24"/>
        </w:rPr>
      </w:pPr>
      <w:r>
        <w:rPr>
          <w:rFonts w:hint="eastAsia" w:ascii="宋体" w:hAnsi="宋体"/>
          <w:sz w:val="24"/>
        </w:rPr>
        <w:t>合同一方当事人延迟履行，在延迟履行期间发生不可抗力的，不免除其责任。</w:t>
      </w:r>
    </w:p>
    <w:p w14:paraId="7CDE2AB5">
      <w:pPr>
        <w:wordWrap w:val="0"/>
        <w:spacing w:line="360" w:lineRule="auto"/>
        <w:ind w:firstLine="480" w:firstLineChars="200"/>
        <w:rPr>
          <w:rFonts w:ascii="宋体"/>
          <w:sz w:val="24"/>
        </w:rPr>
      </w:pPr>
      <w:r>
        <w:rPr>
          <w:rFonts w:ascii="宋体" w:hAnsi="宋体"/>
          <w:sz w:val="24"/>
        </w:rPr>
        <w:t xml:space="preserve">21.3.3  </w:t>
      </w:r>
      <w:r>
        <w:rPr>
          <w:rFonts w:hint="eastAsia" w:ascii="宋体" w:hAnsi="宋体"/>
          <w:sz w:val="24"/>
        </w:rPr>
        <w:t>避免和减少不可抗力损失</w:t>
      </w:r>
    </w:p>
    <w:p w14:paraId="721966AD">
      <w:pPr>
        <w:wordWrap w:val="0"/>
        <w:spacing w:line="360" w:lineRule="auto"/>
        <w:ind w:firstLine="480" w:firstLineChars="200"/>
        <w:rPr>
          <w:rFonts w:ascii="宋体"/>
          <w:sz w:val="24"/>
        </w:rPr>
      </w:pPr>
      <w:r>
        <w:rPr>
          <w:rFonts w:hint="eastAsia" w:ascii="宋体" w:hAnsi="宋体"/>
          <w:sz w:val="24"/>
        </w:rPr>
        <w:t>不可抗力发生后，发包人和承包人均应采取措施尽量避免和减少损失的扩大，任何一方没有采取有效措施导致损失扩大的，应对扩大的损失承担责任。</w:t>
      </w:r>
    </w:p>
    <w:p w14:paraId="5384DDAD">
      <w:pPr>
        <w:wordWrap w:val="0"/>
        <w:spacing w:line="360" w:lineRule="auto"/>
        <w:ind w:firstLine="480" w:firstLineChars="200"/>
        <w:rPr>
          <w:rFonts w:ascii="宋体"/>
          <w:sz w:val="24"/>
        </w:rPr>
      </w:pPr>
      <w:r>
        <w:rPr>
          <w:rFonts w:ascii="宋体" w:hAnsi="宋体"/>
          <w:sz w:val="24"/>
        </w:rPr>
        <w:t xml:space="preserve">21.3.4  </w:t>
      </w:r>
      <w:r>
        <w:rPr>
          <w:rFonts w:hint="eastAsia" w:ascii="宋体" w:hAnsi="宋体"/>
          <w:sz w:val="24"/>
        </w:rPr>
        <w:t>因不可抗力解除合同</w:t>
      </w:r>
    </w:p>
    <w:p w14:paraId="2B39262B">
      <w:pPr>
        <w:wordWrap w:val="0"/>
        <w:spacing w:line="360" w:lineRule="auto"/>
        <w:ind w:firstLine="480" w:firstLineChars="200"/>
        <w:rPr>
          <w:rFonts w:ascii="宋体"/>
          <w:sz w:val="24"/>
        </w:rPr>
      </w:pPr>
      <w:r>
        <w:rPr>
          <w:rFonts w:hint="eastAsia" w:ascii="宋体" w:hAnsi="宋体"/>
          <w:sz w:val="24"/>
        </w:rPr>
        <w:t>合同一方当事人因不可抗力不能履行合同的，应当及时通知对方解除合同。合同解除后，承包人应按照第</w:t>
      </w:r>
      <w:r>
        <w:rPr>
          <w:rFonts w:ascii="宋体" w:hAnsi="宋体"/>
          <w:sz w:val="24"/>
        </w:rPr>
        <w:t>22.2.5</w:t>
      </w:r>
      <w:r>
        <w:rPr>
          <w:rFonts w:hint="eastAsia" w:ascii="宋体" w:hAnsi="宋体"/>
          <w:sz w:val="24"/>
        </w:rPr>
        <w:t>项约定撤离施工场地。已经订货的材料、设备由订货方负责退货或解除订货合同，不能退还的货款和因退货、解除订货合同发生的费用，由发包人承担，因未及时退货造成的损失由责任方承担。合同解除后的付款，参照第</w:t>
      </w:r>
      <w:r>
        <w:rPr>
          <w:rFonts w:ascii="宋体" w:hAnsi="宋体"/>
          <w:sz w:val="24"/>
        </w:rPr>
        <w:t>22.2.4</w:t>
      </w:r>
      <w:r>
        <w:rPr>
          <w:rFonts w:hint="eastAsia" w:ascii="宋体" w:hAnsi="宋体"/>
          <w:sz w:val="24"/>
        </w:rPr>
        <w:t>项约定，由监理人按第</w:t>
      </w:r>
      <w:r>
        <w:rPr>
          <w:rFonts w:ascii="宋体" w:hAnsi="宋体"/>
          <w:sz w:val="24"/>
        </w:rPr>
        <w:t>3.5</w:t>
      </w:r>
      <w:r>
        <w:rPr>
          <w:rFonts w:hint="eastAsia" w:ascii="宋体" w:hAnsi="宋体"/>
          <w:sz w:val="24"/>
        </w:rPr>
        <w:t>款商定或确定。</w:t>
      </w:r>
    </w:p>
    <w:p w14:paraId="4A79FDD0">
      <w:pPr>
        <w:tabs>
          <w:tab w:val="left" w:pos="576"/>
        </w:tabs>
        <w:wordWrap w:val="0"/>
        <w:spacing w:before="120" w:beforeLines="50" w:after="120" w:afterLines="50" w:line="360" w:lineRule="auto"/>
        <w:outlineLvl w:val="1"/>
        <w:rPr>
          <w:rFonts w:ascii="宋体" w:cs="宋体"/>
          <w:sz w:val="28"/>
          <w:szCs w:val="20"/>
        </w:rPr>
      </w:pPr>
      <w:bookmarkStart w:id="2393" w:name="_Toc338944846"/>
      <w:bookmarkStart w:id="2394" w:name="_Toc342296404"/>
      <w:bookmarkStart w:id="2395" w:name="_Toc483668221"/>
      <w:bookmarkStart w:id="2396" w:name="_Toc480487047"/>
      <w:bookmarkStart w:id="2397" w:name="_Toc152045753"/>
      <w:bookmarkStart w:id="2398" w:name="_Toc486580192"/>
      <w:bookmarkStart w:id="2399" w:name="_Toc152042532"/>
      <w:bookmarkStart w:id="2400" w:name="_Toc179632771"/>
      <w:bookmarkStart w:id="2401" w:name="_Toc480486875"/>
      <w:bookmarkStart w:id="2402" w:name="_Toc490222637"/>
      <w:bookmarkStart w:id="2403" w:name="_Toc144974724"/>
      <w:bookmarkStart w:id="2404" w:name="_Toc207289728"/>
      <w:bookmarkStart w:id="2405" w:name="_Toc489280003"/>
      <w:r>
        <w:rPr>
          <w:rFonts w:ascii="宋体" w:cs="宋体"/>
          <w:sz w:val="28"/>
          <w:szCs w:val="20"/>
        </w:rPr>
        <w:t>22.</w:t>
      </w:r>
      <w:bookmarkStart w:id="2406" w:name="_Hlk198158010"/>
      <w:r>
        <w:rPr>
          <w:rFonts w:hint="eastAsia" w:ascii="宋体" w:cs="宋体"/>
          <w:sz w:val="28"/>
          <w:szCs w:val="20"/>
        </w:rPr>
        <w:t>违约</w:t>
      </w:r>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p>
    <w:p w14:paraId="450AE543">
      <w:pPr>
        <w:wordWrap w:val="0"/>
        <w:spacing w:before="120" w:beforeLines="50" w:after="120" w:afterLines="50" w:line="360" w:lineRule="auto"/>
        <w:outlineLvl w:val="2"/>
        <w:rPr>
          <w:rFonts w:ascii="宋体"/>
          <w:kern w:val="0"/>
          <w:sz w:val="24"/>
          <w:szCs w:val="20"/>
        </w:rPr>
      </w:pPr>
      <w:bookmarkStart w:id="2407" w:name="_Toc483668222"/>
      <w:bookmarkStart w:id="2408" w:name="_Toc480486876"/>
      <w:bookmarkStart w:id="2409" w:name="_Toc489280004"/>
      <w:bookmarkStart w:id="2410" w:name="_Toc144974725"/>
      <w:bookmarkStart w:id="2411" w:name="_Toc338944847"/>
      <w:bookmarkStart w:id="2412" w:name="_Toc342296405"/>
      <w:bookmarkStart w:id="2413" w:name="_Toc486580193"/>
      <w:bookmarkStart w:id="2414" w:name="_Toc490222638"/>
      <w:bookmarkStart w:id="2415" w:name="_Toc480487048"/>
      <w:bookmarkStart w:id="2416" w:name="_Toc179632772"/>
      <w:bookmarkStart w:id="2417" w:name="_Toc207289729"/>
      <w:bookmarkStart w:id="2418" w:name="_Toc152042533"/>
      <w:bookmarkStart w:id="2419" w:name="_Toc152045754"/>
      <w:r>
        <w:rPr>
          <w:rFonts w:ascii="宋体"/>
          <w:kern w:val="0"/>
          <w:sz w:val="24"/>
          <w:szCs w:val="20"/>
        </w:rPr>
        <w:t xml:space="preserve">22.1  </w:t>
      </w:r>
      <w:r>
        <w:rPr>
          <w:rFonts w:hint="eastAsia" w:ascii="宋体"/>
          <w:kern w:val="0"/>
          <w:sz w:val="24"/>
          <w:szCs w:val="20"/>
        </w:rPr>
        <w:t>承包人违约</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p>
    <w:p w14:paraId="4E0A06DE">
      <w:pPr>
        <w:wordWrap w:val="0"/>
        <w:spacing w:line="360" w:lineRule="auto"/>
        <w:ind w:firstLine="480" w:firstLineChars="200"/>
        <w:rPr>
          <w:rFonts w:ascii="宋体"/>
          <w:sz w:val="24"/>
        </w:rPr>
      </w:pPr>
      <w:r>
        <w:rPr>
          <w:rFonts w:ascii="宋体" w:hAnsi="宋体"/>
          <w:sz w:val="24"/>
        </w:rPr>
        <w:t xml:space="preserve">22.1.1  </w:t>
      </w:r>
      <w:r>
        <w:rPr>
          <w:rFonts w:hint="eastAsia" w:ascii="宋体" w:hAnsi="宋体"/>
          <w:sz w:val="24"/>
        </w:rPr>
        <w:t>承包人违约的情形</w:t>
      </w:r>
    </w:p>
    <w:p w14:paraId="71B65015">
      <w:pPr>
        <w:wordWrap w:val="0"/>
        <w:spacing w:line="360" w:lineRule="auto"/>
        <w:ind w:firstLine="480" w:firstLineChars="200"/>
        <w:rPr>
          <w:rFonts w:ascii="宋体"/>
          <w:sz w:val="24"/>
        </w:rPr>
      </w:pPr>
      <w:r>
        <w:rPr>
          <w:rFonts w:hint="eastAsia" w:ascii="宋体" w:hAnsi="宋体"/>
          <w:sz w:val="24"/>
        </w:rPr>
        <w:t>在履行合同过程中发生的下列情况属承包人违约：</w:t>
      </w:r>
    </w:p>
    <w:p w14:paraId="7A2B22DF">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）承包人违反第</w:t>
      </w:r>
      <w:r>
        <w:rPr>
          <w:rFonts w:ascii="宋体" w:hAnsi="宋体"/>
          <w:sz w:val="24"/>
        </w:rPr>
        <w:t>1.8</w:t>
      </w:r>
      <w:r>
        <w:rPr>
          <w:rFonts w:hint="eastAsia" w:ascii="宋体" w:hAnsi="宋体"/>
          <w:sz w:val="24"/>
        </w:rPr>
        <w:t>款或第</w:t>
      </w:r>
      <w:r>
        <w:rPr>
          <w:rFonts w:ascii="宋体" w:hAnsi="宋体"/>
          <w:sz w:val="24"/>
        </w:rPr>
        <w:t>4.3</w:t>
      </w:r>
      <w:r>
        <w:rPr>
          <w:rFonts w:hint="eastAsia" w:ascii="宋体" w:hAnsi="宋体"/>
          <w:sz w:val="24"/>
        </w:rPr>
        <w:t>款的约定，私自将合同的全部或部分权利转让给其他人，或私自将合同的全部或部分义务转移给其他人；</w:t>
      </w:r>
    </w:p>
    <w:p w14:paraId="63E5BEE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）承包人违反第</w:t>
      </w:r>
      <w:r>
        <w:rPr>
          <w:rFonts w:ascii="宋体" w:hAnsi="宋体"/>
          <w:sz w:val="24"/>
        </w:rPr>
        <w:t>5.3</w:t>
      </w:r>
      <w:r>
        <w:rPr>
          <w:rFonts w:hint="eastAsia" w:ascii="宋体" w:hAnsi="宋体"/>
          <w:sz w:val="24"/>
        </w:rPr>
        <w:t>款或第</w:t>
      </w:r>
      <w:r>
        <w:rPr>
          <w:rFonts w:ascii="宋体" w:hAnsi="宋体"/>
          <w:sz w:val="24"/>
        </w:rPr>
        <w:t>6.4</w:t>
      </w:r>
      <w:r>
        <w:rPr>
          <w:rFonts w:hint="eastAsia" w:ascii="宋体" w:hAnsi="宋体"/>
          <w:sz w:val="24"/>
        </w:rPr>
        <w:t>款的约定，未经监理人批准，私自将已按合同约定进入施工场地的施工设备、临时设施或材料撤离施工场地；</w:t>
      </w:r>
    </w:p>
    <w:p w14:paraId="7FDA2B96">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）承包人违反第</w:t>
      </w:r>
      <w:r>
        <w:rPr>
          <w:rFonts w:ascii="宋体" w:hAnsi="宋体"/>
          <w:sz w:val="24"/>
        </w:rPr>
        <w:t>5.4</w:t>
      </w:r>
      <w:r>
        <w:rPr>
          <w:rFonts w:hint="eastAsia" w:ascii="宋体" w:hAnsi="宋体"/>
          <w:sz w:val="24"/>
        </w:rPr>
        <w:t>款的约定使用了不合格材料，工程质量达不到标准要求，又拒绝清除不合格工程；</w:t>
      </w:r>
    </w:p>
    <w:p w14:paraId="6FC7211C">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）承包人未能按合同进度计划及时完成合同约定的工作，已造成或预期造成工期延误；</w:t>
      </w:r>
    </w:p>
    <w:p w14:paraId="454E26AF">
      <w:pPr>
        <w:wordWrap w:val="0"/>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）承包人在缺陷责任期内，未能对工程接收证书所列的缺陷清单的内容或缺陷责任期内发生的缺陷进行修复，而又拒绝按监理人指示再进行修补；</w:t>
      </w:r>
    </w:p>
    <w:p w14:paraId="622ED69F">
      <w:pPr>
        <w:wordWrap w:val="0"/>
        <w:spacing w:line="360" w:lineRule="auto"/>
        <w:ind w:firstLine="480" w:firstLineChars="200"/>
        <w:rPr>
          <w:rFonts w:ascii="宋体"/>
          <w:sz w:val="24"/>
        </w:rPr>
      </w:pPr>
      <w:r>
        <w:rPr>
          <w:rFonts w:hint="eastAsia" w:ascii="宋体" w:hAnsi="宋体"/>
          <w:sz w:val="24"/>
        </w:rPr>
        <w:t>（</w:t>
      </w:r>
      <w:r>
        <w:rPr>
          <w:rFonts w:ascii="宋体" w:hAnsi="宋体"/>
          <w:sz w:val="24"/>
        </w:rPr>
        <w:t>6</w:t>
      </w:r>
      <w:r>
        <w:rPr>
          <w:rFonts w:hint="eastAsia" w:ascii="宋体" w:hAnsi="宋体"/>
          <w:sz w:val="24"/>
        </w:rPr>
        <w:t>）承包人无法继续履行或明确表示不履行或实质上已停止履行合同；</w:t>
      </w:r>
    </w:p>
    <w:p w14:paraId="39EC83CE">
      <w:pPr>
        <w:wordWrap w:val="0"/>
        <w:spacing w:line="360" w:lineRule="auto"/>
        <w:ind w:firstLine="480" w:firstLineChars="200"/>
        <w:rPr>
          <w:rFonts w:ascii="宋体"/>
          <w:sz w:val="24"/>
        </w:rPr>
      </w:pPr>
      <w:r>
        <w:rPr>
          <w:rFonts w:hint="eastAsia" w:ascii="宋体" w:hAnsi="宋体"/>
          <w:sz w:val="24"/>
        </w:rPr>
        <w:t>（</w:t>
      </w:r>
      <w:r>
        <w:rPr>
          <w:rFonts w:ascii="宋体" w:hAnsi="宋体"/>
          <w:sz w:val="24"/>
        </w:rPr>
        <w:t>7</w:t>
      </w:r>
      <w:r>
        <w:rPr>
          <w:rFonts w:hint="eastAsia" w:ascii="宋体" w:hAnsi="宋体"/>
          <w:sz w:val="24"/>
        </w:rPr>
        <w:t>）承包人不按合同约定履行义务的其他情况。</w:t>
      </w:r>
    </w:p>
    <w:p w14:paraId="41893AD8">
      <w:pPr>
        <w:wordWrap w:val="0"/>
        <w:spacing w:line="360" w:lineRule="auto"/>
        <w:ind w:firstLine="480" w:firstLineChars="200"/>
        <w:rPr>
          <w:rFonts w:ascii="宋体"/>
          <w:sz w:val="24"/>
        </w:rPr>
      </w:pPr>
      <w:r>
        <w:rPr>
          <w:rFonts w:ascii="宋体" w:hAnsi="宋体"/>
          <w:sz w:val="24"/>
        </w:rPr>
        <w:t xml:space="preserve">22.1.2  </w:t>
      </w:r>
      <w:r>
        <w:rPr>
          <w:rFonts w:hint="eastAsia" w:ascii="宋体" w:hAnsi="宋体"/>
          <w:sz w:val="24"/>
        </w:rPr>
        <w:t>对承包人违约的处理</w:t>
      </w:r>
    </w:p>
    <w:p w14:paraId="48A35579">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）承包人发生第</w:t>
      </w:r>
      <w:r>
        <w:rPr>
          <w:rFonts w:ascii="宋体" w:hAnsi="宋体"/>
          <w:sz w:val="24"/>
        </w:rPr>
        <w:t>22.1.1</w:t>
      </w:r>
      <w:r>
        <w:rPr>
          <w:rFonts w:hint="eastAsia" w:ascii="宋体" w:hAnsi="宋体"/>
          <w:sz w:val="24"/>
        </w:rPr>
        <w:t>（</w:t>
      </w:r>
      <w:r>
        <w:rPr>
          <w:rFonts w:ascii="宋体" w:hAnsi="宋体"/>
          <w:sz w:val="24"/>
        </w:rPr>
        <w:t>6</w:t>
      </w:r>
      <w:r>
        <w:rPr>
          <w:rFonts w:hint="eastAsia" w:ascii="宋体" w:hAnsi="宋体"/>
          <w:sz w:val="24"/>
        </w:rPr>
        <w:t>）目约定的违约情况时，发包人可通知承包人立即解除合同，并按有关法律处理。</w:t>
      </w:r>
    </w:p>
    <w:p w14:paraId="3D12D71A">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）承包人发生除第</w:t>
      </w:r>
      <w:r>
        <w:rPr>
          <w:rFonts w:ascii="宋体" w:hAnsi="宋体"/>
          <w:sz w:val="24"/>
        </w:rPr>
        <w:t>22.1.1</w:t>
      </w:r>
      <w:r>
        <w:rPr>
          <w:rFonts w:hint="eastAsia" w:ascii="宋体" w:hAnsi="宋体"/>
          <w:sz w:val="24"/>
        </w:rPr>
        <w:t>（</w:t>
      </w:r>
      <w:r>
        <w:rPr>
          <w:rFonts w:ascii="宋体" w:hAnsi="宋体"/>
          <w:sz w:val="24"/>
        </w:rPr>
        <w:t>6</w:t>
      </w:r>
      <w:r>
        <w:rPr>
          <w:rFonts w:hint="eastAsia" w:ascii="宋体" w:hAnsi="宋体"/>
          <w:sz w:val="24"/>
        </w:rPr>
        <w:t>）目约定以外的其他违约情况时，监理人可向承包人发出整改通知，要求其在指定的期限内改正。承包人应承担其违约所引起的费用增加和（或）工期延误。</w:t>
      </w:r>
    </w:p>
    <w:p w14:paraId="16D2D99D">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）经检查证明承包人已采取了有效措施纠正违约行为，具备复工条件的，可由监理人签发复工通知复工。</w:t>
      </w:r>
    </w:p>
    <w:p w14:paraId="31F3155B">
      <w:pPr>
        <w:wordWrap w:val="0"/>
        <w:spacing w:line="360" w:lineRule="auto"/>
        <w:ind w:firstLine="480" w:firstLineChars="200"/>
        <w:rPr>
          <w:rFonts w:ascii="宋体"/>
          <w:sz w:val="24"/>
        </w:rPr>
      </w:pPr>
      <w:r>
        <w:rPr>
          <w:rFonts w:ascii="宋体" w:hAnsi="宋体"/>
          <w:sz w:val="24"/>
        </w:rPr>
        <w:t xml:space="preserve">22.1.3  </w:t>
      </w:r>
      <w:r>
        <w:rPr>
          <w:rFonts w:hint="eastAsia" w:ascii="宋体" w:hAnsi="宋体"/>
          <w:sz w:val="24"/>
        </w:rPr>
        <w:t>承包人违约解除合同</w:t>
      </w:r>
    </w:p>
    <w:p w14:paraId="55871C2C">
      <w:pPr>
        <w:wordWrap w:val="0"/>
        <w:spacing w:line="360" w:lineRule="auto"/>
        <w:ind w:firstLine="480" w:firstLineChars="200"/>
        <w:rPr>
          <w:rFonts w:ascii="宋体"/>
          <w:sz w:val="24"/>
        </w:rPr>
      </w:pPr>
      <w:r>
        <w:rPr>
          <w:rFonts w:hint="eastAsia" w:ascii="宋体" w:hAnsi="宋体"/>
          <w:sz w:val="24"/>
        </w:rPr>
        <w:t>监理人发出整改通知</w:t>
      </w:r>
      <w:r>
        <w:rPr>
          <w:rFonts w:ascii="宋体" w:hAnsi="宋体"/>
          <w:sz w:val="24"/>
        </w:rPr>
        <w:t>28</w:t>
      </w:r>
      <w:r>
        <w:rPr>
          <w:rFonts w:hint="eastAsia" w:ascii="宋体" w:hAnsi="宋体"/>
          <w:sz w:val="24"/>
        </w:rPr>
        <w:t>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3B50B534">
      <w:pPr>
        <w:wordWrap w:val="0"/>
        <w:spacing w:line="360" w:lineRule="auto"/>
        <w:ind w:firstLine="480" w:firstLineChars="200"/>
        <w:rPr>
          <w:rFonts w:ascii="宋体"/>
          <w:sz w:val="24"/>
        </w:rPr>
      </w:pPr>
      <w:r>
        <w:rPr>
          <w:rFonts w:ascii="宋体" w:hAnsi="宋体"/>
          <w:sz w:val="24"/>
        </w:rPr>
        <w:t xml:space="preserve">22.1.4  </w:t>
      </w:r>
      <w:r>
        <w:rPr>
          <w:rFonts w:hint="eastAsia" w:ascii="宋体" w:hAnsi="宋体"/>
          <w:sz w:val="24"/>
        </w:rPr>
        <w:t>合同解除后的估价、付款和结清</w:t>
      </w:r>
    </w:p>
    <w:p w14:paraId="224450FA">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）合同解除后，监理人按第</w:t>
      </w:r>
      <w:r>
        <w:rPr>
          <w:rFonts w:ascii="宋体" w:hAnsi="宋体"/>
          <w:sz w:val="24"/>
        </w:rPr>
        <w:t>3.5</w:t>
      </w:r>
      <w:r>
        <w:rPr>
          <w:rFonts w:hint="eastAsia" w:ascii="宋体" w:hAnsi="宋体"/>
          <w:sz w:val="24"/>
        </w:rPr>
        <w:t>款商定或确定承包人实际完成工作的价值，以及承包人已提供的材料、施工设备和临时工程等的价值。</w:t>
      </w:r>
      <w:r>
        <w:rPr>
          <w:rFonts w:ascii="宋体" w:hAnsi="宋体"/>
          <w:sz w:val="24"/>
        </w:rPr>
        <w:t xml:space="preserve"> </w:t>
      </w:r>
    </w:p>
    <w:p w14:paraId="31E34C6E">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）合同解除后，发包人可暂停对承包人的一切付款，查清各项付款和已扣款金额，包括承包人应支付的违约金。</w:t>
      </w:r>
      <w:r>
        <w:rPr>
          <w:rFonts w:ascii="宋体" w:hAnsi="宋体"/>
          <w:sz w:val="24"/>
        </w:rPr>
        <w:t xml:space="preserve"> </w:t>
      </w:r>
    </w:p>
    <w:p w14:paraId="77F7E7F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）合同解除后，发包人应按第23.4款的约定向承包人索赔由于解除合同给发包人造成的损失。</w:t>
      </w:r>
    </w:p>
    <w:p w14:paraId="7C8B8815">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）合同双方确认上述往来款项后，出具最终结清付款证书，结清全部合同款项。</w:t>
      </w:r>
    </w:p>
    <w:p w14:paraId="0FF0903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）发包人和承包人未能就解除合同后的结清达成一致而形成争议的，按第</w:t>
      </w:r>
      <w:r>
        <w:rPr>
          <w:rFonts w:ascii="宋体" w:hAnsi="宋体"/>
          <w:sz w:val="24"/>
        </w:rPr>
        <w:t>24</w:t>
      </w:r>
      <w:r>
        <w:rPr>
          <w:rFonts w:hint="eastAsia" w:ascii="宋体" w:hAnsi="宋体"/>
          <w:sz w:val="24"/>
        </w:rPr>
        <w:t>条的约定办理。</w:t>
      </w:r>
    </w:p>
    <w:p w14:paraId="1AD9F1FD">
      <w:pPr>
        <w:wordWrap w:val="0"/>
        <w:spacing w:line="360" w:lineRule="auto"/>
        <w:ind w:firstLine="480" w:firstLineChars="200"/>
        <w:rPr>
          <w:rFonts w:ascii="宋体"/>
          <w:sz w:val="24"/>
        </w:rPr>
      </w:pPr>
      <w:r>
        <w:rPr>
          <w:rFonts w:ascii="宋体" w:hAnsi="宋体"/>
          <w:sz w:val="24"/>
        </w:rPr>
        <w:t xml:space="preserve">22.1.5  </w:t>
      </w:r>
      <w:r>
        <w:rPr>
          <w:rFonts w:hint="eastAsia" w:ascii="宋体" w:hAnsi="宋体"/>
          <w:sz w:val="24"/>
        </w:rPr>
        <w:t>协议利益的转让</w:t>
      </w:r>
    </w:p>
    <w:p w14:paraId="3625467C">
      <w:pPr>
        <w:wordWrap w:val="0"/>
        <w:spacing w:line="360" w:lineRule="auto"/>
        <w:ind w:firstLine="480" w:firstLineChars="200"/>
        <w:rPr>
          <w:rFonts w:ascii="宋体"/>
          <w:sz w:val="24"/>
        </w:rPr>
      </w:pPr>
      <w:r>
        <w:rPr>
          <w:rFonts w:hint="eastAsia" w:ascii="宋体" w:hAnsi="宋体"/>
          <w:sz w:val="24"/>
        </w:rPr>
        <w:t>因承包人违约解除合同的，发包人有权要求承包人将其为实施合同而签订的材料的订货协议或任何服务协议利益转让给发包人，并在解除合同后的</w:t>
      </w:r>
      <w:r>
        <w:rPr>
          <w:rFonts w:ascii="宋体" w:hAnsi="宋体"/>
          <w:sz w:val="24"/>
        </w:rPr>
        <w:t>14</w:t>
      </w:r>
      <w:r>
        <w:rPr>
          <w:rFonts w:hint="eastAsia" w:ascii="宋体" w:hAnsi="宋体"/>
          <w:sz w:val="24"/>
        </w:rPr>
        <w:t>天内，依法办理转让手续。</w:t>
      </w:r>
      <w:r>
        <w:rPr>
          <w:rFonts w:ascii="宋体" w:hAnsi="宋体"/>
          <w:sz w:val="24"/>
        </w:rPr>
        <w:t xml:space="preserve"> </w:t>
      </w:r>
    </w:p>
    <w:p w14:paraId="4F0DD924">
      <w:pPr>
        <w:wordWrap w:val="0"/>
        <w:spacing w:line="360" w:lineRule="auto"/>
        <w:ind w:firstLine="480" w:firstLineChars="200"/>
        <w:rPr>
          <w:rFonts w:ascii="宋体"/>
          <w:sz w:val="24"/>
        </w:rPr>
      </w:pPr>
      <w:r>
        <w:rPr>
          <w:rFonts w:ascii="宋体" w:hAnsi="宋体"/>
          <w:sz w:val="24"/>
        </w:rPr>
        <w:t xml:space="preserve">22.1.6  </w:t>
      </w:r>
      <w:r>
        <w:rPr>
          <w:rFonts w:hint="eastAsia" w:ascii="宋体" w:hAnsi="宋体"/>
          <w:sz w:val="24"/>
        </w:rPr>
        <w:t>紧急情况下无能力或不愿进行抢救</w:t>
      </w:r>
    </w:p>
    <w:p w14:paraId="6150089A">
      <w:pPr>
        <w:wordWrap w:val="0"/>
        <w:spacing w:line="360" w:lineRule="auto"/>
        <w:ind w:firstLine="480" w:firstLineChars="200"/>
        <w:rPr>
          <w:rFonts w:ascii="宋体"/>
          <w:sz w:val="24"/>
        </w:rPr>
      </w:pPr>
      <w:r>
        <w:rPr>
          <w:rFonts w:hint="eastAsia" w:ascii="宋体" w:hAnsi="宋体"/>
          <w:sz w:val="24"/>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5666E392">
      <w:pPr>
        <w:wordWrap w:val="0"/>
        <w:spacing w:before="120" w:beforeLines="50" w:after="120" w:afterLines="50" w:line="360" w:lineRule="auto"/>
        <w:outlineLvl w:val="2"/>
        <w:rPr>
          <w:rFonts w:ascii="宋体"/>
          <w:kern w:val="0"/>
          <w:sz w:val="24"/>
        </w:rPr>
      </w:pPr>
      <w:bookmarkStart w:id="2420" w:name="_Toc489280005"/>
      <w:bookmarkStart w:id="2421" w:name="_Toc152045755"/>
      <w:bookmarkStart w:id="2422" w:name="_Toc480487049"/>
      <w:bookmarkStart w:id="2423" w:name="_Toc490222639"/>
      <w:bookmarkStart w:id="2424" w:name="_Toc144974726"/>
      <w:bookmarkStart w:id="2425" w:name="_Toc342296406"/>
      <w:bookmarkStart w:id="2426" w:name="_Toc483668223"/>
      <w:bookmarkStart w:id="2427" w:name="_Toc152042534"/>
      <w:bookmarkStart w:id="2428" w:name="_Toc338944848"/>
      <w:bookmarkStart w:id="2429" w:name="_Toc179632773"/>
      <w:bookmarkStart w:id="2430" w:name="_Toc486580194"/>
      <w:bookmarkStart w:id="2431" w:name="_Toc480486877"/>
      <w:bookmarkStart w:id="2432" w:name="_Toc207289730"/>
      <w:r>
        <w:rPr>
          <w:rFonts w:ascii="宋体"/>
          <w:kern w:val="0"/>
          <w:sz w:val="24"/>
        </w:rPr>
        <w:t xml:space="preserve">22.2  </w:t>
      </w:r>
      <w:r>
        <w:rPr>
          <w:rFonts w:hint="eastAsia" w:ascii="宋体"/>
          <w:kern w:val="0"/>
          <w:sz w:val="24"/>
        </w:rPr>
        <w:t>发包人违约</w:t>
      </w:r>
      <w:bookmarkEnd w:id="2420"/>
      <w:bookmarkEnd w:id="2421"/>
      <w:bookmarkEnd w:id="2422"/>
      <w:bookmarkEnd w:id="2423"/>
      <w:bookmarkEnd w:id="2424"/>
      <w:bookmarkEnd w:id="2425"/>
      <w:bookmarkEnd w:id="2426"/>
      <w:bookmarkEnd w:id="2427"/>
      <w:bookmarkEnd w:id="2428"/>
      <w:bookmarkEnd w:id="2429"/>
      <w:bookmarkEnd w:id="2430"/>
      <w:bookmarkEnd w:id="2431"/>
      <w:bookmarkEnd w:id="2432"/>
    </w:p>
    <w:p w14:paraId="443539E5">
      <w:pPr>
        <w:wordWrap w:val="0"/>
        <w:spacing w:line="360" w:lineRule="auto"/>
        <w:ind w:firstLine="480" w:firstLineChars="200"/>
        <w:rPr>
          <w:rFonts w:ascii="宋体"/>
          <w:sz w:val="24"/>
        </w:rPr>
      </w:pPr>
      <w:r>
        <w:rPr>
          <w:rFonts w:ascii="宋体" w:hAnsi="宋体"/>
          <w:sz w:val="24"/>
        </w:rPr>
        <w:t xml:space="preserve">22.2.1  </w:t>
      </w:r>
      <w:r>
        <w:rPr>
          <w:rFonts w:hint="eastAsia" w:ascii="宋体" w:hAnsi="宋体"/>
          <w:sz w:val="24"/>
        </w:rPr>
        <w:t>发包人违约的情形</w:t>
      </w:r>
    </w:p>
    <w:p w14:paraId="48FAE892">
      <w:pPr>
        <w:wordWrap w:val="0"/>
        <w:spacing w:line="360" w:lineRule="auto"/>
        <w:ind w:firstLine="480" w:firstLineChars="200"/>
        <w:rPr>
          <w:rFonts w:ascii="宋体"/>
          <w:sz w:val="24"/>
        </w:rPr>
      </w:pPr>
      <w:r>
        <w:rPr>
          <w:rFonts w:hint="eastAsia" w:ascii="宋体" w:hAnsi="宋体"/>
          <w:sz w:val="24"/>
        </w:rPr>
        <w:t>在履行合同过程中发生的下列情形，属发包人违约：</w:t>
      </w:r>
    </w:p>
    <w:p w14:paraId="5CB915D5">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）发包人未能按合同约定支付预付款或合同价款，或拖延、拒绝批准付款申请和支付凭证，导致付款延误的；</w:t>
      </w:r>
    </w:p>
    <w:p w14:paraId="438782B1">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）发包人原因造成停工的；</w:t>
      </w:r>
    </w:p>
    <w:p w14:paraId="40AD92DF">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）监理人无正当理由没有在约定期限内发出复工指示，导致承包人无法复工的；</w:t>
      </w:r>
    </w:p>
    <w:p w14:paraId="5DE8554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）发包人无法继续履行或明确表示不履行或实质上已停止履行合同的；</w:t>
      </w:r>
    </w:p>
    <w:p w14:paraId="351D07BF">
      <w:pPr>
        <w:wordWrap w:val="0"/>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）发包人不履行合同约定其他义务的。</w:t>
      </w:r>
    </w:p>
    <w:p w14:paraId="35BEFAA3">
      <w:pPr>
        <w:wordWrap w:val="0"/>
        <w:spacing w:line="360" w:lineRule="auto"/>
        <w:ind w:firstLine="480" w:firstLineChars="200"/>
        <w:rPr>
          <w:rFonts w:ascii="宋体"/>
          <w:sz w:val="24"/>
        </w:rPr>
      </w:pPr>
      <w:r>
        <w:rPr>
          <w:rFonts w:ascii="宋体" w:hAnsi="宋体"/>
          <w:sz w:val="24"/>
        </w:rPr>
        <w:t xml:space="preserve">22.2.2  </w:t>
      </w:r>
      <w:r>
        <w:rPr>
          <w:rFonts w:hint="eastAsia" w:ascii="宋体" w:hAnsi="宋体"/>
          <w:sz w:val="24"/>
        </w:rPr>
        <w:t>承包人有权暂停施工</w:t>
      </w:r>
    </w:p>
    <w:p w14:paraId="7AA2074B">
      <w:pPr>
        <w:wordWrap w:val="0"/>
        <w:spacing w:line="360" w:lineRule="auto"/>
        <w:ind w:firstLine="480" w:firstLineChars="200"/>
        <w:rPr>
          <w:rFonts w:ascii="宋体"/>
          <w:sz w:val="24"/>
        </w:rPr>
      </w:pPr>
      <w:r>
        <w:rPr>
          <w:rFonts w:hint="eastAsia" w:ascii="宋体" w:hAnsi="宋体"/>
          <w:sz w:val="24"/>
        </w:rPr>
        <w:t>发包人发生除第</w:t>
      </w:r>
      <w:r>
        <w:rPr>
          <w:rFonts w:ascii="宋体" w:hAnsi="宋体"/>
          <w:sz w:val="24"/>
        </w:rPr>
        <w:t>22.2.1</w:t>
      </w:r>
      <w:r>
        <w:rPr>
          <w:rFonts w:hint="eastAsia" w:ascii="宋体" w:hAnsi="宋体"/>
          <w:sz w:val="24"/>
        </w:rPr>
        <w:t>（</w:t>
      </w:r>
      <w:r>
        <w:rPr>
          <w:rFonts w:ascii="宋体" w:hAnsi="宋体"/>
          <w:sz w:val="24"/>
        </w:rPr>
        <w:t>4</w:t>
      </w:r>
      <w:r>
        <w:rPr>
          <w:rFonts w:hint="eastAsia" w:ascii="宋体" w:hAnsi="宋体"/>
          <w:sz w:val="24"/>
        </w:rPr>
        <w:t>）目以外的违约情况时，承包人可向发包人发出通知，要求发包人采取有效措施纠正违约行为。发包人收到承包人通知后的</w:t>
      </w:r>
      <w:r>
        <w:rPr>
          <w:rFonts w:ascii="宋体" w:hAnsi="宋体"/>
          <w:sz w:val="24"/>
        </w:rPr>
        <w:t>28</w:t>
      </w:r>
      <w:r>
        <w:rPr>
          <w:rFonts w:hint="eastAsia" w:ascii="宋体" w:hAnsi="宋体"/>
          <w:sz w:val="24"/>
        </w:rPr>
        <w:t>天内仍不履行合同义务，承包人有权暂停施工，并通知监理人，发包人应承担由此增加的费用和（或）工期延误，并支付承包人合理利润。</w:t>
      </w:r>
    </w:p>
    <w:p w14:paraId="34FEBE69">
      <w:pPr>
        <w:wordWrap w:val="0"/>
        <w:spacing w:line="360" w:lineRule="auto"/>
        <w:ind w:firstLine="480" w:firstLineChars="200"/>
        <w:rPr>
          <w:rFonts w:ascii="宋体"/>
          <w:sz w:val="24"/>
        </w:rPr>
      </w:pPr>
      <w:r>
        <w:rPr>
          <w:rFonts w:ascii="宋体" w:hAnsi="宋体"/>
          <w:sz w:val="24"/>
        </w:rPr>
        <w:t xml:space="preserve">22.2.3  </w:t>
      </w:r>
      <w:r>
        <w:rPr>
          <w:rFonts w:hint="eastAsia" w:ascii="宋体" w:hAnsi="宋体"/>
          <w:sz w:val="24"/>
        </w:rPr>
        <w:t>发包人违约解除合同</w:t>
      </w:r>
      <w:r>
        <w:rPr>
          <w:rFonts w:ascii="宋体" w:hAnsi="宋体"/>
          <w:sz w:val="24"/>
        </w:rPr>
        <w:t xml:space="preserve"> </w:t>
      </w:r>
    </w:p>
    <w:p w14:paraId="2BDB86DB">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）发生第</w:t>
      </w:r>
      <w:r>
        <w:rPr>
          <w:rFonts w:ascii="宋体" w:hAnsi="宋体"/>
          <w:sz w:val="24"/>
        </w:rPr>
        <w:t>22.2.1</w:t>
      </w:r>
      <w:r>
        <w:rPr>
          <w:rFonts w:hint="eastAsia" w:ascii="宋体" w:hAnsi="宋体"/>
          <w:sz w:val="24"/>
        </w:rPr>
        <w:t>（</w:t>
      </w:r>
      <w:r>
        <w:rPr>
          <w:rFonts w:ascii="宋体" w:hAnsi="宋体"/>
          <w:sz w:val="24"/>
        </w:rPr>
        <w:t>4</w:t>
      </w:r>
      <w:r>
        <w:rPr>
          <w:rFonts w:hint="eastAsia" w:ascii="宋体" w:hAnsi="宋体"/>
          <w:sz w:val="24"/>
        </w:rPr>
        <w:t>）目的违约情况时，承包人可书面通知发包人解除合同。</w:t>
      </w:r>
      <w:r>
        <w:rPr>
          <w:rFonts w:ascii="宋体" w:hAnsi="宋体"/>
          <w:sz w:val="24"/>
        </w:rPr>
        <w:t xml:space="preserve">   </w:t>
      </w:r>
    </w:p>
    <w:p w14:paraId="1FD148B1">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）承包人按第</w:t>
      </w:r>
      <w:r>
        <w:rPr>
          <w:rFonts w:ascii="宋体" w:hAnsi="宋体"/>
          <w:sz w:val="24"/>
        </w:rPr>
        <w:t>22.2.2</w:t>
      </w:r>
      <w:r>
        <w:rPr>
          <w:rFonts w:hint="eastAsia" w:ascii="宋体" w:hAnsi="宋体"/>
          <w:sz w:val="24"/>
        </w:rPr>
        <w:t>项暂停施工</w:t>
      </w:r>
      <w:r>
        <w:rPr>
          <w:rFonts w:ascii="宋体" w:hAnsi="宋体"/>
          <w:sz w:val="24"/>
        </w:rPr>
        <w:t>28</w:t>
      </w:r>
      <w:r>
        <w:rPr>
          <w:rFonts w:hint="eastAsia" w:ascii="宋体" w:hAnsi="宋体"/>
          <w:sz w:val="24"/>
        </w:rPr>
        <w:t>天后，发包人仍不纠正违约行为的，承包人可向发包人发出解除合同通知。但承包人的这一行动不免除发包人承担的违约责任，也不影响承包人根据合同约定享有的索赔权利。</w:t>
      </w:r>
    </w:p>
    <w:p w14:paraId="3ADE6C91">
      <w:pPr>
        <w:wordWrap w:val="0"/>
        <w:spacing w:line="360" w:lineRule="auto"/>
        <w:ind w:firstLine="480" w:firstLineChars="200"/>
        <w:rPr>
          <w:rFonts w:ascii="宋体"/>
          <w:sz w:val="24"/>
        </w:rPr>
      </w:pPr>
      <w:bookmarkStart w:id="2433" w:name="_Hlk198158028"/>
      <w:bookmarkStart w:id="2434" w:name="OLE_LINK38"/>
      <w:r>
        <w:rPr>
          <w:rFonts w:ascii="宋体" w:hAnsi="宋体"/>
          <w:sz w:val="24"/>
        </w:rPr>
        <w:t xml:space="preserve">22.2.4  </w:t>
      </w:r>
      <w:r>
        <w:rPr>
          <w:rFonts w:hint="eastAsia" w:ascii="宋体" w:hAnsi="宋体"/>
          <w:sz w:val="24"/>
        </w:rPr>
        <w:t>解除合同后的付款</w:t>
      </w:r>
    </w:p>
    <w:bookmarkEnd w:id="2433"/>
    <w:p w14:paraId="01F7CE59">
      <w:pPr>
        <w:wordWrap w:val="0"/>
        <w:spacing w:line="360" w:lineRule="auto"/>
        <w:ind w:firstLine="480" w:firstLineChars="200"/>
        <w:rPr>
          <w:rFonts w:ascii="宋体"/>
          <w:sz w:val="24"/>
        </w:rPr>
      </w:pPr>
      <w:r>
        <w:rPr>
          <w:rFonts w:hint="eastAsia" w:ascii="宋体" w:hAnsi="宋体"/>
          <w:sz w:val="24"/>
        </w:rPr>
        <w:t>因发包人违约解除合同的，发包人应在解除合同后</w:t>
      </w:r>
      <w:r>
        <w:rPr>
          <w:rFonts w:ascii="宋体" w:hAnsi="宋体"/>
          <w:sz w:val="24"/>
        </w:rPr>
        <w:t>28</w:t>
      </w:r>
      <w:r>
        <w:rPr>
          <w:rFonts w:hint="eastAsia" w:ascii="宋体" w:hAnsi="宋体"/>
          <w:sz w:val="24"/>
        </w:rPr>
        <w:t>天内向承包人支付下列金额，承包人应在此期限内及时向发包人提交要求支付下列金额的有关资料和凭证：</w:t>
      </w:r>
    </w:p>
    <w:p w14:paraId="1AB3CD61">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）合同解除前承包人已完成工程的价款；</w:t>
      </w:r>
    </w:p>
    <w:p w14:paraId="7EDAB9AF">
      <w:pPr>
        <w:wordWrap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）承包人为</w:t>
      </w:r>
      <w:bookmarkStart w:id="2435" w:name="OLE_LINK90"/>
      <w:r>
        <w:rPr>
          <w:rFonts w:hint="eastAsia" w:ascii="宋体" w:hAnsi="宋体"/>
          <w:sz w:val="24"/>
        </w:rPr>
        <w:t>合同工程按施工进度计划合理订购且已交付的，或承包人有责任接受交付</w:t>
      </w:r>
      <w:bookmarkEnd w:id="2435"/>
      <w:r>
        <w:rPr>
          <w:rFonts w:hint="eastAsia" w:ascii="宋体" w:hAnsi="宋体"/>
          <w:sz w:val="24"/>
        </w:rPr>
        <w:t>的材料和其他物品的价款。发包人付款后，该材料和其他物品归发包人所有；</w:t>
      </w:r>
    </w:p>
    <w:p w14:paraId="28126F4E">
      <w:pPr>
        <w:wordWrap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w:t>
      </w:r>
      <w:bookmarkStart w:id="2436" w:name="_Hlk199429697"/>
      <w:r>
        <w:rPr>
          <w:rFonts w:hint="eastAsia" w:ascii="宋体" w:hAnsi="宋体"/>
          <w:sz w:val="24"/>
        </w:rPr>
        <w:t>发包人要求承包人退货或解除订货合同而产生的费用，或因不能退货或解除合同而产生的损失；</w:t>
      </w:r>
      <w:bookmarkEnd w:id="2436"/>
    </w:p>
    <w:p w14:paraId="6644B935">
      <w:pPr>
        <w:wordWrap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）承包人撤离施工场地以及遣散承包人</w:t>
      </w:r>
      <w:bookmarkStart w:id="2437" w:name="_Hlk199429706"/>
      <w:r>
        <w:rPr>
          <w:rFonts w:hint="eastAsia" w:ascii="宋体" w:hAnsi="宋体"/>
          <w:sz w:val="24"/>
        </w:rPr>
        <w:t>施工</w:t>
      </w:r>
      <w:bookmarkEnd w:id="2437"/>
      <w:r>
        <w:rPr>
          <w:rFonts w:hint="eastAsia" w:ascii="宋体" w:hAnsi="宋体"/>
          <w:sz w:val="24"/>
        </w:rPr>
        <w:t>人员的费用；</w:t>
      </w:r>
      <w:r>
        <w:rPr>
          <w:rFonts w:ascii="宋体"/>
          <w:sz w:val="24"/>
        </w:rPr>
        <w:t xml:space="preserve"> </w:t>
      </w:r>
    </w:p>
    <w:p w14:paraId="75821718">
      <w:pPr>
        <w:wordWrap w:val="0"/>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w:t>
      </w:r>
      <w:bookmarkStart w:id="2438" w:name="_Hlk199429725"/>
      <w:r>
        <w:rPr>
          <w:rFonts w:hint="eastAsia" w:ascii="宋体" w:hAnsi="宋体"/>
          <w:sz w:val="24"/>
        </w:rPr>
        <w:t>在合同解除前应支付给承包人的其他价款</w:t>
      </w:r>
      <w:bookmarkEnd w:id="2438"/>
      <w:r>
        <w:rPr>
          <w:rFonts w:hint="eastAsia" w:ascii="宋体" w:hAnsi="宋体"/>
          <w:sz w:val="24"/>
        </w:rPr>
        <w:t>；</w:t>
      </w:r>
    </w:p>
    <w:p w14:paraId="1ABCE2B1">
      <w:pPr>
        <w:wordWrap w:val="0"/>
        <w:spacing w:line="360" w:lineRule="auto"/>
        <w:ind w:firstLine="480" w:firstLineChars="200"/>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w:t>
      </w:r>
      <w:bookmarkStart w:id="2439" w:name="_Hlk199429745"/>
      <w:r>
        <w:rPr>
          <w:rFonts w:hint="eastAsia" w:ascii="宋体" w:hAnsi="宋体"/>
          <w:sz w:val="24"/>
        </w:rPr>
        <w:t>发包人应扣减承包人的价款；</w:t>
      </w:r>
    </w:p>
    <w:bookmarkEnd w:id="2439"/>
    <w:p w14:paraId="5B51543A">
      <w:pPr>
        <w:wordWrap w:val="0"/>
        <w:spacing w:line="360" w:lineRule="auto"/>
        <w:ind w:firstLine="480" w:firstLineChars="200"/>
        <w:rPr>
          <w:rFonts w:ascii="宋体"/>
          <w:sz w:val="24"/>
        </w:rPr>
      </w:pPr>
      <w:bookmarkStart w:id="2440" w:name="_Hlk199429754"/>
      <w:r>
        <w:rPr>
          <w:rFonts w:hint="eastAsia" w:ascii="宋体" w:hAnsi="宋体"/>
          <w:sz w:val="24"/>
        </w:rPr>
        <w:t>（7）</w:t>
      </w:r>
      <w:bookmarkStart w:id="2441" w:name="OLE_LINK101"/>
      <w:r>
        <w:rPr>
          <w:rFonts w:hint="eastAsia" w:ascii="宋体" w:hAnsi="宋体"/>
          <w:sz w:val="24"/>
        </w:rPr>
        <w:t>发包人和承包人协商确定的其他价款</w:t>
      </w:r>
      <w:bookmarkEnd w:id="2441"/>
      <w:r>
        <w:rPr>
          <w:rFonts w:hint="eastAsia" w:ascii="宋体" w:hAnsi="宋体"/>
          <w:sz w:val="24"/>
        </w:rPr>
        <w:t>。</w:t>
      </w:r>
    </w:p>
    <w:bookmarkEnd w:id="2440"/>
    <w:p w14:paraId="5A190A30">
      <w:pPr>
        <w:wordWrap w:val="0"/>
        <w:spacing w:line="360" w:lineRule="auto"/>
        <w:ind w:firstLine="480" w:firstLineChars="200"/>
        <w:rPr>
          <w:rFonts w:ascii="宋体"/>
          <w:sz w:val="24"/>
        </w:rPr>
      </w:pPr>
      <w:r>
        <w:rPr>
          <w:rFonts w:hint="eastAsia" w:ascii="宋体" w:hAnsi="宋体"/>
          <w:sz w:val="24"/>
        </w:rPr>
        <w:t>发包人应按本项约定支付上述金额并退还质量保证金或退还质量保证金保函和履约担保，但有权要求承包人支付应偿还给发包人的各项金额。</w:t>
      </w:r>
    </w:p>
    <w:bookmarkEnd w:id="2434"/>
    <w:p w14:paraId="0DA8BA78">
      <w:pPr>
        <w:wordWrap w:val="0"/>
        <w:spacing w:line="360" w:lineRule="auto"/>
        <w:ind w:firstLine="480" w:firstLineChars="200"/>
        <w:rPr>
          <w:rFonts w:ascii="宋体"/>
          <w:sz w:val="24"/>
        </w:rPr>
      </w:pPr>
      <w:r>
        <w:rPr>
          <w:rFonts w:ascii="宋体" w:hAnsi="宋体"/>
          <w:sz w:val="24"/>
        </w:rPr>
        <w:t xml:space="preserve">22.2.5  </w:t>
      </w:r>
      <w:r>
        <w:rPr>
          <w:rFonts w:hint="eastAsia" w:ascii="宋体" w:hAnsi="宋体"/>
          <w:sz w:val="24"/>
        </w:rPr>
        <w:t>解除合同后的承包人撤离</w:t>
      </w:r>
    </w:p>
    <w:p w14:paraId="1D0637B5">
      <w:pPr>
        <w:wordWrap w:val="0"/>
        <w:spacing w:line="360" w:lineRule="auto"/>
        <w:ind w:firstLine="480" w:firstLineChars="200"/>
        <w:rPr>
          <w:rFonts w:ascii="宋体"/>
          <w:sz w:val="24"/>
        </w:rPr>
      </w:pPr>
      <w:r>
        <w:rPr>
          <w:rFonts w:hint="eastAsia" w:ascii="宋体" w:hAnsi="宋体"/>
          <w:sz w:val="24"/>
        </w:rPr>
        <w:t>因发包人违约而解除合同后，承包人应妥善做好已竣工工程和已购材料、设备的保护和移交工作，按发包人要求将承包人设备和人员撤出施工场地。承包人撤出施工场地应遵守第</w:t>
      </w:r>
      <w:r>
        <w:rPr>
          <w:rFonts w:ascii="宋体" w:hAnsi="宋体"/>
          <w:sz w:val="24"/>
        </w:rPr>
        <w:t>18.7.1</w:t>
      </w:r>
      <w:r>
        <w:rPr>
          <w:rFonts w:hint="eastAsia" w:ascii="宋体" w:hAnsi="宋体"/>
          <w:sz w:val="24"/>
        </w:rPr>
        <w:t>项的约定，发包人应为承包人撤出提供必要条件。</w:t>
      </w:r>
    </w:p>
    <w:p w14:paraId="1293D161">
      <w:pPr>
        <w:wordWrap w:val="0"/>
        <w:spacing w:before="120" w:beforeLines="50" w:after="120" w:afterLines="50" w:line="360" w:lineRule="auto"/>
        <w:outlineLvl w:val="2"/>
        <w:rPr>
          <w:rFonts w:ascii="宋体"/>
          <w:kern w:val="0"/>
          <w:sz w:val="24"/>
          <w:szCs w:val="20"/>
        </w:rPr>
      </w:pPr>
      <w:bookmarkStart w:id="2442" w:name="_Toc486580195"/>
      <w:bookmarkStart w:id="2443" w:name="_Toc483668224"/>
      <w:bookmarkStart w:id="2444" w:name="_Toc207289731"/>
      <w:bookmarkStart w:id="2445" w:name="_Toc342296407"/>
      <w:bookmarkStart w:id="2446" w:name="_Toc490222640"/>
      <w:bookmarkStart w:id="2447" w:name="_Toc152042535"/>
      <w:bookmarkStart w:id="2448" w:name="_Toc480486878"/>
      <w:bookmarkStart w:id="2449" w:name="_Toc152045756"/>
      <w:bookmarkStart w:id="2450" w:name="_Toc338944849"/>
      <w:bookmarkStart w:id="2451" w:name="_Toc489280006"/>
      <w:bookmarkStart w:id="2452" w:name="_Toc480487050"/>
      <w:bookmarkStart w:id="2453" w:name="_Toc179632774"/>
      <w:r>
        <w:rPr>
          <w:rFonts w:ascii="宋体"/>
          <w:kern w:val="0"/>
          <w:sz w:val="24"/>
          <w:szCs w:val="20"/>
        </w:rPr>
        <w:t xml:space="preserve">22.3  </w:t>
      </w:r>
      <w:r>
        <w:rPr>
          <w:rFonts w:hint="eastAsia" w:ascii="宋体"/>
          <w:kern w:val="0"/>
          <w:sz w:val="24"/>
          <w:szCs w:val="20"/>
        </w:rPr>
        <w:t>第三人造成的违约</w:t>
      </w:r>
      <w:bookmarkEnd w:id="2442"/>
      <w:bookmarkEnd w:id="2443"/>
      <w:bookmarkEnd w:id="2444"/>
      <w:bookmarkEnd w:id="2445"/>
      <w:bookmarkEnd w:id="2446"/>
      <w:bookmarkEnd w:id="2447"/>
      <w:bookmarkEnd w:id="2448"/>
      <w:bookmarkEnd w:id="2449"/>
      <w:bookmarkEnd w:id="2450"/>
      <w:bookmarkEnd w:id="2451"/>
      <w:bookmarkEnd w:id="2452"/>
      <w:bookmarkEnd w:id="2453"/>
    </w:p>
    <w:p w14:paraId="4BD439AC">
      <w:pPr>
        <w:wordWrap w:val="0"/>
        <w:spacing w:line="360" w:lineRule="auto"/>
        <w:ind w:firstLine="480" w:firstLineChars="200"/>
        <w:rPr>
          <w:rFonts w:ascii="宋体"/>
          <w:sz w:val="24"/>
        </w:rPr>
      </w:pPr>
      <w:r>
        <w:rPr>
          <w:rFonts w:hint="eastAsia" w:ascii="宋体" w:hAnsi="宋体"/>
          <w:sz w:val="24"/>
        </w:rPr>
        <w:t>在履行合同过程中，一方当事人因第三人的原因造成违约的，应当向对方当事人承担违约责任。一方当事人和第三人之间的纠纷，依照法律规定或者按照约定解决。</w:t>
      </w:r>
    </w:p>
    <w:p w14:paraId="27B5679C">
      <w:pPr>
        <w:tabs>
          <w:tab w:val="left" w:pos="576"/>
        </w:tabs>
        <w:wordWrap w:val="0"/>
        <w:spacing w:before="120" w:beforeLines="50" w:after="120" w:afterLines="50" w:line="360" w:lineRule="auto"/>
        <w:outlineLvl w:val="1"/>
        <w:rPr>
          <w:rFonts w:ascii="宋体" w:cs="宋体"/>
          <w:sz w:val="28"/>
          <w:szCs w:val="20"/>
        </w:rPr>
      </w:pPr>
      <w:bookmarkStart w:id="2454" w:name="_Toc144974727"/>
      <w:bookmarkStart w:id="2455" w:name="_Toc152045757"/>
      <w:bookmarkStart w:id="2456" w:name="_Toc483668225"/>
      <w:bookmarkStart w:id="2457" w:name="_Toc486580196"/>
      <w:bookmarkStart w:id="2458" w:name="_Toc490222641"/>
      <w:bookmarkStart w:id="2459" w:name="_Toc179632775"/>
      <w:bookmarkStart w:id="2460" w:name="_Toc152042536"/>
      <w:bookmarkStart w:id="2461" w:name="_Toc338944850"/>
      <w:bookmarkStart w:id="2462" w:name="_Toc342296408"/>
      <w:bookmarkStart w:id="2463" w:name="_Toc480486879"/>
      <w:bookmarkStart w:id="2464" w:name="_Toc489280007"/>
      <w:bookmarkStart w:id="2465" w:name="_Toc207289732"/>
      <w:bookmarkStart w:id="2466" w:name="_Toc480487051"/>
      <w:r>
        <w:rPr>
          <w:rFonts w:ascii="宋体" w:cs="宋体"/>
          <w:sz w:val="28"/>
          <w:szCs w:val="20"/>
        </w:rPr>
        <w:t>23.</w:t>
      </w:r>
      <w:r>
        <w:rPr>
          <w:rFonts w:hint="eastAsia" w:ascii="宋体" w:cs="宋体"/>
          <w:sz w:val="28"/>
          <w:szCs w:val="20"/>
        </w:rPr>
        <w:t>工程索赔</w:t>
      </w:r>
      <w:bookmarkEnd w:id="2454"/>
      <w:bookmarkEnd w:id="2455"/>
      <w:bookmarkEnd w:id="2456"/>
      <w:bookmarkEnd w:id="2457"/>
      <w:bookmarkEnd w:id="2458"/>
      <w:bookmarkEnd w:id="2459"/>
      <w:bookmarkEnd w:id="2460"/>
      <w:bookmarkEnd w:id="2461"/>
      <w:bookmarkEnd w:id="2462"/>
      <w:bookmarkEnd w:id="2463"/>
      <w:bookmarkEnd w:id="2464"/>
      <w:bookmarkEnd w:id="2465"/>
      <w:bookmarkEnd w:id="2466"/>
    </w:p>
    <w:p w14:paraId="75548344">
      <w:pPr>
        <w:wordWrap w:val="0"/>
        <w:spacing w:before="120" w:beforeLines="50" w:after="120" w:afterLines="50" w:line="360" w:lineRule="auto"/>
        <w:outlineLvl w:val="2"/>
        <w:rPr>
          <w:rFonts w:ascii="宋体"/>
          <w:kern w:val="0"/>
          <w:sz w:val="24"/>
          <w:szCs w:val="20"/>
        </w:rPr>
      </w:pPr>
      <w:bookmarkStart w:id="2467" w:name="_Toc486580197"/>
      <w:bookmarkStart w:id="2468" w:name="_Toc179632776"/>
      <w:bookmarkStart w:id="2469" w:name="_Toc152042537"/>
      <w:bookmarkStart w:id="2470" w:name="_Toc152045758"/>
      <w:bookmarkStart w:id="2471" w:name="_Toc338944851"/>
      <w:bookmarkStart w:id="2472" w:name="_Toc480486880"/>
      <w:bookmarkStart w:id="2473" w:name="_Toc489280008"/>
      <w:bookmarkStart w:id="2474" w:name="_Toc342296409"/>
      <w:bookmarkStart w:id="2475" w:name="_Toc490222642"/>
      <w:bookmarkStart w:id="2476" w:name="_Toc144974728"/>
      <w:bookmarkStart w:id="2477" w:name="_Toc207289733"/>
      <w:bookmarkStart w:id="2478" w:name="_Toc483668226"/>
      <w:bookmarkStart w:id="2479" w:name="_Toc480487052"/>
      <w:bookmarkStart w:id="2480" w:name="_Hlk198560138"/>
      <w:r>
        <w:rPr>
          <w:rFonts w:ascii="宋体"/>
          <w:kern w:val="0"/>
          <w:sz w:val="24"/>
          <w:szCs w:val="20"/>
        </w:rPr>
        <w:t xml:space="preserve">23.1  </w:t>
      </w:r>
      <w:r>
        <w:rPr>
          <w:rFonts w:hint="eastAsia" w:ascii="宋体"/>
          <w:kern w:val="0"/>
          <w:sz w:val="24"/>
          <w:szCs w:val="20"/>
        </w:rPr>
        <w:t>承包人工程索赔的提出</w:t>
      </w:r>
      <w:bookmarkEnd w:id="2467"/>
      <w:bookmarkEnd w:id="2468"/>
      <w:bookmarkEnd w:id="2469"/>
      <w:bookmarkEnd w:id="2470"/>
      <w:bookmarkEnd w:id="2471"/>
      <w:bookmarkEnd w:id="2472"/>
      <w:bookmarkEnd w:id="2473"/>
      <w:bookmarkEnd w:id="2474"/>
      <w:bookmarkEnd w:id="2475"/>
      <w:bookmarkEnd w:id="2476"/>
      <w:bookmarkEnd w:id="2477"/>
      <w:bookmarkEnd w:id="2478"/>
      <w:bookmarkEnd w:id="2479"/>
    </w:p>
    <w:bookmarkEnd w:id="2480"/>
    <w:p w14:paraId="463CBF5D">
      <w:pPr>
        <w:wordWrap w:val="0"/>
        <w:spacing w:line="360" w:lineRule="auto"/>
        <w:ind w:firstLine="480" w:firstLineChars="200"/>
        <w:rPr>
          <w:rFonts w:ascii="宋体"/>
          <w:sz w:val="24"/>
        </w:rPr>
      </w:pPr>
      <w:bookmarkStart w:id="2481" w:name="OLE_LINK46"/>
      <w:r>
        <w:rPr>
          <w:rFonts w:hint="eastAsia" w:ascii="宋体" w:hAnsi="宋体"/>
          <w:sz w:val="24"/>
        </w:rPr>
        <w:t>根据合同约定，承包人认为有权得到追加付款和（或）延长工期的，应按以下程序向发包人提出</w:t>
      </w:r>
      <w:bookmarkStart w:id="2482" w:name="OLE_LINK142"/>
      <w:r>
        <w:rPr>
          <w:rFonts w:hint="eastAsia" w:ascii="宋体" w:hAnsi="宋体"/>
          <w:sz w:val="24"/>
        </w:rPr>
        <w:t>工程</w:t>
      </w:r>
      <w:bookmarkEnd w:id="2482"/>
      <w:r>
        <w:rPr>
          <w:rFonts w:hint="eastAsia" w:ascii="宋体" w:hAnsi="宋体"/>
          <w:sz w:val="24"/>
        </w:rPr>
        <w:t>索赔：</w:t>
      </w:r>
    </w:p>
    <w:p w14:paraId="23862FC6">
      <w:pPr>
        <w:wordWrap w:val="0"/>
        <w:spacing w:line="360" w:lineRule="auto"/>
        <w:ind w:firstLine="480" w:firstLineChars="200"/>
        <w:rPr>
          <w:rFonts w:ascii="宋体" w:hAnsi="宋体"/>
          <w:sz w:val="24"/>
        </w:rPr>
      </w:pPr>
      <w:r>
        <w:rPr>
          <w:rFonts w:hint="eastAsia" w:ascii="宋体" w:hAnsi="宋体"/>
          <w:sz w:val="24"/>
        </w:rPr>
        <w:t>（1）</w:t>
      </w:r>
      <w:bookmarkStart w:id="2483" w:name="_Hlk202805461"/>
      <w:r>
        <w:rPr>
          <w:rFonts w:hint="eastAsia" w:ascii="宋体" w:hAnsi="宋体"/>
          <w:sz w:val="24"/>
        </w:rPr>
        <w:t>承包人应在知道或应当知道工程索赔事件发生后28天内，向监理人递交工程索赔意向通知书，并说明发生工程索赔事件的事由。承包人未在前述28天内发出工程索赔意向通知书的，丧失要求追加付款和（或）延长工期的权利；</w:t>
      </w:r>
      <w:bookmarkEnd w:id="2483"/>
    </w:p>
    <w:p w14:paraId="6DE3825D">
      <w:pPr>
        <w:wordWrap w:val="0"/>
        <w:spacing w:line="360" w:lineRule="auto"/>
        <w:ind w:firstLine="480" w:firstLineChars="200"/>
        <w:rPr>
          <w:rFonts w:ascii="宋体" w:hAnsi="宋体"/>
          <w:sz w:val="24"/>
        </w:rPr>
      </w:pPr>
      <w:r>
        <w:rPr>
          <w:rFonts w:hint="eastAsia" w:ascii="宋体" w:hAnsi="宋体"/>
          <w:sz w:val="24"/>
        </w:rPr>
        <w:t>（2）承包人应在发出工程索赔意向通知书后28天内，向监理人正式递交工程索赔通知书。工程索赔通知书应详细说明索赔理由以及要求追加的付款金额和（或）延长的工期，并附必要的记录和证明材料；</w:t>
      </w:r>
    </w:p>
    <w:p w14:paraId="4C0D15E8">
      <w:pPr>
        <w:wordWrap w:val="0"/>
        <w:spacing w:line="360" w:lineRule="auto"/>
        <w:ind w:firstLine="480" w:firstLineChars="200"/>
        <w:rPr>
          <w:rFonts w:ascii="宋体" w:hAnsi="宋体"/>
          <w:sz w:val="24"/>
        </w:rPr>
      </w:pPr>
      <w:r>
        <w:rPr>
          <w:rFonts w:hint="eastAsia" w:ascii="宋体" w:hAnsi="宋体"/>
          <w:sz w:val="24"/>
        </w:rPr>
        <w:t>（3）工程索赔事件具有连续影响的，承包人应按合理时间间隔继续递交延续工程索赔通知，说明连续影响的实际情况和记录，列出累计的追加付款金额和（或）工期延长天数；</w:t>
      </w:r>
    </w:p>
    <w:p w14:paraId="2D0E4351">
      <w:pPr>
        <w:wordWrap w:val="0"/>
        <w:spacing w:line="360" w:lineRule="auto"/>
        <w:ind w:firstLine="480" w:firstLineChars="200"/>
        <w:rPr>
          <w:rFonts w:ascii="宋体" w:hAnsi="宋体"/>
          <w:sz w:val="24"/>
        </w:rPr>
      </w:pPr>
      <w:r>
        <w:rPr>
          <w:rFonts w:hint="eastAsia" w:ascii="宋体" w:hAnsi="宋体"/>
          <w:sz w:val="24"/>
        </w:rPr>
        <w:t>（4）在工程索赔事件影响结束后的28天内，承包人应向监理人递交最终工程索赔通知书，说明最终要求索赔的追加付款金额和延长的工期，并附必要的记录和证明材料。</w:t>
      </w:r>
    </w:p>
    <w:bookmarkEnd w:id="2481"/>
    <w:p w14:paraId="173952B2">
      <w:pPr>
        <w:wordWrap w:val="0"/>
        <w:spacing w:before="120" w:beforeLines="50" w:after="120" w:afterLines="50" w:line="360" w:lineRule="auto"/>
        <w:outlineLvl w:val="2"/>
        <w:rPr>
          <w:rFonts w:ascii="宋体"/>
          <w:kern w:val="0"/>
          <w:sz w:val="24"/>
          <w:szCs w:val="20"/>
        </w:rPr>
      </w:pPr>
      <w:bookmarkStart w:id="2484" w:name="_Toc144974729"/>
      <w:bookmarkStart w:id="2485" w:name="_Toc490222643"/>
      <w:bookmarkStart w:id="2486" w:name="_Toc338944852"/>
      <w:bookmarkStart w:id="2487" w:name="_Toc480487053"/>
      <w:bookmarkStart w:id="2488" w:name="_Toc486580198"/>
      <w:bookmarkStart w:id="2489" w:name="_Toc152042538"/>
      <w:bookmarkStart w:id="2490" w:name="_Toc480486881"/>
      <w:bookmarkStart w:id="2491" w:name="_Toc342296410"/>
      <w:bookmarkStart w:id="2492" w:name="_Toc179632777"/>
      <w:bookmarkStart w:id="2493" w:name="_Toc207289734"/>
      <w:bookmarkStart w:id="2494" w:name="_Toc483668227"/>
      <w:bookmarkStart w:id="2495" w:name="_Toc489280009"/>
      <w:bookmarkStart w:id="2496" w:name="_Toc152045759"/>
      <w:r>
        <w:rPr>
          <w:rFonts w:ascii="宋体"/>
          <w:kern w:val="0"/>
          <w:sz w:val="24"/>
          <w:szCs w:val="20"/>
        </w:rPr>
        <w:t xml:space="preserve">23.2  </w:t>
      </w:r>
      <w:bookmarkStart w:id="2497" w:name="_Hlk198564716"/>
      <w:r>
        <w:rPr>
          <w:rFonts w:hint="eastAsia" w:ascii="宋体"/>
          <w:kern w:val="0"/>
          <w:sz w:val="24"/>
          <w:szCs w:val="20"/>
        </w:rPr>
        <w:t>承包人工程索赔处理程序</w:t>
      </w:r>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p>
    <w:p w14:paraId="0D262918">
      <w:pPr>
        <w:wordWrap w:val="0"/>
        <w:spacing w:line="360" w:lineRule="auto"/>
        <w:ind w:firstLine="480" w:firstLineChars="200"/>
        <w:rPr>
          <w:rFonts w:ascii="宋体"/>
          <w:sz w:val="24"/>
        </w:rPr>
      </w:pPr>
      <w:bookmarkStart w:id="2498" w:name="OLE_LINK53"/>
      <w:r>
        <w:rPr>
          <w:rFonts w:hint="eastAsia" w:ascii="宋体"/>
          <w:sz w:val="24"/>
        </w:rPr>
        <w:t>（1）监理人收到承包人提交的工程索赔通知书后，应及时审查工程索赔通知书的内容、查验承包人的记录和证明材料，必要时监理人可要求承包人提交全部原始记录副本。</w:t>
      </w:r>
    </w:p>
    <w:p w14:paraId="0C033A90">
      <w:pPr>
        <w:wordWrap w:val="0"/>
        <w:spacing w:line="360" w:lineRule="auto"/>
        <w:ind w:firstLine="480" w:firstLineChars="200"/>
        <w:rPr>
          <w:rFonts w:ascii="宋体"/>
          <w:sz w:val="24"/>
        </w:rPr>
      </w:pPr>
      <w:r>
        <w:rPr>
          <w:rFonts w:hint="eastAsia" w:ascii="宋体"/>
          <w:sz w:val="24"/>
        </w:rPr>
        <w:t>（2）监理人应按第3.5款商定或确定追加的付款和（或）延长的工期，并在收到上述工程索赔通知书或有关工程索赔的进一步证明材料后的42天内，将索赔处理结果答复承包人。</w:t>
      </w:r>
    </w:p>
    <w:p w14:paraId="72EA6CAB">
      <w:pPr>
        <w:wordWrap w:val="0"/>
        <w:spacing w:line="360" w:lineRule="auto"/>
        <w:ind w:firstLine="480" w:firstLineChars="200"/>
        <w:rPr>
          <w:rFonts w:ascii="宋体"/>
          <w:sz w:val="24"/>
        </w:rPr>
      </w:pPr>
      <w:r>
        <w:rPr>
          <w:rFonts w:hint="eastAsia" w:ascii="宋体"/>
          <w:sz w:val="24"/>
        </w:rPr>
        <w:t>（3）承包人接受索赔处理结果的，发包人应在作出索赔处理结果答复后28天内完成赔付。承包人不接受索赔处理结果的，按第24条的约定办理。</w:t>
      </w:r>
    </w:p>
    <w:bookmarkEnd w:id="2498"/>
    <w:p w14:paraId="2657CB77">
      <w:pPr>
        <w:wordWrap w:val="0"/>
        <w:spacing w:before="120" w:beforeLines="50" w:after="120" w:afterLines="50" w:line="360" w:lineRule="auto"/>
        <w:outlineLvl w:val="2"/>
        <w:rPr>
          <w:rFonts w:ascii="宋体"/>
          <w:kern w:val="0"/>
          <w:sz w:val="24"/>
        </w:rPr>
      </w:pPr>
      <w:bookmarkStart w:id="2499" w:name="_Toc179632779"/>
      <w:bookmarkStart w:id="2500" w:name="_Toc480487055"/>
      <w:bookmarkStart w:id="2501" w:name="_Toc490222645"/>
      <w:bookmarkStart w:id="2502" w:name="_Toc483668229"/>
      <w:bookmarkStart w:id="2503" w:name="_Toc489280011"/>
      <w:bookmarkStart w:id="2504" w:name="_Toc152045761"/>
      <w:bookmarkStart w:id="2505" w:name="_Toc338944854"/>
      <w:bookmarkStart w:id="2506" w:name="_Toc342296412"/>
      <w:bookmarkStart w:id="2507" w:name="_Toc486580200"/>
      <w:bookmarkStart w:id="2508" w:name="_Toc152042540"/>
      <w:bookmarkStart w:id="2509" w:name="_Toc480486883"/>
      <w:bookmarkStart w:id="2510" w:name="_Toc144974731"/>
      <w:bookmarkStart w:id="2511" w:name="_Toc207289735"/>
      <w:bookmarkStart w:id="2512" w:name="_Hlk198564756"/>
      <w:r>
        <w:rPr>
          <w:rFonts w:ascii="宋体"/>
          <w:kern w:val="0"/>
          <w:sz w:val="24"/>
        </w:rPr>
        <w:t>23.</w:t>
      </w:r>
      <w:r>
        <w:rPr>
          <w:rFonts w:hint="eastAsia" w:ascii="宋体"/>
          <w:kern w:val="0"/>
          <w:sz w:val="24"/>
        </w:rPr>
        <w:t>3</w:t>
      </w:r>
      <w:r>
        <w:rPr>
          <w:rFonts w:ascii="宋体"/>
          <w:kern w:val="0"/>
          <w:sz w:val="24"/>
        </w:rPr>
        <w:t xml:space="preserve">  </w:t>
      </w:r>
      <w:bookmarkEnd w:id="2499"/>
      <w:bookmarkEnd w:id="2500"/>
      <w:bookmarkEnd w:id="2501"/>
      <w:bookmarkEnd w:id="2502"/>
      <w:bookmarkEnd w:id="2503"/>
      <w:bookmarkEnd w:id="2504"/>
      <w:bookmarkEnd w:id="2505"/>
      <w:bookmarkEnd w:id="2506"/>
      <w:bookmarkEnd w:id="2507"/>
      <w:bookmarkEnd w:id="2508"/>
      <w:bookmarkEnd w:id="2509"/>
      <w:bookmarkEnd w:id="2510"/>
      <w:bookmarkStart w:id="2513" w:name="OLE_LINK3"/>
      <w:r>
        <w:rPr>
          <w:rFonts w:hint="eastAsia" w:ascii="宋体"/>
          <w:kern w:val="0"/>
          <w:sz w:val="24"/>
        </w:rPr>
        <w:t>承包人提出工程索赔的期限</w:t>
      </w:r>
      <w:bookmarkEnd w:id="2511"/>
      <w:bookmarkEnd w:id="2513"/>
    </w:p>
    <w:bookmarkEnd w:id="2512"/>
    <w:p w14:paraId="11256B13">
      <w:pPr>
        <w:wordWrap w:val="0"/>
        <w:spacing w:line="360" w:lineRule="auto"/>
        <w:ind w:firstLine="480" w:firstLineChars="200"/>
        <w:rPr>
          <w:rFonts w:ascii="宋体" w:hAnsi="宋体"/>
          <w:sz w:val="24"/>
        </w:rPr>
      </w:pPr>
      <w:r>
        <w:rPr>
          <w:rFonts w:hint="eastAsia" w:ascii="宋体" w:hAnsi="宋体"/>
          <w:sz w:val="24"/>
        </w:rPr>
        <w:t>23.3.1  承包人按第17.5款的约定接受了竣工付款证书后，应被认为已无权再提出在合同工程接收证书颁发前所发生的任何工程索赔。</w:t>
      </w:r>
    </w:p>
    <w:p w14:paraId="63897F62">
      <w:pPr>
        <w:wordWrap w:val="0"/>
        <w:spacing w:line="360" w:lineRule="auto"/>
        <w:ind w:firstLine="480" w:firstLineChars="200"/>
        <w:rPr>
          <w:rFonts w:ascii="宋体" w:hAnsi="宋体"/>
          <w:sz w:val="24"/>
        </w:rPr>
      </w:pPr>
      <w:r>
        <w:rPr>
          <w:rFonts w:hint="eastAsia" w:ascii="宋体" w:hAnsi="宋体"/>
          <w:sz w:val="24"/>
        </w:rPr>
        <w:t>23.3.2  承包人按第17.6款的约定提交的最终结清申请单中，只限于提出工程接收证书颁发后发生的工程索赔。提出工程索赔的期限自接受最终结清证书时终止。</w:t>
      </w:r>
    </w:p>
    <w:p w14:paraId="2CE8B762">
      <w:pPr>
        <w:wordWrap w:val="0"/>
        <w:spacing w:before="120" w:beforeLines="50" w:after="120" w:afterLines="50" w:line="360" w:lineRule="auto"/>
        <w:outlineLvl w:val="2"/>
        <w:rPr>
          <w:rFonts w:ascii="宋体"/>
          <w:kern w:val="0"/>
          <w:sz w:val="24"/>
          <w:szCs w:val="20"/>
        </w:rPr>
      </w:pPr>
      <w:bookmarkStart w:id="2514" w:name="_Toc207289736"/>
      <w:bookmarkStart w:id="2515" w:name="_Hlk198564774"/>
      <w:bookmarkStart w:id="2516" w:name="_Hlk199430851"/>
      <w:r>
        <w:rPr>
          <w:rFonts w:ascii="宋体"/>
          <w:kern w:val="0"/>
          <w:sz w:val="24"/>
          <w:szCs w:val="20"/>
        </w:rPr>
        <w:t>23.</w:t>
      </w:r>
      <w:r>
        <w:rPr>
          <w:rFonts w:hint="eastAsia" w:ascii="宋体"/>
          <w:kern w:val="0"/>
          <w:sz w:val="24"/>
          <w:szCs w:val="20"/>
        </w:rPr>
        <w:t>4</w:t>
      </w:r>
      <w:r>
        <w:rPr>
          <w:rFonts w:ascii="宋体"/>
          <w:kern w:val="0"/>
          <w:sz w:val="24"/>
          <w:szCs w:val="20"/>
        </w:rPr>
        <w:t xml:space="preserve">  </w:t>
      </w:r>
      <w:r>
        <w:rPr>
          <w:rFonts w:hint="eastAsia" w:ascii="宋体"/>
          <w:kern w:val="0"/>
          <w:sz w:val="24"/>
          <w:szCs w:val="20"/>
        </w:rPr>
        <w:t>发包人的工程索赔</w:t>
      </w:r>
      <w:bookmarkEnd w:id="2514"/>
    </w:p>
    <w:bookmarkEnd w:id="2515"/>
    <w:p w14:paraId="76CFE9D7">
      <w:pPr>
        <w:wordWrap w:val="0"/>
        <w:spacing w:line="360" w:lineRule="auto"/>
        <w:ind w:firstLine="480" w:firstLineChars="200"/>
        <w:rPr>
          <w:rFonts w:ascii="宋体" w:hAnsi="宋体"/>
          <w:sz w:val="24"/>
        </w:rPr>
      </w:pPr>
      <w:r>
        <w:rPr>
          <w:rFonts w:hint="eastAsia" w:ascii="宋体" w:hAnsi="宋体"/>
          <w:sz w:val="24"/>
        </w:rPr>
        <w:t>23.4.1  发生工程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214AC2A3">
      <w:pPr>
        <w:wordWrap w:val="0"/>
        <w:spacing w:line="360" w:lineRule="auto"/>
        <w:ind w:firstLine="480" w:firstLineChars="200"/>
        <w:rPr>
          <w:rFonts w:ascii="宋体" w:hAnsi="宋体"/>
          <w:sz w:val="24"/>
        </w:rPr>
      </w:pPr>
      <w:r>
        <w:rPr>
          <w:rFonts w:hint="eastAsia" w:ascii="宋体" w:hAnsi="宋体"/>
          <w:sz w:val="24"/>
        </w:rPr>
        <w:t>23.4.2  监理人按第3.5款商定或确定发包人从承包人处得到赔付的金额和（或）缺陷责任期的延长期。承包人应付给发包人的金额可从拟支付给承包人的合同价款中扣除，或由承包人以其他方式支付给发包人。</w:t>
      </w:r>
    </w:p>
    <w:bookmarkEnd w:id="2516"/>
    <w:p w14:paraId="4C199F7C">
      <w:pPr>
        <w:tabs>
          <w:tab w:val="left" w:pos="576"/>
        </w:tabs>
        <w:wordWrap w:val="0"/>
        <w:spacing w:before="120" w:beforeLines="50" w:after="120" w:afterLines="50" w:line="360" w:lineRule="auto"/>
        <w:outlineLvl w:val="1"/>
        <w:rPr>
          <w:rFonts w:ascii="宋体" w:cs="宋体"/>
          <w:sz w:val="28"/>
          <w:szCs w:val="20"/>
        </w:rPr>
      </w:pPr>
      <w:bookmarkStart w:id="2517" w:name="_Toc207289737"/>
      <w:bookmarkStart w:id="2518" w:name="_Toc342296413"/>
      <w:bookmarkStart w:id="2519" w:name="_Toc338944855"/>
      <w:bookmarkStart w:id="2520" w:name="_Toc489280012"/>
      <w:bookmarkStart w:id="2521" w:name="_Toc480487056"/>
      <w:bookmarkStart w:id="2522" w:name="_Toc480486884"/>
      <w:bookmarkStart w:id="2523" w:name="_Toc483668230"/>
      <w:bookmarkStart w:id="2524" w:name="_Toc486580201"/>
      <w:bookmarkStart w:id="2525" w:name="_Toc490222646"/>
      <w:r>
        <w:rPr>
          <w:rFonts w:ascii="宋体" w:cs="宋体"/>
          <w:sz w:val="28"/>
          <w:szCs w:val="20"/>
        </w:rPr>
        <w:t>24.</w:t>
      </w:r>
      <w:r>
        <w:rPr>
          <w:rFonts w:hint="eastAsia" w:ascii="宋体" w:cs="宋体"/>
          <w:sz w:val="28"/>
          <w:szCs w:val="20"/>
        </w:rPr>
        <w:t>争议的解决</w:t>
      </w:r>
      <w:bookmarkEnd w:id="2517"/>
      <w:bookmarkEnd w:id="2518"/>
      <w:bookmarkEnd w:id="2519"/>
      <w:bookmarkEnd w:id="2520"/>
      <w:bookmarkEnd w:id="2521"/>
      <w:bookmarkEnd w:id="2522"/>
      <w:bookmarkEnd w:id="2523"/>
      <w:bookmarkEnd w:id="2524"/>
      <w:bookmarkEnd w:id="2525"/>
    </w:p>
    <w:p w14:paraId="0E0841B3">
      <w:pPr>
        <w:wordWrap w:val="0"/>
        <w:spacing w:before="120" w:beforeLines="50" w:after="120" w:afterLines="50" w:line="360" w:lineRule="auto"/>
        <w:outlineLvl w:val="2"/>
        <w:rPr>
          <w:rFonts w:ascii="宋体"/>
          <w:kern w:val="0"/>
          <w:sz w:val="24"/>
          <w:szCs w:val="20"/>
        </w:rPr>
      </w:pPr>
      <w:bookmarkStart w:id="2526" w:name="_Toc489280013"/>
      <w:bookmarkStart w:id="2527" w:name="_Toc490222647"/>
      <w:bookmarkStart w:id="2528" w:name="_Toc480486885"/>
      <w:bookmarkStart w:id="2529" w:name="_Toc480487057"/>
      <w:bookmarkStart w:id="2530" w:name="_Toc342296414"/>
      <w:bookmarkStart w:id="2531" w:name="_Toc486580202"/>
      <w:bookmarkStart w:id="2532" w:name="_Toc338944856"/>
      <w:bookmarkStart w:id="2533" w:name="_Toc207289738"/>
      <w:bookmarkStart w:id="2534" w:name="_Toc483668231"/>
      <w:r>
        <w:rPr>
          <w:rFonts w:ascii="宋体"/>
          <w:kern w:val="0"/>
          <w:sz w:val="24"/>
          <w:szCs w:val="20"/>
        </w:rPr>
        <w:t xml:space="preserve">24.1  </w:t>
      </w:r>
      <w:r>
        <w:rPr>
          <w:rFonts w:hint="eastAsia" w:ascii="宋体"/>
          <w:kern w:val="0"/>
          <w:sz w:val="24"/>
          <w:szCs w:val="20"/>
        </w:rPr>
        <w:t>争议的解决方式</w:t>
      </w:r>
      <w:bookmarkEnd w:id="2526"/>
      <w:bookmarkEnd w:id="2527"/>
      <w:bookmarkEnd w:id="2528"/>
      <w:bookmarkEnd w:id="2529"/>
      <w:bookmarkEnd w:id="2530"/>
      <w:bookmarkEnd w:id="2531"/>
      <w:bookmarkEnd w:id="2532"/>
      <w:bookmarkEnd w:id="2533"/>
      <w:bookmarkEnd w:id="2534"/>
    </w:p>
    <w:p w14:paraId="6DCD27D9">
      <w:pPr>
        <w:wordWrap w:val="0"/>
        <w:spacing w:line="360" w:lineRule="auto"/>
        <w:ind w:firstLine="480" w:firstLineChars="200"/>
        <w:rPr>
          <w:rFonts w:ascii="宋体"/>
          <w:sz w:val="24"/>
        </w:rPr>
      </w:pPr>
      <w:bookmarkStart w:id="2535" w:name="OLE_LINK79"/>
      <w:bookmarkStart w:id="2536" w:name="OLE_LINK116"/>
      <w:r>
        <w:rPr>
          <w:rFonts w:hint="eastAsia" w:ascii="宋体" w:hAnsi="宋体"/>
          <w:sz w:val="24"/>
        </w:rPr>
        <w:t>发包人和承包人</w:t>
      </w:r>
      <w:bookmarkEnd w:id="2535"/>
      <w:r>
        <w:rPr>
          <w:rFonts w:hint="eastAsia" w:ascii="宋体" w:hAnsi="宋体"/>
          <w:sz w:val="24"/>
        </w:rPr>
        <w:t>在履行合同中发生争议的，</w:t>
      </w:r>
      <w:bookmarkStart w:id="2537" w:name="_Hlk199431403"/>
      <w:r>
        <w:rPr>
          <w:rFonts w:hint="eastAsia" w:ascii="宋体" w:hAnsi="宋体"/>
          <w:sz w:val="24"/>
        </w:rPr>
        <w:t>应通过</w:t>
      </w:r>
      <w:bookmarkEnd w:id="2537"/>
      <w:r>
        <w:rPr>
          <w:rFonts w:hint="eastAsia" w:ascii="宋体" w:hAnsi="宋体"/>
          <w:sz w:val="24"/>
        </w:rPr>
        <w:t>友好协商解决</w:t>
      </w:r>
      <w:bookmarkStart w:id="2538" w:name="_Hlk199431432"/>
      <w:r>
        <w:rPr>
          <w:rFonts w:hint="eastAsia" w:ascii="宋体" w:hAnsi="宋体"/>
          <w:sz w:val="24"/>
        </w:rPr>
        <w:t>，</w:t>
      </w:r>
      <w:bookmarkEnd w:id="2536"/>
      <w:r>
        <w:rPr>
          <w:rFonts w:hint="eastAsia" w:ascii="宋体" w:hAnsi="宋体"/>
          <w:sz w:val="24"/>
        </w:rPr>
        <w:t>经协商不能达成一致意见的，可以</w:t>
      </w:r>
      <w:bookmarkEnd w:id="2538"/>
      <w:r>
        <w:rPr>
          <w:rFonts w:hint="eastAsia" w:ascii="宋体" w:hAnsi="宋体"/>
          <w:sz w:val="24"/>
        </w:rPr>
        <w:t>提请</w:t>
      </w:r>
      <w:bookmarkStart w:id="2539" w:name="OLE_LINK109"/>
      <w:r>
        <w:rPr>
          <w:rFonts w:hint="eastAsia" w:ascii="宋体" w:hAnsi="宋体"/>
          <w:sz w:val="24"/>
        </w:rPr>
        <w:t>调解人（机构）调解或争议评审</w:t>
      </w:r>
      <w:bookmarkStart w:id="2540" w:name="_Hlk199431444"/>
      <w:r>
        <w:rPr>
          <w:rFonts w:hint="eastAsia" w:ascii="宋体" w:hAnsi="宋体"/>
          <w:sz w:val="24"/>
        </w:rPr>
        <w:t>委员会（或机构）</w:t>
      </w:r>
      <w:bookmarkEnd w:id="2540"/>
      <w:r>
        <w:rPr>
          <w:rFonts w:hint="eastAsia" w:ascii="宋体" w:hAnsi="宋体"/>
          <w:sz w:val="24"/>
        </w:rPr>
        <w:t>评审</w:t>
      </w:r>
      <w:bookmarkEnd w:id="2539"/>
      <w:r>
        <w:rPr>
          <w:rFonts w:hint="eastAsia" w:ascii="宋体" w:hAnsi="宋体"/>
          <w:sz w:val="24"/>
        </w:rPr>
        <w:t>。</w:t>
      </w:r>
      <w:bookmarkStart w:id="2541" w:name="_Hlk201073512"/>
      <w:bookmarkStart w:id="2542" w:name="_Hlk199431464"/>
      <w:r>
        <w:rPr>
          <w:rFonts w:hint="eastAsia" w:ascii="宋体" w:hAnsi="宋体"/>
          <w:sz w:val="24"/>
        </w:rPr>
        <w:t>如不愿提请调解、争议评审，</w:t>
      </w:r>
      <w:bookmarkEnd w:id="2541"/>
      <w:r>
        <w:rPr>
          <w:rFonts w:hint="eastAsia" w:ascii="宋体" w:hAnsi="宋体"/>
          <w:sz w:val="24"/>
        </w:rPr>
        <w:t>或通过调解、争议评审仍不能解决双方争议的，</w:t>
      </w:r>
      <w:bookmarkEnd w:id="2542"/>
      <w:bookmarkStart w:id="2543" w:name="OLE_LINK100"/>
      <w:r>
        <w:rPr>
          <w:rFonts w:hint="eastAsia" w:ascii="宋体" w:hAnsi="宋体"/>
          <w:sz w:val="24"/>
        </w:rPr>
        <w:t>合同当事人</w:t>
      </w:r>
      <w:bookmarkEnd w:id="2543"/>
      <w:r>
        <w:rPr>
          <w:rFonts w:hint="eastAsia" w:ascii="宋体" w:hAnsi="宋体"/>
          <w:sz w:val="24"/>
        </w:rPr>
        <w:t>可在合同条款专用部分中约定下列一种方式解决。</w:t>
      </w:r>
    </w:p>
    <w:p w14:paraId="727E9608">
      <w:pPr>
        <w:wordWrap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）向约定的仲裁委员会申请仲裁；</w:t>
      </w:r>
    </w:p>
    <w:p w14:paraId="7D4EA7D0">
      <w:pPr>
        <w:wordWrap w:val="0"/>
        <w:spacing w:line="360" w:lineRule="auto"/>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）向有管辖权的人民法院提起诉讼。</w:t>
      </w:r>
    </w:p>
    <w:p w14:paraId="4D88E0F4">
      <w:pPr>
        <w:wordWrap w:val="0"/>
        <w:spacing w:line="360" w:lineRule="auto"/>
        <w:ind w:firstLine="480" w:firstLineChars="200"/>
        <w:rPr>
          <w:rFonts w:ascii="宋体" w:hAnsi="宋体"/>
          <w:sz w:val="24"/>
        </w:rPr>
      </w:pPr>
      <w:bookmarkStart w:id="2544" w:name="_Hlk199431557"/>
      <w:r>
        <w:rPr>
          <w:rFonts w:hint="eastAsia" w:ascii="宋体" w:hAnsi="宋体"/>
          <w:sz w:val="24"/>
        </w:rPr>
        <w:t>除因发包人或承包人违约引起合同已无法继续履行，或双方协商确定停止施工或合同已经解除外，发包人和承包人在争议发生后应继续履行合同工程，直至争议解决。</w:t>
      </w:r>
    </w:p>
    <w:bookmarkEnd w:id="2544"/>
    <w:p w14:paraId="172ADD5D">
      <w:pPr>
        <w:wordWrap w:val="0"/>
        <w:spacing w:before="120" w:beforeLines="50" w:after="120" w:afterLines="50" w:line="360" w:lineRule="auto"/>
        <w:outlineLvl w:val="2"/>
        <w:rPr>
          <w:rFonts w:ascii="宋体"/>
          <w:kern w:val="0"/>
          <w:sz w:val="24"/>
          <w:szCs w:val="20"/>
        </w:rPr>
      </w:pPr>
      <w:bookmarkStart w:id="2545" w:name="_Toc489280014"/>
      <w:bookmarkStart w:id="2546" w:name="_Toc480486886"/>
      <w:bookmarkStart w:id="2547" w:name="_Toc480487058"/>
      <w:bookmarkStart w:id="2548" w:name="_Toc338944857"/>
      <w:bookmarkStart w:id="2549" w:name="_Toc342296415"/>
      <w:bookmarkStart w:id="2550" w:name="_Toc490222648"/>
      <w:bookmarkStart w:id="2551" w:name="_Toc486580203"/>
      <w:bookmarkStart w:id="2552" w:name="_Toc483668232"/>
      <w:bookmarkStart w:id="2553" w:name="_Toc207289739"/>
      <w:r>
        <w:rPr>
          <w:rFonts w:ascii="宋体"/>
          <w:kern w:val="0"/>
          <w:sz w:val="24"/>
          <w:szCs w:val="20"/>
        </w:rPr>
        <w:t>24.</w:t>
      </w:r>
      <w:r>
        <w:rPr>
          <w:rFonts w:hint="eastAsia" w:ascii="宋体"/>
          <w:kern w:val="0"/>
          <w:sz w:val="24"/>
          <w:szCs w:val="20"/>
        </w:rPr>
        <w:t>2</w:t>
      </w:r>
      <w:r>
        <w:rPr>
          <w:rFonts w:ascii="宋体"/>
          <w:kern w:val="0"/>
          <w:sz w:val="24"/>
          <w:szCs w:val="20"/>
        </w:rPr>
        <w:t xml:space="preserve">  </w:t>
      </w:r>
      <w:bookmarkEnd w:id="2545"/>
      <w:bookmarkEnd w:id="2546"/>
      <w:bookmarkEnd w:id="2547"/>
      <w:bookmarkEnd w:id="2548"/>
      <w:bookmarkEnd w:id="2549"/>
      <w:bookmarkEnd w:id="2550"/>
      <w:bookmarkEnd w:id="2551"/>
      <w:bookmarkEnd w:id="2552"/>
      <w:r>
        <w:rPr>
          <w:rFonts w:hint="eastAsia" w:ascii="宋体"/>
          <w:kern w:val="0"/>
          <w:sz w:val="24"/>
          <w:szCs w:val="20"/>
        </w:rPr>
        <w:t>和解</w:t>
      </w:r>
      <w:bookmarkEnd w:id="2553"/>
    </w:p>
    <w:p w14:paraId="627B01C3">
      <w:pPr>
        <w:wordWrap w:val="0"/>
        <w:spacing w:line="360" w:lineRule="auto"/>
        <w:ind w:firstLine="480" w:firstLineChars="200"/>
        <w:rPr>
          <w:rFonts w:ascii="宋体"/>
          <w:sz w:val="24"/>
        </w:rPr>
      </w:pPr>
      <w:r>
        <w:rPr>
          <w:rFonts w:hint="eastAsia" w:ascii="宋体" w:hAnsi="宋体"/>
          <w:sz w:val="24"/>
        </w:rPr>
        <w:t>发包人和承包人在履行合同中发生争议的，应通过友好协商解决，并在协商一致后签订相关的补充（和解）协议，所签订的补充（和解）协议作为合同补充文件，对合同双方均具有约束力，合同双方都应遵守执行。</w:t>
      </w:r>
    </w:p>
    <w:p w14:paraId="23FF92E6">
      <w:pPr>
        <w:wordWrap w:val="0"/>
        <w:spacing w:before="120" w:beforeLines="50" w:after="120" w:afterLines="50" w:line="360" w:lineRule="auto"/>
        <w:outlineLvl w:val="2"/>
        <w:rPr>
          <w:rFonts w:ascii="宋体"/>
          <w:kern w:val="0"/>
          <w:sz w:val="24"/>
        </w:rPr>
      </w:pPr>
      <w:bookmarkStart w:id="2554" w:name="_Toc207289740"/>
      <w:bookmarkStart w:id="2555" w:name="_Toc486580204"/>
      <w:bookmarkStart w:id="2556" w:name="_Toc338944858"/>
      <w:bookmarkStart w:id="2557" w:name="_Toc490222649"/>
      <w:bookmarkStart w:id="2558" w:name="_Toc489280015"/>
      <w:bookmarkStart w:id="2559" w:name="_Toc483668233"/>
      <w:bookmarkStart w:id="2560" w:name="_Toc480486887"/>
      <w:bookmarkStart w:id="2561" w:name="_Toc480487059"/>
      <w:bookmarkStart w:id="2562" w:name="_Toc342296416"/>
      <w:r>
        <w:rPr>
          <w:rFonts w:ascii="宋体"/>
          <w:kern w:val="0"/>
          <w:sz w:val="24"/>
        </w:rPr>
        <w:t xml:space="preserve">24.3  </w:t>
      </w:r>
      <w:r>
        <w:rPr>
          <w:rFonts w:hint="eastAsia" w:ascii="宋体"/>
          <w:kern w:val="0"/>
          <w:sz w:val="24"/>
        </w:rPr>
        <w:t>争议评审</w:t>
      </w:r>
      <w:bookmarkEnd w:id="2554"/>
      <w:bookmarkEnd w:id="2555"/>
      <w:bookmarkEnd w:id="2556"/>
      <w:bookmarkEnd w:id="2557"/>
      <w:bookmarkEnd w:id="2558"/>
      <w:bookmarkEnd w:id="2559"/>
      <w:bookmarkEnd w:id="2560"/>
      <w:bookmarkEnd w:id="2561"/>
      <w:bookmarkEnd w:id="2562"/>
    </w:p>
    <w:p w14:paraId="1EB33B1A">
      <w:pPr>
        <w:wordWrap w:val="0"/>
        <w:spacing w:line="360" w:lineRule="auto"/>
        <w:ind w:firstLine="480" w:firstLineChars="200"/>
        <w:rPr>
          <w:rFonts w:ascii="宋体"/>
          <w:sz w:val="24"/>
        </w:rPr>
      </w:pPr>
      <w:bookmarkStart w:id="2563" w:name="OLE_LINK103"/>
      <w:r>
        <w:rPr>
          <w:rFonts w:hint="eastAsia" w:ascii="宋体" w:hAnsi="宋体"/>
          <w:sz w:val="24"/>
        </w:rPr>
        <w:t>24.3.1  采用争议评审</w:t>
      </w:r>
      <w:bookmarkStart w:id="2564" w:name="_Hlk199431617"/>
      <w:r>
        <w:rPr>
          <w:rFonts w:hint="eastAsia" w:ascii="宋体" w:hAnsi="宋体"/>
          <w:sz w:val="24"/>
        </w:rPr>
        <w:t>方式解决争议的</w:t>
      </w:r>
      <w:bookmarkEnd w:id="2564"/>
      <w:r>
        <w:rPr>
          <w:rFonts w:hint="eastAsia" w:ascii="宋体" w:hAnsi="宋体"/>
          <w:sz w:val="24"/>
        </w:rPr>
        <w:t>，发包人和承包人应在</w:t>
      </w:r>
      <w:bookmarkStart w:id="2565" w:name="_Hlk199431640"/>
      <w:r>
        <w:rPr>
          <w:rFonts w:hint="eastAsia" w:ascii="宋体" w:hAnsi="宋体"/>
          <w:sz w:val="24"/>
        </w:rPr>
        <w:t>合同履行过程中共同确定</w:t>
      </w:r>
      <w:bookmarkEnd w:id="2565"/>
      <w:r>
        <w:rPr>
          <w:rFonts w:hint="eastAsia" w:ascii="宋体" w:hAnsi="宋体"/>
          <w:sz w:val="24"/>
        </w:rPr>
        <w:t>争议评审</w:t>
      </w:r>
      <w:bookmarkStart w:id="2566" w:name="OLE_LINK63"/>
      <w:bookmarkStart w:id="2567" w:name="_Hlk199431665"/>
      <w:r>
        <w:rPr>
          <w:rFonts w:hint="eastAsia" w:ascii="宋体" w:hAnsi="宋体"/>
          <w:sz w:val="24"/>
        </w:rPr>
        <w:t>委员会（或机构）</w:t>
      </w:r>
      <w:bookmarkEnd w:id="2566"/>
      <w:r>
        <w:rPr>
          <w:rFonts w:hint="eastAsia" w:ascii="宋体" w:hAnsi="宋体"/>
          <w:sz w:val="24"/>
        </w:rPr>
        <w:t>的选择形式、人员构成和数量。</w:t>
      </w:r>
      <w:bookmarkEnd w:id="2567"/>
    </w:p>
    <w:p w14:paraId="5CEF1B1A">
      <w:pPr>
        <w:wordWrap w:val="0"/>
        <w:spacing w:line="360" w:lineRule="auto"/>
        <w:ind w:firstLine="480" w:firstLineChars="200"/>
        <w:rPr>
          <w:rFonts w:ascii="宋体" w:hAnsi="宋体"/>
          <w:sz w:val="24"/>
        </w:rPr>
      </w:pPr>
      <w:r>
        <w:rPr>
          <w:rFonts w:hint="eastAsia" w:ascii="宋体" w:hAnsi="宋体"/>
          <w:sz w:val="24"/>
        </w:rPr>
        <w:t>24.3.2  合同双方</w:t>
      </w:r>
      <w:bookmarkStart w:id="2568" w:name="_Hlk199431685"/>
      <w:r>
        <w:rPr>
          <w:rFonts w:hint="eastAsia" w:ascii="宋体" w:hAnsi="宋体"/>
          <w:sz w:val="24"/>
        </w:rPr>
        <w:t>或任一方提出</w:t>
      </w:r>
      <w:bookmarkEnd w:id="2568"/>
      <w:r>
        <w:rPr>
          <w:rFonts w:hint="eastAsia" w:ascii="宋体" w:hAnsi="宋体"/>
          <w:sz w:val="24"/>
        </w:rPr>
        <w:t>争议的，</w:t>
      </w:r>
      <w:bookmarkStart w:id="2569" w:name="_Hlk199431700"/>
      <w:r>
        <w:rPr>
          <w:rFonts w:hint="eastAsia" w:ascii="宋体" w:hAnsi="宋体"/>
          <w:sz w:val="24"/>
        </w:rPr>
        <w:t>应在争议评审委员会（或机构）确定后，由合同双方共同将与争议事项相关的工程资料以书面形式提供给争议评审委员会（或机构），或提出相关争议的一方将争议事项相关的工程资料以书面形式提供给争议评审委员会（或机构），同时提供一份给合同的另一方。</w:t>
      </w:r>
      <w:bookmarkEnd w:id="2569"/>
    </w:p>
    <w:p w14:paraId="5BEF994C">
      <w:pPr>
        <w:wordWrap w:val="0"/>
        <w:spacing w:line="360" w:lineRule="auto"/>
        <w:ind w:firstLine="480" w:firstLineChars="200"/>
        <w:rPr>
          <w:rFonts w:ascii="宋体"/>
          <w:sz w:val="24"/>
        </w:rPr>
      </w:pPr>
      <w:r>
        <w:rPr>
          <w:rFonts w:hint="eastAsia" w:ascii="宋体" w:hAnsi="宋体"/>
          <w:sz w:val="24"/>
        </w:rPr>
        <w:t>24.3.3  争议评审委员会（或机构）应在收到争议事项文件资料后，全面了解争议事项的发生实情，并在收到争议事项文件资料后的约定时间内将争议处理意见以书面形式同时提供给合同双方，包括相关的详细说明和依据。</w:t>
      </w:r>
    </w:p>
    <w:p w14:paraId="11D8E52F">
      <w:pPr>
        <w:wordWrap w:val="0"/>
        <w:spacing w:line="360" w:lineRule="auto"/>
        <w:ind w:firstLine="480" w:firstLineChars="200"/>
        <w:rPr>
          <w:rFonts w:ascii="宋体"/>
          <w:sz w:val="24"/>
        </w:rPr>
      </w:pPr>
      <w:r>
        <w:rPr>
          <w:rFonts w:hint="eastAsia" w:ascii="宋体" w:hAnsi="宋体"/>
          <w:sz w:val="24"/>
        </w:rPr>
        <w:t xml:space="preserve">24.3.4  </w:t>
      </w:r>
      <w:bookmarkStart w:id="2570" w:name="_Hlk199431770"/>
      <w:r>
        <w:rPr>
          <w:rFonts w:hint="eastAsia" w:ascii="宋体" w:hAnsi="宋体"/>
          <w:sz w:val="24"/>
        </w:rPr>
        <w:t>如合同</w:t>
      </w:r>
      <w:bookmarkStart w:id="2571" w:name="OLE_LINK107"/>
      <w:r>
        <w:rPr>
          <w:rFonts w:hint="eastAsia" w:ascii="宋体" w:hAnsi="宋体"/>
          <w:sz w:val="24"/>
        </w:rPr>
        <w:t>双方中的</w:t>
      </w:r>
      <w:bookmarkEnd w:id="2571"/>
      <w:r>
        <w:rPr>
          <w:rFonts w:hint="eastAsia" w:ascii="宋体" w:hAnsi="宋体"/>
          <w:sz w:val="24"/>
        </w:rPr>
        <w:t>任一方对争议评审委员会（或机构）的意见提出异议的，提出异议的一方应在收到</w:t>
      </w:r>
      <w:bookmarkStart w:id="2572" w:name="OLE_LINK106"/>
      <w:r>
        <w:rPr>
          <w:rFonts w:hint="eastAsia" w:ascii="宋体" w:hAnsi="宋体"/>
          <w:sz w:val="24"/>
        </w:rPr>
        <w:t>争议评审委员会（或机构）</w:t>
      </w:r>
      <w:bookmarkEnd w:id="2572"/>
      <w:r>
        <w:rPr>
          <w:rFonts w:hint="eastAsia" w:ascii="宋体" w:hAnsi="宋体"/>
          <w:sz w:val="24"/>
        </w:rPr>
        <w:t>的意见后的规定时间内，将不认可理由的函件以书面形式提供给争议评审委员会（或机构），并同时抄送一份给合同的另一方，包括相关说明、依据及补充提供的支持性资料。争议评审委员会（或机构）复查后，将维持原意见或修改意见的理由及决定以书面形式同时提供给合同双方。</w:t>
      </w:r>
      <w:bookmarkEnd w:id="2570"/>
    </w:p>
    <w:p w14:paraId="48DCF71E">
      <w:pPr>
        <w:wordWrap w:val="0"/>
        <w:spacing w:line="360" w:lineRule="auto"/>
        <w:ind w:firstLine="480" w:firstLineChars="200"/>
        <w:rPr>
          <w:rFonts w:ascii="宋体" w:hAnsi="宋体"/>
          <w:sz w:val="24"/>
        </w:rPr>
      </w:pPr>
      <w:bookmarkStart w:id="2573" w:name="OLE_LINK138"/>
      <w:r>
        <w:rPr>
          <w:rFonts w:hint="eastAsia" w:ascii="宋体" w:hAnsi="宋体"/>
          <w:sz w:val="24"/>
        </w:rPr>
        <w:t xml:space="preserve">24.3.5  </w:t>
      </w:r>
      <w:bookmarkEnd w:id="2573"/>
      <w:bookmarkStart w:id="2574" w:name="_Hlk199431865"/>
      <w:r>
        <w:rPr>
          <w:rFonts w:hint="eastAsia" w:ascii="宋体" w:hAnsi="宋体"/>
          <w:sz w:val="24"/>
        </w:rPr>
        <w:t>如</w:t>
      </w:r>
      <w:bookmarkStart w:id="2575" w:name="OLE_LINK9"/>
      <w:r>
        <w:rPr>
          <w:rFonts w:hint="eastAsia" w:ascii="宋体" w:hAnsi="宋体"/>
          <w:sz w:val="24"/>
        </w:rPr>
        <w:t>合同双方对争议评审委员会（或机构）提出的争议解决意见或修改意见没有异议的，</w:t>
      </w:r>
      <w:bookmarkEnd w:id="2574"/>
      <w:r>
        <w:rPr>
          <w:rFonts w:hint="eastAsia" w:ascii="宋体" w:hAnsi="宋体"/>
          <w:sz w:val="24"/>
        </w:rPr>
        <w:t>合同双方应以书面形式签署确认，作为相关争议的和解协议，对合同双方应均具有约束力，合同双方都应遵守执行。</w:t>
      </w:r>
    </w:p>
    <w:p w14:paraId="600118D5">
      <w:pPr>
        <w:wordWrap w:val="0"/>
        <w:spacing w:line="360" w:lineRule="auto"/>
        <w:ind w:firstLine="480" w:firstLineChars="200"/>
        <w:rPr>
          <w:rFonts w:ascii="宋体" w:hAnsi="宋体"/>
          <w:sz w:val="24"/>
        </w:rPr>
      </w:pPr>
      <w:r>
        <w:rPr>
          <w:rFonts w:hint="eastAsia" w:ascii="宋体" w:hAnsi="宋体"/>
          <w:sz w:val="24"/>
        </w:rPr>
        <w:t>24.3.6  如合同双方中的任一方对争议评审委员会（或机构）的处理意见有异议，处理意见对合同双方不具有约束力。</w:t>
      </w:r>
    </w:p>
    <w:p w14:paraId="2522828A">
      <w:pPr>
        <w:wordWrap w:val="0"/>
        <w:spacing w:before="120" w:beforeLines="50" w:after="120" w:afterLines="50" w:line="360" w:lineRule="auto"/>
        <w:outlineLvl w:val="2"/>
        <w:rPr>
          <w:rFonts w:ascii="宋体"/>
          <w:kern w:val="0"/>
          <w:sz w:val="24"/>
          <w:szCs w:val="20"/>
        </w:rPr>
      </w:pPr>
      <w:bookmarkStart w:id="2576" w:name="_Toc207289741"/>
      <w:bookmarkStart w:id="2577" w:name="OLE_LINK78"/>
      <w:bookmarkStart w:id="2578" w:name="_Hlk199432095"/>
      <w:r>
        <w:rPr>
          <w:rFonts w:hint="eastAsia" w:ascii="宋体"/>
          <w:kern w:val="0"/>
          <w:sz w:val="24"/>
          <w:szCs w:val="20"/>
        </w:rPr>
        <w:t>24.4  调解</w:t>
      </w:r>
      <w:bookmarkEnd w:id="2576"/>
    </w:p>
    <w:bookmarkEnd w:id="2577"/>
    <w:p w14:paraId="37F6B5D6">
      <w:pPr>
        <w:wordWrap w:val="0"/>
        <w:spacing w:line="360" w:lineRule="auto"/>
        <w:ind w:firstLine="480" w:firstLineChars="200"/>
        <w:rPr>
          <w:rFonts w:ascii="宋体" w:hAnsi="宋体"/>
          <w:sz w:val="24"/>
        </w:rPr>
      </w:pPr>
      <w:r>
        <w:rPr>
          <w:rFonts w:hint="eastAsia" w:ascii="宋体" w:hAnsi="宋体"/>
          <w:sz w:val="24"/>
        </w:rPr>
        <w:t>24.4.1  采用调解方式解决合同履行过程中发生争议事项的，应在合同履行过程中双方共同选择、确定具有调解能力的调解人（或机构），负责双方在合同履行过程中发生争议事项的调解。</w:t>
      </w:r>
    </w:p>
    <w:p w14:paraId="0EAA9415">
      <w:pPr>
        <w:wordWrap w:val="0"/>
        <w:spacing w:line="360" w:lineRule="auto"/>
        <w:ind w:firstLine="480" w:firstLineChars="200"/>
        <w:rPr>
          <w:rFonts w:ascii="宋体" w:hAnsi="宋体"/>
          <w:sz w:val="24"/>
        </w:rPr>
      </w:pPr>
      <w:r>
        <w:rPr>
          <w:rFonts w:hint="eastAsia" w:ascii="宋体" w:hAnsi="宋体"/>
          <w:sz w:val="24"/>
        </w:rPr>
        <w:t>24.4.2  合同双方发生争议解决事项时，提出争议合理解决的任一方应将相关争议事项的所有文件、工程指令等以书面形式提交调解人（或机构），并书面抄送一份给合同的另一方，委托调解人（或机构）进行调解。</w:t>
      </w:r>
    </w:p>
    <w:p w14:paraId="40FFAC17">
      <w:pPr>
        <w:wordWrap w:val="0"/>
        <w:spacing w:line="360" w:lineRule="auto"/>
        <w:ind w:firstLine="480" w:firstLineChars="200"/>
        <w:rPr>
          <w:rFonts w:ascii="宋体" w:hAnsi="宋体"/>
          <w:sz w:val="24"/>
        </w:rPr>
      </w:pPr>
      <w:r>
        <w:rPr>
          <w:rFonts w:hint="eastAsia" w:ascii="宋体" w:hAnsi="宋体"/>
          <w:sz w:val="24"/>
        </w:rPr>
        <w:t>24.4.3  合同双方应按照调解人（或机构）提出的要求，提供其所需要的资料、进入现场的权利及相应工作设施条件。</w:t>
      </w:r>
    </w:p>
    <w:p w14:paraId="2B79CC9E">
      <w:pPr>
        <w:wordWrap w:val="0"/>
        <w:spacing w:line="360" w:lineRule="auto"/>
        <w:ind w:firstLine="480" w:firstLineChars="200"/>
        <w:rPr>
          <w:rFonts w:ascii="宋体" w:hAnsi="宋体"/>
          <w:sz w:val="24"/>
        </w:rPr>
      </w:pPr>
      <w:r>
        <w:rPr>
          <w:rFonts w:hint="eastAsia" w:ascii="宋体" w:hAnsi="宋体"/>
          <w:sz w:val="24"/>
        </w:rPr>
        <w:t>24.4.4  调解人（或机构）收到争议事项文件资料后，应全面了解争议事项的发生实情，听取合同双方的意见及协调双方的主张，并在收到争议事项文件资料后的约定时间内将自身的争议处理意见以书面形式提供给合同双方，包括相关的详细说明和依据。</w:t>
      </w:r>
    </w:p>
    <w:p w14:paraId="7AAB9034">
      <w:pPr>
        <w:wordWrap w:val="0"/>
        <w:spacing w:line="360" w:lineRule="auto"/>
        <w:ind w:firstLine="480" w:firstLineChars="200"/>
        <w:rPr>
          <w:rFonts w:ascii="宋体" w:hAnsi="宋体"/>
          <w:sz w:val="24"/>
        </w:rPr>
      </w:pPr>
      <w:r>
        <w:rPr>
          <w:rFonts w:hint="eastAsia" w:ascii="宋体" w:hAnsi="宋体"/>
          <w:sz w:val="24"/>
        </w:rPr>
        <w:t>24.4.5  如合同</w:t>
      </w:r>
      <w:bookmarkStart w:id="2579" w:name="OLE_LINK108"/>
      <w:r>
        <w:rPr>
          <w:rFonts w:hint="eastAsia" w:ascii="宋体" w:hAnsi="宋体"/>
          <w:sz w:val="24"/>
        </w:rPr>
        <w:t>双方中的</w:t>
      </w:r>
      <w:bookmarkEnd w:id="2579"/>
      <w:r>
        <w:rPr>
          <w:rFonts w:hint="eastAsia" w:ascii="宋体" w:hAnsi="宋体"/>
          <w:sz w:val="24"/>
        </w:rPr>
        <w:t>任一方不认可调解人（或机构）的决定，提出异议的一方应在收到</w:t>
      </w:r>
      <w:bookmarkStart w:id="2580" w:name="OLE_LINK75"/>
      <w:r>
        <w:rPr>
          <w:rFonts w:hint="eastAsia" w:ascii="宋体" w:hAnsi="宋体"/>
          <w:sz w:val="24"/>
        </w:rPr>
        <w:t>调解人（或机构）的决定</w:t>
      </w:r>
      <w:bookmarkEnd w:id="2580"/>
      <w:r>
        <w:rPr>
          <w:rFonts w:hint="eastAsia" w:ascii="宋体" w:hAnsi="宋体"/>
          <w:sz w:val="24"/>
        </w:rPr>
        <w:t>后,在规定的时间内将不认可理由的函件以书面形式提交给调解人（或机构），并同时抄送一份给合同的另一方，包括相关的详细说明、依据及补充提供的支持性资料。调解人（或机构）复查、协调后，将维持决定或修改决定的调整意见书同时提供给合同双方。</w:t>
      </w:r>
    </w:p>
    <w:p w14:paraId="22C80DAF">
      <w:pPr>
        <w:wordWrap w:val="0"/>
        <w:spacing w:line="360" w:lineRule="auto"/>
        <w:ind w:firstLine="480" w:firstLineChars="200"/>
        <w:rPr>
          <w:rFonts w:ascii="宋体" w:hAnsi="宋体"/>
          <w:sz w:val="24"/>
        </w:rPr>
      </w:pPr>
      <w:r>
        <w:rPr>
          <w:rFonts w:hint="eastAsia" w:ascii="宋体" w:hAnsi="宋体"/>
          <w:sz w:val="24"/>
        </w:rPr>
        <w:t>24.4.6  合同双方接受调解人（或机构）提出的调解书的，双方应签署确认并作为合同的补充文件，对合同双方应均具有约束力，双方都应遵守执行。</w:t>
      </w:r>
    </w:p>
    <w:p w14:paraId="6FC1B08A">
      <w:pPr>
        <w:wordWrap w:val="0"/>
        <w:spacing w:line="360" w:lineRule="auto"/>
        <w:ind w:firstLine="480" w:firstLineChars="200"/>
        <w:rPr>
          <w:rFonts w:ascii="宋体" w:hAnsi="宋体"/>
          <w:sz w:val="24"/>
        </w:rPr>
      </w:pPr>
      <w:r>
        <w:rPr>
          <w:rFonts w:hint="eastAsia" w:ascii="宋体" w:hAnsi="宋体"/>
          <w:sz w:val="24"/>
        </w:rPr>
        <w:t>24.4.7  当合同双方中的任一方对调解人（或机构）的调解书有异议时，应在收到调解书后约定的时间内提出异议的事项和理由。当调解人（或机构）已就争议事项向合同双方提交了调解书，而任一方在收到调解书后的约定时间内未发出表示异议的通知时，视为已认可调解书。</w:t>
      </w:r>
    </w:p>
    <w:p w14:paraId="749E8049">
      <w:pPr>
        <w:wordWrap w:val="0"/>
        <w:spacing w:line="360" w:lineRule="auto"/>
        <w:ind w:firstLine="480" w:firstLineChars="200"/>
        <w:rPr>
          <w:rFonts w:ascii="宋体" w:hAnsi="宋体"/>
          <w:sz w:val="24"/>
        </w:rPr>
      </w:pPr>
      <w:r>
        <w:rPr>
          <w:rFonts w:hint="eastAsia" w:ascii="宋体" w:hAnsi="宋体"/>
          <w:sz w:val="24"/>
        </w:rPr>
        <w:t>24.4.</w:t>
      </w:r>
      <w:bookmarkStart w:id="2581" w:name="_Hlk201763219"/>
      <w:r>
        <w:rPr>
          <w:rFonts w:hint="eastAsia" w:ascii="宋体" w:hAnsi="宋体"/>
          <w:sz w:val="24"/>
        </w:rPr>
        <w:t>8  合同双方未共同签字确认的调解书，除调解协议另有约定或罚解书在仲裁裁决、诉讼判决中予以确认外，对合同双方均不应具有约束力。</w:t>
      </w:r>
    </w:p>
    <w:bookmarkEnd w:id="2581"/>
    <w:p w14:paraId="7FAC6EEC">
      <w:pPr>
        <w:wordWrap w:val="0"/>
        <w:spacing w:before="120" w:beforeLines="50" w:after="120" w:afterLines="50" w:line="360" w:lineRule="auto"/>
        <w:outlineLvl w:val="2"/>
        <w:rPr>
          <w:rFonts w:ascii="宋体"/>
          <w:kern w:val="0"/>
          <w:sz w:val="24"/>
          <w:szCs w:val="20"/>
        </w:rPr>
      </w:pPr>
      <w:bookmarkStart w:id="2582" w:name="_Toc207289742"/>
      <w:r>
        <w:rPr>
          <w:rFonts w:ascii="宋体"/>
          <w:kern w:val="0"/>
          <w:sz w:val="24"/>
          <w:szCs w:val="20"/>
        </w:rPr>
        <w:t>24.</w:t>
      </w:r>
      <w:r>
        <w:rPr>
          <w:rFonts w:hint="eastAsia" w:ascii="宋体"/>
          <w:kern w:val="0"/>
          <w:sz w:val="24"/>
          <w:szCs w:val="20"/>
        </w:rPr>
        <w:t>5</w:t>
      </w:r>
      <w:r>
        <w:rPr>
          <w:rFonts w:ascii="宋体"/>
          <w:kern w:val="0"/>
          <w:sz w:val="24"/>
          <w:szCs w:val="20"/>
        </w:rPr>
        <w:t xml:space="preserve">  </w:t>
      </w:r>
      <w:r>
        <w:rPr>
          <w:rFonts w:hint="eastAsia" w:ascii="宋体"/>
          <w:kern w:val="0"/>
          <w:sz w:val="24"/>
          <w:szCs w:val="20"/>
        </w:rPr>
        <w:t>仲裁与诉讼</w:t>
      </w:r>
      <w:bookmarkEnd w:id="2582"/>
    </w:p>
    <w:p w14:paraId="15283E10">
      <w:pPr>
        <w:wordWrap w:val="0"/>
        <w:spacing w:line="360" w:lineRule="auto"/>
        <w:ind w:firstLine="480" w:firstLineChars="200"/>
        <w:rPr>
          <w:rFonts w:ascii="宋体"/>
          <w:sz w:val="24"/>
        </w:rPr>
      </w:pPr>
      <w:r>
        <w:rPr>
          <w:rFonts w:hint="eastAsia" w:ascii="宋体"/>
          <w:sz w:val="24"/>
        </w:rPr>
        <w:t>24.5.1  如果合同双方按24.1款约定采用仲裁或诉讼方式解决争议事项的，在仲裁委员会裁决或人民法院判决前，合同双方可按仲裁委员会或人民法院的调解程序和方法进行调解。</w:t>
      </w:r>
    </w:p>
    <w:p w14:paraId="43E195B3">
      <w:pPr>
        <w:wordWrap w:val="0"/>
        <w:spacing w:line="360" w:lineRule="auto"/>
        <w:ind w:firstLine="480" w:firstLineChars="200"/>
        <w:rPr>
          <w:rFonts w:ascii="宋体"/>
          <w:sz w:val="24"/>
        </w:rPr>
      </w:pPr>
      <w:r>
        <w:rPr>
          <w:rFonts w:hint="eastAsia" w:ascii="宋体"/>
          <w:sz w:val="24"/>
        </w:rPr>
        <w:t>24.5.2  合同双方各自的义务不因在工程实施期间进行仲裁或诉讼而改变。当仲裁或诉讼时，按仲裁委员会或人民法院要求停止施工的，承包人应对合同工程采取保护措施，由此增加的费用应由败诉方承担，或按责任分担。</w:t>
      </w:r>
    </w:p>
    <w:p w14:paraId="4038BC1C">
      <w:pPr>
        <w:wordWrap w:val="0"/>
        <w:spacing w:line="360" w:lineRule="auto"/>
        <w:ind w:firstLine="480" w:firstLineChars="200"/>
        <w:rPr>
          <w:rFonts w:ascii="宋体"/>
          <w:sz w:val="24"/>
        </w:rPr>
      </w:pPr>
      <w:r>
        <w:rPr>
          <w:rFonts w:hint="eastAsia" w:ascii="宋体"/>
          <w:sz w:val="24"/>
        </w:rPr>
        <w:t>24.5.3  合同双方中的任一方未能遵守双方确认的争议评审意见或调解书的，另一方可按合同约定的争议解决方式将争议事项提交仲裁或诉讼。</w:t>
      </w:r>
    </w:p>
    <w:p w14:paraId="5B954DF8">
      <w:pPr>
        <w:wordWrap w:val="0"/>
        <w:spacing w:line="360" w:lineRule="auto"/>
        <w:ind w:firstLine="480" w:firstLineChars="200"/>
        <w:rPr>
          <w:rFonts w:ascii="宋体"/>
          <w:sz w:val="24"/>
        </w:rPr>
      </w:pPr>
      <w:r>
        <w:rPr>
          <w:rFonts w:ascii="宋体"/>
          <w:sz w:val="24"/>
        </w:rPr>
        <w:t xml:space="preserve">24.5.4  </w:t>
      </w:r>
      <w:r>
        <w:rPr>
          <w:rFonts w:hint="eastAsia" w:ascii="宋体"/>
          <w:sz w:val="24"/>
        </w:rPr>
        <w:t>仲裁或诉讼的最终决定，对合同双方均有约束力，应共同遵守。</w:t>
      </w:r>
      <w:bookmarkEnd w:id="2563"/>
      <w:bookmarkEnd w:id="2575"/>
      <w:bookmarkEnd w:id="2578"/>
    </w:p>
    <w:p w14:paraId="09DD0E18">
      <w:pPr>
        <w:tabs>
          <w:tab w:val="left" w:pos="567"/>
        </w:tabs>
        <w:wordWrap w:val="0"/>
        <w:autoSpaceDE w:val="0"/>
        <w:autoSpaceDN w:val="0"/>
        <w:adjustRightInd w:val="0"/>
        <w:snapToGrid w:val="0"/>
        <w:spacing w:before="137" w:line="360" w:lineRule="auto"/>
        <w:jc w:val="center"/>
        <w:textAlignment w:val="baseline"/>
        <w:outlineLvl w:val="0"/>
        <w:rPr>
          <w:rFonts w:cs="宋体"/>
          <w:sz w:val="49"/>
          <w:szCs w:val="49"/>
        </w:rPr>
        <w:sectPr>
          <w:headerReference r:id="rId11" w:type="default"/>
          <w:footerReference r:id="rId12" w:type="default"/>
          <w:pgSz w:w="11900" w:h="16840"/>
          <w:pgMar w:top="1440" w:right="1800" w:bottom="1440" w:left="1800" w:header="0" w:footer="0" w:gutter="0"/>
          <w:cols w:space="720" w:num="1"/>
        </w:sectPr>
      </w:pPr>
    </w:p>
    <w:p w14:paraId="007270E2">
      <w:pPr>
        <w:tabs>
          <w:tab w:val="left" w:pos="567"/>
        </w:tabs>
        <w:wordWrap w:val="0"/>
        <w:autoSpaceDE w:val="0"/>
        <w:autoSpaceDN w:val="0"/>
        <w:adjustRightInd w:val="0"/>
        <w:snapToGrid w:val="0"/>
        <w:spacing w:before="137" w:line="360" w:lineRule="auto"/>
        <w:jc w:val="center"/>
        <w:textAlignment w:val="baseline"/>
        <w:outlineLvl w:val="0"/>
        <w:rPr>
          <w:rFonts w:ascii="宋体" w:hAnsi="宋体" w:cs="宋体"/>
          <w:sz w:val="49"/>
          <w:szCs w:val="49"/>
        </w:rPr>
      </w:pPr>
      <w:r>
        <w:rPr>
          <w:rFonts w:hint="eastAsia" w:ascii="宋体" w:hAnsi="宋体" w:cs="宋体"/>
          <w:sz w:val="49"/>
          <w:szCs w:val="49"/>
        </w:rPr>
        <w:t>合同条款专用部分</w:t>
      </w:r>
    </w:p>
    <w:p w14:paraId="4161507D">
      <w:pPr>
        <w:tabs>
          <w:tab w:val="left" w:pos="567"/>
        </w:tabs>
        <w:wordWrap w:val="0"/>
        <w:autoSpaceDE w:val="0"/>
        <w:autoSpaceDN w:val="0"/>
        <w:adjustRightInd w:val="0"/>
        <w:snapToGrid w:val="0"/>
        <w:spacing w:before="129" w:line="360" w:lineRule="auto"/>
        <w:ind w:left="22"/>
        <w:textAlignment w:val="baseline"/>
        <w:outlineLvl w:val="1"/>
        <w:rPr>
          <w:rFonts w:ascii="宋体" w:hAnsi="宋体" w:cs="宋体"/>
          <w:sz w:val="30"/>
          <w:szCs w:val="30"/>
        </w:rPr>
      </w:pPr>
      <w:r>
        <w:rPr>
          <w:rFonts w:hint="eastAsia" w:ascii="宋体" w:hAnsi="宋体" w:cs="宋体"/>
          <w:sz w:val="30"/>
          <w:szCs w:val="30"/>
        </w:rPr>
        <w:t>1.一般约定</w:t>
      </w:r>
    </w:p>
    <w:p w14:paraId="4D59A2B4">
      <w:pPr>
        <w:tabs>
          <w:tab w:val="left" w:pos="567"/>
        </w:tabs>
        <w:wordWrap w:val="0"/>
        <w:autoSpaceDE w:val="0"/>
        <w:autoSpaceDN w:val="0"/>
        <w:adjustRightInd w:val="0"/>
        <w:snapToGrid w:val="0"/>
        <w:spacing w:before="103" w:line="360" w:lineRule="auto"/>
        <w:ind w:left="15"/>
        <w:textAlignment w:val="baseline"/>
        <w:outlineLvl w:val="2"/>
        <w:rPr>
          <w:rFonts w:ascii="宋体" w:hAnsi="宋体" w:cs="宋体"/>
          <w:sz w:val="24"/>
        </w:rPr>
      </w:pPr>
      <w:r>
        <w:rPr>
          <w:rFonts w:hint="eastAsia" w:ascii="宋体" w:hAnsi="宋体" w:cs="宋体"/>
          <w:sz w:val="24"/>
        </w:rPr>
        <w:t>1.1   词语定义</w:t>
      </w:r>
    </w:p>
    <w:p w14:paraId="02C3A9C9">
      <w:pPr>
        <w:tabs>
          <w:tab w:val="left" w:pos="567"/>
        </w:tabs>
        <w:wordWrap w:val="0"/>
        <w:autoSpaceDE w:val="0"/>
        <w:autoSpaceDN w:val="0"/>
        <w:adjustRightInd w:val="0"/>
        <w:snapToGrid w:val="0"/>
        <w:spacing w:before="90" w:line="360" w:lineRule="auto"/>
        <w:ind w:left="432"/>
        <w:textAlignment w:val="baseline"/>
        <w:rPr>
          <w:rFonts w:ascii="宋体" w:hAnsi="宋体" w:cs="宋体"/>
          <w:sz w:val="24"/>
        </w:rPr>
      </w:pPr>
      <w:r>
        <w:rPr>
          <w:rFonts w:hint="eastAsia" w:ascii="宋体" w:hAnsi="宋体" w:cs="宋体"/>
          <w:sz w:val="24"/>
        </w:rPr>
        <w:t>1.1.2   合同当事人和人员</w:t>
      </w:r>
    </w:p>
    <w:p w14:paraId="2755480E">
      <w:pPr>
        <w:tabs>
          <w:tab w:val="left" w:pos="567"/>
        </w:tabs>
        <w:wordWrap w:val="0"/>
        <w:autoSpaceDE w:val="0"/>
        <w:autoSpaceDN w:val="0"/>
        <w:adjustRightInd w:val="0"/>
        <w:snapToGrid w:val="0"/>
        <w:spacing w:before="103" w:line="360" w:lineRule="auto"/>
        <w:ind w:left="642"/>
        <w:textAlignment w:val="baseline"/>
        <w:rPr>
          <w:rFonts w:ascii="宋体" w:hAnsi="宋体" w:cs="宋体"/>
          <w:sz w:val="24"/>
        </w:rPr>
      </w:pPr>
      <w:r>
        <w:rPr>
          <w:rFonts w:hint="eastAsia" w:ascii="宋体" w:hAnsi="宋体" w:cs="宋体"/>
          <w:sz w:val="24"/>
        </w:rPr>
        <w:t>1.1.2.2   发包人：</w:t>
      </w:r>
      <w:r>
        <w:rPr>
          <w:rFonts w:hint="eastAsia" w:ascii="宋体" w:hAnsi="宋体" w:cs="宋体"/>
          <w:sz w:val="24"/>
          <w:u w:val="single"/>
        </w:rPr>
        <w:t>北京市昌平区教育委员会</w:t>
      </w:r>
    </w:p>
    <w:p w14:paraId="0DBA183C">
      <w:pPr>
        <w:tabs>
          <w:tab w:val="left" w:pos="567"/>
        </w:tabs>
        <w:wordWrap w:val="0"/>
        <w:autoSpaceDE w:val="0"/>
        <w:autoSpaceDN w:val="0"/>
        <w:adjustRightInd w:val="0"/>
        <w:snapToGrid w:val="0"/>
        <w:spacing w:before="104" w:line="360" w:lineRule="auto"/>
        <w:ind w:left="642"/>
        <w:textAlignment w:val="baseline"/>
        <w:rPr>
          <w:rFonts w:ascii="宋体" w:hAnsi="宋体" w:cs="宋体"/>
          <w:sz w:val="24"/>
        </w:rPr>
      </w:pPr>
      <w:r>
        <w:rPr>
          <w:rFonts w:hint="eastAsia" w:ascii="宋体" w:hAnsi="宋体" w:cs="宋体"/>
          <w:sz w:val="24"/>
        </w:rPr>
        <w:t>1.1.2.3   承包人：</w:t>
      </w:r>
      <w:r>
        <w:rPr>
          <w:rFonts w:hint="eastAsia" w:ascii="宋体" w:hAnsi="宋体" w:cs="宋体"/>
          <w:sz w:val="24"/>
          <w:u w:val="single"/>
        </w:rPr>
        <w:t>待定</w:t>
      </w:r>
    </w:p>
    <w:p w14:paraId="3740636E">
      <w:pPr>
        <w:tabs>
          <w:tab w:val="left" w:pos="567"/>
        </w:tabs>
        <w:wordWrap w:val="0"/>
        <w:autoSpaceDE w:val="0"/>
        <w:autoSpaceDN w:val="0"/>
        <w:adjustRightInd w:val="0"/>
        <w:snapToGrid w:val="0"/>
        <w:spacing w:before="102" w:line="360" w:lineRule="auto"/>
        <w:ind w:left="642"/>
        <w:textAlignment w:val="baseline"/>
        <w:rPr>
          <w:rFonts w:ascii="宋体" w:hAnsi="宋体" w:cs="宋体"/>
          <w:sz w:val="24"/>
        </w:rPr>
      </w:pPr>
      <w:r>
        <w:rPr>
          <w:rFonts w:hint="eastAsia" w:ascii="宋体" w:hAnsi="宋体" w:cs="宋体"/>
          <w:sz w:val="24"/>
        </w:rPr>
        <w:t>1.1.2.6   监理人：</w:t>
      </w:r>
      <w:r>
        <w:rPr>
          <w:rFonts w:hint="eastAsia" w:ascii="宋体" w:hAnsi="宋体" w:cs="宋体"/>
          <w:sz w:val="24"/>
          <w:u w:val="single"/>
        </w:rPr>
        <w:t>待定</w:t>
      </w:r>
    </w:p>
    <w:p w14:paraId="3C333E31">
      <w:pPr>
        <w:tabs>
          <w:tab w:val="left" w:pos="567"/>
        </w:tabs>
        <w:wordWrap w:val="0"/>
        <w:autoSpaceDE w:val="0"/>
        <w:autoSpaceDN w:val="0"/>
        <w:adjustRightInd w:val="0"/>
        <w:snapToGrid w:val="0"/>
        <w:spacing w:before="83" w:line="360" w:lineRule="auto"/>
        <w:ind w:left="642"/>
        <w:textAlignment w:val="baseline"/>
        <w:rPr>
          <w:rFonts w:ascii="宋体" w:hAnsi="宋体" w:cs="宋体"/>
          <w:sz w:val="24"/>
        </w:rPr>
      </w:pPr>
      <w:r>
        <w:rPr>
          <w:rFonts w:hint="eastAsia" w:ascii="宋体" w:hAnsi="宋体" w:cs="宋体"/>
          <w:sz w:val="24"/>
        </w:rPr>
        <w:t>1.1.2.8   发包人代表：</w:t>
      </w:r>
    </w:p>
    <w:p w14:paraId="14E59F5E">
      <w:pPr>
        <w:tabs>
          <w:tab w:val="left" w:pos="567"/>
        </w:tabs>
        <w:wordWrap w:val="0"/>
        <w:autoSpaceDE w:val="0"/>
        <w:autoSpaceDN w:val="0"/>
        <w:adjustRightInd w:val="0"/>
        <w:snapToGrid w:val="0"/>
        <w:spacing w:before="102" w:line="360" w:lineRule="auto"/>
        <w:ind w:left="1571"/>
        <w:textAlignment w:val="baseline"/>
        <w:rPr>
          <w:rFonts w:ascii="宋体" w:hAnsi="宋体" w:cs="宋体"/>
          <w:sz w:val="24"/>
        </w:rPr>
      </w:pPr>
      <w:r>
        <w:rPr>
          <w:rFonts w:hint="eastAsia" w:ascii="宋体" w:hAnsi="宋体" w:cs="宋体"/>
          <w:sz w:val="24"/>
        </w:rPr>
        <w:t>姓      名 ：</w:t>
      </w:r>
      <w:r>
        <w:rPr>
          <w:rFonts w:hint="eastAsia" w:ascii="宋体" w:hAnsi="宋体" w:cs="宋体"/>
          <w:sz w:val="24"/>
          <w:u w:val="single"/>
        </w:rPr>
        <w:t>待定</w:t>
      </w:r>
    </w:p>
    <w:p w14:paraId="481F8A27">
      <w:pPr>
        <w:tabs>
          <w:tab w:val="left" w:pos="567"/>
        </w:tabs>
        <w:wordWrap w:val="0"/>
        <w:autoSpaceDE w:val="0"/>
        <w:autoSpaceDN w:val="0"/>
        <w:adjustRightInd w:val="0"/>
        <w:snapToGrid w:val="0"/>
        <w:spacing w:before="103" w:line="360" w:lineRule="auto"/>
        <w:ind w:left="1572"/>
        <w:textAlignment w:val="baseline"/>
        <w:rPr>
          <w:rFonts w:ascii="宋体" w:hAnsi="宋体" w:cs="宋体"/>
          <w:sz w:val="24"/>
        </w:rPr>
      </w:pPr>
      <w:r>
        <w:rPr>
          <w:rFonts w:hint="eastAsia" w:ascii="宋体" w:hAnsi="宋体" w:cs="宋体"/>
          <w:sz w:val="24"/>
        </w:rPr>
        <w:t>职       称 ：</w:t>
      </w:r>
      <w:r>
        <w:rPr>
          <w:rFonts w:hint="eastAsia" w:ascii="宋体" w:hAnsi="宋体" w:cs="宋体"/>
          <w:sz w:val="24"/>
          <w:u w:val="single"/>
        </w:rPr>
        <w:t>/</w:t>
      </w:r>
    </w:p>
    <w:p w14:paraId="7D03CC10">
      <w:pPr>
        <w:tabs>
          <w:tab w:val="left" w:pos="567"/>
        </w:tabs>
        <w:wordWrap w:val="0"/>
        <w:autoSpaceDE w:val="0"/>
        <w:autoSpaceDN w:val="0"/>
        <w:adjustRightInd w:val="0"/>
        <w:snapToGrid w:val="0"/>
        <w:spacing w:before="101" w:line="360" w:lineRule="auto"/>
        <w:ind w:left="1572"/>
        <w:textAlignment w:val="baseline"/>
        <w:rPr>
          <w:rFonts w:ascii="宋体" w:hAnsi="宋体" w:cs="宋体"/>
          <w:sz w:val="24"/>
        </w:rPr>
      </w:pPr>
      <w:r>
        <w:rPr>
          <w:rFonts w:hint="eastAsia" w:ascii="宋体" w:hAnsi="宋体" w:cs="宋体"/>
          <w:sz w:val="24"/>
        </w:rPr>
        <w:t>联系电话：</w:t>
      </w:r>
      <w:r>
        <w:rPr>
          <w:rFonts w:hint="eastAsia" w:ascii="宋体" w:hAnsi="宋体" w:cs="宋体"/>
          <w:sz w:val="24"/>
          <w:u w:val="single"/>
        </w:rPr>
        <w:t>/</w:t>
      </w:r>
    </w:p>
    <w:p w14:paraId="15B8701C">
      <w:pPr>
        <w:tabs>
          <w:tab w:val="left" w:pos="567"/>
        </w:tabs>
        <w:wordWrap w:val="0"/>
        <w:autoSpaceDE w:val="0"/>
        <w:autoSpaceDN w:val="0"/>
        <w:adjustRightInd w:val="0"/>
        <w:snapToGrid w:val="0"/>
        <w:spacing w:before="101" w:line="360" w:lineRule="auto"/>
        <w:ind w:left="1595"/>
        <w:textAlignment w:val="baseline"/>
        <w:rPr>
          <w:rFonts w:ascii="宋体" w:hAnsi="宋体" w:cs="宋体"/>
          <w:sz w:val="24"/>
        </w:rPr>
      </w:pPr>
      <w:r>
        <w:rPr>
          <w:rFonts w:hint="eastAsia" w:ascii="宋体" w:hAnsi="宋体" w:cs="宋体"/>
          <w:sz w:val="24"/>
        </w:rPr>
        <w:t>电子信箱：</w:t>
      </w:r>
      <w:r>
        <w:rPr>
          <w:rFonts w:hint="eastAsia" w:ascii="宋体" w:hAnsi="宋体" w:cs="宋体"/>
          <w:sz w:val="24"/>
          <w:u w:val="single"/>
        </w:rPr>
        <w:t>/</w:t>
      </w:r>
    </w:p>
    <w:p w14:paraId="5FB1A408">
      <w:pPr>
        <w:tabs>
          <w:tab w:val="left" w:pos="567"/>
        </w:tabs>
        <w:wordWrap w:val="0"/>
        <w:autoSpaceDE w:val="0"/>
        <w:autoSpaceDN w:val="0"/>
        <w:adjustRightInd w:val="0"/>
        <w:snapToGrid w:val="0"/>
        <w:spacing w:before="101" w:line="360" w:lineRule="auto"/>
        <w:ind w:left="1571"/>
        <w:textAlignment w:val="baseline"/>
        <w:rPr>
          <w:rFonts w:ascii="宋体" w:hAnsi="宋体" w:cs="宋体"/>
          <w:sz w:val="24"/>
        </w:rPr>
      </w:pPr>
      <w:r>
        <w:rPr>
          <w:rFonts w:hint="eastAsia" w:ascii="宋体" w:hAnsi="宋体" w:cs="宋体"/>
          <w:sz w:val="24"/>
        </w:rPr>
        <w:t>通信地址：</w:t>
      </w:r>
      <w:r>
        <w:rPr>
          <w:rFonts w:hint="eastAsia" w:ascii="宋体" w:hAnsi="宋体" w:cs="宋体"/>
          <w:sz w:val="24"/>
          <w:u w:val="single"/>
        </w:rPr>
        <w:t>/</w:t>
      </w:r>
    </w:p>
    <w:p w14:paraId="3CEEBA25">
      <w:pPr>
        <w:tabs>
          <w:tab w:val="left" w:pos="567"/>
        </w:tabs>
        <w:wordWrap w:val="0"/>
        <w:autoSpaceDE w:val="0"/>
        <w:autoSpaceDN w:val="0"/>
        <w:adjustRightInd w:val="0"/>
        <w:snapToGrid w:val="0"/>
        <w:spacing w:before="81" w:line="360" w:lineRule="auto"/>
        <w:ind w:left="432"/>
        <w:textAlignment w:val="baseline"/>
        <w:rPr>
          <w:rFonts w:ascii="宋体" w:hAnsi="宋体" w:cs="宋体"/>
          <w:sz w:val="24"/>
        </w:rPr>
      </w:pPr>
      <w:r>
        <w:rPr>
          <w:rFonts w:hint="eastAsia" w:ascii="宋体" w:hAnsi="宋体" w:cs="宋体"/>
          <w:sz w:val="24"/>
        </w:rPr>
        <w:t>1.1.3   工程和设备</w:t>
      </w:r>
    </w:p>
    <w:p w14:paraId="2D680538">
      <w:pPr>
        <w:tabs>
          <w:tab w:val="left" w:pos="567"/>
        </w:tabs>
        <w:wordWrap w:val="0"/>
        <w:autoSpaceDE w:val="0"/>
        <w:autoSpaceDN w:val="0"/>
        <w:adjustRightInd w:val="0"/>
        <w:snapToGrid w:val="0"/>
        <w:spacing w:before="101" w:line="360" w:lineRule="auto"/>
        <w:ind w:left="642"/>
        <w:textAlignment w:val="baseline"/>
        <w:rPr>
          <w:rFonts w:ascii="宋体" w:hAnsi="宋体" w:cs="宋体"/>
          <w:sz w:val="24"/>
        </w:rPr>
      </w:pPr>
      <w:r>
        <w:rPr>
          <w:rFonts w:hint="eastAsia" w:ascii="宋体" w:hAnsi="宋体" w:cs="宋体"/>
          <w:sz w:val="24"/>
        </w:rPr>
        <w:t>1.1.3.2   永久工程：</w:t>
      </w:r>
      <w:r>
        <w:rPr>
          <w:rFonts w:hint="eastAsia" w:ascii="宋体" w:hAnsi="宋体" w:cs="宋体"/>
          <w:sz w:val="24"/>
          <w:u w:val="single"/>
        </w:rPr>
        <w:t xml:space="preserve">基建科暑期修缮项目-                      </w:t>
      </w:r>
    </w:p>
    <w:p w14:paraId="0A9CFEC7">
      <w:pPr>
        <w:tabs>
          <w:tab w:val="left" w:pos="567"/>
        </w:tabs>
        <w:wordWrap w:val="0"/>
        <w:autoSpaceDE w:val="0"/>
        <w:autoSpaceDN w:val="0"/>
        <w:adjustRightInd w:val="0"/>
        <w:snapToGrid w:val="0"/>
        <w:spacing w:before="103" w:line="360" w:lineRule="auto"/>
        <w:ind w:firstLine="642"/>
        <w:textAlignment w:val="baseline"/>
        <w:rPr>
          <w:rFonts w:ascii="宋体" w:hAnsi="宋体" w:cs="宋体"/>
          <w:sz w:val="24"/>
        </w:rPr>
      </w:pPr>
      <w:r>
        <w:rPr>
          <w:rFonts w:hint="eastAsia" w:ascii="宋体" w:hAnsi="宋体" w:cs="宋体"/>
          <w:sz w:val="24"/>
        </w:rPr>
        <w:t xml:space="preserve">1.1.3.3   临时工程： </w:t>
      </w:r>
      <w:r>
        <w:rPr>
          <w:rFonts w:hint="eastAsia" w:ascii="宋体" w:hAnsi="宋体" w:cs="宋体"/>
          <w:sz w:val="24"/>
          <w:u w:val="single"/>
        </w:rPr>
        <w:t>临时性道路、施工临时上下水工程、施工临时供电工程、临建设施等内容 ，承包人结合现场实际情况及编制的施工组织自行确定</w:t>
      </w:r>
    </w:p>
    <w:p w14:paraId="43E6CC12">
      <w:pPr>
        <w:tabs>
          <w:tab w:val="left" w:pos="567"/>
        </w:tabs>
        <w:wordWrap w:val="0"/>
        <w:autoSpaceDE w:val="0"/>
        <w:autoSpaceDN w:val="0"/>
        <w:adjustRightInd w:val="0"/>
        <w:snapToGrid w:val="0"/>
        <w:spacing w:before="105" w:line="360" w:lineRule="auto"/>
        <w:ind w:left="642"/>
        <w:textAlignment w:val="baseline"/>
        <w:rPr>
          <w:rFonts w:ascii="宋体" w:hAnsi="宋体" w:cs="宋体"/>
          <w:sz w:val="24"/>
        </w:rPr>
      </w:pPr>
      <w:r>
        <w:rPr>
          <w:rFonts w:hint="eastAsia" w:ascii="宋体" w:hAnsi="宋体" w:cs="宋体"/>
          <w:sz w:val="24"/>
        </w:rPr>
        <w:t>1.1.3.10   永久占地：</w:t>
      </w:r>
      <w:r>
        <w:rPr>
          <w:rFonts w:hint="eastAsia" w:ascii="宋体" w:hAnsi="宋体" w:cs="宋体"/>
          <w:sz w:val="24"/>
          <w:u w:val="single"/>
        </w:rPr>
        <w:t>/</w:t>
      </w:r>
    </w:p>
    <w:p w14:paraId="082F95BA">
      <w:pPr>
        <w:tabs>
          <w:tab w:val="left" w:pos="567"/>
        </w:tabs>
        <w:wordWrap w:val="0"/>
        <w:autoSpaceDE w:val="0"/>
        <w:autoSpaceDN w:val="0"/>
        <w:adjustRightInd w:val="0"/>
        <w:snapToGrid w:val="0"/>
        <w:spacing w:before="99" w:line="360" w:lineRule="auto"/>
        <w:ind w:left="642"/>
        <w:textAlignment w:val="baseline"/>
        <w:rPr>
          <w:rFonts w:ascii="宋体" w:hAnsi="宋体" w:cs="宋体"/>
          <w:sz w:val="24"/>
        </w:rPr>
      </w:pPr>
      <w:r>
        <w:rPr>
          <w:rFonts w:hint="eastAsia" w:ascii="宋体" w:hAnsi="宋体" w:cs="宋体"/>
          <w:sz w:val="24"/>
        </w:rPr>
        <w:t>1.1.3.11   临时占地：</w:t>
      </w:r>
      <w:r>
        <w:rPr>
          <w:rFonts w:hint="eastAsia" w:ascii="宋体" w:hAnsi="宋体" w:cs="宋体"/>
          <w:sz w:val="24"/>
          <w:u w:val="single"/>
        </w:rPr>
        <w:t>承包人应结合现场实际情况及组织方案自行确定</w:t>
      </w:r>
    </w:p>
    <w:p w14:paraId="248FA31D">
      <w:pPr>
        <w:tabs>
          <w:tab w:val="left" w:pos="567"/>
        </w:tabs>
        <w:wordWrap w:val="0"/>
        <w:autoSpaceDE w:val="0"/>
        <w:autoSpaceDN w:val="0"/>
        <w:adjustRightInd w:val="0"/>
        <w:snapToGrid w:val="0"/>
        <w:spacing w:before="84" w:line="360" w:lineRule="auto"/>
        <w:ind w:left="432"/>
        <w:textAlignment w:val="baseline"/>
        <w:rPr>
          <w:rFonts w:ascii="宋体" w:hAnsi="宋体" w:cs="宋体"/>
          <w:sz w:val="24"/>
        </w:rPr>
      </w:pPr>
      <w:r>
        <w:rPr>
          <w:rFonts w:hint="eastAsia" w:ascii="宋体" w:hAnsi="宋体" w:cs="宋体"/>
          <w:sz w:val="24"/>
        </w:rPr>
        <w:t>1.1.4    日期</w:t>
      </w:r>
    </w:p>
    <w:p w14:paraId="35715F43">
      <w:pPr>
        <w:tabs>
          <w:tab w:val="left" w:pos="567"/>
        </w:tabs>
        <w:wordWrap w:val="0"/>
        <w:autoSpaceDE w:val="0"/>
        <w:autoSpaceDN w:val="0"/>
        <w:adjustRightInd w:val="0"/>
        <w:snapToGrid w:val="0"/>
        <w:spacing w:before="103" w:line="360" w:lineRule="auto"/>
        <w:ind w:left="642"/>
        <w:textAlignment w:val="baseline"/>
        <w:rPr>
          <w:rFonts w:ascii="宋体" w:hAnsi="宋体" w:cs="宋体"/>
          <w:sz w:val="24"/>
        </w:rPr>
      </w:pPr>
      <w:r>
        <w:rPr>
          <w:rFonts w:hint="eastAsia" w:ascii="宋体" w:hAnsi="宋体" w:cs="宋体"/>
          <w:sz w:val="24"/>
        </w:rPr>
        <w:t>1.1.4.5</w:t>
      </w:r>
      <w:r>
        <w:rPr>
          <w:rFonts w:hint="eastAsia" w:ascii="宋体" w:hAnsi="宋体" w:cs="宋体"/>
          <w:w w:val="101"/>
          <w:sz w:val="24"/>
        </w:rPr>
        <w:t xml:space="preserve">   </w:t>
      </w:r>
      <w:r>
        <w:rPr>
          <w:rFonts w:hint="eastAsia" w:ascii="宋体" w:hAnsi="宋体" w:cs="宋体"/>
          <w:sz w:val="24"/>
        </w:rPr>
        <w:t>缺陷责任期期限：</w:t>
      </w:r>
      <w:r>
        <w:rPr>
          <w:rFonts w:hint="eastAsia" w:ascii="宋体" w:hAnsi="宋体" w:cs="宋体"/>
          <w:sz w:val="24"/>
          <w:u w:val="single"/>
        </w:rPr>
        <w:t>24个</w:t>
      </w:r>
      <w:r>
        <w:rPr>
          <w:rFonts w:hint="eastAsia" w:ascii="宋体" w:hAnsi="宋体" w:cs="宋体"/>
          <w:sz w:val="24"/>
        </w:rPr>
        <w:t>月。</w:t>
      </w:r>
    </w:p>
    <w:p w14:paraId="59604B01">
      <w:pPr>
        <w:tabs>
          <w:tab w:val="left" w:pos="567"/>
        </w:tabs>
        <w:wordWrap w:val="0"/>
        <w:autoSpaceDE w:val="0"/>
        <w:autoSpaceDN w:val="0"/>
        <w:adjustRightInd w:val="0"/>
        <w:snapToGrid w:val="0"/>
        <w:spacing w:before="103" w:line="360" w:lineRule="auto"/>
        <w:ind w:firstLine="480" w:firstLineChars="200"/>
        <w:textAlignment w:val="baseline"/>
        <w:rPr>
          <w:rFonts w:ascii="宋体" w:hAnsi="宋体" w:cs="宋体"/>
          <w:sz w:val="24"/>
        </w:rPr>
      </w:pPr>
      <w:r>
        <w:rPr>
          <w:rFonts w:hint="eastAsia" w:ascii="宋体" w:hAnsi="宋体" w:cs="宋体"/>
          <w:sz w:val="24"/>
        </w:rPr>
        <w:t>缺陷责任期内，承包人负有修复缺陷的义务，发包人有权扣留质量保证金；保修期内承包人负有保修义务。缺陷责任期届满不影响发包人向承包人主张保修责任的权利。</w:t>
      </w:r>
    </w:p>
    <w:p w14:paraId="5E2A5202">
      <w:pPr>
        <w:tabs>
          <w:tab w:val="left" w:pos="567"/>
        </w:tabs>
        <w:wordWrap w:val="0"/>
        <w:autoSpaceDE w:val="0"/>
        <w:autoSpaceDN w:val="0"/>
        <w:adjustRightInd w:val="0"/>
        <w:snapToGrid w:val="0"/>
        <w:spacing w:before="100" w:line="360" w:lineRule="auto"/>
        <w:ind w:left="642"/>
        <w:textAlignment w:val="baseline"/>
        <w:rPr>
          <w:rFonts w:ascii="宋体" w:hAnsi="宋体" w:cs="宋体"/>
          <w:sz w:val="24"/>
        </w:rPr>
      </w:pPr>
      <w:r>
        <w:rPr>
          <w:rFonts w:hint="eastAsia" w:ascii="宋体" w:hAnsi="宋体" w:cs="宋体"/>
          <w:sz w:val="24"/>
        </w:rPr>
        <w:t>1.1.4.6   基准日期：</w:t>
      </w:r>
      <w:r>
        <w:rPr>
          <w:rFonts w:hint="eastAsia" w:ascii="宋体" w:hAnsi="宋体" w:cs="宋体"/>
          <w:sz w:val="24"/>
          <w:u w:val="single"/>
        </w:rPr>
        <w:t>/</w:t>
      </w:r>
    </w:p>
    <w:p w14:paraId="1898FF1B">
      <w:pPr>
        <w:tabs>
          <w:tab w:val="left" w:pos="567"/>
        </w:tabs>
        <w:wordWrap w:val="0"/>
        <w:autoSpaceDE w:val="0"/>
        <w:autoSpaceDN w:val="0"/>
        <w:adjustRightInd w:val="0"/>
        <w:snapToGrid w:val="0"/>
        <w:spacing w:before="81" w:line="360" w:lineRule="auto"/>
        <w:ind w:left="432"/>
        <w:textAlignment w:val="baseline"/>
        <w:rPr>
          <w:rFonts w:ascii="宋体" w:hAnsi="宋体" w:cs="宋体"/>
          <w:sz w:val="24"/>
        </w:rPr>
      </w:pPr>
      <w:r>
        <w:rPr>
          <w:rFonts w:hint="eastAsia" w:ascii="宋体" w:hAnsi="宋体" w:cs="宋体"/>
          <w:sz w:val="24"/>
        </w:rPr>
        <w:t>1.1.8   其他需要补充的内容</w:t>
      </w:r>
    </w:p>
    <w:p w14:paraId="407F6342">
      <w:pPr>
        <w:tabs>
          <w:tab w:val="left" w:pos="567"/>
        </w:tabs>
        <w:wordWrap w:val="0"/>
        <w:autoSpaceDE w:val="0"/>
        <w:autoSpaceDN w:val="0"/>
        <w:adjustRightInd w:val="0"/>
        <w:snapToGrid w:val="0"/>
        <w:spacing w:before="82" w:line="360" w:lineRule="auto"/>
        <w:ind w:left="642"/>
        <w:textAlignment w:val="baseline"/>
        <w:rPr>
          <w:rFonts w:ascii="宋体" w:hAnsi="宋体" w:cs="宋体"/>
          <w:sz w:val="24"/>
        </w:rPr>
      </w:pPr>
      <w:r>
        <w:rPr>
          <w:rFonts w:hint="eastAsia" w:ascii="宋体" w:hAnsi="宋体" w:cs="宋体"/>
          <w:sz w:val="24"/>
        </w:rPr>
        <w:t>1.1.8.5   其他需要补充的内容：</w:t>
      </w:r>
      <w:r>
        <w:rPr>
          <w:rFonts w:hint="eastAsia" w:ascii="宋体" w:hAnsi="宋体" w:cs="宋体"/>
          <w:sz w:val="24"/>
          <w:u w:val="single"/>
        </w:rPr>
        <w:t>/</w:t>
      </w:r>
    </w:p>
    <w:p w14:paraId="720FBA82">
      <w:pPr>
        <w:tabs>
          <w:tab w:val="left" w:pos="567"/>
        </w:tabs>
        <w:wordWrap w:val="0"/>
        <w:autoSpaceDE w:val="0"/>
        <w:autoSpaceDN w:val="0"/>
        <w:adjustRightInd w:val="0"/>
        <w:snapToGrid w:val="0"/>
        <w:spacing w:before="103" w:line="360" w:lineRule="auto"/>
        <w:ind w:left="15"/>
        <w:textAlignment w:val="baseline"/>
        <w:outlineLvl w:val="2"/>
        <w:rPr>
          <w:rFonts w:ascii="宋体" w:hAnsi="宋体" w:cs="宋体"/>
          <w:sz w:val="24"/>
        </w:rPr>
      </w:pPr>
      <w:r>
        <w:rPr>
          <w:rFonts w:hint="eastAsia" w:ascii="宋体" w:hAnsi="宋体" w:cs="宋体"/>
          <w:sz w:val="24"/>
        </w:rPr>
        <w:t>1.4   合同文件的优先顺序</w:t>
      </w:r>
    </w:p>
    <w:p w14:paraId="6072FDC4">
      <w:pPr>
        <w:tabs>
          <w:tab w:val="left" w:pos="567"/>
        </w:tabs>
        <w:wordWrap w:val="0"/>
        <w:autoSpaceDE w:val="0"/>
        <w:autoSpaceDN w:val="0"/>
        <w:adjustRightInd w:val="0"/>
        <w:snapToGrid w:val="0"/>
        <w:spacing w:before="91" w:line="360" w:lineRule="auto"/>
        <w:ind w:left="477"/>
        <w:textAlignment w:val="baseline"/>
        <w:rPr>
          <w:rFonts w:ascii="宋体" w:hAnsi="宋体" w:cs="宋体"/>
          <w:sz w:val="24"/>
        </w:rPr>
      </w:pPr>
      <w:r>
        <w:rPr>
          <w:rFonts w:hint="eastAsia" w:ascii="宋体" w:hAnsi="宋体" w:cs="宋体"/>
          <w:sz w:val="24"/>
        </w:rPr>
        <w:t>合同文件的优先解释顺序如下：</w:t>
      </w:r>
    </w:p>
    <w:p w14:paraId="367E41D0">
      <w:pPr>
        <w:tabs>
          <w:tab w:val="left" w:pos="567"/>
        </w:tabs>
        <w:wordWrap w:val="0"/>
        <w:autoSpaceDE w:val="0"/>
        <w:autoSpaceDN w:val="0"/>
        <w:adjustRightInd w:val="0"/>
        <w:snapToGrid w:val="0"/>
        <w:spacing w:before="83" w:line="360" w:lineRule="auto"/>
        <w:ind w:left="480"/>
        <w:textAlignment w:val="baseline"/>
        <w:rPr>
          <w:rFonts w:ascii="宋体" w:hAnsi="宋体" w:cs="宋体"/>
          <w:sz w:val="24"/>
        </w:rPr>
      </w:pPr>
      <w:r>
        <w:rPr>
          <w:rFonts w:hint="eastAsia" w:ascii="宋体" w:hAnsi="宋体" w:cs="宋体"/>
          <w:sz w:val="24"/>
        </w:rPr>
        <w:t>（1）合同协议书；</w:t>
      </w:r>
    </w:p>
    <w:p w14:paraId="24AF9AD6">
      <w:pPr>
        <w:tabs>
          <w:tab w:val="left" w:pos="567"/>
        </w:tabs>
        <w:wordWrap w:val="0"/>
        <w:autoSpaceDE w:val="0"/>
        <w:autoSpaceDN w:val="0"/>
        <w:adjustRightInd w:val="0"/>
        <w:snapToGrid w:val="0"/>
        <w:spacing w:before="90" w:line="360" w:lineRule="auto"/>
        <w:ind w:left="480"/>
        <w:textAlignment w:val="baseline"/>
        <w:rPr>
          <w:rFonts w:ascii="宋体" w:hAnsi="宋体" w:cs="宋体"/>
          <w:sz w:val="24"/>
        </w:rPr>
      </w:pPr>
      <w:r>
        <w:rPr>
          <w:rFonts w:hint="eastAsia" w:ascii="宋体" w:hAnsi="宋体" w:cs="宋体"/>
          <w:sz w:val="24"/>
        </w:rPr>
        <w:t>（2） 中标通知书；</w:t>
      </w:r>
    </w:p>
    <w:p w14:paraId="7FD3C826">
      <w:pPr>
        <w:tabs>
          <w:tab w:val="left" w:pos="567"/>
        </w:tabs>
        <w:wordWrap w:val="0"/>
        <w:autoSpaceDE w:val="0"/>
        <w:autoSpaceDN w:val="0"/>
        <w:adjustRightInd w:val="0"/>
        <w:snapToGrid w:val="0"/>
        <w:spacing w:before="90" w:line="360" w:lineRule="auto"/>
        <w:ind w:left="480"/>
        <w:textAlignment w:val="baseline"/>
        <w:rPr>
          <w:rFonts w:ascii="宋体" w:hAnsi="宋体" w:cs="宋体"/>
          <w:sz w:val="24"/>
        </w:rPr>
      </w:pPr>
      <w:r>
        <w:rPr>
          <w:rFonts w:hint="eastAsia" w:ascii="宋体" w:hAnsi="宋体" w:cs="宋体"/>
          <w:sz w:val="24"/>
        </w:rPr>
        <w:t>（3）投标函及投标函附录；</w:t>
      </w:r>
    </w:p>
    <w:p w14:paraId="7AB253C9">
      <w:pPr>
        <w:tabs>
          <w:tab w:val="left" w:pos="567"/>
        </w:tabs>
        <w:wordWrap w:val="0"/>
        <w:autoSpaceDE w:val="0"/>
        <w:autoSpaceDN w:val="0"/>
        <w:adjustRightInd w:val="0"/>
        <w:snapToGrid w:val="0"/>
        <w:spacing w:before="89" w:line="360" w:lineRule="auto"/>
        <w:ind w:left="482"/>
        <w:textAlignment w:val="baseline"/>
        <w:rPr>
          <w:rFonts w:ascii="宋体" w:hAnsi="宋体" w:cs="宋体"/>
          <w:sz w:val="24"/>
        </w:rPr>
      </w:pPr>
      <w:r>
        <w:rPr>
          <w:rFonts w:hint="eastAsia" w:ascii="宋体" w:hAnsi="宋体" w:cs="宋体"/>
          <w:sz w:val="24"/>
        </w:rPr>
        <w:t>（4）合同条款专用部分；</w:t>
      </w:r>
    </w:p>
    <w:p w14:paraId="26453B22">
      <w:pPr>
        <w:tabs>
          <w:tab w:val="left" w:pos="567"/>
        </w:tabs>
        <w:wordWrap w:val="0"/>
        <w:autoSpaceDE w:val="0"/>
        <w:autoSpaceDN w:val="0"/>
        <w:adjustRightInd w:val="0"/>
        <w:snapToGrid w:val="0"/>
        <w:spacing w:before="89" w:line="360" w:lineRule="auto"/>
        <w:ind w:left="482"/>
        <w:textAlignment w:val="baseline"/>
        <w:rPr>
          <w:rFonts w:ascii="宋体" w:hAnsi="宋体" w:cs="宋体"/>
          <w:sz w:val="24"/>
        </w:rPr>
      </w:pPr>
      <w:r>
        <w:rPr>
          <w:rFonts w:hint="eastAsia" w:ascii="宋体" w:hAnsi="宋体" w:cs="宋体"/>
          <w:sz w:val="24"/>
        </w:rPr>
        <w:t>（5）合同条款通用部分；</w:t>
      </w:r>
    </w:p>
    <w:p w14:paraId="48FA5D98">
      <w:pPr>
        <w:tabs>
          <w:tab w:val="left" w:pos="567"/>
        </w:tabs>
        <w:wordWrap w:val="0"/>
        <w:autoSpaceDE w:val="0"/>
        <w:autoSpaceDN w:val="0"/>
        <w:adjustRightInd w:val="0"/>
        <w:snapToGrid w:val="0"/>
        <w:spacing w:before="109" w:line="360" w:lineRule="auto"/>
        <w:ind w:left="482"/>
        <w:textAlignment w:val="baseline"/>
        <w:rPr>
          <w:rFonts w:ascii="宋体" w:hAnsi="宋体" w:cs="宋体"/>
          <w:sz w:val="24"/>
        </w:rPr>
      </w:pPr>
      <w:r>
        <w:rPr>
          <w:rFonts w:hint="eastAsia" w:ascii="宋体" w:hAnsi="宋体" w:cs="宋体"/>
          <w:sz w:val="24"/>
        </w:rPr>
        <w:t xml:space="preserve">（6） </w:t>
      </w:r>
      <w:r>
        <w:rPr>
          <w:rFonts w:hint="eastAsia" w:ascii="宋体" w:hAnsi="宋体" w:cs="宋体"/>
          <w:sz w:val="24"/>
          <w:u w:val="single"/>
        </w:rPr>
        <w:t>合同清单</w:t>
      </w:r>
    </w:p>
    <w:p w14:paraId="47E56CAE">
      <w:pPr>
        <w:tabs>
          <w:tab w:val="left" w:pos="567"/>
        </w:tabs>
        <w:wordWrap w:val="0"/>
        <w:autoSpaceDE w:val="0"/>
        <w:autoSpaceDN w:val="0"/>
        <w:adjustRightInd w:val="0"/>
        <w:snapToGrid w:val="0"/>
        <w:spacing w:before="106" w:line="360" w:lineRule="auto"/>
        <w:ind w:left="482"/>
        <w:textAlignment w:val="baseline"/>
        <w:rPr>
          <w:rFonts w:ascii="宋体" w:hAnsi="宋体" w:cs="宋体"/>
          <w:sz w:val="24"/>
        </w:rPr>
      </w:pPr>
      <w:r>
        <w:rPr>
          <w:rFonts w:hint="eastAsia" w:ascii="宋体" w:hAnsi="宋体" w:cs="宋体"/>
          <w:sz w:val="24"/>
        </w:rPr>
        <w:t>（7）</w:t>
      </w:r>
      <w:r>
        <w:rPr>
          <w:rFonts w:hint="eastAsia" w:ascii="宋体" w:hAnsi="宋体" w:cs="宋体"/>
          <w:sz w:val="24"/>
          <w:u w:val="single"/>
        </w:rPr>
        <w:t>技术标准和要求</w:t>
      </w:r>
    </w:p>
    <w:p w14:paraId="47872E98">
      <w:pPr>
        <w:tabs>
          <w:tab w:val="left" w:pos="567"/>
        </w:tabs>
        <w:wordWrap w:val="0"/>
        <w:autoSpaceDE w:val="0"/>
        <w:autoSpaceDN w:val="0"/>
        <w:adjustRightInd w:val="0"/>
        <w:snapToGrid w:val="0"/>
        <w:spacing w:before="106" w:line="360" w:lineRule="auto"/>
        <w:ind w:left="482"/>
        <w:textAlignment w:val="baseline"/>
        <w:rPr>
          <w:rFonts w:ascii="宋体" w:hAnsi="宋体" w:cs="宋体"/>
          <w:sz w:val="24"/>
        </w:rPr>
      </w:pPr>
      <w:r>
        <w:rPr>
          <w:rFonts w:hint="eastAsia" w:ascii="宋体" w:hAnsi="宋体" w:cs="宋体"/>
          <w:sz w:val="24"/>
        </w:rPr>
        <w:t xml:space="preserve">（8） </w:t>
      </w:r>
      <w:r>
        <w:rPr>
          <w:rFonts w:hint="eastAsia" w:ascii="宋体" w:hAnsi="宋体" w:cs="宋体"/>
          <w:sz w:val="24"/>
          <w:u w:val="single"/>
        </w:rPr>
        <w:t>图纸</w:t>
      </w:r>
    </w:p>
    <w:p w14:paraId="28135FD3">
      <w:pPr>
        <w:tabs>
          <w:tab w:val="left" w:pos="567"/>
        </w:tabs>
        <w:wordWrap w:val="0"/>
        <w:autoSpaceDE w:val="0"/>
        <w:autoSpaceDN w:val="0"/>
        <w:adjustRightInd w:val="0"/>
        <w:snapToGrid w:val="0"/>
        <w:spacing w:before="106" w:line="360" w:lineRule="auto"/>
        <w:ind w:left="482"/>
        <w:textAlignment w:val="baseline"/>
        <w:rPr>
          <w:rFonts w:ascii="宋体" w:hAnsi="宋体" w:cs="宋体"/>
          <w:sz w:val="24"/>
        </w:rPr>
      </w:pPr>
      <w:r>
        <w:rPr>
          <w:rFonts w:hint="eastAsia" w:ascii="宋体" w:hAnsi="宋体" w:cs="宋体"/>
          <w:sz w:val="24"/>
        </w:rPr>
        <w:t>（9）</w:t>
      </w:r>
      <w:r>
        <w:rPr>
          <w:rFonts w:hint="eastAsia" w:ascii="宋体" w:hAnsi="宋体" w:cs="宋体"/>
          <w:sz w:val="24"/>
          <w:u w:val="single"/>
        </w:rPr>
        <w:t>合同其他文件</w:t>
      </w:r>
    </w:p>
    <w:p w14:paraId="0A4FFCFE">
      <w:pPr>
        <w:tabs>
          <w:tab w:val="left" w:pos="567"/>
        </w:tabs>
        <w:wordWrap w:val="0"/>
        <w:autoSpaceDE w:val="0"/>
        <w:autoSpaceDN w:val="0"/>
        <w:adjustRightInd w:val="0"/>
        <w:snapToGrid w:val="0"/>
        <w:spacing w:before="86" w:line="360" w:lineRule="auto"/>
        <w:ind w:left="482"/>
        <w:textAlignment w:val="baseline"/>
        <w:rPr>
          <w:rFonts w:ascii="宋体" w:hAnsi="宋体" w:cs="宋体"/>
          <w:sz w:val="24"/>
        </w:rPr>
      </w:pPr>
      <w:r>
        <w:rPr>
          <w:rFonts w:hint="eastAsia" w:ascii="宋体" w:hAnsi="宋体" w:cs="宋体"/>
          <w:sz w:val="24"/>
        </w:rPr>
        <w:t>（说明：（6） 、（7） 、（8）填空内容分别限于技术标准和要求、图纸、合同清单三者之一 。）</w:t>
      </w:r>
    </w:p>
    <w:p w14:paraId="39A95FDC">
      <w:pPr>
        <w:tabs>
          <w:tab w:val="left" w:pos="567"/>
        </w:tabs>
        <w:wordWrap w:val="0"/>
        <w:autoSpaceDE w:val="0"/>
        <w:autoSpaceDN w:val="0"/>
        <w:adjustRightInd w:val="0"/>
        <w:snapToGrid w:val="0"/>
        <w:spacing w:before="104" w:line="360" w:lineRule="auto"/>
        <w:ind w:left="17"/>
        <w:textAlignment w:val="baseline"/>
        <w:rPr>
          <w:rFonts w:ascii="宋体" w:hAnsi="宋体" w:cs="宋体"/>
          <w:sz w:val="24"/>
        </w:rPr>
      </w:pPr>
      <w:r>
        <w:rPr>
          <w:rFonts w:hint="eastAsia" w:ascii="宋体" w:hAnsi="宋体" w:cs="宋体"/>
          <w:sz w:val="24"/>
        </w:rPr>
        <w:t>1.5   合同协议书</w:t>
      </w:r>
    </w:p>
    <w:p w14:paraId="31CF4E9E">
      <w:pPr>
        <w:tabs>
          <w:tab w:val="left" w:pos="567"/>
        </w:tabs>
        <w:wordWrap w:val="0"/>
        <w:autoSpaceDE w:val="0"/>
        <w:autoSpaceDN w:val="0"/>
        <w:adjustRightInd w:val="0"/>
        <w:snapToGrid w:val="0"/>
        <w:spacing w:before="103" w:line="360" w:lineRule="auto"/>
        <w:ind w:left="419"/>
        <w:textAlignment w:val="baseline"/>
        <w:rPr>
          <w:rFonts w:ascii="宋体" w:hAnsi="宋体" w:cs="宋体"/>
          <w:sz w:val="24"/>
        </w:rPr>
      </w:pPr>
      <w:r>
        <w:rPr>
          <w:rFonts w:hint="eastAsia" w:ascii="宋体" w:hAnsi="宋体" w:cs="宋体"/>
          <w:sz w:val="24"/>
        </w:rPr>
        <w:t>合同生效的条件：</w:t>
      </w:r>
      <w:r>
        <w:rPr>
          <w:rFonts w:hint="eastAsia" w:ascii="宋体" w:hAnsi="宋体" w:cs="宋体"/>
          <w:sz w:val="24"/>
          <w:u w:val="single"/>
        </w:rPr>
        <w:t>合同双方法定代表人或授权代表签字盖章后</w:t>
      </w:r>
    </w:p>
    <w:p w14:paraId="7907D91D">
      <w:pPr>
        <w:tabs>
          <w:tab w:val="left" w:pos="567"/>
        </w:tabs>
        <w:wordWrap w:val="0"/>
        <w:autoSpaceDE w:val="0"/>
        <w:autoSpaceDN w:val="0"/>
        <w:adjustRightInd w:val="0"/>
        <w:snapToGrid w:val="0"/>
        <w:spacing w:before="104" w:line="360" w:lineRule="auto"/>
        <w:ind w:left="17"/>
        <w:textAlignment w:val="baseline"/>
        <w:rPr>
          <w:rFonts w:ascii="宋体" w:hAnsi="宋体" w:cs="宋体"/>
          <w:sz w:val="24"/>
        </w:rPr>
      </w:pPr>
      <w:r>
        <w:rPr>
          <w:rFonts w:hint="eastAsia" w:ascii="宋体" w:hAnsi="宋体" w:cs="宋体"/>
          <w:sz w:val="24"/>
        </w:rPr>
        <w:t>1.6</w:t>
      </w:r>
      <w:r>
        <w:rPr>
          <w:rFonts w:hint="eastAsia" w:ascii="宋体" w:hAnsi="宋体" w:cs="宋体"/>
          <w:w w:val="101"/>
          <w:sz w:val="24"/>
        </w:rPr>
        <w:t xml:space="preserve">   </w:t>
      </w:r>
      <w:r>
        <w:rPr>
          <w:rFonts w:hint="eastAsia" w:ascii="宋体" w:hAnsi="宋体" w:cs="宋体"/>
          <w:sz w:val="24"/>
        </w:rPr>
        <w:t>图纸和承包人文件</w:t>
      </w:r>
    </w:p>
    <w:p w14:paraId="3D2125F2">
      <w:pPr>
        <w:tabs>
          <w:tab w:val="left" w:pos="567"/>
        </w:tabs>
        <w:wordWrap w:val="0"/>
        <w:autoSpaceDE w:val="0"/>
        <w:autoSpaceDN w:val="0"/>
        <w:adjustRightInd w:val="0"/>
        <w:snapToGrid w:val="0"/>
        <w:spacing w:before="90" w:line="360" w:lineRule="auto"/>
        <w:ind w:left="434"/>
        <w:textAlignment w:val="baseline"/>
        <w:rPr>
          <w:rFonts w:ascii="宋体" w:hAnsi="宋体" w:cs="宋体"/>
          <w:sz w:val="24"/>
        </w:rPr>
      </w:pPr>
      <w:r>
        <w:rPr>
          <w:rFonts w:hint="eastAsia" w:ascii="宋体" w:hAnsi="宋体" w:cs="宋体"/>
          <w:sz w:val="24"/>
        </w:rPr>
        <w:t>1.6.1   图纸的提供</w:t>
      </w:r>
    </w:p>
    <w:p w14:paraId="3BB98ADB">
      <w:pPr>
        <w:tabs>
          <w:tab w:val="left" w:pos="567"/>
        </w:tabs>
        <w:wordWrap w:val="0"/>
        <w:autoSpaceDE w:val="0"/>
        <w:autoSpaceDN w:val="0"/>
        <w:adjustRightInd w:val="0"/>
        <w:snapToGrid w:val="0"/>
        <w:spacing w:before="101" w:line="360" w:lineRule="auto"/>
        <w:ind w:left="422"/>
        <w:textAlignment w:val="baseline"/>
        <w:rPr>
          <w:rFonts w:ascii="宋体" w:hAnsi="宋体" w:cs="宋体"/>
          <w:sz w:val="24"/>
        </w:rPr>
      </w:pPr>
      <w:r>
        <w:rPr>
          <w:rFonts w:hint="eastAsia" w:ascii="宋体" w:hAnsi="宋体" w:cs="宋体"/>
          <w:sz w:val="24"/>
        </w:rPr>
        <w:t>（5）发包人提供图纸的期限：</w:t>
      </w:r>
      <w:r>
        <w:rPr>
          <w:rFonts w:hint="eastAsia" w:ascii="宋体" w:hAnsi="宋体" w:cs="宋体"/>
          <w:sz w:val="24"/>
          <w:u w:val="single"/>
        </w:rPr>
        <w:t>合同签订后7日内</w:t>
      </w:r>
    </w:p>
    <w:p w14:paraId="5810DA82">
      <w:pPr>
        <w:tabs>
          <w:tab w:val="left" w:pos="567"/>
        </w:tabs>
        <w:wordWrap w:val="0"/>
        <w:autoSpaceDE w:val="0"/>
        <w:autoSpaceDN w:val="0"/>
        <w:adjustRightInd w:val="0"/>
        <w:snapToGrid w:val="0"/>
        <w:spacing w:before="106" w:line="360" w:lineRule="auto"/>
        <w:ind w:right="210" w:firstLine="632"/>
        <w:textAlignment w:val="baseline"/>
        <w:rPr>
          <w:rFonts w:ascii="宋体" w:hAnsi="宋体" w:cs="宋体"/>
          <w:sz w:val="24"/>
        </w:rPr>
      </w:pPr>
      <w:r>
        <w:rPr>
          <w:rFonts w:hint="eastAsia" w:ascii="宋体" w:hAnsi="宋体" w:cs="宋体"/>
          <w:sz w:val="24"/>
        </w:rPr>
        <w:t>发包人提供图纸的数量：</w:t>
      </w:r>
      <w:r>
        <w:rPr>
          <w:rFonts w:hint="eastAsia" w:ascii="宋体" w:hAnsi="宋体" w:cs="宋体"/>
          <w:sz w:val="24"/>
          <w:u w:val="single"/>
        </w:rPr>
        <w:t>施工图3套（含2套竣工图用图纸） ，承包人如需要增加图纸数量 ，由承包人自行承担相关费用 。</w:t>
      </w:r>
    </w:p>
    <w:p w14:paraId="199B9D19">
      <w:pPr>
        <w:tabs>
          <w:tab w:val="left" w:pos="567"/>
        </w:tabs>
        <w:wordWrap w:val="0"/>
        <w:autoSpaceDE w:val="0"/>
        <w:autoSpaceDN w:val="0"/>
        <w:adjustRightInd w:val="0"/>
        <w:snapToGrid w:val="0"/>
        <w:spacing w:before="120" w:line="360" w:lineRule="auto"/>
        <w:ind w:left="629"/>
        <w:textAlignment w:val="baseline"/>
        <w:rPr>
          <w:rFonts w:ascii="宋体" w:hAnsi="宋体" w:cs="宋体"/>
          <w:sz w:val="24"/>
        </w:rPr>
      </w:pPr>
      <w:r>
        <w:rPr>
          <w:rFonts w:hint="eastAsia" w:ascii="宋体" w:hAnsi="宋体" w:cs="宋体"/>
          <w:sz w:val="24"/>
        </w:rPr>
        <w:t>其他约定：</w:t>
      </w:r>
      <w:r>
        <w:rPr>
          <w:rFonts w:hint="eastAsia" w:ascii="宋体" w:hAnsi="宋体" w:cs="宋体"/>
          <w:sz w:val="24"/>
          <w:u w:val="single"/>
        </w:rPr>
        <w:t>未经发包人同意，不得提供给第三方使用。</w:t>
      </w:r>
    </w:p>
    <w:p w14:paraId="01E682D4">
      <w:pPr>
        <w:tabs>
          <w:tab w:val="left" w:pos="567"/>
        </w:tabs>
        <w:wordWrap w:val="0"/>
        <w:autoSpaceDE w:val="0"/>
        <w:autoSpaceDN w:val="0"/>
        <w:adjustRightInd w:val="0"/>
        <w:snapToGrid w:val="0"/>
        <w:spacing w:before="85" w:line="360" w:lineRule="auto"/>
        <w:ind w:left="434"/>
        <w:textAlignment w:val="baseline"/>
        <w:rPr>
          <w:rFonts w:ascii="宋体" w:hAnsi="宋体" w:cs="宋体"/>
          <w:sz w:val="24"/>
        </w:rPr>
      </w:pPr>
      <w:r>
        <w:rPr>
          <w:rFonts w:hint="eastAsia" w:ascii="宋体" w:hAnsi="宋体" w:cs="宋体"/>
          <w:sz w:val="24"/>
        </w:rPr>
        <w:t>1.6.2   承包人提供的文件</w:t>
      </w:r>
    </w:p>
    <w:p w14:paraId="0335C215">
      <w:pPr>
        <w:tabs>
          <w:tab w:val="left" w:pos="567"/>
        </w:tabs>
        <w:wordWrap w:val="0"/>
        <w:autoSpaceDE w:val="0"/>
        <w:autoSpaceDN w:val="0"/>
        <w:adjustRightInd w:val="0"/>
        <w:snapToGrid w:val="0"/>
        <w:spacing w:before="82" w:line="360" w:lineRule="auto"/>
        <w:ind w:left="317"/>
        <w:textAlignment w:val="baseline"/>
        <w:rPr>
          <w:rFonts w:ascii="宋体" w:hAnsi="宋体" w:cs="宋体"/>
          <w:sz w:val="24"/>
        </w:rPr>
      </w:pPr>
      <w:r>
        <w:rPr>
          <w:rFonts w:hint="eastAsia" w:ascii="宋体" w:hAnsi="宋体" w:cs="宋体"/>
          <w:sz w:val="24"/>
        </w:rPr>
        <w:t>（1） 由承包人提供的文件范围：</w:t>
      </w:r>
    </w:p>
    <w:p w14:paraId="4063428C">
      <w:pPr>
        <w:tabs>
          <w:tab w:val="left" w:pos="567"/>
        </w:tabs>
        <w:wordWrap w:val="0"/>
        <w:autoSpaceDE w:val="0"/>
        <w:autoSpaceDN w:val="0"/>
        <w:adjustRightInd w:val="0"/>
        <w:snapToGrid w:val="0"/>
        <w:spacing w:before="108" w:line="360" w:lineRule="auto"/>
        <w:ind w:left="524"/>
        <w:textAlignment w:val="baseline"/>
        <w:rPr>
          <w:rFonts w:ascii="宋体" w:hAnsi="宋体" w:cs="宋体"/>
          <w:sz w:val="24"/>
        </w:rPr>
      </w:pPr>
      <w:r>
        <w:rPr>
          <w:rFonts w:hint="eastAsia" w:ascii="宋体" w:hAnsi="宋体" w:cs="宋体"/>
          <w:sz w:val="24"/>
          <w:u w:val="single"/>
        </w:rPr>
        <w:t xml:space="preserve">施工组织设计、施工方案、施工现场安全文明施工防护措施及方案、相关专业二次  </w:t>
      </w:r>
    </w:p>
    <w:p w14:paraId="3AFCD80F">
      <w:pPr>
        <w:tabs>
          <w:tab w:val="left" w:pos="567"/>
        </w:tabs>
        <w:wordWrap w:val="0"/>
        <w:autoSpaceDE w:val="0"/>
        <w:autoSpaceDN w:val="0"/>
        <w:adjustRightInd w:val="0"/>
        <w:snapToGrid w:val="0"/>
        <w:spacing w:before="104" w:line="360" w:lineRule="auto"/>
        <w:ind w:left="27" w:hanging="28"/>
        <w:textAlignment w:val="baseline"/>
        <w:rPr>
          <w:rFonts w:ascii="宋体" w:hAnsi="宋体" w:cs="宋体"/>
          <w:sz w:val="24"/>
        </w:rPr>
      </w:pPr>
      <w:r>
        <w:rPr>
          <w:rFonts w:hint="eastAsia" w:ascii="宋体" w:hAnsi="宋体" w:cs="宋体"/>
          <w:sz w:val="24"/>
          <w:u w:val="single"/>
        </w:rPr>
        <w:t>深   化设计、满足招标文件工期节点要求的施工进度计划及发包人要求的与本合同项下施工内容相关的文件等 。</w:t>
      </w:r>
    </w:p>
    <w:p w14:paraId="10F99C88">
      <w:pPr>
        <w:tabs>
          <w:tab w:val="left" w:pos="567"/>
        </w:tabs>
        <w:wordWrap w:val="0"/>
        <w:autoSpaceDE w:val="0"/>
        <w:autoSpaceDN w:val="0"/>
        <w:adjustRightInd w:val="0"/>
        <w:snapToGrid w:val="0"/>
        <w:spacing w:before="1" w:line="360" w:lineRule="auto"/>
        <w:ind w:left="418"/>
        <w:textAlignment w:val="baseline"/>
        <w:rPr>
          <w:rFonts w:ascii="宋体" w:hAnsi="宋体" w:cs="宋体"/>
          <w:sz w:val="24"/>
        </w:rPr>
      </w:pPr>
      <w:r>
        <w:rPr>
          <w:rFonts w:hint="eastAsia" w:ascii="宋体" w:hAnsi="宋体" w:cs="宋体"/>
          <w:sz w:val="24"/>
        </w:rPr>
        <w:t>承包人提供文件的期限：</w:t>
      </w:r>
    </w:p>
    <w:p w14:paraId="52F6C228">
      <w:pPr>
        <w:tabs>
          <w:tab w:val="left" w:pos="567"/>
        </w:tabs>
        <w:wordWrap w:val="0"/>
        <w:autoSpaceDE w:val="0"/>
        <w:autoSpaceDN w:val="0"/>
        <w:adjustRightInd w:val="0"/>
        <w:snapToGrid w:val="0"/>
        <w:spacing w:before="101" w:line="360" w:lineRule="auto"/>
        <w:ind w:left="525"/>
        <w:textAlignment w:val="baseline"/>
        <w:rPr>
          <w:rFonts w:ascii="宋体" w:hAnsi="宋体" w:cs="宋体"/>
          <w:sz w:val="24"/>
        </w:rPr>
      </w:pPr>
      <w:r>
        <w:rPr>
          <w:rFonts w:hint="eastAsia" w:ascii="宋体" w:hAnsi="宋体" w:cs="宋体"/>
          <w:sz w:val="24"/>
          <w:u w:val="single"/>
        </w:rPr>
        <w:t>相应工程或部位实施至少7天前</w:t>
      </w:r>
    </w:p>
    <w:p w14:paraId="5F834D93">
      <w:pPr>
        <w:tabs>
          <w:tab w:val="left" w:pos="567"/>
        </w:tabs>
        <w:wordWrap w:val="0"/>
        <w:autoSpaceDE w:val="0"/>
        <w:autoSpaceDN w:val="0"/>
        <w:adjustRightInd w:val="0"/>
        <w:snapToGrid w:val="0"/>
        <w:spacing w:before="84" w:line="360" w:lineRule="auto"/>
        <w:ind w:left="418"/>
        <w:textAlignment w:val="baseline"/>
        <w:rPr>
          <w:rFonts w:ascii="宋体" w:hAnsi="宋体" w:cs="宋体"/>
          <w:sz w:val="24"/>
        </w:rPr>
      </w:pPr>
      <w:r>
        <w:rPr>
          <w:rFonts w:hint="eastAsia" w:ascii="宋体" w:hAnsi="宋体" w:cs="宋体"/>
          <w:sz w:val="24"/>
        </w:rPr>
        <w:t>承包人提供文件的数量：</w:t>
      </w:r>
    </w:p>
    <w:p w14:paraId="4B43E076">
      <w:pPr>
        <w:tabs>
          <w:tab w:val="left" w:pos="567"/>
        </w:tabs>
        <w:wordWrap w:val="0"/>
        <w:autoSpaceDE w:val="0"/>
        <w:autoSpaceDN w:val="0"/>
        <w:adjustRightInd w:val="0"/>
        <w:snapToGrid w:val="0"/>
        <w:spacing w:before="103" w:line="360" w:lineRule="auto"/>
        <w:ind w:left="528"/>
        <w:textAlignment w:val="baseline"/>
        <w:rPr>
          <w:rFonts w:ascii="宋体" w:hAnsi="宋体" w:cs="宋体"/>
          <w:sz w:val="24"/>
        </w:rPr>
      </w:pPr>
      <w:r>
        <w:rPr>
          <w:rFonts w:hint="eastAsia" w:ascii="宋体" w:hAnsi="宋体" w:cs="宋体"/>
          <w:sz w:val="24"/>
          <w:u w:val="single"/>
        </w:rPr>
        <w:t>一式叁份</w:t>
      </w:r>
    </w:p>
    <w:p w14:paraId="0606E377">
      <w:pPr>
        <w:tabs>
          <w:tab w:val="left" w:pos="567"/>
        </w:tabs>
        <w:wordWrap w:val="0"/>
        <w:autoSpaceDE w:val="0"/>
        <w:autoSpaceDN w:val="0"/>
        <w:adjustRightInd w:val="0"/>
        <w:snapToGrid w:val="0"/>
        <w:spacing w:before="83" w:line="360" w:lineRule="auto"/>
        <w:ind w:left="419"/>
        <w:textAlignment w:val="baseline"/>
        <w:rPr>
          <w:rFonts w:ascii="宋体" w:hAnsi="宋体" w:cs="宋体"/>
          <w:sz w:val="24"/>
        </w:rPr>
      </w:pPr>
      <w:r>
        <w:rPr>
          <w:rFonts w:hint="eastAsia" w:ascii="宋体" w:hAnsi="宋体" w:cs="宋体"/>
          <w:sz w:val="24"/>
        </w:rPr>
        <w:t>监理人批复承包人提供文件的期限：</w:t>
      </w:r>
    </w:p>
    <w:p w14:paraId="5151027A">
      <w:pPr>
        <w:tabs>
          <w:tab w:val="left" w:pos="567"/>
        </w:tabs>
        <w:wordWrap w:val="0"/>
        <w:autoSpaceDE w:val="0"/>
        <w:autoSpaceDN w:val="0"/>
        <w:adjustRightInd w:val="0"/>
        <w:snapToGrid w:val="0"/>
        <w:spacing w:before="103" w:line="360" w:lineRule="auto"/>
        <w:ind w:left="533"/>
        <w:textAlignment w:val="baseline"/>
        <w:rPr>
          <w:rFonts w:ascii="宋体" w:hAnsi="宋体" w:cs="宋体"/>
          <w:sz w:val="24"/>
        </w:rPr>
      </w:pPr>
      <w:r>
        <w:rPr>
          <w:rFonts w:hint="eastAsia" w:ascii="宋体" w:hAnsi="宋体" w:cs="宋体"/>
          <w:sz w:val="24"/>
          <w:u w:val="single"/>
        </w:rPr>
        <w:t>收到文件后3日内</w:t>
      </w:r>
    </w:p>
    <w:p w14:paraId="2BD8EFA4">
      <w:pPr>
        <w:tabs>
          <w:tab w:val="left" w:pos="567"/>
        </w:tabs>
        <w:wordWrap w:val="0"/>
        <w:autoSpaceDE w:val="0"/>
        <w:autoSpaceDN w:val="0"/>
        <w:adjustRightInd w:val="0"/>
        <w:snapToGrid w:val="0"/>
        <w:spacing w:before="82" w:line="360" w:lineRule="auto"/>
        <w:ind w:left="419"/>
        <w:textAlignment w:val="baseline"/>
        <w:rPr>
          <w:rFonts w:ascii="宋体" w:hAnsi="宋体" w:cs="宋体"/>
          <w:sz w:val="24"/>
        </w:rPr>
      </w:pPr>
      <w:r>
        <w:rPr>
          <w:rFonts w:hint="eastAsia" w:ascii="宋体" w:hAnsi="宋体" w:cs="宋体"/>
          <w:sz w:val="24"/>
        </w:rPr>
        <w:t>其他约定：</w:t>
      </w:r>
      <w:r>
        <w:rPr>
          <w:rFonts w:hint="eastAsia" w:ascii="宋体" w:hAnsi="宋体" w:cs="宋体"/>
          <w:sz w:val="24"/>
          <w:u w:val="single"/>
        </w:rPr>
        <w:t>/</w:t>
      </w:r>
    </w:p>
    <w:p w14:paraId="3C6E40F1">
      <w:pPr>
        <w:tabs>
          <w:tab w:val="left" w:pos="567"/>
        </w:tabs>
        <w:wordWrap w:val="0"/>
        <w:spacing w:before="1" w:line="179" w:lineRule="auto"/>
        <w:ind w:left="17"/>
        <w:rPr>
          <w:rFonts w:ascii="宋体" w:hAnsi="宋体" w:cs="宋体"/>
          <w:sz w:val="24"/>
        </w:rPr>
      </w:pPr>
      <w:r>
        <w:rPr>
          <w:rFonts w:ascii="宋体" w:hAnsi="宋体"/>
          <w:spacing w:val="-4"/>
          <w:sz w:val="24"/>
        </w:rPr>
        <w:t>1.7</w:t>
      </w:r>
      <w:r>
        <w:rPr>
          <w:rFonts w:ascii="宋体" w:hAnsi="宋体"/>
          <w:spacing w:val="12"/>
          <w:sz w:val="24"/>
        </w:rPr>
        <w:t xml:space="preserve">   </w:t>
      </w:r>
      <w:r>
        <w:rPr>
          <w:rFonts w:ascii="宋体" w:hAnsi="宋体"/>
          <w:spacing w:val="-4"/>
          <w:sz w:val="24"/>
        </w:rPr>
        <w:t>联</w:t>
      </w:r>
      <w:r>
        <w:rPr>
          <w:rFonts w:ascii="宋体" w:hAnsi="宋体"/>
          <w:spacing w:val="62"/>
          <w:w w:val="101"/>
          <w:sz w:val="24"/>
        </w:rPr>
        <w:t xml:space="preserve"> </w:t>
      </w:r>
      <w:r>
        <w:rPr>
          <w:rFonts w:ascii="宋体" w:hAnsi="宋体"/>
          <w:spacing w:val="-4"/>
          <w:sz w:val="24"/>
        </w:rPr>
        <w:t>络</w:t>
      </w:r>
    </w:p>
    <w:p w14:paraId="6CBE39A3">
      <w:pPr>
        <w:tabs>
          <w:tab w:val="left" w:pos="567"/>
        </w:tabs>
        <w:wordWrap w:val="0"/>
        <w:autoSpaceDE w:val="0"/>
        <w:autoSpaceDN w:val="0"/>
        <w:adjustRightInd w:val="0"/>
        <w:snapToGrid w:val="0"/>
        <w:spacing w:before="53" w:line="360" w:lineRule="auto"/>
        <w:ind w:left="431"/>
        <w:textAlignment w:val="baseline"/>
        <w:rPr>
          <w:rFonts w:ascii="宋体" w:hAnsi="宋体" w:cs="宋体"/>
          <w:sz w:val="24"/>
        </w:rPr>
      </w:pPr>
      <w:r>
        <w:rPr>
          <w:rFonts w:hint="eastAsia" w:ascii="宋体" w:hAnsi="宋体" w:cs="宋体"/>
          <w:sz w:val="24"/>
        </w:rPr>
        <w:t>1.7.2   联络来往函件的送达和接收</w:t>
      </w:r>
    </w:p>
    <w:p w14:paraId="58B6051E">
      <w:pPr>
        <w:tabs>
          <w:tab w:val="left" w:pos="567"/>
        </w:tabs>
        <w:wordWrap w:val="0"/>
        <w:autoSpaceDE w:val="0"/>
        <w:autoSpaceDN w:val="0"/>
        <w:adjustRightInd w:val="0"/>
        <w:snapToGrid w:val="0"/>
        <w:spacing w:before="101" w:line="360" w:lineRule="auto"/>
        <w:ind w:left="554" w:hanging="135"/>
        <w:textAlignment w:val="baseline"/>
        <w:rPr>
          <w:rFonts w:ascii="宋体" w:hAnsi="宋体" w:cs="宋体"/>
          <w:sz w:val="24"/>
        </w:rPr>
      </w:pPr>
      <w:r>
        <w:rPr>
          <w:rFonts w:hint="eastAsia" w:ascii="宋体" w:hAnsi="宋体" w:cs="宋体"/>
          <w:sz w:val="24"/>
        </w:rPr>
        <w:t>（2）发包人指定的接收地点：</w:t>
      </w:r>
      <w:r>
        <w:rPr>
          <w:rFonts w:hint="eastAsia" w:ascii="宋体" w:hAnsi="宋体" w:cs="宋体"/>
          <w:sz w:val="24"/>
          <w:u w:val="single"/>
        </w:rPr>
        <w:t>待定</w:t>
      </w:r>
      <w:r>
        <w:rPr>
          <w:rFonts w:hint="eastAsia" w:ascii="宋体" w:hAnsi="宋体" w:cs="宋体"/>
          <w:sz w:val="24"/>
        </w:rPr>
        <w:t xml:space="preserve">    </w:t>
      </w:r>
    </w:p>
    <w:p w14:paraId="59EF471C">
      <w:pPr>
        <w:tabs>
          <w:tab w:val="left" w:pos="567"/>
        </w:tabs>
        <w:wordWrap w:val="0"/>
        <w:autoSpaceDE w:val="0"/>
        <w:autoSpaceDN w:val="0"/>
        <w:adjustRightInd w:val="0"/>
        <w:snapToGrid w:val="0"/>
        <w:spacing w:before="101" w:line="360" w:lineRule="auto"/>
        <w:ind w:firstLine="960" w:firstLineChars="400"/>
        <w:textAlignment w:val="baseline"/>
        <w:rPr>
          <w:rFonts w:ascii="宋体" w:hAnsi="宋体" w:cs="宋体"/>
          <w:sz w:val="24"/>
        </w:rPr>
      </w:pPr>
      <w:r>
        <w:rPr>
          <w:rFonts w:hint="eastAsia" w:ascii="宋体" w:hAnsi="宋体" w:cs="宋体"/>
          <w:sz w:val="24"/>
        </w:rPr>
        <w:t>发包人指定的接收人为：</w:t>
      </w:r>
      <w:r>
        <w:rPr>
          <w:rFonts w:hint="eastAsia" w:ascii="宋体" w:hAnsi="宋体" w:cs="宋体"/>
          <w:sz w:val="24"/>
          <w:u w:val="single"/>
        </w:rPr>
        <w:t>待定</w:t>
      </w:r>
    </w:p>
    <w:p w14:paraId="4B87D6A3">
      <w:pPr>
        <w:tabs>
          <w:tab w:val="left" w:pos="567"/>
        </w:tabs>
        <w:wordWrap w:val="0"/>
        <w:autoSpaceDE w:val="0"/>
        <w:autoSpaceDN w:val="0"/>
        <w:adjustRightInd w:val="0"/>
        <w:snapToGrid w:val="0"/>
        <w:spacing w:before="102" w:line="360" w:lineRule="auto"/>
        <w:ind w:left="551" w:hanging="132"/>
        <w:textAlignment w:val="baseline"/>
        <w:rPr>
          <w:rFonts w:ascii="宋体" w:hAnsi="宋体" w:cs="宋体"/>
          <w:sz w:val="24"/>
          <w:u w:val="single"/>
        </w:rPr>
      </w:pPr>
      <w:r>
        <w:rPr>
          <w:rFonts w:hint="eastAsia" w:ascii="宋体" w:hAnsi="宋体" w:cs="宋体"/>
          <w:snapToGrid w:val="0"/>
          <w:kern w:val="0"/>
          <w:sz w:val="24"/>
        </w:rPr>
        <w:t>（3）</w:t>
      </w:r>
      <w:r>
        <w:rPr>
          <w:rFonts w:hint="eastAsia" w:ascii="宋体" w:hAnsi="宋体" w:cs="宋体"/>
          <w:sz w:val="24"/>
        </w:rPr>
        <w:t>监理人指定的接收地点：</w:t>
      </w:r>
      <w:r>
        <w:rPr>
          <w:rFonts w:hint="eastAsia" w:ascii="宋体" w:hAnsi="宋体" w:cs="宋体"/>
          <w:sz w:val="24"/>
          <w:u w:val="single"/>
        </w:rPr>
        <w:t>待定</w:t>
      </w:r>
    </w:p>
    <w:p w14:paraId="35420069">
      <w:pPr>
        <w:tabs>
          <w:tab w:val="left" w:pos="567"/>
        </w:tabs>
        <w:wordWrap w:val="0"/>
        <w:autoSpaceDE w:val="0"/>
        <w:autoSpaceDN w:val="0"/>
        <w:adjustRightInd w:val="0"/>
        <w:snapToGrid w:val="0"/>
        <w:spacing w:before="102" w:line="360" w:lineRule="auto"/>
        <w:ind w:left="551" w:hanging="132"/>
        <w:textAlignment w:val="baseline"/>
        <w:rPr>
          <w:rFonts w:ascii="宋体" w:hAnsi="宋体" w:cs="宋体"/>
          <w:sz w:val="24"/>
        </w:rPr>
      </w:pPr>
      <w:r>
        <w:rPr>
          <w:rFonts w:hint="eastAsia" w:ascii="宋体" w:hAnsi="宋体" w:cs="宋体"/>
          <w:snapToGrid w:val="0"/>
          <w:kern w:val="0"/>
          <w:sz w:val="24"/>
        </w:rPr>
        <w:t xml:space="preserve">     </w:t>
      </w:r>
      <w:r>
        <w:rPr>
          <w:rFonts w:hint="eastAsia" w:ascii="宋体" w:hAnsi="宋体" w:cs="宋体"/>
          <w:sz w:val="24"/>
        </w:rPr>
        <w:t>监理人指定的接收人为：</w:t>
      </w:r>
      <w:r>
        <w:rPr>
          <w:rFonts w:hint="eastAsia" w:ascii="宋体" w:hAnsi="宋体" w:cs="宋体"/>
          <w:sz w:val="24"/>
          <w:u w:val="single"/>
        </w:rPr>
        <w:t>待定</w:t>
      </w:r>
    </w:p>
    <w:p w14:paraId="401683C7">
      <w:pPr>
        <w:tabs>
          <w:tab w:val="left" w:pos="567"/>
        </w:tabs>
        <w:wordWrap w:val="0"/>
        <w:autoSpaceDE w:val="0"/>
        <w:autoSpaceDN w:val="0"/>
        <w:adjustRightInd w:val="0"/>
        <w:snapToGrid w:val="0"/>
        <w:spacing w:before="102" w:line="360" w:lineRule="auto"/>
        <w:ind w:left="419"/>
        <w:textAlignment w:val="baseline"/>
        <w:rPr>
          <w:rFonts w:ascii="宋体" w:hAnsi="宋体" w:cs="宋体"/>
          <w:sz w:val="24"/>
        </w:rPr>
      </w:pPr>
      <w:r>
        <w:rPr>
          <w:rFonts w:hint="eastAsia" w:ascii="宋体" w:hAnsi="宋体" w:cs="宋体"/>
          <w:sz w:val="24"/>
        </w:rPr>
        <w:t>（4）承包人指定的接收地点：</w:t>
      </w:r>
      <w:r>
        <w:rPr>
          <w:rFonts w:hint="eastAsia" w:ascii="宋体" w:hAnsi="宋体" w:cs="宋体"/>
          <w:sz w:val="24"/>
          <w:u w:val="single"/>
        </w:rPr>
        <w:t>待定</w:t>
      </w:r>
    </w:p>
    <w:p w14:paraId="3ACA35A5">
      <w:pPr>
        <w:tabs>
          <w:tab w:val="left" w:pos="567"/>
        </w:tabs>
        <w:wordWrap w:val="0"/>
        <w:autoSpaceDE w:val="0"/>
        <w:autoSpaceDN w:val="0"/>
        <w:adjustRightInd w:val="0"/>
        <w:snapToGrid w:val="0"/>
        <w:spacing w:before="102" w:line="360" w:lineRule="auto"/>
        <w:ind w:left="14"/>
        <w:textAlignment w:val="baseline"/>
        <w:outlineLvl w:val="2"/>
        <w:rPr>
          <w:rFonts w:ascii="宋体" w:hAnsi="宋体" w:cs="宋体"/>
          <w:sz w:val="24"/>
        </w:rPr>
      </w:pPr>
      <w:r>
        <w:rPr>
          <w:rFonts w:hint="eastAsia" w:ascii="宋体" w:hAnsi="宋体" w:cs="宋体"/>
          <w:sz w:val="24"/>
        </w:rPr>
        <w:t>1.13   工程量清单缺陷引起的价格调整（适用于采用单价合同形式）</w:t>
      </w:r>
    </w:p>
    <w:p w14:paraId="7A78D84C">
      <w:pPr>
        <w:tabs>
          <w:tab w:val="left" w:pos="567"/>
        </w:tabs>
        <w:wordWrap w:val="0"/>
        <w:autoSpaceDE w:val="0"/>
        <w:autoSpaceDN w:val="0"/>
        <w:adjustRightInd w:val="0"/>
        <w:snapToGrid w:val="0"/>
        <w:spacing w:before="90" w:line="360" w:lineRule="auto"/>
        <w:ind w:left="431"/>
        <w:textAlignment w:val="baseline"/>
        <w:rPr>
          <w:rFonts w:ascii="宋体" w:hAnsi="宋体" w:cs="宋体"/>
          <w:sz w:val="24"/>
        </w:rPr>
      </w:pPr>
      <w:r>
        <w:rPr>
          <w:rFonts w:hint="eastAsia" w:ascii="宋体" w:hAnsi="宋体" w:cs="宋体"/>
          <w:sz w:val="24"/>
        </w:rPr>
        <w:t>因工程量清单缺陷引起的价格调整办法</w:t>
      </w:r>
    </w:p>
    <w:p w14:paraId="090EE841">
      <w:pPr>
        <w:tabs>
          <w:tab w:val="left" w:pos="567"/>
        </w:tabs>
        <w:wordWrap w:val="0"/>
        <w:autoSpaceDE w:val="0"/>
        <w:autoSpaceDN w:val="0"/>
        <w:adjustRightInd w:val="0"/>
        <w:snapToGrid w:val="0"/>
        <w:spacing w:before="83" w:line="360" w:lineRule="auto"/>
        <w:ind w:left="419"/>
        <w:textAlignment w:val="baseline"/>
        <w:rPr>
          <w:rFonts w:ascii="宋体" w:hAnsi="宋体" w:cs="宋体"/>
          <w:sz w:val="24"/>
        </w:rPr>
      </w:pPr>
      <w:r>
        <w:rPr>
          <w:rFonts w:hint="eastAsia" w:ascii="宋体" w:hAnsi="宋体" w:cs="宋体"/>
          <w:sz w:val="24"/>
        </w:rPr>
        <w:t>（1） 以项计价的分部分项工程量清单项目不应重新计量及调整。</w:t>
      </w:r>
    </w:p>
    <w:p w14:paraId="1BF0B6D8">
      <w:pPr>
        <w:tabs>
          <w:tab w:val="left" w:pos="567"/>
        </w:tabs>
        <w:wordWrap w:val="0"/>
        <w:autoSpaceDE w:val="0"/>
        <w:autoSpaceDN w:val="0"/>
        <w:adjustRightInd w:val="0"/>
        <w:snapToGrid w:val="0"/>
        <w:spacing w:before="109" w:line="360" w:lineRule="auto"/>
        <w:ind w:left="554"/>
        <w:textAlignment w:val="baseline"/>
        <w:rPr>
          <w:rFonts w:ascii="宋体" w:hAnsi="宋体" w:cs="宋体"/>
          <w:sz w:val="24"/>
        </w:rPr>
      </w:pPr>
      <w:r>
        <w:rPr>
          <w:rFonts w:hint="eastAsia" w:ascii="宋体" w:hAnsi="宋体" w:cs="宋体"/>
          <w:sz w:val="24"/>
        </w:rPr>
        <w:t>（2）</w:t>
      </w:r>
      <w:r>
        <w:rPr>
          <w:rFonts w:hint="eastAsia" w:ascii="宋体" w:hAnsi="宋体" w:cs="宋体"/>
          <w:sz w:val="24"/>
          <w:u w:val="single"/>
        </w:rPr>
        <w:t>/</w:t>
      </w:r>
    </w:p>
    <w:p w14:paraId="7CA33CE7">
      <w:pPr>
        <w:tabs>
          <w:tab w:val="left" w:pos="567"/>
        </w:tabs>
        <w:wordWrap w:val="0"/>
        <w:autoSpaceDE w:val="0"/>
        <w:autoSpaceDN w:val="0"/>
        <w:adjustRightInd w:val="0"/>
        <w:snapToGrid w:val="0"/>
        <w:spacing w:before="129" w:line="360" w:lineRule="auto"/>
        <w:ind w:left="3"/>
        <w:textAlignment w:val="baseline"/>
        <w:outlineLvl w:val="1"/>
        <w:rPr>
          <w:rFonts w:ascii="宋体" w:hAnsi="宋体" w:cs="宋体"/>
          <w:sz w:val="30"/>
          <w:szCs w:val="30"/>
        </w:rPr>
      </w:pPr>
      <w:r>
        <w:rPr>
          <w:rFonts w:hint="eastAsia" w:ascii="宋体" w:hAnsi="宋体" w:cs="宋体"/>
          <w:sz w:val="30"/>
          <w:szCs w:val="30"/>
        </w:rPr>
        <w:t>2.发包人义务</w:t>
      </w:r>
    </w:p>
    <w:p w14:paraId="1D647237">
      <w:pPr>
        <w:tabs>
          <w:tab w:val="left" w:pos="567"/>
        </w:tabs>
        <w:wordWrap w:val="0"/>
        <w:autoSpaceDE w:val="0"/>
        <w:autoSpaceDN w:val="0"/>
        <w:adjustRightInd w:val="0"/>
        <w:snapToGrid w:val="0"/>
        <w:spacing w:before="103" w:line="360" w:lineRule="auto"/>
        <w:textAlignment w:val="baseline"/>
        <w:outlineLvl w:val="2"/>
        <w:rPr>
          <w:rFonts w:ascii="宋体" w:hAnsi="宋体" w:cs="宋体"/>
          <w:sz w:val="24"/>
        </w:rPr>
      </w:pPr>
      <w:r>
        <w:rPr>
          <w:rFonts w:hint="eastAsia" w:ascii="宋体" w:hAnsi="宋体" w:cs="宋体"/>
          <w:sz w:val="24"/>
        </w:rPr>
        <w:t>2.3   提供施工场地</w:t>
      </w:r>
    </w:p>
    <w:p w14:paraId="317E6B0B">
      <w:pPr>
        <w:tabs>
          <w:tab w:val="left" w:pos="567"/>
        </w:tabs>
        <w:wordWrap w:val="0"/>
        <w:autoSpaceDE w:val="0"/>
        <w:autoSpaceDN w:val="0"/>
        <w:adjustRightInd w:val="0"/>
        <w:snapToGrid w:val="0"/>
        <w:spacing w:before="91" w:line="360" w:lineRule="auto"/>
        <w:ind w:left="14" w:firstLine="404"/>
        <w:textAlignment w:val="baseline"/>
        <w:rPr>
          <w:rFonts w:ascii="宋体" w:hAnsi="宋体" w:cs="宋体"/>
          <w:sz w:val="24"/>
        </w:rPr>
      </w:pPr>
      <w:r>
        <w:rPr>
          <w:rFonts w:hint="eastAsia" w:ascii="宋体" w:hAnsi="宋体" w:cs="宋体"/>
          <w:sz w:val="24"/>
        </w:rPr>
        <w:t>发包人移交施工场地的期限：发包人应当将具备施工条件的施工场地 ，在监理人发出开工通知中载明的开工日期</w:t>
      </w:r>
      <w:r>
        <w:rPr>
          <w:rFonts w:hint="eastAsia" w:ascii="宋体" w:hAnsi="宋体" w:cs="宋体"/>
          <w:sz w:val="24"/>
          <w:u w:val="single"/>
        </w:rPr>
        <w:t>7</w:t>
      </w:r>
      <w:r>
        <w:rPr>
          <w:rFonts w:hint="eastAsia" w:ascii="宋体" w:hAnsi="宋体" w:cs="宋体"/>
          <w:sz w:val="24"/>
        </w:rPr>
        <w:t>天前移交给承包人。</w:t>
      </w:r>
    </w:p>
    <w:p w14:paraId="59DD4E46">
      <w:pPr>
        <w:tabs>
          <w:tab w:val="left" w:pos="567"/>
        </w:tabs>
        <w:wordWrap w:val="0"/>
        <w:autoSpaceDE w:val="0"/>
        <w:autoSpaceDN w:val="0"/>
        <w:adjustRightInd w:val="0"/>
        <w:snapToGrid w:val="0"/>
        <w:spacing w:before="287" w:line="360" w:lineRule="auto"/>
        <w:textAlignment w:val="baseline"/>
        <w:outlineLvl w:val="2"/>
        <w:rPr>
          <w:rFonts w:ascii="宋体" w:hAnsi="宋体" w:cs="宋体"/>
          <w:sz w:val="24"/>
        </w:rPr>
      </w:pPr>
      <w:r>
        <w:rPr>
          <w:rFonts w:hint="eastAsia" w:ascii="宋体" w:hAnsi="宋体" w:cs="宋体"/>
          <w:sz w:val="24"/>
        </w:rPr>
        <w:t>2.8</w:t>
      </w:r>
      <w:r>
        <w:rPr>
          <w:rFonts w:hint="eastAsia" w:ascii="宋体" w:hAnsi="宋体" w:cs="宋体"/>
          <w:w w:val="101"/>
          <w:sz w:val="24"/>
        </w:rPr>
        <w:t xml:space="preserve">   </w:t>
      </w:r>
      <w:r>
        <w:rPr>
          <w:rFonts w:hint="eastAsia" w:ascii="宋体" w:hAnsi="宋体" w:cs="宋体"/>
          <w:sz w:val="24"/>
        </w:rPr>
        <w:t>向承包人提交支付担保</w:t>
      </w:r>
    </w:p>
    <w:p w14:paraId="1A10C5FF">
      <w:pPr>
        <w:tabs>
          <w:tab w:val="left" w:pos="567"/>
        </w:tabs>
        <w:wordWrap w:val="0"/>
        <w:autoSpaceDE w:val="0"/>
        <w:autoSpaceDN w:val="0"/>
        <w:adjustRightInd w:val="0"/>
        <w:snapToGrid w:val="0"/>
        <w:spacing w:before="103" w:line="360" w:lineRule="auto"/>
        <w:ind w:left="419"/>
        <w:textAlignment w:val="baseline"/>
        <w:rPr>
          <w:rFonts w:ascii="宋体" w:hAnsi="宋体" w:cs="宋体"/>
          <w:sz w:val="24"/>
        </w:rPr>
      </w:pPr>
      <w:r>
        <w:rPr>
          <w:rFonts w:hint="eastAsia" w:ascii="宋体" w:hAnsi="宋体" w:cs="宋体"/>
          <w:sz w:val="24"/>
        </w:rPr>
        <w:t>（1）发包人向承包人提交支付担保的金额：</w:t>
      </w:r>
      <w:r>
        <w:rPr>
          <w:rFonts w:hint="eastAsia" w:ascii="宋体" w:hAnsi="宋体" w:cs="宋体"/>
          <w:sz w:val="24"/>
          <w:u w:val="single"/>
        </w:rPr>
        <w:t>/</w:t>
      </w:r>
    </w:p>
    <w:p w14:paraId="10889710">
      <w:pPr>
        <w:tabs>
          <w:tab w:val="left" w:pos="567"/>
        </w:tabs>
        <w:wordWrap w:val="0"/>
        <w:autoSpaceDE w:val="0"/>
        <w:autoSpaceDN w:val="0"/>
        <w:adjustRightInd w:val="0"/>
        <w:snapToGrid w:val="0"/>
        <w:spacing w:before="104" w:line="360" w:lineRule="auto"/>
        <w:textAlignment w:val="baseline"/>
        <w:outlineLvl w:val="2"/>
        <w:rPr>
          <w:rFonts w:ascii="宋体" w:hAnsi="宋体" w:cs="宋体"/>
        </w:rPr>
      </w:pPr>
      <w:r>
        <w:rPr>
          <w:rFonts w:hint="eastAsia" w:ascii="宋体" w:hAnsi="宋体" w:cs="宋体"/>
          <w:sz w:val="24"/>
        </w:rPr>
        <w:t>2.13   其他义务</w:t>
      </w:r>
    </w:p>
    <w:p w14:paraId="631808F7">
      <w:pPr>
        <w:tabs>
          <w:tab w:val="left" w:pos="567"/>
        </w:tabs>
        <w:wordWrap w:val="0"/>
        <w:autoSpaceDE w:val="0"/>
        <w:autoSpaceDN w:val="0"/>
        <w:adjustRightInd w:val="0"/>
        <w:snapToGrid w:val="0"/>
        <w:spacing w:before="90" w:line="360" w:lineRule="auto"/>
        <w:ind w:left="419"/>
        <w:textAlignment w:val="baseline"/>
        <w:rPr>
          <w:rFonts w:ascii="宋体" w:hAnsi="宋体" w:cs="宋体"/>
          <w:sz w:val="24"/>
        </w:rPr>
      </w:pPr>
      <w:r>
        <w:rPr>
          <w:rFonts w:hint="eastAsia" w:ascii="宋体" w:hAnsi="宋体" w:cs="宋体"/>
          <w:sz w:val="24"/>
        </w:rPr>
        <w:t>发包人应当履行的其他义务：</w:t>
      </w:r>
      <w:r>
        <w:rPr>
          <w:rFonts w:hint="eastAsia" w:ascii="宋体" w:hAnsi="宋体" w:cs="宋体"/>
          <w:sz w:val="24"/>
          <w:u w:val="single"/>
        </w:rPr>
        <w:t>/</w:t>
      </w:r>
    </w:p>
    <w:p w14:paraId="2C1CE8DD">
      <w:pPr>
        <w:tabs>
          <w:tab w:val="left" w:pos="567"/>
        </w:tabs>
        <w:wordWrap w:val="0"/>
        <w:autoSpaceDE w:val="0"/>
        <w:autoSpaceDN w:val="0"/>
        <w:adjustRightInd w:val="0"/>
        <w:snapToGrid w:val="0"/>
        <w:spacing w:before="130" w:line="360" w:lineRule="auto"/>
        <w:ind w:left="5"/>
        <w:textAlignment w:val="baseline"/>
        <w:outlineLvl w:val="1"/>
        <w:rPr>
          <w:rFonts w:ascii="宋体" w:hAnsi="宋体" w:cs="宋体"/>
          <w:sz w:val="30"/>
          <w:szCs w:val="30"/>
        </w:rPr>
      </w:pPr>
      <w:r>
        <w:rPr>
          <w:rFonts w:hint="eastAsia" w:ascii="宋体" w:hAnsi="宋体" w:cs="宋体"/>
          <w:sz w:val="30"/>
          <w:szCs w:val="30"/>
        </w:rPr>
        <w:t>3.监理人</w:t>
      </w:r>
    </w:p>
    <w:p w14:paraId="6C1E26CC">
      <w:pPr>
        <w:tabs>
          <w:tab w:val="left" w:pos="567"/>
        </w:tabs>
        <w:wordWrap w:val="0"/>
        <w:autoSpaceDE w:val="0"/>
        <w:autoSpaceDN w:val="0"/>
        <w:adjustRightInd w:val="0"/>
        <w:snapToGrid w:val="0"/>
        <w:spacing w:before="147" w:line="360" w:lineRule="auto"/>
        <w:ind w:left="5"/>
        <w:textAlignment w:val="baseline"/>
        <w:rPr>
          <w:rFonts w:ascii="宋体" w:hAnsi="宋体" w:cs="宋体"/>
          <w:sz w:val="24"/>
        </w:rPr>
      </w:pPr>
      <w:r>
        <w:rPr>
          <w:rFonts w:hint="eastAsia" w:ascii="宋体" w:hAnsi="宋体" w:cs="宋体"/>
          <w:sz w:val="24"/>
        </w:rPr>
        <w:t>3.1   监理人的职责和权力</w:t>
      </w:r>
    </w:p>
    <w:p w14:paraId="5BC34902">
      <w:pPr>
        <w:tabs>
          <w:tab w:val="left" w:pos="567"/>
        </w:tabs>
        <w:wordWrap w:val="0"/>
        <w:autoSpaceDE w:val="0"/>
        <w:autoSpaceDN w:val="0"/>
        <w:adjustRightInd w:val="0"/>
        <w:snapToGrid w:val="0"/>
        <w:spacing w:before="90" w:line="360" w:lineRule="auto"/>
        <w:ind w:left="424"/>
        <w:textAlignment w:val="baseline"/>
        <w:rPr>
          <w:rFonts w:ascii="宋体" w:hAnsi="宋体" w:cs="宋体"/>
          <w:sz w:val="24"/>
        </w:rPr>
      </w:pPr>
      <w:r>
        <w:rPr>
          <w:rFonts w:hint="eastAsia" w:ascii="宋体" w:hAnsi="宋体" w:cs="宋体"/>
          <w:sz w:val="24"/>
        </w:rPr>
        <w:t>3.1.1   发包人需批准明确行使的权力：</w:t>
      </w:r>
    </w:p>
    <w:p w14:paraId="6DD4B6F4">
      <w:pPr>
        <w:tabs>
          <w:tab w:val="left" w:pos="567"/>
        </w:tabs>
        <w:wordWrap w:val="0"/>
        <w:autoSpaceDE w:val="0"/>
        <w:autoSpaceDN w:val="0"/>
        <w:adjustRightInd w:val="0"/>
        <w:snapToGrid w:val="0"/>
        <w:spacing w:before="100" w:line="360" w:lineRule="auto"/>
        <w:ind w:left="3" w:firstLine="669"/>
        <w:textAlignment w:val="baseline"/>
        <w:rPr>
          <w:rFonts w:ascii="宋体" w:hAnsi="宋体" w:cs="宋体"/>
          <w:sz w:val="24"/>
        </w:rPr>
      </w:pPr>
      <w:r>
        <w:rPr>
          <w:rFonts w:hint="eastAsia" w:ascii="宋体" w:hAnsi="宋体" w:cs="宋体"/>
          <w:sz w:val="24"/>
          <w:u w:val="single"/>
        </w:rPr>
        <w:t>(1)发布开工令、暂时停工或复工令 ; (2)审查工期延长或缩短的合理性 ;（3） 审查批准设计的变更    ，并发出实施变更的指示 ; (4)确定工期、费用索赔及有关暂列金额的使用 ; (5)涉及责任事件的签认需要办理现场签证 ， 以及对材料、设备单位需要进行市场询价、定价的:(6)对不符合规范标准、设计要求或合同约定的材料、构配件、设备命令承包人停止使用;对不符合规范和质量标准的工序、分部分项工程和不安全施工作业   ，命令承包人停工整改或返工  。 (7)对核算后已标价工程量清单的批准 ; (8)监理人要求承包人撤换由其派遣或雇佣的那些工作不能胜任、或玩忽职守、工作不负责任的人员    ，上述撤换的人员未经监理人同意不得重新回到本合同工程工作 。监理无权修改本合同且无权减轻或免除合同约定的承包人的任何责任与义务 。当发包人与监理任何书面通知、指示、同意、批准、证书、决定及其它通讯联络之间出现冲突、矛盾或不一致时 ，最终以发包人的决定为准 。</w:t>
      </w:r>
    </w:p>
    <w:p w14:paraId="147B97B1">
      <w:pPr>
        <w:tabs>
          <w:tab w:val="left" w:pos="567"/>
        </w:tabs>
        <w:wordWrap w:val="0"/>
        <w:autoSpaceDE w:val="0"/>
        <w:autoSpaceDN w:val="0"/>
        <w:adjustRightInd w:val="0"/>
        <w:snapToGrid w:val="0"/>
        <w:spacing w:before="129" w:line="360" w:lineRule="auto"/>
        <w:ind w:left="2"/>
        <w:textAlignment w:val="baseline"/>
        <w:outlineLvl w:val="1"/>
        <w:rPr>
          <w:rFonts w:ascii="宋体" w:hAnsi="宋体" w:cs="宋体"/>
          <w:sz w:val="30"/>
          <w:szCs w:val="30"/>
        </w:rPr>
      </w:pPr>
      <w:r>
        <w:rPr>
          <w:rFonts w:hint="eastAsia" w:ascii="宋体" w:hAnsi="宋体" w:cs="宋体"/>
          <w:sz w:val="30"/>
          <w:szCs w:val="30"/>
        </w:rPr>
        <w:t>4.承包人</w:t>
      </w:r>
    </w:p>
    <w:p w14:paraId="64772E40">
      <w:pPr>
        <w:tabs>
          <w:tab w:val="left" w:pos="567"/>
        </w:tabs>
        <w:wordWrap w:val="0"/>
        <w:autoSpaceDE w:val="0"/>
        <w:autoSpaceDN w:val="0"/>
        <w:adjustRightInd w:val="0"/>
        <w:snapToGrid w:val="0"/>
        <w:spacing w:before="103" w:line="360" w:lineRule="auto"/>
        <w:textAlignment w:val="baseline"/>
        <w:rPr>
          <w:rFonts w:ascii="宋体" w:hAnsi="宋体" w:cs="宋体"/>
          <w:sz w:val="24"/>
        </w:rPr>
      </w:pPr>
      <w:r>
        <w:rPr>
          <w:rFonts w:hint="eastAsia" w:ascii="宋体" w:hAnsi="宋体" w:cs="宋体"/>
          <w:sz w:val="24"/>
        </w:rPr>
        <w:t>4.1   承包人的一般义务</w:t>
      </w:r>
    </w:p>
    <w:p w14:paraId="4B363BFE">
      <w:pPr>
        <w:tabs>
          <w:tab w:val="left" w:pos="567"/>
        </w:tabs>
        <w:wordWrap w:val="0"/>
        <w:autoSpaceDE w:val="0"/>
        <w:autoSpaceDN w:val="0"/>
        <w:adjustRightInd w:val="0"/>
        <w:snapToGrid w:val="0"/>
        <w:spacing w:before="91" w:line="360" w:lineRule="auto"/>
        <w:ind w:left="419"/>
        <w:textAlignment w:val="baseline"/>
        <w:rPr>
          <w:rFonts w:ascii="宋体" w:hAnsi="宋体" w:cs="宋体"/>
          <w:sz w:val="24"/>
        </w:rPr>
      </w:pPr>
      <w:r>
        <w:rPr>
          <w:rFonts w:hint="eastAsia" w:ascii="宋体" w:hAnsi="宋体" w:cs="宋体"/>
          <w:sz w:val="24"/>
        </w:rPr>
        <w:t>4.1.8   为他人提供方便</w:t>
      </w:r>
    </w:p>
    <w:p w14:paraId="7AA86AF1">
      <w:pPr>
        <w:tabs>
          <w:tab w:val="left" w:pos="567"/>
        </w:tabs>
        <w:wordWrap w:val="0"/>
        <w:autoSpaceDE w:val="0"/>
        <w:autoSpaceDN w:val="0"/>
        <w:adjustRightInd w:val="0"/>
        <w:snapToGrid w:val="0"/>
        <w:spacing w:before="84" w:line="360" w:lineRule="auto"/>
        <w:ind w:left="1" w:right="180" w:firstLine="316"/>
        <w:textAlignment w:val="baseline"/>
        <w:rPr>
          <w:rFonts w:ascii="宋体" w:hAnsi="宋体" w:cs="宋体"/>
          <w:sz w:val="24"/>
        </w:rPr>
      </w:pPr>
      <w:r>
        <w:rPr>
          <w:rFonts w:hint="eastAsia" w:ascii="宋体" w:hAnsi="宋体" w:cs="宋体"/>
          <w:sz w:val="24"/>
        </w:rPr>
        <w:t>（1）承包人应当对在施工场地或者附近实施与合同工程有关的其他工作的独立承包人履行管理、协调、配合、照管和服务义务的具体工作内容和要求：</w:t>
      </w:r>
    </w:p>
    <w:p w14:paraId="2A1BA06E">
      <w:pPr>
        <w:tabs>
          <w:tab w:val="left" w:pos="567"/>
        </w:tabs>
        <w:wordWrap w:val="0"/>
        <w:autoSpaceDE w:val="0"/>
        <w:autoSpaceDN w:val="0"/>
        <w:adjustRightInd w:val="0"/>
        <w:snapToGrid w:val="0"/>
        <w:spacing w:before="120" w:line="360" w:lineRule="auto"/>
        <w:ind w:left="424"/>
        <w:textAlignment w:val="baseline"/>
        <w:rPr>
          <w:rFonts w:ascii="宋体" w:hAnsi="宋体" w:cs="宋体"/>
          <w:sz w:val="24"/>
        </w:rPr>
      </w:pPr>
      <w:r>
        <w:rPr>
          <w:rFonts w:hint="eastAsia" w:ascii="宋体" w:hAnsi="宋体" w:cs="宋体"/>
          <w:sz w:val="24"/>
          <w:u w:val="single"/>
        </w:rPr>
        <w:t>为其他独立承包人在使用施工用地、道路和其他公用设施等方面提供方面。</w:t>
      </w:r>
    </w:p>
    <w:p w14:paraId="00E65FA0">
      <w:pPr>
        <w:tabs>
          <w:tab w:val="left" w:pos="567"/>
        </w:tabs>
        <w:wordWrap w:val="0"/>
        <w:autoSpaceDE w:val="0"/>
        <w:autoSpaceDN w:val="0"/>
        <w:adjustRightInd w:val="0"/>
        <w:snapToGrid w:val="0"/>
        <w:spacing w:before="85" w:line="360" w:lineRule="auto"/>
        <w:ind w:left="419"/>
        <w:textAlignment w:val="baseline"/>
        <w:outlineLvl w:val="3"/>
        <w:rPr>
          <w:rFonts w:ascii="宋体" w:hAnsi="宋体" w:cs="宋体"/>
          <w:sz w:val="24"/>
        </w:rPr>
      </w:pPr>
      <w:r>
        <w:rPr>
          <w:rFonts w:hint="eastAsia" w:ascii="宋体" w:hAnsi="宋体" w:cs="宋体"/>
          <w:sz w:val="24"/>
        </w:rPr>
        <w:t>4.1.10   承包人的设计工作</w:t>
      </w:r>
    </w:p>
    <w:p w14:paraId="20EF316D">
      <w:pPr>
        <w:tabs>
          <w:tab w:val="left" w:pos="567"/>
        </w:tabs>
        <w:wordWrap w:val="0"/>
        <w:autoSpaceDE w:val="0"/>
        <w:autoSpaceDN w:val="0"/>
        <w:adjustRightInd w:val="0"/>
        <w:snapToGrid w:val="0"/>
        <w:spacing w:before="82" w:line="360" w:lineRule="auto"/>
        <w:ind w:left="420"/>
        <w:textAlignment w:val="baseline"/>
        <w:rPr>
          <w:rFonts w:ascii="宋体" w:hAnsi="宋体" w:cs="宋体"/>
          <w:sz w:val="24"/>
        </w:rPr>
      </w:pPr>
      <w:r>
        <w:rPr>
          <w:rFonts w:hint="eastAsia" w:ascii="宋体" w:hAnsi="宋体" w:cs="宋体"/>
          <w:sz w:val="24"/>
        </w:rPr>
        <w:t>承包人承担的施工图设计或与工程配套的设计工作内容：</w:t>
      </w:r>
      <w:r>
        <w:rPr>
          <w:rFonts w:hint="eastAsia" w:ascii="宋体" w:hAnsi="宋体" w:cs="宋体"/>
          <w:sz w:val="24"/>
          <w:u w:val="single"/>
        </w:rPr>
        <w:t>/</w:t>
      </w:r>
    </w:p>
    <w:p w14:paraId="1347F433">
      <w:pPr>
        <w:tabs>
          <w:tab w:val="left" w:pos="567"/>
        </w:tabs>
        <w:wordWrap w:val="0"/>
        <w:autoSpaceDE w:val="0"/>
        <w:autoSpaceDN w:val="0"/>
        <w:adjustRightInd w:val="0"/>
        <w:snapToGrid w:val="0"/>
        <w:spacing w:before="82" w:line="360" w:lineRule="auto"/>
        <w:ind w:left="419"/>
        <w:textAlignment w:val="baseline"/>
        <w:rPr>
          <w:rFonts w:ascii="宋体" w:hAnsi="宋体" w:cs="宋体"/>
          <w:sz w:val="24"/>
        </w:rPr>
      </w:pPr>
      <w:r>
        <w:rPr>
          <w:rFonts w:hint="eastAsia" w:ascii="宋体" w:hAnsi="宋体" w:cs="宋体"/>
          <w:sz w:val="24"/>
        </w:rPr>
        <w:t>4.1.13   其他义务</w:t>
      </w:r>
    </w:p>
    <w:p w14:paraId="4A700016">
      <w:pPr>
        <w:tabs>
          <w:tab w:val="left" w:pos="567"/>
        </w:tabs>
        <w:wordWrap w:val="0"/>
        <w:autoSpaceDE w:val="0"/>
        <w:autoSpaceDN w:val="0"/>
        <w:adjustRightInd w:val="0"/>
        <w:snapToGrid w:val="0"/>
        <w:spacing w:before="85" w:line="360" w:lineRule="auto"/>
        <w:ind w:right="180" w:firstLine="318"/>
        <w:textAlignment w:val="baseline"/>
        <w:rPr>
          <w:rFonts w:ascii="宋体" w:hAnsi="宋体" w:cs="宋体"/>
          <w:sz w:val="24"/>
        </w:rPr>
      </w:pPr>
      <w:r>
        <w:rPr>
          <w:rFonts w:hint="eastAsia" w:ascii="宋体" w:hAnsi="宋体" w:cs="宋体"/>
          <w:sz w:val="24"/>
        </w:rPr>
        <w:t>（1）安全生产标准化措施费由承包人统一管理 ，承包人对工程安全生产标准化负总责 。承包人不按分包合同约定支付安全生产标准化措施费 ，造成分包人不能及时落实安全防护措施导致发生事故的 ， 由承包人负主要责任。</w:t>
      </w:r>
    </w:p>
    <w:p w14:paraId="45C02CFD">
      <w:pPr>
        <w:tabs>
          <w:tab w:val="left" w:pos="567"/>
        </w:tabs>
        <w:wordWrap w:val="0"/>
        <w:autoSpaceDE w:val="0"/>
        <w:autoSpaceDN w:val="0"/>
        <w:adjustRightInd w:val="0"/>
        <w:snapToGrid w:val="0"/>
        <w:spacing w:before="78" w:line="360" w:lineRule="auto"/>
        <w:ind w:right="453" w:firstLine="240" w:firstLineChars="100"/>
        <w:textAlignment w:val="baseline"/>
        <w:rPr>
          <w:rFonts w:ascii="宋体" w:hAnsi="宋体" w:cs="宋体"/>
          <w:sz w:val="24"/>
        </w:rPr>
      </w:pPr>
      <w:r>
        <w:rPr>
          <w:rFonts w:hint="eastAsia" w:ascii="宋体" w:hAnsi="宋体" w:cs="宋体"/>
          <w:sz w:val="24"/>
        </w:rPr>
        <w:t>（2）承包人应使用符合北京市《建筑类涂料与胶粘剂挥发性有机化合物含量限值标准》（DB11/ 1983-2022）相关要求的产品。</w:t>
      </w:r>
    </w:p>
    <w:p w14:paraId="788AB1BC">
      <w:pPr>
        <w:tabs>
          <w:tab w:val="left" w:pos="567"/>
        </w:tabs>
        <w:wordWrap w:val="0"/>
        <w:autoSpaceDE w:val="0"/>
        <w:autoSpaceDN w:val="0"/>
        <w:adjustRightInd w:val="0"/>
        <w:snapToGrid w:val="0"/>
        <w:spacing w:before="90" w:line="360" w:lineRule="auto"/>
        <w:ind w:left="318"/>
        <w:textAlignment w:val="baseline"/>
        <w:rPr>
          <w:rFonts w:ascii="宋体" w:hAnsi="宋体" w:cs="宋体"/>
          <w:sz w:val="24"/>
        </w:rPr>
      </w:pPr>
      <w:r>
        <w:rPr>
          <w:rFonts w:hint="eastAsia" w:ascii="宋体" w:hAnsi="宋体" w:cs="宋体"/>
          <w:sz w:val="24"/>
        </w:rPr>
        <w:t>（3）承包人应履行的其他义务：</w:t>
      </w:r>
      <w:r>
        <w:rPr>
          <w:rFonts w:hint="eastAsia" w:ascii="宋体" w:hAnsi="宋体" w:cs="宋体"/>
          <w:sz w:val="24"/>
          <w:u w:val="single"/>
        </w:rPr>
        <w:t>/</w:t>
      </w:r>
    </w:p>
    <w:p w14:paraId="7BD1729A">
      <w:pPr>
        <w:tabs>
          <w:tab w:val="left" w:pos="567"/>
        </w:tabs>
        <w:wordWrap w:val="0"/>
        <w:autoSpaceDE w:val="0"/>
        <w:autoSpaceDN w:val="0"/>
        <w:adjustRightInd w:val="0"/>
        <w:snapToGrid w:val="0"/>
        <w:spacing w:before="146" w:line="360" w:lineRule="auto"/>
        <w:textAlignment w:val="baseline"/>
        <w:outlineLvl w:val="2"/>
        <w:rPr>
          <w:rFonts w:ascii="宋体" w:hAnsi="宋体" w:cs="宋体"/>
          <w:sz w:val="24"/>
        </w:rPr>
      </w:pPr>
      <w:r>
        <w:rPr>
          <w:rFonts w:hint="eastAsia" w:ascii="宋体" w:hAnsi="宋体" w:cs="宋体"/>
          <w:sz w:val="24"/>
        </w:rPr>
        <w:t>4.2   履约担保</w:t>
      </w:r>
    </w:p>
    <w:p w14:paraId="2D268125">
      <w:pPr>
        <w:tabs>
          <w:tab w:val="left" w:pos="567"/>
        </w:tabs>
        <w:wordWrap w:val="0"/>
        <w:autoSpaceDE w:val="0"/>
        <w:autoSpaceDN w:val="0"/>
        <w:adjustRightInd w:val="0"/>
        <w:snapToGrid w:val="0"/>
        <w:spacing w:before="90" w:line="360" w:lineRule="auto"/>
        <w:ind w:left="418"/>
        <w:textAlignment w:val="baseline"/>
        <w:rPr>
          <w:rFonts w:ascii="宋体" w:hAnsi="宋体" w:cs="宋体"/>
          <w:sz w:val="24"/>
        </w:rPr>
      </w:pPr>
      <w:r>
        <w:rPr>
          <w:rFonts w:hint="eastAsia" w:ascii="宋体" w:hAnsi="宋体" w:cs="宋体"/>
          <w:sz w:val="24"/>
        </w:rPr>
        <w:t>4.2.1   承包人履约担保的格式和金额</w:t>
      </w:r>
    </w:p>
    <w:p w14:paraId="39354461">
      <w:pPr>
        <w:tabs>
          <w:tab w:val="left" w:pos="567"/>
        </w:tabs>
        <w:wordWrap w:val="0"/>
        <w:autoSpaceDE w:val="0"/>
        <w:autoSpaceDN w:val="0"/>
        <w:adjustRightInd w:val="0"/>
        <w:snapToGrid w:val="0"/>
        <w:spacing w:before="102" w:line="360" w:lineRule="auto"/>
        <w:ind w:left="423"/>
        <w:textAlignment w:val="baseline"/>
        <w:rPr>
          <w:rFonts w:ascii="宋体" w:hAnsi="宋体" w:cs="宋体"/>
          <w:sz w:val="24"/>
        </w:rPr>
      </w:pPr>
      <w:r>
        <w:rPr>
          <w:rFonts w:hint="eastAsia" w:ascii="宋体" w:hAnsi="宋体" w:cs="宋体"/>
          <w:sz w:val="24"/>
        </w:rPr>
        <w:t>发包人</w:t>
      </w:r>
      <w:r>
        <w:rPr>
          <w:rFonts w:hint="eastAsia" w:ascii="宋体" w:hAnsi="宋体" w:cs="宋体"/>
          <w:sz w:val="24"/>
          <w:u w:val="single"/>
        </w:rPr>
        <w:t>不要求</w:t>
      </w:r>
      <w:r>
        <w:rPr>
          <w:rFonts w:hint="eastAsia" w:ascii="宋体" w:hAnsi="宋体" w:cs="宋体"/>
          <w:sz w:val="24"/>
        </w:rPr>
        <w:t>承包人提供承包人履约担保。</w:t>
      </w:r>
    </w:p>
    <w:p w14:paraId="4B8D1235">
      <w:pPr>
        <w:tabs>
          <w:tab w:val="left" w:pos="567"/>
        </w:tabs>
        <w:wordWrap w:val="0"/>
        <w:autoSpaceDE w:val="0"/>
        <w:autoSpaceDN w:val="0"/>
        <w:adjustRightInd w:val="0"/>
        <w:snapToGrid w:val="0"/>
        <w:spacing w:before="103" w:line="360" w:lineRule="auto"/>
        <w:ind w:left="419"/>
        <w:textAlignment w:val="baseline"/>
        <w:rPr>
          <w:rFonts w:ascii="宋体" w:hAnsi="宋体" w:cs="宋体"/>
          <w:sz w:val="24"/>
        </w:rPr>
      </w:pPr>
      <w:r>
        <w:rPr>
          <w:rFonts w:hint="eastAsia" w:ascii="宋体" w:hAnsi="宋体" w:cs="宋体"/>
          <w:sz w:val="24"/>
        </w:rPr>
        <w:t>承包人履约担保的金额为</w:t>
      </w:r>
      <w:r>
        <w:rPr>
          <w:rFonts w:hint="eastAsia" w:ascii="宋体" w:hAnsi="宋体" w:cs="宋体"/>
          <w:sz w:val="24"/>
          <w:u w:val="single"/>
        </w:rPr>
        <w:t>/</w:t>
      </w:r>
    </w:p>
    <w:p w14:paraId="7E005457">
      <w:pPr>
        <w:tabs>
          <w:tab w:val="left" w:pos="567"/>
        </w:tabs>
        <w:wordWrap w:val="0"/>
        <w:autoSpaceDE w:val="0"/>
        <w:autoSpaceDN w:val="0"/>
        <w:adjustRightInd w:val="0"/>
        <w:snapToGrid w:val="0"/>
        <w:spacing w:before="104" w:line="360" w:lineRule="auto"/>
        <w:textAlignment w:val="baseline"/>
        <w:outlineLvl w:val="2"/>
        <w:rPr>
          <w:rFonts w:ascii="宋体" w:hAnsi="宋体" w:cs="宋体"/>
          <w:sz w:val="24"/>
        </w:rPr>
      </w:pPr>
      <w:r>
        <w:rPr>
          <w:rFonts w:hint="eastAsia" w:ascii="宋体" w:hAnsi="宋体" w:cs="宋体"/>
          <w:sz w:val="24"/>
        </w:rPr>
        <w:t>4.11   不利物质条件</w:t>
      </w:r>
    </w:p>
    <w:p w14:paraId="6DB08CAE">
      <w:pPr>
        <w:tabs>
          <w:tab w:val="left" w:pos="567"/>
        </w:tabs>
        <w:wordWrap w:val="0"/>
        <w:autoSpaceDE w:val="0"/>
        <w:autoSpaceDN w:val="0"/>
        <w:adjustRightInd w:val="0"/>
        <w:snapToGrid w:val="0"/>
        <w:spacing w:before="90" w:line="360" w:lineRule="auto"/>
        <w:ind w:left="418"/>
        <w:textAlignment w:val="baseline"/>
        <w:outlineLvl w:val="3"/>
        <w:rPr>
          <w:rFonts w:ascii="宋体" w:hAnsi="宋体" w:cs="宋体"/>
          <w:sz w:val="24"/>
        </w:rPr>
      </w:pPr>
      <w:r>
        <w:rPr>
          <w:rFonts w:hint="eastAsia" w:ascii="宋体" w:hAnsi="宋体" w:cs="宋体"/>
          <w:sz w:val="24"/>
        </w:rPr>
        <w:t>4.11.1   不利物质条件的范围：</w:t>
      </w:r>
    </w:p>
    <w:p w14:paraId="2911F1D0">
      <w:pPr>
        <w:tabs>
          <w:tab w:val="left" w:pos="567"/>
        </w:tabs>
        <w:wordWrap w:val="0"/>
        <w:autoSpaceDE w:val="0"/>
        <w:autoSpaceDN w:val="0"/>
        <w:adjustRightInd w:val="0"/>
        <w:snapToGrid w:val="0"/>
        <w:spacing w:before="103" w:line="360" w:lineRule="auto"/>
        <w:ind w:left="525"/>
        <w:textAlignment w:val="baseline"/>
        <w:rPr>
          <w:rFonts w:ascii="宋体" w:hAnsi="宋体" w:cs="宋体"/>
          <w:sz w:val="24"/>
        </w:rPr>
      </w:pPr>
      <w:r>
        <w:rPr>
          <w:rFonts w:hint="eastAsia" w:ascii="宋体" w:hAnsi="宋体" w:cs="宋体"/>
          <w:sz w:val="24"/>
          <w:u w:val="single"/>
        </w:rPr>
        <w:t>执行通用条款4.11</w:t>
      </w:r>
    </w:p>
    <w:p w14:paraId="3076831E">
      <w:pPr>
        <w:tabs>
          <w:tab w:val="left" w:pos="567"/>
        </w:tabs>
        <w:wordWrap w:val="0"/>
        <w:autoSpaceDE w:val="0"/>
        <w:autoSpaceDN w:val="0"/>
        <w:adjustRightInd w:val="0"/>
        <w:snapToGrid w:val="0"/>
        <w:spacing w:before="129" w:line="360" w:lineRule="auto"/>
        <w:ind w:left="9"/>
        <w:textAlignment w:val="baseline"/>
        <w:outlineLvl w:val="1"/>
        <w:rPr>
          <w:rFonts w:ascii="宋体" w:hAnsi="宋体" w:cs="宋体"/>
          <w:sz w:val="30"/>
          <w:szCs w:val="30"/>
        </w:rPr>
      </w:pPr>
      <w:r>
        <w:rPr>
          <w:rFonts w:hint="eastAsia" w:ascii="宋体" w:hAnsi="宋体" w:cs="宋体"/>
          <w:sz w:val="30"/>
          <w:szCs w:val="30"/>
        </w:rPr>
        <w:t>5.材料</w:t>
      </w:r>
    </w:p>
    <w:p w14:paraId="4D90E579">
      <w:pPr>
        <w:tabs>
          <w:tab w:val="left" w:pos="567"/>
        </w:tabs>
        <w:wordWrap w:val="0"/>
        <w:autoSpaceDE w:val="0"/>
        <w:autoSpaceDN w:val="0"/>
        <w:adjustRightInd w:val="0"/>
        <w:snapToGrid w:val="0"/>
        <w:spacing w:before="103" w:line="360" w:lineRule="auto"/>
        <w:ind w:left="5"/>
        <w:textAlignment w:val="baseline"/>
        <w:outlineLvl w:val="2"/>
        <w:rPr>
          <w:rFonts w:ascii="宋体" w:hAnsi="宋体" w:cs="宋体"/>
          <w:sz w:val="24"/>
        </w:rPr>
      </w:pPr>
      <w:r>
        <w:rPr>
          <w:rFonts w:hint="eastAsia" w:ascii="宋体" w:hAnsi="宋体" w:cs="宋体"/>
          <w:sz w:val="24"/>
        </w:rPr>
        <w:t>5.1   承包人提供的材料</w:t>
      </w:r>
    </w:p>
    <w:p w14:paraId="4AC0290D">
      <w:pPr>
        <w:tabs>
          <w:tab w:val="left" w:pos="567"/>
        </w:tabs>
        <w:wordWrap w:val="0"/>
        <w:autoSpaceDE w:val="0"/>
        <w:autoSpaceDN w:val="0"/>
        <w:adjustRightInd w:val="0"/>
        <w:snapToGrid w:val="0"/>
        <w:spacing w:before="90" w:line="360" w:lineRule="auto"/>
        <w:ind w:right="8" w:firstLine="423"/>
        <w:textAlignment w:val="baseline"/>
        <w:rPr>
          <w:rFonts w:ascii="宋体" w:hAnsi="宋体" w:cs="宋体"/>
          <w:sz w:val="24"/>
        </w:rPr>
      </w:pPr>
      <w:r>
        <w:rPr>
          <w:rFonts w:hint="eastAsia" w:ascii="宋体" w:hAnsi="宋体" w:cs="宋体"/>
          <w:sz w:val="24"/>
        </w:rPr>
        <w:t>5.1.2承包人将由其提供的材料的供货人和品种、规格、数量及供货时间等报送监理人审批的期限 ：</w:t>
      </w:r>
      <w:r>
        <w:rPr>
          <w:rFonts w:hint="eastAsia" w:ascii="宋体" w:hAnsi="宋体" w:cs="宋体"/>
          <w:sz w:val="24"/>
          <w:u w:val="single"/>
        </w:rPr>
        <w:t>承包人应当在相应材料和工程设备进场前7天将相应材料和工程设备的供货人及采购品种、规格、数量和供货时间等报送监理人审批 ，监理人应当在7天内提出审批意见 。</w:t>
      </w:r>
    </w:p>
    <w:p w14:paraId="48F3A63F">
      <w:pPr>
        <w:tabs>
          <w:tab w:val="left" w:pos="567"/>
        </w:tabs>
        <w:wordWrap w:val="0"/>
        <w:autoSpaceDE w:val="0"/>
        <w:autoSpaceDN w:val="0"/>
        <w:adjustRightInd w:val="0"/>
        <w:snapToGrid w:val="0"/>
        <w:spacing w:before="296" w:line="360" w:lineRule="auto"/>
        <w:ind w:left="5"/>
        <w:textAlignment w:val="baseline"/>
        <w:rPr>
          <w:rFonts w:ascii="宋体" w:hAnsi="宋体" w:cs="宋体"/>
          <w:sz w:val="24"/>
        </w:rPr>
      </w:pPr>
      <w:r>
        <w:rPr>
          <w:rFonts w:hint="eastAsia" w:ascii="宋体" w:hAnsi="宋体" w:cs="宋体"/>
          <w:sz w:val="24"/>
        </w:rPr>
        <w:t>5.2   发包人提供的材料</w:t>
      </w:r>
    </w:p>
    <w:p w14:paraId="463DA683">
      <w:pPr>
        <w:tabs>
          <w:tab w:val="left" w:pos="567"/>
        </w:tabs>
        <w:wordWrap w:val="0"/>
        <w:autoSpaceDE w:val="0"/>
        <w:autoSpaceDN w:val="0"/>
        <w:adjustRightInd w:val="0"/>
        <w:snapToGrid w:val="0"/>
        <w:spacing w:before="104" w:line="360" w:lineRule="auto"/>
        <w:ind w:left="4" w:right="8" w:firstLine="419"/>
        <w:textAlignment w:val="baseline"/>
        <w:rPr>
          <w:rFonts w:ascii="宋体" w:hAnsi="宋体" w:cs="宋体"/>
          <w:sz w:val="24"/>
        </w:rPr>
      </w:pPr>
      <w:r>
        <w:rPr>
          <w:rFonts w:hint="eastAsia" w:ascii="宋体" w:hAnsi="宋体" w:cs="宋体"/>
          <w:sz w:val="24"/>
        </w:rPr>
        <w:t>5.2.7</w:t>
      </w:r>
      <w:r>
        <w:rPr>
          <w:rFonts w:hint="eastAsia" w:ascii="宋体" w:hAnsi="宋体" w:cs="宋体"/>
          <w:w w:val="101"/>
          <w:sz w:val="24"/>
        </w:rPr>
        <w:t xml:space="preserve">  </w:t>
      </w:r>
      <w:r>
        <w:rPr>
          <w:rFonts w:hint="eastAsia" w:ascii="宋体" w:hAnsi="宋体" w:cs="宋体"/>
          <w:sz w:val="24"/>
        </w:rPr>
        <w:t xml:space="preserve">因承包人原因引起发包人提供的材料的实际领用数量超过 </w:t>
      </w:r>
      <w:r>
        <w:rPr>
          <w:rFonts w:hint="eastAsia" w:ascii="宋体" w:hAnsi="宋体" w:cs="宋体"/>
          <w:sz w:val="24"/>
          <w:u w:val="single"/>
        </w:rPr>
        <w:t>按图纸计算的实际数量（适用于采用单价合同形式）</w:t>
      </w:r>
      <w:r>
        <w:rPr>
          <w:rFonts w:hint="eastAsia" w:ascii="宋体" w:hAnsi="宋体" w:cs="宋体"/>
          <w:sz w:val="24"/>
        </w:rPr>
        <w:t xml:space="preserve"> 及材料有效损耗时 ，超出部分的材料费用由承包人承担。</w:t>
      </w:r>
    </w:p>
    <w:p w14:paraId="4629D172">
      <w:pPr>
        <w:tabs>
          <w:tab w:val="left" w:pos="567"/>
        </w:tabs>
        <w:wordWrap w:val="0"/>
        <w:autoSpaceDE w:val="0"/>
        <w:autoSpaceDN w:val="0"/>
        <w:adjustRightInd w:val="0"/>
        <w:snapToGrid w:val="0"/>
        <w:spacing w:before="3" w:line="360" w:lineRule="auto"/>
        <w:ind w:left="1" w:right="293" w:firstLine="418"/>
        <w:textAlignment w:val="baseline"/>
        <w:rPr>
          <w:rFonts w:ascii="宋体" w:hAnsi="宋体" w:cs="宋体"/>
          <w:sz w:val="24"/>
        </w:rPr>
      </w:pPr>
      <w:r>
        <w:rPr>
          <w:rFonts w:hint="eastAsia" w:ascii="宋体" w:hAnsi="宋体" w:cs="宋体"/>
          <w:sz w:val="24"/>
        </w:rPr>
        <w:t>材料有效损耗=按上述约定计算的数量×“ 附件四：发包人提供的材料一览表 ”中对应的有效损耗率。</w:t>
      </w:r>
    </w:p>
    <w:p w14:paraId="4D54E4CB">
      <w:pPr>
        <w:tabs>
          <w:tab w:val="left" w:pos="567"/>
        </w:tabs>
        <w:wordWrap w:val="0"/>
        <w:autoSpaceDE w:val="0"/>
        <w:autoSpaceDN w:val="0"/>
        <w:adjustRightInd w:val="0"/>
        <w:snapToGrid w:val="0"/>
        <w:spacing w:before="354" w:line="360" w:lineRule="auto"/>
        <w:ind w:left="5"/>
        <w:textAlignment w:val="baseline"/>
        <w:outlineLvl w:val="1"/>
        <w:rPr>
          <w:rFonts w:ascii="宋体" w:hAnsi="宋体" w:cs="宋体"/>
          <w:sz w:val="30"/>
          <w:szCs w:val="30"/>
        </w:rPr>
      </w:pPr>
      <w:r>
        <w:rPr>
          <w:rFonts w:hint="eastAsia" w:ascii="宋体" w:hAnsi="宋体" w:cs="宋体"/>
          <w:sz w:val="30"/>
          <w:szCs w:val="30"/>
        </w:rPr>
        <w:t>6.施工设备和临时设施</w:t>
      </w:r>
    </w:p>
    <w:p w14:paraId="4CDA2C8B">
      <w:pPr>
        <w:wordWrap w:val="0"/>
        <w:autoSpaceDE w:val="0"/>
        <w:autoSpaceDN w:val="0"/>
        <w:adjustRightInd w:val="0"/>
        <w:snapToGrid w:val="0"/>
        <w:spacing w:line="360" w:lineRule="auto"/>
        <w:textAlignment w:val="baseline"/>
        <w:rPr>
          <w:rFonts w:ascii="宋体" w:hAnsi="宋体" w:cs="宋体"/>
        </w:rPr>
      </w:pPr>
    </w:p>
    <w:p w14:paraId="68EBA071">
      <w:pPr>
        <w:tabs>
          <w:tab w:val="left" w:pos="567"/>
        </w:tabs>
        <w:wordWrap w:val="0"/>
        <w:autoSpaceDE w:val="0"/>
        <w:autoSpaceDN w:val="0"/>
        <w:adjustRightInd w:val="0"/>
        <w:snapToGrid w:val="0"/>
        <w:spacing w:before="104" w:line="360" w:lineRule="auto"/>
        <w:ind w:left="2"/>
        <w:textAlignment w:val="baseline"/>
        <w:outlineLvl w:val="2"/>
        <w:rPr>
          <w:rFonts w:ascii="宋体" w:hAnsi="宋体" w:cs="宋体"/>
          <w:sz w:val="24"/>
        </w:rPr>
      </w:pPr>
      <w:r>
        <w:rPr>
          <w:rFonts w:hint="eastAsia" w:ascii="宋体" w:hAnsi="宋体" w:cs="宋体"/>
          <w:sz w:val="24"/>
        </w:rPr>
        <w:t>6.1   承包人提供的施工设备和临时设施</w:t>
      </w:r>
    </w:p>
    <w:p w14:paraId="327707FC">
      <w:pPr>
        <w:tabs>
          <w:tab w:val="left" w:pos="567"/>
        </w:tabs>
        <w:wordWrap w:val="0"/>
        <w:autoSpaceDE w:val="0"/>
        <w:autoSpaceDN w:val="0"/>
        <w:adjustRightInd w:val="0"/>
        <w:snapToGrid w:val="0"/>
        <w:spacing w:before="91" w:line="360" w:lineRule="auto"/>
        <w:ind w:left="421"/>
        <w:textAlignment w:val="baseline"/>
        <w:rPr>
          <w:rFonts w:ascii="宋体" w:hAnsi="宋体" w:cs="宋体"/>
          <w:sz w:val="24"/>
        </w:rPr>
      </w:pPr>
      <w:r>
        <w:rPr>
          <w:rFonts w:hint="eastAsia" w:ascii="宋体" w:hAnsi="宋体" w:cs="宋体"/>
          <w:sz w:val="24"/>
        </w:rPr>
        <w:t>6.1.2   承包人承担自行修建临时设施费用的范围：</w:t>
      </w:r>
    </w:p>
    <w:p w14:paraId="1B7A2ED5">
      <w:pPr>
        <w:tabs>
          <w:tab w:val="left" w:pos="567"/>
        </w:tabs>
        <w:wordWrap w:val="0"/>
        <w:autoSpaceDE w:val="0"/>
        <w:autoSpaceDN w:val="0"/>
        <w:adjustRightInd w:val="0"/>
        <w:snapToGrid w:val="0"/>
        <w:spacing w:before="103" w:line="360" w:lineRule="auto"/>
        <w:ind w:left="6" w:firstLine="746"/>
        <w:textAlignment w:val="baseline"/>
        <w:rPr>
          <w:rFonts w:ascii="宋体" w:hAnsi="宋体" w:cs="宋体"/>
          <w:sz w:val="24"/>
        </w:rPr>
      </w:pPr>
      <w:r>
        <w:rPr>
          <w:rFonts w:hint="eastAsia" w:ascii="宋体" w:hAnsi="宋体" w:cs="宋体"/>
          <w:sz w:val="24"/>
          <w:u w:val="single"/>
        </w:rPr>
        <w:t>依据施工组织设计和现场实际需要为完成工程所自行修建的一切临时的或其他设施 ，并在开工后7日内 ，将临建设施详细实施方案和内容报送监理单位备案 。</w:t>
      </w:r>
    </w:p>
    <w:p w14:paraId="39636484">
      <w:pPr>
        <w:tabs>
          <w:tab w:val="left" w:pos="567"/>
        </w:tabs>
        <w:wordWrap w:val="0"/>
        <w:autoSpaceDE w:val="0"/>
        <w:autoSpaceDN w:val="0"/>
        <w:adjustRightInd w:val="0"/>
        <w:snapToGrid w:val="0"/>
        <w:spacing w:before="120" w:line="360" w:lineRule="auto"/>
        <w:ind w:left="423"/>
        <w:textAlignment w:val="baseline"/>
        <w:rPr>
          <w:rFonts w:ascii="宋体" w:hAnsi="宋体" w:cs="宋体"/>
          <w:sz w:val="24"/>
        </w:rPr>
      </w:pPr>
      <w:r>
        <w:rPr>
          <w:rFonts w:hint="eastAsia" w:ascii="宋体" w:hAnsi="宋体" w:cs="宋体"/>
          <w:sz w:val="24"/>
        </w:rPr>
        <w:t>发包人办理申请手续并承担相关费用的临时占地：</w:t>
      </w:r>
    </w:p>
    <w:p w14:paraId="3513EC34">
      <w:pPr>
        <w:tabs>
          <w:tab w:val="left" w:pos="567"/>
        </w:tabs>
        <w:wordWrap w:val="0"/>
        <w:autoSpaceDE w:val="0"/>
        <w:autoSpaceDN w:val="0"/>
        <w:adjustRightInd w:val="0"/>
        <w:snapToGrid w:val="0"/>
        <w:spacing w:before="103" w:line="360" w:lineRule="auto"/>
        <w:ind w:left="526"/>
        <w:textAlignment w:val="baseline"/>
        <w:rPr>
          <w:rFonts w:ascii="宋体" w:hAnsi="宋体" w:cs="宋体"/>
          <w:sz w:val="24"/>
          <w:u w:val="single"/>
        </w:rPr>
      </w:pPr>
      <w:r>
        <w:rPr>
          <w:rFonts w:hint="eastAsia" w:ascii="宋体" w:hAnsi="宋体" w:cs="宋体"/>
          <w:sz w:val="24"/>
          <w:u w:val="single"/>
        </w:rPr>
        <w:t>若临时设施修建涉及临时占地的，费用及手续由承包人自行承担 。</w:t>
      </w:r>
    </w:p>
    <w:p w14:paraId="58594EF8">
      <w:pPr>
        <w:tabs>
          <w:tab w:val="left" w:pos="567"/>
        </w:tabs>
        <w:wordWrap w:val="0"/>
        <w:autoSpaceDE w:val="0"/>
        <w:autoSpaceDN w:val="0"/>
        <w:adjustRightInd w:val="0"/>
        <w:snapToGrid w:val="0"/>
        <w:spacing w:before="103" w:line="360" w:lineRule="auto"/>
        <w:ind w:left="526"/>
        <w:textAlignment w:val="baseline"/>
        <w:rPr>
          <w:rFonts w:ascii="宋体" w:hAnsi="宋体" w:cs="宋体"/>
          <w:sz w:val="24"/>
        </w:rPr>
      </w:pPr>
      <w:r>
        <w:rPr>
          <w:rFonts w:hint="eastAsia" w:ascii="宋体" w:hAnsi="宋体" w:cs="宋体"/>
          <w:sz w:val="24"/>
        </w:rPr>
        <w:t>6.2发包人提供的施工设备和临时设施</w:t>
      </w:r>
    </w:p>
    <w:p w14:paraId="75377641">
      <w:pPr>
        <w:tabs>
          <w:tab w:val="left" w:pos="567"/>
        </w:tabs>
        <w:wordWrap w:val="0"/>
        <w:autoSpaceDE w:val="0"/>
        <w:autoSpaceDN w:val="0"/>
        <w:adjustRightInd w:val="0"/>
        <w:snapToGrid w:val="0"/>
        <w:spacing w:before="90" w:line="360" w:lineRule="auto"/>
        <w:ind w:left="424"/>
        <w:textAlignment w:val="baseline"/>
        <w:rPr>
          <w:rFonts w:ascii="宋体" w:hAnsi="宋体" w:cs="宋体"/>
          <w:sz w:val="24"/>
        </w:rPr>
      </w:pPr>
      <w:r>
        <w:rPr>
          <w:rFonts w:hint="eastAsia" w:ascii="宋体" w:hAnsi="宋体" w:cs="宋体"/>
          <w:sz w:val="24"/>
        </w:rPr>
        <w:t>发包人提供的施工设备和临时设施：</w:t>
      </w:r>
    </w:p>
    <w:p w14:paraId="6BC0869C">
      <w:pPr>
        <w:tabs>
          <w:tab w:val="left" w:pos="567"/>
        </w:tabs>
        <w:wordWrap w:val="0"/>
        <w:autoSpaceDE w:val="0"/>
        <w:autoSpaceDN w:val="0"/>
        <w:adjustRightInd w:val="0"/>
        <w:snapToGrid w:val="0"/>
        <w:spacing w:before="102" w:line="360" w:lineRule="auto"/>
        <w:ind w:firstLine="752"/>
        <w:textAlignment w:val="baseline"/>
        <w:rPr>
          <w:rFonts w:ascii="宋体" w:hAnsi="宋体" w:cs="宋体"/>
          <w:sz w:val="24"/>
        </w:rPr>
      </w:pPr>
      <w:r>
        <w:rPr>
          <w:rFonts w:hint="eastAsia" w:ascii="宋体" w:hAnsi="宋体" w:cs="宋体"/>
          <w:sz w:val="24"/>
          <w:u w:val="single"/>
        </w:rPr>
        <w:t>本合同工程发包人不提供施工设备和临时设施 。施工过程中需要临时占地的 ，发包人将配合承包人办理占地申请手续 。</w:t>
      </w:r>
    </w:p>
    <w:p w14:paraId="53F8F732">
      <w:pPr>
        <w:tabs>
          <w:tab w:val="left" w:pos="567"/>
        </w:tabs>
        <w:wordWrap w:val="0"/>
        <w:autoSpaceDE w:val="0"/>
        <w:autoSpaceDN w:val="0"/>
        <w:adjustRightInd w:val="0"/>
        <w:snapToGrid w:val="0"/>
        <w:spacing w:before="120" w:line="360" w:lineRule="auto"/>
        <w:ind w:left="424"/>
        <w:textAlignment w:val="baseline"/>
        <w:rPr>
          <w:rFonts w:ascii="宋体" w:hAnsi="宋体" w:cs="宋体"/>
          <w:sz w:val="24"/>
        </w:rPr>
      </w:pPr>
      <w:r>
        <w:rPr>
          <w:rFonts w:hint="eastAsia" w:ascii="宋体" w:hAnsi="宋体" w:cs="宋体"/>
          <w:sz w:val="24"/>
        </w:rPr>
        <w:t>发包人提供的施工设备和临时设施的运行、维护、拆除、清运费用的承担人：</w:t>
      </w:r>
      <w:r>
        <w:rPr>
          <w:rFonts w:hint="eastAsia" w:ascii="宋体" w:hAnsi="宋体" w:cs="宋体"/>
          <w:sz w:val="24"/>
          <w:u w:val="single"/>
        </w:rPr>
        <w:t>承包人</w:t>
      </w:r>
    </w:p>
    <w:p w14:paraId="113021FE">
      <w:pPr>
        <w:tabs>
          <w:tab w:val="left" w:pos="567"/>
        </w:tabs>
        <w:wordWrap w:val="0"/>
        <w:autoSpaceDE w:val="0"/>
        <w:autoSpaceDN w:val="0"/>
        <w:adjustRightInd w:val="0"/>
        <w:snapToGrid w:val="0"/>
        <w:spacing w:before="128" w:line="360" w:lineRule="auto"/>
        <w:ind w:left="11"/>
        <w:textAlignment w:val="baseline"/>
        <w:outlineLvl w:val="1"/>
        <w:rPr>
          <w:rFonts w:ascii="宋体" w:hAnsi="宋体" w:cs="宋体"/>
          <w:sz w:val="30"/>
          <w:szCs w:val="30"/>
        </w:rPr>
      </w:pPr>
      <w:r>
        <w:rPr>
          <w:rFonts w:hint="eastAsia" w:ascii="宋体" w:hAnsi="宋体" w:cs="宋体"/>
          <w:sz w:val="30"/>
          <w:szCs w:val="30"/>
        </w:rPr>
        <w:t>7.交通运输</w:t>
      </w:r>
    </w:p>
    <w:p w14:paraId="7E94C52B">
      <w:pPr>
        <w:tabs>
          <w:tab w:val="left" w:pos="567"/>
        </w:tabs>
        <w:wordWrap w:val="0"/>
        <w:autoSpaceDE w:val="0"/>
        <w:autoSpaceDN w:val="0"/>
        <w:adjustRightInd w:val="0"/>
        <w:snapToGrid w:val="0"/>
        <w:spacing w:before="103" w:line="360" w:lineRule="auto"/>
        <w:ind w:left="7"/>
        <w:textAlignment w:val="baseline"/>
        <w:outlineLvl w:val="2"/>
        <w:rPr>
          <w:rFonts w:ascii="宋体" w:hAnsi="宋体" w:cs="宋体"/>
          <w:sz w:val="24"/>
        </w:rPr>
      </w:pPr>
      <w:r>
        <w:rPr>
          <w:rFonts w:hint="eastAsia" w:ascii="宋体" w:hAnsi="宋体" w:cs="宋体"/>
          <w:sz w:val="24"/>
        </w:rPr>
        <w:t>7.1   道路通行权和场外设施</w:t>
      </w:r>
    </w:p>
    <w:p w14:paraId="2C5CEFCB">
      <w:pPr>
        <w:tabs>
          <w:tab w:val="left" w:pos="567"/>
        </w:tabs>
        <w:wordWrap w:val="0"/>
        <w:autoSpaceDE w:val="0"/>
        <w:autoSpaceDN w:val="0"/>
        <w:adjustRightInd w:val="0"/>
        <w:snapToGrid w:val="0"/>
        <w:spacing w:before="104" w:line="360" w:lineRule="auto"/>
        <w:ind w:left="428"/>
        <w:textAlignment w:val="baseline"/>
        <w:rPr>
          <w:rFonts w:ascii="宋体" w:hAnsi="宋体" w:cs="宋体"/>
          <w:sz w:val="24"/>
        </w:rPr>
      </w:pPr>
      <w:r>
        <w:rPr>
          <w:rFonts w:hint="eastAsia" w:ascii="宋体" w:hAnsi="宋体" w:cs="宋体"/>
          <w:sz w:val="24"/>
        </w:rPr>
        <w:t>负责取得道路通行权、场外设施修建权的办理人:</w:t>
      </w:r>
      <w:r>
        <w:rPr>
          <w:rFonts w:hint="eastAsia" w:ascii="宋体" w:hAnsi="宋体" w:cs="宋体"/>
          <w:sz w:val="24"/>
          <w:u w:val="single"/>
        </w:rPr>
        <w:t xml:space="preserve">承包人 </w:t>
      </w:r>
      <w:r>
        <w:rPr>
          <w:rFonts w:hint="eastAsia" w:ascii="宋体" w:hAnsi="宋体" w:cs="宋体"/>
          <w:sz w:val="24"/>
        </w:rPr>
        <w:t xml:space="preserve"> ，其相关费用由发包人承担。</w:t>
      </w:r>
    </w:p>
    <w:p w14:paraId="04680B40">
      <w:pPr>
        <w:tabs>
          <w:tab w:val="left" w:pos="567"/>
        </w:tabs>
        <w:wordWrap w:val="0"/>
        <w:autoSpaceDE w:val="0"/>
        <w:autoSpaceDN w:val="0"/>
        <w:adjustRightInd w:val="0"/>
        <w:snapToGrid w:val="0"/>
        <w:spacing w:before="103" w:line="360" w:lineRule="auto"/>
        <w:ind w:left="7"/>
        <w:textAlignment w:val="baseline"/>
        <w:outlineLvl w:val="2"/>
        <w:rPr>
          <w:rFonts w:ascii="宋体" w:hAnsi="宋体" w:cs="宋体"/>
          <w:sz w:val="24"/>
        </w:rPr>
      </w:pPr>
      <w:r>
        <w:rPr>
          <w:rFonts w:hint="eastAsia" w:ascii="宋体" w:hAnsi="宋体" w:cs="宋体"/>
          <w:sz w:val="24"/>
        </w:rPr>
        <w:t>7.2   场内施工道路</w:t>
      </w:r>
    </w:p>
    <w:p w14:paraId="26845B30">
      <w:pPr>
        <w:tabs>
          <w:tab w:val="left" w:pos="567"/>
        </w:tabs>
        <w:wordWrap w:val="0"/>
        <w:autoSpaceDE w:val="0"/>
        <w:autoSpaceDN w:val="0"/>
        <w:adjustRightInd w:val="0"/>
        <w:snapToGrid w:val="0"/>
        <w:spacing w:before="103" w:line="360" w:lineRule="auto"/>
        <w:ind w:left="25" w:firstLine="400"/>
        <w:textAlignment w:val="baseline"/>
        <w:rPr>
          <w:rFonts w:ascii="宋体" w:hAnsi="宋体" w:cs="宋体"/>
          <w:sz w:val="24"/>
        </w:rPr>
      </w:pPr>
      <w:r>
        <w:rPr>
          <w:rFonts w:hint="eastAsia" w:ascii="宋体" w:hAnsi="宋体" w:cs="宋体"/>
          <w:sz w:val="24"/>
        </w:rPr>
        <w:t>7.2.1施工所需的场内临时道路和交通设施的修建、维护、养护和管理人：</w:t>
      </w:r>
      <w:r>
        <w:rPr>
          <w:rFonts w:hint="eastAsia" w:ascii="宋体" w:hAnsi="宋体" w:cs="宋体"/>
          <w:sz w:val="24"/>
          <w:u w:val="single"/>
        </w:rPr>
        <w:t xml:space="preserve">承包人 </w:t>
      </w:r>
      <w:r>
        <w:rPr>
          <w:rFonts w:hint="eastAsia" w:ascii="宋体" w:hAnsi="宋体" w:cs="宋体"/>
          <w:sz w:val="24"/>
        </w:rPr>
        <w:t xml:space="preserve"> ，相关费用由</w:t>
      </w:r>
      <w:r>
        <w:rPr>
          <w:rFonts w:hint="eastAsia" w:ascii="宋体" w:hAnsi="宋体" w:cs="宋体"/>
          <w:sz w:val="24"/>
          <w:u w:val="single"/>
        </w:rPr>
        <w:t>承包人</w:t>
      </w:r>
      <w:r>
        <w:rPr>
          <w:rFonts w:hint="eastAsia" w:ascii="宋体" w:hAnsi="宋体" w:cs="宋体"/>
          <w:sz w:val="24"/>
        </w:rPr>
        <w:t>承担。</w:t>
      </w:r>
    </w:p>
    <w:p w14:paraId="3EAAF81C">
      <w:pPr>
        <w:tabs>
          <w:tab w:val="left" w:pos="567"/>
        </w:tabs>
        <w:wordWrap w:val="0"/>
        <w:autoSpaceDE w:val="0"/>
        <w:autoSpaceDN w:val="0"/>
        <w:adjustRightInd w:val="0"/>
        <w:snapToGrid w:val="0"/>
        <w:spacing w:before="289" w:line="360" w:lineRule="auto"/>
        <w:ind w:left="7"/>
        <w:textAlignment w:val="baseline"/>
        <w:outlineLvl w:val="2"/>
        <w:rPr>
          <w:rFonts w:ascii="宋体" w:hAnsi="宋体" w:cs="宋体"/>
          <w:sz w:val="24"/>
        </w:rPr>
      </w:pPr>
      <w:r>
        <w:rPr>
          <w:rFonts w:hint="eastAsia" w:ascii="宋体" w:hAnsi="宋体" w:cs="宋体"/>
          <w:sz w:val="24"/>
        </w:rPr>
        <w:t>7.4   超大件和超重件的运输</w:t>
      </w:r>
    </w:p>
    <w:p w14:paraId="3FFD2270">
      <w:pPr>
        <w:tabs>
          <w:tab w:val="left" w:pos="567"/>
        </w:tabs>
        <w:wordWrap w:val="0"/>
        <w:autoSpaceDE w:val="0"/>
        <w:autoSpaceDN w:val="0"/>
        <w:adjustRightInd w:val="0"/>
        <w:snapToGrid w:val="0"/>
        <w:spacing w:before="91" w:line="360" w:lineRule="auto"/>
        <w:ind w:left="420"/>
        <w:textAlignment w:val="baseline"/>
        <w:rPr>
          <w:rFonts w:ascii="宋体" w:hAnsi="宋体" w:cs="宋体"/>
          <w:sz w:val="24"/>
        </w:rPr>
      </w:pPr>
      <w:r>
        <w:rPr>
          <w:rFonts w:hint="eastAsia" w:ascii="宋体" w:hAnsi="宋体" w:cs="宋体"/>
          <w:sz w:val="24"/>
        </w:rPr>
        <w:t>运输超大件或超重件所需的道路和桥梁临时加固改造等费用的承担人：</w:t>
      </w:r>
      <w:r>
        <w:rPr>
          <w:rFonts w:hint="eastAsia" w:ascii="宋体" w:hAnsi="宋体" w:cs="宋体"/>
          <w:sz w:val="24"/>
          <w:u w:val="single"/>
        </w:rPr>
        <w:t>承包人</w:t>
      </w:r>
    </w:p>
    <w:p w14:paraId="6D1EFB7A">
      <w:pPr>
        <w:tabs>
          <w:tab w:val="left" w:pos="567"/>
        </w:tabs>
        <w:wordWrap w:val="0"/>
        <w:autoSpaceDE w:val="0"/>
        <w:autoSpaceDN w:val="0"/>
        <w:adjustRightInd w:val="0"/>
        <w:snapToGrid w:val="0"/>
        <w:spacing w:before="129" w:line="360" w:lineRule="auto"/>
        <w:ind w:left="5"/>
        <w:textAlignment w:val="baseline"/>
        <w:outlineLvl w:val="1"/>
        <w:rPr>
          <w:rFonts w:ascii="宋体" w:hAnsi="宋体" w:cs="宋体"/>
          <w:sz w:val="30"/>
          <w:szCs w:val="30"/>
        </w:rPr>
      </w:pPr>
      <w:r>
        <w:rPr>
          <w:rFonts w:hint="eastAsia" w:ascii="宋体" w:hAnsi="宋体" w:cs="宋体"/>
          <w:sz w:val="30"/>
          <w:szCs w:val="30"/>
        </w:rPr>
        <w:t>8.测量放线</w:t>
      </w:r>
    </w:p>
    <w:p w14:paraId="58A25A86">
      <w:pPr>
        <w:tabs>
          <w:tab w:val="left" w:pos="567"/>
        </w:tabs>
        <w:wordWrap w:val="0"/>
        <w:autoSpaceDE w:val="0"/>
        <w:autoSpaceDN w:val="0"/>
        <w:adjustRightInd w:val="0"/>
        <w:snapToGrid w:val="0"/>
        <w:spacing w:before="103" w:line="360" w:lineRule="auto"/>
        <w:ind w:left="2"/>
        <w:textAlignment w:val="baseline"/>
        <w:outlineLvl w:val="2"/>
        <w:rPr>
          <w:rFonts w:ascii="宋体" w:hAnsi="宋体" w:cs="宋体"/>
          <w:sz w:val="24"/>
        </w:rPr>
      </w:pPr>
      <w:r>
        <w:rPr>
          <w:rFonts w:hint="eastAsia" w:ascii="宋体" w:hAnsi="宋体" w:cs="宋体"/>
          <w:sz w:val="24"/>
        </w:rPr>
        <w:t>8.1   施工控制网</w:t>
      </w:r>
    </w:p>
    <w:p w14:paraId="6777B366">
      <w:pPr>
        <w:tabs>
          <w:tab w:val="left" w:pos="567"/>
        </w:tabs>
        <w:wordWrap w:val="0"/>
        <w:autoSpaceDE w:val="0"/>
        <w:autoSpaceDN w:val="0"/>
        <w:adjustRightInd w:val="0"/>
        <w:snapToGrid w:val="0"/>
        <w:spacing w:before="90" w:line="360" w:lineRule="auto"/>
        <w:ind w:left="421"/>
        <w:textAlignment w:val="baseline"/>
        <w:outlineLvl w:val="3"/>
        <w:rPr>
          <w:rFonts w:ascii="宋体" w:hAnsi="宋体" w:cs="宋体"/>
          <w:sz w:val="24"/>
        </w:rPr>
      </w:pPr>
      <w:r>
        <w:rPr>
          <w:rFonts w:hint="eastAsia" w:ascii="宋体" w:hAnsi="宋体" w:cs="宋体"/>
          <w:sz w:val="24"/>
        </w:rPr>
        <w:t>8.1.1   发包人通过监理人提供测量基准点、基准线和水准点及其书面资料的期限：</w:t>
      </w:r>
    </w:p>
    <w:p w14:paraId="762A3F65">
      <w:pPr>
        <w:tabs>
          <w:tab w:val="left" w:pos="567"/>
        </w:tabs>
        <w:wordWrap w:val="0"/>
        <w:autoSpaceDE w:val="0"/>
        <w:autoSpaceDN w:val="0"/>
        <w:adjustRightInd w:val="0"/>
        <w:snapToGrid w:val="0"/>
        <w:spacing w:before="102" w:line="360" w:lineRule="auto"/>
        <w:ind w:left="527"/>
        <w:textAlignment w:val="baseline"/>
        <w:rPr>
          <w:rFonts w:ascii="宋体" w:hAnsi="宋体" w:cs="宋体"/>
          <w:sz w:val="24"/>
        </w:rPr>
      </w:pPr>
      <w:r>
        <w:rPr>
          <w:rFonts w:hint="eastAsia" w:ascii="宋体" w:hAnsi="宋体" w:cs="宋体"/>
          <w:sz w:val="24"/>
          <w:u w:val="single"/>
        </w:rPr>
        <w:t>开工前7天内 。</w:t>
      </w:r>
    </w:p>
    <w:p w14:paraId="4DCF02BF">
      <w:pPr>
        <w:tabs>
          <w:tab w:val="left" w:pos="567"/>
        </w:tabs>
        <w:wordWrap w:val="0"/>
        <w:autoSpaceDE w:val="0"/>
        <w:autoSpaceDN w:val="0"/>
        <w:adjustRightInd w:val="0"/>
        <w:snapToGrid w:val="0"/>
        <w:spacing w:before="83" w:line="360" w:lineRule="auto"/>
        <w:ind w:left="421"/>
        <w:textAlignment w:val="baseline"/>
        <w:rPr>
          <w:rFonts w:ascii="宋体" w:hAnsi="宋体" w:cs="宋体"/>
          <w:sz w:val="24"/>
        </w:rPr>
      </w:pPr>
      <w:r>
        <w:rPr>
          <w:rFonts w:hint="eastAsia" w:ascii="宋体" w:hAnsi="宋体" w:cs="宋体"/>
          <w:sz w:val="24"/>
        </w:rPr>
        <w:t>8.1.2   承包人测设施工控制网的其他要求：</w:t>
      </w:r>
    </w:p>
    <w:p w14:paraId="19A9395F">
      <w:pPr>
        <w:tabs>
          <w:tab w:val="left" w:pos="567"/>
        </w:tabs>
        <w:wordWrap w:val="0"/>
        <w:autoSpaceDE w:val="0"/>
        <w:autoSpaceDN w:val="0"/>
        <w:adjustRightInd w:val="0"/>
        <w:snapToGrid w:val="0"/>
        <w:spacing w:before="103" w:line="360" w:lineRule="auto"/>
        <w:ind w:left="24" w:right="336" w:firstLine="504"/>
        <w:textAlignment w:val="baseline"/>
        <w:rPr>
          <w:rFonts w:ascii="宋体" w:hAnsi="宋体" w:cs="宋体"/>
          <w:sz w:val="24"/>
        </w:rPr>
      </w:pPr>
      <w:r>
        <w:rPr>
          <w:rFonts w:hint="eastAsia" w:ascii="宋体" w:hAnsi="宋体" w:cs="宋体"/>
          <w:sz w:val="24"/>
          <w:u w:val="single"/>
        </w:rPr>
        <w:t>依据监理人提供的测量基准点、基准线和水准点以及国家的工程测量技术规范和合 同 要求的工程精度 ，测设自己的施工控制网 。</w:t>
      </w:r>
    </w:p>
    <w:p w14:paraId="0C0ABF24">
      <w:pPr>
        <w:tabs>
          <w:tab w:val="left" w:pos="567"/>
        </w:tabs>
        <w:wordWrap w:val="0"/>
        <w:autoSpaceDE w:val="0"/>
        <w:autoSpaceDN w:val="0"/>
        <w:adjustRightInd w:val="0"/>
        <w:snapToGrid w:val="0"/>
        <w:spacing w:before="120" w:line="360" w:lineRule="auto"/>
        <w:ind w:left="420"/>
        <w:textAlignment w:val="baseline"/>
        <w:rPr>
          <w:rFonts w:ascii="宋体" w:hAnsi="宋体" w:cs="宋体"/>
          <w:sz w:val="24"/>
        </w:rPr>
      </w:pPr>
      <w:r>
        <w:rPr>
          <w:rFonts w:hint="eastAsia" w:ascii="宋体" w:hAnsi="宋体" w:cs="宋体"/>
          <w:sz w:val="24"/>
        </w:rPr>
        <w:t>承包人将施工控制网资料报送监理人审批的期限：</w:t>
      </w:r>
    </w:p>
    <w:p w14:paraId="13538273">
      <w:pPr>
        <w:tabs>
          <w:tab w:val="left" w:pos="567"/>
        </w:tabs>
        <w:wordWrap w:val="0"/>
        <w:autoSpaceDE w:val="0"/>
        <w:autoSpaceDN w:val="0"/>
        <w:adjustRightInd w:val="0"/>
        <w:snapToGrid w:val="0"/>
        <w:spacing w:before="103" w:line="360" w:lineRule="auto"/>
        <w:ind w:left="527"/>
        <w:textAlignment w:val="baseline"/>
        <w:rPr>
          <w:rFonts w:ascii="宋体" w:hAnsi="宋体" w:cs="宋体"/>
          <w:sz w:val="24"/>
        </w:rPr>
      </w:pPr>
      <w:r>
        <w:rPr>
          <w:rFonts w:hint="eastAsia" w:ascii="宋体" w:hAnsi="宋体" w:cs="宋体"/>
          <w:sz w:val="24"/>
          <w:u w:val="single"/>
        </w:rPr>
        <w:t>开工通知后7天内 。</w:t>
      </w:r>
    </w:p>
    <w:p w14:paraId="05C03C5D">
      <w:pPr>
        <w:tabs>
          <w:tab w:val="left" w:pos="567"/>
        </w:tabs>
        <w:wordWrap w:val="0"/>
        <w:autoSpaceDE w:val="0"/>
        <w:autoSpaceDN w:val="0"/>
        <w:adjustRightInd w:val="0"/>
        <w:snapToGrid w:val="0"/>
        <w:spacing w:before="80" w:line="360" w:lineRule="auto"/>
        <w:ind w:left="2"/>
        <w:textAlignment w:val="baseline"/>
        <w:outlineLvl w:val="1"/>
        <w:rPr>
          <w:rFonts w:ascii="宋体" w:hAnsi="宋体" w:cs="宋体"/>
          <w:sz w:val="30"/>
          <w:szCs w:val="30"/>
        </w:rPr>
      </w:pPr>
      <w:r>
        <w:rPr>
          <w:rFonts w:hint="eastAsia" w:ascii="宋体" w:hAnsi="宋体" w:cs="宋体"/>
          <w:sz w:val="30"/>
          <w:szCs w:val="30"/>
        </w:rPr>
        <w:t>9.施工安全、治安保卫和环境保护</w:t>
      </w:r>
    </w:p>
    <w:p w14:paraId="3AD8734F">
      <w:pPr>
        <w:tabs>
          <w:tab w:val="left" w:pos="567"/>
        </w:tabs>
        <w:wordWrap w:val="0"/>
        <w:autoSpaceDE w:val="0"/>
        <w:autoSpaceDN w:val="0"/>
        <w:adjustRightInd w:val="0"/>
        <w:snapToGrid w:val="0"/>
        <w:spacing w:before="103" w:line="360" w:lineRule="auto"/>
        <w:textAlignment w:val="baseline"/>
        <w:rPr>
          <w:rFonts w:ascii="宋体" w:hAnsi="宋体" w:cs="宋体"/>
          <w:sz w:val="24"/>
        </w:rPr>
      </w:pPr>
      <w:r>
        <w:rPr>
          <w:rFonts w:hint="eastAsia" w:ascii="宋体" w:hAnsi="宋体" w:cs="宋体"/>
          <w:sz w:val="24"/>
        </w:rPr>
        <w:t>9.2   承包人的施工安全责任</w:t>
      </w:r>
    </w:p>
    <w:p w14:paraId="1CCC6808">
      <w:pPr>
        <w:tabs>
          <w:tab w:val="left" w:pos="567"/>
        </w:tabs>
        <w:wordWrap w:val="0"/>
        <w:autoSpaceDE w:val="0"/>
        <w:autoSpaceDN w:val="0"/>
        <w:adjustRightInd w:val="0"/>
        <w:snapToGrid w:val="0"/>
        <w:spacing w:before="90" w:line="360" w:lineRule="auto"/>
        <w:ind w:left="418"/>
        <w:textAlignment w:val="baseline"/>
        <w:rPr>
          <w:rFonts w:ascii="宋体" w:hAnsi="宋体" w:cs="宋体"/>
          <w:sz w:val="24"/>
        </w:rPr>
      </w:pPr>
      <w:r>
        <w:rPr>
          <w:rFonts w:hint="eastAsia" w:ascii="宋体" w:hAnsi="宋体" w:cs="宋体"/>
          <w:sz w:val="24"/>
        </w:rPr>
        <w:t>9.2.1   承包人向监理人报送施工安全措施计划的期限：</w:t>
      </w:r>
    </w:p>
    <w:p w14:paraId="68BFB593">
      <w:pPr>
        <w:tabs>
          <w:tab w:val="left" w:pos="643"/>
        </w:tabs>
        <w:wordWrap w:val="0"/>
        <w:autoSpaceDE w:val="0"/>
        <w:autoSpaceDN w:val="0"/>
        <w:adjustRightInd w:val="0"/>
        <w:snapToGrid w:val="0"/>
        <w:spacing w:before="102" w:line="360" w:lineRule="auto"/>
        <w:ind w:left="507"/>
        <w:textAlignment w:val="baseline"/>
        <w:rPr>
          <w:rFonts w:ascii="宋体" w:hAnsi="宋体" w:cs="宋体"/>
          <w:sz w:val="24"/>
        </w:rPr>
      </w:pPr>
      <w:r>
        <w:rPr>
          <w:rFonts w:hint="eastAsia" w:ascii="宋体" w:hAnsi="宋体" w:cs="宋体"/>
          <w:sz w:val="24"/>
          <w:u w:val="single"/>
        </w:rPr>
        <w:tab/>
      </w:r>
      <w:r>
        <w:rPr>
          <w:rFonts w:hint="eastAsia" w:ascii="宋体" w:hAnsi="宋体" w:cs="宋体"/>
          <w:sz w:val="24"/>
          <w:u w:val="single"/>
        </w:rPr>
        <w:t>在收到监理人按照通用合同条款第11.1.1项发出的开工通知后7天内 。</w:t>
      </w:r>
    </w:p>
    <w:p w14:paraId="1DA5AADC">
      <w:pPr>
        <w:tabs>
          <w:tab w:val="left" w:pos="567"/>
        </w:tabs>
        <w:wordWrap w:val="0"/>
        <w:autoSpaceDE w:val="0"/>
        <w:autoSpaceDN w:val="0"/>
        <w:adjustRightInd w:val="0"/>
        <w:snapToGrid w:val="0"/>
        <w:spacing w:before="105" w:line="360" w:lineRule="auto"/>
        <w:ind w:left="418"/>
        <w:textAlignment w:val="baseline"/>
        <w:rPr>
          <w:rFonts w:ascii="宋体" w:hAnsi="宋体" w:cs="宋体"/>
          <w:sz w:val="24"/>
        </w:rPr>
      </w:pPr>
      <w:r>
        <w:rPr>
          <w:rFonts w:hint="eastAsia" w:ascii="宋体" w:hAnsi="宋体" w:cs="宋体"/>
          <w:sz w:val="24"/>
        </w:rPr>
        <w:t>监理人收到承包人报送的施工安全措施计划后应当在</w:t>
      </w:r>
      <w:r>
        <w:rPr>
          <w:rFonts w:hint="eastAsia" w:ascii="宋体" w:hAnsi="宋体" w:cs="宋体"/>
          <w:sz w:val="24"/>
          <w:u w:val="single"/>
        </w:rPr>
        <w:t>7</w:t>
      </w:r>
      <w:r>
        <w:rPr>
          <w:rFonts w:hint="eastAsia" w:ascii="宋体" w:hAnsi="宋体" w:cs="宋体"/>
          <w:sz w:val="24"/>
        </w:rPr>
        <w:t>天内给予批复。</w:t>
      </w:r>
    </w:p>
    <w:p w14:paraId="77988752">
      <w:pPr>
        <w:tabs>
          <w:tab w:val="left" w:pos="567"/>
        </w:tabs>
        <w:wordWrap w:val="0"/>
        <w:autoSpaceDE w:val="0"/>
        <w:autoSpaceDN w:val="0"/>
        <w:adjustRightInd w:val="0"/>
        <w:snapToGrid w:val="0"/>
        <w:spacing w:before="104" w:line="360" w:lineRule="auto"/>
        <w:textAlignment w:val="baseline"/>
        <w:rPr>
          <w:rFonts w:ascii="宋体" w:hAnsi="宋体" w:cs="宋体"/>
          <w:sz w:val="24"/>
        </w:rPr>
      </w:pPr>
      <w:r>
        <w:rPr>
          <w:rFonts w:hint="eastAsia" w:ascii="宋体" w:hAnsi="宋体" w:cs="宋体"/>
          <w:sz w:val="24"/>
        </w:rPr>
        <w:t>9.3   治安保卫</w:t>
      </w:r>
    </w:p>
    <w:p w14:paraId="318C46FB">
      <w:pPr>
        <w:tabs>
          <w:tab w:val="left" w:pos="567"/>
        </w:tabs>
        <w:wordWrap w:val="0"/>
        <w:autoSpaceDE w:val="0"/>
        <w:autoSpaceDN w:val="0"/>
        <w:adjustRightInd w:val="0"/>
        <w:snapToGrid w:val="0"/>
        <w:spacing w:before="90" w:line="360" w:lineRule="auto"/>
        <w:ind w:left="418"/>
        <w:textAlignment w:val="baseline"/>
        <w:rPr>
          <w:rFonts w:ascii="宋体" w:hAnsi="宋体" w:cs="宋体"/>
          <w:sz w:val="24"/>
        </w:rPr>
      </w:pPr>
      <w:r>
        <w:rPr>
          <w:rFonts w:hint="eastAsia" w:ascii="宋体" w:hAnsi="宋体" w:cs="宋体"/>
          <w:sz w:val="24"/>
        </w:rPr>
        <w:t>9.3.3 制定施工场地治安管理计划和突发治安事件紧急预案的责任人：</w:t>
      </w:r>
      <w:r>
        <w:rPr>
          <w:rFonts w:hint="eastAsia" w:ascii="宋体" w:hAnsi="宋体" w:cs="宋体"/>
          <w:sz w:val="24"/>
          <w:u w:val="single"/>
        </w:rPr>
        <w:t>承包人</w:t>
      </w:r>
    </w:p>
    <w:p w14:paraId="6D8BDE20">
      <w:pPr>
        <w:tabs>
          <w:tab w:val="left" w:pos="567"/>
        </w:tabs>
        <w:wordWrap w:val="0"/>
        <w:autoSpaceDE w:val="0"/>
        <w:autoSpaceDN w:val="0"/>
        <w:adjustRightInd w:val="0"/>
        <w:snapToGrid w:val="0"/>
        <w:spacing w:before="103" w:line="360" w:lineRule="auto"/>
        <w:textAlignment w:val="baseline"/>
        <w:rPr>
          <w:rFonts w:ascii="宋体" w:hAnsi="宋体" w:cs="宋体"/>
          <w:sz w:val="24"/>
        </w:rPr>
      </w:pPr>
      <w:r>
        <w:rPr>
          <w:rFonts w:hint="eastAsia" w:ascii="宋体" w:hAnsi="宋体" w:cs="宋体"/>
          <w:sz w:val="24"/>
        </w:rPr>
        <w:t>9.4   环境保护</w:t>
      </w:r>
    </w:p>
    <w:p w14:paraId="29D574C0">
      <w:pPr>
        <w:tabs>
          <w:tab w:val="left" w:pos="567"/>
        </w:tabs>
        <w:wordWrap w:val="0"/>
        <w:autoSpaceDE w:val="0"/>
        <w:autoSpaceDN w:val="0"/>
        <w:adjustRightInd w:val="0"/>
        <w:snapToGrid w:val="0"/>
        <w:spacing w:before="91" w:line="360" w:lineRule="auto"/>
        <w:ind w:left="418"/>
        <w:textAlignment w:val="baseline"/>
        <w:rPr>
          <w:rFonts w:ascii="宋体" w:hAnsi="宋体" w:cs="宋体"/>
          <w:sz w:val="24"/>
        </w:rPr>
      </w:pPr>
      <w:r>
        <w:rPr>
          <w:rFonts w:hint="eastAsia" w:ascii="宋体" w:hAnsi="宋体" w:cs="宋体"/>
          <w:sz w:val="24"/>
        </w:rPr>
        <w:t>9.4.3   施工环保措施计划报送监理人审批的时间：</w:t>
      </w:r>
    </w:p>
    <w:p w14:paraId="7CECBECA">
      <w:pPr>
        <w:tabs>
          <w:tab w:val="left" w:pos="567"/>
        </w:tabs>
        <w:wordWrap w:val="0"/>
        <w:autoSpaceDE w:val="0"/>
        <w:autoSpaceDN w:val="0"/>
        <w:adjustRightInd w:val="0"/>
        <w:snapToGrid w:val="0"/>
        <w:spacing w:before="100" w:line="360" w:lineRule="auto"/>
        <w:ind w:left="524"/>
        <w:textAlignment w:val="baseline"/>
        <w:rPr>
          <w:rFonts w:ascii="宋体" w:hAnsi="宋体" w:cs="宋体"/>
          <w:sz w:val="24"/>
        </w:rPr>
      </w:pPr>
      <w:r>
        <w:rPr>
          <w:rFonts w:hint="eastAsia" w:ascii="宋体" w:hAnsi="宋体" w:cs="宋体"/>
          <w:sz w:val="24"/>
          <w:u w:val="single"/>
        </w:rPr>
        <w:t>签订合同后3日内 ，但最迟不得晚于开工前14日 。</w:t>
      </w:r>
    </w:p>
    <w:p w14:paraId="216051CE">
      <w:pPr>
        <w:tabs>
          <w:tab w:val="left" w:pos="567"/>
        </w:tabs>
        <w:wordWrap w:val="0"/>
        <w:autoSpaceDE w:val="0"/>
        <w:autoSpaceDN w:val="0"/>
        <w:adjustRightInd w:val="0"/>
        <w:snapToGrid w:val="0"/>
        <w:spacing w:before="104" w:line="360" w:lineRule="auto"/>
        <w:ind w:left="418"/>
        <w:textAlignment w:val="baseline"/>
        <w:rPr>
          <w:rFonts w:ascii="宋体" w:hAnsi="宋体" w:cs="宋体"/>
          <w:sz w:val="24"/>
        </w:rPr>
      </w:pPr>
      <w:r>
        <w:rPr>
          <w:rFonts w:hint="eastAsia" w:ascii="宋体" w:hAnsi="宋体" w:cs="宋体"/>
          <w:sz w:val="24"/>
        </w:rPr>
        <w:t>监理人收到承包人报送的施工环保措施计划后应当在</w:t>
      </w:r>
      <w:r>
        <w:rPr>
          <w:rFonts w:hint="eastAsia" w:ascii="宋体" w:hAnsi="宋体" w:cs="宋体"/>
          <w:sz w:val="24"/>
          <w:u w:val="single"/>
        </w:rPr>
        <w:t>7</w:t>
      </w:r>
      <w:r>
        <w:rPr>
          <w:rFonts w:hint="eastAsia" w:ascii="宋体" w:hAnsi="宋体" w:cs="宋体"/>
          <w:sz w:val="24"/>
        </w:rPr>
        <w:t>天内给予批复。</w:t>
      </w:r>
    </w:p>
    <w:p w14:paraId="072F2095">
      <w:pPr>
        <w:tabs>
          <w:tab w:val="left" w:pos="567"/>
        </w:tabs>
        <w:wordWrap w:val="0"/>
        <w:autoSpaceDE w:val="0"/>
        <w:autoSpaceDN w:val="0"/>
        <w:adjustRightInd w:val="0"/>
        <w:snapToGrid w:val="0"/>
        <w:spacing w:before="103" w:line="360" w:lineRule="auto"/>
        <w:textAlignment w:val="baseline"/>
        <w:rPr>
          <w:rFonts w:ascii="宋体" w:hAnsi="宋体" w:cs="宋体"/>
          <w:sz w:val="24"/>
        </w:rPr>
      </w:pPr>
      <w:r>
        <w:rPr>
          <w:rFonts w:hint="eastAsia" w:ascii="宋体" w:hAnsi="宋体" w:cs="宋体"/>
          <w:sz w:val="24"/>
        </w:rPr>
        <w:t>9.6   施工现场安全生产标准化管理目标</w:t>
      </w:r>
    </w:p>
    <w:p w14:paraId="3601B851">
      <w:pPr>
        <w:tabs>
          <w:tab w:val="left" w:pos="567"/>
        </w:tabs>
        <w:wordWrap w:val="0"/>
        <w:autoSpaceDE w:val="0"/>
        <w:autoSpaceDN w:val="0"/>
        <w:adjustRightInd w:val="0"/>
        <w:snapToGrid w:val="0"/>
        <w:spacing w:before="91" w:line="360" w:lineRule="auto"/>
        <w:ind w:left="417"/>
        <w:textAlignment w:val="baseline"/>
        <w:rPr>
          <w:rFonts w:ascii="宋体" w:hAnsi="宋体" w:cs="宋体"/>
          <w:sz w:val="24"/>
        </w:rPr>
      </w:pPr>
      <w:r>
        <w:rPr>
          <w:rFonts w:hint="eastAsia" w:ascii="宋体" w:hAnsi="宋体" w:cs="宋体"/>
          <w:sz w:val="24"/>
        </w:rPr>
        <w:t>9.6.1    未达到合同协议书中约定的安全生产标准化管理目标等级的违约金或损失赔偿金的金额或者计算方法：</w:t>
      </w:r>
    </w:p>
    <w:p w14:paraId="7B08BA23">
      <w:pPr>
        <w:tabs>
          <w:tab w:val="left" w:pos="567"/>
        </w:tabs>
        <w:wordWrap w:val="0"/>
        <w:autoSpaceDE w:val="0"/>
        <w:autoSpaceDN w:val="0"/>
        <w:adjustRightInd w:val="0"/>
        <w:snapToGrid w:val="0"/>
        <w:spacing w:before="2" w:line="360" w:lineRule="auto"/>
        <w:ind w:left="418" w:right="90"/>
        <w:textAlignment w:val="baseline"/>
        <w:rPr>
          <w:rFonts w:ascii="宋体" w:hAnsi="宋体" w:cs="宋体"/>
          <w:sz w:val="24"/>
        </w:rPr>
      </w:pPr>
      <w:r>
        <w:rPr>
          <w:rFonts w:hint="eastAsia" w:ascii="宋体" w:hAnsi="宋体" w:cs="宋体"/>
          <w:sz w:val="24"/>
          <w:u w:val="single"/>
        </w:rPr>
        <w:t xml:space="preserve">承包人支付的违约金或损失赔偿金不宜高于合同约定的标准化管理目标等级和实际考核评定、认定目标等级之间所投入费用的差额发生时按下列公示计算：        </w:t>
      </w:r>
    </w:p>
    <w:p w14:paraId="18D9D232">
      <w:pPr>
        <w:tabs>
          <w:tab w:val="left" w:pos="567"/>
        </w:tabs>
        <w:wordWrap w:val="0"/>
        <w:autoSpaceDE w:val="0"/>
        <w:autoSpaceDN w:val="0"/>
        <w:adjustRightInd w:val="0"/>
        <w:snapToGrid w:val="0"/>
        <w:spacing w:before="2" w:line="360" w:lineRule="auto"/>
        <w:ind w:left="411"/>
        <w:textAlignment w:val="baseline"/>
        <w:rPr>
          <w:rFonts w:ascii="宋体" w:hAnsi="宋体" w:cs="宋体"/>
          <w:sz w:val="24"/>
        </w:rPr>
      </w:pPr>
      <w:r>
        <w:rPr>
          <w:rFonts w:hint="eastAsia" w:ascii="宋体" w:hAnsi="宋体" w:cs="宋体"/>
          <w:sz w:val="24"/>
          <w:u w:val="single"/>
        </w:rPr>
        <w:t xml:space="preserve">A=(1-K1/K2)*F      </w:t>
      </w:r>
    </w:p>
    <w:p w14:paraId="776176D7">
      <w:pPr>
        <w:tabs>
          <w:tab w:val="left" w:pos="567"/>
        </w:tabs>
        <w:wordWrap w:val="0"/>
        <w:autoSpaceDE w:val="0"/>
        <w:autoSpaceDN w:val="0"/>
        <w:adjustRightInd w:val="0"/>
        <w:snapToGrid w:val="0"/>
        <w:spacing w:before="111" w:line="360" w:lineRule="auto"/>
        <w:ind w:left="420"/>
        <w:textAlignment w:val="baseline"/>
        <w:rPr>
          <w:rFonts w:ascii="宋体" w:hAnsi="宋体" w:cs="宋体"/>
          <w:sz w:val="24"/>
        </w:rPr>
      </w:pPr>
      <w:r>
        <w:rPr>
          <w:rFonts w:hint="eastAsia" w:ascii="宋体" w:hAnsi="宋体" w:cs="宋体"/>
          <w:sz w:val="24"/>
          <w:u w:val="single"/>
        </w:rPr>
        <w:t xml:space="preserve">其中：A-计算的违约损失赔偿金      </w:t>
      </w:r>
    </w:p>
    <w:p w14:paraId="71191C86">
      <w:pPr>
        <w:tabs>
          <w:tab w:val="left" w:pos="542"/>
        </w:tabs>
        <w:wordWrap w:val="0"/>
        <w:autoSpaceDE w:val="0"/>
        <w:autoSpaceDN w:val="0"/>
        <w:adjustRightInd w:val="0"/>
        <w:snapToGrid w:val="0"/>
        <w:spacing w:before="102" w:line="360" w:lineRule="auto"/>
        <w:ind w:left="402" w:right="321" w:firstLine="13"/>
        <w:textAlignment w:val="baseline"/>
        <w:rPr>
          <w:rFonts w:ascii="宋体" w:hAnsi="宋体" w:cs="宋体"/>
          <w:sz w:val="24"/>
        </w:rPr>
      </w:pPr>
      <w:r>
        <w:rPr>
          <w:rFonts w:hint="eastAsia" w:ascii="宋体" w:hAnsi="宋体" w:cs="宋体"/>
          <w:sz w:val="24"/>
          <w:u w:val="single"/>
        </w:rPr>
        <w:t>K1—标准化考评认定等级对应《北京市建设工程安全生产标准化措施费管理办法（试行） 》（京建法【2019】9号）规定及京建发〔2025〕377号的标准费率</w:t>
      </w:r>
    </w:p>
    <w:p w14:paraId="6B683BC9">
      <w:pPr>
        <w:tabs>
          <w:tab w:val="left" w:pos="567"/>
        </w:tabs>
        <w:wordWrap w:val="0"/>
        <w:autoSpaceDE w:val="0"/>
        <w:autoSpaceDN w:val="0"/>
        <w:adjustRightInd w:val="0"/>
        <w:snapToGrid w:val="0"/>
        <w:spacing w:before="3" w:line="360" w:lineRule="auto"/>
        <w:ind w:left="421" w:right="210" w:hanging="6"/>
        <w:textAlignment w:val="baseline"/>
        <w:rPr>
          <w:rFonts w:ascii="宋体" w:hAnsi="宋体" w:cs="宋体"/>
          <w:sz w:val="24"/>
        </w:rPr>
      </w:pPr>
      <w:r>
        <w:rPr>
          <w:rFonts w:hint="eastAsia" w:ascii="宋体" w:hAnsi="宋体" w:cs="宋体"/>
          <w:sz w:val="24"/>
          <w:u w:val="single"/>
        </w:rPr>
        <w:t>K2-合同约定的管理目标等级对应《北京市建设工程安全生产标准化措施费管理办法（试行） 》</w:t>
      </w:r>
      <w:r>
        <w:rPr>
          <w:rFonts w:hint="eastAsia" w:ascii="宋体" w:hAnsi="宋体" w:cs="宋体"/>
          <w:sz w:val="24"/>
          <w:u w:val="single"/>
        </w:rPr>
        <w:tab/>
      </w:r>
      <w:r>
        <w:rPr>
          <w:rFonts w:hint="eastAsia" w:ascii="宋体" w:hAnsi="宋体" w:cs="宋体"/>
          <w:sz w:val="24"/>
          <w:u w:val="single"/>
        </w:rPr>
        <w:t xml:space="preserve">（京建法【2019】9号）规定及京建发〔2025〕377号规定的标准费率      </w:t>
      </w:r>
    </w:p>
    <w:p w14:paraId="18CA78A5">
      <w:pPr>
        <w:tabs>
          <w:tab w:val="left" w:pos="567"/>
        </w:tabs>
        <w:wordWrap w:val="0"/>
        <w:autoSpaceDE w:val="0"/>
        <w:autoSpaceDN w:val="0"/>
        <w:adjustRightInd w:val="0"/>
        <w:snapToGrid w:val="0"/>
        <w:spacing w:before="112" w:line="360" w:lineRule="auto"/>
        <w:ind w:left="415"/>
        <w:textAlignment w:val="baseline"/>
        <w:rPr>
          <w:rFonts w:ascii="宋体" w:hAnsi="宋体" w:cs="宋体"/>
          <w:sz w:val="24"/>
        </w:rPr>
      </w:pPr>
      <w:r>
        <w:rPr>
          <w:rFonts w:hint="eastAsia" w:ascii="宋体" w:hAnsi="宋体" w:cs="宋体"/>
          <w:sz w:val="24"/>
          <w:u w:val="single"/>
        </w:rPr>
        <w:t>F-合同中载明的安全生产标准化措施费总额。</w:t>
      </w:r>
    </w:p>
    <w:p w14:paraId="2A8317B4">
      <w:pPr>
        <w:tabs>
          <w:tab w:val="left" w:pos="567"/>
        </w:tabs>
        <w:wordWrap w:val="0"/>
        <w:autoSpaceDE w:val="0"/>
        <w:autoSpaceDN w:val="0"/>
        <w:adjustRightInd w:val="0"/>
        <w:snapToGrid w:val="0"/>
        <w:spacing w:before="105" w:line="360" w:lineRule="auto"/>
        <w:ind w:left="418"/>
        <w:textAlignment w:val="baseline"/>
        <w:rPr>
          <w:rFonts w:ascii="宋体" w:hAnsi="宋体" w:cs="宋体"/>
          <w:sz w:val="24"/>
        </w:rPr>
      </w:pPr>
      <w:r>
        <w:rPr>
          <w:rFonts w:hint="eastAsia" w:ascii="宋体" w:hAnsi="宋体" w:cs="宋体"/>
          <w:sz w:val="24"/>
        </w:rPr>
        <w:t>9.6.2      发包人</w:t>
      </w:r>
      <w:r>
        <w:rPr>
          <w:rFonts w:hint="eastAsia" w:ascii="宋体" w:hAnsi="宋体" w:cs="宋体"/>
          <w:sz w:val="24"/>
          <w:u w:val="single"/>
        </w:rPr>
        <w:t>不给予</w:t>
      </w:r>
      <w:r>
        <w:rPr>
          <w:rFonts w:hint="eastAsia" w:ascii="宋体" w:hAnsi="宋体" w:cs="宋体"/>
          <w:sz w:val="24"/>
        </w:rPr>
        <w:t>承包人创优奖励 。发包人给予承包人创优奖励的 ，创优奖励金额或者计算方法：</w:t>
      </w:r>
      <w:r>
        <w:rPr>
          <w:rFonts w:hint="eastAsia" w:ascii="宋体" w:hAnsi="宋体" w:cs="宋体"/>
          <w:sz w:val="24"/>
          <w:u w:val="single"/>
        </w:rPr>
        <w:t>/</w:t>
      </w:r>
    </w:p>
    <w:p w14:paraId="02310BFE">
      <w:pPr>
        <w:tabs>
          <w:tab w:val="left" w:pos="567"/>
        </w:tabs>
        <w:wordWrap w:val="0"/>
        <w:autoSpaceDE w:val="0"/>
        <w:autoSpaceDN w:val="0"/>
        <w:adjustRightInd w:val="0"/>
        <w:snapToGrid w:val="0"/>
        <w:spacing w:before="103" w:line="360" w:lineRule="auto"/>
        <w:textAlignment w:val="baseline"/>
        <w:rPr>
          <w:rFonts w:ascii="宋体" w:hAnsi="宋体" w:cs="宋体"/>
          <w:sz w:val="24"/>
        </w:rPr>
      </w:pPr>
      <w:r>
        <w:rPr>
          <w:rFonts w:hint="eastAsia" w:ascii="宋体" w:hAnsi="宋体" w:cs="宋体"/>
          <w:sz w:val="24"/>
        </w:rPr>
        <w:t>9.7   特殊安全生产标准化</w:t>
      </w:r>
    </w:p>
    <w:p w14:paraId="2EA5BA35">
      <w:pPr>
        <w:tabs>
          <w:tab w:val="left" w:pos="567"/>
        </w:tabs>
        <w:wordWrap w:val="0"/>
        <w:autoSpaceDE w:val="0"/>
        <w:autoSpaceDN w:val="0"/>
        <w:adjustRightInd w:val="0"/>
        <w:snapToGrid w:val="0"/>
        <w:spacing w:before="90" w:line="360" w:lineRule="auto"/>
        <w:ind w:left="418"/>
        <w:textAlignment w:val="baseline"/>
        <w:rPr>
          <w:rFonts w:ascii="宋体" w:hAnsi="宋体" w:cs="宋体"/>
          <w:sz w:val="24"/>
        </w:rPr>
      </w:pPr>
      <w:r>
        <w:rPr>
          <w:rFonts w:hint="eastAsia" w:ascii="宋体" w:hAnsi="宋体" w:cs="宋体"/>
          <w:sz w:val="24"/>
        </w:rPr>
        <w:t>9.7.1   未达到合同约定的特殊安全生产标准化要求的违约金或损失赔偿金的金额或者计算方法：</w:t>
      </w:r>
      <w:r>
        <w:rPr>
          <w:rFonts w:hint="eastAsia" w:ascii="宋体" w:hAnsi="宋体" w:cs="宋体"/>
          <w:sz w:val="24"/>
          <w:u w:val="single"/>
        </w:rPr>
        <w:t>/</w:t>
      </w:r>
    </w:p>
    <w:p w14:paraId="26E5602B">
      <w:pPr>
        <w:tabs>
          <w:tab w:val="left" w:pos="567"/>
        </w:tabs>
        <w:wordWrap w:val="0"/>
        <w:autoSpaceDE w:val="0"/>
        <w:autoSpaceDN w:val="0"/>
        <w:adjustRightInd w:val="0"/>
        <w:snapToGrid w:val="0"/>
        <w:spacing w:before="102" w:line="360" w:lineRule="auto"/>
        <w:ind w:left="418"/>
        <w:textAlignment w:val="baseline"/>
        <w:rPr>
          <w:rFonts w:ascii="宋体" w:hAnsi="宋体" w:cs="宋体"/>
          <w:sz w:val="24"/>
        </w:rPr>
      </w:pPr>
      <w:r>
        <w:rPr>
          <w:rFonts w:hint="eastAsia" w:ascii="宋体" w:hAnsi="宋体" w:cs="宋体"/>
          <w:sz w:val="24"/>
        </w:rPr>
        <w:t>9.7.2      发包人</w:t>
      </w:r>
      <w:r>
        <w:rPr>
          <w:rFonts w:hint="eastAsia" w:ascii="宋体" w:hAnsi="宋体" w:cs="宋体"/>
          <w:sz w:val="24"/>
          <w:u w:val="single"/>
        </w:rPr>
        <w:t>不给予</w:t>
      </w:r>
      <w:r>
        <w:rPr>
          <w:rFonts w:hint="eastAsia" w:ascii="宋体" w:hAnsi="宋体" w:cs="宋体"/>
          <w:sz w:val="24"/>
        </w:rPr>
        <w:t>承包人创优奖励 。发包人给予承包人创优奖励的 ，创优奖励金额或者计算方法：</w:t>
      </w:r>
      <w:r>
        <w:rPr>
          <w:rFonts w:hint="eastAsia" w:ascii="宋体" w:hAnsi="宋体" w:cs="宋体"/>
          <w:sz w:val="24"/>
          <w:u w:val="single"/>
        </w:rPr>
        <w:t>/</w:t>
      </w:r>
    </w:p>
    <w:p w14:paraId="48A72517">
      <w:pPr>
        <w:tabs>
          <w:tab w:val="left" w:pos="567"/>
        </w:tabs>
        <w:wordWrap w:val="0"/>
        <w:autoSpaceDE w:val="0"/>
        <w:autoSpaceDN w:val="0"/>
        <w:adjustRightInd w:val="0"/>
        <w:snapToGrid w:val="0"/>
        <w:spacing w:before="130" w:line="360" w:lineRule="auto"/>
        <w:ind w:left="23"/>
        <w:textAlignment w:val="baseline"/>
        <w:outlineLvl w:val="1"/>
        <w:rPr>
          <w:rFonts w:ascii="宋体" w:hAnsi="宋体" w:cs="宋体"/>
          <w:sz w:val="30"/>
          <w:szCs w:val="30"/>
        </w:rPr>
      </w:pPr>
      <w:r>
        <w:rPr>
          <w:rFonts w:hint="eastAsia" w:ascii="宋体" w:hAnsi="宋体" w:cs="宋体"/>
          <w:sz w:val="30"/>
          <w:szCs w:val="30"/>
        </w:rPr>
        <w:t>10.进度计划</w:t>
      </w:r>
    </w:p>
    <w:p w14:paraId="4F46CA88">
      <w:pPr>
        <w:tabs>
          <w:tab w:val="left" w:pos="567"/>
        </w:tabs>
        <w:wordWrap w:val="0"/>
        <w:autoSpaceDE w:val="0"/>
        <w:autoSpaceDN w:val="0"/>
        <w:adjustRightInd w:val="0"/>
        <w:snapToGrid w:val="0"/>
        <w:spacing w:before="103" w:line="360" w:lineRule="auto"/>
        <w:ind w:left="16"/>
        <w:textAlignment w:val="baseline"/>
        <w:rPr>
          <w:rFonts w:ascii="宋体" w:hAnsi="宋体" w:cs="宋体"/>
          <w:sz w:val="24"/>
        </w:rPr>
      </w:pPr>
      <w:r>
        <w:rPr>
          <w:rFonts w:hint="eastAsia" w:ascii="宋体" w:hAnsi="宋体" w:cs="宋体"/>
          <w:sz w:val="24"/>
        </w:rPr>
        <w:t>10.1   合同进度计划</w:t>
      </w:r>
    </w:p>
    <w:p w14:paraId="69D4A1D0">
      <w:pPr>
        <w:tabs>
          <w:tab w:val="left" w:pos="567"/>
        </w:tabs>
        <w:wordWrap w:val="0"/>
        <w:autoSpaceDE w:val="0"/>
        <w:autoSpaceDN w:val="0"/>
        <w:adjustRightInd w:val="0"/>
        <w:snapToGrid w:val="0"/>
        <w:spacing w:before="91" w:line="360" w:lineRule="auto"/>
        <w:ind w:left="433"/>
        <w:textAlignment w:val="baseline"/>
        <w:rPr>
          <w:rFonts w:ascii="宋体" w:hAnsi="宋体" w:cs="宋体"/>
          <w:sz w:val="24"/>
        </w:rPr>
      </w:pPr>
      <w:r>
        <w:rPr>
          <w:rFonts w:hint="eastAsia" w:ascii="宋体" w:hAnsi="宋体" w:cs="宋体"/>
          <w:sz w:val="24"/>
        </w:rPr>
        <w:t>10.1.1承包人编制施工进度计划和施工方案说明的内容：</w:t>
      </w:r>
    </w:p>
    <w:p w14:paraId="1D50A3AC">
      <w:pPr>
        <w:tabs>
          <w:tab w:val="left" w:pos="567"/>
        </w:tabs>
        <w:wordWrap w:val="0"/>
        <w:autoSpaceDE w:val="0"/>
        <w:autoSpaceDN w:val="0"/>
        <w:adjustRightInd w:val="0"/>
        <w:snapToGrid w:val="0"/>
        <w:spacing w:before="97" w:line="360" w:lineRule="auto"/>
        <w:ind w:left="418" w:firstLine="330"/>
        <w:textAlignment w:val="baseline"/>
        <w:rPr>
          <w:rFonts w:ascii="宋体" w:hAnsi="宋体" w:cs="宋体"/>
          <w:sz w:val="24"/>
        </w:rPr>
      </w:pPr>
      <w:r>
        <w:rPr>
          <w:rFonts w:hint="eastAsia" w:ascii="宋体" w:hAnsi="宋体" w:cs="宋体"/>
          <w:sz w:val="24"/>
          <w:u w:val="single"/>
        </w:rPr>
        <w:t>承包人应按投标阶段承诺的满足合同工期要求的总进度计划关键线路目标 ，以及施工顺序和方法要点 ， 向监理人提交更准确更详细的施工进度计划和施工方案     。施工总进度计划的内容包括：编制说明 ，施工总进度计划表 ，分期分批工程的开工日期、完工日期、工期一览表及资源进场配置表 ，施工进度计划中还应载明要求发包人组织设计人进行阶段性工程设计交底的时间 。</w:t>
      </w:r>
    </w:p>
    <w:p w14:paraId="39A3C1AB">
      <w:pPr>
        <w:tabs>
          <w:tab w:val="left" w:pos="567"/>
        </w:tabs>
        <w:wordWrap w:val="0"/>
        <w:autoSpaceDE w:val="0"/>
        <w:autoSpaceDN w:val="0"/>
        <w:adjustRightInd w:val="0"/>
        <w:snapToGrid w:val="0"/>
        <w:spacing w:before="2" w:line="360" w:lineRule="auto"/>
        <w:ind w:left="433"/>
        <w:textAlignment w:val="baseline"/>
        <w:rPr>
          <w:rFonts w:ascii="宋体" w:hAnsi="宋体" w:cs="宋体"/>
          <w:sz w:val="24"/>
        </w:rPr>
      </w:pPr>
      <w:r>
        <w:rPr>
          <w:rFonts w:hint="eastAsia" w:ascii="宋体" w:hAnsi="宋体" w:cs="宋体"/>
          <w:sz w:val="24"/>
        </w:rPr>
        <w:t>10.1.2承包人编制分阶段或分项施工进度计划和施工方案说明的内容及时限要求：</w:t>
      </w:r>
    </w:p>
    <w:p w14:paraId="5A49A233">
      <w:pPr>
        <w:tabs>
          <w:tab w:val="left" w:pos="567"/>
        </w:tabs>
        <w:wordWrap w:val="0"/>
        <w:autoSpaceDE w:val="0"/>
        <w:autoSpaceDN w:val="0"/>
        <w:adjustRightInd w:val="0"/>
        <w:snapToGrid w:val="0"/>
        <w:spacing w:before="102" w:line="360" w:lineRule="auto"/>
        <w:ind w:left="526" w:firstLine="223"/>
        <w:textAlignment w:val="baseline"/>
        <w:rPr>
          <w:rFonts w:ascii="宋体" w:hAnsi="宋体" w:cs="宋体"/>
          <w:sz w:val="24"/>
        </w:rPr>
      </w:pPr>
      <w:r>
        <w:rPr>
          <w:rFonts w:hint="eastAsia" w:ascii="宋体" w:hAnsi="宋体" w:cs="宋体"/>
          <w:sz w:val="24"/>
          <w:u w:val="single"/>
        </w:rPr>
        <w:t>监理人可以要求承包人在合同进度计划的基础上编制详细的月计划、周计划和专项施工进度计划 ，特别是在合同进度计划关键线路上的单位工程或分部工程 。监理人也可</w:t>
      </w:r>
    </w:p>
    <w:p w14:paraId="55E059A4">
      <w:pPr>
        <w:tabs>
          <w:tab w:val="left" w:pos="567"/>
        </w:tabs>
        <w:wordWrap w:val="0"/>
        <w:autoSpaceDE w:val="0"/>
        <w:autoSpaceDN w:val="0"/>
        <w:adjustRightInd w:val="0"/>
        <w:snapToGrid w:val="0"/>
        <w:spacing w:before="1" w:line="360" w:lineRule="auto"/>
        <w:ind w:left="523" w:right="225" w:firstLine="27"/>
        <w:textAlignment w:val="baseline"/>
        <w:rPr>
          <w:rFonts w:ascii="宋体" w:hAnsi="宋体" w:cs="宋体"/>
          <w:sz w:val="24"/>
        </w:rPr>
      </w:pPr>
      <w:r>
        <w:rPr>
          <w:rFonts w:hint="eastAsia" w:ascii="宋体" w:hAnsi="宋体" w:cs="宋体"/>
          <w:sz w:val="24"/>
          <w:u w:val="single"/>
        </w:rPr>
        <w:t>以要求承包人编制专项施工方案 ，对达到一定规模的危险性较大的分部分项工程应在施工15天前编制专项施工方案 ，承包人应当附有安全验算结果及相应的图纸 。</w:t>
      </w:r>
    </w:p>
    <w:p w14:paraId="1ADBBDA0">
      <w:pPr>
        <w:tabs>
          <w:tab w:val="left" w:pos="567"/>
        </w:tabs>
        <w:wordWrap w:val="0"/>
        <w:autoSpaceDE w:val="0"/>
        <w:autoSpaceDN w:val="0"/>
        <w:adjustRightInd w:val="0"/>
        <w:snapToGrid w:val="0"/>
        <w:spacing w:before="1" w:line="360" w:lineRule="auto"/>
        <w:ind w:left="433"/>
        <w:textAlignment w:val="baseline"/>
        <w:rPr>
          <w:rFonts w:ascii="宋体" w:hAnsi="宋体" w:cs="宋体"/>
          <w:sz w:val="24"/>
        </w:rPr>
      </w:pPr>
      <w:r>
        <w:rPr>
          <w:rFonts w:hint="eastAsia" w:ascii="宋体" w:hAnsi="宋体" w:cs="宋体"/>
          <w:sz w:val="24"/>
        </w:rPr>
        <w:t>10.1.3群体工程中有关编制进度计划和施工方案说明的要求：</w:t>
      </w:r>
      <w:r>
        <w:rPr>
          <w:rFonts w:hint="eastAsia" w:ascii="宋体" w:hAnsi="宋体" w:cs="宋体"/>
          <w:sz w:val="24"/>
          <w:u w:val="single"/>
        </w:rPr>
        <w:t>/</w:t>
      </w:r>
    </w:p>
    <w:p w14:paraId="7B065CD1">
      <w:pPr>
        <w:tabs>
          <w:tab w:val="left" w:pos="567"/>
        </w:tabs>
        <w:wordWrap w:val="0"/>
        <w:autoSpaceDE w:val="0"/>
        <w:autoSpaceDN w:val="0"/>
        <w:adjustRightInd w:val="0"/>
        <w:snapToGrid w:val="0"/>
        <w:spacing w:before="103" w:line="360" w:lineRule="auto"/>
        <w:ind w:left="16"/>
        <w:textAlignment w:val="baseline"/>
        <w:outlineLvl w:val="2"/>
        <w:rPr>
          <w:rFonts w:ascii="宋体" w:hAnsi="宋体" w:cs="宋体"/>
          <w:sz w:val="24"/>
        </w:rPr>
      </w:pPr>
      <w:r>
        <w:rPr>
          <w:rFonts w:hint="eastAsia" w:ascii="宋体" w:hAnsi="宋体" w:cs="宋体"/>
          <w:sz w:val="24"/>
        </w:rPr>
        <w:t>10.2   合同进度计划的修订</w:t>
      </w:r>
    </w:p>
    <w:p w14:paraId="3E23B8E2">
      <w:pPr>
        <w:tabs>
          <w:tab w:val="left" w:pos="567"/>
        </w:tabs>
        <w:wordWrap w:val="0"/>
        <w:autoSpaceDE w:val="0"/>
        <w:autoSpaceDN w:val="0"/>
        <w:adjustRightInd w:val="0"/>
        <w:snapToGrid w:val="0"/>
        <w:spacing w:before="91" w:line="360" w:lineRule="auto"/>
        <w:ind w:left="433"/>
        <w:textAlignment w:val="baseline"/>
        <w:outlineLvl w:val="3"/>
        <w:rPr>
          <w:rFonts w:ascii="宋体" w:hAnsi="宋体" w:cs="宋体"/>
          <w:sz w:val="24"/>
        </w:rPr>
      </w:pPr>
      <w:r>
        <w:rPr>
          <w:rFonts w:hint="eastAsia" w:ascii="宋体" w:hAnsi="宋体" w:cs="宋体"/>
          <w:sz w:val="24"/>
        </w:rPr>
        <w:t>10.2.1承包人报送修订合同进度计划申请报告和相关资料的期限：</w:t>
      </w:r>
    </w:p>
    <w:p w14:paraId="7B7892C9">
      <w:pPr>
        <w:tabs>
          <w:tab w:val="left" w:pos="567"/>
        </w:tabs>
        <w:wordWrap w:val="0"/>
        <w:autoSpaceDE w:val="0"/>
        <w:autoSpaceDN w:val="0"/>
        <w:adjustRightInd w:val="0"/>
        <w:snapToGrid w:val="0"/>
        <w:spacing w:before="103" w:line="360" w:lineRule="auto"/>
        <w:ind w:left="525"/>
        <w:textAlignment w:val="baseline"/>
        <w:rPr>
          <w:rFonts w:ascii="宋体" w:hAnsi="宋体" w:cs="宋体"/>
          <w:sz w:val="24"/>
        </w:rPr>
      </w:pPr>
      <w:r>
        <w:rPr>
          <w:rFonts w:hint="eastAsia" w:ascii="宋体" w:hAnsi="宋体" w:cs="宋体"/>
          <w:sz w:val="24"/>
          <w:u w:val="single"/>
        </w:rPr>
        <w:t>合同进度出现延期后7天内 。</w:t>
      </w:r>
    </w:p>
    <w:p w14:paraId="5BA41D4F">
      <w:pPr>
        <w:tabs>
          <w:tab w:val="left" w:pos="567"/>
        </w:tabs>
        <w:wordWrap w:val="0"/>
        <w:autoSpaceDE w:val="0"/>
        <w:autoSpaceDN w:val="0"/>
        <w:adjustRightInd w:val="0"/>
        <w:snapToGrid w:val="0"/>
        <w:spacing w:before="85" w:line="360" w:lineRule="auto"/>
        <w:ind w:left="418"/>
        <w:textAlignment w:val="baseline"/>
        <w:rPr>
          <w:rFonts w:ascii="宋体" w:hAnsi="宋体" w:cs="宋体"/>
          <w:sz w:val="24"/>
        </w:rPr>
      </w:pPr>
      <w:r>
        <w:rPr>
          <w:rFonts w:hint="eastAsia" w:ascii="宋体" w:hAnsi="宋体" w:cs="宋体"/>
          <w:sz w:val="24"/>
        </w:rPr>
        <w:t>监理人批复修订合同进度计划申请报告的期限：</w:t>
      </w:r>
    </w:p>
    <w:p w14:paraId="420535F1">
      <w:pPr>
        <w:tabs>
          <w:tab w:val="left" w:pos="567"/>
        </w:tabs>
        <w:wordWrap w:val="0"/>
        <w:autoSpaceDE w:val="0"/>
        <w:autoSpaceDN w:val="0"/>
        <w:adjustRightInd w:val="0"/>
        <w:snapToGrid w:val="0"/>
        <w:spacing w:before="102" w:line="360" w:lineRule="auto"/>
        <w:ind w:left="524"/>
        <w:textAlignment w:val="baseline"/>
        <w:rPr>
          <w:rFonts w:ascii="宋体" w:hAnsi="宋体" w:cs="宋体"/>
          <w:sz w:val="24"/>
        </w:rPr>
      </w:pPr>
      <w:r>
        <w:rPr>
          <w:rFonts w:hint="eastAsia" w:ascii="宋体" w:hAnsi="宋体" w:cs="宋体"/>
          <w:sz w:val="24"/>
          <w:u w:val="single"/>
        </w:rPr>
        <w:t>签订修订合同后7天内 。</w:t>
      </w:r>
    </w:p>
    <w:p w14:paraId="5CF33B03">
      <w:pPr>
        <w:tabs>
          <w:tab w:val="left" w:pos="567"/>
        </w:tabs>
        <w:wordWrap w:val="0"/>
        <w:autoSpaceDE w:val="0"/>
        <w:autoSpaceDN w:val="0"/>
        <w:adjustRightInd w:val="0"/>
        <w:snapToGrid w:val="0"/>
        <w:spacing w:before="84" w:line="360" w:lineRule="auto"/>
        <w:ind w:left="433"/>
        <w:textAlignment w:val="baseline"/>
        <w:rPr>
          <w:rFonts w:ascii="宋体" w:hAnsi="宋体" w:cs="宋体"/>
          <w:sz w:val="24"/>
        </w:rPr>
      </w:pPr>
      <w:r>
        <w:rPr>
          <w:rFonts w:hint="eastAsia" w:ascii="宋体" w:hAnsi="宋体" w:cs="宋体"/>
          <w:sz w:val="24"/>
        </w:rPr>
        <w:t>10.2.2监理人批复修订合同进度计划的期限：</w:t>
      </w:r>
    </w:p>
    <w:p w14:paraId="7A2BC178">
      <w:pPr>
        <w:tabs>
          <w:tab w:val="left" w:pos="567"/>
        </w:tabs>
        <w:wordWrap w:val="0"/>
        <w:autoSpaceDE w:val="0"/>
        <w:autoSpaceDN w:val="0"/>
        <w:adjustRightInd w:val="0"/>
        <w:snapToGrid w:val="0"/>
        <w:spacing w:before="102" w:line="360" w:lineRule="auto"/>
        <w:ind w:left="532"/>
        <w:textAlignment w:val="baseline"/>
        <w:rPr>
          <w:rFonts w:ascii="宋体" w:hAnsi="宋体" w:cs="宋体"/>
          <w:sz w:val="24"/>
        </w:rPr>
      </w:pPr>
      <w:r>
        <w:rPr>
          <w:rFonts w:hint="eastAsia" w:ascii="宋体" w:hAnsi="宋体" w:cs="宋体"/>
          <w:sz w:val="24"/>
          <w:u w:val="single"/>
        </w:rPr>
        <w:t>收到承包人报送的修订合同进度计划申请报告和相关资料后7天内 。</w:t>
      </w:r>
    </w:p>
    <w:p w14:paraId="7BAA218F">
      <w:pPr>
        <w:tabs>
          <w:tab w:val="left" w:pos="567"/>
        </w:tabs>
        <w:wordWrap w:val="0"/>
        <w:autoSpaceDE w:val="0"/>
        <w:autoSpaceDN w:val="0"/>
        <w:adjustRightInd w:val="0"/>
        <w:snapToGrid w:val="0"/>
        <w:spacing w:before="132" w:line="360" w:lineRule="auto"/>
        <w:textAlignment w:val="baseline"/>
        <w:rPr>
          <w:rFonts w:ascii="宋体" w:hAnsi="宋体" w:cs="宋体"/>
        </w:rPr>
      </w:pPr>
      <w:r>
        <w:rPr>
          <w:rFonts w:hint="eastAsia" w:ascii="宋体" w:hAnsi="宋体" w:cs="宋体"/>
          <w:sz w:val="24"/>
        </w:rPr>
        <w:t>10.3   合同进度计划的其他要求</w:t>
      </w:r>
    </w:p>
    <w:p w14:paraId="48D66CA6">
      <w:pPr>
        <w:tabs>
          <w:tab w:val="left" w:pos="567"/>
        </w:tabs>
        <w:wordWrap w:val="0"/>
        <w:autoSpaceDE w:val="0"/>
        <w:autoSpaceDN w:val="0"/>
        <w:adjustRightInd w:val="0"/>
        <w:snapToGrid w:val="0"/>
        <w:spacing w:before="91" w:line="360" w:lineRule="auto"/>
        <w:ind w:left="416"/>
        <w:textAlignment w:val="baseline"/>
        <w:rPr>
          <w:rFonts w:ascii="宋体" w:hAnsi="宋体" w:cs="宋体"/>
          <w:sz w:val="24"/>
        </w:rPr>
      </w:pPr>
      <w:r>
        <w:rPr>
          <w:rFonts w:hint="eastAsia" w:ascii="宋体" w:hAnsi="宋体" w:cs="宋体"/>
          <w:sz w:val="24"/>
        </w:rPr>
        <w:t>10.3.2施工进度计划管理的人员配置要求：</w:t>
      </w:r>
      <w:r>
        <w:rPr>
          <w:rFonts w:hint="eastAsia" w:ascii="宋体" w:hAnsi="宋体" w:cs="宋体"/>
          <w:sz w:val="24"/>
          <w:u w:val="single"/>
        </w:rPr>
        <w:t>/</w:t>
      </w:r>
    </w:p>
    <w:p w14:paraId="65130654">
      <w:pPr>
        <w:tabs>
          <w:tab w:val="left" w:pos="567"/>
        </w:tabs>
        <w:wordWrap w:val="0"/>
        <w:autoSpaceDE w:val="0"/>
        <w:autoSpaceDN w:val="0"/>
        <w:adjustRightInd w:val="0"/>
        <w:snapToGrid w:val="0"/>
        <w:spacing w:before="201" w:line="360" w:lineRule="auto"/>
        <w:ind w:left="416"/>
        <w:textAlignment w:val="baseline"/>
        <w:rPr>
          <w:rFonts w:ascii="宋体" w:hAnsi="宋体" w:cs="宋体"/>
          <w:sz w:val="24"/>
        </w:rPr>
      </w:pPr>
      <w:r>
        <w:rPr>
          <w:rFonts w:hint="eastAsia" w:ascii="宋体" w:hAnsi="宋体" w:cs="宋体"/>
          <w:sz w:val="24"/>
        </w:rPr>
        <w:t>10.3.3施工进度计划的计算机应用软件要求：</w:t>
      </w:r>
      <w:r>
        <w:rPr>
          <w:rFonts w:hint="eastAsia" w:ascii="宋体" w:hAnsi="宋体" w:cs="宋体"/>
          <w:sz w:val="24"/>
          <w:u w:val="single"/>
        </w:rPr>
        <w:t>/</w:t>
      </w:r>
    </w:p>
    <w:p w14:paraId="25E69F2E">
      <w:pPr>
        <w:tabs>
          <w:tab w:val="left" w:pos="567"/>
        </w:tabs>
        <w:wordWrap w:val="0"/>
        <w:autoSpaceDE w:val="0"/>
        <w:autoSpaceDN w:val="0"/>
        <w:adjustRightInd w:val="0"/>
        <w:snapToGrid w:val="0"/>
        <w:spacing w:before="129" w:line="360" w:lineRule="auto"/>
        <w:ind w:left="6"/>
        <w:textAlignment w:val="baseline"/>
        <w:outlineLvl w:val="1"/>
        <w:rPr>
          <w:rFonts w:ascii="宋体" w:hAnsi="宋体" w:cs="宋体"/>
          <w:sz w:val="30"/>
          <w:szCs w:val="30"/>
        </w:rPr>
      </w:pPr>
      <w:r>
        <w:rPr>
          <w:rFonts w:hint="eastAsia" w:ascii="宋体" w:hAnsi="宋体" w:cs="宋体"/>
          <w:sz w:val="30"/>
          <w:szCs w:val="30"/>
        </w:rPr>
        <w:t>11.开工和竣工</w:t>
      </w:r>
    </w:p>
    <w:p w14:paraId="1B75794F">
      <w:pPr>
        <w:tabs>
          <w:tab w:val="left" w:pos="567"/>
        </w:tabs>
        <w:wordWrap w:val="0"/>
        <w:autoSpaceDE w:val="0"/>
        <w:autoSpaceDN w:val="0"/>
        <w:adjustRightInd w:val="0"/>
        <w:snapToGrid w:val="0"/>
        <w:spacing w:before="103" w:line="360" w:lineRule="auto"/>
        <w:textAlignment w:val="baseline"/>
        <w:rPr>
          <w:rFonts w:ascii="宋体" w:hAnsi="宋体" w:cs="宋体"/>
          <w:sz w:val="24"/>
        </w:rPr>
      </w:pPr>
      <w:r>
        <w:rPr>
          <w:rFonts w:hint="eastAsia" w:ascii="宋体" w:hAnsi="宋体" w:cs="宋体"/>
          <w:sz w:val="24"/>
        </w:rPr>
        <w:t>11.3   发包人的工期延误</w:t>
      </w:r>
    </w:p>
    <w:p w14:paraId="04BB9E20">
      <w:pPr>
        <w:tabs>
          <w:tab w:val="left" w:pos="567"/>
        </w:tabs>
        <w:wordWrap w:val="0"/>
        <w:autoSpaceDE w:val="0"/>
        <w:autoSpaceDN w:val="0"/>
        <w:adjustRightInd w:val="0"/>
        <w:snapToGrid w:val="0"/>
        <w:spacing w:before="90" w:line="360" w:lineRule="auto"/>
        <w:ind w:left="404"/>
        <w:textAlignment w:val="baseline"/>
        <w:rPr>
          <w:rFonts w:ascii="宋体" w:hAnsi="宋体" w:cs="宋体"/>
          <w:sz w:val="19"/>
          <w:szCs w:val="19"/>
        </w:rPr>
      </w:pPr>
      <w:r>
        <w:rPr>
          <w:rFonts w:hint="eastAsia" w:ascii="宋体" w:hAnsi="宋体" w:cs="宋体"/>
          <w:sz w:val="24"/>
        </w:rPr>
        <w:t>（8）发包人造成工期延误的其他原因</w:t>
      </w:r>
      <w:r>
        <w:rPr>
          <w:rFonts w:hint="eastAsia" w:ascii="宋体" w:hAnsi="宋体" w:cs="宋体"/>
          <w:sz w:val="19"/>
          <w:szCs w:val="19"/>
        </w:rPr>
        <w:t>：</w:t>
      </w:r>
    </w:p>
    <w:p w14:paraId="2CADDD9C">
      <w:pPr>
        <w:tabs>
          <w:tab w:val="left" w:pos="567"/>
        </w:tabs>
        <w:wordWrap w:val="0"/>
        <w:autoSpaceDE w:val="0"/>
        <w:autoSpaceDN w:val="0"/>
        <w:adjustRightInd w:val="0"/>
        <w:snapToGrid w:val="0"/>
        <w:spacing w:before="110" w:line="360" w:lineRule="auto"/>
        <w:ind w:left="506"/>
        <w:textAlignment w:val="baseline"/>
        <w:rPr>
          <w:rFonts w:ascii="宋体" w:hAnsi="宋体" w:cs="宋体"/>
          <w:sz w:val="24"/>
        </w:rPr>
      </w:pPr>
      <w:r>
        <w:rPr>
          <w:rFonts w:hint="eastAsia" w:ascii="宋体" w:hAnsi="宋体" w:cs="宋体"/>
          <w:sz w:val="24"/>
          <w:u w:val="single"/>
        </w:rPr>
        <w:t>/</w:t>
      </w:r>
    </w:p>
    <w:p w14:paraId="251B750D">
      <w:pPr>
        <w:tabs>
          <w:tab w:val="left" w:pos="567"/>
        </w:tabs>
        <w:wordWrap w:val="0"/>
        <w:autoSpaceDE w:val="0"/>
        <w:autoSpaceDN w:val="0"/>
        <w:adjustRightInd w:val="0"/>
        <w:snapToGrid w:val="0"/>
        <w:spacing w:before="103" w:line="360" w:lineRule="auto"/>
        <w:textAlignment w:val="baseline"/>
        <w:rPr>
          <w:rFonts w:ascii="宋体" w:hAnsi="宋体" w:cs="宋体"/>
          <w:sz w:val="24"/>
        </w:rPr>
      </w:pPr>
      <w:r>
        <w:rPr>
          <w:rFonts w:hint="eastAsia" w:ascii="宋体" w:hAnsi="宋体" w:cs="宋体"/>
          <w:sz w:val="24"/>
        </w:rPr>
        <w:t>11.4   异常恶劣的气候条件</w:t>
      </w:r>
    </w:p>
    <w:p w14:paraId="29664339">
      <w:pPr>
        <w:tabs>
          <w:tab w:val="left" w:pos="567"/>
        </w:tabs>
        <w:wordWrap w:val="0"/>
        <w:autoSpaceDE w:val="0"/>
        <w:autoSpaceDN w:val="0"/>
        <w:adjustRightInd w:val="0"/>
        <w:snapToGrid w:val="0"/>
        <w:spacing w:before="91" w:line="360" w:lineRule="auto"/>
        <w:ind w:left="403"/>
        <w:textAlignment w:val="baseline"/>
        <w:rPr>
          <w:rFonts w:ascii="宋体" w:hAnsi="宋体" w:cs="宋体"/>
          <w:sz w:val="24"/>
        </w:rPr>
      </w:pPr>
      <w:r>
        <w:rPr>
          <w:rFonts w:hint="eastAsia" w:ascii="宋体" w:hAnsi="宋体" w:cs="宋体"/>
          <w:sz w:val="24"/>
        </w:rPr>
        <w:t>异常恶劣的气候条件的范围和标准</w:t>
      </w:r>
      <w:r>
        <w:rPr>
          <w:rFonts w:hint="eastAsia" w:ascii="宋体" w:hAnsi="宋体" w:cs="宋体"/>
          <w:sz w:val="19"/>
          <w:szCs w:val="19"/>
        </w:rPr>
        <w:t>：</w:t>
      </w:r>
      <w:r>
        <w:rPr>
          <w:rFonts w:hint="eastAsia" w:ascii="宋体" w:hAnsi="宋体" w:cs="宋体"/>
          <w:sz w:val="24"/>
          <w:u w:val="single"/>
        </w:rPr>
        <w:t>20年一遇的最大降水(雪)量、最高(低)温度等 。均以北京市气象局发布的信息为准 。</w:t>
      </w:r>
    </w:p>
    <w:p w14:paraId="532DB0D5">
      <w:pPr>
        <w:tabs>
          <w:tab w:val="left" w:pos="567"/>
        </w:tabs>
        <w:wordWrap w:val="0"/>
        <w:autoSpaceDE w:val="0"/>
        <w:autoSpaceDN w:val="0"/>
        <w:adjustRightInd w:val="0"/>
        <w:snapToGrid w:val="0"/>
        <w:spacing w:before="103" w:line="360" w:lineRule="auto"/>
        <w:textAlignment w:val="baseline"/>
        <w:rPr>
          <w:rFonts w:ascii="宋体" w:hAnsi="宋体" w:cs="宋体"/>
          <w:sz w:val="24"/>
        </w:rPr>
      </w:pPr>
      <w:r>
        <w:rPr>
          <w:rFonts w:hint="eastAsia" w:ascii="宋体" w:hAnsi="宋体" w:cs="宋体"/>
          <w:sz w:val="24"/>
        </w:rPr>
        <w:t>11.5   承包人的工期延误</w:t>
      </w:r>
    </w:p>
    <w:p w14:paraId="1AE5AE07">
      <w:pPr>
        <w:tabs>
          <w:tab w:val="left" w:pos="567"/>
        </w:tabs>
        <w:wordWrap w:val="0"/>
        <w:autoSpaceDE w:val="0"/>
        <w:autoSpaceDN w:val="0"/>
        <w:adjustRightInd w:val="0"/>
        <w:snapToGrid w:val="0"/>
        <w:spacing w:before="91" w:line="360" w:lineRule="auto"/>
        <w:ind w:left="414"/>
        <w:textAlignment w:val="baseline"/>
        <w:rPr>
          <w:rFonts w:ascii="宋体" w:hAnsi="宋体" w:cs="宋体"/>
          <w:sz w:val="24"/>
        </w:rPr>
      </w:pPr>
      <w:r>
        <w:rPr>
          <w:rFonts w:hint="eastAsia" w:ascii="宋体" w:hAnsi="宋体" w:cs="宋体"/>
          <w:sz w:val="19"/>
          <w:szCs w:val="19"/>
        </w:rPr>
        <w:t xml:space="preserve">11.5.2  </w:t>
      </w:r>
      <w:r>
        <w:rPr>
          <w:rFonts w:hint="eastAsia" w:ascii="宋体" w:hAnsi="宋体" w:cs="宋体"/>
          <w:sz w:val="24"/>
        </w:rPr>
        <w:t>逾期竣工违约金的计算标准和计算方法：</w:t>
      </w:r>
    </w:p>
    <w:p w14:paraId="7852036E">
      <w:pPr>
        <w:tabs>
          <w:tab w:val="left" w:pos="567"/>
        </w:tabs>
        <w:wordWrap w:val="0"/>
        <w:autoSpaceDE w:val="0"/>
        <w:autoSpaceDN w:val="0"/>
        <w:adjustRightInd w:val="0"/>
        <w:snapToGrid w:val="0"/>
        <w:spacing w:before="103" w:line="360" w:lineRule="auto"/>
        <w:ind w:left="405" w:firstLine="212"/>
        <w:textAlignment w:val="baseline"/>
        <w:rPr>
          <w:rFonts w:ascii="宋体" w:hAnsi="宋体" w:cs="宋体"/>
          <w:sz w:val="24"/>
        </w:rPr>
      </w:pPr>
      <w:r>
        <w:rPr>
          <w:rFonts w:hint="eastAsia" w:ascii="宋体" w:hAnsi="宋体" w:cs="宋体"/>
          <w:sz w:val="24"/>
          <w:u w:val="single"/>
        </w:rPr>
        <w:t>结算价款的万分之二/天，逾期天数×结算价款的万分之二/天，其中：逾期天数=实际工期-合同工期-发包人同意延长的工期 。</w:t>
      </w:r>
    </w:p>
    <w:p w14:paraId="7D5A7856">
      <w:pPr>
        <w:tabs>
          <w:tab w:val="left" w:pos="567"/>
        </w:tabs>
        <w:wordWrap w:val="0"/>
        <w:autoSpaceDE w:val="0"/>
        <w:autoSpaceDN w:val="0"/>
        <w:adjustRightInd w:val="0"/>
        <w:snapToGrid w:val="0"/>
        <w:spacing w:before="120" w:line="360" w:lineRule="auto"/>
        <w:ind w:left="399"/>
        <w:textAlignment w:val="baseline"/>
        <w:rPr>
          <w:rFonts w:ascii="宋体" w:hAnsi="宋体" w:cs="宋体"/>
          <w:sz w:val="24"/>
        </w:rPr>
      </w:pPr>
      <w:r>
        <w:rPr>
          <w:rFonts w:hint="eastAsia" w:ascii="宋体" w:hAnsi="宋体" w:cs="宋体"/>
          <w:sz w:val="24"/>
        </w:rPr>
        <w:t>逾期竣工违约金最高限额：</w:t>
      </w:r>
    </w:p>
    <w:p w14:paraId="12C7724E">
      <w:pPr>
        <w:tabs>
          <w:tab w:val="left" w:pos="567"/>
        </w:tabs>
        <w:wordWrap w:val="0"/>
        <w:autoSpaceDE w:val="0"/>
        <w:autoSpaceDN w:val="0"/>
        <w:adjustRightInd w:val="0"/>
        <w:snapToGrid w:val="0"/>
        <w:spacing w:before="102" w:line="360" w:lineRule="auto"/>
        <w:ind w:left="512"/>
        <w:textAlignment w:val="baseline"/>
        <w:rPr>
          <w:rFonts w:ascii="宋体" w:hAnsi="宋体" w:cs="宋体"/>
          <w:sz w:val="24"/>
        </w:rPr>
      </w:pPr>
      <w:r>
        <w:rPr>
          <w:rFonts w:hint="eastAsia" w:ascii="宋体" w:hAnsi="宋体" w:cs="宋体"/>
          <w:sz w:val="24"/>
          <w:u w:val="single"/>
        </w:rPr>
        <w:t>结算价款的3% 。</w:t>
      </w:r>
    </w:p>
    <w:p w14:paraId="0878E5F1">
      <w:pPr>
        <w:wordWrap w:val="0"/>
        <w:autoSpaceDE w:val="0"/>
        <w:autoSpaceDN w:val="0"/>
        <w:adjustRightInd w:val="0"/>
        <w:snapToGrid w:val="0"/>
        <w:spacing w:line="360" w:lineRule="auto"/>
        <w:textAlignment w:val="baseline"/>
        <w:rPr>
          <w:rFonts w:ascii="宋体" w:hAnsi="宋体" w:cs="宋体"/>
        </w:rPr>
      </w:pPr>
    </w:p>
    <w:p w14:paraId="211A0C98">
      <w:pPr>
        <w:tabs>
          <w:tab w:val="left" w:pos="567"/>
        </w:tabs>
        <w:wordWrap w:val="0"/>
        <w:autoSpaceDE w:val="0"/>
        <w:autoSpaceDN w:val="0"/>
        <w:adjustRightInd w:val="0"/>
        <w:snapToGrid w:val="0"/>
        <w:spacing w:before="104" w:line="360" w:lineRule="auto"/>
        <w:textAlignment w:val="baseline"/>
        <w:rPr>
          <w:rFonts w:ascii="宋体" w:hAnsi="宋体" w:cs="宋体"/>
          <w:sz w:val="24"/>
        </w:rPr>
      </w:pPr>
      <w:r>
        <w:rPr>
          <w:rFonts w:hint="eastAsia" w:ascii="宋体" w:hAnsi="宋体" w:cs="宋体"/>
          <w:sz w:val="24"/>
        </w:rPr>
        <w:t>11.6   合同双方原因导致的工期延误</w:t>
      </w:r>
    </w:p>
    <w:p w14:paraId="7F61E5FA">
      <w:pPr>
        <w:tabs>
          <w:tab w:val="left" w:pos="567"/>
        </w:tabs>
        <w:wordWrap w:val="0"/>
        <w:autoSpaceDE w:val="0"/>
        <w:autoSpaceDN w:val="0"/>
        <w:adjustRightInd w:val="0"/>
        <w:snapToGrid w:val="0"/>
        <w:spacing w:before="90" w:line="360" w:lineRule="auto"/>
        <w:ind w:left="401"/>
        <w:textAlignment w:val="baseline"/>
        <w:rPr>
          <w:rFonts w:ascii="宋体" w:hAnsi="宋体" w:cs="宋体"/>
          <w:sz w:val="24"/>
        </w:rPr>
      </w:pPr>
      <w:r>
        <w:rPr>
          <w:rFonts w:hint="eastAsia" w:ascii="宋体" w:hAnsi="宋体" w:cs="宋体"/>
          <w:sz w:val="24"/>
        </w:rPr>
        <w:t>合同双方导致工期延误的原因：</w:t>
      </w:r>
      <w:r>
        <w:rPr>
          <w:rFonts w:hint="eastAsia" w:ascii="宋体" w:hAnsi="宋体" w:cs="宋体"/>
          <w:sz w:val="24"/>
          <w:u w:val="single"/>
        </w:rPr>
        <w:t>/</w:t>
      </w:r>
    </w:p>
    <w:p w14:paraId="69C0A1F4">
      <w:pPr>
        <w:tabs>
          <w:tab w:val="left" w:pos="567"/>
        </w:tabs>
        <w:wordWrap w:val="0"/>
        <w:autoSpaceDE w:val="0"/>
        <w:autoSpaceDN w:val="0"/>
        <w:adjustRightInd w:val="0"/>
        <w:snapToGrid w:val="0"/>
        <w:spacing w:before="104" w:line="360" w:lineRule="auto"/>
        <w:textAlignment w:val="baseline"/>
        <w:rPr>
          <w:rFonts w:ascii="宋体" w:hAnsi="宋体" w:cs="宋体"/>
          <w:sz w:val="24"/>
        </w:rPr>
      </w:pPr>
      <w:r>
        <w:rPr>
          <w:rFonts w:hint="eastAsia" w:ascii="宋体" w:hAnsi="宋体" w:cs="宋体"/>
          <w:sz w:val="24"/>
        </w:rPr>
        <w:t>11.7   非合同双方原因导致的工期延误</w:t>
      </w:r>
    </w:p>
    <w:p w14:paraId="1E11EA7B">
      <w:pPr>
        <w:tabs>
          <w:tab w:val="left" w:pos="567"/>
        </w:tabs>
        <w:wordWrap w:val="0"/>
        <w:autoSpaceDE w:val="0"/>
        <w:autoSpaceDN w:val="0"/>
        <w:adjustRightInd w:val="0"/>
        <w:snapToGrid w:val="0"/>
        <w:spacing w:before="90" w:line="360" w:lineRule="auto"/>
        <w:ind w:left="404"/>
        <w:textAlignment w:val="baseline"/>
        <w:rPr>
          <w:rFonts w:ascii="宋体" w:hAnsi="宋体" w:cs="宋体"/>
          <w:sz w:val="24"/>
        </w:rPr>
      </w:pPr>
      <w:r>
        <w:rPr>
          <w:rFonts w:hint="eastAsia" w:ascii="宋体" w:hAnsi="宋体" w:cs="宋体"/>
          <w:sz w:val="24"/>
        </w:rPr>
        <w:t>非合同双方导致工期延误的原因：</w:t>
      </w:r>
      <w:r>
        <w:rPr>
          <w:rFonts w:hint="eastAsia" w:ascii="宋体" w:hAnsi="宋体" w:cs="宋体"/>
          <w:sz w:val="24"/>
          <w:u w:val="single"/>
        </w:rPr>
        <w:t>/</w:t>
      </w:r>
    </w:p>
    <w:p w14:paraId="305D262F">
      <w:pPr>
        <w:tabs>
          <w:tab w:val="left" w:pos="567"/>
        </w:tabs>
        <w:wordWrap w:val="0"/>
        <w:autoSpaceDE w:val="0"/>
        <w:autoSpaceDN w:val="0"/>
        <w:adjustRightInd w:val="0"/>
        <w:snapToGrid w:val="0"/>
        <w:spacing w:before="103" w:line="360" w:lineRule="auto"/>
        <w:ind w:left="18"/>
        <w:textAlignment w:val="baseline"/>
        <w:outlineLvl w:val="2"/>
        <w:rPr>
          <w:rFonts w:ascii="宋体" w:hAnsi="宋体" w:cs="宋体"/>
          <w:sz w:val="24"/>
        </w:rPr>
      </w:pPr>
      <w:r>
        <w:rPr>
          <w:rFonts w:hint="eastAsia" w:ascii="宋体" w:hAnsi="宋体" w:cs="宋体"/>
          <w:sz w:val="24"/>
        </w:rPr>
        <w:t>11.8   工期提前</w:t>
      </w:r>
    </w:p>
    <w:p w14:paraId="008EA714">
      <w:pPr>
        <w:tabs>
          <w:tab w:val="left" w:pos="567"/>
        </w:tabs>
        <w:wordWrap w:val="0"/>
        <w:autoSpaceDE w:val="0"/>
        <w:autoSpaceDN w:val="0"/>
        <w:adjustRightInd w:val="0"/>
        <w:snapToGrid w:val="0"/>
        <w:spacing w:before="90" w:line="360" w:lineRule="auto"/>
        <w:ind w:left="420"/>
        <w:textAlignment w:val="baseline"/>
        <w:rPr>
          <w:rFonts w:ascii="宋体" w:hAnsi="宋体" w:cs="宋体"/>
          <w:sz w:val="24"/>
        </w:rPr>
      </w:pPr>
      <w:r>
        <w:rPr>
          <w:rFonts w:hint="eastAsia" w:ascii="宋体" w:hAnsi="宋体" w:cs="宋体"/>
          <w:sz w:val="24"/>
        </w:rPr>
        <w:t>提前竣工的奖励办法：</w:t>
      </w:r>
    </w:p>
    <w:p w14:paraId="7BAC611C">
      <w:pPr>
        <w:tabs>
          <w:tab w:val="left" w:pos="567"/>
        </w:tabs>
        <w:wordWrap w:val="0"/>
        <w:autoSpaceDE w:val="0"/>
        <w:autoSpaceDN w:val="0"/>
        <w:adjustRightInd w:val="0"/>
        <w:snapToGrid w:val="0"/>
        <w:spacing w:before="101" w:line="360" w:lineRule="auto"/>
        <w:ind w:left="530"/>
        <w:textAlignment w:val="baseline"/>
        <w:rPr>
          <w:rFonts w:ascii="宋体" w:hAnsi="宋体" w:cs="宋体"/>
          <w:sz w:val="24"/>
        </w:rPr>
      </w:pPr>
      <w:r>
        <w:rPr>
          <w:rFonts w:hint="eastAsia" w:ascii="宋体" w:hAnsi="宋体" w:cs="宋体"/>
          <w:sz w:val="24"/>
          <w:u w:val="single"/>
        </w:rPr>
        <w:t>发生时另议 。</w:t>
      </w:r>
    </w:p>
    <w:p w14:paraId="1F166DE1">
      <w:pPr>
        <w:tabs>
          <w:tab w:val="left" w:pos="567"/>
        </w:tabs>
        <w:wordWrap w:val="0"/>
        <w:autoSpaceDE w:val="0"/>
        <w:autoSpaceDN w:val="0"/>
        <w:adjustRightInd w:val="0"/>
        <w:snapToGrid w:val="0"/>
        <w:spacing w:before="128" w:line="360" w:lineRule="auto"/>
        <w:ind w:left="25"/>
        <w:textAlignment w:val="baseline"/>
        <w:outlineLvl w:val="1"/>
        <w:rPr>
          <w:rFonts w:ascii="宋体" w:hAnsi="宋体" w:cs="宋体"/>
          <w:sz w:val="30"/>
          <w:szCs w:val="30"/>
        </w:rPr>
      </w:pPr>
      <w:r>
        <w:rPr>
          <w:rFonts w:hint="eastAsia" w:ascii="宋体" w:hAnsi="宋体" w:cs="宋体"/>
          <w:sz w:val="30"/>
          <w:szCs w:val="30"/>
        </w:rPr>
        <w:t>12.暂停施工</w:t>
      </w:r>
    </w:p>
    <w:p w14:paraId="3A8215BF">
      <w:pPr>
        <w:tabs>
          <w:tab w:val="left" w:pos="567"/>
        </w:tabs>
        <w:wordWrap w:val="0"/>
        <w:autoSpaceDE w:val="0"/>
        <w:autoSpaceDN w:val="0"/>
        <w:adjustRightInd w:val="0"/>
        <w:snapToGrid w:val="0"/>
        <w:spacing w:before="104" w:line="360" w:lineRule="auto"/>
        <w:ind w:left="18"/>
        <w:textAlignment w:val="baseline"/>
        <w:outlineLvl w:val="2"/>
        <w:rPr>
          <w:rFonts w:ascii="宋体" w:hAnsi="宋体" w:cs="宋体"/>
          <w:sz w:val="24"/>
        </w:rPr>
      </w:pPr>
      <w:r>
        <w:rPr>
          <w:rFonts w:hint="eastAsia" w:ascii="宋体" w:hAnsi="宋体" w:cs="宋体"/>
          <w:sz w:val="24"/>
        </w:rPr>
        <w:t>12.1   承包人暂停施工的责任</w:t>
      </w:r>
    </w:p>
    <w:p w14:paraId="2B892564">
      <w:pPr>
        <w:wordWrap w:val="0"/>
        <w:autoSpaceDE w:val="0"/>
        <w:autoSpaceDN w:val="0"/>
        <w:adjustRightInd w:val="0"/>
        <w:snapToGrid w:val="0"/>
        <w:spacing w:line="360" w:lineRule="auto"/>
        <w:textAlignment w:val="baseline"/>
        <w:rPr>
          <w:rFonts w:ascii="宋体" w:hAnsi="宋体" w:cs="宋体"/>
        </w:rPr>
      </w:pPr>
    </w:p>
    <w:p w14:paraId="476C4179">
      <w:pPr>
        <w:tabs>
          <w:tab w:val="left" w:pos="567"/>
        </w:tabs>
        <w:wordWrap w:val="0"/>
        <w:autoSpaceDE w:val="0"/>
        <w:autoSpaceDN w:val="0"/>
        <w:adjustRightInd w:val="0"/>
        <w:snapToGrid w:val="0"/>
        <w:spacing w:before="90" w:line="360" w:lineRule="auto"/>
        <w:ind w:left="423"/>
        <w:textAlignment w:val="baseline"/>
        <w:rPr>
          <w:rFonts w:ascii="宋体" w:hAnsi="宋体" w:cs="宋体"/>
          <w:sz w:val="24"/>
        </w:rPr>
      </w:pPr>
      <w:r>
        <w:rPr>
          <w:rFonts w:hint="eastAsia" w:ascii="宋体" w:hAnsi="宋体" w:cs="宋体"/>
          <w:sz w:val="24"/>
        </w:rPr>
        <w:t>（4）承包人承担暂停施工责任的其他情形：</w:t>
      </w:r>
    </w:p>
    <w:p w14:paraId="1F189820">
      <w:pPr>
        <w:tabs>
          <w:tab w:val="left" w:pos="567"/>
        </w:tabs>
        <w:wordWrap w:val="0"/>
        <w:autoSpaceDE w:val="0"/>
        <w:autoSpaceDN w:val="0"/>
        <w:adjustRightInd w:val="0"/>
        <w:snapToGrid w:val="0"/>
        <w:spacing w:before="110" w:line="360" w:lineRule="auto"/>
        <w:ind w:left="525"/>
        <w:textAlignment w:val="baseline"/>
        <w:rPr>
          <w:rFonts w:ascii="宋体" w:hAnsi="宋体" w:cs="宋体"/>
          <w:sz w:val="24"/>
        </w:rPr>
      </w:pPr>
      <w:r>
        <w:rPr>
          <w:rFonts w:hint="eastAsia" w:ascii="宋体" w:hAnsi="宋体" w:cs="宋体"/>
          <w:sz w:val="24"/>
          <w:u w:val="single"/>
        </w:rPr>
        <w:t>/</w:t>
      </w:r>
    </w:p>
    <w:p w14:paraId="0D90BCF3">
      <w:pPr>
        <w:tabs>
          <w:tab w:val="left" w:pos="567"/>
        </w:tabs>
        <w:wordWrap w:val="0"/>
        <w:autoSpaceDE w:val="0"/>
        <w:autoSpaceDN w:val="0"/>
        <w:adjustRightInd w:val="0"/>
        <w:snapToGrid w:val="0"/>
        <w:spacing w:before="129" w:line="360" w:lineRule="auto"/>
        <w:ind w:left="25"/>
        <w:textAlignment w:val="baseline"/>
        <w:outlineLvl w:val="1"/>
        <w:rPr>
          <w:rFonts w:ascii="宋体" w:hAnsi="宋体" w:cs="宋体"/>
          <w:sz w:val="30"/>
          <w:szCs w:val="30"/>
        </w:rPr>
      </w:pPr>
      <w:r>
        <w:rPr>
          <w:rFonts w:hint="eastAsia" w:ascii="宋体" w:hAnsi="宋体" w:cs="宋体"/>
          <w:sz w:val="30"/>
          <w:szCs w:val="30"/>
        </w:rPr>
        <w:t>13.工程质量</w:t>
      </w:r>
    </w:p>
    <w:p w14:paraId="04AD6809">
      <w:pPr>
        <w:tabs>
          <w:tab w:val="left" w:pos="567"/>
        </w:tabs>
        <w:wordWrap w:val="0"/>
        <w:autoSpaceDE w:val="0"/>
        <w:autoSpaceDN w:val="0"/>
        <w:adjustRightInd w:val="0"/>
        <w:snapToGrid w:val="0"/>
        <w:spacing w:before="103" w:line="360" w:lineRule="auto"/>
        <w:ind w:left="18"/>
        <w:textAlignment w:val="baseline"/>
        <w:outlineLvl w:val="2"/>
        <w:rPr>
          <w:rFonts w:ascii="宋体" w:hAnsi="宋体" w:cs="宋体"/>
          <w:sz w:val="24"/>
        </w:rPr>
      </w:pPr>
      <w:r>
        <w:rPr>
          <w:rFonts w:hint="eastAsia" w:ascii="宋体" w:hAnsi="宋体" w:cs="宋体"/>
          <w:sz w:val="24"/>
        </w:rPr>
        <w:t>13.2   承包人的质量管理</w:t>
      </w:r>
    </w:p>
    <w:p w14:paraId="0B7CC5C3">
      <w:pPr>
        <w:tabs>
          <w:tab w:val="left" w:pos="567"/>
        </w:tabs>
        <w:wordWrap w:val="0"/>
        <w:autoSpaceDE w:val="0"/>
        <w:autoSpaceDN w:val="0"/>
        <w:adjustRightInd w:val="0"/>
        <w:snapToGrid w:val="0"/>
        <w:spacing w:before="91" w:line="360" w:lineRule="auto"/>
        <w:ind w:left="435"/>
        <w:textAlignment w:val="baseline"/>
        <w:outlineLvl w:val="3"/>
        <w:rPr>
          <w:rFonts w:ascii="宋体" w:hAnsi="宋体" w:cs="宋体"/>
          <w:sz w:val="24"/>
        </w:rPr>
      </w:pPr>
      <w:r>
        <w:rPr>
          <w:rFonts w:hint="eastAsia" w:ascii="宋体" w:hAnsi="宋体" w:cs="宋体"/>
          <w:sz w:val="24"/>
        </w:rPr>
        <w:t>13.2.1   承包人向监理人提交工程质量保证措施文件的期限：</w:t>
      </w:r>
    </w:p>
    <w:p w14:paraId="4CBB8EEC">
      <w:pPr>
        <w:tabs>
          <w:tab w:val="left" w:pos="567"/>
        </w:tabs>
        <w:wordWrap w:val="0"/>
        <w:autoSpaceDE w:val="0"/>
        <w:autoSpaceDN w:val="0"/>
        <w:adjustRightInd w:val="0"/>
        <w:snapToGrid w:val="0"/>
        <w:spacing w:before="102" w:line="360" w:lineRule="auto"/>
        <w:ind w:left="526"/>
        <w:textAlignment w:val="baseline"/>
        <w:rPr>
          <w:rFonts w:ascii="宋体" w:hAnsi="宋体" w:cs="宋体"/>
          <w:sz w:val="24"/>
        </w:rPr>
      </w:pPr>
      <w:r>
        <w:rPr>
          <w:rFonts w:hint="eastAsia" w:ascii="宋体" w:hAnsi="宋体" w:cs="宋体"/>
          <w:sz w:val="24"/>
          <w:u w:val="single"/>
        </w:rPr>
        <w:t>签订合同后7天内 。</w:t>
      </w:r>
    </w:p>
    <w:p w14:paraId="5266DFB5">
      <w:pPr>
        <w:tabs>
          <w:tab w:val="left" w:pos="567"/>
        </w:tabs>
        <w:wordWrap w:val="0"/>
        <w:autoSpaceDE w:val="0"/>
        <w:autoSpaceDN w:val="0"/>
        <w:adjustRightInd w:val="0"/>
        <w:snapToGrid w:val="0"/>
        <w:spacing w:before="84" w:line="360" w:lineRule="auto"/>
        <w:ind w:left="420"/>
        <w:textAlignment w:val="baseline"/>
        <w:rPr>
          <w:rFonts w:ascii="宋体" w:hAnsi="宋体" w:cs="宋体"/>
          <w:sz w:val="24"/>
        </w:rPr>
      </w:pPr>
      <w:r>
        <w:rPr>
          <w:rFonts w:hint="eastAsia" w:ascii="宋体" w:hAnsi="宋体" w:cs="宋体"/>
          <w:sz w:val="24"/>
        </w:rPr>
        <w:t>监理人审批工程质量保证措施文件的期限：</w:t>
      </w:r>
    </w:p>
    <w:p w14:paraId="4FA0F2C7">
      <w:pPr>
        <w:tabs>
          <w:tab w:val="left" w:pos="567"/>
        </w:tabs>
        <w:wordWrap w:val="0"/>
        <w:autoSpaceDE w:val="0"/>
        <w:autoSpaceDN w:val="0"/>
        <w:adjustRightInd w:val="0"/>
        <w:snapToGrid w:val="0"/>
        <w:spacing w:before="103" w:line="360" w:lineRule="auto"/>
        <w:ind w:left="534"/>
        <w:textAlignment w:val="baseline"/>
        <w:rPr>
          <w:rFonts w:ascii="宋体" w:hAnsi="宋体" w:cs="宋体"/>
          <w:sz w:val="24"/>
        </w:rPr>
      </w:pPr>
      <w:r>
        <w:rPr>
          <w:rFonts w:hint="eastAsia" w:ascii="宋体" w:hAnsi="宋体" w:cs="宋体"/>
          <w:sz w:val="24"/>
          <w:u w:val="single"/>
        </w:rPr>
        <w:t>收到承包人报送文件7日内 。</w:t>
      </w:r>
    </w:p>
    <w:p w14:paraId="6C8E95D4">
      <w:pPr>
        <w:tabs>
          <w:tab w:val="left" w:pos="567"/>
        </w:tabs>
        <w:wordWrap w:val="0"/>
        <w:autoSpaceDE w:val="0"/>
        <w:autoSpaceDN w:val="0"/>
        <w:adjustRightInd w:val="0"/>
        <w:snapToGrid w:val="0"/>
        <w:spacing w:before="104" w:line="360" w:lineRule="auto"/>
        <w:ind w:left="18"/>
        <w:textAlignment w:val="baseline"/>
        <w:outlineLvl w:val="2"/>
        <w:rPr>
          <w:rFonts w:ascii="宋体" w:hAnsi="宋体" w:cs="宋体"/>
          <w:sz w:val="24"/>
        </w:rPr>
      </w:pPr>
      <w:r>
        <w:rPr>
          <w:rFonts w:hint="eastAsia" w:ascii="宋体" w:hAnsi="宋体" w:cs="宋体"/>
          <w:sz w:val="24"/>
        </w:rPr>
        <w:t>13.3   承包人的质量检查</w:t>
      </w:r>
    </w:p>
    <w:p w14:paraId="3516E88B">
      <w:pPr>
        <w:tabs>
          <w:tab w:val="left" w:pos="567"/>
        </w:tabs>
        <w:wordWrap w:val="0"/>
        <w:autoSpaceDE w:val="0"/>
        <w:autoSpaceDN w:val="0"/>
        <w:adjustRightInd w:val="0"/>
        <w:snapToGrid w:val="0"/>
        <w:spacing w:before="90" w:line="360" w:lineRule="auto"/>
        <w:ind w:left="420"/>
        <w:textAlignment w:val="baseline"/>
        <w:rPr>
          <w:rFonts w:ascii="宋体" w:hAnsi="宋体" w:cs="宋体"/>
          <w:sz w:val="24"/>
        </w:rPr>
      </w:pPr>
      <w:r>
        <w:rPr>
          <w:rFonts w:hint="eastAsia" w:ascii="宋体" w:hAnsi="宋体" w:cs="宋体"/>
          <w:sz w:val="24"/>
        </w:rPr>
        <w:t>承包人向监理人报送工程质量报表的期限：</w:t>
      </w:r>
    </w:p>
    <w:p w14:paraId="4AE3E028">
      <w:pPr>
        <w:tabs>
          <w:tab w:val="left" w:pos="567"/>
        </w:tabs>
        <w:wordWrap w:val="0"/>
        <w:autoSpaceDE w:val="0"/>
        <w:autoSpaceDN w:val="0"/>
        <w:adjustRightInd w:val="0"/>
        <w:snapToGrid w:val="0"/>
        <w:spacing w:before="102" w:line="360" w:lineRule="auto"/>
        <w:ind w:left="527"/>
        <w:textAlignment w:val="baseline"/>
        <w:rPr>
          <w:rFonts w:ascii="宋体" w:hAnsi="宋体" w:cs="宋体"/>
          <w:sz w:val="24"/>
        </w:rPr>
      </w:pPr>
      <w:r>
        <w:rPr>
          <w:rFonts w:hint="eastAsia" w:ascii="宋体" w:hAnsi="宋体" w:cs="宋体"/>
          <w:sz w:val="24"/>
          <w:u w:val="single"/>
        </w:rPr>
        <w:t>质量检查前24小时内 。</w:t>
      </w:r>
    </w:p>
    <w:p w14:paraId="231B3932">
      <w:pPr>
        <w:tabs>
          <w:tab w:val="left" w:pos="567"/>
        </w:tabs>
        <w:wordWrap w:val="0"/>
        <w:autoSpaceDE w:val="0"/>
        <w:autoSpaceDN w:val="0"/>
        <w:adjustRightInd w:val="0"/>
        <w:snapToGrid w:val="0"/>
        <w:spacing w:before="84" w:line="360" w:lineRule="auto"/>
        <w:ind w:left="420"/>
        <w:textAlignment w:val="baseline"/>
        <w:rPr>
          <w:rFonts w:ascii="宋体" w:hAnsi="宋体" w:cs="宋体"/>
          <w:sz w:val="24"/>
        </w:rPr>
      </w:pPr>
      <w:r>
        <w:rPr>
          <w:rFonts w:hint="eastAsia" w:ascii="宋体" w:hAnsi="宋体" w:cs="宋体"/>
          <w:sz w:val="24"/>
        </w:rPr>
        <w:t>承包人向监理人报送工程质量报表的要求：</w:t>
      </w:r>
    </w:p>
    <w:p w14:paraId="666E04C2">
      <w:pPr>
        <w:tabs>
          <w:tab w:val="left" w:pos="567"/>
        </w:tabs>
        <w:wordWrap w:val="0"/>
        <w:autoSpaceDE w:val="0"/>
        <w:autoSpaceDN w:val="0"/>
        <w:adjustRightInd w:val="0"/>
        <w:snapToGrid w:val="0"/>
        <w:spacing w:before="101" w:line="360" w:lineRule="auto"/>
        <w:ind w:left="527"/>
        <w:textAlignment w:val="baseline"/>
        <w:rPr>
          <w:rFonts w:ascii="宋体" w:hAnsi="宋体" w:cs="宋体"/>
          <w:sz w:val="24"/>
        </w:rPr>
      </w:pPr>
      <w:r>
        <w:rPr>
          <w:rFonts w:hint="eastAsia" w:ascii="宋体" w:hAnsi="宋体" w:cs="宋体"/>
          <w:sz w:val="24"/>
          <w:u w:val="single"/>
        </w:rPr>
        <w:t xml:space="preserve">质量检测相关文件真实、完整,按监理人要求格式报送 。   </w:t>
      </w:r>
    </w:p>
    <w:p w14:paraId="25B97F43">
      <w:pPr>
        <w:tabs>
          <w:tab w:val="left" w:pos="567"/>
        </w:tabs>
        <w:wordWrap w:val="0"/>
        <w:autoSpaceDE w:val="0"/>
        <w:autoSpaceDN w:val="0"/>
        <w:adjustRightInd w:val="0"/>
        <w:snapToGrid w:val="0"/>
        <w:spacing w:before="84" w:line="360" w:lineRule="auto"/>
        <w:ind w:left="420"/>
        <w:textAlignment w:val="baseline"/>
        <w:rPr>
          <w:rFonts w:ascii="宋体" w:hAnsi="宋体" w:cs="宋体"/>
          <w:sz w:val="24"/>
        </w:rPr>
      </w:pPr>
      <w:r>
        <w:rPr>
          <w:rFonts w:hint="eastAsia" w:ascii="宋体" w:hAnsi="宋体" w:cs="宋体"/>
          <w:sz w:val="24"/>
        </w:rPr>
        <w:t>监理人审查工程质量报表的期限：</w:t>
      </w:r>
    </w:p>
    <w:p w14:paraId="5853FFAF">
      <w:pPr>
        <w:tabs>
          <w:tab w:val="left" w:pos="567"/>
        </w:tabs>
        <w:wordWrap w:val="0"/>
        <w:autoSpaceDE w:val="0"/>
        <w:autoSpaceDN w:val="0"/>
        <w:adjustRightInd w:val="0"/>
        <w:snapToGrid w:val="0"/>
        <w:spacing w:before="103" w:line="360" w:lineRule="auto"/>
        <w:ind w:left="534"/>
        <w:textAlignment w:val="baseline"/>
        <w:rPr>
          <w:rFonts w:ascii="宋体" w:hAnsi="宋体" w:cs="宋体"/>
          <w:sz w:val="24"/>
        </w:rPr>
      </w:pPr>
      <w:r>
        <w:rPr>
          <w:rFonts w:hint="eastAsia" w:ascii="宋体" w:hAnsi="宋体" w:cs="宋体"/>
          <w:sz w:val="24"/>
          <w:u w:val="single"/>
        </w:rPr>
        <w:t>收到报表后7日内 。</w:t>
      </w:r>
    </w:p>
    <w:p w14:paraId="2984CE51">
      <w:pPr>
        <w:tabs>
          <w:tab w:val="left" w:pos="567"/>
        </w:tabs>
        <w:wordWrap w:val="0"/>
        <w:autoSpaceDE w:val="0"/>
        <w:autoSpaceDN w:val="0"/>
        <w:adjustRightInd w:val="0"/>
        <w:snapToGrid w:val="0"/>
        <w:spacing w:before="103" w:line="360" w:lineRule="auto"/>
        <w:ind w:left="18"/>
        <w:textAlignment w:val="baseline"/>
        <w:outlineLvl w:val="2"/>
        <w:rPr>
          <w:rFonts w:ascii="宋体" w:hAnsi="宋体" w:cs="宋体"/>
          <w:sz w:val="24"/>
        </w:rPr>
      </w:pPr>
      <w:r>
        <w:rPr>
          <w:rFonts w:hint="eastAsia" w:ascii="宋体" w:hAnsi="宋体" w:cs="宋体"/>
          <w:sz w:val="24"/>
        </w:rPr>
        <w:t>13.4   监理人的质量检查</w:t>
      </w:r>
    </w:p>
    <w:p w14:paraId="66EBC8EC">
      <w:pPr>
        <w:tabs>
          <w:tab w:val="left" w:pos="567"/>
        </w:tabs>
        <w:wordWrap w:val="0"/>
        <w:autoSpaceDE w:val="0"/>
        <w:autoSpaceDN w:val="0"/>
        <w:adjustRightInd w:val="0"/>
        <w:snapToGrid w:val="0"/>
        <w:spacing w:before="91" w:line="360" w:lineRule="auto"/>
        <w:ind w:firstLine="420"/>
        <w:textAlignment w:val="baseline"/>
        <w:rPr>
          <w:rFonts w:ascii="宋体" w:hAnsi="宋体" w:cs="宋体"/>
          <w:sz w:val="24"/>
        </w:rPr>
      </w:pPr>
      <w:r>
        <w:rPr>
          <w:rFonts w:hint="eastAsia" w:ascii="宋体" w:hAnsi="宋体" w:cs="宋体"/>
          <w:sz w:val="24"/>
        </w:rPr>
        <w:t>承包人应当为监理人的检查和检验提供方便 ，监理人可以进行察看和查阅施工原始记录的其他地方包括：</w:t>
      </w:r>
      <w:r>
        <w:rPr>
          <w:rFonts w:hint="eastAsia" w:ascii="宋体" w:hAnsi="宋体" w:cs="宋体"/>
          <w:sz w:val="24"/>
          <w:u w:val="single"/>
        </w:rPr>
        <w:t>/</w:t>
      </w:r>
    </w:p>
    <w:p w14:paraId="7E87FB38">
      <w:pPr>
        <w:tabs>
          <w:tab w:val="left" w:pos="567"/>
        </w:tabs>
        <w:wordWrap w:val="0"/>
        <w:autoSpaceDE w:val="0"/>
        <w:autoSpaceDN w:val="0"/>
        <w:adjustRightInd w:val="0"/>
        <w:snapToGrid w:val="0"/>
        <w:spacing w:before="103" w:line="360" w:lineRule="auto"/>
        <w:ind w:left="21"/>
        <w:textAlignment w:val="baseline"/>
        <w:outlineLvl w:val="2"/>
        <w:rPr>
          <w:rFonts w:ascii="宋体" w:hAnsi="宋体" w:cs="宋体"/>
          <w:sz w:val="24"/>
        </w:rPr>
      </w:pPr>
      <w:r>
        <w:rPr>
          <w:rFonts w:hint="eastAsia" w:ascii="宋体" w:hAnsi="宋体" w:cs="宋体"/>
          <w:sz w:val="24"/>
        </w:rPr>
        <w:t>13.5   工程隐蔽部位覆盖前的检查</w:t>
      </w:r>
    </w:p>
    <w:p w14:paraId="41BD8C5A">
      <w:pPr>
        <w:tabs>
          <w:tab w:val="left" w:pos="567"/>
        </w:tabs>
        <w:wordWrap w:val="0"/>
        <w:autoSpaceDE w:val="0"/>
        <w:autoSpaceDN w:val="0"/>
        <w:adjustRightInd w:val="0"/>
        <w:snapToGrid w:val="0"/>
        <w:spacing w:before="90" w:line="360" w:lineRule="auto"/>
        <w:ind w:left="438"/>
        <w:textAlignment w:val="baseline"/>
        <w:rPr>
          <w:rFonts w:ascii="宋体" w:hAnsi="宋体" w:cs="宋体"/>
          <w:sz w:val="24"/>
        </w:rPr>
      </w:pPr>
      <w:r>
        <w:rPr>
          <w:rFonts w:hint="eastAsia" w:ascii="宋体" w:hAnsi="宋体" w:cs="宋体"/>
          <w:sz w:val="24"/>
        </w:rPr>
        <w:t>13.5.1   监理人对工程隐蔽部位进行检查的期限：</w:t>
      </w:r>
    </w:p>
    <w:p w14:paraId="1FBE4006">
      <w:pPr>
        <w:tabs>
          <w:tab w:val="left" w:pos="567"/>
        </w:tabs>
        <w:wordWrap w:val="0"/>
        <w:autoSpaceDE w:val="0"/>
        <w:autoSpaceDN w:val="0"/>
        <w:adjustRightInd w:val="0"/>
        <w:snapToGrid w:val="0"/>
        <w:spacing w:before="103" w:line="360" w:lineRule="auto"/>
        <w:ind w:left="537"/>
        <w:textAlignment w:val="baseline"/>
        <w:rPr>
          <w:rFonts w:ascii="宋体" w:hAnsi="宋体" w:cs="宋体"/>
          <w:sz w:val="24"/>
        </w:rPr>
      </w:pPr>
      <w:r>
        <w:rPr>
          <w:rFonts w:hint="eastAsia" w:ascii="宋体" w:hAnsi="宋体" w:cs="宋体"/>
          <w:sz w:val="24"/>
          <w:u w:val="single"/>
        </w:rPr>
        <w:t>收到承包人的检查通知后12小时内 。</w:t>
      </w:r>
    </w:p>
    <w:p w14:paraId="60AAEC29">
      <w:pPr>
        <w:tabs>
          <w:tab w:val="left" w:pos="567"/>
        </w:tabs>
        <w:wordWrap w:val="0"/>
        <w:autoSpaceDE w:val="0"/>
        <w:autoSpaceDN w:val="0"/>
        <w:adjustRightInd w:val="0"/>
        <w:snapToGrid w:val="0"/>
        <w:spacing w:before="129" w:line="360" w:lineRule="auto"/>
        <w:ind w:left="28"/>
        <w:textAlignment w:val="baseline"/>
        <w:outlineLvl w:val="1"/>
        <w:rPr>
          <w:rFonts w:ascii="宋体" w:hAnsi="宋体" w:cs="宋体"/>
          <w:sz w:val="30"/>
          <w:szCs w:val="30"/>
        </w:rPr>
      </w:pPr>
      <w:r>
        <w:rPr>
          <w:rFonts w:hint="eastAsia" w:ascii="宋体" w:hAnsi="宋体" w:cs="宋体"/>
          <w:sz w:val="30"/>
          <w:szCs w:val="30"/>
        </w:rPr>
        <w:t>15.变更</w:t>
      </w:r>
    </w:p>
    <w:p w14:paraId="1832D3C3">
      <w:pPr>
        <w:tabs>
          <w:tab w:val="left" w:pos="567"/>
        </w:tabs>
        <w:wordWrap w:val="0"/>
        <w:autoSpaceDE w:val="0"/>
        <w:autoSpaceDN w:val="0"/>
        <w:adjustRightInd w:val="0"/>
        <w:snapToGrid w:val="0"/>
        <w:spacing w:before="103" w:line="360" w:lineRule="auto"/>
        <w:ind w:left="21"/>
        <w:textAlignment w:val="baseline"/>
        <w:outlineLvl w:val="2"/>
        <w:rPr>
          <w:rFonts w:ascii="宋体" w:hAnsi="宋体" w:cs="宋体"/>
          <w:sz w:val="24"/>
        </w:rPr>
      </w:pPr>
      <w:r>
        <w:rPr>
          <w:rFonts w:hint="eastAsia" w:ascii="宋体" w:hAnsi="宋体" w:cs="宋体"/>
          <w:sz w:val="24"/>
        </w:rPr>
        <w:t>15.1   变更的范围和内容</w:t>
      </w:r>
    </w:p>
    <w:p w14:paraId="70F2A4C5">
      <w:pPr>
        <w:tabs>
          <w:tab w:val="left" w:pos="567"/>
        </w:tabs>
        <w:wordWrap w:val="0"/>
        <w:autoSpaceDE w:val="0"/>
        <w:autoSpaceDN w:val="0"/>
        <w:adjustRightInd w:val="0"/>
        <w:snapToGrid w:val="0"/>
        <w:spacing w:before="91" w:line="360" w:lineRule="auto"/>
        <w:ind w:left="438" w:firstLine="240" w:firstLineChars="100"/>
        <w:textAlignment w:val="baseline"/>
        <w:rPr>
          <w:rFonts w:ascii="宋体" w:hAnsi="宋体" w:cs="宋体"/>
          <w:sz w:val="24"/>
        </w:rPr>
      </w:pPr>
      <w:r>
        <w:rPr>
          <w:rFonts w:hint="eastAsia" w:ascii="宋体" w:hAnsi="宋体" w:cs="宋体"/>
          <w:sz w:val="24"/>
        </w:rPr>
        <w:t>15.1.1在履行合同中发生以下情形之一 ，应按照本条规定进行变更。</w:t>
      </w:r>
    </w:p>
    <w:p w14:paraId="27A81DF7">
      <w:pPr>
        <w:tabs>
          <w:tab w:val="left" w:pos="567"/>
        </w:tabs>
        <w:wordWrap w:val="0"/>
        <w:autoSpaceDE w:val="0"/>
        <w:autoSpaceDN w:val="0"/>
        <w:adjustRightInd w:val="0"/>
        <w:snapToGrid w:val="0"/>
        <w:spacing w:before="82" w:line="360" w:lineRule="auto"/>
        <w:ind w:left="426"/>
        <w:textAlignment w:val="baseline"/>
        <w:rPr>
          <w:rFonts w:ascii="宋体" w:hAnsi="宋体" w:cs="宋体"/>
          <w:sz w:val="24"/>
        </w:rPr>
      </w:pPr>
      <w:r>
        <w:rPr>
          <w:rFonts w:hint="eastAsia" w:ascii="宋体" w:hAnsi="宋体" w:cs="宋体"/>
          <w:sz w:val="24"/>
        </w:rPr>
        <w:t>（6）变更的其他情形：</w:t>
      </w:r>
    </w:p>
    <w:p w14:paraId="77926511">
      <w:pPr>
        <w:tabs>
          <w:tab w:val="left" w:pos="567"/>
        </w:tabs>
        <w:wordWrap w:val="0"/>
        <w:autoSpaceDE w:val="0"/>
        <w:autoSpaceDN w:val="0"/>
        <w:adjustRightInd w:val="0"/>
        <w:snapToGrid w:val="0"/>
        <w:spacing w:before="110" w:line="360" w:lineRule="auto"/>
        <w:ind w:left="527"/>
        <w:textAlignment w:val="baseline"/>
        <w:rPr>
          <w:rFonts w:ascii="宋体" w:hAnsi="宋体" w:cs="宋体"/>
          <w:sz w:val="24"/>
        </w:rPr>
      </w:pPr>
      <w:r>
        <w:rPr>
          <w:rFonts w:hint="eastAsia" w:ascii="宋体" w:hAnsi="宋体" w:cs="宋体"/>
          <w:sz w:val="24"/>
          <w:u w:val="single"/>
        </w:rPr>
        <w:t>/</w:t>
      </w:r>
    </w:p>
    <w:p w14:paraId="463C434C">
      <w:pPr>
        <w:tabs>
          <w:tab w:val="left" w:pos="567"/>
        </w:tabs>
        <w:wordWrap w:val="0"/>
        <w:autoSpaceDE w:val="0"/>
        <w:autoSpaceDN w:val="0"/>
        <w:adjustRightInd w:val="0"/>
        <w:snapToGrid w:val="0"/>
        <w:spacing w:before="103" w:line="360" w:lineRule="auto"/>
        <w:ind w:left="21"/>
        <w:textAlignment w:val="baseline"/>
        <w:outlineLvl w:val="2"/>
        <w:rPr>
          <w:rFonts w:ascii="宋体" w:hAnsi="宋体" w:cs="宋体"/>
          <w:sz w:val="24"/>
        </w:rPr>
      </w:pPr>
      <w:r>
        <w:rPr>
          <w:rFonts w:hint="eastAsia" w:ascii="宋体" w:hAnsi="宋体" w:cs="宋体"/>
          <w:sz w:val="24"/>
        </w:rPr>
        <w:t>15.3   变更程序</w:t>
      </w:r>
    </w:p>
    <w:p w14:paraId="10EE99D9">
      <w:pPr>
        <w:tabs>
          <w:tab w:val="left" w:pos="567"/>
        </w:tabs>
        <w:wordWrap w:val="0"/>
        <w:autoSpaceDE w:val="0"/>
        <w:autoSpaceDN w:val="0"/>
        <w:adjustRightInd w:val="0"/>
        <w:snapToGrid w:val="0"/>
        <w:spacing w:before="91" w:line="360" w:lineRule="auto"/>
        <w:ind w:left="438"/>
        <w:textAlignment w:val="baseline"/>
        <w:rPr>
          <w:rFonts w:ascii="宋体" w:hAnsi="宋体" w:cs="宋体"/>
          <w:sz w:val="24"/>
        </w:rPr>
      </w:pPr>
      <w:r>
        <w:rPr>
          <w:rFonts w:hint="eastAsia" w:ascii="宋体" w:hAnsi="宋体" w:cs="宋体"/>
          <w:sz w:val="24"/>
        </w:rPr>
        <w:t>15.3.2   变更估价</w:t>
      </w:r>
    </w:p>
    <w:p w14:paraId="2C90C824">
      <w:pPr>
        <w:tabs>
          <w:tab w:val="left" w:pos="567"/>
        </w:tabs>
        <w:wordWrap w:val="0"/>
        <w:autoSpaceDE w:val="0"/>
        <w:autoSpaceDN w:val="0"/>
        <w:adjustRightInd w:val="0"/>
        <w:snapToGrid w:val="0"/>
        <w:spacing w:before="83" w:line="360" w:lineRule="auto"/>
        <w:ind w:left="426"/>
        <w:textAlignment w:val="baseline"/>
        <w:rPr>
          <w:rFonts w:ascii="宋体" w:hAnsi="宋体" w:cs="宋体"/>
          <w:sz w:val="24"/>
        </w:rPr>
      </w:pPr>
      <w:r>
        <w:rPr>
          <w:rFonts w:hint="eastAsia" w:ascii="宋体" w:hAnsi="宋体" w:cs="宋体"/>
          <w:sz w:val="24"/>
        </w:rPr>
        <w:t>（1）承包人提交变更报价书的期限：</w:t>
      </w:r>
    </w:p>
    <w:p w14:paraId="495ACA4B">
      <w:pPr>
        <w:tabs>
          <w:tab w:val="left" w:pos="648"/>
        </w:tabs>
        <w:wordWrap w:val="0"/>
        <w:autoSpaceDE w:val="0"/>
        <w:autoSpaceDN w:val="0"/>
        <w:adjustRightInd w:val="0"/>
        <w:snapToGrid w:val="0"/>
        <w:spacing w:before="109" w:line="360" w:lineRule="auto"/>
        <w:ind w:left="511"/>
        <w:textAlignment w:val="baseline"/>
        <w:rPr>
          <w:rFonts w:ascii="宋体" w:hAnsi="宋体" w:cs="宋体"/>
          <w:sz w:val="24"/>
        </w:rPr>
      </w:pPr>
      <w:r>
        <w:rPr>
          <w:rFonts w:hint="eastAsia" w:ascii="宋体" w:hAnsi="宋体" w:cs="宋体"/>
          <w:sz w:val="24"/>
          <w:u w:val="single"/>
        </w:rPr>
        <w:tab/>
      </w:r>
      <w:r>
        <w:rPr>
          <w:rFonts w:hint="eastAsia" w:ascii="宋体" w:hAnsi="宋体" w:cs="宋体"/>
          <w:sz w:val="24"/>
          <w:u w:val="single"/>
        </w:rPr>
        <w:t>承包人收到变更指示或变更意向书后的7天内 。</w:t>
      </w:r>
    </w:p>
    <w:p w14:paraId="3B0F8872">
      <w:pPr>
        <w:tabs>
          <w:tab w:val="left" w:pos="567"/>
        </w:tabs>
        <w:wordWrap w:val="0"/>
        <w:autoSpaceDE w:val="0"/>
        <w:autoSpaceDN w:val="0"/>
        <w:adjustRightInd w:val="0"/>
        <w:snapToGrid w:val="0"/>
        <w:spacing w:before="83" w:line="360" w:lineRule="auto"/>
        <w:ind w:left="426"/>
        <w:textAlignment w:val="baseline"/>
        <w:rPr>
          <w:rFonts w:ascii="宋体" w:hAnsi="宋体" w:cs="宋体"/>
          <w:sz w:val="24"/>
        </w:rPr>
      </w:pPr>
      <w:r>
        <w:rPr>
          <w:rFonts w:hint="eastAsia" w:ascii="宋体" w:hAnsi="宋体" w:cs="宋体"/>
          <w:sz w:val="24"/>
        </w:rPr>
        <w:t>（3）监理人商定或确定变更价格的期限：</w:t>
      </w:r>
    </w:p>
    <w:p w14:paraId="5DF25827">
      <w:pPr>
        <w:tabs>
          <w:tab w:val="left" w:pos="567"/>
        </w:tabs>
        <w:wordWrap w:val="0"/>
        <w:autoSpaceDE w:val="0"/>
        <w:autoSpaceDN w:val="0"/>
        <w:adjustRightInd w:val="0"/>
        <w:snapToGrid w:val="0"/>
        <w:spacing w:before="109" w:line="360" w:lineRule="auto"/>
        <w:ind w:left="529"/>
        <w:textAlignment w:val="baseline"/>
        <w:rPr>
          <w:rFonts w:ascii="宋体" w:hAnsi="宋体" w:cs="宋体"/>
          <w:sz w:val="24"/>
        </w:rPr>
      </w:pPr>
      <w:r>
        <w:rPr>
          <w:rFonts w:hint="eastAsia" w:ascii="宋体" w:hAnsi="宋体" w:cs="宋体"/>
          <w:sz w:val="24"/>
          <w:u w:val="single"/>
        </w:rPr>
        <w:t>监理人收到承包人变更报价书后的7天内 。</w:t>
      </w:r>
    </w:p>
    <w:p w14:paraId="352CA8BC">
      <w:pPr>
        <w:tabs>
          <w:tab w:val="left" w:pos="567"/>
        </w:tabs>
        <w:wordWrap w:val="0"/>
        <w:autoSpaceDE w:val="0"/>
        <w:autoSpaceDN w:val="0"/>
        <w:adjustRightInd w:val="0"/>
        <w:snapToGrid w:val="0"/>
        <w:spacing w:before="103" w:line="360" w:lineRule="auto"/>
        <w:ind w:left="21"/>
        <w:textAlignment w:val="baseline"/>
        <w:outlineLvl w:val="2"/>
        <w:rPr>
          <w:rFonts w:ascii="宋体" w:hAnsi="宋体" w:cs="宋体"/>
          <w:sz w:val="24"/>
        </w:rPr>
      </w:pPr>
      <w:r>
        <w:rPr>
          <w:rFonts w:hint="eastAsia" w:ascii="宋体" w:hAnsi="宋体" w:cs="宋体"/>
          <w:sz w:val="24"/>
        </w:rPr>
        <w:t>15.4   变更的估价原则</w:t>
      </w:r>
    </w:p>
    <w:p w14:paraId="0D52029A">
      <w:pPr>
        <w:tabs>
          <w:tab w:val="left" w:pos="567"/>
        </w:tabs>
        <w:wordWrap w:val="0"/>
        <w:autoSpaceDE w:val="0"/>
        <w:autoSpaceDN w:val="0"/>
        <w:adjustRightInd w:val="0"/>
        <w:snapToGrid w:val="0"/>
        <w:spacing w:before="104" w:line="360" w:lineRule="auto"/>
        <w:ind w:left="438"/>
        <w:textAlignment w:val="baseline"/>
        <w:rPr>
          <w:rFonts w:ascii="宋体" w:hAnsi="宋体" w:cs="宋体"/>
          <w:sz w:val="24"/>
        </w:rPr>
      </w:pPr>
      <w:r>
        <w:rPr>
          <w:rFonts w:hint="eastAsia" w:ascii="宋体" w:hAnsi="宋体" w:cs="宋体"/>
          <w:sz w:val="24"/>
        </w:rPr>
        <w:t>因变更引起的价格调整方法：</w:t>
      </w:r>
      <w:r>
        <w:rPr>
          <w:rFonts w:hint="eastAsia" w:ascii="宋体" w:hAnsi="宋体" w:cs="宋体"/>
          <w:sz w:val="24"/>
          <w:u w:val="single"/>
        </w:rPr>
        <w:t>/</w:t>
      </w:r>
    </w:p>
    <w:p w14:paraId="1E3A7A4E">
      <w:pPr>
        <w:tabs>
          <w:tab w:val="left" w:pos="567"/>
        </w:tabs>
        <w:wordWrap w:val="0"/>
        <w:autoSpaceDE w:val="0"/>
        <w:autoSpaceDN w:val="0"/>
        <w:adjustRightInd w:val="0"/>
        <w:snapToGrid w:val="0"/>
        <w:spacing w:before="80" w:line="360" w:lineRule="auto"/>
        <w:ind w:left="438"/>
        <w:textAlignment w:val="baseline"/>
        <w:rPr>
          <w:rFonts w:ascii="宋体" w:hAnsi="宋体" w:cs="宋体"/>
          <w:sz w:val="24"/>
        </w:rPr>
      </w:pPr>
      <w:r>
        <w:rPr>
          <w:rFonts w:hint="eastAsia" w:ascii="宋体" w:hAnsi="宋体" w:cs="宋体"/>
          <w:sz w:val="24"/>
        </w:rPr>
        <w:t>15.4.4  因变更引起措施项目发生变化的 ，措施项目费调整方法：</w:t>
      </w:r>
    </w:p>
    <w:p w14:paraId="4472CA31">
      <w:pPr>
        <w:tabs>
          <w:tab w:val="left" w:pos="567"/>
        </w:tabs>
        <w:wordWrap w:val="0"/>
        <w:autoSpaceDE w:val="0"/>
        <w:autoSpaceDN w:val="0"/>
        <w:adjustRightInd w:val="0"/>
        <w:snapToGrid w:val="0"/>
        <w:spacing w:before="104" w:line="360" w:lineRule="auto"/>
        <w:ind w:left="422"/>
        <w:textAlignment w:val="baseline"/>
        <w:rPr>
          <w:rFonts w:ascii="宋体" w:hAnsi="宋体" w:cs="宋体"/>
          <w:sz w:val="24"/>
        </w:rPr>
      </w:pPr>
      <w:r>
        <w:rPr>
          <w:rFonts w:hint="eastAsia" w:ascii="宋体" w:hAnsi="宋体" w:cs="宋体"/>
          <w:sz w:val="24"/>
          <w:u w:val="single"/>
        </w:rPr>
        <w:t>/</w:t>
      </w:r>
    </w:p>
    <w:p w14:paraId="02C39B10">
      <w:pPr>
        <w:tabs>
          <w:tab w:val="left" w:pos="567"/>
        </w:tabs>
        <w:wordWrap w:val="0"/>
        <w:autoSpaceDE w:val="0"/>
        <w:autoSpaceDN w:val="0"/>
        <w:adjustRightInd w:val="0"/>
        <w:snapToGrid w:val="0"/>
        <w:spacing w:before="84" w:line="360" w:lineRule="auto"/>
        <w:ind w:left="2" w:firstLine="435"/>
        <w:textAlignment w:val="baseline"/>
        <w:rPr>
          <w:rFonts w:ascii="宋体" w:hAnsi="宋体" w:cs="宋体"/>
          <w:sz w:val="24"/>
        </w:rPr>
      </w:pPr>
      <w:r>
        <w:rPr>
          <w:rFonts w:hint="eastAsia" w:ascii="宋体" w:hAnsi="宋体" w:cs="宋体"/>
          <w:sz w:val="24"/>
        </w:rPr>
        <w:t>15.4.5合同协议书约定采用单价合同形式时 ， 因非承包人原因引起合同清单中列明的工程量发生增减 ，且单个项目工程量变化幅度在</w:t>
      </w:r>
      <w:r>
        <w:rPr>
          <w:rFonts w:hint="eastAsia" w:ascii="宋体" w:hAnsi="宋体" w:cs="宋体"/>
          <w:sz w:val="24"/>
          <w:u w:val="single"/>
        </w:rPr>
        <w:t>±15</w:t>
      </w:r>
      <w:r>
        <w:rPr>
          <w:rFonts w:hint="eastAsia" w:ascii="宋体" w:hAnsi="宋体" w:cs="宋体"/>
          <w:sz w:val="24"/>
          <w:u w:val="single" w:color="000000"/>
        </w:rPr>
        <w:t xml:space="preserve">   </w:t>
      </w:r>
      <w:r>
        <w:rPr>
          <w:rFonts w:hint="eastAsia" w:ascii="宋体" w:hAnsi="宋体" w:cs="宋体"/>
          <w:sz w:val="24"/>
        </w:rPr>
        <w:t>%以内（含）时 ，应执行合同清单中列明的该项目的单价；单个项目工程量变化幅度在</w:t>
      </w:r>
      <w:r>
        <w:rPr>
          <w:rFonts w:hint="eastAsia" w:ascii="宋体" w:hAnsi="宋体" w:cs="宋体"/>
          <w:sz w:val="24"/>
          <w:u w:val="single"/>
        </w:rPr>
        <w:t>±15</w:t>
      </w:r>
      <w:r>
        <w:rPr>
          <w:rFonts w:hint="eastAsia" w:ascii="宋体" w:hAnsi="宋体" w:cs="宋体"/>
          <w:sz w:val="24"/>
        </w:rPr>
        <w:t>%以外（不含） ，且导致分部分项工程费总额变化幅度超过</w:t>
      </w:r>
      <w:r>
        <w:rPr>
          <w:rFonts w:hint="eastAsia" w:ascii="宋体" w:hAnsi="宋体" w:cs="宋体"/>
          <w:sz w:val="24"/>
          <w:u w:val="single"/>
        </w:rPr>
        <w:t>±1</w:t>
      </w:r>
      <w:r>
        <w:rPr>
          <w:rFonts w:hint="eastAsia" w:ascii="宋体" w:hAnsi="宋体" w:cs="宋体"/>
          <w:sz w:val="24"/>
        </w:rPr>
        <w:t>%时 ， 由承包人提出并由监理人按第3.5款商定或确定新的单价 ，该项目按修正后的新的单价计价。</w:t>
      </w:r>
    </w:p>
    <w:p w14:paraId="25205F73">
      <w:pPr>
        <w:tabs>
          <w:tab w:val="left" w:pos="567"/>
        </w:tabs>
        <w:wordWrap w:val="0"/>
        <w:autoSpaceDE w:val="0"/>
        <w:autoSpaceDN w:val="0"/>
        <w:adjustRightInd w:val="0"/>
        <w:snapToGrid w:val="0"/>
        <w:spacing w:before="84" w:line="360" w:lineRule="auto"/>
        <w:ind w:left="438"/>
        <w:textAlignment w:val="baseline"/>
        <w:rPr>
          <w:rFonts w:ascii="宋体" w:hAnsi="宋体" w:cs="宋体"/>
          <w:sz w:val="24"/>
        </w:rPr>
      </w:pPr>
      <w:r>
        <w:rPr>
          <w:rFonts w:hint="eastAsia" w:ascii="宋体" w:hAnsi="宋体" w:cs="宋体"/>
          <w:sz w:val="24"/>
        </w:rPr>
        <w:t>15.4.7   因变更引起价格调整的其他处理方式：</w:t>
      </w:r>
    </w:p>
    <w:p w14:paraId="65FA7FD1">
      <w:pPr>
        <w:tabs>
          <w:tab w:val="left" w:pos="567"/>
        </w:tabs>
        <w:wordWrap w:val="0"/>
        <w:autoSpaceDE w:val="0"/>
        <w:autoSpaceDN w:val="0"/>
        <w:adjustRightInd w:val="0"/>
        <w:snapToGrid w:val="0"/>
        <w:spacing w:before="101" w:line="360" w:lineRule="auto"/>
        <w:ind w:left="4" w:firstLine="630"/>
        <w:textAlignment w:val="baseline"/>
        <w:rPr>
          <w:rFonts w:ascii="宋体" w:hAnsi="宋体" w:cs="宋体"/>
          <w:sz w:val="24"/>
        </w:rPr>
      </w:pPr>
      <w:r>
        <w:rPr>
          <w:rFonts w:hint="eastAsia" w:ascii="宋体" w:hAnsi="宋体" w:cs="宋体"/>
          <w:sz w:val="24"/>
          <w:u w:val="single"/>
        </w:rPr>
        <w:t xml:space="preserve">a、合同清单中已有适用价格的执行其价格 ;如合同中相同清单项但价格不同时, 以最低价格为准计入 ;    </w:t>
      </w:r>
    </w:p>
    <w:p w14:paraId="560658E1">
      <w:pPr>
        <w:tabs>
          <w:tab w:val="left" w:pos="567"/>
        </w:tabs>
        <w:wordWrap w:val="0"/>
        <w:autoSpaceDE w:val="0"/>
        <w:autoSpaceDN w:val="0"/>
        <w:adjustRightInd w:val="0"/>
        <w:snapToGrid w:val="0"/>
        <w:spacing w:before="105" w:line="360" w:lineRule="auto"/>
        <w:textAlignment w:val="baseline"/>
        <w:rPr>
          <w:rFonts w:ascii="宋体" w:hAnsi="宋体" w:cs="宋体"/>
          <w:sz w:val="24"/>
          <w:u w:val="single"/>
        </w:rPr>
      </w:pPr>
      <w:r>
        <w:rPr>
          <w:rFonts w:hint="eastAsia" w:ascii="宋体" w:hAnsi="宋体" w:cs="宋体"/>
          <w:sz w:val="24"/>
          <w:u w:val="single"/>
        </w:rPr>
        <w:t>b、合同清单中已有类似价格的,参照类似价格调整计入 ;</w:t>
      </w:r>
    </w:p>
    <w:p w14:paraId="4C8C956A">
      <w:pPr>
        <w:tabs>
          <w:tab w:val="left" w:pos="567"/>
        </w:tabs>
        <w:wordWrap w:val="0"/>
        <w:autoSpaceDE w:val="0"/>
        <w:autoSpaceDN w:val="0"/>
        <w:adjustRightInd w:val="0"/>
        <w:snapToGrid w:val="0"/>
        <w:spacing w:before="105" w:line="360" w:lineRule="auto"/>
        <w:textAlignment w:val="baseline"/>
        <w:rPr>
          <w:rFonts w:ascii="宋体" w:hAnsi="宋体" w:cs="宋体"/>
          <w:sz w:val="24"/>
          <w:u w:val="single"/>
        </w:rPr>
      </w:pPr>
      <w:r>
        <w:rPr>
          <w:rFonts w:hint="eastAsia" w:ascii="宋体" w:hAnsi="宋体" w:cs="宋体"/>
          <w:sz w:val="24"/>
          <w:u w:val="single"/>
        </w:rPr>
        <w:t>c、合同清单中无适用或类似价格的,按发承包双方共同确认的价格计入 。</w:t>
      </w:r>
    </w:p>
    <w:p w14:paraId="484CF001">
      <w:pPr>
        <w:tabs>
          <w:tab w:val="left" w:pos="567"/>
        </w:tabs>
        <w:wordWrap w:val="0"/>
        <w:autoSpaceDE w:val="0"/>
        <w:autoSpaceDN w:val="0"/>
        <w:adjustRightInd w:val="0"/>
        <w:snapToGrid w:val="0"/>
        <w:spacing w:before="114" w:line="360" w:lineRule="auto"/>
        <w:ind w:right="30" w:firstLine="4"/>
        <w:textAlignment w:val="baseline"/>
        <w:rPr>
          <w:rFonts w:ascii="宋体" w:hAnsi="宋体" w:cs="宋体"/>
          <w:sz w:val="24"/>
        </w:rPr>
      </w:pPr>
      <w:r>
        <w:rPr>
          <w:rFonts w:hint="eastAsia" w:ascii="宋体" w:hAnsi="宋体" w:cs="宋体"/>
          <w:sz w:val="24"/>
          <w:u w:val="single"/>
        </w:rPr>
        <w:t>d、对于未施工项目在结算时完全扣减,未完成工程按照未完成的工作价值进行扣减,即:一个清单编码中所有描述内容均未施工的,结算时整个清单项目全部扣除 ;一个清单编码中所描述内容部分未施工,根据实际施工内容按照合理比例扣除 。</w:t>
      </w:r>
    </w:p>
    <w:p w14:paraId="4AA030CD">
      <w:pPr>
        <w:tabs>
          <w:tab w:val="left" w:pos="567"/>
        </w:tabs>
        <w:wordWrap w:val="0"/>
        <w:autoSpaceDE w:val="0"/>
        <w:autoSpaceDN w:val="0"/>
        <w:adjustRightInd w:val="0"/>
        <w:snapToGrid w:val="0"/>
        <w:spacing w:before="103" w:line="360" w:lineRule="auto"/>
        <w:ind w:left="17"/>
        <w:textAlignment w:val="baseline"/>
        <w:rPr>
          <w:rFonts w:ascii="宋体" w:hAnsi="宋体" w:cs="宋体"/>
          <w:sz w:val="24"/>
        </w:rPr>
      </w:pPr>
      <w:r>
        <w:rPr>
          <w:rFonts w:hint="eastAsia" w:ascii="宋体" w:hAnsi="宋体" w:cs="宋体"/>
          <w:sz w:val="24"/>
        </w:rPr>
        <w:t>15.5   承包人的合理化建议</w:t>
      </w:r>
    </w:p>
    <w:p w14:paraId="7E7D0B86">
      <w:pPr>
        <w:tabs>
          <w:tab w:val="left" w:pos="567"/>
        </w:tabs>
        <w:wordWrap w:val="0"/>
        <w:autoSpaceDE w:val="0"/>
        <w:autoSpaceDN w:val="0"/>
        <w:adjustRightInd w:val="0"/>
        <w:snapToGrid w:val="0"/>
        <w:spacing w:before="90" w:line="360" w:lineRule="auto"/>
        <w:ind w:left="434"/>
        <w:textAlignment w:val="baseline"/>
        <w:rPr>
          <w:rFonts w:ascii="宋体" w:hAnsi="宋体" w:cs="宋体"/>
          <w:sz w:val="24"/>
        </w:rPr>
      </w:pPr>
      <w:r>
        <w:rPr>
          <w:rFonts w:hint="eastAsia" w:ascii="宋体" w:hAnsi="宋体" w:cs="宋体"/>
          <w:sz w:val="24"/>
        </w:rPr>
        <w:t>15.5.2   对承包人提出合理化建议的奖励方法：</w:t>
      </w:r>
    </w:p>
    <w:p w14:paraId="1E3018D4">
      <w:pPr>
        <w:tabs>
          <w:tab w:val="left" w:pos="567"/>
        </w:tabs>
        <w:wordWrap w:val="0"/>
        <w:autoSpaceDE w:val="0"/>
        <w:autoSpaceDN w:val="0"/>
        <w:adjustRightInd w:val="0"/>
        <w:snapToGrid w:val="0"/>
        <w:spacing w:before="102" w:line="360" w:lineRule="auto"/>
        <w:ind w:left="524"/>
        <w:textAlignment w:val="baseline"/>
        <w:rPr>
          <w:rFonts w:ascii="宋体" w:hAnsi="宋体" w:cs="宋体"/>
          <w:sz w:val="24"/>
        </w:rPr>
      </w:pPr>
      <w:r>
        <w:rPr>
          <w:rFonts w:hint="eastAsia" w:ascii="宋体" w:hAnsi="宋体" w:cs="宋体"/>
          <w:sz w:val="24"/>
          <w:u w:val="single"/>
        </w:rPr>
        <w:t>/</w:t>
      </w:r>
    </w:p>
    <w:p w14:paraId="36354E50">
      <w:pPr>
        <w:tabs>
          <w:tab w:val="left" w:pos="567"/>
        </w:tabs>
        <w:wordWrap w:val="0"/>
        <w:autoSpaceDE w:val="0"/>
        <w:autoSpaceDN w:val="0"/>
        <w:adjustRightInd w:val="0"/>
        <w:snapToGrid w:val="0"/>
        <w:spacing w:before="103" w:line="360" w:lineRule="auto"/>
        <w:ind w:left="17"/>
        <w:textAlignment w:val="baseline"/>
        <w:outlineLvl w:val="2"/>
        <w:rPr>
          <w:rFonts w:ascii="宋体" w:hAnsi="宋体" w:cs="宋体"/>
          <w:sz w:val="24"/>
        </w:rPr>
      </w:pPr>
      <w:r>
        <w:rPr>
          <w:rFonts w:hint="eastAsia" w:ascii="宋体" w:hAnsi="宋体" w:cs="宋体"/>
          <w:sz w:val="24"/>
        </w:rPr>
        <w:t>15.7   计日工</w:t>
      </w:r>
    </w:p>
    <w:p w14:paraId="360A2FF9">
      <w:pPr>
        <w:tabs>
          <w:tab w:val="left" w:pos="567"/>
        </w:tabs>
        <w:wordWrap w:val="0"/>
        <w:autoSpaceDE w:val="0"/>
        <w:autoSpaceDN w:val="0"/>
        <w:adjustRightInd w:val="0"/>
        <w:snapToGrid w:val="0"/>
        <w:spacing w:before="103" w:line="360" w:lineRule="auto"/>
        <w:ind w:left="434"/>
        <w:textAlignment w:val="baseline"/>
        <w:rPr>
          <w:rFonts w:ascii="宋体" w:hAnsi="宋体" w:cs="宋体"/>
          <w:sz w:val="24"/>
        </w:rPr>
      </w:pPr>
      <w:r>
        <w:rPr>
          <w:rFonts w:hint="eastAsia" w:ascii="宋体" w:hAnsi="宋体" w:cs="宋体"/>
          <w:sz w:val="24"/>
        </w:rPr>
        <w:t>15.7.1   计日工合同单价指：</w:t>
      </w:r>
      <w:r>
        <w:rPr>
          <w:rFonts w:hint="eastAsia" w:ascii="宋体" w:hAnsi="宋体" w:cs="宋体"/>
          <w:sz w:val="24"/>
          <w:u w:val="single"/>
        </w:rPr>
        <w:t>/</w:t>
      </w:r>
    </w:p>
    <w:p w14:paraId="3FDF464A">
      <w:pPr>
        <w:tabs>
          <w:tab w:val="left" w:pos="567"/>
        </w:tabs>
        <w:wordWrap w:val="0"/>
        <w:autoSpaceDE w:val="0"/>
        <w:autoSpaceDN w:val="0"/>
        <w:adjustRightInd w:val="0"/>
        <w:snapToGrid w:val="0"/>
        <w:spacing w:before="103" w:line="360" w:lineRule="auto"/>
        <w:ind w:left="17"/>
        <w:textAlignment w:val="baseline"/>
        <w:outlineLvl w:val="2"/>
        <w:rPr>
          <w:rFonts w:ascii="宋体" w:hAnsi="宋体" w:cs="宋体"/>
          <w:sz w:val="24"/>
        </w:rPr>
      </w:pPr>
      <w:r>
        <w:rPr>
          <w:rFonts w:hint="eastAsia" w:ascii="宋体" w:hAnsi="宋体" w:cs="宋体"/>
          <w:sz w:val="24"/>
        </w:rPr>
        <w:t>15.8   暂估价</w:t>
      </w:r>
    </w:p>
    <w:p w14:paraId="73984EC2">
      <w:pPr>
        <w:tabs>
          <w:tab w:val="left" w:pos="567"/>
        </w:tabs>
        <w:wordWrap w:val="0"/>
        <w:autoSpaceDE w:val="0"/>
        <w:autoSpaceDN w:val="0"/>
        <w:adjustRightInd w:val="0"/>
        <w:snapToGrid w:val="0"/>
        <w:spacing w:before="90" w:line="360" w:lineRule="auto"/>
        <w:ind w:left="434"/>
        <w:textAlignment w:val="baseline"/>
        <w:rPr>
          <w:rFonts w:ascii="宋体" w:hAnsi="宋体" w:cs="宋体"/>
          <w:sz w:val="24"/>
        </w:rPr>
      </w:pPr>
      <w:r>
        <w:rPr>
          <w:rFonts w:hint="eastAsia" w:ascii="宋体" w:hAnsi="宋体" w:cs="宋体"/>
          <w:sz w:val="24"/>
        </w:rPr>
        <w:t>15.8.1   按合同约定应当由发包人和承包人采用招标方式选择专项供应商或专业分包人的：</w:t>
      </w:r>
    </w:p>
    <w:p w14:paraId="35126C6D">
      <w:pPr>
        <w:tabs>
          <w:tab w:val="left" w:pos="567"/>
        </w:tabs>
        <w:wordWrap w:val="0"/>
        <w:autoSpaceDE w:val="0"/>
        <w:autoSpaceDN w:val="0"/>
        <w:adjustRightInd w:val="0"/>
        <w:snapToGrid w:val="0"/>
        <w:spacing w:before="103" w:line="360" w:lineRule="auto"/>
        <w:ind w:left="422"/>
        <w:textAlignment w:val="baseline"/>
        <w:rPr>
          <w:rFonts w:ascii="宋体" w:hAnsi="宋体" w:cs="宋体"/>
          <w:sz w:val="24"/>
        </w:rPr>
      </w:pPr>
      <w:r>
        <w:rPr>
          <w:rFonts w:hint="eastAsia" w:ascii="宋体" w:hAnsi="宋体" w:cs="宋体"/>
          <w:sz w:val="24"/>
        </w:rPr>
        <w:t>（4）承包人报送招标计划期限：</w:t>
      </w:r>
      <w:r>
        <w:rPr>
          <w:rFonts w:hint="eastAsia" w:ascii="宋体" w:hAnsi="宋体" w:cs="宋体"/>
          <w:sz w:val="24"/>
          <w:u w:val="single"/>
        </w:rPr>
        <w:t>/</w:t>
      </w:r>
    </w:p>
    <w:p w14:paraId="1ED6667E">
      <w:pPr>
        <w:tabs>
          <w:tab w:val="left" w:pos="567"/>
        </w:tabs>
        <w:wordWrap w:val="0"/>
        <w:autoSpaceDE w:val="0"/>
        <w:autoSpaceDN w:val="0"/>
        <w:adjustRightInd w:val="0"/>
        <w:snapToGrid w:val="0"/>
        <w:spacing w:before="107" w:line="360" w:lineRule="auto"/>
        <w:ind w:left="422"/>
        <w:textAlignment w:val="baseline"/>
        <w:rPr>
          <w:rFonts w:ascii="宋体" w:hAnsi="宋体" w:cs="宋体"/>
          <w:sz w:val="24"/>
        </w:rPr>
      </w:pPr>
      <w:r>
        <w:rPr>
          <w:rFonts w:hint="eastAsia" w:ascii="宋体" w:hAnsi="宋体" w:cs="宋体"/>
          <w:sz w:val="24"/>
        </w:rPr>
        <w:t>发包人审批招标工作计划时限：</w:t>
      </w:r>
      <w:r>
        <w:rPr>
          <w:rFonts w:hint="eastAsia" w:ascii="宋体" w:hAnsi="宋体" w:cs="宋体"/>
          <w:sz w:val="24"/>
          <w:u w:val="single"/>
        </w:rPr>
        <w:t>/</w:t>
      </w:r>
    </w:p>
    <w:p w14:paraId="2226C1E6">
      <w:pPr>
        <w:tabs>
          <w:tab w:val="left" w:pos="567"/>
        </w:tabs>
        <w:wordWrap w:val="0"/>
        <w:autoSpaceDE w:val="0"/>
        <w:autoSpaceDN w:val="0"/>
        <w:adjustRightInd w:val="0"/>
        <w:snapToGrid w:val="0"/>
        <w:spacing w:before="100" w:line="360" w:lineRule="auto"/>
        <w:ind w:left="422"/>
        <w:textAlignment w:val="baseline"/>
        <w:rPr>
          <w:rFonts w:ascii="宋体" w:hAnsi="宋体" w:cs="宋体"/>
          <w:sz w:val="24"/>
        </w:rPr>
      </w:pPr>
      <w:r>
        <w:rPr>
          <w:rFonts w:hint="eastAsia" w:ascii="宋体" w:hAnsi="宋体" w:cs="宋体"/>
          <w:sz w:val="24"/>
        </w:rPr>
        <w:t>（5）承包人报送相关文件时限：</w:t>
      </w:r>
      <w:r>
        <w:rPr>
          <w:rFonts w:hint="eastAsia" w:ascii="宋体" w:hAnsi="宋体" w:cs="宋体"/>
          <w:sz w:val="24"/>
          <w:u w:val="single"/>
        </w:rPr>
        <w:t>/</w:t>
      </w:r>
    </w:p>
    <w:p w14:paraId="43E94B07">
      <w:pPr>
        <w:tabs>
          <w:tab w:val="left" w:pos="567"/>
        </w:tabs>
        <w:wordWrap w:val="0"/>
        <w:autoSpaceDE w:val="0"/>
        <w:autoSpaceDN w:val="0"/>
        <w:adjustRightInd w:val="0"/>
        <w:snapToGrid w:val="0"/>
        <w:spacing w:before="107" w:line="360" w:lineRule="auto"/>
        <w:ind w:left="422"/>
        <w:textAlignment w:val="baseline"/>
        <w:rPr>
          <w:rFonts w:ascii="宋体" w:hAnsi="宋体" w:cs="宋体"/>
          <w:sz w:val="24"/>
        </w:rPr>
      </w:pPr>
      <w:r>
        <w:rPr>
          <w:rFonts w:hint="eastAsia" w:ascii="宋体" w:hAnsi="宋体" w:cs="宋体"/>
          <w:sz w:val="24"/>
        </w:rPr>
        <w:t>发包人审批相关文件时限：</w:t>
      </w:r>
      <w:r>
        <w:rPr>
          <w:rFonts w:hint="eastAsia" w:ascii="宋体" w:hAnsi="宋体" w:cs="宋体"/>
          <w:sz w:val="24"/>
          <w:u w:val="single"/>
        </w:rPr>
        <w:t>/</w:t>
      </w:r>
    </w:p>
    <w:p w14:paraId="67F02767">
      <w:pPr>
        <w:tabs>
          <w:tab w:val="left" w:pos="567"/>
        </w:tabs>
        <w:wordWrap w:val="0"/>
        <w:autoSpaceDE w:val="0"/>
        <w:autoSpaceDN w:val="0"/>
        <w:adjustRightInd w:val="0"/>
        <w:snapToGrid w:val="0"/>
        <w:spacing w:before="100" w:line="360" w:lineRule="auto"/>
        <w:ind w:left="422"/>
        <w:textAlignment w:val="baseline"/>
        <w:rPr>
          <w:rFonts w:ascii="宋体" w:hAnsi="宋体" w:cs="宋体"/>
          <w:sz w:val="24"/>
        </w:rPr>
      </w:pPr>
      <w:r>
        <w:rPr>
          <w:rFonts w:hint="eastAsia" w:ascii="宋体" w:hAnsi="宋体" w:cs="宋体"/>
          <w:sz w:val="24"/>
        </w:rPr>
        <w:t>（10）承包人申报合同文件时限：</w:t>
      </w:r>
      <w:r>
        <w:rPr>
          <w:rFonts w:hint="eastAsia" w:ascii="宋体" w:hAnsi="宋体" w:cs="宋体"/>
          <w:sz w:val="24"/>
          <w:u w:val="single"/>
        </w:rPr>
        <w:t>/</w:t>
      </w:r>
    </w:p>
    <w:p w14:paraId="03248EC9">
      <w:pPr>
        <w:tabs>
          <w:tab w:val="left" w:pos="567"/>
        </w:tabs>
        <w:wordWrap w:val="0"/>
        <w:autoSpaceDE w:val="0"/>
        <w:autoSpaceDN w:val="0"/>
        <w:adjustRightInd w:val="0"/>
        <w:snapToGrid w:val="0"/>
        <w:spacing w:before="107" w:line="360" w:lineRule="auto"/>
        <w:ind w:left="422"/>
        <w:textAlignment w:val="baseline"/>
        <w:rPr>
          <w:rFonts w:ascii="宋体" w:hAnsi="宋体" w:cs="宋体"/>
          <w:sz w:val="24"/>
        </w:rPr>
      </w:pPr>
      <w:r>
        <w:rPr>
          <w:rFonts w:hint="eastAsia" w:ascii="宋体" w:hAnsi="宋体" w:cs="宋体"/>
          <w:sz w:val="24"/>
        </w:rPr>
        <w:t>发包人审批合同文件时限：</w:t>
      </w:r>
      <w:r>
        <w:rPr>
          <w:rFonts w:hint="eastAsia" w:ascii="宋体" w:hAnsi="宋体" w:cs="宋体"/>
          <w:sz w:val="24"/>
          <w:u w:val="single"/>
        </w:rPr>
        <w:t>/</w:t>
      </w:r>
    </w:p>
    <w:p w14:paraId="2C866BDE">
      <w:pPr>
        <w:tabs>
          <w:tab w:val="left" w:pos="567"/>
        </w:tabs>
        <w:wordWrap w:val="0"/>
        <w:autoSpaceDE w:val="0"/>
        <w:autoSpaceDN w:val="0"/>
        <w:adjustRightInd w:val="0"/>
        <w:snapToGrid w:val="0"/>
        <w:spacing w:before="101" w:line="360" w:lineRule="auto"/>
        <w:ind w:left="418"/>
        <w:textAlignment w:val="baseline"/>
        <w:rPr>
          <w:rFonts w:ascii="宋体" w:hAnsi="宋体" w:cs="宋体"/>
          <w:sz w:val="24"/>
        </w:rPr>
      </w:pPr>
      <w:r>
        <w:rPr>
          <w:rFonts w:hint="eastAsia" w:ascii="宋体" w:hAnsi="宋体" w:cs="宋体"/>
          <w:sz w:val="24"/>
        </w:rPr>
        <w:t>承包人报送正式签订合同副本时限：</w:t>
      </w:r>
      <w:r>
        <w:rPr>
          <w:rFonts w:hint="eastAsia" w:ascii="宋体" w:hAnsi="宋体" w:cs="宋体"/>
          <w:sz w:val="24"/>
          <w:u w:val="single"/>
        </w:rPr>
        <w:t>/</w:t>
      </w:r>
    </w:p>
    <w:p w14:paraId="3BE4FBFE">
      <w:pPr>
        <w:tabs>
          <w:tab w:val="left" w:pos="567"/>
        </w:tabs>
        <w:wordWrap w:val="0"/>
        <w:autoSpaceDE w:val="0"/>
        <w:autoSpaceDN w:val="0"/>
        <w:adjustRightInd w:val="0"/>
        <w:snapToGrid w:val="0"/>
        <w:spacing w:before="80" w:line="360" w:lineRule="auto"/>
        <w:ind w:left="2" w:firstLine="432"/>
        <w:textAlignment w:val="baseline"/>
        <w:rPr>
          <w:rFonts w:ascii="宋体" w:hAnsi="宋体" w:cs="宋体"/>
          <w:sz w:val="24"/>
        </w:rPr>
      </w:pPr>
      <w:r>
        <w:rPr>
          <w:rFonts w:hint="eastAsia" w:ascii="宋体" w:hAnsi="宋体" w:cs="宋体"/>
          <w:sz w:val="24"/>
        </w:rPr>
        <w:t>15.8.3      发包人在工程量清单中给定暂估价的专业工程不属于依法必须招标的范围或者未达到依法必须招标的规模标准的 ，其最终价格的估价人为：</w:t>
      </w:r>
      <w:r>
        <w:rPr>
          <w:rFonts w:hint="eastAsia" w:ascii="宋体" w:hAnsi="宋体" w:cs="宋体"/>
          <w:sz w:val="24"/>
          <w:u w:val="single"/>
        </w:rPr>
        <w:t>/</w:t>
      </w:r>
      <w:r>
        <w:rPr>
          <w:rFonts w:hint="eastAsia" w:ascii="宋体" w:hAnsi="宋体" w:cs="宋体"/>
          <w:sz w:val="24"/>
        </w:rPr>
        <w:t>或者按照下列约定：</w:t>
      </w:r>
      <w:r>
        <w:rPr>
          <w:rFonts w:hint="eastAsia" w:ascii="宋体" w:hAnsi="宋体" w:cs="宋体"/>
          <w:sz w:val="24"/>
          <w:u w:val="single"/>
        </w:rPr>
        <w:t>/</w:t>
      </w:r>
    </w:p>
    <w:p w14:paraId="5AA40FAC">
      <w:pPr>
        <w:tabs>
          <w:tab w:val="left" w:pos="567"/>
        </w:tabs>
        <w:wordWrap w:val="0"/>
        <w:autoSpaceDE w:val="0"/>
        <w:autoSpaceDN w:val="0"/>
        <w:adjustRightInd w:val="0"/>
        <w:snapToGrid w:val="0"/>
        <w:spacing w:before="324" w:line="360" w:lineRule="auto"/>
        <w:textAlignment w:val="baseline"/>
        <w:outlineLvl w:val="1"/>
        <w:rPr>
          <w:rFonts w:ascii="宋体" w:hAnsi="宋体" w:cs="宋体"/>
        </w:rPr>
      </w:pPr>
      <w:r>
        <w:rPr>
          <w:rFonts w:hint="eastAsia" w:ascii="宋体" w:hAnsi="宋体" w:cs="宋体"/>
          <w:sz w:val="30"/>
          <w:szCs w:val="30"/>
        </w:rPr>
        <w:t>16.价格调整</w:t>
      </w:r>
    </w:p>
    <w:p w14:paraId="62FA0F80">
      <w:pPr>
        <w:tabs>
          <w:tab w:val="left" w:pos="567"/>
        </w:tabs>
        <w:wordWrap w:val="0"/>
        <w:autoSpaceDE w:val="0"/>
        <w:autoSpaceDN w:val="0"/>
        <w:adjustRightInd w:val="0"/>
        <w:snapToGrid w:val="0"/>
        <w:spacing w:before="104" w:line="360" w:lineRule="auto"/>
        <w:ind w:left="17"/>
        <w:textAlignment w:val="baseline"/>
        <w:rPr>
          <w:rFonts w:ascii="宋体" w:hAnsi="宋体" w:cs="宋体"/>
        </w:rPr>
      </w:pPr>
      <w:r>
        <w:rPr>
          <w:rFonts w:hint="eastAsia" w:ascii="宋体" w:hAnsi="宋体" w:cs="宋体"/>
          <w:sz w:val="24"/>
        </w:rPr>
        <w:t>16.1   物价波动引起的价格调整</w:t>
      </w:r>
    </w:p>
    <w:p w14:paraId="2E318F6C">
      <w:pPr>
        <w:tabs>
          <w:tab w:val="left" w:pos="567"/>
        </w:tabs>
        <w:wordWrap w:val="0"/>
        <w:autoSpaceDE w:val="0"/>
        <w:autoSpaceDN w:val="0"/>
        <w:adjustRightInd w:val="0"/>
        <w:snapToGrid w:val="0"/>
        <w:spacing w:before="103" w:line="360" w:lineRule="auto"/>
        <w:ind w:left="418"/>
        <w:textAlignment w:val="baseline"/>
        <w:rPr>
          <w:rFonts w:ascii="宋体" w:hAnsi="宋体" w:cs="宋体"/>
          <w:sz w:val="24"/>
        </w:rPr>
      </w:pPr>
      <w:r>
        <w:rPr>
          <w:rFonts w:hint="eastAsia" w:ascii="宋体" w:hAnsi="宋体" w:cs="宋体"/>
          <w:sz w:val="24"/>
        </w:rPr>
        <w:t>物价波动引起价格调整方法：</w:t>
      </w:r>
      <w:r>
        <w:rPr>
          <w:rFonts w:hint="eastAsia" w:ascii="宋体" w:hAnsi="宋体" w:cs="宋体"/>
          <w:sz w:val="24"/>
          <w:u w:val="single"/>
        </w:rPr>
        <w:t>采用造价信息调整价格差额 。</w:t>
      </w:r>
    </w:p>
    <w:p w14:paraId="3E57E79E">
      <w:pPr>
        <w:tabs>
          <w:tab w:val="left" w:pos="567"/>
        </w:tabs>
        <w:wordWrap w:val="0"/>
        <w:autoSpaceDE w:val="0"/>
        <w:autoSpaceDN w:val="0"/>
        <w:adjustRightInd w:val="0"/>
        <w:snapToGrid w:val="0"/>
        <w:spacing w:before="85" w:line="360" w:lineRule="auto"/>
        <w:ind w:left="434"/>
        <w:textAlignment w:val="baseline"/>
        <w:rPr>
          <w:rFonts w:ascii="宋体" w:hAnsi="宋体" w:cs="宋体"/>
          <w:sz w:val="24"/>
        </w:rPr>
      </w:pPr>
      <w:r>
        <w:rPr>
          <w:rFonts w:hint="eastAsia" w:ascii="宋体" w:hAnsi="宋体" w:cs="宋体"/>
          <w:sz w:val="24"/>
        </w:rPr>
        <w:t>16.1.2   采用造价信息调整价格差额</w:t>
      </w:r>
    </w:p>
    <w:p w14:paraId="4D5D79E1">
      <w:pPr>
        <w:tabs>
          <w:tab w:val="left" w:pos="567"/>
        </w:tabs>
        <w:wordWrap w:val="0"/>
        <w:autoSpaceDE w:val="0"/>
        <w:autoSpaceDN w:val="0"/>
        <w:adjustRightInd w:val="0"/>
        <w:snapToGrid w:val="0"/>
        <w:spacing w:before="84" w:line="360" w:lineRule="auto"/>
        <w:ind w:left="644"/>
        <w:textAlignment w:val="baseline"/>
        <w:rPr>
          <w:rFonts w:ascii="宋体" w:hAnsi="宋体" w:cs="宋体"/>
          <w:sz w:val="24"/>
        </w:rPr>
      </w:pPr>
      <w:r>
        <w:rPr>
          <w:rFonts w:hint="eastAsia" w:ascii="宋体" w:hAnsi="宋体" w:cs="宋体"/>
          <w:sz w:val="24"/>
        </w:rPr>
        <w:t>16.1.2.1   引起价格调整的物价波动风险范围及幅度</w:t>
      </w:r>
    </w:p>
    <w:p w14:paraId="161992A5">
      <w:pPr>
        <w:tabs>
          <w:tab w:val="left" w:pos="567"/>
        </w:tabs>
        <w:wordWrap w:val="0"/>
        <w:autoSpaceDE w:val="0"/>
        <w:autoSpaceDN w:val="0"/>
        <w:adjustRightInd w:val="0"/>
        <w:snapToGrid w:val="0"/>
        <w:spacing w:before="103" w:line="360" w:lineRule="auto"/>
        <w:ind w:left="5" w:right="240" w:firstLine="637"/>
        <w:textAlignment w:val="baseline"/>
        <w:rPr>
          <w:rFonts w:ascii="宋体" w:hAnsi="宋体" w:cs="宋体"/>
        </w:rPr>
      </w:pPr>
      <w:r>
        <w:rPr>
          <w:rFonts w:hint="eastAsia" w:ascii="宋体" w:hAnsi="宋体" w:cs="宋体"/>
          <w:sz w:val="24"/>
        </w:rPr>
        <w:t xml:space="preserve">引起价格调整的物价波动风险范围： </w:t>
      </w:r>
      <w:r>
        <w:rPr>
          <w:rFonts w:hint="eastAsia" w:ascii="宋体" w:hAnsi="宋体" w:cs="宋体"/>
          <w:sz w:val="24"/>
          <w:u w:val="single"/>
        </w:rPr>
        <w:t>1.钢材(包括钢筋、钢板、型钢、镀锌钢管、焊接钢管、无缝钢管等)及预拌混凝土 。</w:t>
      </w:r>
    </w:p>
    <w:p w14:paraId="6E1B789D">
      <w:pPr>
        <w:tabs>
          <w:tab w:val="left" w:pos="567"/>
        </w:tabs>
        <w:wordWrap w:val="0"/>
        <w:autoSpaceDE w:val="0"/>
        <w:autoSpaceDN w:val="0"/>
        <w:adjustRightInd w:val="0"/>
        <w:snapToGrid w:val="0"/>
        <w:spacing w:before="103" w:line="360" w:lineRule="auto"/>
        <w:ind w:left="22" w:right="30" w:hanging="19"/>
        <w:textAlignment w:val="baseline"/>
        <w:rPr>
          <w:rFonts w:ascii="宋体" w:hAnsi="宋体" w:cs="宋体"/>
          <w:sz w:val="24"/>
        </w:rPr>
      </w:pPr>
      <w:r>
        <w:rPr>
          <w:rFonts w:hint="eastAsia" w:ascii="宋体" w:hAnsi="宋体" w:cs="宋体"/>
          <w:sz w:val="24"/>
          <w:u w:val="single"/>
        </w:rPr>
        <w:t xml:space="preserve">2.铝合金型材、铝单板、玻璃、门窗、电线电缆、沥青及沥青混凝土等单项材料费占签约合同价1%(含)以上的材料  </w:t>
      </w:r>
    </w:p>
    <w:p w14:paraId="2EEF137A">
      <w:pPr>
        <w:tabs>
          <w:tab w:val="left" w:pos="567"/>
        </w:tabs>
        <w:wordWrap w:val="0"/>
        <w:autoSpaceDE w:val="0"/>
        <w:autoSpaceDN w:val="0"/>
        <w:adjustRightInd w:val="0"/>
        <w:snapToGrid w:val="0"/>
        <w:spacing w:before="110" w:line="360" w:lineRule="auto"/>
        <w:ind w:left="5"/>
        <w:textAlignment w:val="baseline"/>
        <w:rPr>
          <w:rFonts w:ascii="宋体" w:hAnsi="宋体" w:cs="宋体"/>
          <w:sz w:val="24"/>
        </w:rPr>
      </w:pPr>
      <w:r>
        <w:rPr>
          <w:rFonts w:hint="eastAsia" w:ascii="宋体" w:hAnsi="宋体" w:cs="宋体"/>
          <w:sz w:val="24"/>
          <w:u w:val="single"/>
        </w:rPr>
        <w:t>3.人工费及机械费 。</w:t>
      </w:r>
    </w:p>
    <w:p w14:paraId="24CAED4A">
      <w:pPr>
        <w:tabs>
          <w:tab w:val="left" w:pos="567"/>
        </w:tabs>
        <w:wordWrap w:val="0"/>
        <w:autoSpaceDE w:val="0"/>
        <w:autoSpaceDN w:val="0"/>
        <w:adjustRightInd w:val="0"/>
        <w:snapToGrid w:val="0"/>
        <w:spacing w:before="102" w:line="360" w:lineRule="auto"/>
        <w:ind w:left="644"/>
        <w:textAlignment w:val="baseline"/>
        <w:rPr>
          <w:rFonts w:ascii="宋体" w:hAnsi="宋体" w:cs="宋体"/>
          <w:sz w:val="24"/>
        </w:rPr>
      </w:pPr>
      <w:r>
        <w:rPr>
          <w:rFonts w:hint="eastAsia" w:ascii="宋体" w:hAnsi="宋体" w:cs="宋体"/>
          <w:sz w:val="24"/>
        </w:rPr>
        <w:t xml:space="preserve">引起价格调整的物价波动风险幅度： </w:t>
      </w:r>
      <w:r>
        <w:rPr>
          <w:rFonts w:hint="eastAsia" w:ascii="宋体" w:hAnsi="宋体" w:cs="宋体"/>
          <w:sz w:val="24"/>
          <w:u w:val="single"/>
        </w:rPr>
        <w:t>±5%</w:t>
      </w:r>
    </w:p>
    <w:p w14:paraId="17FDEBAE">
      <w:pPr>
        <w:tabs>
          <w:tab w:val="left" w:pos="567"/>
        </w:tabs>
        <w:wordWrap w:val="0"/>
        <w:autoSpaceDE w:val="0"/>
        <w:autoSpaceDN w:val="0"/>
        <w:adjustRightInd w:val="0"/>
        <w:snapToGrid w:val="0"/>
        <w:spacing w:before="79" w:line="360" w:lineRule="auto"/>
        <w:ind w:left="645"/>
        <w:textAlignment w:val="baseline"/>
        <w:rPr>
          <w:rFonts w:ascii="宋体" w:hAnsi="宋体" w:cs="宋体"/>
          <w:sz w:val="24"/>
        </w:rPr>
      </w:pPr>
      <w:r>
        <w:rPr>
          <w:rFonts w:hint="eastAsia" w:ascii="宋体" w:hAnsi="宋体" w:cs="宋体"/>
          <w:sz w:val="24"/>
        </w:rPr>
        <w:t>16.1.2.2     物价波动引起价格调整的风险幅度的计算方法</w:t>
      </w:r>
    </w:p>
    <w:p w14:paraId="034723BE">
      <w:pPr>
        <w:tabs>
          <w:tab w:val="left" w:pos="567"/>
        </w:tabs>
        <w:wordWrap w:val="0"/>
        <w:autoSpaceDE w:val="0"/>
        <w:autoSpaceDN w:val="0"/>
        <w:adjustRightInd w:val="0"/>
        <w:snapToGrid w:val="0"/>
        <w:spacing w:before="102" w:line="360" w:lineRule="auto"/>
        <w:ind w:left="633"/>
        <w:textAlignment w:val="baseline"/>
        <w:rPr>
          <w:rFonts w:ascii="宋体" w:hAnsi="宋体" w:cs="宋体"/>
          <w:sz w:val="24"/>
        </w:rPr>
      </w:pPr>
      <w:r>
        <w:rPr>
          <w:rFonts w:hint="eastAsia" w:ascii="宋体" w:hAnsi="宋体" w:cs="宋体"/>
          <w:sz w:val="24"/>
        </w:rPr>
        <w:t>（1）投标报价基准期：</w:t>
      </w:r>
      <w:r>
        <w:rPr>
          <w:rFonts w:hint="eastAsia" w:ascii="宋体" w:hAnsi="宋体" w:cs="宋体"/>
          <w:sz w:val="24"/>
          <w:u w:val="single"/>
        </w:rPr>
        <w:t>202</w:t>
      </w:r>
      <w:r>
        <w:rPr>
          <w:rFonts w:ascii="宋体" w:hAnsi="宋体" w:cs="宋体"/>
          <w:sz w:val="24"/>
          <w:u w:val="single"/>
        </w:rPr>
        <w:t>6</w:t>
      </w:r>
      <w:r>
        <w:rPr>
          <w:rFonts w:hint="eastAsia" w:ascii="宋体" w:hAnsi="宋体" w:cs="宋体"/>
          <w:sz w:val="24"/>
        </w:rPr>
        <w:t>年</w:t>
      </w:r>
      <w:r>
        <w:rPr>
          <w:rFonts w:hint="eastAsia" w:ascii="宋体" w:hAnsi="宋体" w:cs="宋体"/>
          <w:sz w:val="24"/>
          <w:u w:val="single"/>
        </w:rPr>
        <w:t>0</w:t>
      </w:r>
      <w:r>
        <w:rPr>
          <w:rFonts w:ascii="宋体" w:hAnsi="宋体" w:cs="宋体"/>
          <w:sz w:val="24"/>
          <w:u w:val="single"/>
        </w:rPr>
        <w:t>7</w:t>
      </w:r>
      <w:r>
        <w:rPr>
          <w:rFonts w:hint="eastAsia" w:ascii="宋体" w:hAnsi="宋体" w:cs="宋体"/>
          <w:sz w:val="24"/>
        </w:rPr>
        <w:t>月。</w:t>
      </w:r>
    </w:p>
    <w:p w14:paraId="5B32E5F8">
      <w:pPr>
        <w:tabs>
          <w:tab w:val="left" w:pos="567"/>
        </w:tabs>
        <w:wordWrap w:val="0"/>
        <w:autoSpaceDE w:val="0"/>
        <w:autoSpaceDN w:val="0"/>
        <w:adjustRightInd w:val="0"/>
        <w:snapToGrid w:val="0"/>
        <w:spacing w:before="87" w:line="360" w:lineRule="auto"/>
        <w:ind w:left="633"/>
        <w:textAlignment w:val="baseline"/>
        <w:rPr>
          <w:rFonts w:ascii="宋体" w:hAnsi="宋体" w:cs="宋体"/>
          <w:sz w:val="24"/>
        </w:rPr>
      </w:pPr>
      <w:r>
        <w:rPr>
          <w:rFonts w:hint="eastAsia" w:ascii="宋体" w:hAnsi="宋体" w:cs="宋体"/>
          <w:sz w:val="24"/>
        </w:rPr>
        <w:t>（2）《北京工程造价信息》 中工程造价信息价没有的 ，基准价的确定方法：</w:t>
      </w:r>
    </w:p>
    <w:p w14:paraId="4AAD52E8">
      <w:pPr>
        <w:tabs>
          <w:tab w:val="left" w:pos="856"/>
        </w:tabs>
        <w:wordWrap w:val="0"/>
        <w:autoSpaceDE w:val="0"/>
        <w:autoSpaceDN w:val="0"/>
        <w:adjustRightInd w:val="0"/>
        <w:snapToGrid w:val="0"/>
        <w:spacing w:before="109" w:line="360" w:lineRule="auto"/>
        <w:ind w:left="719"/>
        <w:textAlignment w:val="baseline"/>
        <w:rPr>
          <w:rFonts w:ascii="宋体" w:hAnsi="宋体" w:cs="宋体"/>
          <w:sz w:val="24"/>
        </w:rPr>
      </w:pPr>
      <w:r>
        <w:rPr>
          <w:rFonts w:hint="eastAsia" w:ascii="宋体" w:hAnsi="宋体" w:cs="宋体"/>
          <w:sz w:val="24"/>
          <w:u w:val="single"/>
        </w:rPr>
        <w:tab/>
      </w:r>
      <w:r>
        <w:rPr>
          <w:rFonts w:hint="eastAsia" w:ascii="宋体" w:hAnsi="宋体" w:cs="宋体"/>
          <w:sz w:val="24"/>
          <w:u w:val="single"/>
        </w:rPr>
        <w:t>按发包人、承包人共同确认的市场价格为准 。</w:t>
      </w:r>
    </w:p>
    <w:p w14:paraId="765269C4">
      <w:pPr>
        <w:tabs>
          <w:tab w:val="left" w:pos="567"/>
        </w:tabs>
        <w:wordWrap w:val="0"/>
        <w:autoSpaceDE w:val="0"/>
        <w:autoSpaceDN w:val="0"/>
        <w:adjustRightInd w:val="0"/>
        <w:snapToGrid w:val="0"/>
        <w:spacing w:before="85" w:line="360" w:lineRule="auto"/>
        <w:ind w:left="633"/>
        <w:textAlignment w:val="baseline"/>
        <w:rPr>
          <w:rFonts w:ascii="宋体" w:hAnsi="宋体" w:cs="宋体"/>
          <w:sz w:val="24"/>
        </w:rPr>
      </w:pPr>
      <w:r>
        <w:rPr>
          <w:rFonts w:hint="eastAsia" w:ascii="宋体" w:hAnsi="宋体" w:cs="宋体"/>
          <w:sz w:val="24"/>
        </w:rPr>
        <w:t>（3）合同履行期间价格的确定方法：</w:t>
      </w:r>
    </w:p>
    <w:p w14:paraId="52B07C16">
      <w:pPr>
        <w:tabs>
          <w:tab w:val="left" w:pos="567"/>
        </w:tabs>
        <w:wordWrap w:val="0"/>
        <w:autoSpaceDE w:val="0"/>
        <w:autoSpaceDN w:val="0"/>
        <w:adjustRightInd w:val="0"/>
        <w:snapToGrid w:val="0"/>
        <w:spacing w:before="109" w:line="360" w:lineRule="auto"/>
        <w:ind w:left="6" w:firstLine="791"/>
        <w:textAlignment w:val="baseline"/>
        <w:rPr>
          <w:rFonts w:ascii="宋体" w:hAnsi="宋体" w:cs="宋体"/>
          <w:sz w:val="24"/>
        </w:rPr>
      </w:pPr>
      <w:r>
        <w:rPr>
          <w:rFonts w:hint="eastAsia" w:ascii="宋体" w:hAnsi="宋体" w:cs="宋体"/>
          <w:sz w:val="24"/>
          <w:u w:val="single"/>
        </w:rPr>
        <w:t>按发包人、承包人共同确认的市场价格为准。发包人、承包人不能共同确认的以北京市建设工程造价管理机构发布的《北京工程造价信息》 的市场信息价格（以下简称造价信息价格）为依据 ，造价信息价格中有上、下限的  ， 以下限为准  。</w:t>
      </w:r>
    </w:p>
    <w:p w14:paraId="579549CF">
      <w:pPr>
        <w:tabs>
          <w:tab w:val="left" w:pos="567"/>
        </w:tabs>
        <w:wordWrap w:val="0"/>
        <w:autoSpaceDE w:val="0"/>
        <w:autoSpaceDN w:val="0"/>
        <w:adjustRightInd w:val="0"/>
        <w:snapToGrid w:val="0"/>
        <w:spacing w:before="2" w:line="360" w:lineRule="auto"/>
        <w:ind w:left="633"/>
        <w:textAlignment w:val="baseline"/>
        <w:rPr>
          <w:rFonts w:ascii="宋体" w:hAnsi="宋体" w:cs="宋体"/>
          <w:sz w:val="24"/>
        </w:rPr>
      </w:pPr>
      <w:r>
        <w:rPr>
          <w:rFonts w:hint="eastAsia" w:ascii="宋体" w:hAnsi="宋体" w:cs="宋体"/>
          <w:sz w:val="24"/>
        </w:rPr>
        <w:t>（4）风险幅度的计算方法：</w:t>
      </w:r>
    </w:p>
    <w:p w14:paraId="153D60AB">
      <w:pPr>
        <w:tabs>
          <w:tab w:val="left" w:pos="888"/>
        </w:tabs>
        <w:wordWrap w:val="0"/>
        <w:autoSpaceDE w:val="0"/>
        <w:autoSpaceDN w:val="0"/>
        <w:adjustRightInd w:val="0"/>
        <w:snapToGrid w:val="0"/>
        <w:spacing w:before="103" w:line="360" w:lineRule="auto"/>
        <w:ind w:firstLine="718"/>
        <w:textAlignment w:val="baseline"/>
        <w:rPr>
          <w:rFonts w:ascii="宋体" w:hAnsi="宋体" w:cs="宋体"/>
          <w:sz w:val="24"/>
        </w:rPr>
      </w:pPr>
      <w:r>
        <w:rPr>
          <w:rFonts w:hint="eastAsia" w:ascii="宋体" w:hAnsi="宋体" w:cs="宋体"/>
          <w:sz w:val="24"/>
          <w:u w:val="single"/>
        </w:rPr>
        <w:tab/>
      </w:r>
      <w:r>
        <w:rPr>
          <w:rFonts w:hint="eastAsia" w:ascii="宋体" w:hAnsi="宋体" w:cs="宋体"/>
          <w:sz w:val="24"/>
          <w:u w:val="single"/>
        </w:rPr>
        <w:t>1）承包人在已标价工程量清单或预算书中载明单价低于基准价格时 ，合同履行期间价格的涨幅以基准价格为基础确定 ，跌幅以在已标价工程量清单或预算书中载明单价为基础确定 。2）承包人在已标价工程量清单或预算书中载明单价高于基准价格时 ，合同履行期间价格的跌幅以基准价格为基础确定 ，涨幅以在已标价工程量清单或预算书中载明单价为基础确定 。3）承包人在已标价工程量清单或预算书中载明单价等于基准价格时 ，合同履行期间价格的涨（跌）幅度以基准价格为基础确定</w:t>
      </w:r>
      <w:r>
        <w:rPr>
          <w:rFonts w:hint="eastAsia" w:ascii="宋体" w:hAnsi="宋体" w:cs="宋体"/>
          <w:w w:val="101"/>
          <w:sz w:val="24"/>
          <w:u w:val="single"/>
        </w:rPr>
        <w:t xml:space="preserve">  </w:t>
      </w:r>
      <w:r>
        <w:rPr>
          <w:rFonts w:hint="eastAsia" w:ascii="宋体" w:hAnsi="宋体" w:cs="宋体"/>
          <w:sz w:val="24"/>
          <w:u w:val="single"/>
        </w:rPr>
        <w:t>。4）承包人在已标价工程量清单或预算书中未载明单价的 ，合同履行期间价格的涨（跌）幅度以基准价格为基础确定  。</w:t>
      </w:r>
    </w:p>
    <w:p w14:paraId="6EB24B1F">
      <w:pPr>
        <w:tabs>
          <w:tab w:val="left" w:pos="567"/>
        </w:tabs>
        <w:wordWrap w:val="0"/>
        <w:autoSpaceDE w:val="0"/>
        <w:autoSpaceDN w:val="0"/>
        <w:adjustRightInd w:val="0"/>
        <w:snapToGrid w:val="0"/>
        <w:spacing w:before="91" w:line="360" w:lineRule="auto"/>
        <w:ind w:left="645"/>
        <w:textAlignment w:val="baseline"/>
        <w:rPr>
          <w:rFonts w:ascii="宋体" w:hAnsi="宋体" w:cs="宋体"/>
          <w:sz w:val="24"/>
        </w:rPr>
      </w:pPr>
      <w:r>
        <w:rPr>
          <w:rFonts w:hint="eastAsia" w:ascii="宋体" w:hAnsi="宋体" w:cs="宋体"/>
          <w:sz w:val="24"/>
        </w:rPr>
        <w:t>16.1.2.3   物价波动引起价格调整的方法</w:t>
      </w:r>
    </w:p>
    <w:p w14:paraId="48F8DDA5">
      <w:pPr>
        <w:tabs>
          <w:tab w:val="left" w:pos="567"/>
        </w:tabs>
        <w:wordWrap w:val="0"/>
        <w:autoSpaceDE w:val="0"/>
        <w:autoSpaceDN w:val="0"/>
        <w:adjustRightInd w:val="0"/>
        <w:snapToGrid w:val="0"/>
        <w:spacing w:before="101" w:line="360" w:lineRule="auto"/>
        <w:ind w:right="36" w:firstLine="633"/>
        <w:textAlignment w:val="baseline"/>
        <w:rPr>
          <w:rFonts w:ascii="宋体" w:hAnsi="宋体" w:cs="宋体"/>
          <w:sz w:val="24"/>
        </w:rPr>
      </w:pPr>
      <w:r>
        <w:rPr>
          <w:rFonts w:hint="eastAsia" w:ascii="宋体" w:hAnsi="宋体" w:cs="宋体"/>
          <w:sz w:val="24"/>
        </w:rPr>
        <w:t>（1）价格调整方法：</w:t>
      </w:r>
      <w:r>
        <w:rPr>
          <w:rFonts w:hint="eastAsia" w:ascii="宋体" w:hAnsi="宋体" w:cs="宋体"/>
          <w:sz w:val="24"/>
          <w:u w:val="single"/>
        </w:rPr>
        <w:t>算数平均法:人工、材料、机械调差不分阶段调价,结算时人、材、机按照施工期造价信息的平均价进行调差 。</w:t>
      </w:r>
    </w:p>
    <w:p w14:paraId="0E5BE6AD">
      <w:pPr>
        <w:tabs>
          <w:tab w:val="left" w:pos="567"/>
        </w:tabs>
        <w:wordWrap w:val="0"/>
        <w:autoSpaceDE w:val="0"/>
        <w:autoSpaceDN w:val="0"/>
        <w:adjustRightInd w:val="0"/>
        <w:snapToGrid w:val="0"/>
        <w:spacing w:before="105" w:line="360" w:lineRule="auto"/>
        <w:ind w:left="1" w:firstLine="643"/>
        <w:textAlignment w:val="baseline"/>
        <w:rPr>
          <w:rFonts w:ascii="宋体" w:hAnsi="宋体" w:cs="宋体"/>
          <w:sz w:val="24"/>
        </w:rPr>
      </w:pPr>
      <w:r>
        <w:rPr>
          <w:rFonts w:hint="eastAsia" w:ascii="宋体" w:hAnsi="宋体" w:cs="宋体"/>
          <w:sz w:val="24"/>
        </w:rPr>
        <w:t>16.1.2.4其他约定：</w:t>
      </w:r>
      <w:r>
        <w:rPr>
          <w:rFonts w:hint="eastAsia" w:ascii="宋体" w:hAnsi="宋体" w:cs="宋体"/>
          <w:sz w:val="24"/>
          <w:u w:val="single"/>
        </w:rPr>
        <w:t>造价信息调整时价格应参照北京市建设工程造价管理协会公布的价格信息 。经确认的价差只计取税金 。钢材、电线电缆、水泥及预拌混凝土用量按实际完成工程量(以分部分项工程量清单中数量为准,不含损耗) 。</w:t>
      </w:r>
    </w:p>
    <w:p w14:paraId="76AD2541">
      <w:pPr>
        <w:tabs>
          <w:tab w:val="left" w:pos="567"/>
        </w:tabs>
        <w:wordWrap w:val="0"/>
        <w:autoSpaceDE w:val="0"/>
        <w:autoSpaceDN w:val="0"/>
        <w:adjustRightInd w:val="0"/>
        <w:snapToGrid w:val="0"/>
        <w:spacing w:before="91" w:line="360" w:lineRule="auto"/>
        <w:ind w:left="435"/>
        <w:textAlignment w:val="baseline"/>
        <w:rPr>
          <w:rFonts w:ascii="宋体" w:hAnsi="宋体" w:cs="宋体"/>
          <w:sz w:val="24"/>
        </w:rPr>
      </w:pPr>
      <w:r>
        <w:rPr>
          <w:rFonts w:hint="eastAsia" w:ascii="宋体" w:hAnsi="宋体" w:cs="宋体"/>
          <w:sz w:val="24"/>
        </w:rPr>
        <w:t>16.1.3   其他价格调整方法</w:t>
      </w:r>
    </w:p>
    <w:p w14:paraId="6B7B2778">
      <w:pPr>
        <w:tabs>
          <w:tab w:val="left" w:pos="567"/>
        </w:tabs>
        <w:wordWrap w:val="0"/>
        <w:autoSpaceDE w:val="0"/>
        <w:autoSpaceDN w:val="0"/>
        <w:adjustRightInd w:val="0"/>
        <w:snapToGrid w:val="0"/>
        <w:spacing w:before="102" w:line="360" w:lineRule="auto"/>
        <w:ind w:left="543"/>
        <w:textAlignment w:val="baseline"/>
        <w:rPr>
          <w:rFonts w:ascii="宋体" w:hAnsi="宋体" w:cs="宋体"/>
          <w:sz w:val="24"/>
        </w:rPr>
      </w:pPr>
      <w:bookmarkStart w:id="2583" w:name="OLE_LINK8"/>
      <w:r>
        <w:rPr>
          <w:rFonts w:hint="eastAsia" w:ascii="宋体" w:hAnsi="宋体" w:cs="宋体"/>
          <w:sz w:val="24"/>
          <w:u w:val="single"/>
        </w:rPr>
        <w:t xml:space="preserve">1、措施项目风险调整：    </w:t>
      </w:r>
    </w:p>
    <w:p w14:paraId="6EA62658">
      <w:pPr>
        <w:tabs>
          <w:tab w:val="left" w:pos="567"/>
        </w:tabs>
        <w:wordWrap w:val="0"/>
        <w:autoSpaceDE w:val="0"/>
        <w:autoSpaceDN w:val="0"/>
        <w:adjustRightInd w:val="0"/>
        <w:snapToGrid w:val="0"/>
        <w:spacing w:before="103" w:line="360" w:lineRule="auto"/>
        <w:ind w:left="420" w:firstLine="41"/>
        <w:textAlignment w:val="baseline"/>
        <w:rPr>
          <w:rFonts w:ascii="宋体" w:hAnsi="宋体" w:cs="宋体"/>
          <w:sz w:val="24"/>
        </w:rPr>
      </w:pPr>
      <w:r>
        <w:rPr>
          <w:rFonts w:hint="eastAsia" w:ascii="宋体" w:hAnsi="宋体" w:cs="宋体"/>
          <w:sz w:val="24"/>
          <w:u w:val="single"/>
        </w:rPr>
        <w:t>(1)   安全生产标准化措施费用在分部分项工程费用变化时 ，应进行调整 ，但投标费率不做调整； 安全探头费用已包含在投标报价的安全生产标准化措施费里 ，不再另行计取 。危大工程施工技术措施费已包含在投标报价的安全生产标准化措施费里 ，不再另行计</w:t>
      </w:r>
    </w:p>
    <w:p w14:paraId="7719F2A1">
      <w:pPr>
        <w:tabs>
          <w:tab w:val="left" w:pos="567"/>
        </w:tabs>
        <w:wordWrap w:val="0"/>
        <w:autoSpaceDE w:val="0"/>
        <w:autoSpaceDN w:val="0"/>
        <w:adjustRightInd w:val="0"/>
        <w:snapToGrid w:val="0"/>
        <w:spacing w:before="103" w:line="360" w:lineRule="auto"/>
        <w:ind w:left="420" w:right="90" w:firstLine="2"/>
        <w:textAlignment w:val="baseline"/>
        <w:rPr>
          <w:rFonts w:ascii="宋体" w:hAnsi="宋体" w:cs="宋体"/>
          <w:sz w:val="24"/>
        </w:rPr>
      </w:pPr>
      <w:r>
        <w:rPr>
          <w:rFonts w:hint="eastAsia" w:ascii="宋体" w:hAnsi="宋体" w:cs="宋体"/>
          <w:sz w:val="24"/>
          <w:u w:val="single"/>
        </w:rPr>
        <w:t xml:space="preserve">取 。 由于承包人安全文明施工原因致使发包人受到行政主管处罚所发生的费用 ，均由承包人承担 。    </w:t>
      </w:r>
    </w:p>
    <w:p w14:paraId="397E03A6">
      <w:pPr>
        <w:tabs>
          <w:tab w:val="left" w:pos="567"/>
        </w:tabs>
        <w:wordWrap w:val="0"/>
        <w:autoSpaceDE w:val="0"/>
        <w:autoSpaceDN w:val="0"/>
        <w:adjustRightInd w:val="0"/>
        <w:snapToGrid w:val="0"/>
        <w:spacing w:before="99" w:line="360" w:lineRule="auto"/>
        <w:ind w:left="462"/>
        <w:textAlignment w:val="baseline"/>
        <w:rPr>
          <w:rFonts w:ascii="宋体" w:hAnsi="宋体" w:cs="宋体"/>
          <w:sz w:val="24"/>
        </w:rPr>
      </w:pPr>
      <w:r>
        <w:rPr>
          <w:rFonts w:hint="eastAsia" w:ascii="宋体" w:hAnsi="宋体" w:cs="宋体"/>
          <w:sz w:val="24"/>
          <w:u w:val="single"/>
        </w:rPr>
        <w:t xml:space="preserve">(2)总价措施项目中人工、材料、机械市场价格波动不予调整 ，具体包括但不限于人工工资、钢材、水泥、砂石等主要材料及常用施工机械的市场价格波动 。但如遇国家或地方政府政策性调价、不可抗力因素导致的市场价格异常波动（波动幅度超过±10%）等情况 ，经双方协商一致后可另行调整 。钢筋损耗及措施筋(马凳筋、定位筋、垫块等)由承包人在投标时综合考虑有关费用已包含在合同总价内 ，不再重复计取 。    </w:t>
      </w:r>
    </w:p>
    <w:p w14:paraId="325EC635">
      <w:pPr>
        <w:tabs>
          <w:tab w:val="left" w:pos="567"/>
        </w:tabs>
        <w:wordWrap w:val="0"/>
        <w:autoSpaceDE w:val="0"/>
        <w:autoSpaceDN w:val="0"/>
        <w:adjustRightInd w:val="0"/>
        <w:snapToGrid w:val="0"/>
        <w:spacing w:before="2" w:line="360" w:lineRule="auto"/>
        <w:ind w:left="418" w:right="180" w:firstLine="2"/>
        <w:textAlignment w:val="baseline"/>
        <w:rPr>
          <w:rFonts w:ascii="宋体" w:hAnsi="宋体" w:cs="宋体"/>
          <w:sz w:val="24"/>
        </w:rPr>
      </w:pPr>
      <w:r>
        <w:rPr>
          <w:rFonts w:hint="eastAsia" w:ascii="宋体" w:hAnsi="宋体" w:cs="宋体"/>
          <w:sz w:val="24"/>
          <w:u w:val="single"/>
        </w:rPr>
        <w:t xml:space="preserve">2、合同文件约定的其他项目清单的风险调整： 暂列金额的调整——合同中以暂列金额计入合同价的部分属于发包人所有和支配 。    </w:t>
      </w:r>
    </w:p>
    <w:p w14:paraId="78E69CFE">
      <w:pPr>
        <w:tabs>
          <w:tab w:val="left" w:pos="567"/>
        </w:tabs>
        <w:wordWrap w:val="0"/>
        <w:autoSpaceDE w:val="0"/>
        <w:autoSpaceDN w:val="0"/>
        <w:adjustRightInd w:val="0"/>
        <w:snapToGrid w:val="0"/>
        <w:spacing w:before="102" w:line="360" w:lineRule="auto"/>
        <w:ind w:left="422"/>
        <w:textAlignment w:val="baseline"/>
        <w:rPr>
          <w:rFonts w:ascii="宋体" w:hAnsi="宋体" w:cs="宋体"/>
          <w:sz w:val="24"/>
        </w:rPr>
      </w:pPr>
      <w:r>
        <w:rPr>
          <w:rFonts w:hint="eastAsia" w:ascii="宋体" w:hAnsi="宋体" w:cs="宋体"/>
          <w:sz w:val="24"/>
          <w:u w:val="single"/>
        </w:rPr>
        <w:t xml:space="preserve">3、规费依据投标费率及报价原则调整 。    </w:t>
      </w:r>
    </w:p>
    <w:p w14:paraId="4221AFE3">
      <w:pPr>
        <w:tabs>
          <w:tab w:val="left" w:pos="567"/>
        </w:tabs>
        <w:wordWrap w:val="0"/>
        <w:autoSpaceDE w:val="0"/>
        <w:autoSpaceDN w:val="0"/>
        <w:adjustRightInd w:val="0"/>
        <w:snapToGrid w:val="0"/>
        <w:spacing w:before="103" w:line="360" w:lineRule="auto"/>
        <w:ind w:left="417"/>
        <w:textAlignment w:val="baseline"/>
        <w:rPr>
          <w:rFonts w:ascii="宋体" w:hAnsi="宋体" w:cs="宋体"/>
          <w:sz w:val="24"/>
        </w:rPr>
      </w:pPr>
      <w:r>
        <w:rPr>
          <w:rFonts w:hint="eastAsia" w:ascii="宋体" w:hAnsi="宋体" w:cs="宋体"/>
          <w:sz w:val="24"/>
          <w:u w:val="single"/>
        </w:rPr>
        <w:t xml:space="preserve">4、税金按投标费率予以调整 。    </w:t>
      </w:r>
    </w:p>
    <w:p w14:paraId="21657BCC">
      <w:pPr>
        <w:tabs>
          <w:tab w:val="left" w:pos="567"/>
        </w:tabs>
        <w:wordWrap w:val="0"/>
        <w:autoSpaceDE w:val="0"/>
        <w:autoSpaceDN w:val="0"/>
        <w:adjustRightInd w:val="0"/>
        <w:snapToGrid w:val="0"/>
        <w:spacing w:before="102" w:line="360" w:lineRule="auto"/>
        <w:ind w:left="420" w:right="180" w:firstLine="2"/>
        <w:textAlignment w:val="baseline"/>
        <w:rPr>
          <w:rFonts w:ascii="宋体" w:hAnsi="宋体" w:cs="宋体"/>
          <w:sz w:val="24"/>
        </w:rPr>
      </w:pPr>
      <w:r>
        <w:rPr>
          <w:rFonts w:hint="eastAsia" w:ascii="宋体" w:hAnsi="宋体" w:cs="宋体"/>
          <w:sz w:val="24"/>
          <w:u w:val="single"/>
        </w:rPr>
        <w:t xml:space="preserve">5、因承包人施工过程中环保未达标导致发包人多缴纳环保税的 ， 多缴纳的税费由承包人承担  。    </w:t>
      </w:r>
    </w:p>
    <w:p w14:paraId="4D4AFCE7">
      <w:pPr>
        <w:tabs>
          <w:tab w:val="left" w:pos="567"/>
        </w:tabs>
        <w:wordWrap w:val="0"/>
        <w:autoSpaceDE w:val="0"/>
        <w:autoSpaceDN w:val="0"/>
        <w:adjustRightInd w:val="0"/>
        <w:snapToGrid w:val="0"/>
        <w:spacing w:before="98" w:line="360" w:lineRule="auto"/>
        <w:ind w:left="420"/>
        <w:textAlignment w:val="baseline"/>
        <w:rPr>
          <w:rFonts w:ascii="宋体" w:hAnsi="宋体" w:cs="宋体"/>
        </w:rPr>
      </w:pPr>
      <w:r>
        <w:rPr>
          <w:rFonts w:hint="eastAsia" w:ascii="宋体" w:hAnsi="宋体" w:cs="宋体"/>
          <w:sz w:val="24"/>
          <w:u w:val="single"/>
        </w:rPr>
        <w:t>6、材料设备暂估价价差只计取税金  。</w:t>
      </w:r>
      <w:bookmarkEnd w:id="2583"/>
    </w:p>
    <w:p w14:paraId="50D501CF">
      <w:pPr>
        <w:tabs>
          <w:tab w:val="left" w:pos="567"/>
        </w:tabs>
        <w:wordWrap w:val="0"/>
        <w:autoSpaceDE w:val="0"/>
        <w:autoSpaceDN w:val="0"/>
        <w:adjustRightInd w:val="0"/>
        <w:snapToGrid w:val="0"/>
        <w:spacing w:before="130" w:line="360" w:lineRule="auto"/>
        <w:ind w:left="22"/>
        <w:textAlignment w:val="baseline"/>
        <w:rPr>
          <w:rFonts w:ascii="宋体" w:hAnsi="宋体" w:cs="宋体"/>
        </w:rPr>
      </w:pPr>
      <w:r>
        <w:rPr>
          <w:rFonts w:hint="eastAsia" w:ascii="宋体" w:hAnsi="宋体" w:cs="宋体"/>
          <w:sz w:val="30"/>
          <w:szCs w:val="30"/>
        </w:rPr>
        <w:t>17.计量与支付</w:t>
      </w:r>
    </w:p>
    <w:p w14:paraId="16B33E84">
      <w:pPr>
        <w:tabs>
          <w:tab w:val="left" w:pos="567"/>
        </w:tabs>
        <w:wordWrap w:val="0"/>
        <w:autoSpaceDE w:val="0"/>
        <w:autoSpaceDN w:val="0"/>
        <w:adjustRightInd w:val="0"/>
        <w:snapToGrid w:val="0"/>
        <w:spacing w:before="103" w:line="360" w:lineRule="auto"/>
        <w:ind w:left="15"/>
        <w:textAlignment w:val="baseline"/>
        <w:rPr>
          <w:rFonts w:ascii="宋体" w:hAnsi="宋体" w:cs="宋体"/>
        </w:rPr>
      </w:pPr>
      <w:r>
        <w:rPr>
          <w:rFonts w:hint="eastAsia" w:ascii="宋体" w:hAnsi="宋体" w:cs="宋体"/>
          <w:sz w:val="24"/>
        </w:rPr>
        <w:t>17.1   计量</w:t>
      </w:r>
    </w:p>
    <w:p w14:paraId="7571F909">
      <w:pPr>
        <w:tabs>
          <w:tab w:val="left" w:pos="567"/>
        </w:tabs>
        <w:wordWrap w:val="0"/>
        <w:autoSpaceDE w:val="0"/>
        <w:autoSpaceDN w:val="0"/>
        <w:adjustRightInd w:val="0"/>
        <w:snapToGrid w:val="0"/>
        <w:spacing w:before="90" w:line="360" w:lineRule="auto"/>
        <w:ind w:left="432"/>
        <w:textAlignment w:val="baseline"/>
        <w:rPr>
          <w:rFonts w:ascii="宋体" w:hAnsi="宋体" w:cs="宋体"/>
          <w:sz w:val="24"/>
        </w:rPr>
      </w:pPr>
      <w:r>
        <w:rPr>
          <w:rFonts w:hint="eastAsia" w:ascii="宋体" w:hAnsi="宋体" w:cs="宋体"/>
          <w:sz w:val="24"/>
        </w:rPr>
        <w:t>17.1.3   计量周期</w:t>
      </w:r>
    </w:p>
    <w:p w14:paraId="306BB91E">
      <w:pPr>
        <w:tabs>
          <w:tab w:val="left" w:pos="567"/>
        </w:tabs>
        <w:wordWrap w:val="0"/>
        <w:autoSpaceDE w:val="0"/>
        <w:autoSpaceDN w:val="0"/>
        <w:adjustRightInd w:val="0"/>
        <w:snapToGrid w:val="0"/>
        <w:spacing w:before="104" w:line="360" w:lineRule="auto"/>
        <w:ind w:left="417"/>
        <w:textAlignment w:val="baseline"/>
        <w:rPr>
          <w:rFonts w:ascii="宋体" w:hAnsi="宋体" w:cs="宋体"/>
          <w:sz w:val="24"/>
        </w:rPr>
      </w:pPr>
      <w:r>
        <w:rPr>
          <w:rFonts w:hint="eastAsia" w:ascii="宋体" w:hAnsi="宋体" w:cs="宋体"/>
          <w:sz w:val="24"/>
        </w:rPr>
        <w:t>本工程的计量周期</w:t>
      </w:r>
      <w:r>
        <w:rPr>
          <w:rFonts w:hint="eastAsia" w:ascii="宋体" w:hAnsi="宋体" w:cs="宋体"/>
          <w:w w:val="101"/>
          <w:sz w:val="24"/>
        </w:rPr>
        <w:t xml:space="preserve"> </w:t>
      </w:r>
      <w:r>
        <w:rPr>
          <w:rFonts w:hint="eastAsia" w:ascii="宋体" w:hAnsi="宋体" w:cs="宋体"/>
          <w:sz w:val="24"/>
          <w:u w:val="single"/>
        </w:rPr>
        <w:t>按月</w:t>
      </w:r>
    </w:p>
    <w:p w14:paraId="2FA98EA3">
      <w:pPr>
        <w:tabs>
          <w:tab w:val="left" w:pos="567"/>
        </w:tabs>
        <w:wordWrap w:val="0"/>
        <w:autoSpaceDE w:val="0"/>
        <w:autoSpaceDN w:val="0"/>
        <w:adjustRightInd w:val="0"/>
        <w:snapToGrid w:val="0"/>
        <w:spacing w:before="103" w:line="360" w:lineRule="auto"/>
        <w:ind w:left="420"/>
        <w:textAlignment w:val="baseline"/>
        <w:rPr>
          <w:rFonts w:ascii="宋体" w:hAnsi="宋体" w:cs="宋体"/>
          <w:sz w:val="24"/>
        </w:rPr>
      </w:pPr>
      <w:r>
        <w:rPr>
          <w:rFonts w:hint="eastAsia" w:ascii="宋体" w:hAnsi="宋体" w:cs="宋体"/>
          <w:sz w:val="24"/>
        </w:rPr>
        <w:t>（1）每月</w:t>
      </w:r>
      <w:r>
        <w:rPr>
          <w:rFonts w:hint="eastAsia" w:ascii="宋体" w:hAnsi="宋体" w:cs="宋体"/>
          <w:sz w:val="24"/>
          <w:u w:val="single"/>
        </w:rPr>
        <w:t>25</w:t>
      </w:r>
      <w:r>
        <w:rPr>
          <w:rFonts w:hint="eastAsia" w:ascii="宋体" w:hAnsi="宋体" w:cs="宋体"/>
          <w:sz w:val="24"/>
        </w:rPr>
        <w:t>日为当月计量截止日期（不含当日）和下月计量起始日期（含当日）。</w:t>
      </w:r>
    </w:p>
    <w:p w14:paraId="16D1DBC8">
      <w:pPr>
        <w:tabs>
          <w:tab w:val="left" w:pos="567"/>
        </w:tabs>
        <w:wordWrap w:val="0"/>
        <w:autoSpaceDE w:val="0"/>
        <w:autoSpaceDN w:val="0"/>
        <w:adjustRightInd w:val="0"/>
        <w:snapToGrid w:val="0"/>
        <w:spacing w:before="106" w:line="360" w:lineRule="auto"/>
        <w:ind w:left="420"/>
        <w:textAlignment w:val="baseline"/>
        <w:rPr>
          <w:rFonts w:ascii="宋体" w:hAnsi="宋体" w:cs="宋体"/>
          <w:sz w:val="24"/>
        </w:rPr>
      </w:pPr>
      <w:r>
        <w:rPr>
          <w:rFonts w:hint="eastAsia" w:ascii="宋体" w:hAnsi="宋体" w:cs="宋体"/>
          <w:sz w:val="24"/>
        </w:rPr>
        <w:t>（2）本合同</w:t>
      </w:r>
      <w:r>
        <w:rPr>
          <w:rFonts w:hint="eastAsia" w:ascii="宋体" w:hAnsi="宋体" w:cs="宋体"/>
          <w:sz w:val="24"/>
          <w:u w:val="single"/>
        </w:rPr>
        <w:t>执行（采用单价合同形式时）</w:t>
      </w:r>
      <w:r>
        <w:rPr>
          <w:rFonts w:hint="eastAsia" w:ascii="宋体" w:hAnsi="宋体" w:cs="宋体"/>
          <w:sz w:val="24"/>
        </w:rPr>
        <w:t>单价项目已完成工程量按月计量。</w:t>
      </w:r>
    </w:p>
    <w:p w14:paraId="0BE955F6">
      <w:pPr>
        <w:tabs>
          <w:tab w:val="left" w:pos="567"/>
        </w:tabs>
        <w:wordWrap w:val="0"/>
        <w:autoSpaceDE w:val="0"/>
        <w:autoSpaceDN w:val="0"/>
        <w:adjustRightInd w:val="0"/>
        <w:snapToGrid w:val="0"/>
        <w:spacing w:before="111" w:line="360" w:lineRule="auto"/>
        <w:ind w:left="420"/>
        <w:textAlignment w:val="baseline"/>
        <w:rPr>
          <w:rFonts w:ascii="宋体" w:hAnsi="宋体" w:cs="宋体"/>
          <w:sz w:val="24"/>
        </w:rPr>
      </w:pPr>
      <w:r>
        <w:rPr>
          <w:rFonts w:hint="eastAsia" w:ascii="宋体" w:hAnsi="宋体" w:cs="宋体"/>
          <w:sz w:val="24"/>
        </w:rPr>
        <w:t>（3）总价项目计量方式采用</w:t>
      </w:r>
      <w:r>
        <w:rPr>
          <w:rFonts w:hint="eastAsia" w:ascii="宋体" w:hAnsi="宋体" w:cs="宋体"/>
          <w:sz w:val="24"/>
          <w:u w:val="single"/>
        </w:rPr>
        <w:t>按实际完成工程量计量</w:t>
      </w:r>
      <w:r>
        <w:rPr>
          <w:rFonts w:hint="eastAsia" w:ascii="宋体" w:hAnsi="宋体" w:cs="宋体"/>
          <w:sz w:val="24"/>
        </w:rPr>
        <w:t>。</w:t>
      </w:r>
    </w:p>
    <w:p w14:paraId="11936ABA">
      <w:pPr>
        <w:tabs>
          <w:tab w:val="left" w:pos="567"/>
        </w:tabs>
        <w:wordWrap w:val="0"/>
        <w:autoSpaceDE w:val="0"/>
        <w:autoSpaceDN w:val="0"/>
        <w:adjustRightInd w:val="0"/>
        <w:snapToGrid w:val="0"/>
        <w:spacing w:before="87" w:line="360" w:lineRule="auto"/>
        <w:ind w:left="432"/>
        <w:textAlignment w:val="baseline"/>
        <w:rPr>
          <w:rFonts w:ascii="宋体" w:hAnsi="宋体" w:cs="宋体"/>
          <w:sz w:val="24"/>
        </w:rPr>
      </w:pPr>
      <w:r>
        <w:rPr>
          <w:rFonts w:hint="eastAsia" w:ascii="宋体" w:hAnsi="宋体" w:cs="宋体"/>
          <w:sz w:val="24"/>
        </w:rPr>
        <w:t>17.1.5   总价项目的计量（适用于采用按实际完成工程量计量）</w:t>
      </w:r>
    </w:p>
    <w:p w14:paraId="5F72296D">
      <w:pPr>
        <w:tabs>
          <w:tab w:val="left" w:pos="567"/>
        </w:tabs>
        <w:wordWrap w:val="0"/>
        <w:autoSpaceDE w:val="0"/>
        <w:autoSpaceDN w:val="0"/>
        <w:adjustRightInd w:val="0"/>
        <w:snapToGrid w:val="0"/>
        <w:spacing w:before="90" w:line="360" w:lineRule="auto"/>
        <w:ind w:left="420"/>
        <w:textAlignment w:val="baseline"/>
        <w:rPr>
          <w:rFonts w:ascii="宋体" w:hAnsi="宋体" w:cs="宋体"/>
          <w:sz w:val="24"/>
        </w:rPr>
      </w:pPr>
      <w:r>
        <w:rPr>
          <w:rFonts w:hint="eastAsia" w:ascii="宋体" w:hAnsi="宋体" w:cs="宋体"/>
          <w:sz w:val="24"/>
        </w:rPr>
        <w:t>（1）采用按实际完成工程量计量方式的,总价项目的价格调整方法：</w:t>
      </w:r>
    </w:p>
    <w:p w14:paraId="39AC1BDB">
      <w:pPr>
        <w:tabs>
          <w:tab w:val="left" w:pos="567"/>
        </w:tabs>
        <w:wordWrap w:val="0"/>
        <w:autoSpaceDE w:val="0"/>
        <w:autoSpaceDN w:val="0"/>
        <w:adjustRightInd w:val="0"/>
        <w:snapToGrid w:val="0"/>
        <w:spacing w:before="110" w:line="360" w:lineRule="auto"/>
        <w:ind w:left="522"/>
        <w:textAlignment w:val="baseline"/>
        <w:rPr>
          <w:rFonts w:ascii="宋体" w:hAnsi="宋体" w:cs="宋体"/>
        </w:rPr>
      </w:pPr>
      <w:r>
        <w:rPr>
          <w:rFonts w:hint="eastAsia" w:ascii="宋体" w:hAnsi="宋体" w:cs="宋体"/>
          <w:sz w:val="24"/>
          <w:u w:val="single"/>
        </w:rPr>
        <w:t>/</w:t>
      </w:r>
    </w:p>
    <w:p w14:paraId="1AB5718F">
      <w:pPr>
        <w:tabs>
          <w:tab w:val="left" w:pos="567"/>
        </w:tabs>
        <w:wordWrap w:val="0"/>
        <w:autoSpaceDE w:val="0"/>
        <w:autoSpaceDN w:val="0"/>
        <w:adjustRightInd w:val="0"/>
        <w:snapToGrid w:val="0"/>
        <w:spacing w:before="104" w:line="360" w:lineRule="auto"/>
        <w:ind w:left="15"/>
        <w:textAlignment w:val="baseline"/>
        <w:rPr>
          <w:rFonts w:ascii="宋体" w:hAnsi="宋体" w:cs="宋体"/>
        </w:rPr>
      </w:pPr>
      <w:r>
        <w:rPr>
          <w:rFonts w:hint="eastAsia" w:ascii="宋体" w:hAnsi="宋体" w:cs="宋体"/>
          <w:sz w:val="24"/>
        </w:rPr>
        <w:t>17.2   预付款</w:t>
      </w:r>
    </w:p>
    <w:p w14:paraId="3DD23BFD">
      <w:pPr>
        <w:tabs>
          <w:tab w:val="left" w:pos="567"/>
        </w:tabs>
        <w:wordWrap w:val="0"/>
        <w:autoSpaceDE w:val="0"/>
        <w:autoSpaceDN w:val="0"/>
        <w:adjustRightInd w:val="0"/>
        <w:snapToGrid w:val="0"/>
        <w:spacing w:before="90" w:line="360" w:lineRule="auto"/>
        <w:ind w:left="432"/>
        <w:textAlignment w:val="baseline"/>
        <w:rPr>
          <w:rFonts w:ascii="宋体" w:hAnsi="宋体" w:cs="宋体"/>
          <w:sz w:val="24"/>
        </w:rPr>
      </w:pPr>
      <w:r>
        <w:rPr>
          <w:rFonts w:hint="eastAsia" w:ascii="宋体" w:hAnsi="宋体" w:cs="宋体"/>
          <w:sz w:val="24"/>
        </w:rPr>
        <w:t>17.2.1   预付款</w:t>
      </w:r>
    </w:p>
    <w:p w14:paraId="455425DD">
      <w:pPr>
        <w:tabs>
          <w:tab w:val="left" w:pos="567"/>
        </w:tabs>
        <w:wordWrap w:val="0"/>
        <w:autoSpaceDE w:val="0"/>
        <w:autoSpaceDN w:val="0"/>
        <w:adjustRightInd w:val="0"/>
        <w:snapToGrid w:val="0"/>
        <w:spacing w:before="83" w:line="360" w:lineRule="auto"/>
        <w:ind w:left="420"/>
        <w:textAlignment w:val="baseline"/>
        <w:rPr>
          <w:rFonts w:ascii="宋体" w:hAnsi="宋体" w:cs="宋体"/>
          <w:sz w:val="24"/>
        </w:rPr>
      </w:pPr>
      <w:r>
        <w:rPr>
          <w:rFonts w:hint="eastAsia" w:ascii="宋体" w:hAnsi="宋体" w:cs="宋体"/>
          <w:sz w:val="24"/>
        </w:rPr>
        <w:t>（1）预付款额度</w:t>
      </w:r>
    </w:p>
    <w:p w14:paraId="483D57AA">
      <w:pPr>
        <w:tabs>
          <w:tab w:val="left" w:pos="567"/>
        </w:tabs>
        <w:wordWrap w:val="0"/>
        <w:autoSpaceDE w:val="0"/>
        <w:autoSpaceDN w:val="0"/>
        <w:adjustRightInd w:val="0"/>
        <w:snapToGrid w:val="0"/>
        <w:spacing w:before="109" w:line="360" w:lineRule="auto"/>
        <w:ind w:left="628"/>
        <w:textAlignment w:val="baseline"/>
        <w:rPr>
          <w:rFonts w:ascii="宋体" w:hAnsi="宋体" w:cs="宋体"/>
          <w:sz w:val="24"/>
        </w:rPr>
      </w:pPr>
      <w:r>
        <w:rPr>
          <w:rFonts w:hint="eastAsia" w:ascii="宋体" w:hAnsi="宋体" w:cs="宋体"/>
          <w:sz w:val="24"/>
        </w:rPr>
        <w:t>预付款额度：</w:t>
      </w:r>
      <w:r>
        <w:rPr>
          <w:rFonts w:hint="eastAsia" w:ascii="宋体" w:hAnsi="宋体" w:cs="宋体"/>
          <w:sz w:val="24"/>
          <w:u w:val="single"/>
        </w:rPr>
        <w:t>合同价款（扣除安全生产标准化措施费、农民工工伤保险、暂列金额）的30%</w:t>
      </w:r>
    </w:p>
    <w:p w14:paraId="7459006D">
      <w:pPr>
        <w:tabs>
          <w:tab w:val="left" w:pos="567"/>
        </w:tabs>
        <w:wordWrap w:val="0"/>
        <w:autoSpaceDE w:val="0"/>
        <w:autoSpaceDN w:val="0"/>
        <w:adjustRightInd w:val="0"/>
        <w:snapToGrid w:val="0"/>
        <w:spacing w:before="111" w:line="360" w:lineRule="auto"/>
        <w:ind w:left="627"/>
        <w:textAlignment w:val="baseline"/>
        <w:rPr>
          <w:rFonts w:ascii="宋体" w:hAnsi="宋体" w:cs="宋体"/>
          <w:sz w:val="24"/>
        </w:rPr>
      </w:pPr>
      <w:r>
        <w:rPr>
          <w:rFonts w:hint="eastAsia" w:ascii="宋体" w:hAnsi="宋体" w:cs="宋体"/>
          <w:sz w:val="24"/>
        </w:rPr>
        <w:t xml:space="preserve">其中： </w:t>
      </w:r>
      <w:r>
        <w:rPr>
          <w:rFonts w:hint="eastAsia" w:ascii="宋体" w:hAnsi="宋体" w:cs="宋体"/>
          <w:sz w:val="24"/>
          <w:u w:val="single"/>
        </w:rPr>
        <w:t>另一次性支付农民工工伤保险费100%</w:t>
      </w:r>
    </w:p>
    <w:p w14:paraId="1572567A">
      <w:pPr>
        <w:tabs>
          <w:tab w:val="left" w:pos="567"/>
        </w:tabs>
        <w:wordWrap w:val="0"/>
        <w:autoSpaceDE w:val="0"/>
        <w:autoSpaceDN w:val="0"/>
        <w:adjustRightInd w:val="0"/>
        <w:snapToGrid w:val="0"/>
        <w:spacing w:before="83" w:line="360" w:lineRule="auto"/>
        <w:ind w:left="420"/>
        <w:textAlignment w:val="baseline"/>
        <w:rPr>
          <w:rFonts w:ascii="宋体" w:hAnsi="宋体" w:cs="宋体"/>
          <w:sz w:val="24"/>
        </w:rPr>
      </w:pPr>
      <w:r>
        <w:rPr>
          <w:rFonts w:hint="eastAsia" w:ascii="宋体" w:hAnsi="宋体" w:cs="宋体"/>
          <w:sz w:val="24"/>
        </w:rPr>
        <w:t>（2）预付办法</w:t>
      </w:r>
    </w:p>
    <w:p w14:paraId="5E6C49FB">
      <w:pPr>
        <w:tabs>
          <w:tab w:val="left" w:pos="567"/>
        </w:tabs>
        <w:wordWrap w:val="0"/>
        <w:autoSpaceDE w:val="0"/>
        <w:autoSpaceDN w:val="0"/>
        <w:adjustRightInd w:val="0"/>
        <w:snapToGrid w:val="0"/>
        <w:spacing w:before="109" w:line="360" w:lineRule="auto"/>
        <w:ind w:right="90" w:firstLine="628"/>
        <w:textAlignment w:val="baseline"/>
        <w:rPr>
          <w:rFonts w:ascii="宋体" w:hAnsi="宋体" w:cs="宋体"/>
          <w:sz w:val="24"/>
        </w:rPr>
      </w:pPr>
      <w:r>
        <w:rPr>
          <w:rFonts w:hint="eastAsia" w:ascii="宋体" w:hAnsi="宋体" w:cs="宋体"/>
          <w:sz w:val="24"/>
        </w:rPr>
        <w:t>预付款预付办法：</w:t>
      </w:r>
      <w:r>
        <w:rPr>
          <w:rFonts w:hint="eastAsia" w:ascii="宋体" w:hAnsi="宋体" w:cs="宋体"/>
          <w:sz w:val="24"/>
          <w:u w:val="single"/>
        </w:rPr>
        <w:t>合同生效后,承包人提交付款申请和相应款项合规发票后15日内,发包人一次性向承包人支付预付款 。承包人不提供合规发票的,发包人有权相应顺延付款期限 。</w:t>
      </w:r>
    </w:p>
    <w:p w14:paraId="7B5EFCD8">
      <w:pPr>
        <w:tabs>
          <w:tab w:val="left" w:pos="567"/>
        </w:tabs>
        <w:wordWrap w:val="0"/>
        <w:autoSpaceDE w:val="0"/>
        <w:autoSpaceDN w:val="0"/>
        <w:adjustRightInd w:val="0"/>
        <w:snapToGrid w:val="0"/>
        <w:spacing w:before="1" w:line="360" w:lineRule="auto"/>
        <w:textAlignment w:val="baseline"/>
        <w:rPr>
          <w:rFonts w:ascii="宋体" w:hAnsi="宋体" w:cs="宋体"/>
          <w:sz w:val="24"/>
        </w:rPr>
      </w:pPr>
      <w:r>
        <w:rPr>
          <w:rFonts w:hint="eastAsia" w:ascii="宋体" w:hAnsi="宋体" w:cs="宋体"/>
          <w:sz w:val="24"/>
        </w:rPr>
        <w:t>预付款的支付时间：</w:t>
      </w:r>
      <w:r>
        <w:rPr>
          <w:rFonts w:hint="eastAsia" w:ascii="宋体" w:hAnsi="宋体" w:cs="宋体"/>
          <w:sz w:val="24"/>
          <w:u w:val="single"/>
        </w:rPr>
        <w:t>本合同生效后,不迟于本项目约定的开工日期前7天内,但需满足上述预付办法约定的 。</w:t>
      </w:r>
    </w:p>
    <w:p w14:paraId="0616E26F">
      <w:pPr>
        <w:tabs>
          <w:tab w:val="left" w:pos="567"/>
        </w:tabs>
        <w:wordWrap w:val="0"/>
        <w:autoSpaceDE w:val="0"/>
        <w:autoSpaceDN w:val="0"/>
        <w:adjustRightInd w:val="0"/>
        <w:snapToGrid w:val="0"/>
        <w:spacing w:before="84" w:line="360" w:lineRule="auto"/>
        <w:ind w:left="423"/>
        <w:textAlignment w:val="baseline"/>
        <w:rPr>
          <w:rFonts w:ascii="宋体" w:hAnsi="宋体" w:cs="宋体"/>
          <w:sz w:val="24"/>
        </w:rPr>
      </w:pPr>
      <w:r>
        <w:rPr>
          <w:rFonts w:hint="eastAsia" w:ascii="宋体" w:hAnsi="宋体" w:cs="宋体"/>
          <w:sz w:val="24"/>
        </w:rPr>
        <w:t>（3）安全生产标准化措施费用预付额度及方式：</w:t>
      </w:r>
    </w:p>
    <w:p w14:paraId="36F96875">
      <w:pPr>
        <w:tabs>
          <w:tab w:val="left" w:pos="567"/>
        </w:tabs>
        <w:wordWrap w:val="0"/>
        <w:autoSpaceDE w:val="0"/>
        <w:autoSpaceDN w:val="0"/>
        <w:adjustRightInd w:val="0"/>
        <w:snapToGrid w:val="0"/>
        <w:spacing w:before="89" w:line="360" w:lineRule="auto"/>
        <w:ind w:left="1" w:right="179" w:firstLine="422"/>
        <w:textAlignment w:val="baseline"/>
        <w:rPr>
          <w:rFonts w:ascii="宋体" w:hAnsi="宋体" w:cs="宋体"/>
          <w:sz w:val="24"/>
        </w:rPr>
      </w:pPr>
      <w:r>
        <w:rPr>
          <w:rFonts w:hint="eastAsia" w:ascii="宋体" w:hAnsi="宋体" w:cs="宋体"/>
          <w:sz w:val="24"/>
        </w:rPr>
        <w:t>安全生产标准化措施费用的预付不受上述预付办法和支付时间约定的制约 。安全生产标准化措施费用按以下时间节点和金额进行预付：</w:t>
      </w:r>
    </w:p>
    <w:p w14:paraId="192929D2">
      <w:pPr>
        <w:tabs>
          <w:tab w:val="left" w:pos="567"/>
        </w:tabs>
        <w:wordWrap w:val="0"/>
        <w:autoSpaceDE w:val="0"/>
        <w:autoSpaceDN w:val="0"/>
        <w:adjustRightInd w:val="0"/>
        <w:snapToGrid w:val="0"/>
        <w:spacing w:before="2" w:line="360" w:lineRule="auto"/>
        <w:ind w:right="74" w:firstLine="423"/>
        <w:textAlignment w:val="baseline"/>
        <w:rPr>
          <w:rFonts w:ascii="宋体" w:hAnsi="宋体" w:cs="宋体"/>
          <w:sz w:val="24"/>
        </w:rPr>
      </w:pPr>
      <w:r>
        <w:rPr>
          <w:rFonts w:hint="eastAsia" w:ascii="宋体" w:hAnsi="宋体" w:cs="宋体"/>
          <w:sz w:val="24"/>
        </w:rPr>
        <w:t>发包人应当在不迟于第11.1.1项约定的开工日期前的7天内 ，将签约合同价中载明的安全生产标准化措施费用总额的50%一次性预付给承包人。</w:t>
      </w:r>
    </w:p>
    <w:p w14:paraId="5B36248B">
      <w:pPr>
        <w:tabs>
          <w:tab w:val="left" w:pos="567"/>
        </w:tabs>
        <w:wordWrap w:val="0"/>
        <w:autoSpaceDE w:val="0"/>
        <w:autoSpaceDN w:val="0"/>
        <w:adjustRightInd w:val="0"/>
        <w:snapToGrid w:val="0"/>
        <w:spacing w:before="3" w:line="360" w:lineRule="auto"/>
        <w:ind w:left="4" w:right="179" w:firstLine="419"/>
        <w:textAlignment w:val="baseline"/>
        <w:rPr>
          <w:rFonts w:ascii="宋体" w:hAnsi="宋体" w:cs="宋体"/>
          <w:sz w:val="24"/>
        </w:rPr>
      </w:pPr>
      <w:r>
        <w:rPr>
          <w:rFonts w:hint="eastAsia" w:ascii="宋体" w:hAnsi="宋体" w:cs="宋体"/>
          <w:sz w:val="24"/>
        </w:rPr>
        <w:t>发包人应当在±0.00以下主体结构施工完成或签约合同价中分部分项工程项目的完成价款比例达到30%（两者中以条件先满足的为准）7天内 ，预付至签约合同价中载明的安全生产标准化措施费用总额的</w:t>
      </w:r>
      <w:r>
        <w:rPr>
          <w:rFonts w:hint="eastAsia" w:ascii="宋体" w:hAnsi="宋体" w:cs="宋体"/>
          <w:w w:val="91"/>
          <w:sz w:val="24"/>
        </w:rPr>
        <w:t>70%。</w:t>
      </w:r>
    </w:p>
    <w:p w14:paraId="4724DEBC">
      <w:pPr>
        <w:tabs>
          <w:tab w:val="left" w:pos="567"/>
        </w:tabs>
        <w:wordWrap w:val="0"/>
        <w:autoSpaceDE w:val="0"/>
        <w:autoSpaceDN w:val="0"/>
        <w:adjustRightInd w:val="0"/>
        <w:snapToGrid w:val="0"/>
        <w:spacing w:before="2" w:line="360" w:lineRule="auto"/>
        <w:ind w:left="5" w:right="179" w:firstLine="418"/>
        <w:textAlignment w:val="baseline"/>
        <w:rPr>
          <w:rFonts w:ascii="宋体" w:hAnsi="宋体" w:cs="宋体"/>
          <w:sz w:val="24"/>
        </w:rPr>
      </w:pPr>
      <w:r>
        <w:rPr>
          <w:rFonts w:hint="eastAsia" w:ascii="宋体" w:hAnsi="宋体" w:cs="宋体"/>
          <w:sz w:val="24"/>
        </w:rPr>
        <w:t>发包人应当在安全生产标准化考评、评定达到（含整改后达到）或超过合同约定的安全生产标准化管理目标之日起7天内 ，预付至签约合同价中载明的安全生产标准化措施费用总额的90%。</w:t>
      </w:r>
    </w:p>
    <w:p w14:paraId="6C819DE6">
      <w:pPr>
        <w:tabs>
          <w:tab w:val="left" w:pos="567"/>
        </w:tabs>
        <w:wordWrap w:val="0"/>
        <w:autoSpaceDE w:val="0"/>
        <w:autoSpaceDN w:val="0"/>
        <w:adjustRightInd w:val="0"/>
        <w:snapToGrid w:val="0"/>
        <w:spacing w:before="2" w:line="360" w:lineRule="auto"/>
        <w:ind w:right="179" w:firstLine="422"/>
        <w:textAlignment w:val="baseline"/>
        <w:rPr>
          <w:rFonts w:ascii="宋体" w:hAnsi="宋体" w:cs="宋体"/>
          <w:sz w:val="24"/>
        </w:rPr>
      </w:pPr>
      <w:r>
        <w:rPr>
          <w:rFonts w:hint="eastAsia" w:ascii="宋体" w:hAnsi="宋体" w:cs="宋体"/>
          <w:sz w:val="24"/>
        </w:rPr>
        <w:t>发包人应当在工程竣工后 ，安全生产标准化考评、认定达到或超过合同约定安全生产标准化管理目标并颁发考评证书之日起的7天内 ，预付至签约合同价中载明的安全生产标准化措施费用总额的100%。</w:t>
      </w:r>
    </w:p>
    <w:p w14:paraId="439364F5">
      <w:pPr>
        <w:tabs>
          <w:tab w:val="left" w:pos="567"/>
        </w:tabs>
        <w:wordWrap w:val="0"/>
        <w:autoSpaceDE w:val="0"/>
        <w:autoSpaceDN w:val="0"/>
        <w:adjustRightInd w:val="0"/>
        <w:snapToGrid w:val="0"/>
        <w:spacing w:before="120" w:line="360" w:lineRule="auto"/>
        <w:ind w:left="424"/>
        <w:textAlignment w:val="baseline"/>
        <w:rPr>
          <w:rFonts w:ascii="宋体" w:hAnsi="宋体" w:cs="宋体"/>
          <w:sz w:val="24"/>
        </w:rPr>
      </w:pPr>
      <w:r>
        <w:rPr>
          <w:rFonts w:hint="eastAsia" w:ascii="宋体" w:hAnsi="宋体" w:cs="宋体"/>
          <w:sz w:val="24"/>
        </w:rPr>
        <w:t>安全生产标准化措施费用的预付不抵扣。</w:t>
      </w:r>
    </w:p>
    <w:p w14:paraId="0894F422">
      <w:pPr>
        <w:tabs>
          <w:tab w:val="left" w:pos="567"/>
        </w:tabs>
        <w:wordWrap w:val="0"/>
        <w:autoSpaceDE w:val="0"/>
        <w:autoSpaceDN w:val="0"/>
        <w:adjustRightInd w:val="0"/>
        <w:snapToGrid w:val="0"/>
        <w:spacing w:before="84" w:line="360" w:lineRule="auto"/>
        <w:ind w:left="435"/>
        <w:textAlignment w:val="baseline"/>
        <w:rPr>
          <w:rFonts w:ascii="宋体" w:hAnsi="宋体" w:cs="宋体"/>
          <w:sz w:val="24"/>
        </w:rPr>
      </w:pPr>
      <w:r>
        <w:rPr>
          <w:rFonts w:hint="eastAsia" w:ascii="宋体" w:hAnsi="宋体" w:cs="宋体"/>
          <w:sz w:val="24"/>
        </w:rPr>
        <w:t>17.2.2   预付款的扣回与还清</w:t>
      </w:r>
    </w:p>
    <w:p w14:paraId="556669C2">
      <w:pPr>
        <w:tabs>
          <w:tab w:val="left" w:pos="567"/>
        </w:tabs>
        <w:wordWrap w:val="0"/>
        <w:autoSpaceDE w:val="0"/>
        <w:autoSpaceDN w:val="0"/>
        <w:adjustRightInd w:val="0"/>
        <w:snapToGrid w:val="0"/>
        <w:spacing w:before="103" w:line="360" w:lineRule="auto"/>
        <w:ind w:left="421"/>
        <w:textAlignment w:val="baseline"/>
        <w:rPr>
          <w:rFonts w:ascii="宋体" w:hAnsi="宋体" w:cs="宋体"/>
          <w:sz w:val="24"/>
        </w:rPr>
      </w:pPr>
      <w:r>
        <w:rPr>
          <w:rFonts w:hint="eastAsia" w:ascii="宋体" w:hAnsi="宋体" w:cs="宋体"/>
          <w:sz w:val="24"/>
        </w:rPr>
        <w:t>预付款的扣回办法：</w:t>
      </w:r>
      <w:r>
        <w:rPr>
          <w:rFonts w:hint="eastAsia" w:ascii="宋体" w:hAnsi="宋体" w:cs="宋体"/>
          <w:sz w:val="24"/>
          <w:u w:val="single"/>
        </w:rPr>
        <w:t>/</w:t>
      </w:r>
    </w:p>
    <w:p w14:paraId="54F41429">
      <w:pPr>
        <w:tabs>
          <w:tab w:val="left" w:pos="567"/>
        </w:tabs>
        <w:wordWrap w:val="0"/>
        <w:autoSpaceDE w:val="0"/>
        <w:autoSpaceDN w:val="0"/>
        <w:adjustRightInd w:val="0"/>
        <w:snapToGrid w:val="0"/>
        <w:spacing w:before="103" w:line="360" w:lineRule="auto"/>
        <w:ind w:left="18"/>
        <w:textAlignment w:val="baseline"/>
        <w:outlineLvl w:val="2"/>
        <w:rPr>
          <w:rFonts w:ascii="宋体" w:hAnsi="宋体" w:cs="宋体"/>
          <w:sz w:val="24"/>
        </w:rPr>
      </w:pPr>
      <w:r>
        <w:rPr>
          <w:rFonts w:hint="eastAsia" w:ascii="宋体" w:hAnsi="宋体" w:cs="宋体"/>
          <w:sz w:val="24"/>
        </w:rPr>
        <w:t>17.3   工程进度付款</w:t>
      </w:r>
    </w:p>
    <w:p w14:paraId="32B65D2F">
      <w:pPr>
        <w:tabs>
          <w:tab w:val="left" w:pos="567"/>
        </w:tabs>
        <w:wordWrap w:val="0"/>
        <w:autoSpaceDE w:val="0"/>
        <w:autoSpaceDN w:val="0"/>
        <w:adjustRightInd w:val="0"/>
        <w:snapToGrid w:val="0"/>
        <w:spacing w:before="91" w:line="360" w:lineRule="auto"/>
        <w:ind w:left="435"/>
        <w:textAlignment w:val="baseline"/>
        <w:rPr>
          <w:rFonts w:ascii="宋体" w:hAnsi="宋体" w:cs="宋体"/>
          <w:sz w:val="24"/>
        </w:rPr>
      </w:pPr>
      <w:r>
        <w:rPr>
          <w:rFonts w:hint="eastAsia" w:ascii="宋体" w:hAnsi="宋体" w:cs="宋体"/>
          <w:sz w:val="24"/>
        </w:rPr>
        <w:t>17.3.2   进度付款申请单</w:t>
      </w:r>
    </w:p>
    <w:p w14:paraId="1921AA52">
      <w:pPr>
        <w:tabs>
          <w:tab w:val="left" w:pos="567"/>
        </w:tabs>
        <w:wordWrap w:val="0"/>
        <w:autoSpaceDE w:val="0"/>
        <w:autoSpaceDN w:val="0"/>
        <w:adjustRightInd w:val="0"/>
        <w:snapToGrid w:val="0"/>
        <w:spacing w:before="101" w:line="360" w:lineRule="auto"/>
        <w:ind w:left="418"/>
        <w:textAlignment w:val="baseline"/>
        <w:rPr>
          <w:rFonts w:ascii="宋体" w:hAnsi="宋体" w:cs="宋体"/>
          <w:sz w:val="24"/>
        </w:rPr>
      </w:pPr>
      <w:r>
        <w:rPr>
          <w:rFonts w:hint="eastAsia" w:ascii="宋体" w:hAnsi="宋体" w:cs="宋体"/>
          <w:sz w:val="24"/>
        </w:rPr>
        <w:t>进度付款申请单的份数：</w:t>
      </w:r>
      <w:r>
        <w:rPr>
          <w:rFonts w:hint="eastAsia" w:ascii="宋体" w:hAnsi="宋体" w:cs="宋体"/>
          <w:sz w:val="24"/>
          <w:u w:val="single"/>
        </w:rPr>
        <w:t>一式六份</w:t>
      </w:r>
    </w:p>
    <w:p w14:paraId="3B8FC1E3">
      <w:pPr>
        <w:tabs>
          <w:tab w:val="left" w:pos="567"/>
        </w:tabs>
        <w:wordWrap w:val="0"/>
        <w:autoSpaceDE w:val="0"/>
        <w:autoSpaceDN w:val="0"/>
        <w:adjustRightInd w:val="0"/>
        <w:snapToGrid w:val="0"/>
        <w:spacing w:before="82" w:line="360" w:lineRule="auto"/>
        <w:ind w:left="420"/>
        <w:textAlignment w:val="baseline"/>
        <w:rPr>
          <w:rFonts w:ascii="宋体" w:hAnsi="宋体" w:cs="宋体"/>
          <w:sz w:val="24"/>
        </w:rPr>
      </w:pPr>
      <w:r>
        <w:rPr>
          <w:rFonts w:hint="eastAsia" w:ascii="宋体" w:hAnsi="宋体" w:cs="宋体"/>
          <w:sz w:val="24"/>
        </w:rPr>
        <w:t>承包人报送监理人的进度付款申请单应包括下列内容：</w:t>
      </w:r>
    </w:p>
    <w:p w14:paraId="150E00DA">
      <w:pPr>
        <w:tabs>
          <w:tab w:val="left" w:pos="567"/>
        </w:tabs>
        <w:wordWrap w:val="0"/>
        <w:autoSpaceDE w:val="0"/>
        <w:autoSpaceDN w:val="0"/>
        <w:adjustRightInd w:val="0"/>
        <w:snapToGrid w:val="0"/>
        <w:spacing w:before="82" w:line="360" w:lineRule="auto"/>
        <w:ind w:left="423"/>
        <w:textAlignment w:val="baseline"/>
        <w:rPr>
          <w:rFonts w:ascii="宋体" w:hAnsi="宋体" w:cs="宋体"/>
          <w:sz w:val="24"/>
        </w:rPr>
      </w:pPr>
      <w:r>
        <w:rPr>
          <w:rFonts w:hint="eastAsia" w:ascii="宋体" w:hAnsi="宋体" w:cs="宋体"/>
          <w:sz w:val="24"/>
        </w:rPr>
        <w:t>（7）根据合同应增加和（或）扣减的其他内容金额：</w:t>
      </w:r>
    </w:p>
    <w:p w14:paraId="55436770">
      <w:pPr>
        <w:tabs>
          <w:tab w:val="left" w:pos="567"/>
        </w:tabs>
        <w:wordWrap w:val="0"/>
        <w:autoSpaceDE w:val="0"/>
        <w:autoSpaceDN w:val="0"/>
        <w:adjustRightInd w:val="0"/>
        <w:snapToGrid w:val="0"/>
        <w:spacing w:before="110" w:line="360" w:lineRule="auto"/>
        <w:ind w:left="19" w:firstLine="734"/>
        <w:textAlignment w:val="baseline"/>
        <w:rPr>
          <w:rFonts w:ascii="宋体" w:hAnsi="宋体" w:cs="宋体"/>
          <w:sz w:val="24"/>
        </w:rPr>
      </w:pPr>
      <w:r>
        <w:rPr>
          <w:rFonts w:hint="eastAsia" w:ascii="宋体" w:hAnsi="宋体" w:cs="宋体"/>
          <w:sz w:val="24"/>
          <w:u w:val="single"/>
        </w:rPr>
        <w:t>说明承包人认为自己在该付款周期内有权得到的款项 ， 同时提交包括进度款报告在内的任何必要的计算书、清单或其他证明文件 。</w:t>
      </w:r>
    </w:p>
    <w:p w14:paraId="15E40F07">
      <w:pPr>
        <w:tabs>
          <w:tab w:val="left" w:pos="567"/>
        </w:tabs>
        <w:wordWrap w:val="0"/>
        <w:autoSpaceDE w:val="0"/>
        <w:autoSpaceDN w:val="0"/>
        <w:adjustRightInd w:val="0"/>
        <w:snapToGrid w:val="0"/>
        <w:spacing w:before="1" w:line="360" w:lineRule="auto"/>
        <w:ind w:left="423"/>
        <w:textAlignment w:val="baseline"/>
        <w:rPr>
          <w:rFonts w:ascii="宋体" w:hAnsi="宋体" w:cs="宋体"/>
          <w:sz w:val="24"/>
        </w:rPr>
      </w:pPr>
      <w:r>
        <w:rPr>
          <w:rFonts w:hint="eastAsia" w:ascii="宋体" w:hAnsi="宋体" w:cs="宋体"/>
          <w:sz w:val="24"/>
        </w:rPr>
        <w:t>（8）本期应付进度款：</w:t>
      </w:r>
    </w:p>
    <w:p w14:paraId="69214320">
      <w:pPr>
        <w:tabs>
          <w:tab w:val="left" w:pos="567"/>
        </w:tabs>
        <w:wordWrap w:val="0"/>
        <w:autoSpaceDE w:val="0"/>
        <w:autoSpaceDN w:val="0"/>
        <w:adjustRightInd w:val="0"/>
        <w:snapToGrid w:val="0"/>
        <w:spacing w:before="110" w:line="360" w:lineRule="auto"/>
        <w:ind w:left="525"/>
        <w:textAlignment w:val="baseline"/>
        <w:rPr>
          <w:rFonts w:ascii="宋体" w:hAnsi="宋体" w:cs="宋体"/>
          <w:sz w:val="24"/>
        </w:rPr>
      </w:pPr>
      <w:r>
        <w:rPr>
          <w:rFonts w:hint="eastAsia" w:ascii="宋体" w:hAnsi="宋体" w:cs="宋体"/>
          <w:sz w:val="24"/>
          <w:u w:val="single"/>
        </w:rPr>
        <w:t>/</w:t>
      </w:r>
    </w:p>
    <w:p w14:paraId="3C191CAF">
      <w:pPr>
        <w:tabs>
          <w:tab w:val="left" w:pos="567"/>
        </w:tabs>
        <w:wordWrap w:val="0"/>
        <w:autoSpaceDE w:val="0"/>
        <w:autoSpaceDN w:val="0"/>
        <w:adjustRightInd w:val="0"/>
        <w:snapToGrid w:val="0"/>
        <w:spacing w:before="81" w:line="360" w:lineRule="auto"/>
        <w:ind w:left="435"/>
        <w:textAlignment w:val="baseline"/>
        <w:rPr>
          <w:rFonts w:ascii="宋体" w:hAnsi="宋体" w:cs="宋体"/>
          <w:sz w:val="24"/>
        </w:rPr>
      </w:pPr>
      <w:r>
        <w:rPr>
          <w:rFonts w:hint="eastAsia" w:ascii="宋体" w:hAnsi="宋体" w:cs="宋体"/>
          <w:sz w:val="24"/>
        </w:rPr>
        <w:t>17.3.3   进度付款证书和支付时间</w:t>
      </w:r>
    </w:p>
    <w:p w14:paraId="2A6E3B4B">
      <w:pPr>
        <w:tabs>
          <w:tab w:val="left" w:pos="567"/>
        </w:tabs>
        <w:wordWrap w:val="0"/>
        <w:autoSpaceDE w:val="0"/>
        <w:autoSpaceDN w:val="0"/>
        <w:adjustRightInd w:val="0"/>
        <w:snapToGrid w:val="0"/>
        <w:spacing w:before="100" w:line="360" w:lineRule="auto"/>
        <w:ind w:left="552" w:right="666" w:hanging="129"/>
        <w:textAlignment w:val="baseline"/>
        <w:rPr>
          <w:rFonts w:ascii="宋体" w:hAnsi="宋体" w:cs="宋体"/>
          <w:sz w:val="24"/>
        </w:rPr>
      </w:pPr>
      <w:r>
        <w:rPr>
          <w:rFonts w:hint="eastAsia" w:ascii="宋体" w:hAnsi="宋体" w:cs="宋体"/>
          <w:sz w:val="24"/>
        </w:rPr>
        <w:t>（2）逾期付款违约金的计算标准：</w:t>
      </w:r>
      <w:r>
        <w:rPr>
          <w:rFonts w:hint="eastAsia" w:ascii="宋体" w:hAnsi="宋体" w:cs="宋体"/>
          <w:sz w:val="24"/>
          <w:u w:val="single"/>
        </w:rPr>
        <w:t>按照中国人民银行发布的同期同类贷款利率计算 。</w:t>
      </w:r>
      <w:r>
        <w:rPr>
          <w:rFonts w:hint="eastAsia" w:ascii="宋体" w:hAnsi="宋体" w:cs="宋体"/>
          <w:sz w:val="24"/>
        </w:rPr>
        <w:t>逾期付款违约金的计算方法：</w:t>
      </w:r>
    </w:p>
    <w:p w14:paraId="61E57E4A">
      <w:pPr>
        <w:tabs>
          <w:tab w:val="left" w:pos="567"/>
        </w:tabs>
        <w:wordWrap w:val="0"/>
        <w:autoSpaceDE w:val="0"/>
        <w:autoSpaceDN w:val="0"/>
        <w:adjustRightInd w:val="0"/>
        <w:snapToGrid w:val="0"/>
        <w:spacing w:before="102" w:line="360" w:lineRule="auto"/>
        <w:ind w:left="659"/>
        <w:textAlignment w:val="baseline"/>
        <w:rPr>
          <w:rFonts w:ascii="宋体" w:hAnsi="宋体" w:cs="宋体"/>
          <w:sz w:val="24"/>
        </w:rPr>
      </w:pPr>
      <w:r>
        <w:rPr>
          <w:rFonts w:hint="eastAsia" w:ascii="宋体" w:hAnsi="宋体" w:cs="宋体"/>
          <w:sz w:val="24"/>
          <w:u w:val="single"/>
        </w:rPr>
        <w:t>逾期付款项总额*中国人民银行发布的同期同类贷款利率*逾期付款时间。</w:t>
      </w:r>
    </w:p>
    <w:p w14:paraId="3C2AD91D">
      <w:pPr>
        <w:tabs>
          <w:tab w:val="left" w:pos="567"/>
        </w:tabs>
        <w:wordWrap w:val="0"/>
        <w:autoSpaceDE w:val="0"/>
        <w:autoSpaceDN w:val="0"/>
        <w:adjustRightInd w:val="0"/>
        <w:snapToGrid w:val="0"/>
        <w:spacing w:before="86" w:line="360" w:lineRule="auto"/>
        <w:ind w:left="423"/>
        <w:textAlignment w:val="baseline"/>
        <w:rPr>
          <w:rFonts w:ascii="宋体" w:hAnsi="宋体" w:cs="宋体"/>
          <w:sz w:val="24"/>
        </w:rPr>
      </w:pPr>
      <w:r>
        <w:rPr>
          <w:rFonts w:hint="eastAsia" w:ascii="宋体" w:hAnsi="宋体" w:cs="宋体"/>
          <w:sz w:val="24"/>
        </w:rPr>
        <w:t>（4）进度付款涉及政府性资金的支付方法：</w:t>
      </w:r>
    </w:p>
    <w:p w14:paraId="52D80D84">
      <w:pPr>
        <w:tabs>
          <w:tab w:val="left" w:pos="567"/>
        </w:tabs>
        <w:wordWrap w:val="0"/>
        <w:autoSpaceDE w:val="0"/>
        <w:autoSpaceDN w:val="0"/>
        <w:adjustRightInd w:val="0"/>
        <w:snapToGrid w:val="0"/>
        <w:spacing w:before="108" w:line="360" w:lineRule="auto"/>
        <w:ind w:left="2" w:firstLine="750"/>
        <w:textAlignment w:val="baseline"/>
        <w:rPr>
          <w:rFonts w:ascii="宋体" w:hAnsi="宋体" w:cs="宋体"/>
          <w:sz w:val="24"/>
          <w:u w:val="single"/>
        </w:rPr>
      </w:pPr>
      <w:r>
        <w:rPr>
          <w:rFonts w:hint="eastAsia" w:ascii="宋体" w:hAnsi="宋体" w:cs="宋体"/>
          <w:sz w:val="24"/>
          <w:u w:val="single"/>
        </w:rPr>
        <w:t>本项目按照每月申报一次进度款,每次支付至当期已完成工程价款的80%</w:t>
      </w:r>
      <w:r>
        <w:rPr>
          <w:rFonts w:hint="eastAsia" w:ascii="宋体" w:hAnsi="宋体"/>
          <w:sz w:val="24"/>
        </w:rPr>
        <w:t>（含预付款）</w:t>
      </w:r>
      <w:r>
        <w:rPr>
          <w:rFonts w:hint="eastAsia" w:ascii="宋体" w:hAnsi="宋体" w:cs="宋体"/>
          <w:sz w:val="24"/>
          <w:u w:val="single"/>
        </w:rPr>
        <w:t>支付工程进度款,竣工验收合格后支付至已完成工程价款的85% 。结算完成并完成城建档案馆移交工作,待审计定案后支付至审定金额的100%。</w:t>
      </w:r>
    </w:p>
    <w:p w14:paraId="458B74F1">
      <w:pPr>
        <w:tabs>
          <w:tab w:val="left" w:pos="567"/>
        </w:tabs>
        <w:wordWrap w:val="0"/>
        <w:autoSpaceDE w:val="0"/>
        <w:autoSpaceDN w:val="0"/>
        <w:adjustRightInd w:val="0"/>
        <w:snapToGrid w:val="0"/>
        <w:spacing w:before="108" w:line="360" w:lineRule="auto"/>
        <w:ind w:left="2" w:firstLine="750"/>
        <w:textAlignment w:val="baseline"/>
        <w:rPr>
          <w:rFonts w:ascii="宋体" w:hAnsi="宋体" w:cs="宋体"/>
          <w:sz w:val="24"/>
          <w:u w:val="single"/>
        </w:rPr>
      </w:pPr>
      <w:r>
        <w:rPr>
          <w:rFonts w:hint="eastAsia" w:ascii="宋体" w:hAnsi="宋体" w:cs="宋体"/>
          <w:sz w:val="24"/>
          <w:u w:val="single"/>
        </w:rPr>
        <w:t>若发包人因财政国库支付受限、财政资金拨付流程等客观原因无法按期支付的，支付期限顺延。</w:t>
      </w:r>
    </w:p>
    <w:p w14:paraId="12122249">
      <w:pPr>
        <w:tabs>
          <w:tab w:val="left" w:pos="567"/>
        </w:tabs>
        <w:wordWrap w:val="0"/>
        <w:autoSpaceDE w:val="0"/>
        <w:autoSpaceDN w:val="0"/>
        <w:adjustRightInd w:val="0"/>
        <w:snapToGrid w:val="0"/>
        <w:spacing w:before="1" w:line="360" w:lineRule="auto"/>
        <w:ind w:left="42"/>
        <w:textAlignment w:val="baseline"/>
        <w:rPr>
          <w:rFonts w:ascii="宋体" w:hAnsi="宋体" w:cs="宋体"/>
          <w:sz w:val="24"/>
        </w:rPr>
      </w:pPr>
      <w:r>
        <w:rPr>
          <w:rFonts w:hint="eastAsia" w:ascii="宋体" w:hAnsi="宋体" w:cs="宋体"/>
          <w:sz w:val="24"/>
        </w:rPr>
        <w:t>17.4   质量保证金</w:t>
      </w:r>
    </w:p>
    <w:p w14:paraId="5CBA111A">
      <w:pPr>
        <w:tabs>
          <w:tab w:val="left" w:pos="567"/>
        </w:tabs>
        <w:wordWrap w:val="0"/>
        <w:autoSpaceDE w:val="0"/>
        <w:autoSpaceDN w:val="0"/>
        <w:adjustRightInd w:val="0"/>
        <w:snapToGrid w:val="0"/>
        <w:spacing w:before="90" w:line="360" w:lineRule="auto"/>
        <w:ind w:left="435"/>
        <w:textAlignment w:val="baseline"/>
        <w:rPr>
          <w:rFonts w:ascii="宋体" w:hAnsi="宋体" w:cs="宋体"/>
          <w:sz w:val="24"/>
        </w:rPr>
      </w:pPr>
      <w:r>
        <w:rPr>
          <w:rFonts w:hint="eastAsia" w:ascii="宋体" w:hAnsi="宋体" w:cs="宋体"/>
          <w:sz w:val="24"/>
        </w:rPr>
        <w:t>17.4.1质量保证金处理</w:t>
      </w:r>
    </w:p>
    <w:p w14:paraId="692EF054">
      <w:pPr>
        <w:tabs>
          <w:tab w:val="left" w:pos="567"/>
        </w:tabs>
        <w:wordWrap w:val="0"/>
        <w:autoSpaceDE w:val="0"/>
        <w:autoSpaceDN w:val="0"/>
        <w:adjustRightInd w:val="0"/>
        <w:snapToGrid w:val="0"/>
        <w:spacing w:before="104" w:line="360" w:lineRule="auto"/>
        <w:ind w:right="15" w:firstLine="422"/>
        <w:textAlignment w:val="baseline"/>
        <w:rPr>
          <w:rFonts w:ascii="宋体" w:hAnsi="宋体" w:cs="宋体"/>
          <w:sz w:val="24"/>
        </w:rPr>
      </w:pPr>
      <w:r>
        <w:rPr>
          <w:rFonts w:hint="eastAsia" w:ascii="宋体" w:hAnsi="宋体" w:cs="宋体"/>
          <w:sz w:val="24"/>
        </w:rPr>
        <w:t>（3）质量保证金形式：</w:t>
      </w:r>
      <w:r>
        <w:rPr>
          <w:rFonts w:hint="eastAsia" w:ascii="宋体" w:hAnsi="宋体" w:cs="宋体"/>
          <w:sz w:val="24"/>
          <w:u w:val="single"/>
        </w:rPr>
        <w:t>待审计定案后工程竣工结算支付前7日内一次性付清至发包人账户</w:t>
      </w:r>
      <w:r>
        <w:rPr>
          <w:rFonts w:hint="eastAsia" w:ascii="宋体" w:hAnsi="宋体" w:cs="宋体"/>
          <w:sz w:val="24"/>
        </w:rPr>
        <w:t>。</w:t>
      </w:r>
    </w:p>
    <w:p w14:paraId="48C6B735">
      <w:pPr>
        <w:tabs>
          <w:tab w:val="left" w:pos="567"/>
        </w:tabs>
        <w:wordWrap w:val="0"/>
        <w:autoSpaceDE w:val="0"/>
        <w:autoSpaceDN w:val="0"/>
        <w:adjustRightInd w:val="0"/>
        <w:snapToGrid w:val="0"/>
        <w:spacing w:before="120" w:line="360" w:lineRule="auto"/>
        <w:ind w:left="945"/>
        <w:textAlignment w:val="baseline"/>
        <w:rPr>
          <w:rFonts w:ascii="宋体" w:hAnsi="宋体" w:cs="宋体"/>
          <w:sz w:val="24"/>
        </w:rPr>
      </w:pPr>
      <w:r>
        <w:rPr>
          <w:rFonts w:hint="eastAsia" w:ascii="宋体" w:hAnsi="宋体" w:cs="宋体"/>
          <w:sz w:val="24"/>
        </w:rPr>
        <w:t>质量保证金约定比例：</w:t>
      </w:r>
      <w:r>
        <w:rPr>
          <w:rFonts w:hint="eastAsia" w:ascii="宋体" w:hAnsi="宋体" w:cs="宋体"/>
          <w:sz w:val="24"/>
          <w:u w:val="single"/>
        </w:rPr>
        <w:t>竣工结算款3%</w:t>
      </w:r>
    </w:p>
    <w:p w14:paraId="0A6F4D4A">
      <w:pPr>
        <w:tabs>
          <w:tab w:val="left" w:pos="567"/>
        </w:tabs>
        <w:wordWrap w:val="0"/>
        <w:autoSpaceDE w:val="0"/>
        <w:autoSpaceDN w:val="0"/>
        <w:adjustRightInd w:val="0"/>
        <w:snapToGrid w:val="0"/>
        <w:spacing w:before="103" w:line="360" w:lineRule="auto"/>
        <w:ind w:left="18"/>
        <w:textAlignment w:val="baseline"/>
        <w:outlineLvl w:val="2"/>
        <w:rPr>
          <w:rFonts w:ascii="宋体" w:hAnsi="宋体" w:cs="宋体"/>
          <w:sz w:val="24"/>
        </w:rPr>
      </w:pPr>
      <w:r>
        <w:rPr>
          <w:rFonts w:hint="eastAsia" w:ascii="宋体" w:hAnsi="宋体" w:cs="宋体"/>
          <w:sz w:val="24"/>
        </w:rPr>
        <w:t>17.5   竣工结算</w:t>
      </w:r>
    </w:p>
    <w:p w14:paraId="6AF4CBF9">
      <w:pPr>
        <w:tabs>
          <w:tab w:val="left" w:pos="567"/>
        </w:tabs>
        <w:wordWrap w:val="0"/>
        <w:autoSpaceDE w:val="0"/>
        <w:autoSpaceDN w:val="0"/>
        <w:adjustRightInd w:val="0"/>
        <w:snapToGrid w:val="0"/>
        <w:spacing w:before="90" w:line="360" w:lineRule="auto"/>
        <w:ind w:left="435"/>
        <w:textAlignment w:val="baseline"/>
        <w:rPr>
          <w:rFonts w:ascii="宋体" w:hAnsi="宋体" w:cs="宋体"/>
          <w:sz w:val="24"/>
        </w:rPr>
      </w:pPr>
      <w:r>
        <w:rPr>
          <w:rFonts w:hint="eastAsia" w:ascii="宋体" w:hAnsi="宋体" w:cs="宋体"/>
          <w:sz w:val="24"/>
        </w:rPr>
        <w:t>17.5.1 过程结算</w:t>
      </w:r>
    </w:p>
    <w:p w14:paraId="4C420339">
      <w:pPr>
        <w:tabs>
          <w:tab w:val="left" w:pos="567"/>
        </w:tabs>
        <w:wordWrap w:val="0"/>
        <w:autoSpaceDE w:val="0"/>
        <w:autoSpaceDN w:val="0"/>
        <w:adjustRightInd w:val="0"/>
        <w:snapToGrid w:val="0"/>
        <w:spacing w:before="102" w:line="360" w:lineRule="auto"/>
        <w:ind w:left="420"/>
        <w:textAlignment w:val="baseline"/>
        <w:rPr>
          <w:rFonts w:ascii="宋体" w:hAnsi="宋体" w:cs="宋体"/>
          <w:sz w:val="24"/>
        </w:rPr>
      </w:pPr>
      <w:r>
        <w:rPr>
          <w:rFonts w:hint="eastAsia" w:ascii="宋体" w:hAnsi="宋体" w:cs="宋体"/>
          <w:sz w:val="24"/>
        </w:rPr>
        <w:t>本工程</w:t>
      </w:r>
      <w:r>
        <w:rPr>
          <w:rFonts w:hint="eastAsia" w:ascii="宋体" w:hAnsi="宋体" w:cs="宋体"/>
          <w:sz w:val="24"/>
          <w:u w:val="single"/>
        </w:rPr>
        <w:t>不进行</w:t>
      </w:r>
      <w:r>
        <w:rPr>
          <w:rFonts w:hint="eastAsia" w:ascii="宋体" w:hAnsi="宋体" w:cs="宋体"/>
          <w:sz w:val="24"/>
        </w:rPr>
        <w:t>过程结算。</w:t>
      </w:r>
    </w:p>
    <w:p w14:paraId="1B826D9D">
      <w:pPr>
        <w:tabs>
          <w:tab w:val="left" w:pos="567"/>
        </w:tabs>
        <w:wordWrap w:val="0"/>
        <w:autoSpaceDE w:val="0"/>
        <w:autoSpaceDN w:val="0"/>
        <w:adjustRightInd w:val="0"/>
        <w:snapToGrid w:val="0"/>
        <w:spacing w:before="103" w:line="360" w:lineRule="auto"/>
        <w:ind w:left="420"/>
        <w:textAlignment w:val="baseline"/>
        <w:rPr>
          <w:rFonts w:ascii="宋体" w:hAnsi="宋体" w:cs="宋体"/>
          <w:sz w:val="24"/>
        </w:rPr>
      </w:pPr>
      <w:r>
        <w:rPr>
          <w:rFonts w:hint="eastAsia" w:ascii="宋体" w:hAnsi="宋体" w:cs="宋体"/>
          <w:sz w:val="24"/>
        </w:rPr>
        <w:t>过程结算的相关要求：</w:t>
      </w:r>
      <w:r>
        <w:rPr>
          <w:rFonts w:hint="eastAsia" w:ascii="宋体" w:hAnsi="宋体" w:cs="宋体"/>
          <w:sz w:val="24"/>
          <w:u w:val="single"/>
        </w:rPr>
        <w:t>/</w:t>
      </w:r>
    </w:p>
    <w:p w14:paraId="75B3D395">
      <w:pPr>
        <w:tabs>
          <w:tab w:val="left" w:pos="567"/>
        </w:tabs>
        <w:wordWrap w:val="0"/>
        <w:autoSpaceDE w:val="0"/>
        <w:autoSpaceDN w:val="0"/>
        <w:adjustRightInd w:val="0"/>
        <w:snapToGrid w:val="0"/>
        <w:spacing w:before="81" w:line="360" w:lineRule="auto"/>
        <w:ind w:left="435"/>
        <w:textAlignment w:val="baseline"/>
        <w:rPr>
          <w:rFonts w:ascii="宋体" w:hAnsi="宋体" w:cs="宋体"/>
          <w:sz w:val="24"/>
        </w:rPr>
      </w:pPr>
      <w:r>
        <w:rPr>
          <w:rFonts w:hint="eastAsia" w:ascii="宋体" w:hAnsi="宋体" w:cs="宋体"/>
          <w:sz w:val="24"/>
        </w:rPr>
        <w:t>17.5.2   竣工付款申请单</w:t>
      </w:r>
    </w:p>
    <w:p w14:paraId="0EC8FA23">
      <w:pPr>
        <w:tabs>
          <w:tab w:val="left" w:pos="567"/>
        </w:tabs>
        <w:wordWrap w:val="0"/>
        <w:autoSpaceDE w:val="0"/>
        <w:autoSpaceDN w:val="0"/>
        <w:adjustRightInd w:val="0"/>
        <w:snapToGrid w:val="0"/>
        <w:spacing w:before="102" w:line="360" w:lineRule="auto"/>
        <w:ind w:left="423"/>
        <w:textAlignment w:val="baseline"/>
        <w:rPr>
          <w:rFonts w:ascii="宋体" w:hAnsi="宋体" w:cs="宋体"/>
          <w:sz w:val="24"/>
        </w:rPr>
      </w:pPr>
      <w:r>
        <w:rPr>
          <w:rFonts w:hint="eastAsia" w:ascii="宋体" w:hAnsi="宋体" w:cs="宋体"/>
          <w:sz w:val="24"/>
        </w:rPr>
        <w:t>（1）承包人提交竣工付款申请单的份数：</w:t>
      </w:r>
      <w:r>
        <w:rPr>
          <w:rFonts w:hint="eastAsia" w:ascii="宋体" w:hAnsi="宋体" w:cs="宋体"/>
          <w:sz w:val="24"/>
          <w:u w:val="single"/>
        </w:rPr>
        <w:t>一式六份</w:t>
      </w:r>
    </w:p>
    <w:p w14:paraId="4F30BFB2">
      <w:pPr>
        <w:tabs>
          <w:tab w:val="left" w:pos="567"/>
        </w:tabs>
        <w:wordWrap w:val="0"/>
        <w:autoSpaceDE w:val="0"/>
        <w:autoSpaceDN w:val="0"/>
        <w:adjustRightInd w:val="0"/>
        <w:snapToGrid w:val="0"/>
        <w:spacing w:before="106" w:line="360" w:lineRule="auto"/>
        <w:ind w:left="839"/>
        <w:textAlignment w:val="baseline"/>
        <w:rPr>
          <w:rFonts w:ascii="宋体" w:hAnsi="宋体" w:cs="宋体"/>
          <w:sz w:val="24"/>
        </w:rPr>
      </w:pPr>
      <w:r>
        <w:rPr>
          <w:rFonts w:hint="eastAsia" w:ascii="宋体" w:hAnsi="宋体" w:cs="宋体"/>
          <w:sz w:val="24"/>
        </w:rPr>
        <w:t>承包人提交竣工付款申请单的期限：</w:t>
      </w:r>
      <w:bookmarkStart w:id="2584" w:name="OLE_LINK4"/>
      <w:r>
        <w:rPr>
          <w:rFonts w:hint="eastAsia" w:ascii="宋体" w:hAnsi="宋体" w:cs="宋体"/>
          <w:sz w:val="24"/>
          <w:u w:val="single"/>
        </w:rPr>
        <w:t>在工程接收证书颁发后28天内</w:t>
      </w:r>
      <w:bookmarkEnd w:id="2584"/>
    </w:p>
    <w:p w14:paraId="1C36E53C">
      <w:pPr>
        <w:tabs>
          <w:tab w:val="left" w:pos="567"/>
        </w:tabs>
        <w:wordWrap w:val="0"/>
        <w:autoSpaceDE w:val="0"/>
        <w:autoSpaceDN w:val="0"/>
        <w:adjustRightInd w:val="0"/>
        <w:snapToGrid w:val="0"/>
        <w:spacing w:before="103" w:line="360" w:lineRule="auto"/>
        <w:ind w:left="1" w:right="195" w:firstLine="421"/>
        <w:textAlignment w:val="baseline"/>
        <w:rPr>
          <w:rFonts w:ascii="宋体" w:hAnsi="宋体" w:cs="宋体"/>
          <w:sz w:val="24"/>
        </w:rPr>
      </w:pPr>
      <w:r>
        <w:rPr>
          <w:rFonts w:hint="eastAsia" w:ascii="宋体" w:hAnsi="宋体" w:cs="宋体"/>
          <w:sz w:val="24"/>
        </w:rPr>
        <w:t>（2）竣工付款申请单的其他内容：</w:t>
      </w:r>
      <w:r>
        <w:rPr>
          <w:rFonts w:hint="eastAsia" w:ascii="宋体" w:hAnsi="宋体" w:cs="宋体"/>
          <w:sz w:val="24"/>
          <w:u w:val="single"/>
        </w:rPr>
        <w:t>竣工结算合同总价、已支付的工程价款、应扣回的预付款、应扣留的质量保证金、应支付的竣工付款金额等</w:t>
      </w:r>
    </w:p>
    <w:p w14:paraId="0104F2E9">
      <w:pPr>
        <w:tabs>
          <w:tab w:val="left" w:pos="567"/>
        </w:tabs>
        <w:wordWrap w:val="0"/>
        <w:autoSpaceDE w:val="0"/>
        <w:autoSpaceDN w:val="0"/>
        <w:adjustRightInd w:val="0"/>
        <w:snapToGrid w:val="0"/>
        <w:spacing w:before="295" w:line="360" w:lineRule="auto"/>
        <w:ind w:left="18"/>
        <w:textAlignment w:val="baseline"/>
        <w:outlineLvl w:val="2"/>
        <w:rPr>
          <w:rFonts w:ascii="宋体" w:hAnsi="宋体" w:cs="宋体"/>
          <w:sz w:val="24"/>
        </w:rPr>
      </w:pPr>
      <w:r>
        <w:rPr>
          <w:rFonts w:hint="eastAsia" w:ascii="宋体" w:hAnsi="宋体" w:cs="宋体"/>
          <w:sz w:val="24"/>
        </w:rPr>
        <w:t>17.6   最终结清</w:t>
      </w:r>
    </w:p>
    <w:p w14:paraId="35E78C64">
      <w:pPr>
        <w:wordWrap w:val="0"/>
        <w:autoSpaceDE w:val="0"/>
        <w:autoSpaceDN w:val="0"/>
        <w:adjustRightInd w:val="0"/>
        <w:snapToGrid w:val="0"/>
        <w:spacing w:line="360" w:lineRule="auto"/>
        <w:textAlignment w:val="baseline"/>
        <w:rPr>
          <w:rFonts w:ascii="宋体" w:hAnsi="宋体" w:cs="宋体"/>
        </w:rPr>
      </w:pPr>
    </w:p>
    <w:p w14:paraId="0F01B791">
      <w:pPr>
        <w:tabs>
          <w:tab w:val="left" w:pos="567"/>
        </w:tabs>
        <w:wordWrap w:val="0"/>
        <w:autoSpaceDE w:val="0"/>
        <w:autoSpaceDN w:val="0"/>
        <w:adjustRightInd w:val="0"/>
        <w:snapToGrid w:val="0"/>
        <w:spacing w:before="90" w:line="360" w:lineRule="auto"/>
        <w:ind w:left="435"/>
        <w:textAlignment w:val="baseline"/>
        <w:rPr>
          <w:rFonts w:ascii="宋体" w:hAnsi="宋体" w:cs="宋体"/>
          <w:sz w:val="24"/>
        </w:rPr>
      </w:pPr>
      <w:r>
        <w:rPr>
          <w:rFonts w:hint="eastAsia" w:ascii="宋体" w:hAnsi="宋体" w:cs="宋体"/>
          <w:sz w:val="24"/>
        </w:rPr>
        <w:t>17.6.1最终结清申请单</w:t>
      </w:r>
    </w:p>
    <w:p w14:paraId="4FEBEF72">
      <w:pPr>
        <w:tabs>
          <w:tab w:val="left" w:pos="567"/>
        </w:tabs>
        <w:wordWrap w:val="0"/>
        <w:autoSpaceDE w:val="0"/>
        <w:autoSpaceDN w:val="0"/>
        <w:adjustRightInd w:val="0"/>
        <w:snapToGrid w:val="0"/>
        <w:spacing w:before="101" w:line="360" w:lineRule="auto"/>
        <w:ind w:left="423"/>
        <w:textAlignment w:val="baseline"/>
        <w:rPr>
          <w:rFonts w:ascii="宋体" w:hAnsi="宋体" w:cs="宋体"/>
          <w:sz w:val="24"/>
        </w:rPr>
      </w:pPr>
      <w:r>
        <w:rPr>
          <w:rFonts w:hint="eastAsia" w:ascii="宋体" w:hAnsi="宋体" w:cs="宋体"/>
          <w:sz w:val="24"/>
        </w:rPr>
        <w:t>（1）承包人提交最终结清申请单的份数：</w:t>
      </w:r>
      <w:r>
        <w:rPr>
          <w:rFonts w:hint="eastAsia" w:ascii="宋体" w:hAnsi="宋体" w:cs="宋体"/>
          <w:sz w:val="24"/>
          <w:u w:val="single"/>
        </w:rPr>
        <w:t>一式六份</w:t>
      </w:r>
    </w:p>
    <w:p w14:paraId="294DC3FA">
      <w:pPr>
        <w:tabs>
          <w:tab w:val="left" w:pos="567"/>
        </w:tabs>
        <w:wordWrap w:val="0"/>
        <w:autoSpaceDE w:val="0"/>
        <w:autoSpaceDN w:val="0"/>
        <w:adjustRightInd w:val="0"/>
        <w:snapToGrid w:val="0"/>
        <w:spacing w:before="107" w:line="360" w:lineRule="auto"/>
        <w:ind w:left="944"/>
        <w:textAlignment w:val="baseline"/>
        <w:rPr>
          <w:rFonts w:ascii="宋体" w:hAnsi="宋体" w:cs="宋体"/>
          <w:sz w:val="24"/>
        </w:rPr>
      </w:pPr>
      <w:r>
        <w:rPr>
          <w:rFonts w:hint="eastAsia" w:ascii="宋体" w:hAnsi="宋体" w:cs="宋体"/>
          <w:sz w:val="24"/>
        </w:rPr>
        <w:t>承包人提交最终结清申请单的期限：</w:t>
      </w:r>
      <w:r>
        <w:rPr>
          <w:rFonts w:hint="eastAsia" w:ascii="宋体" w:hAnsi="宋体" w:cs="宋体"/>
          <w:sz w:val="24"/>
          <w:u w:val="single"/>
        </w:rPr>
        <w:t>在缺陷责任期终止证书颁发后28天内</w:t>
      </w:r>
    </w:p>
    <w:p w14:paraId="27642650">
      <w:pPr>
        <w:tabs>
          <w:tab w:val="left" w:pos="567"/>
        </w:tabs>
        <w:wordWrap w:val="0"/>
        <w:autoSpaceDE w:val="0"/>
        <w:autoSpaceDN w:val="0"/>
        <w:adjustRightInd w:val="0"/>
        <w:snapToGrid w:val="0"/>
        <w:spacing w:before="103" w:line="360" w:lineRule="auto"/>
        <w:ind w:left="948"/>
        <w:textAlignment w:val="baseline"/>
        <w:rPr>
          <w:rFonts w:ascii="宋体" w:hAnsi="宋体" w:cs="宋体"/>
          <w:sz w:val="24"/>
        </w:rPr>
      </w:pPr>
      <w:r>
        <w:rPr>
          <w:rFonts w:hint="eastAsia" w:ascii="宋体" w:hAnsi="宋体" w:cs="宋体"/>
          <w:sz w:val="24"/>
        </w:rPr>
        <w:t>发包人向承包人</w:t>
      </w:r>
      <w:r>
        <w:rPr>
          <w:rFonts w:hint="eastAsia" w:ascii="宋体" w:hAnsi="宋体" w:cs="宋体"/>
          <w:sz w:val="24"/>
          <w:u w:val="single"/>
        </w:rPr>
        <w:t>不支付</w:t>
      </w:r>
      <w:r>
        <w:rPr>
          <w:rFonts w:hint="eastAsia" w:ascii="宋体" w:hAnsi="宋体" w:cs="宋体"/>
          <w:sz w:val="24"/>
        </w:rPr>
        <w:t>质量保证金利息。</w:t>
      </w:r>
    </w:p>
    <w:p w14:paraId="481E9265">
      <w:pPr>
        <w:tabs>
          <w:tab w:val="left" w:pos="567"/>
        </w:tabs>
        <w:wordWrap w:val="0"/>
        <w:autoSpaceDE w:val="0"/>
        <w:autoSpaceDN w:val="0"/>
        <w:adjustRightInd w:val="0"/>
        <w:snapToGrid w:val="0"/>
        <w:spacing w:before="83" w:line="360" w:lineRule="auto"/>
        <w:ind w:left="948"/>
        <w:textAlignment w:val="baseline"/>
        <w:rPr>
          <w:rFonts w:ascii="宋体" w:hAnsi="宋体" w:cs="宋体"/>
          <w:sz w:val="24"/>
        </w:rPr>
      </w:pPr>
      <w:r>
        <w:rPr>
          <w:rFonts w:hint="eastAsia" w:ascii="宋体" w:hAnsi="宋体" w:cs="宋体"/>
          <w:sz w:val="24"/>
        </w:rPr>
        <w:t>发包人向承包人支付质量保证金利息的 ，利息计算方法：</w:t>
      </w:r>
    </w:p>
    <w:p w14:paraId="57E30388">
      <w:pPr>
        <w:tabs>
          <w:tab w:val="left" w:pos="567"/>
        </w:tabs>
        <w:wordWrap w:val="0"/>
        <w:autoSpaceDE w:val="0"/>
        <w:autoSpaceDN w:val="0"/>
        <w:adjustRightInd w:val="0"/>
        <w:snapToGrid w:val="0"/>
        <w:spacing w:before="103" w:line="360" w:lineRule="auto"/>
        <w:ind w:left="1050"/>
        <w:textAlignment w:val="baseline"/>
        <w:rPr>
          <w:rFonts w:ascii="宋体" w:hAnsi="宋体" w:cs="宋体"/>
          <w:sz w:val="24"/>
        </w:rPr>
      </w:pPr>
      <w:r>
        <w:rPr>
          <w:rFonts w:hint="eastAsia" w:ascii="宋体" w:hAnsi="宋体" w:cs="宋体"/>
          <w:sz w:val="24"/>
          <w:u w:val="single"/>
        </w:rPr>
        <w:t>/</w:t>
      </w:r>
    </w:p>
    <w:p w14:paraId="3B0B6640">
      <w:pPr>
        <w:wordWrap w:val="0"/>
        <w:autoSpaceDE w:val="0"/>
        <w:autoSpaceDN w:val="0"/>
        <w:adjustRightInd w:val="0"/>
        <w:snapToGrid w:val="0"/>
        <w:spacing w:line="360" w:lineRule="auto"/>
        <w:textAlignment w:val="baseline"/>
        <w:rPr>
          <w:rFonts w:ascii="宋体" w:hAnsi="宋体" w:cs="宋体"/>
        </w:rPr>
      </w:pPr>
    </w:p>
    <w:p w14:paraId="3F5E8A07">
      <w:pPr>
        <w:tabs>
          <w:tab w:val="left" w:pos="567"/>
        </w:tabs>
        <w:wordWrap w:val="0"/>
        <w:autoSpaceDE w:val="0"/>
        <w:autoSpaceDN w:val="0"/>
        <w:adjustRightInd w:val="0"/>
        <w:snapToGrid w:val="0"/>
        <w:spacing w:before="129" w:line="360" w:lineRule="auto"/>
        <w:ind w:left="25"/>
        <w:textAlignment w:val="baseline"/>
        <w:outlineLvl w:val="1"/>
        <w:rPr>
          <w:rFonts w:ascii="宋体" w:hAnsi="宋体" w:cs="宋体"/>
          <w:sz w:val="30"/>
          <w:szCs w:val="30"/>
        </w:rPr>
      </w:pPr>
      <w:r>
        <w:rPr>
          <w:rFonts w:hint="eastAsia" w:ascii="宋体" w:hAnsi="宋体" w:cs="宋体"/>
          <w:sz w:val="30"/>
          <w:szCs w:val="30"/>
        </w:rPr>
        <w:t>18.竣工验收</w:t>
      </w:r>
    </w:p>
    <w:p w14:paraId="28E21426">
      <w:pPr>
        <w:wordWrap w:val="0"/>
        <w:autoSpaceDE w:val="0"/>
        <w:autoSpaceDN w:val="0"/>
        <w:adjustRightInd w:val="0"/>
        <w:snapToGrid w:val="0"/>
        <w:spacing w:line="360" w:lineRule="auto"/>
        <w:textAlignment w:val="baseline"/>
        <w:rPr>
          <w:rFonts w:ascii="宋体" w:hAnsi="宋体" w:cs="宋体"/>
        </w:rPr>
      </w:pPr>
    </w:p>
    <w:p w14:paraId="042BB4F9">
      <w:pPr>
        <w:tabs>
          <w:tab w:val="left" w:pos="567"/>
        </w:tabs>
        <w:wordWrap w:val="0"/>
        <w:autoSpaceDE w:val="0"/>
        <w:autoSpaceDN w:val="0"/>
        <w:adjustRightInd w:val="0"/>
        <w:snapToGrid w:val="0"/>
        <w:spacing w:before="104" w:line="360" w:lineRule="auto"/>
        <w:ind w:left="18"/>
        <w:textAlignment w:val="baseline"/>
        <w:outlineLvl w:val="2"/>
        <w:rPr>
          <w:rFonts w:ascii="宋体" w:hAnsi="宋体" w:cs="宋体"/>
          <w:sz w:val="24"/>
        </w:rPr>
      </w:pPr>
      <w:r>
        <w:rPr>
          <w:rFonts w:hint="eastAsia" w:ascii="宋体" w:hAnsi="宋体" w:cs="宋体"/>
          <w:sz w:val="24"/>
        </w:rPr>
        <w:t>18.2   竣工验收申请报告</w:t>
      </w:r>
    </w:p>
    <w:p w14:paraId="1BCA6CA8">
      <w:pPr>
        <w:tabs>
          <w:tab w:val="left" w:pos="567"/>
        </w:tabs>
        <w:wordWrap w:val="0"/>
        <w:autoSpaceDE w:val="0"/>
        <w:autoSpaceDN w:val="0"/>
        <w:adjustRightInd w:val="0"/>
        <w:snapToGrid w:val="0"/>
        <w:spacing w:before="91" w:line="360" w:lineRule="auto"/>
        <w:ind w:left="423"/>
        <w:textAlignment w:val="baseline"/>
        <w:rPr>
          <w:rFonts w:ascii="宋体" w:hAnsi="宋体" w:cs="宋体"/>
          <w:sz w:val="24"/>
        </w:rPr>
      </w:pPr>
      <w:r>
        <w:rPr>
          <w:rFonts w:hint="eastAsia" w:ascii="宋体" w:hAnsi="宋体" w:cs="宋体"/>
          <w:sz w:val="24"/>
        </w:rPr>
        <w:t>（2）承包人负责整理和提交的竣工验收资料具体内容：</w:t>
      </w:r>
    </w:p>
    <w:p w14:paraId="3FB72559">
      <w:pPr>
        <w:tabs>
          <w:tab w:val="left" w:pos="567"/>
        </w:tabs>
        <w:wordWrap w:val="0"/>
        <w:autoSpaceDE w:val="0"/>
        <w:autoSpaceDN w:val="0"/>
        <w:adjustRightInd w:val="0"/>
        <w:snapToGrid w:val="0"/>
        <w:spacing w:before="111" w:line="360" w:lineRule="auto"/>
        <w:ind w:firstLine="751"/>
        <w:textAlignment w:val="baseline"/>
        <w:rPr>
          <w:rFonts w:ascii="宋体" w:hAnsi="宋体" w:cs="宋体"/>
          <w:sz w:val="24"/>
        </w:rPr>
      </w:pPr>
      <w:r>
        <w:rPr>
          <w:rFonts w:hint="eastAsia" w:ascii="宋体" w:hAnsi="宋体" w:cs="宋体"/>
          <w:sz w:val="24"/>
          <w:u w:val="single"/>
        </w:rPr>
        <w:t>竣工验收前7个工作日内须向发包人提供相关行政主管部门验收备案所用的竣工资料及图纸 ;竣工资料、全套竣工图, 由承包人严格按《建设工程文件归档规范》GB/T50328-</w:t>
      </w:r>
      <w:r>
        <w:rPr>
          <w:rFonts w:hint="eastAsia" w:ascii="宋体" w:hAnsi="宋体" w:cs="宋体"/>
          <w:sz w:val="24"/>
        </w:rPr>
        <w:t xml:space="preserve"> </w:t>
      </w:r>
      <w:r>
        <w:rPr>
          <w:rFonts w:hint="eastAsia" w:ascii="宋体" w:hAnsi="宋体" w:cs="宋体"/>
          <w:sz w:val="24"/>
          <w:u w:val="single"/>
        </w:rPr>
        <w:t>2014(2019年版)、《建筑工程资料管理规程》  DB11/T695-2017要求进行整理,于工程竣工验收合格后1个月内提交监理人,经监理人审核后报至发包人 。承包人负责整理和提交的竣工验收资料应当符合工程所在地建设行政主管部门和(或)城市建设档案管理机构有关施工资料的要求 。</w:t>
      </w:r>
    </w:p>
    <w:p w14:paraId="7020A9A3">
      <w:pPr>
        <w:tabs>
          <w:tab w:val="left" w:pos="567"/>
        </w:tabs>
        <w:wordWrap w:val="0"/>
        <w:autoSpaceDE w:val="0"/>
        <w:autoSpaceDN w:val="0"/>
        <w:adjustRightInd w:val="0"/>
        <w:snapToGrid w:val="0"/>
        <w:spacing w:before="1" w:line="360" w:lineRule="auto"/>
        <w:ind w:left="420"/>
        <w:textAlignment w:val="baseline"/>
        <w:rPr>
          <w:rFonts w:ascii="宋体" w:hAnsi="宋体" w:cs="宋体"/>
          <w:sz w:val="24"/>
        </w:rPr>
      </w:pPr>
      <w:r>
        <w:rPr>
          <w:rFonts w:hint="eastAsia" w:ascii="宋体" w:hAnsi="宋体" w:cs="宋体"/>
          <w:sz w:val="24"/>
        </w:rPr>
        <w:t>竣工验收资料的份数：</w:t>
      </w:r>
      <w:r>
        <w:rPr>
          <w:rFonts w:hint="eastAsia" w:ascii="宋体" w:hAnsi="宋体" w:cs="宋体"/>
          <w:sz w:val="24"/>
          <w:u w:val="single"/>
        </w:rPr>
        <w:t>一式六份</w:t>
      </w:r>
    </w:p>
    <w:p w14:paraId="3018B80B">
      <w:pPr>
        <w:tabs>
          <w:tab w:val="left" w:pos="567"/>
        </w:tabs>
        <w:wordWrap w:val="0"/>
        <w:autoSpaceDE w:val="0"/>
        <w:autoSpaceDN w:val="0"/>
        <w:adjustRightInd w:val="0"/>
        <w:snapToGrid w:val="0"/>
        <w:spacing w:before="100" w:line="360" w:lineRule="auto"/>
        <w:ind w:left="420"/>
        <w:textAlignment w:val="baseline"/>
        <w:rPr>
          <w:rFonts w:ascii="宋体" w:hAnsi="宋体" w:cs="宋体"/>
          <w:sz w:val="24"/>
        </w:rPr>
      </w:pPr>
      <w:r>
        <w:rPr>
          <w:rFonts w:hint="eastAsia" w:ascii="宋体" w:hAnsi="宋体" w:cs="宋体"/>
          <w:sz w:val="24"/>
        </w:rPr>
        <w:t xml:space="preserve">竣工验收资料的费用支付方式： </w:t>
      </w:r>
      <w:r>
        <w:rPr>
          <w:rFonts w:hint="eastAsia" w:ascii="宋体" w:hAnsi="宋体" w:cs="宋体"/>
          <w:sz w:val="24"/>
          <w:u w:val="single"/>
        </w:rPr>
        <w:t>由承包人承担</w:t>
      </w:r>
    </w:p>
    <w:p w14:paraId="3F595224">
      <w:pPr>
        <w:tabs>
          <w:tab w:val="left" w:pos="567"/>
        </w:tabs>
        <w:wordWrap w:val="0"/>
        <w:autoSpaceDE w:val="0"/>
        <w:autoSpaceDN w:val="0"/>
        <w:adjustRightInd w:val="0"/>
        <w:snapToGrid w:val="0"/>
        <w:spacing w:before="103" w:line="360" w:lineRule="auto"/>
        <w:ind w:left="18"/>
        <w:textAlignment w:val="baseline"/>
        <w:rPr>
          <w:rFonts w:ascii="宋体" w:hAnsi="宋体" w:cs="宋体"/>
          <w:sz w:val="24"/>
        </w:rPr>
      </w:pPr>
      <w:r>
        <w:rPr>
          <w:rFonts w:hint="eastAsia" w:ascii="宋体" w:hAnsi="宋体" w:cs="宋体"/>
          <w:sz w:val="24"/>
        </w:rPr>
        <w:t>18.5   施工期运行</w:t>
      </w:r>
    </w:p>
    <w:p w14:paraId="60B1083E">
      <w:pPr>
        <w:tabs>
          <w:tab w:val="left" w:pos="567"/>
        </w:tabs>
        <w:wordWrap w:val="0"/>
        <w:autoSpaceDE w:val="0"/>
        <w:autoSpaceDN w:val="0"/>
        <w:adjustRightInd w:val="0"/>
        <w:snapToGrid w:val="0"/>
        <w:spacing w:before="90" w:line="360" w:lineRule="auto"/>
        <w:ind w:left="435"/>
        <w:textAlignment w:val="baseline"/>
        <w:rPr>
          <w:rFonts w:ascii="宋体" w:hAnsi="宋体" w:cs="宋体"/>
          <w:sz w:val="24"/>
        </w:rPr>
      </w:pPr>
      <w:r>
        <w:rPr>
          <w:rFonts w:hint="eastAsia" w:ascii="宋体" w:hAnsi="宋体" w:cs="宋体"/>
          <w:sz w:val="24"/>
        </w:rPr>
        <w:t>18.5.1   需要施工期运行的单位工程或设备安装工程：</w:t>
      </w:r>
    </w:p>
    <w:p w14:paraId="02961236">
      <w:pPr>
        <w:tabs>
          <w:tab w:val="left" w:pos="567"/>
        </w:tabs>
        <w:wordWrap w:val="0"/>
        <w:autoSpaceDE w:val="0"/>
        <w:autoSpaceDN w:val="0"/>
        <w:adjustRightInd w:val="0"/>
        <w:snapToGrid w:val="0"/>
        <w:spacing w:before="103" w:line="360" w:lineRule="auto"/>
        <w:ind w:left="525"/>
        <w:textAlignment w:val="baseline"/>
        <w:rPr>
          <w:rFonts w:ascii="宋体" w:hAnsi="宋体" w:cs="宋体"/>
          <w:sz w:val="24"/>
        </w:rPr>
      </w:pPr>
      <w:r>
        <w:rPr>
          <w:rFonts w:hint="eastAsia" w:ascii="宋体" w:hAnsi="宋体" w:cs="宋体"/>
          <w:sz w:val="24"/>
          <w:u w:val="single"/>
        </w:rPr>
        <w:t>/</w:t>
      </w:r>
    </w:p>
    <w:p w14:paraId="5245535E">
      <w:pPr>
        <w:tabs>
          <w:tab w:val="left" w:pos="567"/>
        </w:tabs>
        <w:wordWrap w:val="0"/>
        <w:autoSpaceDE w:val="0"/>
        <w:autoSpaceDN w:val="0"/>
        <w:adjustRightInd w:val="0"/>
        <w:snapToGrid w:val="0"/>
        <w:spacing w:before="103" w:line="360" w:lineRule="auto"/>
        <w:ind w:left="18"/>
        <w:textAlignment w:val="baseline"/>
        <w:rPr>
          <w:rFonts w:ascii="宋体" w:hAnsi="宋体" w:cs="宋体"/>
          <w:sz w:val="24"/>
        </w:rPr>
      </w:pPr>
      <w:r>
        <w:rPr>
          <w:rFonts w:hint="eastAsia" w:ascii="宋体" w:hAnsi="宋体" w:cs="宋体"/>
          <w:sz w:val="24"/>
        </w:rPr>
        <w:t>18.8   施工队伍的撤离</w:t>
      </w:r>
    </w:p>
    <w:p w14:paraId="489C2E5E">
      <w:pPr>
        <w:tabs>
          <w:tab w:val="left" w:pos="567"/>
        </w:tabs>
        <w:wordWrap w:val="0"/>
        <w:autoSpaceDE w:val="0"/>
        <w:autoSpaceDN w:val="0"/>
        <w:adjustRightInd w:val="0"/>
        <w:snapToGrid w:val="0"/>
        <w:spacing w:before="90" w:line="360" w:lineRule="auto"/>
        <w:ind w:left="435"/>
        <w:textAlignment w:val="baseline"/>
        <w:rPr>
          <w:rFonts w:ascii="宋体" w:hAnsi="宋体" w:cs="宋体"/>
          <w:sz w:val="24"/>
        </w:rPr>
      </w:pPr>
      <w:r>
        <w:rPr>
          <w:rFonts w:hint="eastAsia" w:ascii="宋体" w:hAnsi="宋体" w:cs="宋体"/>
          <w:sz w:val="24"/>
        </w:rPr>
        <w:t>18.8.3   缺陷责任期满时 ，承包人在施工场地保留的人员和施工设备最终撤离的期限：</w:t>
      </w:r>
    </w:p>
    <w:p w14:paraId="2AABA83D">
      <w:pPr>
        <w:tabs>
          <w:tab w:val="left" w:pos="567"/>
        </w:tabs>
        <w:wordWrap w:val="0"/>
        <w:autoSpaceDE w:val="0"/>
        <w:autoSpaceDN w:val="0"/>
        <w:adjustRightInd w:val="0"/>
        <w:snapToGrid w:val="0"/>
        <w:spacing w:before="104" w:line="360" w:lineRule="auto"/>
        <w:ind w:left="525"/>
        <w:textAlignment w:val="baseline"/>
        <w:rPr>
          <w:rFonts w:ascii="宋体" w:hAnsi="宋体" w:cs="宋体"/>
          <w:sz w:val="24"/>
        </w:rPr>
      </w:pPr>
      <w:r>
        <w:rPr>
          <w:rFonts w:hint="eastAsia" w:ascii="宋体" w:hAnsi="宋体" w:cs="宋体"/>
          <w:sz w:val="24"/>
          <w:u w:val="single"/>
        </w:rPr>
        <w:t>缺陷责任期满28天内 。</w:t>
      </w:r>
    </w:p>
    <w:p w14:paraId="1661E8B5">
      <w:pPr>
        <w:tabs>
          <w:tab w:val="left" w:pos="567"/>
        </w:tabs>
        <w:wordWrap w:val="0"/>
        <w:autoSpaceDE w:val="0"/>
        <w:autoSpaceDN w:val="0"/>
        <w:adjustRightInd w:val="0"/>
        <w:snapToGrid w:val="0"/>
        <w:spacing w:before="103" w:line="360" w:lineRule="auto"/>
        <w:ind w:left="18"/>
        <w:textAlignment w:val="baseline"/>
        <w:outlineLvl w:val="2"/>
        <w:rPr>
          <w:rFonts w:ascii="宋体" w:hAnsi="宋体" w:cs="宋体"/>
          <w:sz w:val="24"/>
        </w:rPr>
      </w:pPr>
      <w:r>
        <w:rPr>
          <w:rFonts w:hint="eastAsia" w:ascii="宋体" w:hAnsi="宋体" w:cs="宋体"/>
          <w:sz w:val="24"/>
        </w:rPr>
        <w:t>18.9   中间验收</w:t>
      </w:r>
    </w:p>
    <w:p w14:paraId="4529123D">
      <w:pPr>
        <w:tabs>
          <w:tab w:val="left" w:pos="567"/>
        </w:tabs>
        <w:wordWrap w:val="0"/>
        <w:autoSpaceDE w:val="0"/>
        <w:autoSpaceDN w:val="0"/>
        <w:adjustRightInd w:val="0"/>
        <w:snapToGrid w:val="0"/>
        <w:spacing w:before="90" w:line="360" w:lineRule="auto"/>
        <w:ind w:left="435"/>
        <w:textAlignment w:val="baseline"/>
        <w:outlineLvl w:val="3"/>
        <w:rPr>
          <w:rFonts w:ascii="宋体" w:hAnsi="宋体" w:cs="宋体"/>
          <w:sz w:val="24"/>
        </w:rPr>
      </w:pPr>
      <w:r>
        <w:rPr>
          <w:rFonts w:hint="eastAsia" w:ascii="宋体" w:hAnsi="宋体" w:cs="宋体"/>
          <w:sz w:val="24"/>
        </w:rPr>
        <w:t>18.9.1   本工程需要进行中间验收的部位：</w:t>
      </w:r>
    </w:p>
    <w:p w14:paraId="53AD87A0">
      <w:pPr>
        <w:tabs>
          <w:tab w:val="left" w:pos="567"/>
        </w:tabs>
        <w:wordWrap w:val="0"/>
        <w:autoSpaceDE w:val="0"/>
        <w:autoSpaceDN w:val="0"/>
        <w:adjustRightInd w:val="0"/>
        <w:snapToGrid w:val="0"/>
        <w:spacing w:before="101" w:line="360" w:lineRule="auto"/>
        <w:ind w:left="540"/>
        <w:textAlignment w:val="baseline"/>
        <w:rPr>
          <w:rFonts w:ascii="宋体" w:hAnsi="宋体" w:cs="宋体"/>
          <w:sz w:val="24"/>
        </w:rPr>
      </w:pPr>
      <w:r>
        <w:rPr>
          <w:rFonts w:hint="eastAsia" w:ascii="宋体" w:hAnsi="宋体" w:cs="宋体"/>
          <w:sz w:val="24"/>
          <w:u w:val="single"/>
        </w:rPr>
        <w:t>隐蔽工程</w:t>
      </w:r>
    </w:p>
    <w:p w14:paraId="4338DA52">
      <w:pPr>
        <w:tabs>
          <w:tab w:val="left" w:pos="567"/>
        </w:tabs>
        <w:wordWrap w:val="0"/>
        <w:autoSpaceDE w:val="0"/>
        <w:autoSpaceDN w:val="0"/>
        <w:adjustRightInd w:val="0"/>
        <w:snapToGrid w:val="0"/>
        <w:spacing w:before="101" w:line="360" w:lineRule="auto"/>
        <w:ind w:left="435"/>
        <w:textAlignment w:val="baseline"/>
        <w:rPr>
          <w:rFonts w:ascii="宋体" w:hAnsi="宋体" w:cs="宋体"/>
          <w:sz w:val="24"/>
        </w:rPr>
      </w:pPr>
      <w:r>
        <w:rPr>
          <w:rFonts w:hint="eastAsia" w:ascii="宋体" w:hAnsi="宋体" w:cs="宋体"/>
          <w:sz w:val="24"/>
        </w:rPr>
        <w:t>18.9.2   验收不合格的 ，承包人在</w:t>
      </w:r>
      <w:r>
        <w:rPr>
          <w:rFonts w:hint="eastAsia" w:ascii="宋体" w:hAnsi="宋体" w:cs="宋体"/>
          <w:sz w:val="24"/>
          <w:u w:val="single"/>
        </w:rPr>
        <w:t>7天</w:t>
      </w:r>
      <w:r>
        <w:rPr>
          <w:rFonts w:hint="eastAsia" w:ascii="宋体" w:hAnsi="宋体" w:cs="宋体"/>
          <w:sz w:val="24"/>
        </w:rPr>
        <w:t>期限内进行修改后重新验收。</w:t>
      </w:r>
    </w:p>
    <w:p w14:paraId="771C436B">
      <w:pPr>
        <w:wordWrap w:val="0"/>
        <w:autoSpaceDE w:val="0"/>
        <w:autoSpaceDN w:val="0"/>
        <w:adjustRightInd w:val="0"/>
        <w:snapToGrid w:val="0"/>
        <w:spacing w:line="360" w:lineRule="auto"/>
        <w:textAlignment w:val="baseline"/>
        <w:rPr>
          <w:rFonts w:ascii="宋体" w:hAnsi="宋体" w:cs="宋体"/>
        </w:rPr>
      </w:pPr>
    </w:p>
    <w:p w14:paraId="12535297">
      <w:pPr>
        <w:tabs>
          <w:tab w:val="left" w:pos="567"/>
        </w:tabs>
        <w:wordWrap w:val="0"/>
        <w:autoSpaceDE w:val="0"/>
        <w:autoSpaceDN w:val="0"/>
        <w:adjustRightInd w:val="0"/>
        <w:snapToGrid w:val="0"/>
        <w:spacing w:before="129" w:line="360" w:lineRule="auto"/>
        <w:ind w:left="25"/>
        <w:textAlignment w:val="baseline"/>
        <w:outlineLvl w:val="1"/>
        <w:rPr>
          <w:rFonts w:ascii="宋体" w:hAnsi="宋体" w:cs="宋体"/>
          <w:sz w:val="30"/>
          <w:szCs w:val="30"/>
        </w:rPr>
      </w:pPr>
      <w:r>
        <w:rPr>
          <w:rFonts w:hint="eastAsia" w:ascii="宋体" w:hAnsi="宋体" w:cs="宋体"/>
          <w:sz w:val="30"/>
          <w:szCs w:val="30"/>
        </w:rPr>
        <w:t>19.缺陷责任与保修责任</w:t>
      </w:r>
    </w:p>
    <w:p w14:paraId="219421EE">
      <w:pPr>
        <w:tabs>
          <w:tab w:val="left" w:pos="567"/>
        </w:tabs>
        <w:wordWrap w:val="0"/>
        <w:autoSpaceDE w:val="0"/>
        <w:autoSpaceDN w:val="0"/>
        <w:adjustRightInd w:val="0"/>
        <w:snapToGrid w:val="0"/>
        <w:spacing w:before="103" w:line="360" w:lineRule="auto"/>
        <w:ind w:left="18"/>
        <w:textAlignment w:val="baseline"/>
        <w:rPr>
          <w:rFonts w:ascii="宋体" w:hAnsi="宋体" w:cs="宋体"/>
        </w:rPr>
      </w:pPr>
      <w:r>
        <w:rPr>
          <w:rFonts w:hint="eastAsia" w:ascii="宋体" w:hAnsi="宋体" w:cs="宋体"/>
          <w:sz w:val="24"/>
        </w:rPr>
        <w:t>19.7   保修责任</w:t>
      </w:r>
    </w:p>
    <w:p w14:paraId="4AE66E58">
      <w:pPr>
        <w:tabs>
          <w:tab w:val="left" w:pos="567"/>
        </w:tabs>
        <w:wordWrap w:val="0"/>
        <w:autoSpaceDE w:val="0"/>
        <w:autoSpaceDN w:val="0"/>
        <w:adjustRightInd w:val="0"/>
        <w:snapToGrid w:val="0"/>
        <w:spacing w:before="104" w:line="360" w:lineRule="auto"/>
        <w:ind w:left="4" w:firstLine="430"/>
        <w:textAlignment w:val="baseline"/>
        <w:rPr>
          <w:rFonts w:ascii="宋体" w:hAnsi="宋体" w:cs="宋体"/>
          <w:sz w:val="24"/>
        </w:rPr>
      </w:pPr>
      <w:r>
        <w:rPr>
          <w:rFonts w:hint="eastAsia" w:ascii="宋体" w:hAnsi="宋体" w:cs="宋体"/>
          <w:sz w:val="24"/>
        </w:rPr>
        <w:t>19.7.1   工程质量保修范围：</w:t>
      </w:r>
      <w:r>
        <w:rPr>
          <w:rFonts w:hint="eastAsia" w:ascii="宋体" w:hAnsi="宋体" w:cs="宋体"/>
          <w:sz w:val="24"/>
          <w:u w:val="single"/>
        </w:rPr>
        <w:t>不低于《建设工程质量管理条例》 、《民用建筑节能条例》第二十三条</w:t>
      </w:r>
    </w:p>
    <w:p w14:paraId="0523F95E">
      <w:pPr>
        <w:tabs>
          <w:tab w:val="left" w:pos="567"/>
        </w:tabs>
        <w:wordWrap w:val="0"/>
        <w:autoSpaceDE w:val="0"/>
        <w:autoSpaceDN w:val="0"/>
        <w:adjustRightInd w:val="0"/>
        <w:snapToGrid w:val="0"/>
        <w:spacing w:before="3" w:line="360" w:lineRule="auto"/>
        <w:ind w:left="2" w:right="120" w:firstLine="419"/>
        <w:textAlignment w:val="baseline"/>
        <w:rPr>
          <w:rFonts w:ascii="宋体" w:hAnsi="宋体" w:cs="宋体"/>
          <w:sz w:val="24"/>
        </w:rPr>
      </w:pPr>
      <w:r>
        <w:rPr>
          <w:rFonts w:hint="eastAsia" w:ascii="宋体" w:hAnsi="宋体" w:cs="宋体"/>
          <w:sz w:val="24"/>
        </w:rPr>
        <w:t>工程质量保修期限：</w:t>
      </w:r>
      <w:r>
        <w:rPr>
          <w:rFonts w:hint="eastAsia" w:ascii="宋体" w:hAnsi="宋体" w:cs="宋体"/>
          <w:sz w:val="24"/>
          <w:u w:val="single"/>
        </w:rPr>
        <w:t>不低于《建设工程质量管理条例》 、《民用建筑节能条例》第二十三条</w:t>
      </w:r>
    </w:p>
    <w:p w14:paraId="502244FE">
      <w:pPr>
        <w:tabs>
          <w:tab w:val="left" w:pos="567"/>
        </w:tabs>
        <w:wordWrap w:val="0"/>
        <w:autoSpaceDE w:val="0"/>
        <w:autoSpaceDN w:val="0"/>
        <w:adjustRightInd w:val="0"/>
        <w:snapToGrid w:val="0"/>
        <w:spacing w:before="4" w:line="360" w:lineRule="auto"/>
        <w:ind w:right="30" w:firstLine="421"/>
        <w:textAlignment w:val="baseline"/>
        <w:rPr>
          <w:rFonts w:ascii="宋体" w:hAnsi="宋体" w:cs="宋体"/>
          <w:sz w:val="24"/>
        </w:rPr>
      </w:pPr>
      <w:r>
        <w:rPr>
          <w:rFonts w:hint="eastAsia" w:ascii="宋体" w:hAnsi="宋体" w:cs="宋体"/>
          <w:sz w:val="24"/>
        </w:rPr>
        <w:t>工程质量保修责任：</w:t>
      </w:r>
      <w:r>
        <w:rPr>
          <w:rFonts w:hint="eastAsia" w:ascii="宋体" w:hAnsi="宋体" w:cs="宋体"/>
          <w:sz w:val="24"/>
          <w:u w:val="single"/>
        </w:rPr>
        <w:t>工程质量保修不应低于《建设工程质量管理条例》和《民用建筑节能条例》二十三条规定标准 。 由于承包人工程质量问题造成发包人的全部直接和间接损失 ， 由承包人无条件承担 。</w:t>
      </w:r>
    </w:p>
    <w:p w14:paraId="4DBDA6CE">
      <w:pPr>
        <w:tabs>
          <w:tab w:val="left" w:pos="567"/>
        </w:tabs>
        <w:wordWrap w:val="0"/>
        <w:autoSpaceDE w:val="0"/>
        <w:autoSpaceDN w:val="0"/>
        <w:adjustRightInd w:val="0"/>
        <w:snapToGrid w:val="0"/>
        <w:spacing w:before="1" w:line="360" w:lineRule="auto"/>
        <w:textAlignment w:val="baseline"/>
        <w:rPr>
          <w:rFonts w:ascii="宋体" w:hAnsi="宋体" w:cs="宋体"/>
          <w:sz w:val="24"/>
        </w:rPr>
      </w:pPr>
      <w:r>
        <w:rPr>
          <w:rFonts w:hint="eastAsia" w:ascii="宋体" w:hAnsi="宋体" w:cs="宋体"/>
          <w:sz w:val="24"/>
          <w:u w:val="single"/>
        </w:rPr>
        <w:t>①属于保修范围、内容的项目，承包人应当在接到保修通知之日起24小时内派人保修 。承包人不在约定期限内派人保修的 ，发包人可以委托他人修理，费用由承包人负担 。③质量保修完成后，由发包人组织验收 。</w:t>
      </w:r>
    </w:p>
    <w:p w14:paraId="7FB50134">
      <w:pPr>
        <w:tabs>
          <w:tab w:val="left" w:pos="567"/>
        </w:tabs>
        <w:wordWrap w:val="0"/>
        <w:autoSpaceDE w:val="0"/>
        <w:autoSpaceDN w:val="0"/>
        <w:adjustRightInd w:val="0"/>
        <w:snapToGrid w:val="0"/>
        <w:spacing w:before="129" w:line="360" w:lineRule="auto"/>
        <w:ind w:left="7"/>
        <w:textAlignment w:val="baseline"/>
        <w:outlineLvl w:val="1"/>
        <w:rPr>
          <w:rFonts w:ascii="宋体" w:hAnsi="宋体" w:cs="宋体"/>
        </w:rPr>
      </w:pPr>
      <w:r>
        <w:rPr>
          <w:rFonts w:hint="eastAsia" w:ascii="宋体" w:hAnsi="宋体" w:cs="宋体"/>
          <w:sz w:val="30"/>
          <w:szCs w:val="30"/>
        </w:rPr>
        <w:t>20.保险</w:t>
      </w:r>
    </w:p>
    <w:p w14:paraId="5DFC15F5">
      <w:pPr>
        <w:tabs>
          <w:tab w:val="left" w:pos="567"/>
        </w:tabs>
        <w:wordWrap w:val="0"/>
        <w:autoSpaceDE w:val="0"/>
        <w:autoSpaceDN w:val="0"/>
        <w:adjustRightInd w:val="0"/>
        <w:snapToGrid w:val="0"/>
        <w:spacing w:before="103" w:line="360" w:lineRule="auto"/>
        <w:ind w:left="4"/>
        <w:textAlignment w:val="baseline"/>
        <w:outlineLvl w:val="2"/>
        <w:rPr>
          <w:rFonts w:ascii="宋体" w:hAnsi="宋体" w:cs="宋体"/>
          <w:sz w:val="24"/>
        </w:rPr>
      </w:pPr>
      <w:r>
        <w:rPr>
          <w:rFonts w:hint="eastAsia" w:ascii="宋体" w:hAnsi="宋体" w:cs="宋体"/>
          <w:sz w:val="24"/>
        </w:rPr>
        <w:t>20.1   工程保险</w:t>
      </w:r>
    </w:p>
    <w:p w14:paraId="2AE351C4">
      <w:pPr>
        <w:tabs>
          <w:tab w:val="left" w:pos="567"/>
        </w:tabs>
        <w:wordWrap w:val="0"/>
        <w:autoSpaceDE w:val="0"/>
        <w:autoSpaceDN w:val="0"/>
        <w:adjustRightInd w:val="0"/>
        <w:snapToGrid w:val="0"/>
        <w:spacing w:before="103" w:line="360" w:lineRule="auto"/>
        <w:ind w:left="421"/>
        <w:textAlignment w:val="baseline"/>
        <w:rPr>
          <w:rFonts w:ascii="宋体" w:hAnsi="宋体" w:cs="宋体"/>
          <w:sz w:val="24"/>
        </w:rPr>
      </w:pPr>
      <w:r>
        <w:rPr>
          <w:rFonts w:hint="eastAsia" w:ascii="宋体" w:hAnsi="宋体" w:cs="宋体"/>
          <w:sz w:val="24"/>
        </w:rPr>
        <w:t>本工程</w:t>
      </w:r>
      <w:r>
        <w:rPr>
          <w:rFonts w:hint="eastAsia" w:ascii="宋体" w:hAnsi="宋体" w:cs="宋体"/>
          <w:sz w:val="24"/>
          <w:u w:val="single"/>
        </w:rPr>
        <w:t>不投保</w:t>
      </w:r>
      <w:r>
        <w:rPr>
          <w:rFonts w:hint="eastAsia" w:ascii="宋体" w:hAnsi="宋体" w:cs="宋体"/>
          <w:sz w:val="24"/>
        </w:rPr>
        <w:t>工程保险。投保工程保险时 ， 险种为：</w:t>
      </w:r>
      <w:r>
        <w:rPr>
          <w:rFonts w:hint="eastAsia" w:ascii="宋体" w:hAnsi="宋体" w:cs="宋体"/>
          <w:sz w:val="24"/>
          <w:u w:val="single"/>
        </w:rPr>
        <w:t>/</w:t>
      </w:r>
      <w:r>
        <w:rPr>
          <w:rFonts w:hint="eastAsia" w:ascii="宋体" w:hAnsi="宋体" w:cs="宋体"/>
          <w:sz w:val="24"/>
        </w:rPr>
        <w:t>，并符合以下约定：</w:t>
      </w:r>
    </w:p>
    <w:p w14:paraId="6DC4860C">
      <w:pPr>
        <w:tabs>
          <w:tab w:val="left" w:pos="567"/>
        </w:tabs>
        <w:wordWrap w:val="0"/>
        <w:autoSpaceDE w:val="0"/>
        <w:autoSpaceDN w:val="0"/>
        <w:adjustRightInd w:val="0"/>
        <w:snapToGrid w:val="0"/>
        <w:spacing w:before="102" w:line="360" w:lineRule="auto"/>
        <w:ind w:left="424"/>
        <w:textAlignment w:val="baseline"/>
        <w:rPr>
          <w:rFonts w:ascii="宋体" w:hAnsi="宋体" w:cs="宋体"/>
          <w:sz w:val="24"/>
        </w:rPr>
      </w:pPr>
      <w:r>
        <w:rPr>
          <w:rFonts w:hint="eastAsia" w:ascii="宋体" w:hAnsi="宋体" w:cs="宋体"/>
          <w:sz w:val="24"/>
        </w:rPr>
        <w:t>（1）投保人：</w:t>
      </w:r>
      <w:r>
        <w:rPr>
          <w:rFonts w:hint="eastAsia" w:ascii="宋体" w:hAnsi="宋体" w:cs="宋体"/>
          <w:sz w:val="24"/>
          <w:u w:val="single"/>
        </w:rPr>
        <w:t>/</w:t>
      </w:r>
    </w:p>
    <w:p w14:paraId="27575CE4">
      <w:pPr>
        <w:tabs>
          <w:tab w:val="left" w:pos="567"/>
        </w:tabs>
        <w:wordWrap w:val="0"/>
        <w:autoSpaceDE w:val="0"/>
        <w:autoSpaceDN w:val="0"/>
        <w:adjustRightInd w:val="0"/>
        <w:snapToGrid w:val="0"/>
        <w:spacing w:before="106" w:line="360" w:lineRule="auto"/>
        <w:ind w:left="424"/>
        <w:textAlignment w:val="baseline"/>
        <w:rPr>
          <w:rFonts w:ascii="宋体" w:hAnsi="宋体" w:cs="宋体"/>
          <w:sz w:val="24"/>
        </w:rPr>
      </w:pPr>
      <w:r>
        <w:rPr>
          <w:rFonts w:hint="eastAsia" w:ascii="宋体" w:hAnsi="宋体" w:cs="宋体"/>
          <w:sz w:val="24"/>
        </w:rPr>
        <w:t>（2）投保内容：</w:t>
      </w:r>
      <w:r>
        <w:rPr>
          <w:rFonts w:hint="eastAsia" w:ascii="宋体" w:hAnsi="宋体" w:cs="宋体"/>
          <w:sz w:val="24"/>
          <w:u w:val="single"/>
        </w:rPr>
        <w:t>/</w:t>
      </w:r>
    </w:p>
    <w:p w14:paraId="5D936B45">
      <w:pPr>
        <w:tabs>
          <w:tab w:val="left" w:pos="567"/>
        </w:tabs>
        <w:wordWrap w:val="0"/>
        <w:autoSpaceDE w:val="0"/>
        <w:autoSpaceDN w:val="0"/>
        <w:adjustRightInd w:val="0"/>
        <w:snapToGrid w:val="0"/>
        <w:spacing w:before="86" w:line="360" w:lineRule="auto"/>
        <w:ind w:left="424"/>
        <w:textAlignment w:val="baseline"/>
        <w:rPr>
          <w:rFonts w:ascii="宋体" w:hAnsi="宋体" w:cs="宋体"/>
          <w:sz w:val="24"/>
        </w:rPr>
      </w:pPr>
      <w:r>
        <w:rPr>
          <w:rFonts w:hint="eastAsia" w:ascii="宋体" w:hAnsi="宋体" w:cs="宋体"/>
          <w:sz w:val="24"/>
        </w:rPr>
        <w:t>（3）保险费率： 由投保人与合同双方同意的保险人商定。</w:t>
      </w:r>
    </w:p>
    <w:p w14:paraId="7B872B1A">
      <w:pPr>
        <w:tabs>
          <w:tab w:val="left" w:pos="567"/>
        </w:tabs>
        <w:wordWrap w:val="0"/>
        <w:autoSpaceDE w:val="0"/>
        <w:autoSpaceDN w:val="0"/>
        <w:adjustRightInd w:val="0"/>
        <w:snapToGrid w:val="0"/>
        <w:spacing w:before="109" w:line="360" w:lineRule="auto"/>
        <w:ind w:left="424"/>
        <w:textAlignment w:val="baseline"/>
        <w:rPr>
          <w:rFonts w:ascii="宋体" w:hAnsi="宋体" w:cs="宋体"/>
          <w:sz w:val="24"/>
        </w:rPr>
      </w:pPr>
      <w:r>
        <w:rPr>
          <w:rFonts w:hint="eastAsia" w:ascii="宋体" w:hAnsi="宋体" w:cs="宋体"/>
          <w:sz w:val="24"/>
        </w:rPr>
        <w:t>（4）保险金额：</w:t>
      </w:r>
      <w:r>
        <w:rPr>
          <w:rFonts w:hint="eastAsia" w:ascii="宋体" w:hAnsi="宋体" w:cs="宋体"/>
          <w:sz w:val="24"/>
          <w:u w:val="single"/>
        </w:rPr>
        <w:t>/</w:t>
      </w:r>
    </w:p>
    <w:p w14:paraId="0B8D7A03">
      <w:pPr>
        <w:tabs>
          <w:tab w:val="left" w:pos="567"/>
        </w:tabs>
        <w:wordWrap w:val="0"/>
        <w:autoSpaceDE w:val="0"/>
        <w:autoSpaceDN w:val="0"/>
        <w:adjustRightInd w:val="0"/>
        <w:snapToGrid w:val="0"/>
        <w:spacing w:before="106" w:line="360" w:lineRule="auto"/>
        <w:ind w:left="424"/>
        <w:textAlignment w:val="baseline"/>
        <w:rPr>
          <w:rFonts w:ascii="宋体" w:hAnsi="宋体" w:cs="宋体"/>
          <w:sz w:val="24"/>
        </w:rPr>
      </w:pPr>
      <w:r>
        <w:rPr>
          <w:rFonts w:hint="eastAsia" w:ascii="宋体" w:hAnsi="宋体" w:cs="宋体"/>
          <w:sz w:val="24"/>
        </w:rPr>
        <w:t>（5）保险期限：</w:t>
      </w:r>
      <w:r>
        <w:rPr>
          <w:rFonts w:hint="eastAsia" w:ascii="宋体" w:hAnsi="宋体" w:cs="宋体"/>
          <w:sz w:val="24"/>
          <w:u w:val="single"/>
        </w:rPr>
        <w:t>/</w:t>
      </w:r>
    </w:p>
    <w:p w14:paraId="4D8E786A">
      <w:pPr>
        <w:tabs>
          <w:tab w:val="left" w:pos="567"/>
        </w:tabs>
        <w:wordWrap w:val="0"/>
        <w:autoSpaceDE w:val="0"/>
        <w:autoSpaceDN w:val="0"/>
        <w:adjustRightInd w:val="0"/>
        <w:snapToGrid w:val="0"/>
        <w:spacing w:before="104" w:line="360" w:lineRule="auto"/>
        <w:ind w:left="4"/>
        <w:textAlignment w:val="baseline"/>
        <w:outlineLvl w:val="2"/>
        <w:rPr>
          <w:rFonts w:ascii="宋体" w:hAnsi="宋体" w:cs="宋体"/>
          <w:sz w:val="24"/>
        </w:rPr>
      </w:pPr>
      <w:r>
        <w:rPr>
          <w:rFonts w:hint="eastAsia" w:ascii="宋体" w:hAnsi="宋体" w:cs="宋体"/>
          <w:sz w:val="24"/>
        </w:rPr>
        <w:t>20.4   第三者责任险</w:t>
      </w:r>
    </w:p>
    <w:p w14:paraId="6DAE649B">
      <w:pPr>
        <w:tabs>
          <w:tab w:val="left" w:pos="567"/>
        </w:tabs>
        <w:wordWrap w:val="0"/>
        <w:autoSpaceDE w:val="0"/>
        <w:autoSpaceDN w:val="0"/>
        <w:adjustRightInd w:val="0"/>
        <w:snapToGrid w:val="0"/>
        <w:spacing w:before="103" w:line="360" w:lineRule="auto"/>
        <w:ind w:left="423"/>
        <w:textAlignment w:val="baseline"/>
        <w:rPr>
          <w:rFonts w:ascii="宋体" w:hAnsi="宋体" w:cs="宋体"/>
          <w:sz w:val="24"/>
        </w:rPr>
      </w:pPr>
      <w:r>
        <w:rPr>
          <w:rFonts w:hint="eastAsia" w:ascii="宋体" w:hAnsi="宋体" w:cs="宋体"/>
          <w:sz w:val="24"/>
        </w:rPr>
        <w:t>20.4.2   保险金额：</w:t>
      </w:r>
      <w:r>
        <w:rPr>
          <w:rFonts w:hint="eastAsia" w:ascii="宋体" w:hAnsi="宋体" w:cs="宋体"/>
          <w:sz w:val="24"/>
          <w:u w:val="single"/>
        </w:rPr>
        <w:t xml:space="preserve">/ </w:t>
      </w:r>
      <w:r>
        <w:rPr>
          <w:rFonts w:hint="eastAsia" w:ascii="宋体" w:hAnsi="宋体" w:cs="宋体"/>
          <w:sz w:val="24"/>
        </w:rPr>
        <w:t xml:space="preserve"> ，保险费率由承包人与发包人同意的保险人商定，相关保险费由</w:t>
      </w:r>
      <w:r>
        <w:rPr>
          <w:rFonts w:hint="eastAsia" w:ascii="宋体" w:hAnsi="宋体" w:cs="宋体"/>
          <w:sz w:val="24"/>
          <w:u w:val="single"/>
        </w:rPr>
        <w:t>/</w:t>
      </w:r>
      <w:r>
        <w:rPr>
          <w:rFonts w:hint="eastAsia" w:ascii="宋体" w:hAnsi="宋体" w:cs="宋体"/>
          <w:sz w:val="24"/>
        </w:rPr>
        <w:t>承担。</w:t>
      </w:r>
    </w:p>
    <w:p w14:paraId="56566FF0">
      <w:pPr>
        <w:tabs>
          <w:tab w:val="left" w:pos="567"/>
        </w:tabs>
        <w:wordWrap w:val="0"/>
        <w:autoSpaceDE w:val="0"/>
        <w:autoSpaceDN w:val="0"/>
        <w:adjustRightInd w:val="0"/>
        <w:snapToGrid w:val="0"/>
        <w:spacing w:before="103" w:line="360" w:lineRule="auto"/>
        <w:ind w:left="4"/>
        <w:textAlignment w:val="baseline"/>
        <w:outlineLvl w:val="2"/>
        <w:rPr>
          <w:rFonts w:ascii="宋体" w:hAnsi="宋体" w:cs="宋体"/>
          <w:sz w:val="24"/>
        </w:rPr>
      </w:pPr>
      <w:r>
        <w:rPr>
          <w:rFonts w:hint="eastAsia" w:ascii="宋体" w:hAnsi="宋体" w:cs="宋体"/>
          <w:sz w:val="24"/>
        </w:rPr>
        <w:t>20.5   其他保险</w:t>
      </w:r>
    </w:p>
    <w:p w14:paraId="4D113E1A">
      <w:pPr>
        <w:tabs>
          <w:tab w:val="left" w:pos="567"/>
        </w:tabs>
        <w:wordWrap w:val="0"/>
        <w:autoSpaceDE w:val="0"/>
        <w:autoSpaceDN w:val="0"/>
        <w:adjustRightInd w:val="0"/>
        <w:snapToGrid w:val="0"/>
        <w:spacing w:before="91" w:line="360" w:lineRule="auto"/>
        <w:ind w:left="420"/>
        <w:textAlignment w:val="baseline"/>
        <w:rPr>
          <w:rFonts w:ascii="宋体" w:hAnsi="宋体" w:cs="宋体"/>
          <w:sz w:val="24"/>
        </w:rPr>
      </w:pPr>
      <w:r>
        <w:rPr>
          <w:rFonts w:hint="eastAsia" w:ascii="宋体" w:hAnsi="宋体" w:cs="宋体"/>
          <w:sz w:val="24"/>
        </w:rPr>
        <w:t>承包人应为其施工设备、进场材料等办理的保险：</w:t>
      </w:r>
    </w:p>
    <w:p w14:paraId="29884536">
      <w:pPr>
        <w:tabs>
          <w:tab w:val="left" w:pos="567"/>
        </w:tabs>
        <w:wordWrap w:val="0"/>
        <w:autoSpaceDE w:val="0"/>
        <w:autoSpaceDN w:val="0"/>
        <w:adjustRightInd w:val="0"/>
        <w:snapToGrid w:val="0"/>
        <w:spacing w:before="103" w:line="360" w:lineRule="auto"/>
        <w:ind w:left="525"/>
        <w:textAlignment w:val="baseline"/>
        <w:rPr>
          <w:rFonts w:ascii="宋体" w:hAnsi="宋体" w:cs="宋体"/>
          <w:sz w:val="24"/>
        </w:rPr>
      </w:pPr>
      <w:r>
        <w:rPr>
          <w:rFonts w:hint="eastAsia" w:ascii="宋体" w:hAnsi="宋体" w:cs="宋体"/>
          <w:sz w:val="24"/>
          <w:u w:val="single"/>
        </w:rPr>
        <w:t>/</w:t>
      </w:r>
    </w:p>
    <w:p w14:paraId="6BD3F351">
      <w:pPr>
        <w:tabs>
          <w:tab w:val="left" w:pos="567"/>
        </w:tabs>
        <w:wordWrap w:val="0"/>
        <w:autoSpaceDE w:val="0"/>
        <w:autoSpaceDN w:val="0"/>
        <w:adjustRightInd w:val="0"/>
        <w:snapToGrid w:val="0"/>
        <w:spacing w:before="104" w:line="360" w:lineRule="auto"/>
        <w:ind w:left="4"/>
        <w:textAlignment w:val="baseline"/>
        <w:outlineLvl w:val="2"/>
        <w:rPr>
          <w:rFonts w:ascii="宋体" w:hAnsi="宋体" w:cs="宋体"/>
          <w:sz w:val="24"/>
        </w:rPr>
      </w:pPr>
      <w:r>
        <w:rPr>
          <w:rFonts w:hint="eastAsia" w:ascii="宋体" w:hAnsi="宋体" w:cs="宋体"/>
          <w:sz w:val="24"/>
        </w:rPr>
        <w:t>20.6   对各项保险的一般要求</w:t>
      </w:r>
    </w:p>
    <w:p w14:paraId="3D2A6E4D">
      <w:pPr>
        <w:tabs>
          <w:tab w:val="left" w:pos="567"/>
        </w:tabs>
        <w:wordWrap w:val="0"/>
        <w:autoSpaceDE w:val="0"/>
        <w:autoSpaceDN w:val="0"/>
        <w:adjustRightInd w:val="0"/>
        <w:snapToGrid w:val="0"/>
        <w:spacing w:before="90" w:line="360" w:lineRule="auto"/>
        <w:ind w:left="423"/>
        <w:textAlignment w:val="baseline"/>
        <w:rPr>
          <w:rFonts w:ascii="宋体" w:hAnsi="宋体" w:cs="宋体"/>
          <w:sz w:val="24"/>
        </w:rPr>
      </w:pPr>
      <w:r>
        <w:rPr>
          <w:rFonts w:hint="eastAsia" w:ascii="宋体" w:hAnsi="宋体" w:cs="宋体"/>
          <w:sz w:val="24"/>
        </w:rPr>
        <w:t>20.6.1   保险凭证</w:t>
      </w:r>
    </w:p>
    <w:p w14:paraId="1FD64DD3">
      <w:pPr>
        <w:tabs>
          <w:tab w:val="left" w:pos="567"/>
        </w:tabs>
        <w:wordWrap w:val="0"/>
        <w:autoSpaceDE w:val="0"/>
        <w:autoSpaceDN w:val="0"/>
        <w:adjustRightInd w:val="0"/>
        <w:snapToGrid w:val="0"/>
        <w:spacing w:before="83" w:line="360" w:lineRule="auto"/>
        <w:ind w:left="420"/>
        <w:textAlignment w:val="baseline"/>
        <w:rPr>
          <w:rFonts w:ascii="宋体" w:hAnsi="宋体" w:cs="宋体"/>
          <w:sz w:val="24"/>
        </w:rPr>
      </w:pPr>
      <w:r>
        <w:rPr>
          <w:rFonts w:hint="eastAsia" w:ascii="宋体" w:hAnsi="宋体" w:cs="宋体"/>
          <w:sz w:val="24"/>
        </w:rPr>
        <w:t>承包人向发包人提交各项保险生效的证据和保险单副本的期限：</w:t>
      </w:r>
    </w:p>
    <w:p w14:paraId="7B7466EC">
      <w:pPr>
        <w:tabs>
          <w:tab w:val="left" w:pos="646"/>
        </w:tabs>
        <w:wordWrap w:val="0"/>
        <w:autoSpaceDE w:val="0"/>
        <w:autoSpaceDN w:val="0"/>
        <w:adjustRightInd w:val="0"/>
        <w:snapToGrid w:val="0"/>
        <w:spacing w:before="102" w:line="360" w:lineRule="auto"/>
        <w:ind w:left="510"/>
        <w:textAlignment w:val="baseline"/>
        <w:rPr>
          <w:rFonts w:ascii="宋体" w:hAnsi="宋体" w:cs="宋体"/>
          <w:sz w:val="24"/>
        </w:rPr>
      </w:pPr>
      <w:r>
        <w:rPr>
          <w:rFonts w:hint="eastAsia" w:ascii="宋体" w:hAnsi="宋体" w:cs="宋体"/>
          <w:sz w:val="24"/>
          <w:u w:val="single"/>
        </w:rPr>
        <w:tab/>
      </w:r>
      <w:r>
        <w:rPr>
          <w:rFonts w:hint="eastAsia" w:ascii="宋体" w:hAnsi="宋体" w:cs="宋体"/>
          <w:sz w:val="24"/>
          <w:u w:val="single"/>
        </w:rPr>
        <w:t>合同签订后14日内 。</w:t>
      </w:r>
    </w:p>
    <w:p w14:paraId="3B9D72AE">
      <w:pPr>
        <w:tabs>
          <w:tab w:val="left" w:pos="567"/>
        </w:tabs>
        <w:wordWrap w:val="0"/>
        <w:autoSpaceDE w:val="0"/>
        <w:autoSpaceDN w:val="0"/>
        <w:adjustRightInd w:val="0"/>
        <w:snapToGrid w:val="0"/>
        <w:spacing w:before="84" w:line="360" w:lineRule="auto"/>
        <w:ind w:left="423"/>
        <w:textAlignment w:val="baseline"/>
        <w:rPr>
          <w:rFonts w:ascii="宋体" w:hAnsi="宋体" w:cs="宋体"/>
          <w:sz w:val="24"/>
        </w:rPr>
      </w:pPr>
      <w:r>
        <w:rPr>
          <w:rFonts w:hint="eastAsia" w:ascii="宋体" w:hAnsi="宋体" w:cs="宋体"/>
          <w:sz w:val="24"/>
        </w:rPr>
        <w:t>20.6.4   保险金不足的补偿</w:t>
      </w:r>
    </w:p>
    <w:p w14:paraId="22455C4C">
      <w:pPr>
        <w:tabs>
          <w:tab w:val="left" w:pos="567"/>
        </w:tabs>
        <w:wordWrap w:val="0"/>
        <w:autoSpaceDE w:val="0"/>
        <w:autoSpaceDN w:val="0"/>
        <w:adjustRightInd w:val="0"/>
        <w:snapToGrid w:val="0"/>
        <w:spacing w:before="82" w:line="360" w:lineRule="auto"/>
        <w:ind w:left="421"/>
        <w:textAlignment w:val="baseline"/>
        <w:rPr>
          <w:rFonts w:ascii="宋体" w:hAnsi="宋体" w:cs="宋体"/>
          <w:sz w:val="24"/>
        </w:rPr>
      </w:pPr>
      <w:r>
        <w:rPr>
          <w:rFonts w:hint="eastAsia" w:ascii="宋体" w:hAnsi="宋体" w:cs="宋体"/>
          <w:sz w:val="24"/>
        </w:rPr>
        <w:t>保险金不足以补偿损失时 ，承包人和发包人负责补偿的责任分摊：</w:t>
      </w:r>
    </w:p>
    <w:p w14:paraId="59F29657">
      <w:pPr>
        <w:tabs>
          <w:tab w:val="left" w:pos="567"/>
        </w:tabs>
        <w:wordWrap w:val="0"/>
        <w:autoSpaceDE w:val="0"/>
        <w:autoSpaceDN w:val="0"/>
        <w:adjustRightInd w:val="0"/>
        <w:snapToGrid w:val="0"/>
        <w:spacing w:before="101" w:line="360" w:lineRule="auto"/>
        <w:ind w:left="19" w:firstLine="525"/>
        <w:textAlignment w:val="baseline"/>
        <w:rPr>
          <w:rFonts w:ascii="宋体" w:hAnsi="宋体" w:cs="宋体"/>
          <w:sz w:val="24"/>
        </w:rPr>
      </w:pPr>
      <w:r>
        <w:rPr>
          <w:rFonts w:hint="eastAsia" w:ascii="宋体" w:hAnsi="宋体" w:cs="宋体"/>
          <w:sz w:val="24"/>
          <w:u w:val="single"/>
        </w:rPr>
        <w:t>1.承包人员工伤事故的保险（即：农民工工伤保险和其他人员工伤保险）：承包人</w:t>
      </w:r>
      <w:r>
        <w:rPr>
          <w:rFonts w:hint="eastAsia" w:ascii="宋体" w:hAnsi="宋体" w:cs="宋体"/>
          <w:w w:val="101"/>
          <w:sz w:val="24"/>
          <w:u w:val="single"/>
        </w:rPr>
        <w:t xml:space="preserve"> </w:t>
      </w:r>
      <w:r>
        <w:rPr>
          <w:rFonts w:hint="eastAsia" w:ascii="宋体" w:hAnsi="宋体" w:cs="宋体"/>
          <w:sz w:val="24"/>
          <w:u w:val="single"/>
        </w:rPr>
        <w:t>100%承担；</w:t>
      </w:r>
    </w:p>
    <w:p w14:paraId="4A7E736D">
      <w:pPr>
        <w:tabs>
          <w:tab w:val="left" w:pos="567"/>
        </w:tabs>
        <w:wordWrap w:val="0"/>
        <w:autoSpaceDE w:val="0"/>
        <w:autoSpaceDN w:val="0"/>
        <w:adjustRightInd w:val="0"/>
        <w:snapToGrid w:val="0"/>
        <w:spacing w:before="103" w:line="360" w:lineRule="auto"/>
        <w:ind w:left="4"/>
        <w:textAlignment w:val="baseline"/>
        <w:rPr>
          <w:rFonts w:ascii="宋体" w:hAnsi="宋体" w:cs="宋体"/>
          <w:sz w:val="24"/>
        </w:rPr>
      </w:pPr>
      <w:r>
        <w:rPr>
          <w:rFonts w:hint="eastAsia" w:ascii="宋体" w:hAnsi="宋体" w:cs="宋体"/>
          <w:sz w:val="24"/>
          <w:u w:val="single"/>
        </w:rPr>
        <w:t>2.发包人员工伤事故的保险：发包人100%承担 。</w:t>
      </w:r>
    </w:p>
    <w:p w14:paraId="701F050C">
      <w:pPr>
        <w:tabs>
          <w:tab w:val="left" w:pos="567"/>
        </w:tabs>
        <w:wordWrap w:val="0"/>
        <w:autoSpaceDE w:val="0"/>
        <w:autoSpaceDN w:val="0"/>
        <w:adjustRightInd w:val="0"/>
        <w:snapToGrid w:val="0"/>
        <w:spacing w:before="130" w:line="360" w:lineRule="auto"/>
        <w:ind w:left="7"/>
        <w:textAlignment w:val="baseline"/>
        <w:rPr>
          <w:rFonts w:ascii="宋体" w:hAnsi="宋体" w:cs="宋体"/>
        </w:rPr>
      </w:pPr>
      <w:r>
        <w:rPr>
          <w:rFonts w:hint="eastAsia" w:ascii="宋体" w:hAnsi="宋体" w:cs="宋体"/>
          <w:sz w:val="30"/>
          <w:szCs w:val="30"/>
        </w:rPr>
        <w:t>21.不可抗力</w:t>
      </w:r>
    </w:p>
    <w:p w14:paraId="71117F23">
      <w:pPr>
        <w:tabs>
          <w:tab w:val="left" w:pos="567"/>
        </w:tabs>
        <w:wordWrap w:val="0"/>
        <w:autoSpaceDE w:val="0"/>
        <w:autoSpaceDN w:val="0"/>
        <w:adjustRightInd w:val="0"/>
        <w:snapToGrid w:val="0"/>
        <w:spacing w:before="103" w:line="360" w:lineRule="auto"/>
        <w:ind w:left="2"/>
        <w:textAlignment w:val="baseline"/>
        <w:outlineLvl w:val="2"/>
        <w:rPr>
          <w:rFonts w:ascii="宋体" w:hAnsi="宋体" w:cs="宋体"/>
          <w:sz w:val="24"/>
        </w:rPr>
      </w:pPr>
      <w:r>
        <w:rPr>
          <w:rFonts w:hint="eastAsia" w:ascii="宋体" w:hAnsi="宋体" w:cs="宋体"/>
          <w:sz w:val="24"/>
        </w:rPr>
        <w:t>21.1   不可抗力的确认</w:t>
      </w:r>
    </w:p>
    <w:p w14:paraId="47476391">
      <w:pPr>
        <w:tabs>
          <w:tab w:val="left" w:pos="567"/>
        </w:tabs>
        <w:wordWrap w:val="0"/>
        <w:autoSpaceDE w:val="0"/>
        <w:autoSpaceDN w:val="0"/>
        <w:adjustRightInd w:val="0"/>
        <w:snapToGrid w:val="0"/>
        <w:spacing w:before="90" w:line="360" w:lineRule="auto"/>
        <w:ind w:left="420"/>
        <w:textAlignment w:val="baseline"/>
        <w:rPr>
          <w:rFonts w:ascii="宋体" w:hAnsi="宋体" w:cs="宋体"/>
          <w:sz w:val="24"/>
        </w:rPr>
      </w:pPr>
      <w:r>
        <w:rPr>
          <w:rFonts w:hint="eastAsia" w:ascii="宋体" w:hAnsi="宋体" w:cs="宋体"/>
          <w:sz w:val="24"/>
        </w:rPr>
        <w:t>21.1.1   合同条款通用部分第21.1.1项约定的不可抗力以外的其他情形：</w:t>
      </w:r>
    </w:p>
    <w:p w14:paraId="18C38347">
      <w:pPr>
        <w:tabs>
          <w:tab w:val="left" w:pos="567"/>
        </w:tabs>
        <w:wordWrap w:val="0"/>
        <w:autoSpaceDE w:val="0"/>
        <w:autoSpaceDN w:val="0"/>
        <w:adjustRightInd w:val="0"/>
        <w:snapToGrid w:val="0"/>
        <w:spacing w:before="103" w:line="360" w:lineRule="auto"/>
        <w:ind w:left="523"/>
        <w:textAlignment w:val="baseline"/>
        <w:rPr>
          <w:rFonts w:ascii="宋体" w:hAnsi="宋体" w:cs="宋体"/>
          <w:sz w:val="24"/>
        </w:rPr>
      </w:pPr>
      <w:r>
        <w:rPr>
          <w:rFonts w:hint="eastAsia" w:ascii="宋体" w:hAnsi="宋体" w:cs="宋体"/>
          <w:sz w:val="24"/>
          <w:u w:val="single"/>
        </w:rPr>
        <w:t>/</w:t>
      </w:r>
    </w:p>
    <w:p w14:paraId="1F8FE6DA">
      <w:pPr>
        <w:tabs>
          <w:tab w:val="left" w:pos="567"/>
        </w:tabs>
        <w:wordWrap w:val="0"/>
        <w:autoSpaceDE w:val="0"/>
        <w:autoSpaceDN w:val="0"/>
        <w:adjustRightInd w:val="0"/>
        <w:snapToGrid w:val="0"/>
        <w:spacing w:before="81" w:line="360" w:lineRule="auto"/>
        <w:ind w:left="421"/>
        <w:textAlignment w:val="baseline"/>
        <w:rPr>
          <w:rFonts w:ascii="宋体" w:hAnsi="宋体" w:cs="宋体"/>
          <w:sz w:val="24"/>
        </w:rPr>
      </w:pPr>
      <w:r>
        <w:rPr>
          <w:rFonts w:hint="eastAsia" w:ascii="宋体" w:hAnsi="宋体" w:cs="宋体"/>
          <w:sz w:val="24"/>
        </w:rPr>
        <w:t>不可抗力的等级范围约定：</w:t>
      </w:r>
    </w:p>
    <w:p w14:paraId="6E980B8A">
      <w:pPr>
        <w:tabs>
          <w:tab w:val="left" w:pos="567"/>
        </w:tabs>
        <w:wordWrap w:val="0"/>
        <w:autoSpaceDE w:val="0"/>
        <w:autoSpaceDN w:val="0"/>
        <w:adjustRightInd w:val="0"/>
        <w:snapToGrid w:val="0"/>
        <w:spacing w:before="102" w:line="360" w:lineRule="auto"/>
        <w:ind w:left="523"/>
        <w:textAlignment w:val="baseline"/>
        <w:rPr>
          <w:rFonts w:ascii="宋体" w:hAnsi="宋体" w:cs="宋体"/>
          <w:sz w:val="24"/>
        </w:rPr>
      </w:pPr>
      <w:r>
        <w:rPr>
          <w:rFonts w:hint="eastAsia" w:ascii="宋体" w:hAnsi="宋体" w:cs="宋体"/>
          <w:sz w:val="24"/>
          <w:u w:val="single"/>
        </w:rPr>
        <w:t>/</w:t>
      </w:r>
    </w:p>
    <w:p w14:paraId="59FF9EDF">
      <w:pPr>
        <w:tabs>
          <w:tab w:val="left" w:pos="567"/>
        </w:tabs>
        <w:wordWrap w:val="0"/>
        <w:autoSpaceDE w:val="0"/>
        <w:autoSpaceDN w:val="0"/>
        <w:adjustRightInd w:val="0"/>
        <w:snapToGrid w:val="0"/>
        <w:spacing w:before="130" w:line="360" w:lineRule="auto"/>
        <w:ind w:left="5"/>
        <w:textAlignment w:val="baseline"/>
        <w:outlineLvl w:val="1"/>
        <w:rPr>
          <w:rFonts w:ascii="宋体" w:hAnsi="宋体" w:cs="宋体"/>
          <w:sz w:val="30"/>
          <w:szCs w:val="30"/>
        </w:rPr>
      </w:pPr>
      <w:r>
        <w:rPr>
          <w:rFonts w:hint="eastAsia" w:ascii="宋体" w:hAnsi="宋体" w:cs="宋体"/>
          <w:sz w:val="30"/>
          <w:szCs w:val="30"/>
        </w:rPr>
        <w:t>24.争议的解决</w:t>
      </w:r>
    </w:p>
    <w:p w14:paraId="3E7EC706">
      <w:pPr>
        <w:tabs>
          <w:tab w:val="left" w:pos="567"/>
        </w:tabs>
        <w:wordWrap w:val="0"/>
        <w:autoSpaceDE w:val="0"/>
        <w:autoSpaceDN w:val="0"/>
        <w:adjustRightInd w:val="0"/>
        <w:snapToGrid w:val="0"/>
        <w:spacing w:before="103" w:line="360" w:lineRule="auto"/>
        <w:ind w:left="2"/>
        <w:textAlignment w:val="baseline"/>
        <w:outlineLvl w:val="2"/>
        <w:rPr>
          <w:rFonts w:ascii="宋体" w:hAnsi="宋体" w:cs="宋体"/>
          <w:sz w:val="24"/>
        </w:rPr>
      </w:pPr>
      <w:r>
        <w:rPr>
          <w:rFonts w:hint="eastAsia" w:ascii="宋体" w:hAnsi="宋体" w:cs="宋体"/>
          <w:sz w:val="24"/>
        </w:rPr>
        <w:t>24.1   争议的解决方式</w:t>
      </w:r>
    </w:p>
    <w:p w14:paraId="20A60E3E">
      <w:pPr>
        <w:tabs>
          <w:tab w:val="left" w:pos="567"/>
        </w:tabs>
        <w:wordWrap w:val="0"/>
        <w:autoSpaceDE w:val="0"/>
        <w:autoSpaceDN w:val="0"/>
        <w:adjustRightInd w:val="0"/>
        <w:snapToGrid w:val="0"/>
        <w:spacing w:before="91" w:line="360" w:lineRule="auto"/>
        <w:ind w:right="93" w:firstLine="433"/>
        <w:textAlignment w:val="baseline"/>
        <w:rPr>
          <w:rFonts w:ascii="宋体" w:hAnsi="宋体" w:cs="宋体"/>
          <w:sz w:val="24"/>
        </w:rPr>
      </w:pPr>
      <w:r>
        <w:rPr>
          <w:rFonts w:hint="eastAsia" w:ascii="宋体" w:hAnsi="宋体" w:cs="宋体"/>
          <w:sz w:val="24"/>
        </w:rPr>
        <w:t>因本合同引起的或与本合同有关的任何争议 ，合同双方友好协商不成、不愿提请争议组评审或者不愿接受争议评审组意见的 ，选择下列第</w:t>
      </w:r>
      <w:r>
        <w:rPr>
          <w:rFonts w:hint="eastAsia" w:ascii="宋体" w:hAnsi="宋体" w:cs="宋体"/>
          <w:sz w:val="24"/>
          <w:u w:val="single"/>
        </w:rPr>
        <w:t>贰</w:t>
      </w:r>
      <w:r>
        <w:rPr>
          <w:rFonts w:hint="eastAsia" w:ascii="宋体" w:hAnsi="宋体" w:cs="宋体"/>
          <w:sz w:val="24"/>
        </w:rPr>
        <w:t>种方式解决：</w:t>
      </w:r>
    </w:p>
    <w:p w14:paraId="1D7D2AEE">
      <w:pPr>
        <w:tabs>
          <w:tab w:val="left" w:pos="525"/>
        </w:tabs>
        <w:wordWrap w:val="0"/>
        <w:autoSpaceDE w:val="0"/>
        <w:autoSpaceDN w:val="0"/>
        <w:adjustRightInd w:val="0"/>
        <w:snapToGrid w:val="0"/>
        <w:spacing w:before="120" w:line="360" w:lineRule="auto"/>
        <w:ind w:left="402"/>
        <w:textAlignment w:val="baseline"/>
        <w:rPr>
          <w:rFonts w:ascii="宋体" w:hAnsi="宋体" w:cs="宋体"/>
          <w:sz w:val="24"/>
        </w:rPr>
      </w:pPr>
      <w:r>
        <w:rPr>
          <w:rFonts w:hint="eastAsia" w:ascii="宋体" w:hAnsi="宋体" w:cs="宋体"/>
          <w:sz w:val="24"/>
          <w:u w:val="single"/>
        </w:rPr>
        <w:tab/>
      </w:r>
      <w:r>
        <w:rPr>
          <w:rFonts w:hint="eastAsia" w:ascii="宋体" w:hAnsi="宋体" w:cs="宋体"/>
          <w:sz w:val="24"/>
          <w:u w:val="single"/>
        </w:rPr>
        <w:t>（壹）</w:t>
      </w:r>
      <w:r>
        <w:rPr>
          <w:rFonts w:hint="eastAsia" w:ascii="宋体" w:hAnsi="宋体" w:cs="宋体"/>
          <w:sz w:val="24"/>
        </w:rPr>
        <w:t>提请</w:t>
      </w:r>
      <w:r>
        <w:rPr>
          <w:rFonts w:hint="eastAsia" w:ascii="宋体" w:hAnsi="宋体" w:cs="宋体"/>
          <w:sz w:val="24"/>
          <w:u w:val="single"/>
        </w:rPr>
        <w:t>/</w:t>
      </w:r>
      <w:r>
        <w:rPr>
          <w:rFonts w:hint="eastAsia" w:ascii="宋体" w:hAnsi="宋体" w:cs="宋体"/>
          <w:sz w:val="24"/>
        </w:rPr>
        <w:t>仲裁委员会按照该会仲裁规则进行仲裁 ，仲裁裁决是终局的 ，对合同双方均有约束力。</w:t>
      </w:r>
    </w:p>
    <w:p w14:paraId="65E4AE19">
      <w:pPr>
        <w:tabs>
          <w:tab w:val="left" w:pos="525"/>
        </w:tabs>
        <w:wordWrap w:val="0"/>
        <w:autoSpaceDE w:val="0"/>
        <w:autoSpaceDN w:val="0"/>
        <w:adjustRightInd w:val="0"/>
        <w:snapToGrid w:val="0"/>
        <w:spacing w:before="87" w:line="360" w:lineRule="auto"/>
        <w:ind w:left="402"/>
        <w:textAlignment w:val="baseline"/>
        <w:rPr>
          <w:rFonts w:ascii="宋体" w:hAnsi="宋体" w:cs="宋体"/>
          <w:sz w:val="24"/>
        </w:rPr>
      </w:pPr>
      <w:r>
        <w:rPr>
          <w:rFonts w:hint="eastAsia" w:ascii="宋体" w:hAnsi="宋体" w:cs="宋体"/>
          <w:sz w:val="24"/>
          <w:u w:val="single"/>
        </w:rPr>
        <w:t xml:space="preserve">（贰） </w:t>
      </w:r>
      <w:r>
        <w:rPr>
          <w:rFonts w:hint="eastAsia" w:ascii="宋体" w:hAnsi="宋体" w:cs="宋体"/>
          <w:sz w:val="24"/>
        </w:rPr>
        <w:t>向工程所在地（北京市昌平区）人民法院提起诉讼。</w:t>
      </w:r>
    </w:p>
    <w:p w14:paraId="10F7D36C">
      <w:pPr>
        <w:wordWrap w:val="0"/>
        <w:autoSpaceDE w:val="0"/>
        <w:autoSpaceDN w:val="0"/>
        <w:adjustRightInd w:val="0"/>
        <w:snapToGrid w:val="0"/>
        <w:spacing w:line="360" w:lineRule="auto"/>
        <w:textAlignment w:val="baseline"/>
        <w:rPr>
          <w:rFonts w:ascii="宋体" w:hAnsi="宋体" w:cs="宋体"/>
        </w:rPr>
        <w:sectPr>
          <w:pgSz w:w="11900" w:h="16840"/>
          <w:pgMar w:top="1440" w:right="1800" w:bottom="1440" w:left="1800" w:header="0" w:footer="0" w:gutter="0"/>
          <w:cols w:space="720" w:num="1"/>
        </w:sectPr>
      </w:pPr>
    </w:p>
    <w:p w14:paraId="0E767DA6">
      <w:pPr>
        <w:tabs>
          <w:tab w:val="left" w:pos="567"/>
        </w:tabs>
        <w:wordWrap w:val="0"/>
        <w:autoSpaceDE w:val="0"/>
        <w:autoSpaceDN w:val="0"/>
        <w:adjustRightInd w:val="0"/>
        <w:snapToGrid w:val="0"/>
        <w:spacing w:before="129" w:line="360" w:lineRule="auto"/>
        <w:ind w:left="18"/>
        <w:textAlignment w:val="baseline"/>
        <w:rPr>
          <w:rFonts w:ascii="宋体" w:hAnsi="宋体" w:cs="宋体"/>
          <w:sz w:val="30"/>
          <w:szCs w:val="30"/>
        </w:rPr>
      </w:pPr>
      <w:r>
        <w:rPr>
          <w:rFonts w:hint="eastAsia" w:ascii="宋体" w:hAnsi="宋体" w:cs="宋体"/>
          <w:sz w:val="30"/>
          <w:szCs w:val="30"/>
        </w:rPr>
        <w:t>附件一 ： 合同协议书</w:t>
      </w:r>
    </w:p>
    <w:p w14:paraId="72BF119C">
      <w:pPr>
        <w:wordWrap w:val="0"/>
        <w:autoSpaceDE w:val="0"/>
        <w:autoSpaceDN w:val="0"/>
        <w:adjustRightInd w:val="0"/>
        <w:snapToGrid w:val="0"/>
        <w:spacing w:line="360" w:lineRule="auto"/>
        <w:textAlignment w:val="baseline"/>
        <w:rPr>
          <w:rFonts w:ascii="宋体" w:hAnsi="宋体" w:cs="宋体"/>
        </w:rPr>
      </w:pPr>
    </w:p>
    <w:p w14:paraId="27137261">
      <w:pPr>
        <w:tabs>
          <w:tab w:val="left" w:pos="567"/>
        </w:tabs>
        <w:wordWrap w:val="0"/>
        <w:autoSpaceDE w:val="0"/>
        <w:autoSpaceDN w:val="0"/>
        <w:adjustRightInd w:val="0"/>
        <w:snapToGrid w:val="0"/>
        <w:spacing w:before="120" w:line="360" w:lineRule="auto"/>
        <w:ind w:left="4061"/>
        <w:textAlignment w:val="baseline"/>
        <w:outlineLvl w:val="0"/>
        <w:rPr>
          <w:rFonts w:ascii="宋体" w:hAnsi="宋体" w:cs="宋体"/>
          <w:sz w:val="28"/>
          <w:szCs w:val="28"/>
        </w:rPr>
      </w:pPr>
      <w:r>
        <w:rPr>
          <w:rFonts w:hint="eastAsia" w:ascii="宋体" w:hAnsi="宋体" w:cs="宋体"/>
          <w:sz w:val="28"/>
          <w:szCs w:val="28"/>
        </w:rPr>
        <w:t>合同协议书</w:t>
      </w:r>
    </w:p>
    <w:p w14:paraId="3017AB83">
      <w:pPr>
        <w:wordWrap w:val="0"/>
        <w:autoSpaceDE w:val="0"/>
        <w:autoSpaceDN w:val="0"/>
        <w:adjustRightInd w:val="0"/>
        <w:snapToGrid w:val="0"/>
        <w:spacing w:line="360" w:lineRule="auto"/>
        <w:textAlignment w:val="baseline"/>
        <w:rPr>
          <w:rFonts w:ascii="宋体" w:hAnsi="宋体" w:cs="宋体"/>
        </w:rPr>
      </w:pPr>
    </w:p>
    <w:p w14:paraId="171B83E1">
      <w:pPr>
        <w:tabs>
          <w:tab w:val="left" w:pos="567"/>
        </w:tabs>
        <w:wordWrap w:val="0"/>
        <w:autoSpaceDE w:val="0"/>
        <w:autoSpaceDN w:val="0"/>
        <w:adjustRightInd w:val="0"/>
        <w:snapToGrid w:val="0"/>
        <w:spacing w:before="103" w:line="360" w:lineRule="auto"/>
        <w:ind w:left="6498"/>
        <w:textAlignment w:val="baseline"/>
        <w:rPr>
          <w:rFonts w:ascii="宋体" w:hAnsi="宋体" w:cs="宋体"/>
          <w:sz w:val="24"/>
        </w:rPr>
      </w:pPr>
      <w:r>
        <w:rPr>
          <w:rFonts w:hint="eastAsia" w:ascii="宋体" w:hAnsi="宋体" w:cs="宋体"/>
          <w:sz w:val="24"/>
        </w:rPr>
        <w:t>编号：</w:t>
      </w:r>
      <w:r>
        <w:rPr>
          <w:rFonts w:hint="eastAsia" w:ascii="宋体" w:hAnsi="宋体" w:cs="宋体"/>
          <w:sz w:val="24"/>
          <w:u w:val="single"/>
        </w:rPr>
        <w:t xml:space="preserve">             </w:t>
      </w:r>
    </w:p>
    <w:p w14:paraId="159F0690">
      <w:pPr>
        <w:wordWrap w:val="0"/>
        <w:autoSpaceDE w:val="0"/>
        <w:autoSpaceDN w:val="0"/>
        <w:adjustRightInd w:val="0"/>
        <w:snapToGrid w:val="0"/>
        <w:spacing w:line="360" w:lineRule="auto"/>
        <w:textAlignment w:val="baseline"/>
        <w:rPr>
          <w:rFonts w:ascii="宋体" w:hAnsi="宋体" w:cs="宋体"/>
        </w:rPr>
      </w:pPr>
    </w:p>
    <w:p w14:paraId="10CB8228">
      <w:pPr>
        <w:tabs>
          <w:tab w:val="left" w:pos="567"/>
        </w:tabs>
        <w:wordWrap w:val="0"/>
        <w:autoSpaceDE w:val="0"/>
        <w:autoSpaceDN w:val="0"/>
        <w:adjustRightInd w:val="0"/>
        <w:snapToGrid w:val="0"/>
        <w:spacing w:before="90" w:line="360" w:lineRule="auto"/>
        <w:ind w:left="3"/>
        <w:textAlignment w:val="baseline"/>
        <w:rPr>
          <w:rFonts w:ascii="宋体" w:hAnsi="宋体" w:cs="宋体"/>
          <w:sz w:val="24"/>
        </w:rPr>
      </w:pPr>
      <w:r>
        <w:rPr>
          <w:rFonts w:hint="eastAsia" w:ascii="宋体" w:hAnsi="宋体" w:cs="宋体"/>
          <w:sz w:val="24"/>
        </w:rPr>
        <w:t>发包人（全称）：</w:t>
      </w:r>
      <w:r>
        <w:rPr>
          <w:rFonts w:hint="eastAsia" w:ascii="宋体" w:hAnsi="宋体" w:cs="宋体"/>
          <w:sz w:val="24"/>
          <w:u w:val="single"/>
        </w:rPr>
        <w:t xml:space="preserve">                                                 </w:t>
      </w:r>
    </w:p>
    <w:p w14:paraId="6A4CE2B7">
      <w:pPr>
        <w:tabs>
          <w:tab w:val="left" w:pos="567"/>
        </w:tabs>
        <w:wordWrap w:val="0"/>
        <w:autoSpaceDE w:val="0"/>
        <w:autoSpaceDN w:val="0"/>
        <w:adjustRightInd w:val="0"/>
        <w:snapToGrid w:val="0"/>
        <w:spacing w:before="89" w:line="360" w:lineRule="auto"/>
        <w:textAlignment w:val="baseline"/>
        <w:rPr>
          <w:rFonts w:ascii="宋体" w:hAnsi="宋体" w:cs="宋体"/>
          <w:sz w:val="24"/>
        </w:rPr>
      </w:pPr>
      <w:r>
        <w:rPr>
          <w:rFonts w:hint="eastAsia" w:ascii="宋体" w:hAnsi="宋体" w:cs="宋体"/>
          <w:sz w:val="24"/>
        </w:rPr>
        <w:t>法定代表人：</w:t>
      </w:r>
      <w:r>
        <w:rPr>
          <w:rFonts w:hint="eastAsia" w:ascii="宋体" w:hAnsi="宋体" w:cs="宋体"/>
          <w:sz w:val="24"/>
          <w:u w:val="single"/>
        </w:rPr>
        <w:t xml:space="preserve">                                                     </w:t>
      </w:r>
    </w:p>
    <w:p w14:paraId="22A26A70">
      <w:pPr>
        <w:tabs>
          <w:tab w:val="left" w:pos="567"/>
        </w:tabs>
        <w:wordWrap w:val="0"/>
        <w:autoSpaceDE w:val="0"/>
        <w:autoSpaceDN w:val="0"/>
        <w:adjustRightInd w:val="0"/>
        <w:snapToGrid w:val="0"/>
        <w:spacing w:before="82" w:line="360" w:lineRule="auto"/>
        <w:textAlignment w:val="baseline"/>
        <w:rPr>
          <w:rFonts w:ascii="宋体" w:hAnsi="宋体" w:cs="宋体"/>
          <w:sz w:val="24"/>
        </w:rPr>
      </w:pPr>
      <w:r>
        <w:rPr>
          <w:rFonts w:hint="eastAsia" w:ascii="宋体" w:hAnsi="宋体" w:cs="宋体"/>
          <w:sz w:val="24"/>
        </w:rPr>
        <w:t>法定注册地址：</w:t>
      </w:r>
      <w:r>
        <w:rPr>
          <w:rFonts w:hint="eastAsia" w:ascii="宋体" w:hAnsi="宋体" w:cs="宋体"/>
          <w:sz w:val="24"/>
          <w:u w:val="single"/>
        </w:rPr>
        <w:t xml:space="preserve">                                                   </w:t>
      </w:r>
    </w:p>
    <w:p w14:paraId="4BDA0A00">
      <w:pPr>
        <w:tabs>
          <w:tab w:val="left" w:pos="567"/>
        </w:tabs>
        <w:wordWrap w:val="0"/>
        <w:autoSpaceDE w:val="0"/>
        <w:autoSpaceDN w:val="0"/>
        <w:adjustRightInd w:val="0"/>
        <w:snapToGrid w:val="0"/>
        <w:spacing w:before="83" w:line="360" w:lineRule="auto"/>
        <w:textAlignment w:val="baseline"/>
        <w:rPr>
          <w:rFonts w:ascii="宋体" w:hAnsi="宋体" w:cs="宋体"/>
          <w:sz w:val="24"/>
        </w:rPr>
      </w:pPr>
      <w:r>
        <w:rPr>
          <w:rFonts w:hint="eastAsia" w:ascii="宋体" w:hAnsi="宋体" w:cs="宋体"/>
          <w:sz w:val="24"/>
        </w:rPr>
        <w:t>承包人（全称）：</w:t>
      </w:r>
      <w:r>
        <w:rPr>
          <w:rFonts w:hint="eastAsia" w:ascii="宋体" w:hAnsi="宋体" w:cs="宋体"/>
          <w:sz w:val="24"/>
          <w:u w:val="single"/>
        </w:rPr>
        <w:t xml:space="preserve">                                                 </w:t>
      </w:r>
    </w:p>
    <w:p w14:paraId="06BE8E80">
      <w:pPr>
        <w:tabs>
          <w:tab w:val="left" w:pos="567"/>
        </w:tabs>
        <w:wordWrap w:val="0"/>
        <w:autoSpaceDE w:val="0"/>
        <w:autoSpaceDN w:val="0"/>
        <w:adjustRightInd w:val="0"/>
        <w:snapToGrid w:val="0"/>
        <w:spacing w:before="89" w:line="360" w:lineRule="auto"/>
        <w:textAlignment w:val="baseline"/>
        <w:rPr>
          <w:rFonts w:ascii="宋体" w:hAnsi="宋体" w:cs="宋体"/>
          <w:sz w:val="24"/>
        </w:rPr>
      </w:pPr>
      <w:r>
        <w:rPr>
          <w:rFonts w:hint="eastAsia" w:ascii="宋体" w:hAnsi="宋体" w:cs="宋体"/>
          <w:sz w:val="24"/>
        </w:rPr>
        <w:t>法定代表人：</w:t>
      </w:r>
      <w:r>
        <w:rPr>
          <w:rFonts w:hint="eastAsia" w:ascii="宋体" w:hAnsi="宋体" w:cs="宋体"/>
          <w:sz w:val="24"/>
          <w:u w:val="single"/>
        </w:rPr>
        <w:t xml:space="preserve">                                                     </w:t>
      </w:r>
    </w:p>
    <w:p w14:paraId="576D7893">
      <w:pPr>
        <w:tabs>
          <w:tab w:val="left" w:pos="567"/>
        </w:tabs>
        <w:wordWrap w:val="0"/>
        <w:autoSpaceDE w:val="0"/>
        <w:autoSpaceDN w:val="0"/>
        <w:adjustRightInd w:val="0"/>
        <w:snapToGrid w:val="0"/>
        <w:spacing w:before="83" w:line="360" w:lineRule="auto"/>
        <w:textAlignment w:val="baseline"/>
        <w:rPr>
          <w:rFonts w:ascii="宋体" w:hAnsi="宋体" w:cs="宋体"/>
        </w:rPr>
      </w:pPr>
      <w:r>
        <w:rPr>
          <w:rFonts w:hint="eastAsia" w:ascii="宋体" w:hAnsi="宋体" w:cs="宋体"/>
          <w:sz w:val="24"/>
        </w:rPr>
        <w:t xml:space="preserve">法定注册地址： </w:t>
      </w:r>
      <w:r>
        <w:rPr>
          <w:rFonts w:hint="eastAsia" w:ascii="宋体" w:hAnsi="宋体" w:cs="宋体"/>
          <w:sz w:val="24"/>
          <w:u w:val="single"/>
        </w:rPr>
        <w:t xml:space="preserve">                                                  </w:t>
      </w:r>
    </w:p>
    <w:p w14:paraId="1DB78276">
      <w:pPr>
        <w:tabs>
          <w:tab w:val="left" w:pos="567"/>
        </w:tabs>
        <w:wordWrap w:val="0"/>
        <w:autoSpaceDE w:val="0"/>
        <w:autoSpaceDN w:val="0"/>
        <w:adjustRightInd w:val="0"/>
        <w:snapToGrid w:val="0"/>
        <w:spacing w:before="90" w:line="360" w:lineRule="auto"/>
        <w:ind w:firstLine="423"/>
        <w:textAlignment w:val="baseline"/>
        <w:rPr>
          <w:rFonts w:ascii="宋体" w:hAnsi="宋体" w:cs="宋体"/>
          <w:sz w:val="24"/>
        </w:rPr>
      </w:pPr>
      <w:r>
        <w:rPr>
          <w:rFonts w:hint="eastAsia" w:ascii="宋体" w:hAnsi="宋体" w:cs="宋体"/>
          <w:sz w:val="24"/>
        </w:rPr>
        <w:t>发包人为建设</w:t>
      </w:r>
      <w:r>
        <w:rPr>
          <w:rFonts w:hint="eastAsia" w:ascii="宋体" w:hAnsi="宋体" w:cs="宋体"/>
          <w:sz w:val="24"/>
          <w:u w:val="single"/>
        </w:rPr>
        <w:t xml:space="preserve">                                         </w:t>
      </w:r>
      <w:r>
        <w:rPr>
          <w:rFonts w:hint="eastAsia" w:ascii="宋体" w:hAnsi="宋体" w:cs="宋体"/>
          <w:sz w:val="24"/>
        </w:rPr>
        <w:t>（以下简称“本工程 ”）， 已接受承包人提出的承担本工程的施工、竣工、交付并维修其任何缺陷的投标 。依照《中华人民共和国招标投标法》 、《中华人民共和国民法典》 、《中华人民共和国建筑法》 、及其他有关法律、行政法规 ，遵循平等、 自愿、</w:t>
      </w:r>
    </w:p>
    <w:p w14:paraId="2414A14A">
      <w:pPr>
        <w:tabs>
          <w:tab w:val="left" w:pos="567"/>
        </w:tabs>
        <w:wordWrap w:val="0"/>
        <w:autoSpaceDE w:val="0"/>
        <w:autoSpaceDN w:val="0"/>
        <w:adjustRightInd w:val="0"/>
        <w:snapToGrid w:val="0"/>
        <w:spacing w:before="120" w:line="360" w:lineRule="auto"/>
        <w:ind w:left="6"/>
        <w:textAlignment w:val="baseline"/>
        <w:rPr>
          <w:rFonts w:ascii="宋体" w:hAnsi="宋体" w:cs="宋体"/>
          <w:sz w:val="24"/>
        </w:rPr>
      </w:pPr>
      <w:r>
        <w:rPr>
          <w:rFonts w:hint="eastAsia" w:ascii="宋体" w:hAnsi="宋体" w:cs="宋体"/>
          <w:sz w:val="24"/>
        </w:rPr>
        <w:t>公平和诚实信用的原则 ，双方共同达成并订立如下协议。</w:t>
      </w:r>
    </w:p>
    <w:p w14:paraId="467C651B">
      <w:pPr>
        <w:tabs>
          <w:tab w:val="left" w:pos="567"/>
        </w:tabs>
        <w:wordWrap w:val="0"/>
        <w:autoSpaceDE w:val="0"/>
        <w:autoSpaceDN w:val="0"/>
        <w:adjustRightInd w:val="0"/>
        <w:snapToGrid w:val="0"/>
        <w:spacing w:before="84" w:line="360" w:lineRule="auto"/>
        <w:ind w:left="423"/>
        <w:textAlignment w:val="baseline"/>
        <w:rPr>
          <w:rFonts w:ascii="宋体" w:hAnsi="宋体" w:cs="宋体"/>
          <w:sz w:val="24"/>
        </w:rPr>
      </w:pPr>
      <w:r>
        <w:rPr>
          <w:rFonts w:hint="eastAsia" w:ascii="宋体" w:hAnsi="宋体" w:cs="宋体"/>
          <w:sz w:val="24"/>
        </w:rPr>
        <w:t>一、工程概况</w:t>
      </w:r>
    </w:p>
    <w:p w14:paraId="2D3F92C1">
      <w:pPr>
        <w:tabs>
          <w:tab w:val="left" w:pos="567"/>
        </w:tabs>
        <w:wordWrap w:val="0"/>
        <w:autoSpaceDE w:val="0"/>
        <w:autoSpaceDN w:val="0"/>
        <w:adjustRightInd w:val="0"/>
        <w:snapToGrid w:val="0"/>
        <w:spacing w:before="82" w:line="360" w:lineRule="auto"/>
        <w:ind w:left="422"/>
        <w:textAlignment w:val="baseline"/>
        <w:rPr>
          <w:rFonts w:ascii="宋体" w:hAnsi="宋体" w:cs="宋体"/>
          <w:sz w:val="24"/>
        </w:rPr>
      </w:pPr>
      <w:r>
        <w:rPr>
          <w:rFonts w:hint="eastAsia" w:ascii="宋体" w:hAnsi="宋体" w:cs="宋体"/>
          <w:sz w:val="24"/>
        </w:rPr>
        <w:t>工程名称：</w:t>
      </w:r>
      <w:r>
        <w:rPr>
          <w:rFonts w:hint="eastAsia" w:ascii="宋体" w:hAnsi="宋体" w:cs="宋体"/>
          <w:sz w:val="24"/>
          <w:u w:val="single"/>
        </w:rPr>
        <w:t xml:space="preserve">                 </w:t>
      </w:r>
    </w:p>
    <w:p w14:paraId="7AEDB6B3">
      <w:pPr>
        <w:tabs>
          <w:tab w:val="left" w:pos="567"/>
        </w:tabs>
        <w:wordWrap w:val="0"/>
        <w:autoSpaceDE w:val="0"/>
        <w:autoSpaceDN w:val="0"/>
        <w:adjustRightInd w:val="0"/>
        <w:snapToGrid w:val="0"/>
        <w:spacing w:before="82" w:line="360" w:lineRule="auto"/>
        <w:ind w:left="422"/>
        <w:textAlignment w:val="baseline"/>
        <w:rPr>
          <w:rFonts w:ascii="宋体" w:hAnsi="宋体" w:cs="宋体"/>
          <w:sz w:val="24"/>
        </w:rPr>
      </w:pPr>
      <w:r>
        <w:rPr>
          <w:rFonts w:hint="eastAsia" w:ascii="宋体" w:hAnsi="宋体" w:cs="宋体"/>
          <w:sz w:val="24"/>
        </w:rPr>
        <w:t>工程地点：</w:t>
      </w:r>
      <w:r>
        <w:rPr>
          <w:rFonts w:hint="eastAsia" w:ascii="宋体" w:hAnsi="宋体" w:cs="宋体"/>
          <w:sz w:val="24"/>
          <w:u w:val="single"/>
        </w:rPr>
        <w:t xml:space="preserve">                 </w:t>
      </w:r>
    </w:p>
    <w:p w14:paraId="0C86E0E6">
      <w:pPr>
        <w:tabs>
          <w:tab w:val="left" w:pos="567"/>
        </w:tabs>
        <w:wordWrap w:val="0"/>
        <w:autoSpaceDE w:val="0"/>
        <w:autoSpaceDN w:val="0"/>
        <w:adjustRightInd w:val="0"/>
        <w:snapToGrid w:val="0"/>
        <w:spacing w:before="81" w:line="360" w:lineRule="auto"/>
        <w:ind w:left="422"/>
        <w:textAlignment w:val="baseline"/>
        <w:rPr>
          <w:rFonts w:ascii="宋体" w:hAnsi="宋体" w:cs="宋体"/>
          <w:sz w:val="24"/>
        </w:rPr>
      </w:pPr>
      <w:r>
        <w:rPr>
          <w:rFonts w:hint="eastAsia" w:ascii="宋体" w:hAnsi="宋体" w:cs="宋体"/>
          <w:sz w:val="24"/>
        </w:rPr>
        <w:t>工程内容：</w:t>
      </w:r>
      <w:r>
        <w:rPr>
          <w:rFonts w:hint="eastAsia" w:ascii="宋体" w:hAnsi="宋体" w:cs="宋体"/>
          <w:sz w:val="24"/>
          <w:u w:val="single"/>
        </w:rPr>
        <w:t xml:space="preserve">                                    </w:t>
      </w:r>
    </w:p>
    <w:p w14:paraId="2D6E9260">
      <w:pPr>
        <w:tabs>
          <w:tab w:val="left" w:pos="567"/>
        </w:tabs>
        <w:wordWrap w:val="0"/>
        <w:autoSpaceDE w:val="0"/>
        <w:autoSpaceDN w:val="0"/>
        <w:adjustRightInd w:val="0"/>
        <w:snapToGrid w:val="0"/>
        <w:spacing w:before="82" w:line="360" w:lineRule="auto"/>
        <w:ind w:left="420"/>
        <w:textAlignment w:val="baseline"/>
        <w:rPr>
          <w:rFonts w:ascii="宋体" w:hAnsi="宋体" w:cs="宋体"/>
          <w:sz w:val="24"/>
        </w:rPr>
      </w:pPr>
      <w:r>
        <w:rPr>
          <w:rFonts w:hint="eastAsia" w:ascii="宋体" w:hAnsi="宋体" w:cs="宋体"/>
          <w:sz w:val="24"/>
        </w:rPr>
        <w:t>群体工程应附“承包人承揽工程项目一览表 ”（附件二）</w:t>
      </w:r>
    </w:p>
    <w:p w14:paraId="05F236E8">
      <w:pPr>
        <w:tabs>
          <w:tab w:val="left" w:pos="567"/>
        </w:tabs>
        <w:wordWrap w:val="0"/>
        <w:autoSpaceDE w:val="0"/>
        <w:autoSpaceDN w:val="0"/>
        <w:adjustRightInd w:val="0"/>
        <w:snapToGrid w:val="0"/>
        <w:spacing w:before="90" w:line="360" w:lineRule="auto"/>
        <w:ind w:left="422"/>
        <w:textAlignment w:val="baseline"/>
        <w:rPr>
          <w:rFonts w:ascii="宋体" w:hAnsi="宋体" w:cs="宋体"/>
          <w:sz w:val="24"/>
        </w:rPr>
      </w:pPr>
      <w:r>
        <w:rPr>
          <w:rFonts w:hint="eastAsia" w:ascii="宋体" w:hAnsi="宋体" w:cs="宋体"/>
          <w:sz w:val="24"/>
        </w:rPr>
        <w:t>工程立项批准文号：</w:t>
      </w:r>
      <w:r>
        <w:rPr>
          <w:rFonts w:hint="eastAsia" w:ascii="宋体" w:hAnsi="宋体" w:cs="宋体"/>
          <w:sz w:val="24"/>
          <w:u w:val="single"/>
        </w:rPr>
        <w:t xml:space="preserve">                                </w:t>
      </w:r>
    </w:p>
    <w:p w14:paraId="38312771">
      <w:pPr>
        <w:tabs>
          <w:tab w:val="left" w:pos="567"/>
        </w:tabs>
        <w:wordWrap w:val="0"/>
        <w:autoSpaceDE w:val="0"/>
        <w:autoSpaceDN w:val="0"/>
        <w:adjustRightInd w:val="0"/>
        <w:snapToGrid w:val="0"/>
        <w:spacing w:before="83" w:line="360" w:lineRule="auto"/>
        <w:ind w:left="429"/>
        <w:textAlignment w:val="baseline"/>
        <w:rPr>
          <w:rFonts w:ascii="宋体" w:hAnsi="宋体" w:cs="宋体"/>
          <w:sz w:val="24"/>
        </w:rPr>
      </w:pPr>
      <w:r>
        <w:rPr>
          <w:rFonts w:hint="eastAsia" w:ascii="宋体" w:hAnsi="宋体" w:cs="宋体"/>
          <w:sz w:val="24"/>
        </w:rPr>
        <w:t>资金来源：</w:t>
      </w:r>
      <w:r>
        <w:rPr>
          <w:rFonts w:hint="eastAsia" w:ascii="宋体" w:hAnsi="宋体" w:cs="宋体"/>
          <w:sz w:val="24"/>
          <w:u w:val="single"/>
        </w:rPr>
        <w:t xml:space="preserve">                     </w:t>
      </w:r>
    </w:p>
    <w:p w14:paraId="50C2E6A0">
      <w:pPr>
        <w:tabs>
          <w:tab w:val="left" w:pos="567"/>
        </w:tabs>
        <w:wordWrap w:val="0"/>
        <w:autoSpaceDE w:val="0"/>
        <w:autoSpaceDN w:val="0"/>
        <w:adjustRightInd w:val="0"/>
        <w:snapToGrid w:val="0"/>
        <w:spacing w:before="82" w:line="360" w:lineRule="auto"/>
        <w:ind w:left="423"/>
        <w:textAlignment w:val="baseline"/>
        <w:rPr>
          <w:rFonts w:ascii="宋体" w:hAnsi="宋体" w:cs="宋体"/>
          <w:sz w:val="24"/>
        </w:rPr>
      </w:pPr>
      <w:r>
        <w:rPr>
          <w:rFonts w:hint="eastAsia" w:ascii="宋体" w:hAnsi="宋体" w:cs="宋体"/>
          <w:sz w:val="24"/>
        </w:rPr>
        <w:t>二、工程承包范围</w:t>
      </w:r>
    </w:p>
    <w:p w14:paraId="60167A64">
      <w:pPr>
        <w:tabs>
          <w:tab w:val="left" w:pos="567"/>
        </w:tabs>
        <w:wordWrap w:val="0"/>
        <w:autoSpaceDE w:val="0"/>
        <w:autoSpaceDN w:val="0"/>
        <w:adjustRightInd w:val="0"/>
        <w:snapToGrid w:val="0"/>
        <w:spacing w:before="81" w:line="360" w:lineRule="auto"/>
        <w:ind w:left="420"/>
        <w:textAlignment w:val="baseline"/>
        <w:rPr>
          <w:rFonts w:ascii="宋体" w:hAnsi="宋体" w:cs="宋体"/>
          <w:sz w:val="24"/>
        </w:rPr>
      </w:pPr>
      <w:r>
        <w:rPr>
          <w:rFonts w:hint="eastAsia" w:ascii="宋体" w:hAnsi="宋体" w:cs="宋体"/>
          <w:sz w:val="24"/>
        </w:rPr>
        <w:t>承包范围：</w:t>
      </w:r>
      <w:r>
        <w:rPr>
          <w:rFonts w:hint="eastAsia" w:ascii="宋体" w:hAnsi="宋体" w:cs="宋体"/>
          <w:sz w:val="24"/>
          <w:u w:val="single"/>
        </w:rPr>
        <w:t xml:space="preserve">                    </w:t>
      </w:r>
    </w:p>
    <w:p w14:paraId="5962283E">
      <w:pPr>
        <w:tabs>
          <w:tab w:val="left" w:pos="567"/>
        </w:tabs>
        <w:wordWrap w:val="0"/>
        <w:autoSpaceDE w:val="0"/>
        <w:autoSpaceDN w:val="0"/>
        <w:adjustRightInd w:val="0"/>
        <w:snapToGrid w:val="0"/>
        <w:spacing w:before="81" w:line="360" w:lineRule="auto"/>
        <w:ind w:left="422"/>
        <w:textAlignment w:val="baseline"/>
        <w:rPr>
          <w:rFonts w:ascii="宋体" w:hAnsi="宋体" w:cs="宋体"/>
          <w:sz w:val="24"/>
        </w:rPr>
      </w:pPr>
      <w:r>
        <w:rPr>
          <w:rFonts w:hint="eastAsia" w:ascii="宋体" w:hAnsi="宋体" w:cs="宋体"/>
          <w:sz w:val="24"/>
        </w:rPr>
        <w:t>详细承包范围见第五章“技术标准和要求 ”。</w:t>
      </w:r>
    </w:p>
    <w:p w14:paraId="25AEAB2A">
      <w:pPr>
        <w:tabs>
          <w:tab w:val="left" w:pos="567"/>
        </w:tabs>
        <w:wordWrap w:val="0"/>
        <w:autoSpaceDE w:val="0"/>
        <w:autoSpaceDN w:val="0"/>
        <w:adjustRightInd w:val="0"/>
        <w:snapToGrid w:val="0"/>
        <w:spacing w:before="83" w:line="360" w:lineRule="auto"/>
        <w:ind w:left="420"/>
        <w:textAlignment w:val="baseline"/>
        <w:rPr>
          <w:rFonts w:ascii="宋体" w:hAnsi="宋体" w:cs="宋体"/>
          <w:sz w:val="24"/>
        </w:rPr>
      </w:pPr>
      <w:r>
        <w:rPr>
          <w:rFonts w:hint="eastAsia" w:ascii="宋体" w:hAnsi="宋体" w:cs="宋体"/>
          <w:sz w:val="24"/>
        </w:rPr>
        <w:t>三、合同工期</w:t>
      </w:r>
    </w:p>
    <w:p w14:paraId="38E93F87">
      <w:pPr>
        <w:tabs>
          <w:tab w:val="left" w:pos="567"/>
        </w:tabs>
        <w:wordWrap w:val="0"/>
        <w:autoSpaceDE w:val="0"/>
        <w:autoSpaceDN w:val="0"/>
        <w:adjustRightInd w:val="0"/>
        <w:snapToGrid w:val="0"/>
        <w:spacing w:before="84" w:line="360" w:lineRule="auto"/>
        <w:ind w:left="420"/>
        <w:textAlignment w:val="baseline"/>
        <w:rPr>
          <w:rFonts w:ascii="宋体" w:hAnsi="宋体" w:cs="宋体"/>
          <w:sz w:val="24"/>
        </w:rPr>
      </w:pPr>
      <w:r>
        <w:rPr>
          <w:rFonts w:hint="eastAsia" w:ascii="宋体" w:hAnsi="宋体" w:cs="宋体"/>
          <w:sz w:val="24"/>
        </w:rPr>
        <w:t>计划开工日期：</w:t>
      </w:r>
      <w:r>
        <w:rPr>
          <w:rFonts w:hint="eastAsia" w:ascii="宋体" w:hAnsi="宋体" w:cs="宋体"/>
          <w:sz w:val="24"/>
          <w:u w:val="single"/>
        </w:rPr>
        <w:t xml:space="preserve">         </w:t>
      </w:r>
      <w:r>
        <w:rPr>
          <w:rFonts w:hint="eastAsia" w:ascii="宋体" w:hAnsi="宋体" w:cs="宋体"/>
          <w:sz w:val="24"/>
        </w:rPr>
        <w:t xml:space="preserve"> 年</w:t>
      </w:r>
      <w:r>
        <w:rPr>
          <w:rFonts w:hint="eastAsia" w:ascii="宋体" w:hAnsi="宋体" w:cs="宋体"/>
          <w:sz w:val="24"/>
          <w:u w:val="single"/>
        </w:rPr>
        <w:t xml:space="preserve">      </w:t>
      </w:r>
      <w:r>
        <w:rPr>
          <w:rFonts w:hint="eastAsia" w:ascii="宋体" w:hAnsi="宋体" w:cs="宋体"/>
          <w:sz w:val="24"/>
        </w:rPr>
        <w:t xml:space="preserve"> 月</w:t>
      </w:r>
      <w:r>
        <w:rPr>
          <w:rFonts w:hint="eastAsia" w:ascii="宋体" w:hAnsi="宋体" w:cs="宋体"/>
          <w:sz w:val="24"/>
          <w:u w:val="single"/>
        </w:rPr>
        <w:t xml:space="preserve">      </w:t>
      </w:r>
      <w:r>
        <w:rPr>
          <w:rFonts w:hint="eastAsia" w:ascii="宋体" w:hAnsi="宋体" w:cs="宋体"/>
          <w:sz w:val="24"/>
        </w:rPr>
        <w:t xml:space="preserve"> 日</w:t>
      </w:r>
    </w:p>
    <w:p w14:paraId="6736ECA4">
      <w:pPr>
        <w:tabs>
          <w:tab w:val="left" w:pos="567"/>
        </w:tabs>
        <w:wordWrap w:val="0"/>
        <w:autoSpaceDE w:val="0"/>
        <w:autoSpaceDN w:val="0"/>
        <w:adjustRightInd w:val="0"/>
        <w:snapToGrid w:val="0"/>
        <w:spacing w:before="84" w:line="360" w:lineRule="auto"/>
        <w:ind w:left="420"/>
        <w:textAlignment w:val="baseline"/>
        <w:rPr>
          <w:rFonts w:ascii="宋体" w:hAnsi="宋体" w:cs="宋体"/>
          <w:sz w:val="24"/>
        </w:rPr>
      </w:pPr>
      <w:r>
        <w:rPr>
          <w:rFonts w:hint="eastAsia" w:ascii="宋体" w:hAnsi="宋体" w:cs="宋体"/>
          <w:sz w:val="24"/>
        </w:rPr>
        <w:t>计划竣工日期：</w:t>
      </w:r>
      <w:r>
        <w:rPr>
          <w:rFonts w:hint="eastAsia" w:ascii="宋体" w:hAnsi="宋体" w:cs="宋体"/>
          <w:sz w:val="24"/>
          <w:u w:val="single"/>
        </w:rPr>
        <w:t xml:space="preserve">        </w:t>
      </w:r>
      <w:r>
        <w:rPr>
          <w:rFonts w:hint="eastAsia" w:ascii="宋体" w:hAnsi="宋体" w:cs="宋体"/>
          <w:sz w:val="24"/>
        </w:rPr>
        <w:t xml:space="preserve"> 年</w:t>
      </w:r>
      <w:r>
        <w:rPr>
          <w:rFonts w:hint="eastAsia" w:ascii="宋体" w:hAnsi="宋体" w:cs="宋体"/>
          <w:sz w:val="24"/>
          <w:u w:val="single"/>
        </w:rPr>
        <w:t xml:space="preserve">      </w:t>
      </w:r>
      <w:r>
        <w:rPr>
          <w:rFonts w:hint="eastAsia" w:ascii="宋体" w:hAnsi="宋体" w:cs="宋体"/>
          <w:sz w:val="24"/>
        </w:rPr>
        <w:t xml:space="preserve"> 月</w:t>
      </w:r>
      <w:r>
        <w:rPr>
          <w:rFonts w:hint="eastAsia" w:ascii="宋体" w:hAnsi="宋体" w:cs="宋体"/>
          <w:sz w:val="24"/>
          <w:u w:val="single"/>
        </w:rPr>
        <w:t xml:space="preserve">       </w:t>
      </w:r>
      <w:r>
        <w:rPr>
          <w:rFonts w:hint="eastAsia" w:ascii="宋体" w:hAnsi="宋体" w:cs="宋体"/>
          <w:sz w:val="24"/>
        </w:rPr>
        <w:t xml:space="preserve"> 日</w:t>
      </w:r>
    </w:p>
    <w:p w14:paraId="41213E2C">
      <w:pPr>
        <w:tabs>
          <w:tab w:val="left" w:pos="567"/>
        </w:tabs>
        <w:wordWrap w:val="0"/>
        <w:autoSpaceDE w:val="0"/>
        <w:autoSpaceDN w:val="0"/>
        <w:adjustRightInd w:val="0"/>
        <w:snapToGrid w:val="0"/>
        <w:spacing w:before="83" w:line="360" w:lineRule="auto"/>
        <w:textAlignment w:val="baseline"/>
        <w:rPr>
          <w:rFonts w:ascii="宋体" w:hAnsi="宋体" w:cs="宋体"/>
          <w:sz w:val="24"/>
        </w:rPr>
      </w:pPr>
      <w:r>
        <w:rPr>
          <w:rFonts w:hint="eastAsia" w:ascii="宋体" w:hAnsi="宋体" w:cs="宋体"/>
          <w:sz w:val="24"/>
        </w:rPr>
        <w:t>工期总日历天数</w:t>
      </w:r>
      <w:r>
        <w:rPr>
          <w:rFonts w:hint="eastAsia" w:ascii="宋体" w:hAnsi="宋体" w:cs="宋体"/>
          <w:sz w:val="24"/>
          <w:u w:val="single"/>
        </w:rPr>
        <w:t xml:space="preserve">        </w:t>
      </w:r>
      <w:r>
        <w:rPr>
          <w:rFonts w:hint="eastAsia" w:ascii="宋体" w:hAnsi="宋体" w:cs="宋体"/>
          <w:sz w:val="24"/>
        </w:rPr>
        <w:t xml:space="preserve"> 天 ， 自监理人发出的开工通知中载明的开工日期起算。</w:t>
      </w:r>
    </w:p>
    <w:p w14:paraId="335AFBB9">
      <w:pPr>
        <w:tabs>
          <w:tab w:val="left" w:pos="567"/>
        </w:tabs>
        <w:wordWrap w:val="0"/>
        <w:autoSpaceDE w:val="0"/>
        <w:autoSpaceDN w:val="0"/>
        <w:adjustRightInd w:val="0"/>
        <w:snapToGrid w:val="0"/>
        <w:spacing w:before="83" w:line="360" w:lineRule="auto"/>
        <w:ind w:left="438"/>
        <w:textAlignment w:val="baseline"/>
        <w:rPr>
          <w:rFonts w:ascii="宋体" w:hAnsi="宋体" w:cs="宋体"/>
          <w:sz w:val="24"/>
        </w:rPr>
      </w:pPr>
      <w:r>
        <w:rPr>
          <w:rFonts w:hint="eastAsia" w:ascii="宋体" w:hAnsi="宋体" w:cs="宋体"/>
          <w:sz w:val="24"/>
        </w:rPr>
        <w:t>四、质量标准</w:t>
      </w:r>
    </w:p>
    <w:p w14:paraId="4477A499">
      <w:pPr>
        <w:tabs>
          <w:tab w:val="left" w:pos="567"/>
        </w:tabs>
        <w:wordWrap w:val="0"/>
        <w:autoSpaceDE w:val="0"/>
        <w:autoSpaceDN w:val="0"/>
        <w:adjustRightInd w:val="0"/>
        <w:snapToGrid w:val="0"/>
        <w:spacing w:before="83" w:line="360" w:lineRule="auto"/>
        <w:ind w:left="422"/>
        <w:textAlignment w:val="baseline"/>
        <w:rPr>
          <w:rFonts w:ascii="宋体" w:hAnsi="宋体" w:cs="宋体"/>
          <w:sz w:val="24"/>
        </w:rPr>
      </w:pPr>
      <w:r>
        <w:rPr>
          <w:rFonts w:hint="eastAsia" w:ascii="宋体" w:hAnsi="宋体" w:cs="宋体"/>
          <w:sz w:val="24"/>
        </w:rPr>
        <w:t>工程质量标准：</w:t>
      </w:r>
      <w:r>
        <w:rPr>
          <w:rFonts w:hint="eastAsia" w:ascii="宋体" w:hAnsi="宋体" w:cs="宋体"/>
          <w:sz w:val="24"/>
          <w:u w:val="single"/>
        </w:rPr>
        <w:t xml:space="preserve">          </w:t>
      </w:r>
    </w:p>
    <w:p w14:paraId="3CF26ADB">
      <w:pPr>
        <w:tabs>
          <w:tab w:val="left" w:pos="567"/>
        </w:tabs>
        <w:wordWrap w:val="0"/>
        <w:autoSpaceDE w:val="0"/>
        <w:autoSpaceDN w:val="0"/>
        <w:adjustRightInd w:val="0"/>
        <w:snapToGrid w:val="0"/>
        <w:spacing w:before="52" w:line="360" w:lineRule="auto"/>
        <w:ind w:left="423"/>
        <w:textAlignment w:val="baseline"/>
        <w:rPr>
          <w:rFonts w:ascii="宋体" w:hAnsi="宋体" w:cs="宋体"/>
          <w:sz w:val="24"/>
        </w:rPr>
      </w:pPr>
      <w:r>
        <w:rPr>
          <w:rFonts w:hint="eastAsia" w:ascii="宋体" w:hAnsi="宋体" w:cs="宋体"/>
          <w:sz w:val="24"/>
        </w:rPr>
        <w:t>五、施工现场安全生产标准化管理目标等级要求</w:t>
      </w:r>
    </w:p>
    <w:p w14:paraId="3AFA3544">
      <w:pPr>
        <w:tabs>
          <w:tab w:val="left" w:pos="567"/>
        </w:tabs>
        <w:wordWrap w:val="0"/>
        <w:autoSpaceDE w:val="0"/>
        <w:autoSpaceDN w:val="0"/>
        <w:adjustRightInd w:val="0"/>
        <w:snapToGrid w:val="0"/>
        <w:spacing w:before="38" w:line="360" w:lineRule="auto"/>
        <w:ind w:left="419"/>
        <w:textAlignment w:val="baseline"/>
        <w:rPr>
          <w:rFonts w:ascii="宋体" w:hAnsi="宋体" w:cs="宋体"/>
          <w:sz w:val="24"/>
        </w:rPr>
      </w:pPr>
      <w:r>
        <w:rPr>
          <w:rFonts w:hint="eastAsia" w:ascii="宋体" w:hAnsi="宋体" w:cs="宋体"/>
          <w:sz w:val="24"/>
        </w:rPr>
        <w:t>施工现场安全生产标准化管理目标等级：</w:t>
      </w:r>
      <w:r>
        <w:rPr>
          <w:rFonts w:hint="eastAsia" w:ascii="宋体" w:hAnsi="宋体" w:cs="宋体"/>
          <w:sz w:val="24"/>
          <w:u w:val="single"/>
        </w:rPr>
        <w:t xml:space="preserve">            </w:t>
      </w:r>
    </w:p>
    <w:p w14:paraId="2BDA4626">
      <w:pPr>
        <w:tabs>
          <w:tab w:val="left" w:pos="567"/>
        </w:tabs>
        <w:wordWrap w:val="0"/>
        <w:autoSpaceDE w:val="0"/>
        <w:autoSpaceDN w:val="0"/>
        <w:adjustRightInd w:val="0"/>
        <w:snapToGrid w:val="0"/>
        <w:spacing w:before="67" w:line="360" w:lineRule="auto"/>
        <w:ind w:left="421"/>
        <w:textAlignment w:val="baseline"/>
        <w:rPr>
          <w:rFonts w:ascii="宋体" w:hAnsi="宋体" w:cs="宋体"/>
          <w:sz w:val="24"/>
        </w:rPr>
      </w:pPr>
      <w:r>
        <w:rPr>
          <w:rFonts w:hint="eastAsia" w:ascii="宋体" w:hAnsi="宋体" w:cs="宋体"/>
          <w:sz w:val="24"/>
        </w:rPr>
        <w:t>六、合同形式</w:t>
      </w:r>
    </w:p>
    <w:p w14:paraId="6FC1EE7A">
      <w:pPr>
        <w:tabs>
          <w:tab w:val="left" w:pos="567"/>
        </w:tabs>
        <w:wordWrap w:val="0"/>
        <w:autoSpaceDE w:val="0"/>
        <w:autoSpaceDN w:val="0"/>
        <w:adjustRightInd w:val="0"/>
        <w:snapToGrid w:val="0"/>
        <w:spacing w:before="83" w:line="360" w:lineRule="auto"/>
        <w:ind w:left="420"/>
        <w:textAlignment w:val="baseline"/>
        <w:rPr>
          <w:rFonts w:ascii="宋体" w:hAnsi="宋体" w:cs="宋体"/>
          <w:sz w:val="24"/>
        </w:rPr>
      </w:pPr>
      <w:r>
        <w:rPr>
          <w:rFonts w:hint="eastAsia" w:ascii="宋体" w:hAnsi="宋体" w:cs="宋体"/>
          <w:sz w:val="24"/>
        </w:rPr>
        <w:t>本合同采用</w:t>
      </w:r>
      <w:r>
        <w:rPr>
          <w:rFonts w:hint="eastAsia" w:ascii="宋体" w:hAnsi="宋体" w:cs="宋体"/>
          <w:sz w:val="24"/>
          <w:u w:val="single"/>
        </w:rPr>
        <w:t xml:space="preserve">                   </w:t>
      </w:r>
      <w:r>
        <w:rPr>
          <w:rFonts w:hint="eastAsia" w:ascii="宋体" w:hAnsi="宋体" w:cs="宋体"/>
          <w:sz w:val="24"/>
        </w:rPr>
        <w:t>合同形式。</w:t>
      </w:r>
    </w:p>
    <w:p w14:paraId="7DE6B3E1">
      <w:pPr>
        <w:tabs>
          <w:tab w:val="left" w:pos="567"/>
        </w:tabs>
        <w:wordWrap w:val="0"/>
        <w:autoSpaceDE w:val="0"/>
        <w:autoSpaceDN w:val="0"/>
        <w:adjustRightInd w:val="0"/>
        <w:snapToGrid w:val="0"/>
        <w:spacing w:before="82" w:line="360" w:lineRule="auto"/>
        <w:ind w:left="419"/>
        <w:textAlignment w:val="baseline"/>
        <w:rPr>
          <w:rFonts w:ascii="宋体" w:hAnsi="宋体" w:cs="宋体"/>
          <w:sz w:val="24"/>
        </w:rPr>
      </w:pPr>
      <w:r>
        <w:rPr>
          <w:rFonts w:hint="eastAsia" w:ascii="宋体" w:hAnsi="宋体" w:cs="宋体"/>
          <w:sz w:val="24"/>
        </w:rPr>
        <w:t>七、签约合同价</w:t>
      </w:r>
    </w:p>
    <w:p w14:paraId="168FBECB">
      <w:pPr>
        <w:tabs>
          <w:tab w:val="left" w:pos="567"/>
        </w:tabs>
        <w:wordWrap w:val="0"/>
        <w:autoSpaceDE w:val="0"/>
        <w:autoSpaceDN w:val="0"/>
        <w:adjustRightInd w:val="0"/>
        <w:snapToGrid w:val="0"/>
        <w:spacing w:before="90" w:line="360" w:lineRule="auto"/>
        <w:ind w:left="420" w:right="18" w:hanging="1"/>
        <w:textAlignment w:val="baseline"/>
        <w:rPr>
          <w:rFonts w:ascii="宋体" w:hAnsi="宋体" w:cs="宋体"/>
          <w:sz w:val="24"/>
        </w:rPr>
      </w:pPr>
      <w:r>
        <w:rPr>
          <w:rFonts w:hint="eastAsia" w:ascii="宋体" w:hAnsi="宋体" w:cs="宋体"/>
          <w:sz w:val="24"/>
        </w:rPr>
        <w:t>金额（含税）（大写）：</w:t>
      </w:r>
      <w:r>
        <w:rPr>
          <w:rFonts w:hint="eastAsia" w:ascii="宋体" w:hAnsi="宋体" w:cs="宋体"/>
          <w:sz w:val="24"/>
          <w:u w:val="single"/>
        </w:rPr>
        <w:t xml:space="preserve">          </w:t>
      </w:r>
      <w:r>
        <w:rPr>
          <w:rFonts w:hint="eastAsia" w:ascii="宋体" w:hAnsi="宋体" w:cs="宋体"/>
          <w:sz w:val="24"/>
        </w:rPr>
        <w:t xml:space="preserve">（人民币） </w:t>
      </w:r>
    </w:p>
    <w:p w14:paraId="2397358F">
      <w:pPr>
        <w:tabs>
          <w:tab w:val="left" w:pos="567"/>
        </w:tabs>
        <w:wordWrap w:val="0"/>
        <w:autoSpaceDE w:val="0"/>
        <w:autoSpaceDN w:val="0"/>
        <w:adjustRightInd w:val="0"/>
        <w:snapToGrid w:val="0"/>
        <w:spacing w:before="90" w:line="360" w:lineRule="auto"/>
        <w:ind w:left="420" w:right="18" w:hanging="1"/>
        <w:textAlignment w:val="baseline"/>
        <w:rPr>
          <w:rFonts w:ascii="宋体" w:hAnsi="宋体" w:cs="宋体"/>
          <w:sz w:val="24"/>
        </w:rPr>
      </w:pP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 xml:space="preserve"> 元</w:t>
      </w:r>
    </w:p>
    <w:p w14:paraId="7AEE712F">
      <w:pPr>
        <w:tabs>
          <w:tab w:val="left" w:pos="567"/>
        </w:tabs>
        <w:wordWrap w:val="0"/>
        <w:autoSpaceDE w:val="0"/>
        <w:autoSpaceDN w:val="0"/>
        <w:adjustRightInd w:val="0"/>
        <w:snapToGrid w:val="0"/>
        <w:spacing w:before="2" w:line="360" w:lineRule="auto"/>
        <w:ind w:firstLine="629"/>
        <w:textAlignment w:val="baseline"/>
        <w:rPr>
          <w:rFonts w:ascii="宋体" w:hAnsi="宋体" w:cs="宋体"/>
          <w:sz w:val="24"/>
        </w:rPr>
      </w:pPr>
      <w:r>
        <w:rPr>
          <w:rFonts w:hint="eastAsia" w:ascii="宋体" w:hAnsi="宋体" w:cs="宋体"/>
          <w:sz w:val="24"/>
        </w:rPr>
        <w:t>其中：安全生产标准化措施费（含税）：</w:t>
      </w:r>
      <w:r>
        <w:rPr>
          <w:rFonts w:hint="eastAsia" w:ascii="宋体" w:hAnsi="宋体" w:cs="宋体"/>
          <w:sz w:val="24"/>
          <w:u w:val="single"/>
        </w:rPr>
        <w:t xml:space="preserve">                 </w:t>
      </w:r>
      <w:r>
        <w:rPr>
          <w:rFonts w:hint="eastAsia" w:ascii="宋体" w:hAnsi="宋体" w:cs="宋体"/>
          <w:sz w:val="24"/>
        </w:rPr>
        <w:t>元</w:t>
      </w:r>
    </w:p>
    <w:p w14:paraId="287907CB">
      <w:pPr>
        <w:tabs>
          <w:tab w:val="left" w:pos="567"/>
        </w:tabs>
        <w:wordWrap w:val="0"/>
        <w:autoSpaceDE w:val="0"/>
        <w:autoSpaceDN w:val="0"/>
        <w:adjustRightInd w:val="0"/>
        <w:snapToGrid w:val="0"/>
        <w:spacing w:before="1" w:line="360" w:lineRule="auto"/>
        <w:ind w:left="1260"/>
        <w:textAlignment w:val="baseline"/>
        <w:rPr>
          <w:rFonts w:ascii="宋体" w:hAnsi="宋体" w:cs="宋体"/>
          <w:sz w:val="24"/>
        </w:rPr>
      </w:pPr>
      <w:r>
        <w:rPr>
          <w:rFonts w:hint="eastAsia" w:ascii="宋体" w:hAnsi="宋体" w:cs="宋体"/>
          <w:sz w:val="24"/>
        </w:rPr>
        <w:t>建筑垃圾运输处置费（含税）：</w:t>
      </w:r>
      <w:r>
        <w:rPr>
          <w:rFonts w:hint="eastAsia" w:ascii="宋体" w:hAnsi="宋体" w:cs="宋体"/>
          <w:sz w:val="24"/>
          <w:u w:val="single"/>
        </w:rPr>
        <w:t xml:space="preserve">                   </w:t>
      </w:r>
      <w:r>
        <w:rPr>
          <w:rFonts w:hint="eastAsia" w:ascii="宋体" w:hAnsi="宋体" w:cs="宋体"/>
          <w:sz w:val="24"/>
        </w:rPr>
        <w:t>元</w:t>
      </w:r>
    </w:p>
    <w:p w14:paraId="462CC9FE">
      <w:pPr>
        <w:tabs>
          <w:tab w:val="left" w:pos="567"/>
        </w:tabs>
        <w:wordWrap w:val="0"/>
        <w:autoSpaceDE w:val="0"/>
        <w:autoSpaceDN w:val="0"/>
        <w:adjustRightInd w:val="0"/>
        <w:snapToGrid w:val="0"/>
        <w:spacing w:before="89" w:line="360" w:lineRule="auto"/>
        <w:ind w:left="1264"/>
        <w:textAlignment w:val="baseline"/>
        <w:rPr>
          <w:rFonts w:ascii="宋体" w:hAnsi="宋体" w:cs="宋体"/>
          <w:sz w:val="24"/>
        </w:rPr>
      </w:pPr>
      <w:r>
        <w:rPr>
          <w:rFonts w:hint="eastAsia" w:ascii="宋体" w:hAnsi="宋体" w:cs="宋体"/>
          <w:sz w:val="24"/>
        </w:rPr>
        <w:t>暂列金额（含税）：</w:t>
      </w:r>
      <w:r>
        <w:rPr>
          <w:rFonts w:hint="eastAsia" w:ascii="宋体" w:hAnsi="宋体" w:cs="宋体"/>
          <w:sz w:val="24"/>
          <w:u w:val="single"/>
        </w:rPr>
        <w:t xml:space="preserve">                            </w:t>
      </w:r>
      <w:r>
        <w:rPr>
          <w:rFonts w:hint="eastAsia" w:ascii="宋体" w:hAnsi="宋体" w:cs="宋体"/>
          <w:sz w:val="24"/>
        </w:rPr>
        <w:t xml:space="preserve"> 元</w:t>
      </w:r>
    </w:p>
    <w:p w14:paraId="3F4DE78C">
      <w:pPr>
        <w:tabs>
          <w:tab w:val="left" w:pos="567"/>
        </w:tabs>
        <w:wordWrap w:val="0"/>
        <w:autoSpaceDE w:val="0"/>
        <w:autoSpaceDN w:val="0"/>
        <w:adjustRightInd w:val="0"/>
        <w:snapToGrid w:val="0"/>
        <w:spacing w:before="135" w:line="360" w:lineRule="auto"/>
        <w:ind w:left="1259"/>
        <w:textAlignment w:val="baseline"/>
        <w:rPr>
          <w:rFonts w:ascii="宋体" w:hAnsi="宋体" w:cs="宋体"/>
          <w:sz w:val="24"/>
        </w:rPr>
      </w:pPr>
      <w:r>
        <w:rPr>
          <w:rFonts w:hint="eastAsia" w:ascii="宋体" w:hAnsi="宋体" w:cs="宋体"/>
          <w:sz w:val="24"/>
        </w:rPr>
        <w:t>专业工程暂估价（含税）：</w:t>
      </w:r>
      <w:r>
        <w:rPr>
          <w:rFonts w:hint="eastAsia" w:ascii="宋体" w:hAnsi="宋体" w:cs="宋体"/>
          <w:position w:val="-2"/>
          <w:sz w:val="24"/>
          <w:u w:val="single"/>
        </w:rPr>
        <w:t xml:space="preserve">                      </w:t>
      </w:r>
      <w:r>
        <w:rPr>
          <w:rFonts w:hint="eastAsia" w:ascii="宋体" w:hAnsi="宋体" w:cs="宋体"/>
          <w:sz w:val="24"/>
        </w:rPr>
        <w:t>元</w:t>
      </w:r>
    </w:p>
    <w:p w14:paraId="2AB8AA45">
      <w:pPr>
        <w:tabs>
          <w:tab w:val="left" w:pos="567"/>
        </w:tabs>
        <w:wordWrap w:val="0"/>
        <w:autoSpaceDE w:val="0"/>
        <w:autoSpaceDN w:val="0"/>
        <w:adjustRightInd w:val="0"/>
        <w:snapToGrid w:val="0"/>
        <w:spacing w:before="104" w:line="360" w:lineRule="auto"/>
        <w:ind w:left="1286"/>
        <w:textAlignment w:val="baseline"/>
        <w:rPr>
          <w:rFonts w:ascii="宋体" w:hAnsi="宋体" w:cs="宋体"/>
          <w:sz w:val="24"/>
        </w:rPr>
      </w:pPr>
      <w:r>
        <w:rPr>
          <w:rFonts w:hint="eastAsia" w:ascii="宋体" w:hAnsi="宋体" w:cs="宋体"/>
          <w:sz w:val="24"/>
        </w:rPr>
        <w:t>……</w:t>
      </w:r>
    </w:p>
    <w:p w14:paraId="0968ECB1">
      <w:pPr>
        <w:tabs>
          <w:tab w:val="left" w:pos="567"/>
        </w:tabs>
        <w:wordWrap w:val="0"/>
        <w:autoSpaceDE w:val="0"/>
        <w:autoSpaceDN w:val="0"/>
        <w:adjustRightInd w:val="0"/>
        <w:snapToGrid w:val="0"/>
        <w:spacing w:before="56" w:line="360" w:lineRule="auto"/>
        <w:ind w:left="421"/>
        <w:textAlignment w:val="baseline"/>
        <w:rPr>
          <w:rFonts w:ascii="宋体" w:hAnsi="宋体" w:cs="宋体"/>
          <w:sz w:val="24"/>
        </w:rPr>
      </w:pPr>
      <w:r>
        <w:rPr>
          <w:rFonts w:hint="eastAsia" w:ascii="宋体" w:hAnsi="宋体" w:cs="宋体"/>
          <w:sz w:val="24"/>
        </w:rPr>
        <w:t>八、承包人项目经理：</w:t>
      </w:r>
    </w:p>
    <w:p w14:paraId="194CEAB1">
      <w:pPr>
        <w:tabs>
          <w:tab w:val="left" w:pos="567"/>
        </w:tabs>
        <w:wordWrap w:val="0"/>
        <w:autoSpaceDE w:val="0"/>
        <w:autoSpaceDN w:val="0"/>
        <w:adjustRightInd w:val="0"/>
        <w:snapToGrid w:val="0"/>
        <w:spacing w:before="83" w:line="360" w:lineRule="auto"/>
        <w:ind w:left="418"/>
        <w:textAlignment w:val="baseline"/>
        <w:rPr>
          <w:rFonts w:ascii="宋体" w:hAnsi="宋体" w:cs="宋体"/>
          <w:sz w:val="24"/>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w w:val="101"/>
          <w:sz w:val="24"/>
        </w:rPr>
        <w:t xml:space="preserve"> </w:t>
      </w:r>
      <w:r>
        <w:rPr>
          <w:rFonts w:hint="eastAsia" w:ascii="宋体" w:hAnsi="宋体" w:cs="宋体"/>
          <w:sz w:val="24"/>
        </w:rPr>
        <w:t>；职称：</w:t>
      </w:r>
      <w:r>
        <w:rPr>
          <w:rFonts w:hint="eastAsia" w:ascii="宋体" w:hAnsi="宋体" w:cs="宋体"/>
          <w:sz w:val="24"/>
          <w:u w:val="single"/>
        </w:rPr>
        <w:t xml:space="preserve">     </w:t>
      </w:r>
      <w:r>
        <w:rPr>
          <w:rFonts w:hint="eastAsia" w:ascii="宋体" w:hAnsi="宋体" w:cs="宋体"/>
          <w:sz w:val="24"/>
        </w:rPr>
        <w:t>；</w:t>
      </w:r>
    </w:p>
    <w:p w14:paraId="36D4381B">
      <w:pPr>
        <w:tabs>
          <w:tab w:val="left" w:pos="567"/>
        </w:tabs>
        <w:wordWrap w:val="0"/>
        <w:autoSpaceDE w:val="0"/>
        <w:autoSpaceDN w:val="0"/>
        <w:adjustRightInd w:val="0"/>
        <w:snapToGrid w:val="0"/>
        <w:spacing w:before="82" w:line="360" w:lineRule="auto"/>
        <w:ind w:left="423"/>
        <w:textAlignment w:val="baseline"/>
        <w:rPr>
          <w:rFonts w:ascii="宋体" w:hAnsi="宋体" w:cs="宋体"/>
          <w:sz w:val="24"/>
        </w:rPr>
      </w:pPr>
      <w:r>
        <w:rPr>
          <w:rFonts w:hint="eastAsia" w:ascii="宋体" w:hAnsi="宋体" w:cs="宋体"/>
          <w:sz w:val="24"/>
        </w:rPr>
        <w:t>身份证号：</w:t>
      </w:r>
      <w:r>
        <w:rPr>
          <w:rFonts w:hint="eastAsia" w:ascii="宋体" w:hAnsi="宋体" w:cs="宋体"/>
          <w:sz w:val="24"/>
          <w:u w:val="single"/>
        </w:rPr>
        <w:t xml:space="preserve">                       </w:t>
      </w:r>
      <w:r>
        <w:rPr>
          <w:rFonts w:hint="eastAsia" w:ascii="宋体" w:hAnsi="宋体" w:cs="宋体"/>
          <w:sz w:val="24"/>
        </w:rPr>
        <w:t>；建造师执业资格证书号：</w:t>
      </w:r>
      <w:r>
        <w:rPr>
          <w:rFonts w:hint="eastAsia" w:ascii="宋体" w:hAnsi="宋体" w:cs="宋体"/>
          <w:sz w:val="24"/>
          <w:u w:val="single"/>
        </w:rPr>
        <w:t xml:space="preserve">       </w:t>
      </w:r>
      <w:r>
        <w:rPr>
          <w:rFonts w:hint="eastAsia" w:ascii="宋体" w:hAnsi="宋体" w:cs="宋体"/>
          <w:sz w:val="24"/>
        </w:rPr>
        <w:t>；</w:t>
      </w:r>
    </w:p>
    <w:p w14:paraId="0679394E">
      <w:pPr>
        <w:tabs>
          <w:tab w:val="left" w:pos="567"/>
        </w:tabs>
        <w:wordWrap w:val="0"/>
        <w:autoSpaceDE w:val="0"/>
        <w:autoSpaceDN w:val="0"/>
        <w:adjustRightInd w:val="0"/>
        <w:snapToGrid w:val="0"/>
        <w:spacing w:before="83" w:line="360" w:lineRule="auto"/>
        <w:ind w:left="420"/>
        <w:textAlignment w:val="baseline"/>
        <w:rPr>
          <w:rFonts w:ascii="宋体" w:hAnsi="宋体" w:cs="宋体"/>
          <w:sz w:val="24"/>
        </w:rPr>
      </w:pPr>
      <w:r>
        <w:rPr>
          <w:rFonts w:hint="eastAsia" w:ascii="宋体" w:hAnsi="宋体" w:cs="宋体"/>
          <w:sz w:val="24"/>
        </w:rPr>
        <w:t>建造师注册证书号：</w:t>
      </w:r>
      <w:r>
        <w:rPr>
          <w:rFonts w:hint="eastAsia" w:ascii="宋体" w:hAnsi="宋体" w:cs="宋体"/>
          <w:sz w:val="24"/>
          <w:u w:val="single"/>
        </w:rPr>
        <w:t xml:space="preserve">                                           </w:t>
      </w:r>
      <w:r>
        <w:rPr>
          <w:rFonts w:hint="eastAsia" w:ascii="宋体" w:hAnsi="宋体" w:cs="宋体"/>
          <w:sz w:val="24"/>
        </w:rPr>
        <w:t>。</w:t>
      </w:r>
    </w:p>
    <w:p w14:paraId="73982279">
      <w:pPr>
        <w:tabs>
          <w:tab w:val="left" w:pos="567"/>
        </w:tabs>
        <w:wordWrap w:val="0"/>
        <w:autoSpaceDE w:val="0"/>
        <w:autoSpaceDN w:val="0"/>
        <w:adjustRightInd w:val="0"/>
        <w:snapToGrid w:val="0"/>
        <w:spacing w:before="82" w:line="360" w:lineRule="auto"/>
        <w:ind w:left="420"/>
        <w:textAlignment w:val="baseline"/>
        <w:rPr>
          <w:rFonts w:ascii="宋体" w:hAnsi="宋体" w:cs="宋体"/>
          <w:sz w:val="24"/>
        </w:rPr>
      </w:pPr>
      <w:r>
        <w:rPr>
          <w:rFonts w:hint="eastAsia" w:ascii="宋体" w:hAnsi="宋体" w:cs="宋体"/>
          <w:sz w:val="24"/>
        </w:rPr>
        <w:t>建造师执业印章号：</w:t>
      </w:r>
      <w:r>
        <w:rPr>
          <w:rFonts w:hint="eastAsia" w:ascii="宋体" w:hAnsi="宋体" w:cs="宋体"/>
          <w:sz w:val="24"/>
          <w:u w:val="single"/>
        </w:rPr>
        <w:t xml:space="preserve">                                          </w:t>
      </w:r>
      <w:r>
        <w:rPr>
          <w:rFonts w:hint="eastAsia" w:ascii="宋体" w:hAnsi="宋体" w:cs="宋体"/>
          <w:sz w:val="24"/>
        </w:rPr>
        <w:t>。</w:t>
      </w:r>
    </w:p>
    <w:p w14:paraId="2E6F848D">
      <w:pPr>
        <w:tabs>
          <w:tab w:val="left" w:pos="567"/>
        </w:tabs>
        <w:wordWrap w:val="0"/>
        <w:autoSpaceDE w:val="0"/>
        <w:autoSpaceDN w:val="0"/>
        <w:adjustRightInd w:val="0"/>
        <w:snapToGrid w:val="0"/>
        <w:spacing w:before="82" w:line="360" w:lineRule="auto"/>
        <w:ind w:left="422"/>
        <w:textAlignment w:val="baseline"/>
        <w:rPr>
          <w:rFonts w:ascii="宋体" w:hAnsi="宋体" w:cs="宋体"/>
          <w:sz w:val="24"/>
        </w:rPr>
      </w:pPr>
      <w:r>
        <w:rPr>
          <w:rFonts w:hint="eastAsia" w:ascii="宋体" w:hAnsi="宋体" w:cs="宋体"/>
          <w:sz w:val="24"/>
        </w:rPr>
        <w:t>安全生产考核合格证书号：</w:t>
      </w:r>
      <w:r>
        <w:rPr>
          <w:rFonts w:hint="eastAsia" w:ascii="宋体" w:hAnsi="宋体" w:cs="宋体"/>
          <w:sz w:val="24"/>
          <w:u w:val="single"/>
        </w:rPr>
        <w:t xml:space="preserve">                                   </w:t>
      </w:r>
      <w:r>
        <w:rPr>
          <w:rFonts w:hint="eastAsia" w:ascii="宋体" w:hAnsi="宋体" w:cs="宋体"/>
          <w:sz w:val="24"/>
        </w:rPr>
        <w:t>。</w:t>
      </w:r>
    </w:p>
    <w:p w14:paraId="073CF429">
      <w:pPr>
        <w:tabs>
          <w:tab w:val="left" w:pos="567"/>
        </w:tabs>
        <w:wordWrap w:val="0"/>
        <w:autoSpaceDE w:val="0"/>
        <w:autoSpaceDN w:val="0"/>
        <w:adjustRightInd w:val="0"/>
        <w:snapToGrid w:val="0"/>
        <w:spacing w:before="83" w:line="360" w:lineRule="auto"/>
        <w:ind w:left="423"/>
        <w:textAlignment w:val="baseline"/>
        <w:rPr>
          <w:rFonts w:ascii="宋体" w:hAnsi="宋体" w:cs="宋体"/>
          <w:sz w:val="24"/>
        </w:rPr>
      </w:pPr>
      <w:r>
        <w:rPr>
          <w:rFonts w:hint="eastAsia" w:ascii="宋体" w:hAnsi="宋体" w:cs="宋体"/>
          <w:sz w:val="24"/>
        </w:rPr>
        <w:t>九、合同文件的组成</w:t>
      </w:r>
    </w:p>
    <w:p w14:paraId="486F81B1">
      <w:pPr>
        <w:tabs>
          <w:tab w:val="left" w:pos="567"/>
        </w:tabs>
        <w:wordWrap w:val="0"/>
        <w:autoSpaceDE w:val="0"/>
        <w:autoSpaceDN w:val="0"/>
        <w:adjustRightInd w:val="0"/>
        <w:snapToGrid w:val="0"/>
        <w:spacing w:before="82" w:line="360" w:lineRule="auto"/>
        <w:ind w:left="424"/>
        <w:textAlignment w:val="baseline"/>
        <w:rPr>
          <w:rFonts w:ascii="宋体" w:hAnsi="宋体" w:cs="宋体"/>
          <w:sz w:val="24"/>
        </w:rPr>
      </w:pPr>
      <w:r>
        <w:rPr>
          <w:rFonts w:hint="eastAsia" w:ascii="宋体" w:hAnsi="宋体" w:cs="宋体"/>
          <w:sz w:val="24"/>
        </w:rPr>
        <w:t>下列文件共同构成合同文件：</w:t>
      </w:r>
    </w:p>
    <w:p w14:paraId="78CF3100">
      <w:pPr>
        <w:tabs>
          <w:tab w:val="left" w:pos="567"/>
        </w:tabs>
        <w:wordWrap w:val="0"/>
        <w:autoSpaceDE w:val="0"/>
        <w:autoSpaceDN w:val="0"/>
        <w:adjustRightInd w:val="0"/>
        <w:snapToGrid w:val="0"/>
        <w:spacing w:before="82" w:line="360" w:lineRule="auto"/>
        <w:ind w:left="433"/>
        <w:textAlignment w:val="baseline"/>
        <w:rPr>
          <w:rFonts w:ascii="宋体" w:hAnsi="宋体" w:cs="宋体"/>
          <w:sz w:val="24"/>
        </w:rPr>
      </w:pPr>
      <w:r>
        <w:rPr>
          <w:rFonts w:hint="eastAsia" w:ascii="宋体" w:hAnsi="宋体" w:cs="宋体"/>
          <w:sz w:val="24"/>
        </w:rPr>
        <w:t>1、本协议书；</w:t>
      </w:r>
    </w:p>
    <w:p w14:paraId="3F97B4B3">
      <w:pPr>
        <w:tabs>
          <w:tab w:val="left" w:pos="567"/>
        </w:tabs>
        <w:wordWrap w:val="0"/>
        <w:autoSpaceDE w:val="0"/>
        <w:autoSpaceDN w:val="0"/>
        <w:adjustRightInd w:val="0"/>
        <w:snapToGrid w:val="0"/>
        <w:spacing w:before="82" w:line="360" w:lineRule="auto"/>
        <w:ind w:left="420"/>
        <w:textAlignment w:val="baseline"/>
        <w:rPr>
          <w:rFonts w:ascii="宋体" w:hAnsi="宋体" w:cs="宋体"/>
          <w:sz w:val="24"/>
        </w:rPr>
      </w:pPr>
      <w:r>
        <w:rPr>
          <w:rFonts w:hint="eastAsia" w:ascii="宋体" w:hAnsi="宋体" w:cs="宋体"/>
          <w:sz w:val="24"/>
        </w:rPr>
        <w:t>2、中标通知书；</w:t>
      </w:r>
    </w:p>
    <w:p w14:paraId="39FC1FDA">
      <w:pPr>
        <w:tabs>
          <w:tab w:val="left" w:pos="567"/>
        </w:tabs>
        <w:wordWrap w:val="0"/>
        <w:autoSpaceDE w:val="0"/>
        <w:autoSpaceDN w:val="0"/>
        <w:adjustRightInd w:val="0"/>
        <w:snapToGrid w:val="0"/>
        <w:spacing w:before="82" w:line="360" w:lineRule="auto"/>
        <w:ind w:left="422"/>
        <w:textAlignment w:val="baseline"/>
        <w:rPr>
          <w:rFonts w:ascii="宋体" w:hAnsi="宋体" w:cs="宋体"/>
          <w:sz w:val="24"/>
        </w:rPr>
      </w:pPr>
      <w:r>
        <w:rPr>
          <w:rFonts w:hint="eastAsia" w:ascii="宋体" w:hAnsi="宋体" w:cs="宋体"/>
          <w:sz w:val="24"/>
        </w:rPr>
        <w:t>3、投标函及投标函附录；</w:t>
      </w:r>
    </w:p>
    <w:p w14:paraId="185ECC75">
      <w:pPr>
        <w:tabs>
          <w:tab w:val="left" w:pos="567"/>
        </w:tabs>
        <w:wordWrap w:val="0"/>
        <w:autoSpaceDE w:val="0"/>
        <w:autoSpaceDN w:val="0"/>
        <w:adjustRightInd w:val="0"/>
        <w:snapToGrid w:val="0"/>
        <w:spacing w:before="84" w:line="360" w:lineRule="auto"/>
        <w:ind w:left="417"/>
        <w:textAlignment w:val="baseline"/>
        <w:rPr>
          <w:rFonts w:ascii="宋体" w:hAnsi="宋体" w:cs="宋体"/>
          <w:sz w:val="24"/>
        </w:rPr>
      </w:pPr>
      <w:r>
        <w:rPr>
          <w:rFonts w:hint="eastAsia" w:ascii="宋体" w:hAnsi="宋体" w:cs="宋体"/>
          <w:sz w:val="24"/>
        </w:rPr>
        <w:t>4、合同条款专用部分；</w:t>
      </w:r>
    </w:p>
    <w:p w14:paraId="07D66B51">
      <w:pPr>
        <w:tabs>
          <w:tab w:val="left" w:pos="567"/>
        </w:tabs>
        <w:wordWrap w:val="0"/>
        <w:autoSpaceDE w:val="0"/>
        <w:autoSpaceDN w:val="0"/>
        <w:adjustRightInd w:val="0"/>
        <w:snapToGrid w:val="0"/>
        <w:spacing w:before="83" w:line="360" w:lineRule="auto"/>
        <w:ind w:left="422"/>
        <w:textAlignment w:val="baseline"/>
        <w:rPr>
          <w:rFonts w:ascii="宋体" w:hAnsi="宋体" w:cs="宋体"/>
          <w:sz w:val="24"/>
        </w:rPr>
      </w:pPr>
      <w:r>
        <w:rPr>
          <w:rFonts w:hint="eastAsia" w:ascii="宋体" w:hAnsi="宋体" w:cs="宋体"/>
          <w:sz w:val="24"/>
        </w:rPr>
        <w:t>5、合同条款通用部分；</w:t>
      </w:r>
    </w:p>
    <w:p w14:paraId="47DFA87D">
      <w:pPr>
        <w:tabs>
          <w:tab w:val="left" w:pos="567"/>
        </w:tabs>
        <w:wordWrap w:val="0"/>
        <w:autoSpaceDE w:val="0"/>
        <w:autoSpaceDN w:val="0"/>
        <w:adjustRightInd w:val="0"/>
        <w:snapToGrid w:val="0"/>
        <w:spacing w:before="83" w:line="360" w:lineRule="auto"/>
        <w:ind w:left="420"/>
        <w:textAlignment w:val="baseline"/>
        <w:rPr>
          <w:rFonts w:ascii="宋体" w:hAnsi="宋体" w:cs="宋体"/>
          <w:sz w:val="24"/>
        </w:rPr>
      </w:pPr>
      <w:r>
        <w:rPr>
          <w:rFonts w:hint="eastAsia" w:ascii="宋体" w:hAnsi="宋体" w:cs="宋体"/>
          <w:sz w:val="24"/>
        </w:rPr>
        <w:t>6、技术标准和要求；</w:t>
      </w:r>
    </w:p>
    <w:p w14:paraId="6A4FA7BD">
      <w:pPr>
        <w:tabs>
          <w:tab w:val="left" w:pos="567"/>
        </w:tabs>
        <w:wordWrap w:val="0"/>
        <w:autoSpaceDE w:val="0"/>
        <w:autoSpaceDN w:val="0"/>
        <w:adjustRightInd w:val="0"/>
        <w:snapToGrid w:val="0"/>
        <w:spacing w:before="82" w:line="360" w:lineRule="auto"/>
        <w:ind w:left="423"/>
        <w:textAlignment w:val="baseline"/>
        <w:rPr>
          <w:rFonts w:ascii="宋体" w:hAnsi="宋体" w:cs="宋体"/>
          <w:sz w:val="24"/>
        </w:rPr>
      </w:pPr>
      <w:r>
        <w:rPr>
          <w:rFonts w:hint="eastAsia" w:ascii="宋体" w:hAnsi="宋体" w:cs="宋体"/>
          <w:sz w:val="24"/>
        </w:rPr>
        <w:t>7、图纸；</w:t>
      </w:r>
    </w:p>
    <w:p w14:paraId="0CE2DFD2">
      <w:pPr>
        <w:tabs>
          <w:tab w:val="left" w:pos="567"/>
        </w:tabs>
        <w:wordWrap w:val="0"/>
        <w:autoSpaceDE w:val="0"/>
        <w:autoSpaceDN w:val="0"/>
        <w:adjustRightInd w:val="0"/>
        <w:snapToGrid w:val="0"/>
        <w:spacing w:before="83" w:line="360" w:lineRule="auto"/>
        <w:ind w:left="419"/>
        <w:textAlignment w:val="baseline"/>
        <w:rPr>
          <w:rFonts w:ascii="宋体" w:hAnsi="宋体" w:cs="宋体"/>
          <w:sz w:val="24"/>
        </w:rPr>
      </w:pPr>
      <w:r>
        <w:rPr>
          <w:rFonts w:hint="eastAsia" w:ascii="宋体" w:hAnsi="宋体" w:cs="宋体"/>
          <w:sz w:val="24"/>
        </w:rPr>
        <w:t>8、合同清单；</w:t>
      </w:r>
    </w:p>
    <w:p w14:paraId="76B12CD0">
      <w:pPr>
        <w:tabs>
          <w:tab w:val="left" w:pos="567"/>
        </w:tabs>
        <w:wordWrap w:val="0"/>
        <w:autoSpaceDE w:val="0"/>
        <w:autoSpaceDN w:val="0"/>
        <w:adjustRightInd w:val="0"/>
        <w:snapToGrid w:val="0"/>
        <w:spacing w:before="82" w:line="360" w:lineRule="auto"/>
        <w:ind w:left="419"/>
        <w:textAlignment w:val="baseline"/>
        <w:rPr>
          <w:rFonts w:ascii="宋体" w:hAnsi="宋体" w:cs="宋体"/>
          <w:sz w:val="24"/>
        </w:rPr>
      </w:pPr>
      <w:r>
        <w:rPr>
          <w:rFonts w:hint="eastAsia" w:ascii="宋体" w:hAnsi="宋体" w:cs="宋体"/>
          <w:sz w:val="24"/>
        </w:rPr>
        <w:t>9、其他合同文件。</w:t>
      </w:r>
    </w:p>
    <w:p w14:paraId="06112A3E">
      <w:pPr>
        <w:tabs>
          <w:tab w:val="left" w:pos="567"/>
        </w:tabs>
        <w:wordWrap w:val="0"/>
        <w:autoSpaceDE w:val="0"/>
        <w:autoSpaceDN w:val="0"/>
        <w:adjustRightInd w:val="0"/>
        <w:snapToGrid w:val="0"/>
        <w:spacing w:before="82" w:line="360" w:lineRule="auto"/>
        <w:ind w:left="417"/>
        <w:textAlignment w:val="baseline"/>
        <w:rPr>
          <w:rFonts w:ascii="宋体" w:hAnsi="宋体" w:cs="宋体"/>
          <w:sz w:val="24"/>
        </w:rPr>
      </w:pPr>
      <w:r>
        <w:rPr>
          <w:rFonts w:hint="eastAsia" w:ascii="宋体" w:hAnsi="宋体" w:cs="宋体"/>
          <w:sz w:val="24"/>
        </w:rPr>
        <w:t>在合同订立及履行过程中形成的与合同有关的文件均构成合同文件组成部分。</w:t>
      </w:r>
    </w:p>
    <w:p w14:paraId="5B8E379B">
      <w:pPr>
        <w:tabs>
          <w:tab w:val="left" w:pos="567"/>
        </w:tabs>
        <w:wordWrap w:val="0"/>
        <w:autoSpaceDE w:val="0"/>
        <w:autoSpaceDN w:val="0"/>
        <w:adjustRightInd w:val="0"/>
        <w:snapToGrid w:val="0"/>
        <w:spacing w:before="82" w:line="360" w:lineRule="auto"/>
        <w:ind w:left="21" w:right="188" w:firstLine="398"/>
        <w:textAlignment w:val="baseline"/>
        <w:rPr>
          <w:rFonts w:ascii="宋体" w:hAnsi="宋体" w:cs="宋体"/>
          <w:sz w:val="24"/>
        </w:rPr>
      </w:pPr>
      <w:r>
        <w:rPr>
          <w:rFonts w:hint="eastAsia" w:ascii="宋体" w:hAnsi="宋体" w:cs="宋体"/>
          <w:sz w:val="24"/>
        </w:rPr>
        <w:t>上述各项合同文件包括合同双方就该项合同文件所作出的补充和修改 ，属于同一类内容的文件 ，应以最新签署的为准。</w:t>
      </w:r>
    </w:p>
    <w:p w14:paraId="79F82027">
      <w:pPr>
        <w:tabs>
          <w:tab w:val="left" w:pos="567"/>
        </w:tabs>
        <w:wordWrap w:val="0"/>
        <w:autoSpaceDE w:val="0"/>
        <w:autoSpaceDN w:val="0"/>
        <w:adjustRightInd w:val="0"/>
        <w:snapToGrid w:val="0"/>
        <w:spacing w:before="1" w:line="360" w:lineRule="auto"/>
        <w:ind w:left="420"/>
        <w:textAlignment w:val="baseline"/>
        <w:rPr>
          <w:rFonts w:ascii="宋体" w:hAnsi="宋体" w:cs="宋体"/>
          <w:sz w:val="24"/>
        </w:rPr>
      </w:pPr>
      <w:r>
        <w:rPr>
          <w:rFonts w:hint="eastAsia" w:ascii="宋体" w:hAnsi="宋体" w:cs="宋体"/>
          <w:sz w:val="24"/>
        </w:rPr>
        <w:t>上述文件互相补充和解释 ，如有不明确或不一致之处 ， 以合同约定次序在先者为准。</w:t>
      </w:r>
    </w:p>
    <w:p w14:paraId="3EF6791F">
      <w:pPr>
        <w:tabs>
          <w:tab w:val="left" w:pos="567"/>
        </w:tabs>
        <w:wordWrap w:val="0"/>
        <w:autoSpaceDE w:val="0"/>
        <w:autoSpaceDN w:val="0"/>
        <w:adjustRightInd w:val="0"/>
        <w:snapToGrid w:val="0"/>
        <w:spacing w:before="83" w:line="360" w:lineRule="auto"/>
        <w:ind w:left="419"/>
        <w:textAlignment w:val="baseline"/>
        <w:rPr>
          <w:rFonts w:ascii="宋体" w:hAnsi="宋体" w:cs="宋体"/>
          <w:sz w:val="24"/>
        </w:rPr>
      </w:pPr>
      <w:r>
        <w:rPr>
          <w:rFonts w:hint="eastAsia" w:ascii="宋体" w:hAnsi="宋体" w:cs="宋体"/>
          <w:sz w:val="24"/>
        </w:rPr>
        <w:t>十、本协议书中有关词语定义与合同条款中的定义相同。</w:t>
      </w:r>
    </w:p>
    <w:p w14:paraId="109164F8">
      <w:pPr>
        <w:tabs>
          <w:tab w:val="left" w:pos="567"/>
        </w:tabs>
        <w:wordWrap w:val="0"/>
        <w:autoSpaceDE w:val="0"/>
        <w:autoSpaceDN w:val="0"/>
        <w:adjustRightInd w:val="0"/>
        <w:snapToGrid w:val="0"/>
        <w:spacing w:before="82" w:line="360" w:lineRule="auto"/>
        <w:ind w:left="419"/>
        <w:textAlignment w:val="baseline"/>
        <w:rPr>
          <w:rFonts w:ascii="宋体" w:hAnsi="宋体" w:cs="宋体"/>
          <w:sz w:val="24"/>
        </w:rPr>
      </w:pPr>
      <w:r>
        <w:rPr>
          <w:rFonts w:hint="eastAsia" w:ascii="宋体" w:hAnsi="宋体" w:cs="宋体"/>
          <w:sz w:val="24"/>
        </w:rPr>
        <w:t>十一、承包人承诺按照合同约定进行施工、竣工、交付并承担质量缺陷保修责任。</w:t>
      </w:r>
    </w:p>
    <w:p w14:paraId="34DB353E">
      <w:pPr>
        <w:tabs>
          <w:tab w:val="left" w:pos="567"/>
        </w:tabs>
        <w:wordWrap w:val="0"/>
        <w:autoSpaceDE w:val="0"/>
        <w:autoSpaceDN w:val="0"/>
        <w:adjustRightInd w:val="0"/>
        <w:snapToGrid w:val="0"/>
        <w:spacing w:before="83" w:line="360" w:lineRule="auto"/>
        <w:ind w:left="419"/>
        <w:textAlignment w:val="baseline"/>
        <w:rPr>
          <w:rFonts w:ascii="宋体" w:hAnsi="宋体" w:cs="宋体"/>
          <w:sz w:val="24"/>
        </w:rPr>
      </w:pPr>
      <w:r>
        <w:rPr>
          <w:rFonts w:hint="eastAsia" w:ascii="宋体" w:hAnsi="宋体" w:cs="宋体"/>
          <w:sz w:val="24"/>
        </w:rPr>
        <w:t>十二、发包人承诺按照合同约定的条件、期限和方式向承包人支付合同价款。</w:t>
      </w:r>
    </w:p>
    <w:p w14:paraId="5896595F">
      <w:pPr>
        <w:tabs>
          <w:tab w:val="left" w:pos="567"/>
        </w:tabs>
        <w:wordWrap w:val="0"/>
        <w:autoSpaceDE w:val="0"/>
        <w:autoSpaceDN w:val="0"/>
        <w:adjustRightInd w:val="0"/>
        <w:snapToGrid w:val="0"/>
        <w:spacing w:before="83" w:line="360" w:lineRule="auto"/>
        <w:ind w:left="419"/>
        <w:textAlignment w:val="baseline"/>
        <w:rPr>
          <w:rFonts w:ascii="宋体" w:hAnsi="宋体" w:cs="宋体"/>
          <w:sz w:val="24"/>
        </w:rPr>
      </w:pPr>
      <w:r>
        <w:rPr>
          <w:rFonts w:hint="eastAsia" w:ascii="宋体" w:hAnsi="宋体" w:cs="宋体"/>
          <w:sz w:val="24"/>
        </w:rPr>
        <w:t>十三、本协议书连同其他合同文件正本一式两份 ，合同双方各执一份；副本一式</w:t>
      </w:r>
      <w:r>
        <w:rPr>
          <w:rFonts w:hint="eastAsia" w:ascii="宋体" w:hAnsi="宋体" w:cs="宋体"/>
          <w:sz w:val="24"/>
          <w:u w:val="single"/>
        </w:rPr>
        <w:t xml:space="preserve">      </w:t>
      </w:r>
      <w:r>
        <w:rPr>
          <w:rFonts w:hint="eastAsia" w:ascii="宋体" w:hAnsi="宋体" w:cs="宋体"/>
          <w:sz w:val="24"/>
        </w:rPr>
        <w:t>份。</w:t>
      </w:r>
    </w:p>
    <w:p w14:paraId="1AEF8727">
      <w:pPr>
        <w:tabs>
          <w:tab w:val="left" w:pos="567"/>
        </w:tabs>
        <w:wordWrap w:val="0"/>
        <w:autoSpaceDE w:val="0"/>
        <w:autoSpaceDN w:val="0"/>
        <w:adjustRightInd w:val="0"/>
        <w:snapToGrid w:val="0"/>
        <w:spacing w:before="83" w:line="360" w:lineRule="auto"/>
        <w:ind w:right="188" w:firstLine="418"/>
        <w:textAlignment w:val="baseline"/>
        <w:rPr>
          <w:rFonts w:ascii="宋体" w:hAnsi="宋体" w:cs="宋体"/>
          <w:sz w:val="24"/>
        </w:rPr>
      </w:pPr>
      <w:r>
        <w:rPr>
          <w:rFonts w:hint="eastAsia" w:ascii="宋体" w:hAnsi="宋体" w:cs="宋体"/>
          <w:sz w:val="24"/>
        </w:rPr>
        <w:t>十四、合同未尽事宜 ，双方另行签订补充协议 ，但不得背离本协议第九条所约定的合同文件的实质性内容 。补充协议是合同文件的组成部分。</w:t>
      </w:r>
    </w:p>
    <w:p w14:paraId="72209D62">
      <w:pPr>
        <w:wordWrap w:val="0"/>
        <w:autoSpaceDE w:val="0"/>
        <w:autoSpaceDN w:val="0"/>
        <w:adjustRightInd w:val="0"/>
        <w:snapToGrid w:val="0"/>
        <w:spacing w:line="360" w:lineRule="auto"/>
        <w:textAlignment w:val="baseline"/>
        <w:rPr>
          <w:rFonts w:ascii="宋体" w:hAnsi="宋体" w:cs="宋体"/>
        </w:rPr>
      </w:pPr>
    </w:p>
    <w:p w14:paraId="6842BDF9">
      <w:pPr>
        <w:tabs>
          <w:tab w:val="left" w:pos="567"/>
        </w:tabs>
        <w:wordWrap w:val="0"/>
        <w:autoSpaceDE w:val="0"/>
        <w:autoSpaceDN w:val="0"/>
        <w:adjustRightInd w:val="0"/>
        <w:snapToGrid w:val="0"/>
        <w:spacing w:before="91" w:line="360" w:lineRule="auto"/>
        <w:ind w:left="1"/>
        <w:textAlignment w:val="baseline"/>
        <w:rPr>
          <w:rFonts w:ascii="宋体" w:hAnsi="宋体" w:cs="宋体"/>
          <w:sz w:val="24"/>
        </w:rPr>
      </w:pPr>
    </w:p>
    <w:p w14:paraId="637EDF95">
      <w:pPr>
        <w:tabs>
          <w:tab w:val="left" w:pos="567"/>
        </w:tabs>
        <w:wordWrap w:val="0"/>
        <w:autoSpaceDE w:val="0"/>
        <w:autoSpaceDN w:val="0"/>
        <w:adjustRightInd w:val="0"/>
        <w:snapToGrid w:val="0"/>
        <w:spacing w:before="91" w:line="360" w:lineRule="auto"/>
        <w:ind w:left="1"/>
        <w:textAlignment w:val="baseline"/>
        <w:rPr>
          <w:rFonts w:ascii="宋体" w:hAnsi="宋体" w:cs="宋体"/>
          <w:sz w:val="24"/>
        </w:rPr>
      </w:pPr>
      <w:r>
        <w:rPr>
          <w:rFonts w:hint="eastAsia" w:ascii="宋体" w:hAnsi="宋体" w:cs="宋体"/>
          <w:sz w:val="24"/>
        </w:rPr>
        <w:t>发包人：</w:t>
      </w:r>
      <w:r>
        <w:rPr>
          <w:rFonts w:hint="eastAsia" w:ascii="宋体" w:hAnsi="宋体" w:cs="宋体"/>
          <w:sz w:val="24"/>
          <w:u w:val="single"/>
        </w:rPr>
        <w:t xml:space="preserve">             </w:t>
      </w:r>
      <w:r>
        <w:rPr>
          <w:rFonts w:hint="eastAsia" w:ascii="宋体" w:hAnsi="宋体" w:cs="宋体"/>
          <w:sz w:val="24"/>
        </w:rPr>
        <w:t>（盖单位章）     承包人：</w:t>
      </w:r>
      <w:r>
        <w:rPr>
          <w:rFonts w:hint="eastAsia" w:ascii="宋体" w:hAnsi="宋体" w:cs="宋体"/>
          <w:sz w:val="24"/>
          <w:u w:val="single"/>
        </w:rPr>
        <w:t xml:space="preserve">            </w:t>
      </w:r>
      <w:r>
        <w:rPr>
          <w:rFonts w:hint="eastAsia" w:ascii="宋体" w:hAnsi="宋体" w:cs="宋体"/>
          <w:sz w:val="24"/>
        </w:rPr>
        <w:t>（盖单位章）</w:t>
      </w:r>
    </w:p>
    <w:p w14:paraId="15544713">
      <w:pPr>
        <w:tabs>
          <w:tab w:val="left" w:pos="567"/>
        </w:tabs>
        <w:wordWrap w:val="0"/>
        <w:autoSpaceDE w:val="0"/>
        <w:autoSpaceDN w:val="0"/>
        <w:adjustRightInd w:val="0"/>
        <w:snapToGrid w:val="0"/>
        <w:spacing w:before="90" w:line="360" w:lineRule="auto"/>
        <w:ind w:left="16"/>
        <w:textAlignment w:val="baseline"/>
        <w:rPr>
          <w:rFonts w:ascii="宋体" w:hAnsi="宋体" w:cs="宋体"/>
          <w:sz w:val="24"/>
        </w:rPr>
      </w:pPr>
      <w:r>
        <w:rPr>
          <w:rFonts w:hint="eastAsia" w:ascii="宋体" w:hAnsi="宋体" w:cs="宋体"/>
          <w:sz w:val="24"/>
        </w:rPr>
        <w:t>法定代表人或其                         法定代表人或其</w:t>
      </w:r>
    </w:p>
    <w:p w14:paraId="5D37659D">
      <w:pPr>
        <w:tabs>
          <w:tab w:val="left" w:pos="567"/>
        </w:tabs>
        <w:wordWrap w:val="0"/>
        <w:autoSpaceDE w:val="0"/>
        <w:autoSpaceDN w:val="0"/>
        <w:adjustRightInd w:val="0"/>
        <w:snapToGrid w:val="0"/>
        <w:spacing w:before="82" w:line="360" w:lineRule="auto"/>
        <w:ind w:left="14"/>
        <w:textAlignment w:val="baseline"/>
        <w:rPr>
          <w:rFonts w:ascii="宋体" w:hAnsi="宋体" w:cs="宋体"/>
          <w:sz w:val="24"/>
        </w:rPr>
      </w:pPr>
      <w:r>
        <w:rPr>
          <w:rFonts w:hint="eastAsia" w:ascii="宋体" w:hAnsi="宋体" w:cs="宋体"/>
          <w:sz w:val="24"/>
        </w:rPr>
        <w:t>委托代理人：</w:t>
      </w:r>
      <w:r>
        <w:rPr>
          <w:rFonts w:hint="eastAsia" w:ascii="宋体" w:hAnsi="宋体" w:cs="宋体"/>
          <w:sz w:val="24"/>
          <w:u w:val="single"/>
        </w:rPr>
        <w:t xml:space="preserve">          </w:t>
      </w:r>
      <w:r>
        <w:rPr>
          <w:rFonts w:hint="eastAsia" w:ascii="宋体" w:hAnsi="宋体" w:cs="宋体"/>
          <w:sz w:val="24"/>
        </w:rPr>
        <w:t>（签字）         委托代理人：</w:t>
      </w:r>
      <w:r>
        <w:rPr>
          <w:rFonts w:hint="eastAsia" w:ascii="宋体" w:hAnsi="宋体" w:cs="宋体"/>
          <w:sz w:val="24"/>
          <w:u w:val="single"/>
        </w:rPr>
        <w:t xml:space="preserve">         </w:t>
      </w:r>
      <w:r>
        <w:rPr>
          <w:rFonts w:hint="eastAsia" w:ascii="宋体" w:hAnsi="宋体" w:cs="宋体"/>
          <w:sz w:val="24"/>
        </w:rPr>
        <w:t>（签字）</w:t>
      </w:r>
    </w:p>
    <w:p w14:paraId="31421D57">
      <w:pPr>
        <w:wordWrap w:val="0"/>
        <w:autoSpaceDE w:val="0"/>
        <w:autoSpaceDN w:val="0"/>
        <w:adjustRightInd w:val="0"/>
        <w:snapToGrid w:val="0"/>
        <w:spacing w:line="360" w:lineRule="auto"/>
        <w:textAlignment w:val="baseline"/>
        <w:rPr>
          <w:rFonts w:ascii="宋体" w:hAnsi="宋体" w:cs="宋体"/>
        </w:rPr>
      </w:pPr>
    </w:p>
    <w:p w14:paraId="506C5C42">
      <w:pPr>
        <w:tabs>
          <w:tab w:val="left" w:pos="1065"/>
        </w:tabs>
        <w:wordWrap w:val="0"/>
        <w:autoSpaceDE w:val="0"/>
        <w:autoSpaceDN w:val="0"/>
        <w:adjustRightInd w:val="0"/>
        <w:snapToGrid w:val="0"/>
        <w:spacing w:before="90" w:line="360" w:lineRule="auto"/>
        <w:textAlignment w:val="baseline"/>
        <w:rPr>
          <w:rFonts w:ascii="宋体" w:hAnsi="宋体" w:cs="宋体"/>
          <w:sz w:val="24"/>
        </w:rPr>
      </w:pPr>
      <w:r>
        <w:rPr>
          <w:rFonts w:hint="eastAsia" w:ascii="宋体" w:hAnsi="宋体" w:cs="宋体"/>
          <w:sz w:val="24"/>
          <w:u w:val="single"/>
        </w:rPr>
        <w:tab/>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 xml:space="preserve"> 月</w:t>
      </w:r>
      <w:r>
        <w:rPr>
          <w:rFonts w:hint="eastAsia" w:ascii="宋体" w:hAnsi="宋体" w:cs="宋体"/>
          <w:w w:val="101"/>
          <w:sz w:val="24"/>
        </w:rPr>
        <w:t xml:space="preserve"> </w:t>
      </w:r>
      <w:r>
        <w:rPr>
          <w:rFonts w:hint="eastAsia" w:ascii="宋体" w:hAnsi="宋体" w:cs="宋体"/>
          <w:sz w:val="24"/>
          <w:u w:val="single"/>
        </w:rPr>
        <w:t xml:space="preserve">    </w:t>
      </w:r>
      <w:r>
        <w:rPr>
          <w:rFonts w:hint="eastAsia" w:ascii="宋体" w:hAnsi="宋体" w:cs="宋体"/>
          <w:sz w:val="24"/>
        </w:rPr>
        <w:t xml:space="preserve">  日      </w:t>
      </w:r>
      <w:r>
        <w:rPr>
          <w:rFonts w:hint="eastAsia" w:ascii="宋体" w:hAnsi="宋体" w:cs="宋体"/>
          <w:sz w:val="24"/>
          <w:u w:val="single"/>
        </w:rPr>
        <w:t xml:space="preserve">     </w:t>
      </w:r>
      <w:r>
        <w:rPr>
          <w:rFonts w:hint="eastAsia" w:ascii="宋体" w:hAnsi="宋体" w:cs="宋体"/>
          <w:sz w:val="24"/>
        </w:rPr>
        <w:t xml:space="preserve">  年</w:t>
      </w:r>
      <w:r>
        <w:rPr>
          <w:rFonts w:hint="eastAsia" w:ascii="宋体" w:hAnsi="宋体" w:cs="宋体"/>
          <w:sz w:val="24"/>
          <w:u w:val="single"/>
        </w:rPr>
        <w:t xml:space="preserve">        </w:t>
      </w:r>
      <w:r>
        <w:rPr>
          <w:rFonts w:hint="eastAsia" w:ascii="宋体" w:hAnsi="宋体" w:cs="宋体"/>
          <w:sz w:val="24"/>
        </w:rPr>
        <w:t xml:space="preserve"> 月  </w:t>
      </w:r>
      <w:r>
        <w:rPr>
          <w:rFonts w:hint="eastAsia" w:ascii="宋体" w:hAnsi="宋体" w:cs="宋体"/>
          <w:sz w:val="24"/>
          <w:u w:val="single"/>
        </w:rPr>
        <w:t xml:space="preserve">    </w:t>
      </w:r>
      <w:r>
        <w:rPr>
          <w:rFonts w:hint="eastAsia" w:ascii="宋体" w:hAnsi="宋体" w:cs="宋体"/>
          <w:sz w:val="24"/>
        </w:rPr>
        <w:t xml:space="preserve"> 日</w:t>
      </w:r>
    </w:p>
    <w:p w14:paraId="681C3F05">
      <w:pPr>
        <w:wordWrap w:val="0"/>
        <w:autoSpaceDE w:val="0"/>
        <w:autoSpaceDN w:val="0"/>
        <w:adjustRightInd w:val="0"/>
        <w:snapToGrid w:val="0"/>
        <w:spacing w:line="360" w:lineRule="auto"/>
        <w:textAlignment w:val="baseline"/>
        <w:rPr>
          <w:rFonts w:ascii="宋体" w:hAnsi="宋体" w:cs="宋体"/>
        </w:rPr>
      </w:pPr>
    </w:p>
    <w:p w14:paraId="1EAA8400">
      <w:pPr>
        <w:tabs>
          <w:tab w:val="left" w:pos="567"/>
        </w:tabs>
        <w:wordWrap w:val="0"/>
        <w:autoSpaceDE w:val="0"/>
        <w:autoSpaceDN w:val="0"/>
        <w:adjustRightInd w:val="0"/>
        <w:snapToGrid w:val="0"/>
        <w:spacing w:before="90" w:line="360" w:lineRule="auto"/>
        <w:ind w:left="15"/>
        <w:textAlignment w:val="baseline"/>
        <w:rPr>
          <w:rFonts w:ascii="宋体" w:hAnsi="宋体" w:cs="宋体"/>
          <w:sz w:val="24"/>
        </w:rPr>
      </w:pPr>
      <w:r>
        <w:rPr>
          <w:rFonts w:hint="eastAsia" w:ascii="宋体" w:hAnsi="宋体" w:cs="宋体"/>
          <w:sz w:val="24"/>
        </w:rPr>
        <w:t>签约地点：</w:t>
      </w:r>
      <w:r>
        <w:rPr>
          <w:rFonts w:hint="eastAsia" w:ascii="宋体" w:hAnsi="宋体" w:cs="宋体"/>
          <w:sz w:val="24"/>
          <w:u w:val="single"/>
        </w:rPr>
        <w:t xml:space="preserve">                                                              </w:t>
      </w:r>
    </w:p>
    <w:p w14:paraId="0E96BE08">
      <w:pPr>
        <w:wordWrap w:val="0"/>
        <w:autoSpaceDE w:val="0"/>
        <w:autoSpaceDN w:val="0"/>
        <w:adjustRightInd w:val="0"/>
        <w:snapToGrid w:val="0"/>
        <w:spacing w:line="360" w:lineRule="auto"/>
        <w:textAlignment w:val="baseline"/>
        <w:rPr>
          <w:rFonts w:ascii="宋体" w:hAnsi="宋体" w:cs="宋体"/>
        </w:rPr>
        <w:sectPr>
          <w:pgSz w:w="11900" w:h="16840"/>
          <w:pgMar w:top="1440" w:right="1800" w:bottom="1440" w:left="1800" w:header="0" w:footer="0" w:gutter="0"/>
          <w:cols w:space="720" w:num="1"/>
        </w:sectPr>
      </w:pPr>
    </w:p>
    <w:p w14:paraId="4804FE11">
      <w:pPr>
        <w:tabs>
          <w:tab w:val="left" w:pos="567"/>
        </w:tabs>
        <w:wordWrap w:val="0"/>
        <w:autoSpaceDE w:val="0"/>
        <w:autoSpaceDN w:val="0"/>
        <w:adjustRightInd w:val="0"/>
        <w:snapToGrid w:val="0"/>
        <w:spacing w:before="129" w:line="360" w:lineRule="auto"/>
        <w:ind w:left="26"/>
        <w:textAlignment w:val="baseline"/>
        <w:rPr>
          <w:rFonts w:ascii="宋体" w:hAnsi="宋体" w:cs="宋体"/>
          <w:sz w:val="30"/>
          <w:szCs w:val="30"/>
        </w:rPr>
      </w:pPr>
      <w:r>
        <w:rPr>
          <w:rFonts w:hint="eastAsia" w:ascii="宋体" w:hAnsi="宋体" w:cs="宋体"/>
          <w:sz w:val="30"/>
          <w:szCs w:val="30"/>
        </w:rPr>
        <w:t>附件二： 承包人承揽工程项目一览表</w:t>
      </w:r>
    </w:p>
    <w:p w14:paraId="02939EC2">
      <w:pPr>
        <w:wordWrap w:val="0"/>
        <w:autoSpaceDE w:val="0"/>
        <w:autoSpaceDN w:val="0"/>
        <w:adjustRightInd w:val="0"/>
        <w:snapToGrid w:val="0"/>
        <w:spacing w:line="360" w:lineRule="auto"/>
        <w:textAlignment w:val="baseline"/>
        <w:rPr>
          <w:rFonts w:ascii="宋体" w:hAnsi="宋体" w:cs="宋体"/>
        </w:rPr>
      </w:pPr>
    </w:p>
    <w:p w14:paraId="743E1E03">
      <w:pPr>
        <w:tabs>
          <w:tab w:val="left" w:pos="567"/>
        </w:tabs>
        <w:wordWrap w:val="0"/>
        <w:autoSpaceDE w:val="0"/>
        <w:autoSpaceDN w:val="0"/>
        <w:adjustRightInd w:val="0"/>
        <w:snapToGrid w:val="0"/>
        <w:spacing w:before="120" w:line="360" w:lineRule="auto"/>
        <w:ind w:left="3018"/>
        <w:textAlignment w:val="baseline"/>
        <w:outlineLvl w:val="0"/>
        <w:rPr>
          <w:rFonts w:ascii="宋体" w:hAnsi="宋体" w:cs="宋体"/>
          <w:sz w:val="28"/>
          <w:szCs w:val="28"/>
        </w:rPr>
      </w:pPr>
      <w:r>
        <w:rPr>
          <w:rFonts w:hint="eastAsia" w:ascii="宋体" w:hAnsi="宋体" w:cs="宋体"/>
          <w:sz w:val="28"/>
          <w:szCs w:val="28"/>
        </w:rPr>
        <w:t>承包人承揽工程项目一览表</w:t>
      </w:r>
    </w:p>
    <w:p w14:paraId="0E12595F">
      <w:pPr>
        <w:wordWrap w:val="0"/>
        <w:autoSpaceDE w:val="0"/>
        <w:autoSpaceDN w:val="0"/>
        <w:adjustRightInd w:val="0"/>
        <w:snapToGrid w:val="0"/>
        <w:spacing w:line="360" w:lineRule="auto"/>
        <w:textAlignment w:val="baseline"/>
        <w:rPr>
          <w:rFonts w:ascii="宋体" w:hAnsi="宋体" w:cs="宋体"/>
        </w:rPr>
      </w:pPr>
    </w:p>
    <w:tbl>
      <w:tblPr>
        <w:tblStyle w:val="49"/>
        <w:tblW w:w="5382"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472"/>
        <w:gridCol w:w="795"/>
        <w:gridCol w:w="1073"/>
        <w:gridCol w:w="627"/>
        <w:gridCol w:w="627"/>
        <w:gridCol w:w="878"/>
        <w:gridCol w:w="1116"/>
        <w:gridCol w:w="822"/>
        <w:gridCol w:w="767"/>
        <w:gridCol w:w="774"/>
      </w:tblGrid>
      <w:tr w14:paraId="58530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3" w:hRule="atLeast"/>
        </w:trPr>
        <w:tc>
          <w:tcPr>
            <w:tcW w:w="822" w:type="pct"/>
            <w:vAlign w:val="center"/>
          </w:tcPr>
          <w:p w14:paraId="70FB5ADD">
            <w:pPr>
              <w:wordWrap w:val="0"/>
              <w:autoSpaceDE w:val="0"/>
              <w:autoSpaceDN w:val="0"/>
              <w:adjustRightInd w:val="0"/>
              <w:snapToGrid w:val="0"/>
              <w:spacing w:before="74" w:line="360" w:lineRule="auto"/>
              <w:jc w:val="center"/>
              <w:textAlignment w:val="baseline"/>
              <w:rPr>
                <w:rFonts w:ascii="宋体" w:hAnsi="宋体" w:cs="宋体"/>
                <w:szCs w:val="21"/>
              </w:rPr>
            </w:pPr>
            <w:r>
              <w:rPr>
                <w:rFonts w:hint="eastAsia" w:ascii="宋体" w:hAnsi="宋体" w:cs="宋体"/>
                <w:szCs w:val="21"/>
              </w:rPr>
              <w:t>单位工程名       称</w:t>
            </w:r>
          </w:p>
        </w:tc>
        <w:tc>
          <w:tcPr>
            <w:tcW w:w="444" w:type="pct"/>
            <w:vAlign w:val="center"/>
          </w:tcPr>
          <w:p w14:paraId="75D9C9D1">
            <w:pPr>
              <w:wordWrap w:val="0"/>
              <w:autoSpaceDE w:val="0"/>
              <w:autoSpaceDN w:val="0"/>
              <w:adjustRightInd w:val="0"/>
              <w:snapToGrid w:val="0"/>
              <w:spacing w:before="74" w:line="360" w:lineRule="auto"/>
              <w:textAlignment w:val="baseline"/>
              <w:rPr>
                <w:rFonts w:ascii="宋体" w:hAnsi="宋体" w:cs="宋体"/>
                <w:szCs w:val="21"/>
              </w:rPr>
            </w:pPr>
            <w:r>
              <w:rPr>
                <w:rFonts w:hint="eastAsia" w:ascii="宋体" w:hAnsi="宋体" w:cs="宋体"/>
                <w:szCs w:val="21"/>
              </w:rPr>
              <w:t>建设规模</w:t>
            </w:r>
          </w:p>
        </w:tc>
        <w:tc>
          <w:tcPr>
            <w:tcW w:w="599" w:type="pct"/>
            <w:vAlign w:val="center"/>
          </w:tcPr>
          <w:p w14:paraId="3F2048BE">
            <w:pPr>
              <w:wordWrap w:val="0"/>
              <w:autoSpaceDE w:val="0"/>
              <w:autoSpaceDN w:val="0"/>
              <w:adjustRightInd w:val="0"/>
              <w:snapToGrid w:val="0"/>
              <w:spacing w:before="75" w:line="360" w:lineRule="auto"/>
              <w:ind w:left="111"/>
              <w:jc w:val="center"/>
              <w:textAlignment w:val="baseline"/>
              <w:rPr>
                <w:rFonts w:ascii="宋体" w:hAnsi="宋体" w:cs="宋体"/>
                <w:snapToGrid w:val="0"/>
                <w:kern w:val="0"/>
                <w:sz w:val="24"/>
                <w:lang w:eastAsia="en-US"/>
              </w:rPr>
            </w:pPr>
            <w:r>
              <w:rPr>
                <w:rFonts w:hint="eastAsia" w:ascii="宋体" w:hAnsi="宋体" w:cs="宋体"/>
                <w:szCs w:val="21"/>
              </w:rPr>
              <w:t>建筑面积</w:t>
            </w:r>
          </w:p>
          <w:p w14:paraId="54937791">
            <w:pPr>
              <w:wordWrap w:val="0"/>
              <w:autoSpaceDE w:val="0"/>
              <w:autoSpaceDN w:val="0"/>
              <w:adjustRightInd w:val="0"/>
              <w:snapToGrid w:val="0"/>
              <w:spacing w:before="90" w:line="360" w:lineRule="auto"/>
              <w:ind w:left="145"/>
              <w:jc w:val="center"/>
              <w:textAlignment w:val="baseline"/>
              <w:rPr>
                <w:rFonts w:ascii="宋体" w:hAnsi="宋体" w:cs="宋体"/>
                <w:szCs w:val="21"/>
              </w:rPr>
            </w:pPr>
            <w:r>
              <w:rPr>
                <w:rFonts w:hint="eastAsia" w:ascii="宋体" w:hAnsi="宋体" w:cs="宋体"/>
                <w:szCs w:val="21"/>
              </w:rPr>
              <w:t>(平方米)</w:t>
            </w:r>
          </w:p>
        </w:tc>
        <w:tc>
          <w:tcPr>
            <w:tcW w:w="350" w:type="pct"/>
            <w:textDirection w:val="tbRlV"/>
            <w:vAlign w:val="center"/>
          </w:tcPr>
          <w:p w14:paraId="385EC7A6">
            <w:pPr>
              <w:wordWrap w:val="0"/>
              <w:autoSpaceDE w:val="0"/>
              <w:autoSpaceDN w:val="0"/>
              <w:adjustRightInd w:val="0"/>
              <w:snapToGrid w:val="0"/>
              <w:spacing w:before="75" w:line="360" w:lineRule="auto"/>
              <w:ind w:left="111"/>
              <w:jc w:val="center"/>
              <w:textAlignment w:val="baseline"/>
              <w:rPr>
                <w:rFonts w:ascii="宋体" w:hAnsi="宋体" w:cs="宋体"/>
                <w:szCs w:val="21"/>
              </w:rPr>
            </w:pPr>
            <w:r>
              <w:rPr>
                <w:rFonts w:hint="eastAsia" w:ascii="宋体" w:hAnsi="宋体" w:cs="宋体"/>
                <w:szCs w:val="21"/>
              </w:rPr>
              <w:t>结 构</w:t>
            </w:r>
          </w:p>
        </w:tc>
        <w:tc>
          <w:tcPr>
            <w:tcW w:w="350" w:type="pct"/>
            <w:textDirection w:val="tbRlV"/>
            <w:vAlign w:val="center"/>
          </w:tcPr>
          <w:p w14:paraId="271DFA35">
            <w:pPr>
              <w:wordWrap w:val="0"/>
              <w:autoSpaceDE w:val="0"/>
              <w:autoSpaceDN w:val="0"/>
              <w:adjustRightInd w:val="0"/>
              <w:snapToGrid w:val="0"/>
              <w:spacing w:before="75" w:line="360" w:lineRule="auto"/>
              <w:ind w:left="111"/>
              <w:jc w:val="center"/>
              <w:textAlignment w:val="baseline"/>
              <w:rPr>
                <w:rFonts w:ascii="宋体" w:hAnsi="宋体" w:cs="宋体"/>
                <w:szCs w:val="21"/>
              </w:rPr>
            </w:pPr>
            <w:r>
              <w:rPr>
                <w:rFonts w:hint="eastAsia" w:ascii="宋体" w:hAnsi="宋体" w:cs="宋体"/>
                <w:szCs w:val="21"/>
              </w:rPr>
              <w:t>层 数</w:t>
            </w:r>
          </w:p>
        </w:tc>
        <w:tc>
          <w:tcPr>
            <w:tcW w:w="490" w:type="pct"/>
            <w:vAlign w:val="center"/>
          </w:tcPr>
          <w:p w14:paraId="441480FF">
            <w:pPr>
              <w:wordWrap w:val="0"/>
              <w:autoSpaceDE w:val="0"/>
              <w:autoSpaceDN w:val="0"/>
              <w:adjustRightInd w:val="0"/>
              <w:snapToGrid w:val="0"/>
              <w:spacing w:before="74" w:line="360" w:lineRule="auto"/>
              <w:textAlignment w:val="baseline"/>
              <w:rPr>
                <w:rFonts w:ascii="宋体" w:hAnsi="宋体" w:cs="宋体"/>
                <w:szCs w:val="21"/>
              </w:rPr>
            </w:pPr>
            <w:r>
              <w:rPr>
                <w:rFonts w:hint="eastAsia" w:ascii="宋体" w:hAnsi="宋体" w:cs="宋体"/>
                <w:szCs w:val="21"/>
              </w:rPr>
              <w:t>跨度(米)</w:t>
            </w:r>
          </w:p>
        </w:tc>
        <w:tc>
          <w:tcPr>
            <w:tcW w:w="623" w:type="pct"/>
            <w:vAlign w:val="center"/>
          </w:tcPr>
          <w:p w14:paraId="61A583E3">
            <w:pPr>
              <w:wordWrap w:val="0"/>
              <w:autoSpaceDE w:val="0"/>
              <w:autoSpaceDN w:val="0"/>
              <w:adjustRightInd w:val="0"/>
              <w:snapToGrid w:val="0"/>
              <w:spacing w:before="74" w:line="360" w:lineRule="auto"/>
              <w:jc w:val="center"/>
              <w:textAlignment w:val="baseline"/>
              <w:rPr>
                <w:rFonts w:ascii="宋体" w:hAnsi="宋体" w:cs="宋体"/>
                <w:szCs w:val="21"/>
              </w:rPr>
            </w:pPr>
            <w:r>
              <w:rPr>
                <w:rFonts w:hint="eastAsia" w:ascii="宋体" w:hAnsi="宋体" w:cs="宋体"/>
                <w:szCs w:val="21"/>
              </w:rPr>
              <w:t>设备安装内     容</w:t>
            </w:r>
          </w:p>
        </w:tc>
        <w:tc>
          <w:tcPr>
            <w:tcW w:w="459" w:type="pct"/>
            <w:vAlign w:val="center"/>
          </w:tcPr>
          <w:p w14:paraId="25C17FB9">
            <w:pPr>
              <w:wordWrap w:val="0"/>
              <w:autoSpaceDE w:val="0"/>
              <w:autoSpaceDN w:val="0"/>
              <w:adjustRightInd w:val="0"/>
              <w:snapToGrid w:val="0"/>
              <w:spacing w:before="74" w:line="360" w:lineRule="auto"/>
              <w:jc w:val="center"/>
              <w:textAlignment w:val="baseline"/>
              <w:rPr>
                <w:rFonts w:ascii="宋体" w:hAnsi="宋体" w:cs="宋体"/>
                <w:szCs w:val="21"/>
              </w:rPr>
            </w:pPr>
            <w:r>
              <w:rPr>
                <w:rFonts w:hint="eastAsia" w:ascii="宋体" w:hAnsi="宋体" w:cs="宋体"/>
                <w:szCs w:val="21"/>
              </w:rPr>
              <w:t>工程造价(元)</w:t>
            </w:r>
          </w:p>
        </w:tc>
        <w:tc>
          <w:tcPr>
            <w:tcW w:w="428" w:type="pct"/>
            <w:vAlign w:val="center"/>
          </w:tcPr>
          <w:p w14:paraId="0B4D9109">
            <w:pPr>
              <w:wordWrap w:val="0"/>
              <w:autoSpaceDE w:val="0"/>
              <w:autoSpaceDN w:val="0"/>
              <w:adjustRightInd w:val="0"/>
              <w:snapToGrid w:val="0"/>
              <w:spacing w:before="74" w:line="360" w:lineRule="auto"/>
              <w:jc w:val="center"/>
              <w:textAlignment w:val="baseline"/>
              <w:rPr>
                <w:rFonts w:ascii="宋体" w:hAnsi="宋体" w:cs="宋体"/>
                <w:szCs w:val="21"/>
              </w:rPr>
            </w:pPr>
            <w:r>
              <w:rPr>
                <w:rFonts w:hint="eastAsia" w:ascii="宋体" w:hAnsi="宋体" w:cs="宋体"/>
                <w:szCs w:val="21"/>
              </w:rPr>
              <w:t>开工日期</w:t>
            </w:r>
          </w:p>
        </w:tc>
        <w:tc>
          <w:tcPr>
            <w:tcW w:w="432" w:type="pct"/>
            <w:vAlign w:val="center"/>
          </w:tcPr>
          <w:p w14:paraId="39C1BBEB">
            <w:pPr>
              <w:wordWrap w:val="0"/>
              <w:autoSpaceDE w:val="0"/>
              <w:autoSpaceDN w:val="0"/>
              <w:adjustRightInd w:val="0"/>
              <w:snapToGrid w:val="0"/>
              <w:spacing w:before="74" w:line="360" w:lineRule="auto"/>
              <w:jc w:val="center"/>
              <w:textAlignment w:val="baseline"/>
              <w:rPr>
                <w:rFonts w:ascii="宋体" w:hAnsi="宋体" w:cs="宋体"/>
                <w:szCs w:val="21"/>
              </w:rPr>
            </w:pPr>
            <w:r>
              <w:rPr>
                <w:rFonts w:hint="eastAsia" w:ascii="宋体" w:hAnsi="宋体" w:cs="宋体"/>
                <w:szCs w:val="21"/>
              </w:rPr>
              <w:t>竣工日期</w:t>
            </w:r>
          </w:p>
        </w:tc>
      </w:tr>
      <w:tr w14:paraId="09572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038C65A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3C252A3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78D13254">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0C84C31E">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5C3E2073">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566FD1B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1ACD2F93">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4CA6E8ED">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3A42B3B9">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2BF5A21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4165B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6EC79E9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7B1C238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018BEB0E">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6FC5390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7C2A6DB4">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02BF90C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0A22A613">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6E49D0B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20D8D49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39606093">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1DC7C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765D289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6EEAD390">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41C329D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7728A73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6DA3FD30">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4734FF5E">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5735866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3B71DB4F">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19F740E4">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3D81207A">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29FF1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13C0ECF3">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6B4ED900">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4AE7D414">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3ABFDF8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6DEE225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63A85293">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4B74ABB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55EB7A6B">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45C441E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1520E50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1FB5D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3AA996D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170CA23B">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5AB8690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6FA22933">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3B138CCD">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780D774D">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37A6B53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1182DCB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645A3B3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749F561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72D91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1D4F8F5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103A7E8F">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2F15DCC9">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74C3E4A2">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1A26FDF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64EA6C02">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103E832A">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493A8E1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6669EC2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0895B8A4">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36E07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0CD1618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5797FBAB">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7C9EB7B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6FFAFD8F">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0ADE5090">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0DC5504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65A63EF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35CB3F69">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514C6E4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7C2F1FB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38C22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5B43ABAD">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4E1DEA6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6CB67A7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2F84E32D">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180BF4D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1DBBA3A2">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4281500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75E8C029">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7D20E2FF">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71B14572">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0BF60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0C58C140">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43FA72BE">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7A10A93A">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6C391DD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663AA00A">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721A7EDD">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7D81DF50">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7A610A2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77CF7160">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6C3D6FC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7772E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77A588F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248414F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7A2437CA">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5A7D433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128827CA">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0C6B3A9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08B27969">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41E8757B">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0DEFBC5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4119021D">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35FEC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0E47B789">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7058AE2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151DEE8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38547B4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1C0AECAD">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6A26690F">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5E9957D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3BCBA27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0E2423B2">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1B7A183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13085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0B7C169D">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327C322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619C764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4A717A0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7E630CEC">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38F3A44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75F24362">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6A0FEFA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0069A6A0">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7029EA24">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4C97D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415B78BA">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6D333D6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61C77D5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3D208C9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24BE1463">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2B20CECA">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24A9F76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2784B9A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29D22A7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7EB3A39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4D218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822" w:type="pct"/>
            <w:vAlign w:val="center"/>
          </w:tcPr>
          <w:p w14:paraId="781D6B0F">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1BA10F4B">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0CD4790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4E32DD2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105AE714">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0A5FAFCD">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13E81488">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49685CB4">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43B9412E">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350648BE">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r w14:paraId="4BF8F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822" w:type="pct"/>
            <w:vAlign w:val="center"/>
          </w:tcPr>
          <w:p w14:paraId="1992B507">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44" w:type="pct"/>
            <w:vAlign w:val="center"/>
          </w:tcPr>
          <w:p w14:paraId="2C378A7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599" w:type="pct"/>
            <w:vAlign w:val="center"/>
          </w:tcPr>
          <w:p w14:paraId="69C79E31">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2A0CA906">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350" w:type="pct"/>
            <w:vAlign w:val="center"/>
          </w:tcPr>
          <w:p w14:paraId="42BD223F">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90" w:type="pct"/>
            <w:vAlign w:val="center"/>
          </w:tcPr>
          <w:p w14:paraId="6CD7A74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623" w:type="pct"/>
            <w:vAlign w:val="center"/>
          </w:tcPr>
          <w:p w14:paraId="283900D9">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59" w:type="pct"/>
            <w:vAlign w:val="center"/>
          </w:tcPr>
          <w:p w14:paraId="2DE24532">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28" w:type="pct"/>
            <w:vAlign w:val="center"/>
          </w:tcPr>
          <w:p w14:paraId="5C856A20">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c>
          <w:tcPr>
            <w:tcW w:w="432" w:type="pct"/>
            <w:vAlign w:val="center"/>
          </w:tcPr>
          <w:p w14:paraId="05453B19">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tc>
      </w:tr>
    </w:tbl>
    <w:p w14:paraId="281CC3AA">
      <w:pPr>
        <w:wordWrap w:val="0"/>
        <w:autoSpaceDE w:val="0"/>
        <w:autoSpaceDN w:val="0"/>
        <w:adjustRightInd w:val="0"/>
        <w:snapToGrid w:val="0"/>
        <w:spacing w:line="360" w:lineRule="auto"/>
        <w:textAlignment w:val="baseline"/>
        <w:rPr>
          <w:rFonts w:ascii="宋体" w:hAnsi="宋体" w:cs="宋体"/>
        </w:rPr>
      </w:pPr>
    </w:p>
    <w:p w14:paraId="728B0E0C">
      <w:pPr>
        <w:wordWrap w:val="0"/>
        <w:autoSpaceDE w:val="0"/>
        <w:autoSpaceDN w:val="0"/>
        <w:adjustRightInd w:val="0"/>
        <w:snapToGrid w:val="0"/>
        <w:spacing w:line="360" w:lineRule="auto"/>
        <w:textAlignment w:val="baseline"/>
        <w:rPr>
          <w:rFonts w:ascii="宋体" w:hAnsi="宋体" w:cs="宋体"/>
          <w:szCs w:val="21"/>
        </w:rPr>
        <w:sectPr>
          <w:pgSz w:w="11900" w:h="16840"/>
          <w:pgMar w:top="1440" w:right="1800" w:bottom="1440" w:left="1800" w:header="0" w:footer="0" w:gutter="0"/>
          <w:cols w:space="720" w:num="1"/>
        </w:sectPr>
      </w:pPr>
    </w:p>
    <w:p w14:paraId="5BA6D287">
      <w:pPr>
        <w:tabs>
          <w:tab w:val="left" w:pos="567"/>
        </w:tabs>
        <w:wordWrap w:val="0"/>
        <w:autoSpaceDE w:val="0"/>
        <w:autoSpaceDN w:val="0"/>
        <w:adjustRightInd w:val="0"/>
        <w:snapToGrid w:val="0"/>
        <w:spacing w:before="128" w:line="360" w:lineRule="auto"/>
        <w:ind w:left="26"/>
        <w:textAlignment w:val="baseline"/>
        <w:rPr>
          <w:rFonts w:ascii="宋体" w:hAnsi="宋体" w:cs="宋体"/>
          <w:sz w:val="30"/>
          <w:szCs w:val="30"/>
        </w:rPr>
      </w:pPr>
      <w:r>
        <w:rPr>
          <w:rFonts w:hint="eastAsia" w:ascii="宋体" w:hAnsi="宋体" w:cs="宋体"/>
          <w:sz w:val="30"/>
          <w:szCs w:val="30"/>
        </w:rPr>
        <w:t>附件三： 承包人提供的材料一览表</w:t>
      </w:r>
    </w:p>
    <w:p w14:paraId="29E75BBD">
      <w:pPr>
        <w:wordWrap w:val="0"/>
        <w:autoSpaceDE w:val="0"/>
        <w:autoSpaceDN w:val="0"/>
        <w:adjustRightInd w:val="0"/>
        <w:snapToGrid w:val="0"/>
        <w:spacing w:line="360" w:lineRule="auto"/>
        <w:textAlignment w:val="baseline"/>
        <w:rPr>
          <w:rFonts w:ascii="宋体" w:hAnsi="宋体" w:cs="宋体"/>
        </w:rPr>
      </w:pPr>
    </w:p>
    <w:p w14:paraId="2BB71B35">
      <w:pPr>
        <w:tabs>
          <w:tab w:val="left" w:pos="567"/>
        </w:tabs>
        <w:wordWrap w:val="0"/>
        <w:autoSpaceDE w:val="0"/>
        <w:autoSpaceDN w:val="0"/>
        <w:adjustRightInd w:val="0"/>
        <w:snapToGrid w:val="0"/>
        <w:spacing w:before="120" w:line="360" w:lineRule="auto"/>
        <w:ind w:left="3168"/>
        <w:textAlignment w:val="baseline"/>
        <w:outlineLvl w:val="0"/>
        <w:rPr>
          <w:rFonts w:ascii="宋体" w:hAnsi="宋体" w:cs="宋体"/>
          <w:sz w:val="28"/>
          <w:szCs w:val="28"/>
        </w:rPr>
      </w:pPr>
      <w:r>
        <w:rPr>
          <w:rFonts w:hint="eastAsia" w:ascii="宋体" w:hAnsi="宋体" w:cs="宋体"/>
          <w:sz w:val="28"/>
          <w:szCs w:val="28"/>
        </w:rPr>
        <w:t>承包人提供的材料一览表</w:t>
      </w:r>
    </w:p>
    <w:p w14:paraId="2A9B86EA">
      <w:pPr>
        <w:wordWrap w:val="0"/>
        <w:autoSpaceDE w:val="0"/>
        <w:autoSpaceDN w:val="0"/>
        <w:adjustRightInd w:val="0"/>
        <w:snapToGrid w:val="0"/>
        <w:spacing w:line="360" w:lineRule="auto"/>
        <w:textAlignment w:val="baseline"/>
        <w:rPr>
          <w:rFonts w:ascii="宋体" w:hAnsi="宋体" w:cs="宋体"/>
        </w:rPr>
      </w:pPr>
    </w:p>
    <w:tbl>
      <w:tblPr>
        <w:tblStyle w:val="49"/>
        <w:tblW w:w="96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6"/>
        <w:gridCol w:w="1303"/>
        <w:gridCol w:w="1183"/>
        <w:gridCol w:w="809"/>
        <w:gridCol w:w="719"/>
        <w:gridCol w:w="914"/>
        <w:gridCol w:w="1003"/>
        <w:gridCol w:w="1003"/>
        <w:gridCol w:w="914"/>
        <w:gridCol w:w="1101"/>
      </w:tblGrid>
      <w:tr w14:paraId="7DD6B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0" w:hRule="atLeast"/>
        </w:trPr>
        <w:tc>
          <w:tcPr>
            <w:tcW w:w="666" w:type="dxa"/>
            <w:textDirection w:val="tbRlV"/>
          </w:tcPr>
          <w:p w14:paraId="2B937D80">
            <w:pPr>
              <w:wordWrap w:val="0"/>
              <w:autoSpaceDE w:val="0"/>
              <w:autoSpaceDN w:val="0"/>
              <w:adjustRightInd w:val="0"/>
              <w:snapToGrid w:val="0"/>
              <w:spacing w:before="224" w:line="360" w:lineRule="auto"/>
              <w:ind w:left="359"/>
              <w:textAlignment w:val="baseline"/>
              <w:rPr>
                <w:rFonts w:ascii="宋体" w:hAnsi="宋体" w:cs="宋体"/>
                <w:szCs w:val="21"/>
              </w:rPr>
            </w:pPr>
            <w:r>
              <w:rPr>
                <w:rFonts w:hint="eastAsia" w:ascii="宋体" w:hAnsi="宋体" w:cs="宋体"/>
                <w:szCs w:val="21"/>
              </w:rPr>
              <w:t>序  号</w:t>
            </w:r>
          </w:p>
        </w:tc>
        <w:tc>
          <w:tcPr>
            <w:tcW w:w="1303" w:type="dxa"/>
          </w:tcPr>
          <w:p w14:paraId="54425DB5">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p w14:paraId="1111CA2A">
            <w:pPr>
              <w:wordWrap w:val="0"/>
              <w:autoSpaceDE w:val="0"/>
              <w:autoSpaceDN w:val="0"/>
              <w:adjustRightInd w:val="0"/>
              <w:snapToGrid w:val="0"/>
              <w:spacing w:before="90" w:line="360" w:lineRule="auto"/>
              <w:ind w:left="229" w:right="229" w:hanging="2"/>
              <w:jc w:val="center"/>
              <w:textAlignment w:val="baseline"/>
              <w:rPr>
                <w:rFonts w:ascii="宋体" w:hAnsi="宋体" w:cs="宋体"/>
                <w:szCs w:val="21"/>
              </w:rPr>
            </w:pPr>
            <w:r>
              <w:rPr>
                <w:rFonts w:hint="eastAsia" w:ascii="宋体" w:hAnsi="宋体" w:cs="宋体"/>
                <w:szCs w:val="21"/>
              </w:rPr>
              <w:t>材料设备</w:t>
            </w:r>
            <w:r>
              <w:rPr>
                <w:rFonts w:hint="eastAsia" w:ascii="宋体" w:hAnsi="宋体" w:cs="宋体"/>
                <w:w w:val="96"/>
                <w:szCs w:val="21"/>
              </w:rPr>
              <w:t>名</w:t>
            </w:r>
            <w:r>
              <w:rPr>
                <w:rFonts w:hint="eastAsia" w:ascii="宋体" w:hAnsi="宋体" w:cs="宋体"/>
                <w:szCs w:val="21"/>
              </w:rPr>
              <w:t xml:space="preserve">      </w:t>
            </w:r>
            <w:r>
              <w:rPr>
                <w:rFonts w:hint="eastAsia" w:ascii="宋体" w:hAnsi="宋体" w:cs="宋体"/>
                <w:w w:val="96"/>
                <w:szCs w:val="21"/>
              </w:rPr>
              <w:t>称</w:t>
            </w:r>
          </w:p>
        </w:tc>
        <w:tc>
          <w:tcPr>
            <w:tcW w:w="1183" w:type="dxa"/>
            <w:vAlign w:val="center"/>
          </w:tcPr>
          <w:p w14:paraId="728565D3">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p w14:paraId="02A0552E">
            <w:pPr>
              <w:wordWrap w:val="0"/>
              <w:autoSpaceDE w:val="0"/>
              <w:autoSpaceDN w:val="0"/>
              <w:adjustRightInd w:val="0"/>
              <w:snapToGrid w:val="0"/>
              <w:spacing w:before="90" w:line="360" w:lineRule="auto"/>
              <w:ind w:left="385" w:right="377" w:hanging="5"/>
              <w:jc w:val="center"/>
              <w:textAlignment w:val="baseline"/>
              <w:rPr>
                <w:rFonts w:ascii="宋体" w:hAnsi="宋体" w:cs="宋体"/>
                <w:szCs w:val="21"/>
              </w:rPr>
            </w:pPr>
            <w:r>
              <w:rPr>
                <w:rFonts w:hint="eastAsia" w:ascii="宋体" w:hAnsi="宋体" w:cs="宋体"/>
                <w:szCs w:val="21"/>
              </w:rPr>
              <w:t>规格型号</w:t>
            </w:r>
          </w:p>
        </w:tc>
        <w:tc>
          <w:tcPr>
            <w:tcW w:w="809" w:type="dxa"/>
            <w:textDirection w:val="tbRlV"/>
            <w:vAlign w:val="center"/>
          </w:tcPr>
          <w:p w14:paraId="5BF06D32">
            <w:pPr>
              <w:wordWrap w:val="0"/>
              <w:autoSpaceDE w:val="0"/>
              <w:autoSpaceDN w:val="0"/>
              <w:adjustRightInd w:val="0"/>
              <w:snapToGrid w:val="0"/>
              <w:spacing w:before="294" w:line="360" w:lineRule="auto"/>
              <w:jc w:val="center"/>
              <w:textAlignment w:val="baseline"/>
              <w:rPr>
                <w:rFonts w:ascii="宋体" w:hAnsi="宋体" w:cs="宋体"/>
                <w:szCs w:val="21"/>
              </w:rPr>
            </w:pPr>
            <w:r>
              <w:rPr>
                <w:rFonts w:hint="eastAsia" w:ascii="宋体" w:hAnsi="宋体" w:cs="宋体"/>
                <w:szCs w:val="21"/>
              </w:rPr>
              <w:t>单  位</w:t>
            </w:r>
          </w:p>
        </w:tc>
        <w:tc>
          <w:tcPr>
            <w:tcW w:w="719" w:type="dxa"/>
            <w:textDirection w:val="tbRlV"/>
            <w:vAlign w:val="center"/>
          </w:tcPr>
          <w:p w14:paraId="319A0CCE">
            <w:pPr>
              <w:wordWrap w:val="0"/>
              <w:autoSpaceDE w:val="0"/>
              <w:autoSpaceDN w:val="0"/>
              <w:adjustRightInd w:val="0"/>
              <w:snapToGrid w:val="0"/>
              <w:spacing w:before="247" w:line="360" w:lineRule="auto"/>
              <w:jc w:val="center"/>
              <w:textAlignment w:val="baseline"/>
              <w:rPr>
                <w:rFonts w:ascii="宋体" w:hAnsi="宋体" w:cs="宋体"/>
                <w:szCs w:val="21"/>
              </w:rPr>
            </w:pPr>
            <w:r>
              <w:rPr>
                <w:rFonts w:hint="eastAsia" w:ascii="宋体" w:hAnsi="宋体" w:cs="宋体"/>
                <w:szCs w:val="21"/>
              </w:rPr>
              <w:t>数  量</w:t>
            </w:r>
          </w:p>
        </w:tc>
        <w:tc>
          <w:tcPr>
            <w:tcW w:w="914" w:type="dxa"/>
            <w:textDirection w:val="tbRlV"/>
            <w:vAlign w:val="center"/>
          </w:tcPr>
          <w:p w14:paraId="7DEA0C0E">
            <w:pPr>
              <w:wordWrap w:val="0"/>
              <w:autoSpaceDE w:val="0"/>
              <w:autoSpaceDN w:val="0"/>
              <w:adjustRightInd w:val="0"/>
              <w:snapToGrid w:val="0"/>
              <w:spacing w:line="360" w:lineRule="auto"/>
              <w:jc w:val="center"/>
              <w:textAlignment w:val="baseline"/>
              <w:rPr>
                <w:rFonts w:ascii="宋体" w:hAnsi="宋体" w:cs="宋体"/>
                <w:snapToGrid w:val="0"/>
                <w:kern w:val="0"/>
                <w:sz w:val="24"/>
                <w:lang w:eastAsia="en-US"/>
              </w:rPr>
            </w:pPr>
          </w:p>
          <w:p w14:paraId="16DD7165">
            <w:pPr>
              <w:wordWrap w:val="0"/>
              <w:autoSpaceDE w:val="0"/>
              <w:autoSpaceDN w:val="0"/>
              <w:adjustRightInd w:val="0"/>
              <w:snapToGrid w:val="0"/>
              <w:spacing w:before="93" w:line="360" w:lineRule="auto"/>
              <w:jc w:val="center"/>
              <w:textAlignment w:val="baseline"/>
              <w:rPr>
                <w:rFonts w:ascii="宋体" w:hAnsi="宋体" w:cs="宋体"/>
                <w:szCs w:val="21"/>
              </w:rPr>
            </w:pPr>
            <w:r>
              <w:rPr>
                <w:rFonts w:hint="eastAsia" w:ascii="宋体" w:hAnsi="宋体" w:cs="宋体"/>
                <w:szCs w:val="21"/>
              </w:rPr>
              <w:t>单  价</w:t>
            </w:r>
          </w:p>
        </w:tc>
        <w:tc>
          <w:tcPr>
            <w:tcW w:w="1003" w:type="dxa"/>
          </w:tcPr>
          <w:p w14:paraId="4853F05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5738A388">
            <w:pPr>
              <w:wordWrap w:val="0"/>
              <w:autoSpaceDE w:val="0"/>
              <w:autoSpaceDN w:val="0"/>
              <w:adjustRightInd w:val="0"/>
              <w:snapToGrid w:val="0"/>
              <w:spacing w:before="90" w:line="360" w:lineRule="auto"/>
              <w:ind w:left="295" w:right="282" w:firstLine="3"/>
              <w:textAlignment w:val="baseline"/>
              <w:rPr>
                <w:rFonts w:ascii="宋体" w:hAnsi="宋体" w:cs="宋体"/>
                <w:szCs w:val="21"/>
              </w:rPr>
            </w:pPr>
            <w:r>
              <w:rPr>
                <w:rFonts w:hint="eastAsia" w:ascii="宋体" w:hAnsi="宋体" w:cs="宋体"/>
                <w:szCs w:val="21"/>
              </w:rPr>
              <w:t>交货方式</w:t>
            </w:r>
          </w:p>
        </w:tc>
        <w:tc>
          <w:tcPr>
            <w:tcW w:w="1003" w:type="dxa"/>
          </w:tcPr>
          <w:p w14:paraId="32E6756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4E326720">
            <w:pPr>
              <w:wordWrap w:val="0"/>
              <w:autoSpaceDE w:val="0"/>
              <w:autoSpaceDN w:val="0"/>
              <w:adjustRightInd w:val="0"/>
              <w:snapToGrid w:val="0"/>
              <w:spacing w:before="90" w:line="360" w:lineRule="auto"/>
              <w:ind w:left="296" w:right="280" w:firstLine="4"/>
              <w:textAlignment w:val="baseline"/>
              <w:rPr>
                <w:rFonts w:ascii="宋体" w:hAnsi="宋体" w:cs="宋体"/>
                <w:szCs w:val="21"/>
              </w:rPr>
            </w:pPr>
            <w:r>
              <w:rPr>
                <w:rFonts w:hint="eastAsia" w:ascii="宋体" w:hAnsi="宋体" w:cs="宋体"/>
                <w:szCs w:val="21"/>
              </w:rPr>
              <w:t>交货</w:t>
            </w:r>
            <w:r>
              <w:rPr>
                <w:rFonts w:hint="eastAsia" w:ascii="宋体" w:hAnsi="宋体" w:cs="宋体"/>
                <w:w w:val="99"/>
                <w:szCs w:val="21"/>
              </w:rPr>
              <w:t>地点</w:t>
            </w:r>
          </w:p>
        </w:tc>
        <w:tc>
          <w:tcPr>
            <w:tcW w:w="914" w:type="dxa"/>
          </w:tcPr>
          <w:p w14:paraId="7EAB22BE">
            <w:pPr>
              <w:wordWrap w:val="0"/>
              <w:autoSpaceDE w:val="0"/>
              <w:autoSpaceDN w:val="0"/>
              <w:adjustRightInd w:val="0"/>
              <w:snapToGrid w:val="0"/>
              <w:spacing w:before="178" w:line="360" w:lineRule="auto"/>
              <w:ind w:left="363" w:right="129" w:hanging="215"/>
              <w:textAlignment w:val="baseline"/>
              <w:rPr>
                <w:rFonts w:ascii="宋体" w:hAnsi="宋体" w:cs="宋体"/>
                <w:szCs w:val="21"/>
              </w:rPr>
            </w:pPr>
            <w:r>
              <w:rPr>
                <w:rFonts w:hint="eastAsia" w:ascii="宋体" w:hAnsi="宋体" w:cs="宋体"/>
                <w:szCs w:val="21"/>
              </w:rPr>
              <w:t>计划交货</w:t>
            </w:r>
          </w:p>
          <w:p w14:paraId="0660D75A">
            <w:pPr>
              <w:wordWrap w:val="0"/>
              <w:autoSpaceDE w:val="0"/>
              <w:autoSpaceDN w:val="0"/>
              <w:adjustRightInd w:val="0"/>
              <w:snapToGrid w:val="0"/>
              <w:spacing w:line="360" w:lineRule="auto"/>
              <w:ind w:left="263"/>
              <w:textAlignment w:val="baseline"/>
              <w:rPr>
                <w:rFonts w:ascii="宋体" w:hAnsi="宋体" w:cs="宋体"/>
                <w:szCs w:val="21"/>
              </w:rPr>
            </w:pPr>
            <w:r>
              <w:rPr>
                <w:rFonts w:hint="eastAsia" w:ascii="宋体" w:hAnsi="宋体" w:cs="宋体"/>
                <w:szCs w:val="21"/>
              </w:rPr>
              <w:t>时间</w:t>
            </w:r>
          </w:p>
        </w:tc>
        <w:tc>
          <w:tcPr>
            <w:tcW w:w="1101" w:type="dxa"/>
          </w:tcPr>
          <w:p w14:paraId="4C3242C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3F38B724">
            <w:pPr>
              <w:wordWrap w:val="0"/>
              <w:autoSpaceDE w:val="0"/>
              <w:autoSpaceDN w:val="0"/>
              <w:adjustRightInd w:val="0"/>
              <w:snapToGrid w:val="0"/>
              <w:spacing w:before="90" w:line="360" w:lineRule="auto"/>
              <w:ind w:left="346"/>
              <w:textAlignment w:val="baseline"/>
              <w:rPr>
                <w:rFonts w:ascii="宋体" w:hAnsi="宋体" w:cs="宋体"/>
                <w:szCs w:val="21"/>
              </w:rPr>
            </w:pPr>
            <w:r>
              <w:rPr>
                <w:rFonts w:hint="eastAsia" w:ascii="宋体" w:hAnsi="宋体" w:cs="宋体"/>
                <w:w w:val="98"/>
                <w:szCs w:val="21"/>
              </w:rPr>
              <w:t>备注</w:t>
            </w:r>
          </w:p>
        </w:tc>
      </w:tr>
      <w:tr w14:paraId="36D3E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31C3FCC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46C4284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6E4A973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3E980E3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6A6744B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16C3819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65501DC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4D94436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4BEA788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7D1F5A3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5D1C1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795DE17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21A0B0E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2CAEAFB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44988CC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2B5D5AB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376E606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2074DFD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3EBB996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3DF84ED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79F5932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46342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19837ED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64A6F83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748C5F1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4828054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425EBF5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47E065C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06AE052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5D07511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7CBE256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25AF03D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546CD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5AF7D97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715E6EA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4EC75D3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514F3C4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67C845F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0930C3D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2ED6B26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7D87E1D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60EF60E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5A6449B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23266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6DA3F03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4544679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6C48043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21D6C0C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46AF0DA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44AC8F3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2AFE59D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7AC95D6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1A12140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429682D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2B3FE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12E84A4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74771A2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183239A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59D9C70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12B4525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2AC6EF4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2CD6485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33A116E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45F78C3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44CA984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2E2A2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4EC0905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4C6F36E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619ACE3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0AE686C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48CC3B0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5E008B9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55F85E8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3450054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7CE6C47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3C0BDD0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0B2EB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21FA5E9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1D0C2E5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775969E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3C40E7F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21108E6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1333054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275ED0D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7B7F4DC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5DD6CA0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1411D54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1C2B0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1A0E5E4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344332B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10FD726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661B47D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3F9FDC3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72CF42E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14458DF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4B647A6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68B7847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636105D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59D9D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3A40116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46E8318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54C1AA3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24ACD2F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1525D0F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66CDF33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05F83EE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1F91E70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3B59D45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0033AF5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2F0A0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147E9F4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58B1375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21A4E89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4E7A9BA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50B1359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3962EF3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237F5A9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67C2E4E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3AD4B63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0D5FCB6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5493B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666" w:type="dxa"/>
          </w:tcPr>
          <w:p w14:paraId="2F01768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662CAD6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5B05F1A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0E14A9A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49BE1E0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1D93A82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44A681F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42D4912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6FD0AC3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336C15F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70B23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1" w:hRule="atLeast"/>
        </w:trPr>
        <w:tc>
          <w:tcPr>
            <w:tcW w:w="666" w:type="dxa"/>
          </w:tcPr>
          <w:p w14:paraId="40E022D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303" w:type="dxa"/>
          </w:tcPr>
          <w:p w14:paraId="71A55EE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83" w:type="dxa"/>
          </w:tcPr>
          <w:p w14:paraId="7036CB1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09" w:type="dxa"/>
          </w:tcPr>
          <w:p w14:paraId="0119FEE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19" w:type="dxa"/>
          </w:tcPr>
          <w:p w14:paraId="5D54E41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1CC04AF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180797A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03" w:type="dxa"/>
          </w:tcPr>
          <w:p w14:paraId="7652B46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914" w:type="dxa"/>
          </w:tcPr>
          <w:p w14:paraId="5DE04E4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101" w:type="dxa"/>
          </w:tcPr>
          <w:p w14:paraId="0127D8B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bl>
    <w:p w14:paraId="7FEA71A2">
      <w:pPr>
        <w:wordWrap w:val="0"/>
        <w:autoSpaceDE w:val="0"/>
        <w:autoSpaceDN w:val="0"/>
        <w:adjustRightInd w:val="0"/>
        <w:snapToGrid w:val="0"/>
        <w:spacing w:line="360" w:lineRule="auto"/>
        <w:textAlignment w:val="baseline"/>
        <w:rPr>
          <w:rFonts w:ascii="宋体" w:hAnsi="宋体" w:cs="宋体"/>
        </w:rPr>
      </w:pPr>
    </w:p>
    <w:p w14:paraId="6016472A">
      <w:pPr>
        <w:wordWrap w:val="0"/>
        <w:autoSpaceDE w:val="0"/>
        <w:autoSpaceDN w:val="0"/>
        <w:adjustRightInd w:val="0"/>
        <w:snapToGrid w:val="0"/>
        <w:spacing w:line="360" w:lineRule="auto"/>
        <w:textAlignment w:val="baseline"/>
        <w:rPr>
          <w:rFonts w:ascii="宋体" w:hAnsi="宋体" w:cs="宋体"/>
          <w:szCs w:val="21"/>
        </w:rPr>
        <w:sectPr>
          <w:pgSz w:w="11900" w:h="16840"/>
          <w:pgMar w:top="1440" w:right="1800" w:bottom="1440" w:left="1800" w:header="0" w:footer="0" w:gutter="0"/>
          <w:cols w:space="720" w:num="1"/>
        </w:sectPr>
      </w:pPr>
    </w:p>
    <w:p w14:paraId="51B50513">
      <w:pPr>
        <w:tabs>
          <w:tab w:val="left" w:pos="567"/>
        </w:tabs>
        <w:wordWrap w:val="0"/>
        <w:spacing w:before="80" w:line="185" w:lineRule="auto"/>
        <w:ind w:left="26"/>
        <w:rPr>
          <w:rFonts w:ascii="宋体" w:hAnsi="宋体"/>
          <w:sz w:val="30"/>
          <w:szCs w:val="30"/>
        </w:rPr>
      </w:pPr>
      <w:r>
        <w:rPr>
          <w:rFonts w:ascii="宋体" w:hAnsi="宋体"/>
          <w:spacing w:val="8"/>
          <w:sz w:val="30"/>
          <w:szCs w:val="30"/>
        </w:rPr>
        <w:t>附件四：</w:t>
      </w:r>
      <w:r>
        <w:rPr>
          <w:rFonts w:ascii="宋体" w:hAnsi="宋体"/>
          <w:spacing w:val="-35"/>
          <w:sz w:val="30"/>
          <w:szCs w:val="30"/>
        </w:rPr>
        <w:t xml:space="preserve"> </w:t>
      </w:r>
      <w:r>
        <w:rPr>
          <w:rFonts w:ascii="宋体" w:hAnsi="宋体"/>
          <w:spacing w:val="8"/>
          <w:sz w:val="30"/>
          <w:szCs w:val="30"/>
        </w:rPr>
        <w:t>发包人提供的材料一览表</w:t>
      </w:r>
    </w:p>
    <w:p w14:paraId="28909C8B">
      <w:pPr>
        <w:wordWrap w:val="0"/>
        <w:spacing w:line="318" w:lineRule="auto"/>
        <w:rPr>
          <w:rFonts w:ascii="Arial"/>
        </w:rPr>
      </w:pPr>
    </w:p>
    <w:p w14:paraId="4ED256E3">
      <w:pPr>
        <w:tabs>
          <w:tab w:val="left" w:pos="567"/>
        </w:tabs>
        <w:wordWrap w:val="0"/>
        <w:spacing w:before="120" w:line="176" w:lineRule="auto"/>
        <w:ind w:left="3173"/>
        <w:rPr>
          <w:rFonts w:ascii="宋体" w:hAnsi="宋体"/>
          <w:sz w:val="28"/>
          <w:szCs w:val="28"/>
        </w:rPr>
      </w:pPr>
      <w:r>
        <w:rPr>
          <w:rFonts w:ascii="宋体" w:hAnsi="宋体"/>
          <w:spacing w:val="17"/>
          <w:sz w:val="28"/>
          <w:szCs w:val="28"/>
        </w:rPr>
        <w:t>发包人提供的材料一览表</w:t>
      </w:r>
    </w:p>
    <w:p w14:paraId="765C2CDC">
      <w:pPr>
        <w:wordWrap w:val="0"/>
        <w:autoSpaceDE w:val="0"/>
        <w:autoSpaceDN w:val="0"/>
        <w:adjustRightInd w:val="0"/>
        <w:snapToGrid w:val="0"/>
        <w:spacing w:line="360" w:lineRule="auto"/>
        <w:textAlignment w:val="baseline"/>
        <w:rPr>
          <w:rFonts w:ascii="宋体" w:hAnsi="宋体" w:cs="宋体"/>
        </w:rPr>
      </w:pPr>
    </w:p>
    <w:tbl>
      <w:tblPr>
        <w:tblStyle w:val="49"/>
        <w:tblW w:w="961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76"/>
        <w:gridCol w:w="1078"/>
        <w:gridCol w:w="883"/>
        <w:gridCol w:w="659"/>
        <w:gridCol w:w="614"/>
        <w:gridCol w:w="824"/>
        <w:gridCol w:w="884"/>
        <w:gridCol w:w="884"/>
        <w:gridCol w:w="779"/>
        <w:gridCol w:w="839"/>
        <w:gridCol w:w="734"/>
        <w:gridCol w:w="861"/>
      </w:tblGrid>
      <w:tr w14:paraId="5D40D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4" w:hRule="atLeast"/>
        </w:trPr>
        <w:tc>
          <w:tcPr>
            <w:tcW w:w="576" w:type="dxa"/>
            <w:textDirection w:val="tbRlV"/>
          </w:tcPr>
          <w:p w14:paraId="4931F16D">
            <w:pPr>
              <w:wordWrap w:val="0"/>
              <w:autoSpaceDE w:val="0"/>
              <w:autoSpaceDN w:val="0"/>
              <w:adjustRightInd w:val="0"/>
              <w:snapToGrid w:val="0"/>
              <w:spacing w:before="179" w:line="360" w:lineRule="auto"/>
              <w:ind w:left="434"/>
              <w:textAlignment w:val="baseline"/>
              <w:rPr>
                <w:rFonts w:ascii="宋体" w:hAnsi="宋体" w:cs="宋体"/>
                <w:szCs w:val="21"/>
              </w:rPr>
            </w:pPr>
            <w:r>
              <w:rPr>
                <w:rFonts w:hint="eastAsia" w:ascii="宋体" w:hAnsi="宋体" w:cs="宋体"/>
                <w:szCs w:val="21"/>
              </w:rPr>
              <w:t>序  号</w:t>
            </w:r>
          </w:p>
        </w:tc>
        <w:tc>
          <w:tcPr>
            <w:tcW w:w="1078" w:type="dxa"/>
          </w:tcPr>
          <w:p w14:paraId="1C07C60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7144D5CE">
            <w:pPr>
              <w:wordWrap w:val="0"/>
              <w:autoSpaceDE w:val="0"/>
              <w:autoSpaceDN w:val="0"/>
              <w:adjustRightInd w:val="0"/>
              <w:snapToGrid w:val="0"/>
              <w:spacing w:before="91" w:line="360" w:lineRule="auto"/>
              <w:ind w:left="116" w:right="117" w:hanging="2"/>
              <w:textAlignment w:val="baseline"/>
              <w:rPr>
                <w:rFonts w:ascii="宋体" w:hAnsi="宋体" w:cs="宋体"/>
                <w:szCs w:val="21"/>
              </w:rPr>
            </w:pPr>
            <w:r>
              <w:rPr>
                <w:rFonts w:hint="eastAsia" w:ascii="宋体" w:hAnsi="宋体" w:cs="宋体"/>
                <w:szCs w:val="21"/>
              </w:rPr>
              <w:t>材料设备</w:t>
            </w:r>
            <w:r>
              <w:rPr>
                <w:rFonts w:hint="eastAsia" w:ascii="宋体" w:hAnsi="宋体" w:cs="宋体"/>
                <w:w w:val="96"/>
                <w:szCs w:val="21"/>
              </w:rPr>
              <w:t>名</w:t>
            </w:r>
            <w:r>
              <w:rPr>
                <w:rFonts w:hint="eastAsia" w:ascii="宋体" w:hAnsi="宋体" w:cs="宋体"/>
                <w:szCs w:val="21"/>
              </w:rPr>
              <w:t xml:space="preserve">      </w:t>
            </w:r>
            <w:r>
              <w:rPr>
                <w:rFonts w:hint="eastAsia" w:ascii="宋体" w:hAnsi="宋体" w:cs="宋体"/>
                <w:w w:val="96"/>
                <w:szCs w:val="21"/>
              </w:rPr>
              <w:t>称</w:t>
            </w:r>
          </w:p>
        </w:tc>
        <w:tc>
          <w:tcPr>
            <w:tcW w:w="883" w:type="dxa"/>
          </w:tcPr>
          <w:p w14:paraId="78CB22D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240383D2">
            <w:pPr>
              <w:wordWrap w:val="0"/>
              <w:autoSpaceDE w:val="0"/>
              <w:autoSpaceDN w:val="0"/>
              <w:adjustRightInd w:val="0"/>
              <w:snapToGrid w:val="0"/>
              <w:spacing w:before="90" w:line="360" w:lineRule="auto"/>
              <w:ind w:left="235" w:right="227" w:hanging="5"/>
              <w:textAlignment w:val="baseline"/>
              <w:rPr>
                <w:rFonts w:ascii="宋体" w:hAnsi="宋体" w:cs="宋体"/>
                <w:szCs w:val="21"/>
              </w:rPr>
            </w:pPr>
            <w:r>
              <w:rPr>
                <w:rFonts w:hint="eastAsia" w:ascii="宋体" w:hAnsi="宋体" w:cs="宋体"/>
                <w:szCs w:val="21"/>
              </w:rPr>
              <w:t>规格型号</w:t>
            </w:r>
          </w:p>
        </w:tc>
        <w:tc>
          <w:tcPr>
            <w:tcW w:w="659" w:type="dxa"/>
            <w:textDirection w:val="tbRlV"/>
          </w:tcPr>
          <w:p w14:paraId="35E4C550">
            <w:pPr>
              <w:wordWrap w:val="0"/>
              <w:autoSpaceDE w:val="0"/>
              <w:autoSpaceDN w:val="0"/>
              <w:adjustRightInd w:val="0"/>
              <w:snapToGrid w:val="0"/>
              <w:spacing w:before="219" w:line="360" w:lineRule="auto"/>
              <w:ind w:left="434"/>
              <w:textAlignment w:val="baseline"/>
              <w:rPr>
                <w:rFonts w:ascii="宋体" w:hAnsi="宋体" w:cs="宋体"/>
                <w:szCs w:val="21"/>
              </w:rPr>
            </w:pPr>
            <w:r>
              <w:rPr>
                <w:rFonts w:hint="eastAsia" w:ascii="宋体" w:hAnsi="宋体" w:cs="宋体"/>
                <w:szCs w:val="21"/>
              </w:rPr>
              <w:t>单  位</w:t>
            </w:r>
          </w:p>
        </w:tc>
        <w:tc>
          <w:tcPr>
            <w:tcW w:w="614" w:type="dxa"/>
            <w:textDirection w:val="tbRlV"/>
          </w:tcPr>
          <w:p w14:paraId="2472667B">
            <w:pPr>
              <w:wordWrap w:val="0"/>
              <w:autoSpaceDE w:val="0"/>
              <w:autoSpaceDN w:val="0"/>
              <w:adjustRightInd w:val="0"/>
              <w:snapToGrid w:val="0"/>
              <w:spacing w:before="195" w:line="360" w:lineRule="auto"/>
              <w:ind w:left="434"/>
              <w:textAlignment w:val="baseline"/>
              <w:rPr>
                <w:rFonts w:ascii="宋体" w:hAnsi="宋体" w:cs="宋体"/>
                <w:szCs w:val="21"/>
              </w:rPr>
            </w:pPr>
            <w:r>
              <w:rPr>
                <w:rFonts w:hint="eastAsia" w:ascii="宋体" w:hAnsi="宋体" w:cs="宋体"/>
                <w:szCs w:val="21"/>
              </w:rPr>
              <w:t>数  量</w:t>
            </w:r>
          </w:p>
        </w:tc>
        <w:tc>
          <w:tcPr>
            <w:tcW w:w="824" w:type="dxa"/>
          </w:tcPr>
          <w:p w14:paraId="53D23D0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437CD053">
            <w:pPr>
              <w:wordWrap w:val="0"/>
              <w:autoSpaceDE w:val="0"/>
              <w:autoSpaceDN w:val="0"/>
              <w:adjustRightInd w:val="0"/>
              <w:snapToGrid w:val="0"/>
              <w:spacing w:before="90" w:line="360" w:lineRule="auto"/>
              <w:ind w:left="238" w:right="194" w:hanging="34"/>
              <w:textAlignment w:val="baseline"/>
              <w:rPr>
                <w:rFonts w:ascii="宋体" w:hAnsi="宋体" w:cs="宋体"/>
                <w:szCs w:val="21"/>
              </w:rPr>
            </w:pPr>
            <w:r>
              <w:rPr>
                <w:rFonts w:hint="eastAsia" w:ascii="宋体" w:hAnsi="宋体" w:cs="宋体"/>
                <w:szCs w:val="21"/>
              </w:rPr>
              <w:t>单价(元)</w:t>
            </w:r>
          </w:p>
        </w:tc>
        <w:tc>
          <w:tcPr>
            <w:tcW w:w="884" w:type="dxa"/>
          </w:tcPr>
          <w:p w14:paraId="2650C74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03F91748">
            <w:pPr>
              <w:wordWrap w:val="0"/>
              <w:autoSpaceDE w:val="0"/>
              <w:autoSpaceDN w:val="0"/>
              <w:adjustRightInd w:val="0"/>
              <w:snapToGrid w:val="0"/>
              <w:spacing w:before="90" w:line="360" w:lineRule="auto"/>
              <w:ind w:left="270" w:right="223" w:hanging="35"/>
              <w:textAlignment w:val="baseline"/>
              <w:rPr>
                <w:rFonts w:ascii="宋体" w:hAnsi="宋体" w:cs="宋体"/>
                <w:szCs w:val="21"/>
              </w:rPr>
            </w:pPr>
            <w:r>
              <w:rPr>
                <w:rFonts w:hint="eastAsia" w:ascii="宋体" w:hAnsi="宋体" w:cs="宋体"/>
                <w:szCs w:val="21"/>
              </w:rPr>
              <w:t>合价(元)</w:t>
            </w:r>
          </w:p>
        </w:tc>
        <w:tc>
          <w:tcPr>
            <w:tcW w:w="884" w:type="dxa"/>
          </w:tcPr>
          <w:p w14:paraId="05FED2A4">
            <w:pPr>
              <w:wordWrap w:val="0"/>
              <w:autoSpaceDE w:val="0"/>
              <w:autoSpaceDN w:val="0"/>
              <w:adjustRightInd w:val="0"/>
              <w:snapToGrid w:val="0"/>
              <w:spacing w:before="74" w:line="360" w:lineRule="auto"/>
              <w:ind w:left="131"/>
              <w:textAlignment w:val="baseline"/>
              <w:rPr>
                <w:rFonts w:ascii="宋体" w:hAnsi="宋体" w:cs="宋体"/>
                <w:szCs w:val="21"/>
              </w:rPr>
            </w:pPr>
            <w:r>
              <w:rPr>
                <w:rFonts w:hint="eastAsia" w:ascii="宋体" w:hAnsi="宋体" w:cs="宋体"/>
                <w:szCs w:val="21"/>
              </w:rPr>
              <w:t>其中：</w:t>
            </w:r>
          </w:p>
          <w:p w14:paraId="1BE39ADF">
            <w:pPr>
              <w:wordWrap w:val="0"/>
              <w:autoSpaceDE w:val="0"/>
              <w:autoSpaceDN w:val="0"/>
              <w:adjustRightInd w:val="0"/>
              <w:snapToGrid w:val="0"/>
              <w:spacing w:before="81" w:line="360" w:lineRule="auto"/>
              <w:ind w:left="236"/>
              <w:textAlignment w:val="baseline"/>
              <w:rPr>
                <w:rFonts w:ascii="宋体" w:hAnsi="宋体" w:cs="宋体"/>
                <w:szCs w:val="21"/>
              </w:rPr>
            </w:pPr>
            <w:r>
              <w:rPr>
                <w:rFonts w:hint="eastAsia" w:ascii="宋体" w:hAnsi="宋体" w:cs="宋体"/>
                <w:w w:val="98"/>
                <w:szCs w:val="21"/>
              </w:rPr>
              <w:t>有效</w:t>
            </w:r>
          </w:p>
          <w:p w14:paraId="05B926D2">
            <w:pPr>
              <w:wordWrap w:val="0"/>
              <w:autoSpaceDE w:val="0"/>
              <w:autoSpaceDN w:val="0"/>
              <w:adjustRightInd w:val="0"/>
              <w:snapToGrid w:val="0"/>
              <w:spacing w:before="82" w:line="360" w:lineRule="auto"/>
              <w:ind w:left="130"/>
              <w:textAlignment w:val="baseline"/>
              <w:rPr>
                <w:rFonts w:ascii="宋体" w:hAnsi="宋体" w:cs="宋体"/>
                <w:szCs w:val="21"/>
              </w:rPr>
            </w:pPr>
            <w:r>
              <w:rPr>
                <w:rFonts w:hint="eastAsia" w:ascii="宋体" w:hAnsi="宋体" w:cs="宋体"/>
                <w:szCs w:val="21"/>
              </w:rPr>
              <w:t>损耗率</w:t>
            </w:r>
          </w:p>
          <w:p w14:paraId="2B12F68B">
            <w:pPr>
              <w:wordWrap w:val="0"/>
              <w:autoSpaceDE w:val="0"/>
              <w:autoSpaceDN w:val="0"/>
              <w:adjustRightInd w:val="0"/>
              <w:snapToGrid w:val="0"/>
              <w:spacing w:before="82" w:line="360" w:lineRule="auto"/>
              <w:ind w:left="323"/>
              <w:textAlignment w:val="baseline"/>
              <w:rPr>
                <w:rFonts w:ascii="宋体" w:hAnsi="宋体" w:cs="宋体"/>
                <w:szCs w:val="21"/>
              </w:rPr>
            </w:pPr>
            <w:r>
              <w:rPr>
                <w:rFonts w:hint="eastAsia" w:ascii="宋体" w:hAnsi="宋体" w:cs="宋体"/>
                <w:w w:val="89"/>
                <w:szCs w:val="21"/>
              </w:rPr>
              <w:t>(%)</w:t>
            </w:r>
          </w:p>
        </w:tc>
        <w:tc>
          <w:tcPr>
            <w:tcW w:w="779" w:type="dxa"/>
          </w:tcPr>
          <w:p w14:paraId="11890B7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51889277">
            <w:pPr>
              <w:wordWrap w:val="0"/>
              <w:autoSpaceDE w:val="0"/>
              <w:autoSpaceDN w:val="0"/>
              <w:adjustRightInd w:val="0"/>
              <w:snapToGrid w:val="0"/>
              <w:spacing w:before="90" w:line="360" w:lineRule="auto"/>
              <w:ind w:left="184" w:right="169" w:firstLine="3"/>
              <w:textAlignment w:val="baseline"/>
              <w:rPr>
                <w:rFonts w:ascii="宋体" w:hAnsi="宋体" w:cs="宋体"/>
                <w:szCs w:val="21"/>
              </w:rPr>
            </w:pPr>
            <w:r>
              <w:rPr>
                <w:rFonts w:hint="eastAsia" w:ascii="宋体" w:hAnsi="宋体" w:cs="宋体"/>
                <w:szCs w:val="21"/>
              </w:rPr>
              <w:t>交货方式</w:t>
            </w:r>
          </w:p>
        </w:tc>
        <w:tc>
          <w:tcPr>
            <w:tcW w:w="839" w:type="dxa"/>
          </w:tcPr>
          <w:p w14:paraId="7F67C3B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4ACBE6D9">
            <w:pPr>
              <w:wordWrap w:val="0"/>
              <w:autoSpaceDE w:val="0"/>
              <w:autoSpaceDN w:val="0"/>
              <w:adjustRightInd w:val="0"/>
              <w:snapToGrid w:val="0"/>
              <w:spacing w:before="90" w:line="360" w:lineRule="auto"/>
              <w:ind w:left="214" w:right="198" w:firstLine="4"/>
              <w:textAlignment w:val="baseline"/>
              <w:rPr>
                <w:rFonts w:ascii="宋体" w:hAnsi="宋体" w:cs="宋体"/>
                <w:szCs w:val="21"/>
              </w:rPr>
            </w:pPr>
            <w:r>
              <w:rPr>
                <w:rFonts w:hint="eastAsia" w:ascii="宋体" w:hAnsi="宋体" w:cs="宋体"/>
                <w:szCs w:val="21"/>
              </w:rPr>
              <w:t>交货</w:t>
            </w:r>
            <w:r>
              <w:rPr>
                <w:rFonts w:hint="eastAsia" w:ascii="宋体" w:hAnsi="宋体" w:cs="宋体"/>
                <w:w w:val="99"/>
                <w:szCs w:val="21"/>
              </w:rPr>
              <w:t>地点</w:t>
            </w:r>
          </w:p>
        </w:tc>
        <w:tc>
          <w:tcPr>
            <w:tcW w:w="734" w:type="dxa"/>
          </w:tcPr>
          <w:p w14:paraId="0B63E27C">
            <w:pPr>
              <w:wordWrap w:val="0"/>
              <w:autoSpaceDE w:val="0"/>
              <w:autoSpaceDN w:val="0"/>
              <w:adjustRightInd w:val="0"/>
              <w:snapToGrid w:val="0"/>
              <w:spacing w:before="253" w:line="360" w:lineRule="auto"/>
              <w:ind w:left="167" w:right="144" w:hanging="4"/>
              <w:textAlignment w:val="baseline"/>
              <w:rPr>
                <w:rFonts w:ascii="宋体" w:hAnsi="宋体" w:cs="宋体"/>
                <w:szCs w:val="21"/>
              </w:rPr>
            </w:pPr>
            <w:r>
              <w:rPr>
                <w:rFonts w:hint="eastAsia" w:ascii="宋体" w:hAnsi="宋体" w:cs="宋体"/>
                <w:szCs w:val="21"/>
              </w:rPr>
              <w:t>计划交货</w:t>
            </w:r>
          </w:p>
          <w:p w14:paraId="11F465BF">
            <w:pPr>
              <w:wordWrap w:val="0"/>
              <w:autoSpaceDE w:val="0"/>
              <w:autoSpaceDN w:val="0"/>
              <w:adjustRightInd w:val="0"/>
              <w:snapToGrid w:val="0"/>
              <w:spacing w:line="360" w:lineRule="auto"/>
              <w:ind w:left="173"/>
              <w:textAlignment w:val="baseline"/>
              <w:rPr>
                <w:rFonts w:ascii="宋体" w:hAnsi="宋体" w:cs="宋体"/>
                <w:szCs w:val="21"/>
              </w:rPr>
            </w:pPr>
            <w:r>
              <w:rPr>
                <w:rFonts w:hint="eastAsia" w:ascii="宋体" w:hAnsi="宋体" w:cs="宋体"/>
                <w:szCs w:val="21"/>
              </w:rPr>
              <w:t>时间</w:t>
            </w:r>
          </w:p>
        </w:tc>
        <w:tc>
          <w:tcPr>
            <w:tcW w:w="861" w:type="dxa"/>
          </w:tcPr>
          <w:p w14:paraId="67F01AC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01409F6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p w14:paraId="272F50F0">
            <w:pPr>
              <w:wordWrap w:val="0"/>
              <w:autoSpaceDE w:val="0"/>
              <w:autoSpaceDN w:val="0"/>
              <w:adjustRightInd w:val="0"/>
              <w:snapToGrid w:val="0"/>
              <w:spacing w:before="90" w:line="360" w:lineRule="auto"/>
              <w:ind w:left="226"/>
              <w:textAlignment w:val="baseline"/>
              <w:rPr>
                <w:rFonts w:ascii="宋体" w:hAnsi="宋体" w:cs="宋体"/>
                <w:szCs w:val="21"/>
              </w:rPr>
            </w:pPr>
            <w:r>
              <w:rPr>
                <w:rFonts w:hint="eastAsia" w:ascii="宋体" w:hAnsi="宋体" w:cs="宋体"/>
                <w:w w:val="98"/>
                <w:szCs w:val="21"/>
              </w:rPr>
              <w:t>备注</w:t>
            </w:r>
          </w:p>
        </w:tc>
      </w:tr>
      <w:tr w14:paraId="43239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576" w:type="dxa"/>
          </w:tcPr>
          <w:p w14:paraId="1B36DB8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22910A2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313F963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6F73B01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4436A3C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7F3662F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647F446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016FA60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3341B52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7AD0A6F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31A21D5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334D9A4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679A4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576" w:type="dxa"/>
          </w:tcPr>
          <w:p w14:paraId="47DDFBF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2A185A9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0357681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4B40CDB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101FAD8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2A51170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03ECE1C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319E434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1F88705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504A4FC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4DE3A2D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30EBF81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35B61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576" w:type="dxa"/>
          </w:tcPr>
          <w:p w14:paraId="2471DE9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3F742D0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66F042E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2A437E3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7A4D1BA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7B2BC20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58C0061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59B7C34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79CB69D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0BA817E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4AAAA93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1029FC0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328F8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576" w:type="dxa"/>
          </w:tcPr>
          <w:p w14:paraId="25348DB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6C2D2F2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1C7688D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0A6C774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7E278F3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4EAF11D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2D4B661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4098D1D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41B7934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3A9ADB8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61E4626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119F97C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02A94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576" w:type="dxa"/>
          </w:tcPr>
          <w:p w14:paraId="48692DC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060EBFB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7EDD390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07E0A25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4FBFFE3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1388DA2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0424DC6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1528795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4CC4E11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37FC164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5CF09E3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15F2120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45B35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576" w:type="dxa"/>
          </w:tcPr>
          <w:p w14:paraId="33FE281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3854ECE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2D12002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269D0A5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71A2CFE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0E0F778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0269A4B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29E0506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1D785B8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2D5D178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675D423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7FC1B7C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62DB0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576" w:type="dxa"/>
          </w:tcPr>
          <w:p w14:paraId="0B6D642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7EA910F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36FD1F9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27B286F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06F00BF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4207EDF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454080B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56967C24">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6625497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3F814D8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5E87027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7C76565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40BFC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576" w:type="dxa"/>
          </w:tcPr>
          <w:p w14:paraId="0809ED5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7FE3064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4374022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54831C2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44DB244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260AE50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0AFFEF7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17937AF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0FE1D09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650C0FC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1AC6978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4FB07D3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11526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576" w:type="dxa"/>
          </w:tcPr>
          <w:p w14:paraId="196FDD1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7382596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6AADBE2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2663EAD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6235987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3D27F7CF">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415A987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4B97E605">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1D60310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0E45798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1A546C1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33C46B3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4F7CC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576" w:type="dxa"/>
          </w:tcPr>
          <w:p w14:paraId="229EB6D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3DD93AF6">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51B7B59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0FBDA9D0">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7A28492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768A7C82">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39D77B7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1AA76D6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241CC99C">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7F6F1A3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644CD6A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72D4242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r w14:paraId="09E6F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1" w:hRule="atLeast"/>
        </w:trPr>
        <w:tc>
          <w:tcPr>
            <w:tcW w:w="576" w:type="dxa"/>
          </w:tcPr>
          <w:p w14:paraId="01B1E80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1078" w:type="dxa"/>
          </w:tcPr>
          <w:p w14:paraId="211F8D9E">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3" w:type="dxa"/>
          </w:tcPr>
          <w:p w14:paraId="5288B2E7">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59" w:type="dxa"/>
          </w:tcPr>
          <w:p w14:paraId="614423D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614" w:type="dxa"/>
          </w:tcPr>
          <w:p w14:paraId="0E205D88">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24" w:type="dxa"/>
          </w:tcPr>
          <w:p w14:paraId="0AB0DD23">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3E203A11">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84" w:type="dxa"/>
          </w:tcPr>
          <w:p w14:paraId="75607A69">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79" w:type="dxa"/>
          </w:tcPr>
          <w:p w14:paraId="1144FEF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39" w:type="dxa"/>
          </w:tcPr>
          <w:p w14:paraId="1EF6F8AB">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734" w:type="dxa"/>
          </w:tcPr>
          <w:p w14:paraId="03AE79EA">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c>
          <w:tcPr>
            <w:tcW w:w="861" w:type="dxa"/>
          </w:tcPr>
          <w:p w14:paraId="5787A58D">
            <w:pPr>
              <w:wordWrap w:val="0"/>
              <w:autoSpaceDE w:val="0"/>
              <w:autoSpaceDN w:val="0"/>
              <w:adjustRightInd w:val="0"/>
              <w:snapToGrid w:val="0"/>
              <w:spacing w:line="360" w:lineRule="auto"/>
              <w:jc w:val="left"/>
              <w:textAlignment w:val="baseline"/>
              <w:rPr>
                <w:rFonts w:ascii="宋体" w:hAnsi="宋体" w:cs="宋体"/>
                <w:snapToGrid w:val="0"/>
                <w:kern w:val="0"/>
                <w:sz w:val="24"/>
                <w:lang w:eastAsia="en-US"/>
              </w:rPr>
            </w:pPr>
          </w:p>
        </w:tc>
      </w:tr>
    </w:tbl>
    <w:p w14:paraId="7DAFB450">
      <w:pPr>
        <w:wordWrap w:val="0"/>
        <w:autoSpaceDE w:val="0"/>
        <w:autoSpaceDN w:val="0"/>
        <w:adjustRightInd w:val="0"/>
        <w:snapToGrid w:val="0"/>
        <w:spacing w:line="360" w:lineRule="auto"/>
        <w:textAlignment w:val="baseline"/>
        <w:rPr>
          <w:rFonts w:ascii="宋体" w:hAnsi="宋体" w:cs="宋体"/>
        </w:rPr>
      </w:pPr>
    </w:p>
    <w:p w14:paraId="58A56516">
      <w:pPr>
        <w:wordWrap w:val="0"/>
        <w:autoSpaceDE w:val="0"/>
        <w:autoSpaceDN w:val="0"/>
        <w:adjustRightInd w:val="0"/>
        <w:snapToGrid w:val="0"/>
        <w:spacing w:line="360" w:lineRule="auto"/>
        <w:textAlignment w:val="baseline"/>
        <w:rPr>
          <w:rFonts w:ascii="宋体" w:hAnsi="宋体" w:cs="宋体"/>
          <w:szCs w:val="21"/>
        </w:rPr>
        <w:sectPr>
          <w:headerReference r:id="rId13" w:type="default"/>
          <w:pgSz w:w="11900" w:h="16840"/>
          <w:pgMar w:top="1440" w:right="1800" w:bottom="1440" w:left="1800" w:header="1506" w:footer="0" w:gutter="0"/>
          <w:cols w:space="720" w:num="1"/>
        </w:sectPr>
      </w:pPr>
    </w:p>
    <w:p w14:paraId="5C23D8EE">
      <w:pPr>
        <w:tabs>
          <w:tab w:val="left" w:pos="567"/>
        </w:tabs>
        <w:wordWrap w:val="0"/>
        <w:autoSpaceDE w:val="0"/>
        <w:autoSpaceDN w:val="0"/>
        <w:adjustRightInd w:val="0"/>
        <w:snapToGrid w:val="0"/>
        <w:spacing w:before="128" w:line="360" w:lineRule="auto"/>
        <w:ind w:left="18"/>
        <w:textAlignment w:val="baseline"/>
        <w:outlineLvl w:val="1"/>
        <w:rPr>
          <w:rFonts w:ascii="宋体" w:hAnsi="宋体" w:cs="宋体"/>
          <w:sz w:val="30"/>
          <w:szCs w:val="30"/>
        </w:rPr>
      </w:pPr>
      <w:r>
        <w:rPr>
          <w:rFonts w:hint="eastAsia" w:ascii="宋体" w:hAnsi="宋体" w:cs="宋体"/>
          <w:sz w:val="30"/>
          <w:szCs w:val="30"/>
        </w:rPr>
        <w:t>附件五： 承包人履约担保格式</w:t>
      </w:r>
    </w:p>
    <w:p w14:paraId="6645F76D">
      <w:pPr>
        <w:wordWrap w:val="0"/>
        <w:autoSpaceDE w:val="0"/>
        <w:autoSpaceDN w:val="0"/>
        <w:adjustRightInd w:val="0"/>
        <w:snapToGrid w:val="0"/>
        <w:spacing w:line="360" w:lineRule="auto"/>
        <w:textAlignment w:val="baseline"/>
        <w:rPr>
          <w:rFonts w:ascii="宋体" w:hAnsi="宋体" w:cs="宋体"/>
        </w:rPr>
      </w:pPr>
    </w:p>
    <w:p w14:paraId="2532100D">
      <w:pPr>
        <w:tabs>
          <w:tab w:val="left" w:pos="567"/>
        </w:tabs>
        <w:wordWrap w:val="0"/>
        <w:autoSpaceDE w:val="0"/>
        <w:autoSpaceDN w:val="0"/>
        <w:adjustRightInd w:val="0"/>
        <w:snapToGrid w:val="0"/>
        <w:spacing w:before="91" w:line="360" w:lineRule="auto"/>
        <w:textAlignment w:val="baseline"/>
        <w:rPr>
          <w:rFonts w:ascii="宋体" w:hAnsi="宋体" w:cs="宋体"/>
          <w:sz w:val="24"/>
        </w:rPr>
      </w:pPr>
      <w:r>
        <w:rPr>
          <w:rFonts w:hint="eastAsia" w:ascii="宋体" w:hAnsi="宋体" w:cs="宋体"/>
          <w:sz w:val="24"/>
        </w:rPr>
        <w:t>注 ：此处履约担保格式 ， 由承包人依据现行法规政策要求自行补充。</w:t>
      </w:r>
    </w:p>
    <w:p w14:paraId="0C9E9B71">
      <w:pPr>
        <w:wordWrap w:val="0"/>
        <w:autoSpaceDE w:val="0"/>
        <w:autoSpaceDN w:val="0"/>
        <w:adjustRightInd w:val="0"/>
        <w:snapToGrid w:val="0"/>
        <w:spacing w:line="360" w:lineRule="auto"/>
        <w:textAlignment w:val="baseline"/>
        <w:rPr>
          <w:rFonts w:ascii="宋体" w:hAnsi="宋体" w:cs="宋体"/>
        </w:rPr>
        <w:sectPr>
          <w:pgSz w:w="11900" w:h="16840"/>
          <w:pgMar w:top="1440" w:right="1800" w:bottom="1440" w:left="1800" w:header="0" w:footer="0" w:gutter="0"/>
          <w:cols w:space="720" w:num="1"/>
        </w:sectPr>
      </w:pPr>
    </w:p>
    <w:p w14:paraId="3BBDF3ED">
      <w:pPr>
        <w:tabs>
          <w:tab w:val="left" w:pos="567"/>
        </w:tabs>
        <w:wordWrap w:val="0"/>
        <w:autoSpaceDE w:val="0"/>
        <w:autoSpaceDN w:val="0"/>
        <w:adjustRightInd w:val="0"/>
        <w:snapToGrid w:val="0"/>
        <w:spacing w:before="129" w:line="360" w:lineRule="auto"/>
        <w:ind w:left="18"/>
        <w:textAlignment w:val="baseline"/>
        <w:outlineLvl w:val="1"/>
        <w:rPr>
          <w:rFonts w:ascii="宋体" w:hAnsi="宋体" w:cs="宋体"/>
          <w:sz w:val="30"/>
          <w:szCs w:val="30"/>
        </w:rPr>
      </w:pPr>
      <w:r>
        <w:rPr>
          <w:rFonts w:hint="eastAsia" w:ascii="宋体" w:hAnsi="宋体" w:cs="宋体"/>
          <w:sz w:val="30"/>
          <w:szCs w:val="30"/>
        </w:rPr>
        <w:t>附件六： 支付担保格式</w:t>
      </w:r>
    </w:p>
    <w:p w14:paraId="01439595">
      <w:pPr>
        <w:wordWrap w:val="0"/>
        <w:autoSpaceDE w:val="0"/>
        <w:autoSpaceDN w:val="0"/>
        <w:adjustRightInd w:val="0"/>
        <w:snapToGrid w:val="0"/>
        <w:spacing w:line="360" w:lineRule="auto"/>
        <w:textAlignment w:val="baseline"/>
        <w:rPr>
          <w:rFonts w:ascii="宋体" w:hAnsi="宋体" w:cs="宋体"/>
        </w:rPr>
      </w:pPr>
    </w:p>
    <w:p w14:paraId="18CE1760">
      <w:pPr>
        <w:tabs>
          <w:tab w:val="left" w:pos="567"/>
        </w:tabs>
        <w:wordWrap w:val="0"/>
        <w:autoSpaceDE w:val="0"/>
        <w:autoSpaceDN w:val="0"/>
        <w:adjustRightInd w:val="0"/>
        <w:snapToGrid w:val="0"/>
        <w:spacing w:before="90" w:line="360" w:lineRule="auto"/>
        <w:textAlignment w:val="baseline"/>
        <w:rPr>
          <w:rFonts w:ascii="宋体" w:hAnsi="宋体" w:cs="宋体"/>
          <w:sz w:val="24"/>
        </w:rPr>
      </w:pPr>
      <w:r>
        <w:rPr>
          <w:rFonts w:hint="eastAsia" w:ascii="宋体" w:hAnsi="宋体" w:cs="宋体"/>
          <w:sz w:val="24"/>
        </w:rPr>
        <w:t>注 ：此处支付担保格式 ， 由发包人依据现行法规政策要求自行补充。</w:t>
      </w:r>
    </w:p>
    <w:p w14:paraId="356371BA">
      <w:pPr>
        <w:wordWrap w:val="0"/>
        <w:autoSpaceDE w:val="0"/>
        <w:autoSpaceDN w:val="0"/>
        <w:adjustRightInd w:val="0"/>
        <w:snapToGrid w:val="0"/>
        <w:spacing w:line="360" w:lineRule="auto"/>
        <w:textAlignment w:val="baseline"/>
        <w:rPr>
          <w:rFonts w:ascii="宋体" w:hAnsi="宋体" w:cs="宋体"/>
        </w:rPr>
        <w:sectPr>
          <w:pgSz w:w="11900" w:h="16840"/>
          <w:pgMar w:top="1440" w:right="1800" w:bottom="1440" w:left="1800" w:header="0" w:footer="0" w:gutter="0"/>
          <w:cols w:space="720" w:num="1"/>
        </w:sectPr>
      </w:pPr>
    </w:p>
    <w:p w14:paraId="430EC639">
      <w:pPr>
        <w:tabs>
          <w:tab w:val="left" w:pos="567"/>
        </w:tabs>
        <w:wordWrap w:val="0"/>
        <w:autoSpaceDE w:val="0"/>
        <w:autoSpaceDN w:val="0"/>
        <w:adjustRightInd w:val="0"/>
        <w:snapToGrid w:val="0"/>
        <w:spacing w:before="129" w:line="360" w:lineRule="auto"/>
        <w:ind w:left="33"/>
        <w:textAlignment w:val="baseline"/>
        <w:rPr>
          <w:rFonts w:ascii="宋体" w:hAnsi="宋体" w:cs="宋体"/>
          <w:sz w:val="30"/>
          <w:szCs w:val="30"/>
        </w:rPr>
      </w:pPr>
      <w:r>
        <w:rPr>
          <w:rFonts w:hint="eastAsia" w:ascii="宋体" w:hAnsi="宋体" w:cs="宋体"/>
          <w:sz w:val="30"/>
          <w:szCs w:val="30"/>
        </w:rPr>
        <w:t>附件七： 质量保修书格式</w:t>
      </w:r>
    </w:p>
    <w:p w14:paraId="28D74C2E">
      <w:pPr>
        <w:tabs>
          <w:tab w:val="left" w:pos="567"/>
        </w:tabs>
        <w:wordWrap w:val="0"/>
        <w:autoSpaceDE w:val="0"/>
        <w:autoSpaceDN w:val="0"/>
        <w:adjustRightInd w:val="0"/>
        <w:snapToGrid w:val="0"/>
        <w:spacing w:before="120" w:line="360" w:lineRule="auto"/>
        <w:ind w:left="3454"/>
        <w:textAlignment w:val="baseline"/>
        <w:outlineLvl w:val="0"/>
        <w:rPr>
          <w:rFonts w:ascii="宋体" w:hAnsi="宋体" w:cs="宋体"/>
          <w:sz w:val="28"/>
          <w:szCs w:val="28"/>
        </w:rPr>
      </w:pPr>
      <w:r>
        <w:rPr>
          <w:rFonts w:hint="eastAsia" w:ascii="宋体" w:hAnsi="宋体" w:cs="宋体"/>
          <w:sz w:val="28"/>
          <w:szCs w:val="28"/>
        </w:rPr>
        <w:t>房屋建筑工程质量保修书</w:t>
      </w:r>
    </w:p>
    <w:p w14:paraId="66924186">
      <w:pPr>
        <w:wordWrap w:val="0"/>
        <w:autoSpaceDE w:val="0"/>
        <w:autoSpaceDN w:val="0"/>
        <w:adjustRightInd w:val="0"/>
        <w:snapToGrid w:val="0"/>
        <w:spacing w:line="360" w:lineRule="auto"/>
        <w:textAlignment w:val="baseline"/>
        <w:rPr>
          <w:rFonts w:ascii="宋体" w:hAnsi="宋体" w:cs="宋体"/>
        </w:rPr>
      </w:pPr>
    </w:p>
    <w:p w14:paraId="13E89018">
      <w:pPr>
        <w:tabs>
          <w:tab w:val="left" w:pos="567"/>
        </w:tabs>
        <w:wordWrap w:val="0"/>
        <w:autoSpaceDE w:val="0"/>
        <w:autoSpaceDN w:val="0"/>
        <w:adjustRightInd w:val="0"/>
        <w:snapToGrid w:val="0"/>
        <w:spacing w:before="90" w:line="360" w:lineRule="auto"/>
        <w:ind w:left="19"/>
        <w:textAlignment w:val="baseline"/>
        <w:rPr>
          <w:rFonts w:ascii="宋体" w:hAnsi="宋体" w:cs="宋体"/>
          <w:sz w:val="24"/>
        </w:rPr>
      </w:pPr>
      <w:r>
        <w:rPr>
          <w:rFonts w:hint="eastAsia" w:ascii="宋体" w:hAnsi="宋体" w:cs="宋体"/>
          <w:sz w:val="24"/>
        </w:rPr>
        <w:t>发包人：</w:t>
      </w:r>
      <w:r>
        <w:rPr>
          <w:rFonts w:hint="eastAsia" w:ascii="宋体" w:hAnsi="宋体" w:cs="宋体"/>
          <w:sz w:val="24"/>
          <w:u w:val="single"/>
        </w:rPr>
        <w:t xml:space="preserve">                                                                                                               </w:t>
      </w:r>
    </w:p>
    <w:p w14:paraId="5BEC9719">
      <w:pPr>
        <w:tabs>
          <w:tab w:val="left" w:pos="567"/>
        </w:tabs>
        <w:wordWrap w:val="0"/>
        <w:autoSpaceDE w:val="0"/>
        <w:autoSpaceDN w:val="0"/>
        <w:adjustRightInd w:val="0"/>
        <w:snapToGrid w:val="0"/>
        <w:spacing w:before="81" w:line="360" w:lineRule="auto"/>
        <w:ind w:left="15"/>
        <w:textAlignment w:val="baseline"/>
        <w:rPr>
          <w:rFonts w:ascii="宋体" w:hAnsi="宋体" w:cs="宋体"/>
          <w:sz w:val="24"/>
        </w:rPr>
      </w:pPr>
      <w:r>
        <w:rPr>
          <w:rFonts w:hint="eastAsia" w:ascii="宋体" w:hAnsi="宋体" w:cs="宋体"/>
          <w:sz w:val="24"/>
        </w:rPr>
        <w:t>承包人：</w:t>
      </w:r>
      <w:r>
        <w:rPr>
          <w:rFonts w:hint="eastAsia" w:ascii="宋体" w:hAnsi="宋体" w:cs="宋体"/>
          <w:sz w:val="24"/>
          <w:u w:val="single"/>
        </w:rPr>
        <w:t xml:space="preserve">                                                                                                                 </w:t>
      </w:r>
    </w:p>
    <w:p w14:paraId="1E6D84A2">
      <w:pPr>
        <w:tabs>
          <w:tab w:val="left" w:pos="600"/>
        </w:tabs>
        <w:wordWrap w:val="0"/>
        <w:autoSpaceDE w:val="0"/>
        <w:autoSpaceDN w:val="0"/>
        <w:adjustRightInd w:val="0"/>
        <w:snapToGrid w:val="0"/>
        <w:spacing w:before="85" w:line="360" w:lineRule="auto"/>
        <w:ind w:left="480"/>
        <w:textAlignment w:val="baseline"/>
        <w:rPr>
          <w:rFonts w:ascii="宋体" w:hAnsi="宋体" w:cs="宋体"/>
        </w:rPr>
      </w:pPr>
      <w:r>
        <w:rPr>
          <w:rFonts w:hint="eastAsia" w:ascii="宋体" w:hAnsi="宋体" w:cs="宋体"/>
          <w:szCs w:val="21"/>
          <w:u w:val="single"/>
        </w:rPr>
        <w:tab/>
      </w:r>
    </w:p>
    <w:p w14:paraId="6A85F990">
      <w:pPr>
        <w:tabs>
          <w:tab w:val="left" w:pos="567"/>
        </w:tabs>
        <w:wordWrap w:val="0"/>
        <w:autoSpaceDE w:val="0"/>
        <w:autoSpaceDN w:val="0"/>
        <w:adjustRightInd w:val="0"/>
        <w:snapToGrid w:val="0"/>
        <w:spacing w:before="112" w:line="360" w:lineRule="auto"/>
        <w:ind w:left="15" w:firstLine="423"/>
        <w:textAlignment w:val="baseline"/>
        <w:rPr>
          <w:rFonts w:ascii="宋体" w:hAnsi="宋体" w:cs="宋体"/>
          <w:sz w:val="24"/>
        </w:rPr>
      </w:pPr>
      <w:r>
        <w:rPr>
          <w:rFonts w:hint="eastAsia" w:ascii="宋体" w:hAnsi="宋体" w:cs="宋体"/>
          <w:sz w:val="24"/>
        </w:rPr>
        <w:t>发包人、承包人根据《中华人民共和国建筑法》 、《建设工程质量管理条例》和《房屋建筑工程质量保修办法》 ，经协商一致 ，对</w:t>
      </w:r>
      <w:r>
        <w:rPr>
          <w:rFonts w:hint="eastAsia" w:ascii="宋体" w:hAnsi="宋体" w:cs="宋体"/>
          <w:sz w:val="24"/>
          <w:u w:val="single"/>
        </w:rPr>
        <w:t xml:space="preserve">                                              </w:t>
      </w:r>
      <w:r>
        <w:rPr>
          <w:rFonts w:hint="eastAsia" w:ascii="宋体" w:hAnsi="宋体" w:cs="宋体"/>
          <w:sz w:val="24"/>
        </w:rPr>
        <w:t>（工程名称）签订保修书。</w:t>
      </w:r>
    </w:p>
    <w:p w14:paraId="30C40ACA">
      <w:pPr>
        <w:tabs>
          <w:tab w:val="left" w:pos="567"/>
        </w:tabs>
        <w:wordWrap w:val="0"/>
        <w:autoSpaceDE w:val="0"/>
        <w:autoSpaceDN w:val="0"/>
        <w:adjustRightInd w:val="0"/>
        <w:snapToGrid w:val="0"/>
        <w:spacing w:before="1" w:line="360" w:lineRule="auto"/>
        <w:ind w:left="439"/>
        <w:textAlignment w:val="baseline"/>
        <w:rPr>
          <w:rFonts w:ascii="宋体" w:hAnsi="宋体" w:cs="宋体"/>
          <w:sz w:val="24"/>
        </w:rPr>
      </w:pPr>
      <w:r>
        <w:rPr>
          <w:rFonts w:hint="eastAsia" w:ascii="宋体" w:hAnsi="宋体" w:cs="宋体"/>
          <w:sz w:val="24"/>
        </w:rPr>
        <w:t>一、工程保修范围和内容</w:t>
      </w:r>
    </w:p>
    <w:p w14:paraId="6BDEBC6D">
      <w:pPr>
        <w:tabs>
          <w:tab w:val="left" w:pos="567"/>
        </w:tabs>
        <w:wordWrap w:val="0"/>
        <w:autoSpaceDE w:val="0"/>
        <w:autoSpaceDN w:val="0"/>
        <w:adjustRightInd w:val="0"/>
        <w:snapToGrid w:val="0"/>
        <w:spacing w:before="83" w:line="360" w:lineRule="auto"/>
        <w:ind w:left="435"/>
        <w:textAlignment w:val="baseline"/>
        <w:rPr>
          <w:rFonts w:ascii="宋体" w:hAnsi="宋体" w:cs="宋体"/>
          <w:sz w:val="24"/>
        </w:rPr>
      </w:pPr>
      <w:r>
        <w:rPr>
          <w:rFonts w:hint="eastAsia" w:ascii="宋体" w:hAnsi="宋体" w:cs="宋体"/>
          <w:sz w:val="24"/>
        </w:rPr>
        <w:t>承包人在保修期内 ，按照有关法律、法规、规章的管理规定和双方约定 ，承担本工程保修责任。</w:t>
      </w:r>
    </w:p>
    <w:p w14:paraId="5AEF81A8">
      <w:pPr>
        <w:tabs>
          <w:tab w:val="left" w:pos="567"/>
        </w:tabs>
        <w:wordWrap w:val="0"/>
        <w:autoSpaceDE w:val="0"/>
        <w:autoSpaceDN w:val="0"/>
        <w:adjustRightInd w:val="0"/>
        <w:snapToGrid w:val="0"/>
        <w:spacing w:before="84" w:line="360" w:lineRule="auto"/>
        <w:ind w:left="15" w:firstLine="420"/>
        <w:textAlignment w:val="baseline"/>
        <w:rPr>
          <w:rFonts w:ascii="宋体" w:hAnsi="宋体" w:cs="宋体"/>
          <w:sz w:val="24"/>
        </w:rPr>
      </w:pPr>
      <w:r>
        <w:rPr>
          <w:rFonts w:hint="eastAsia" w:ascii="宋体" w:hAnsi="宋体" w:cs="宋体"/>
          <w:sz w:val="24"/>
        </w:rPr>
        <w:t>保修责任范围包括地基基础工程、主体结构工程 ，屋面防水工程、有防水要求的卫生间、房间和外墙面的防渗漏 ，供热与供冷系统 ， 电气管线、给排水管道、设备安装和装修工程 ， 以及双方约定的其他项目 。具体保修的内容 ，双方约定如下：</w:t>
      </w:r>
    </w:p>
    <w:p w14:paraId="314DDEC7">
      <w:pPr>
        <w:tabs>
          <w:tab w:val="left" w:pos="8205"/>
        </w:tabs>
        <w:wordWrap w:val="0"/>
        <w:autoSpaceDE w:val="0"/>
        <w:autoSpaceDN w:val="0"/>
        <w:adjustRightInd w:val="0"/>
        <w:snapToGrid w:val="0"/>
        <w:spacing w:before="1" w:line="360" w:lineRule="auto"/>
        <w:textAlignment w:val="baseline"/>
        <w:rPr>
          <w:rFonts w:ascii="宋体" w:hAnsi="宋体" w:cs="宋体"/>
        </w:rPr>
      </w:pPr>
      <w:r>
        <w:rPr>
          <w:rFonts w:hint="eastAsia" w:ascii="宋体" w:hAnsi="宋体" w:cs="宋体"/>
          <w:szCs w:val="21"/>
          <w:u w:val="single"/>
        </w:rPr>
        <w:tab/>
      </w:r>
    </w:p>
    <w:p w14:paraId="13683C7B">
      <w:pPr>
        <w:tabs>
          <w:tab w:val="left" w:pos="8100"/>
        </w:tabs>
        <w:wordWrap w:val="0"/>
        <w:autoSpaceDE w:val="0"/>
        <w:autoSpaceDN w:val="0"/>
        <w:adjustRightInd w:val="0"/>
        <w:snapToGrid w:val="0"/>
        <w:spacing w:before="118" w:line="360" w:lineRule="auto"/>
        <w:textAlignment w:val="baseline"/>
        <w:rPr>
          <w:rFonts w:ascii="宋体" w:hAnsi="宋体" w:cs="宋体"/>
        </w:rPr>
      </w:pPr>
      <w:r>
        <w:rPr>
          <w:rFonts w:hint="eastAsia" w:ascii="宋体" w:hAnsi="宋体" w:cs="宋体"/>
          <w:szCs w:val="21"/>
          <w:u w:val="single"/>
        </w:rPr>
        <w:tab/>
      </w:r>
    </w:p>
    <w:p w14:paraId="20E4F967">
      <w:pPr>
        <w:tabs>
          <w:tab w:val="left" w:pos="8100"/>
        </w:tabs>
        <w:wordWrap w:val="0"/>
        <w:autoSpaceDE w:val="0"/>
        <w:autoSpaceDN w:val="0"/>
        <w:adjustRightInd w:val="0"/>
        <w:snapToGrid w:val="0"/>
        <w:spacing w:before="119" w:line="360" w:lineRule="auto"/>
        <w:textAlignment w:val="baseline"/>
        <w:rPr>
          <w:rFonts w:ascii="宋体" w:hAnsi="宋体" w:cs="宋体"/>
        </w:rPr>
      </w:pPr>
      <w:r>
        <w:rPr>
          <w:rFonts w:hint="eastAsia" w:ascii="宋体" w:hAnsi="宋体" w:cs="宋体"/>
          <w:szCs w:val="21"/>
          <w:u w:val="single"/>
        </w:rPr>
        <w:tab/>
      </w:r>
    </w:p>
    <w:p w14:paraId="0B40992C">
      <w:pPr>
        <w:tabs>
          <w:tab w:val="left" w:pos="567"/>
        </w:tabs>
        <w:wordWrap w:val="0"/>
        <w:autoSpaceDE w:val="0"/>
        <w:autoSpaceDN w:val="0"/>
        <w:adjustRightInd w:val="0"/>
        <w:snapToGrid w:val="0"/>
        <w:spacing w:before="244" w:line="360" w:lineRule="auto"/>
        <w:ind w:left="7070"/>
        <w:textAlignment w:val="baseline"/>
        <w:rPr>
          <w:rFonts w:ascii="宋体" w:hAnsi="宋体" w:cs="宋体"/>
          <w:sz w:val="24"/>
        </w:rPr>
      </w:pPr>
      <w:r>
        <w:rPr>
          <w:rFonts w:hint="eastAsia" w:ascii="宋体" w:hAnsi="宋体" w:cs="宋体"/>
          <w:sz w:val="24"/>
        </w:rPr>
        <mc:AlternateContent>
          <mc:Choice Requires="wps">
            <w:drawing>
              <wp:anchor distT="0" distB="0" distL="114300" distR="114300" simplePos="0" relativeHeight="251660288" behindDoc="0" locked="0" layoutInCell="1" allowOverlap="1">
                <wp:simplePos x="0" y="0"/>
                <wp:positionH relativeFrom="column">
                  <wp:posOffset>-12700</wp:posOffset>
                </wp:positionH>
                <wp:positionV relativeFrom="paragraph">
                  <wp:posOffset>62230</wp:posOffset>
                </wp:positionV>
                <wp:extent cx="4502150" cy="1790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502150" cy="179070"/>
                        </a:xfrm>
                        <a:prstGeom prst="rect">
                          <a:avLst/>
                        </a:prstGeom>
                        <a:noFill/>
                        <a:ln>
                          <a:noFill/>
                        </a:ln>
                      </wps:spPr>
                      <wps:txbx>
                        <w:txbxContent>
                          <w:p w14:paraId="5859BFA0">
                            <w:pPr>
                              <w:tabs>
                                <w:tab w:val="left" w:pos="7070"/>
                              </w:tabs>
                              <w:spacing w:before="19"/>
                              <w:ind w:left="20"/>
                              <w:rPr>
                                <w:rFonts w:ascii="Arial"/>
                              </w:rPr>
                            </w:pPr>
                            <w:r>
                              <w:rPr>
                                <w:rFonts w:ascii="Arial" w:hAnsi="Arial" w:eastAsia="Arial" w:cs="Arial"/>
                                <w:szCs w:val="21"/>
                                <w:u w:val="single"/>
                              </w:rPr>
                              <w:tab/>
                            </w:r>
                          </w:p>
                        </w:txbxContent>
                      </wps:txbx>
                      <wps:bodyPr lIns="0" tIns="0" rIns="0" bIns="0" upright="1"/>
                    </wps:wsp>
                  </a:graphicData>
                </a:graphic>
              </wp:anchor>
            </w:drawing>
          </mc:Choice>
          <mc:Fallback>
            <w:pict>
              <v:shape id="_x0000_s1026" o:spid="_x0000_s1026" o:spt="202" type="#_x0000_t202" style="position:absolute;left:0pt;margin-left:-1pt;margin-top:4.9pt;height:14.1pt;width:354.5pt;z-index:251660288;mso-width-relative:page;mso-height-relative:page;" filled="f" stroked="f" coordsize="21600,21600" o:gfxdata="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43pUhdYAAAAHAQAADwAAAAAAAAABACAAAAAiAAAAZHJzL2Rvd25yZXYueG1sUEsBAhQA&#10;FAAAAAgAh07iQIagDa67AQAAcgMAAA4AAAAAAAAAAQAgAAAAJQEAAGRycy9lMm9Eb2MueG1sUEsF&#10;BgAAAAAGAAYAWQEAAFIFAAAAAA==&#10;">
                <v:fill on="f" focussize="0,0"/>
                <v:stroke on="f"/>
                <v:imagedata o:title=""/>
                <o:lock v:ext="edit" aspectratio="f"/>
                <v:textbox inset="0mm,0mm,0mm,0mm">
                  <w:txbxContent>
                    <w:p w14:paraId="5859BFA0">
                      <w:pPr>
                        <w:tabs>
                          <w:tab w:val="left" w:pos="7070"/>
                        </w:tabs>
                        <w:spacing w:before="19"/>
                        <w:ind w:left="20"/>
                        <w:rPr>
                          <w:rFonts w:ascii="Arial"/>
                        </w:rPr>
                      </w:pPr>
                      <w:r>
                        <w:rPr>
                          <w:rFonts w:ascii="Arial" w:hAnsi="Arial" w:eastAsia="Arial" w:cs="Arial"/>
                          <w:szCs w:val="21"/>
                          <w:u w:val="single"/>
                        </w:rPr>
                        <w:tab/>
                      </w:r>
                    </w:p>
                  </w:txbxContent>
                </v:textbox>
              </v:shape>
            </w:pict>
          </mc:Fallback>
        </mc:AlternateContent>
      </w:r>
      <w:r>
        <w:rPr>
          <w:rFonts w:hint="eastAsia" w:ascii="宋体" w:hAnsi="宋体" w:cs="宋体"/>
          <w:position w:val="1"/>
          <w:sz w:val="24"/>
        </w:rPr>
        <w:t>。</w:t>
      </w:r>
    </w:p>
    <w:p w14:paraId="4840DBAA">
      <w:pPr>
        <w:tabs>
          <w:tab w:val="left" w:pos="567"/>
        </w:tabs>
        <w:wordWrap w:val="0"/>
        <w:autoSpaceDE w:val="0"/>
        <w:autoSpaceDN w:val="0"/>
        <w:adjustRightInd w:val="0"/>
        <w:snapToGrid w:val="0"/>
        <w:spacing w:before="180" w:line="360" w:lineRule="auto"/>
        <w:ind w:left="439"/>
        <w:textAlignment w:val="baseline"/>
        <w:rPr>
          <w:rFonts w:ascii="宋体" w:hAnsi="宋体" w:cs="宋体"/>
          <w:sz w:val="24"/>
        </w:rPr>
      </w:pPr>
      <w:r>
        <w:rPr>
          <w:rFonts w:hint="eastAsia" w:ascii="宋体" w:hAnsi="宋体" w:cs="宋体"/>
          <w:sz w:val="24"/>
        </w:rPr>
        <w:t>二、保修期</w:t>
      </w:r>
    </w:p>
    <w:p w14:paraId="7B37E8D0">
      <w:pPr>
        <w:tabs>
          <w:tab w:val="left" w:pos="567"/>
        </w:tabs>
        <w:wordWrap w:val="0"/>
        <w:autoSpaceDE w:val="0"/>
        <w:autoSpaceDN w:val="0"/>
        <w:adjustRightInd w:val="0"/>
        <w:snapToGrid w:val="0"/>
        <w:spacing w:before="84" w:line="360" w:lineRule="auto"/>
        <w:ind w:left="435"/>
        <w:textAlignment w:val="baseline"/>
        <w:rPr>
          <w:rFonts w:ascii="宋体" w:hAnsi="宋体" w:cs="宋体"/>
          <w:sz w:val="24"/>
        </w:rPr>
      </w:pPr>
      <w:r>
        <w:rPr>
          <w:rFonts w:hint="eastAsia" w:ascii="宋体" w:hAnsi="宋体" w:cs="宋体"/>
          <w:sz w:val="24"/>
        </w:rPr>
        <w:t>双方根据《建设工程质量管理条例》及有关规定 ，约定本工程的保修期如下：</w:t>
      </w:r>
    </w:p>
    <w:p w14:paraId="2AEB6E85">
      <w:pPr>
        <w:tabs>
          <w:tab w:val="left" w:pos="567"/>
        </w:tabs>
        <w:wordWrap w:val="0"/>
        <w:autoSpaceDE w:val="0"/>
        <w:autoSpaceDN w:val="0"/>
        <w:adjustRightInd w:val="0"/>
        <w:snapToGrid w:val="0"/>
        <w:spacing w:before="83" w:line="360" w:lineRule="auto"/>
        <w:ind w:left="435"/>
        <w:textAlignment w:val="baseline"/>
        <w:rPr>
          <w:rFonts w:ascii="宋体" w:hAnsi="宋体" w:cs="宋体"/>
          <w:sz w:val="24"/>
        </w:rPr>
      </w:pPr>
      <w:r>
        <w:rPr>
          <w:rFonts w:hint="eastAsia" w:ascii="宋体" w:hAnsi="宋体" w:cs="宋体"/>
          <w:sz w:val="24"/>
        </w:rPr>
        <w:t>地基基础工程和主体结构工程为设计文件规定的该工程合理使用年限；</w:t>
      </w:r>
    </w:p>
    <w:p w14:paraId="24FBC101">
      <w:pPr>
        <w:tabs>
          <w:tab w:val="left" w:pos="567"/>
        </w:tabs>
        <w:wordWrap w:val="0"/>
        <w:autoSpaceDE w:val="0"/>
        <w:autoSpaceDN w:val="0"/>
        <w:adjustRightInd w:val="0"/>
        <w:snapToGrid w:val="0"/>
        <w:spacing w:before="84" w:line="360" w:lineRule="auto"/>
        <w:ind w:left="437"/>
        <w:textAlignment w:val="baseline"/>
        <w:rPr>
          <w:rFonts w:ascii="宋体" w:hAnsi="宋体" w:cs="宋体"/>
          <w:sz w:val="24"/>
        </w:rPr>
      </w:pPr>
      <w:r>
        <w:rPr>
          <w:rFonts w:hint="eastAsia" w:ascii="宋体" w:hAnsi="宋体" w:cs="宋体"/>
          <w:sz w:val="24"/>
        </w:rPr>
        <w:t>屋面防水工程、有防水要求的卫生间、房间和外墙面的防渗漏为</w:t>
      </w:r>
      <w:r>
        <w:rPr>
          <w:rFonts w:hint="eastAsia" w:ascii="宋体" w:hAnsi="宋体" w:cs="宋体"/>
          <w:sz w:val="24"/>
          <w:u w:val="single"/>
        </w:rPr>
        <w:t xml:space="preserve">             </w:t>
      </w:r>
      <w:r>
        <w:rPr>
          <w:rFonts w:hint="eastAsia" w:ascii="宋体" w:hAnsi="宋体" w:cs="宋体"/>
          <w:sz w:val="24"/>
        </w:rPr>
        <w:t>年；</w:t>
      </w:r>
    </w:p>
    <w:p w14:paraId="69281149">
      <w:pPr>
        <w:tabs>
          <w:tab w:val="left" w:pos="567"/>
        </w:tabs>
        <w:wordWrap w:val="0"/>
        <w:autoSpaceDE w:val="0"/>
        <w:autoSpaceDN w:val="0"/>
        <w:adjustRightInd w:val="0"/>
        <w:snapToGrid w:val="0"/>
        <w:spacing w:before="84" w:line="360" w:lineRule="auto"/>
        <w:ind w:left="439"/>
        <w:textAlignment w:val="baseline"/>
        <w:rPr>
          <w:rFonts w:ascii="宋体" w:hAnsi="宋体" w:cs="宋体"/>
          <w:sz w:val="24"/>
        </w:rPr>
      </w:pPr>
      <w:r>
        <w:rPr>
          <w:rFonts w:hint="eastAsia" w:ascii="宋体" w:hAnsi="宋体" w:cs="宋体"/>
          <w:sz w:val="24"/>
        </w:rPr>
        <w:t>外窗工程为</w:t>
      </w:r>
      <w:r>
        <w:rPr>
          <w:rFonts w:hint="eastAsia" w:ascii="宋体" w:hAnsi="宋体" w:cs="宋体"/>
          <w:sz w:val="24"/>
          <w:u w:val="single"/>
        </w:rPr>
        <w:t xml:space="preserve">            </w:t>
      </w:r>
      <w:r>
        <w:rPr>
          <w:rFonts w:hint="eastAsia" w:ascii="宋体" w:hAnsi="宋体" w:cs="宋体"/>
          <w:sz w:val="24"/>
        </w:rPr>
        <w:t>年 ，外窗防渗漏为</w:t>
      </w:r>
      <w:r>
        <w:rPr>
          <w:rFonts w:hint="eastAsia" w:ascii="宋体" w:hAnsi="宋体" w:cs="宋体"/>
          <w:sz w:val="24"/>
          <w:u w:val="single"/>
        </w:rPr>
        <w:t xml:space="preserve">                 </w:t>
      </w:r>
      <w:r>
        <w:rPr>
          <w:rFonts w:hint="eastAsia" w:ascii="宋体" w:hAnsi="宋体" w:cs="宋体"/>
          <w:sz w:val="24"/>
        </w:rPr>
        <w:t>年；</w:t>
      </w:r>
    </w:p>
    <w:p w14:paraId="412C1A20">
      <w:pPr>
        <w:tabs>
          <w:tab w:val="left" w:pos="567"/>
        </w:tabs>
        <w:wordWrap w:val="0"/>
        <w:autoSpaceDE w:val="0"/>
        <w:autoSpaceDN w:val="0"/>
        <w:adjustRightInd w:val="0"/>
        <w:snapToGrid w:val="0"/>
        <w:spacing w:before="84" w:line="360" w:lineRule="auto"/>
        <w:ind w:left="435"/>
        <w:textAlignment w:val="baseline"/>
        <w:rPr>
          <w:rFonts w:ascii="宋体" w:hAnsi="宋体" w:cs="宋体"/>
          <w:sz w:val="24"/>
        </w:rPr>
      </w:pPr>
      <w:r>
        <w:rPr>
          <w:rFonts w:hint="eastAsia" w:ascii="宋体" w:hAnsi="宋体" w:cs="宋体"/>
          <w:sz w:val="24"/>
        </w:rPr>
        <w:t>装修工程为</w:t>
      </w:r>
      <w:r>
        <w:rPr>
          <w:rFonts w:hint="eastAsia" w:ascii="宋体" w:hAnsi="宋体" w:cs="宋体"/>
          <w:sz w:val="24"/>
          <w:u w:val="single"/>
        </w:rPr>
        <w:t xml:space="preserve">                 </w:t>
      </w:r>
      <w:r>
        <w:rPr>
          <w:rFonts w:hint="eastAsia" w:ascii="宋体" w:hAnsi="宋体" w:cs="宋体"/>
          <w:sz w:val="24"/>
        </w:rPr>
        <w:t>年；</w:t>
      </w:r>
    </w:p>
    <w:p w14:paraId="53F31A16">
      <w:pPr>
        <w:tabs>
          <w:tab w:val="left" w:pos="567"/>
        </w:tabs>
        <w:wordWrap w:val="0"/>
        <w:autoSpaceDE w:val="0"/>
        <w:autoSpaceDN w:val="0"/>
        <w:adjustRightInd w:val="0"/>
        <w:snapToGrid w:val="0"/>
        <w:spacing w:before="83" w:line="360" w:lineRule="auto"/>
        <w:ind w:left="459"/>
        <w:textAlignment w:val="baseline"/>
        <w:rPr>
          <w:rFonts w:ascii="宋体" w:hAnsi="宋体" w:cs="宋体"/>
          <w:sz w:val="24"/>
        </w:rPr>
      </w:pPr>
      <w:r>
        <w:rPr>
          <w:rFonts w:hint="eastAsia" w:ascii="宋体" w:hAnsi="宋体" w:cs="宋体"/>
          <w:sz w:val="24"/>
        </w:rPr>
        <w:t>电气管线、给排水管道、设备安装工程为</w:t>
      </w:r>
      <w:r>
        <w:rPr>
          <w:rFonts w:hint="eastAsia" w:ascii="宋体" w:hAnsi="宋体" w:cs="宋体"/>
          <w:sz w:val="24"/>
          <w:u w:val="single"/>
        </w:rPr>
        <w:t xml:space="preserve">                 </w:t>
      </w:r>
      <w:r>
        <w:rPr>
          <w:rFonts w:hint="eastAsia" w:ascii="宋体" w:hAnsi="宋体" w:cs="宋体"/>
          <w:sz w:val="24"/>
        </w:rPr>
        <w:t>年；</w:t>
      </w:r>
    </w:p>
    <w:p w14:paraId="303C9D61">
      <w:pPr>
        <w:tabs>
          <w:tab w:val="left" w:pos="567"/>
        </w:tabs>
        <w:wordWrap w:val="0"/>
        <w:autoSpaceDE w:val="0"/>
        <w:autoSpaceDN w:val="0"/>
        <w:adjustRightInd w:val="0"/>
        <w:snapToGrid w:val="0"/>
        <w:spacing w:before="83" w:line="360" w:lineRule="auto"/>
        <w:ind w:left="435"/>
        <w:textAlignment w:val="baseline"/>
        <w:rPr>
          <w:rFonts w:ascii="宋体" w:hAnsi="宋体" w:cs="宋体"/>
          <w:sz w:val="24"/>
        </w:rPr>
      </w:pPr>
      <w:r>
        <w:rPr>
          <w:rFonts w:hint="eastAsia" w:ascii="宋体" w:hAnsi="宋体" w:cs="宋体"/>
          <w:sz w:val="24"/>
        </w:rPr>
        <w:t>供热与供冷系统为</w:t>
      </w:r>
      <w:r>
        <w:rPr>
          <w:rFonts w:hint="eastAsia" w:ascii="宋体" w:hAnsi="宋体" w:cs="宋体"/>
          <w:sz w:val="24"/>
          <w:u w:val="single"/>
        </w:rPr>
        <w:t xml:space="preserve">                 </w:t>
      </w:r>
      <w:r>
        <w:rPr>
          <w:rFonts w:hint="eastAsia" w:ascii="宋体" w:hAnsi="宋体" w:cs="宋体"/>
          <w:sz w:val="24"/>
        </w:rPr>
        <w:t>个采暖期、供冷期；</w:t>
      </w:r>
    </w:p>
    <w:p w14:paraId="206E4E7C">
      <w:pPr>
        <w:tabs>
          <w:tab w:val="left" w:pos="567"/>
        </w:tabs>
        <w:wordWrap w:val="0"/>
        <w:autoSpaceDE w:val="0"/>
        <w:autoSpaceDN w:val="0"/>
        <w:adjustRightInd w:val="0"/>
        <w:snapToGrid w:val="0"/>
        <w:spacing w:before="85" w:line="360" w:lineRule="auto"/>
        <w:ind w:left="434"/>
        <w:textAlignment w:val="baseline"/>
        <w:rPr>
          <w:rFonts w:ascii="宋体" w:hAnsi="宋体" w:cs="宋体"/>
          <w:sz w:val="24"/>
        </w:rPr>
      </w:pPr>
      <w:r>
        <w:rPr>
          <w:rFonts w:hint="eastAsia" w:ascii="宋体" w:hAnsi="宋体" w:cs="宋体"/>
          <w:sz w:val="24"/>
        </w:rPr>
        <w:t>住宅小区内的给排水设施、道路等配套工程为</w:t>
      </w:r>
      <w:r>
        <w:rPr>
          <w:rFonts w:hint="eastAsia" w:ascii="宋体" w:hAnsi="宋体" w:cs="宋体"/>
          <w:sz w:val="24"/>
          <w:u w:val="single"/>
        </w:rPr>
        <w:t xml:space="preserve">                 </w:t>
      </w:r>
      <w:r>
        <w:rPr>
          <w:rFonts w:hint="eastAsia" w:ascii="宋体" w:hAnsi="宋体" w:cs="宋体"/>
          <w:sz w:val="24"/>
        </w:rPr>
        <w:t>年；</w:t>
      </w:r>
    </w:p>
    <w:p w14:paraId="42C5A005">
      <w:pPr>
        <w:tabs>
          <w:tab w:val="left" w:pos="567"/>
        </w:tabs>
        <w:wordWrap w:val="0"/>
        <w:autoSpaceDE w:val="0"/>
        <w:autoSpaceDN w:val="0"/>
        <w:adjustRightInd w:val="0"/>
        <w:snapToGrid w:val="0"/>
        <w:spacing w:before="83" w:line="360" w:lineRule="auto"/>
        <w:ind w:left="436"/>
        <w:textAlignment w:val="baseline"/>
        <w:rPr>
          <w:rFonts w:ascii="宋体" w:hAnsi="宋体" w:cs="宋体"/>
          <w:sz w:val="24"/>
        </w:rPr>
      </w:pPr>
      <w:r>
        <w:rPr>
          <w:rFonts w:hint="eastAsia" w:ascii="宋体" w:hAnsi="宋体" w:cs="宋体"/>
          <w:sz w:val="24"/>
        </w:rPr>
        <w:t>其他项目保修期限约定如下：</w:t>
      </w:r>
    </w:p>
    <w:p w14:paraId="3298C9C4">
      <w:pPr>
        <w:tabs>
          <w:tab w:val="left" w:pos="8100"/>
        </w:tabs>
        <w:wordWrap w:val="0"/>
        <w:autoSpaceDE w:val="0"/>
        <w:autoSpaceDN w:val="0"/>
        <w:adjustRightInd w:val="0"/>
        <w:snapToGrid w:val="0"/>
        <w:spacing w:before="90" w:line="360" w:lineRule="auto"/>
        <w:textAlignment w:val="baseline"/>
        <w:rPr>
          <w:rFonts w:ascii="宋体" w:hAnsi="宋体" w:cs="宋体"/>
        </w:rPr>
      </w:pPr>
      <w:r>
        <w:rPr>
          <w:rFonts w:hint="eastAsia" w:ascii="宋体" w:hAnsi="宋体" w:cs="宋体"/>
          <w:szCs w:val="21"/>
          <w:u w:val="single"/>
        </w:rPr>
        <w:tab/>
      </w:r>
    </w:p>
    <w:p w14:paraId="2A8137E6">
      <w:pPr>
        <w:tabs>
          <w:tab w:val="left" w:pos="7995"/>
        </w:tabs>
        <w:wordWrap w:val="0"/>
        <w:autoSpaceDE w:val="0"/>
        <w:autoSpaceDN w:val="0"/>
        <w:adjustRightInd w:val="0"/>
        <w:snapToGrid w:val="0"/>
        <w:spacing w:before="118" w:line="360" w:lineRule="auto"/>
        <w:textAlignment w:val="baseline"/>
        <w:rPr>
          <w:rFonts w:ascii="宋体" w:hAnsi="宋体" w:cs="宋体"/>
        </w:rPr>
      </w:pPr>
      <w:r>
        <w:rPr>
          <w:rFonts w:hint="eastAsia" w:ascii="宋体" w:hAnsi="宋体" w:cs="宋体"/>
          <w:szCs w:val="21"/>
          <w:u w:val="single"/>
        </w:rPr>
        <w:tab/>
      </w:r>
    </w:p>
    <w:p w14:paraId="3A4A4846">
      <w:pPr>
        <w:tabs>
          <w:tab w:val="left" w:pos="8205"/>
        </w:tabs>
        <w:wordWrap w:val="0"/>
        <w:autoSpaceDE w:val="0"/>
        <w:autoSpaceDN w:val="0"/>
        <w:adjustRightInd w:val="0"/>
        <w:snapToGrid w:val="0"/>
        <w:spacing w:before="119" w:line="360" w:lineRule="auto"/>
        <w:textAlignment w:val="baseline"/>
        <w:rPr>
          <w:rFonts w:ascii="宋体" w:hAnsi="宋体" w:cs="宋体"/>
        </w:rPr>
      </w:pPr>
      <w:r>
        <w:rPr>
          <w:rFonts w:hint="eastAsia" w:ascii="宋体" w:hAnsi="宋体" w:cs="宋体"/>
          <w:szCs w:val="21"/>
          <w:u w:val="single"/>
        </w:rPr>
        <w:tab/>
      </w:r>
    </w:p>
    <w:p w14:paraId="4EC3777A">
      <w:pPr>
        <w:tabs>
          <w:tab w:val="left" w:pos="567"/>
        </w:tabs>
        <w:wordWrap w:val="0"/>
        <w:autoSpaceDE w:val="0"/>
        <w:autoSpaceDN w:val="0"/>
        <w:adjustRightInd w:val="0"/>
        <w:snapToGrid w:val="0"/>
        <w:spacing w:before="245" w:line="360" w:lineRule="auto"/>
        <w:ind w:left="8120"/>
        <w:textAlignment w:val="baseline"/>
        <w:rPr>
          <w:rFonts w:ascii="宋体" w:hAnsi="宋体" w:cs="宋体"/>
          <w:sz w:val="24"/>
        </w:rPr>
      </w:pPr>
      <w:r>
        <w:rPr>
          <w:rFonts w:hint="eastAsia" w:ascii="宋体" w:hAnsi="宋体" w:cs="宋体"/>
          <w:sz w:val="24"/>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62230</wp:posOffset>
                </wp:positionV>
                <wp:extent cx="5168900" cy="1790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168900" cy="179070"/>
                        </a:xfrm>
                        <a:prstGeom prst="rect">
                          <a:avLst/>
                        </a:prstGeom>
                        <a:noFill/>
                        <a:ln>
                          <a:noFill/>
                        </a:ln>
                      </wps:spPr>
                      <wps:txbx>
                        <w:txbxContent>
                          <w:p w14:paraId="126C7BBD">
                            <w:pPr>
                              <w:tabs>
                                <w:tab w:val="left" w:pos="8120"/>
                              </w:tabs>
                              <w:spacing w:before="19"/>
                              <w:ind w:left="20"/>
                              <w:rPr>
                                <w:rFonts w:ascii="Arial"/>
                              </w:rPr>
                            </w:pPr>
                            <w:r>
                              <w:rPr>
                                <w:rFonts w:ascii="Arial" w:hAnsi="Arial" w:eastAsia="Arial" w:cs="Arial"/>
                                <w:szCs w:val="21"/>
                                <w:u w:val="single"/>
                              </w:rPr>
                              <w:tab/>
                            </w:r>
                          </w:p>
                        </w:txbxContent>
                      </wps:txbx>
                      <wps:bodyPr lIns="0" tIns="0" rIns="0" bIns="0" upright="1"/>
                    </wps:wsp>
                  </a:graphicData>
                </a:graphic>
              </wp:anchor>
            </w:drawing>
          </mc:Choice>
          <mc:Fallback>
            <w:pict>
              <v:shape id="_x0000_s1026" o:spid="_x0000_s1026" o:spt="202" type="#_x0000_t202" style="position:absolute;left:0pt;margin-left:-1pt;margin-top:4.9pt;height:14.1pt;width:407pt;z-index:251659264;mso-width-relative:page;mso-height-relative:page;" filled="f" stroked="f" coordsize="21600,21600" o:gfxdata="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XHWVs1QAAAAcBAAAPAAAAAAAAAAEAIAAAACIAAABkcnMvZG93bnJldi54bWxQSwECFAAU&#10;AAAACACHTuJAYkkcmLsBAAByAwAADgAAAAAAAAABACAAAAAkAQAAZHJzL2Uyb0RvYy54bWxQSwUG&#10;AAAAAAYABgBZAQAAUQUAAAAA&#10;">
                <v:fill on="f" focussize="0,0"/>
                <v:stroke on="f"/>
                <v:imagedata o:title=""/>
                <o:lock v:ext="edit" aspectratio="f"/>
                <v:textbox inset="0mm,0mm,0mm,0mm">
                  <w:txbxContent>
                    <w:p w14:paraId="126C7BBD">
                      <w:pPr>
                        <w:tabs>
                          <w:tab w:val="left" w:pos="8120"/>
                        </w:tabs>
                        <w:spacing w:before="19"/>
                        <w:ind w:left="20"/>
                        <w:rPr>
                          <w:rFonts w:ascii="Arial"/>
                        </w:rPr>
                      </w:pPr>
                      <w:r>
                        <w:rPr>
                          <w:rFonts w:ascii="Arial" w:hAnsi="Arial" w:eastAsia="Arial" w:cs="Arial"/>
                          <w:szCs w:val="21"/>
                          <w:u w:val="single"/>
                        </w:rPr>
                        <w:tab/>
                      </w:r>
                    </w:p>
                  </w:txbxContent>
                </v:textbox>
              </v:shape>
            </w:pict>
          </mc:Fallback>
        </mc:AlternateContent>
      </w:r>
      <w:r>
        <w:rPr>
          <w:rFonts w:hint="eastAsia" w:ascii="宋体" w:hAnsi="宋体" w:cs="宋体"/>
          <w:position w:val="1"/>
          <w:sz w:val="24"/>
        </w:rPr>
        <w:t>。</w:t>
      </w:r>
    </w:p>
    <w:p w14:paraId="3BCB5930">
      <w:pPr>
        <w:tabs>
          <w:tab w:val="left" w:pos="567"/>
        </w:tabs>
        <w:wordWrap w:val="0"/>
        <w:autoSpaceDE w:val="0"/>
        <w:autoSpaceDN w:val="0"/>
        <w:adjustRightInd w:val="0"/>
        <w:snapToGrid w:val="0"/>
        <w:spacing w:before="178" w:line="360" w:lineRule="auto"/>
        <w:ind w:left="435"/>
        <w:textAlignment w:val="baseline"/>
        <w:rPr>
          <w:rFonts w:ascii="宋体" w:hAnsi="宋体" w:cs="宋体"/>
          <w:sz w:val="24"/>
        </w:rPr>
      </w:pPr>
      <w:r>
        <w:rPr>
          <w:rFonts w:hint="eastAsia" w:ascii="宋体" w:hAnsi="宋体" w:cs="宋体"/>
          <w:sz w:val="24"/>
        </w:rPr>
        <w:t>三、保修责任</w:t>
      </w:r>
    </w:p>
    <w:p w14:paraId="0329666D">
      <w:pPr>
        <w:tabs>
          <w:tab w:val="left" w:pos="567"/>
        </w:tabs>
        <w:wordWrap w:val="0"/>
        <w:autoSpaceDE w:val="0"/>
        <w:autoSpaceDN w:val="0"/>
        <w:adjustRightInd w:val="0"/>
        <w:snapToGrid w:val="0"/>
        <w:spacing w:before="84" w:line="360" w:lineRule="auto"/>
        <w:ind w:left="20" w:firstLine="430"/>
        <w:textAlignment w:val="baseline"/>
        <w:rPr>
          <w:rFonts w:ascii="宋体" w:hAnsi="宋体" w:cs="宋体"/>
        </w:rPr>
      </w:pPr>
      <w:r>
        <w:rPr>
          <w:rFonts w:hint="eastAsia" w:ascii="宋体" w:hAnsi="宋体" w:cs="宋体"/>
          <w:sz w:val="24"/>
        </w:rPr>
        <w:t>1、属于责任范围、内容的项目 ，承包人应当在接到保修通知之日起7天内派人保修 。承包人不在约定期限内派人保修的 ，发包人可以委托他人修理。</w:t>
      </w:r>
    </w:p>
    <w:p w14:paraId="664B0ADC">
      <w:pPr>
        <w:tabs>
          <w:tab w:val="left" w:pos="567"/>
        </w:tabs>
        <w:wordWrap w:val="0"/>
        <w:autoSpaceDE w:val="0"/>
        <w:autoSpaceDN w:val="0"/>
        <w:adjustRightInd w:val="0"/>
        <w:snapToGrid w:val="0"/>
        <w:spacing w:before="90" w:line="360" w:lineRule="auto"/>
        <w:ind w:left="438"/>
        <w:textAlignment w:val="baseline"/>
        <w:rPr>
          <w:rFonts w:ascii="宋体" w:hAnsi="宋体" w:cs="宋体"/>
          <w:sz w:val="24"/>
        </w:rPr>
      </w:pPr>
      <w:r>
        <w:rPr>
          <w:rFonts w:hint="eastAsia" w:ascii="宋体" w:hAnsi="宋体" w:cs="宋体"/>
          <w:sz w:val="24"/>
        </w:rPr>
        <w:t>2、发生紧急抢修事故的 ，承包人在接到事故通知后 ，应当立即到达事故现场抢修。</w:t>
      </w:r>
    </w:p>
    <w:p w14:paraId="67EC7AA8">
      <w:pPr>
        <w:tabs>
          <w:tab w:val="left" w:pos="567"/>
        </w:tabs>
        <w:wordWrap w:val="0"/>
        <w:autoSpaceDE w:val="0"/>
        <w:autoSpaceDN w:val="0"/>
        <w:adjustRightInd w:val="0"/>
        <w:snapToGrid w:val="0"/>
        <w:spacing w:before="83" w:line="360" w:lineRule="auto"/>
        <w:ind w:left="19" w:firstLine="420"/>
        <w:textAlignment w:val="baseline"/>
        <w:rPr>
          <w:rFonts w:ascii="宋体" w:hAnsi="宋体" w:cs="宋体"/>
          <w:sz w:val="24"/>
        </w:rPr>
      </w:pPr>
      <w:r>
        <w:rPr>
          <w:rFonts w:hint="eastAsia" w:ascii="宋体" w:hAnsi="宋体" w:cs="宋体"/>
          <w:sz w:val="24"/>
        </w:rPr>
        <w:t>3、对于涉及结构安全的质量问题 ，应当按照《房屋建筑工程质量保修办法》 的规定 ，立即向当地建设行政主管部门报告 ，采取安全防范措施； 由原设计人或者具有相应资质等级的设计人提出保修方案，</w:t>
      </w:r>
    </w:p>
    <w:p w14:paraId="762A5C9D">
      <w:pPr>
        <w:tabs>
          <w:tab w:val="left" w:pos="567"/>
        </w:tabs>
        <w:wordWrap w:val="0"/>
        <w:autoSpaceDE w:val="0"/>
        <w:autoSpaceDN w:val="0"/>
        <w:adjustRightInd w:val="0"/>
        <w:snapToGrid w:val="0"/>
        <w:spacing w:before="82" w:line="360" w:lineRule="auto"/>
        <w:ind w:left="15"/>
        <w:textAlignment w:val="baseline"/>
        <w:rPr>
          <w:rFonts w:ascii="宋体" w:hAnsi="宋体" w:cs="宋体"/>
          <w:sz w:val="24"/>
        </w:rPr>
      </w:pPr>
      <w:r>
        <w:rPr>
          <w:rFonts w:hint="eastAsia" w:ascii="宋体" w:hAnsi="宋体" w:cs="宋体"/>
          <w:sz w:val="24"/>
        </w:rPr>
        <w:t>承包人实施保修。</w:t>
      </w:r>
    </w:p>
    <w:p w14:paraId="522FEE37">
      <w:pPr>
        <w:tabs>
          <w:tab w:val="left" w:pos="567"/>
        </w:tabs>
        <w:wordWrap w:val="0"/>
        <w:autoSpaceDE w:val="0"/>
        <w:autoSpaceDN w:val="0"/>
        <w:adjustRightInd w:val="0"/>
        <w:snapToGrid w:val="0"/>
        <w:spacing w:before="82" w:line="360" w:lineRule="auto"/>
        <w:ind w:left="434"/>
        <w:textAlignment w:val="baseline"/>
        <w:rPr>
          <w:rFonts w:ascii="宋体" w:hAnsi="宋体" w:cs="宋体"/>
          <w:sz w:val="24"/>
        </w:rPr>
      </w:pPr>
      <w:r>
        <w:rPr>
          <w:rFonts w:hint="eastAsia" w:ascii="宋体" w:hAnsi="宋体" w:cs="宋体"/>
          <w:sz w:val="24"/>
        </w:rPr>
        <w:t>4、质量保修完成后 ， 由发包人组织验收。</w:t>
      </w:r>
    </w:p>
    <w:p w14:paraId="13D2A580">
      <w:pPr>
        <w:tabs>
          <w:tab w:val="left" w:pos="567"/>
        </w:tabs>
        <w:wordWrap w:val="0"/>
        <w:autoSpaceDE w:val="0"/>
        <w:autoSpaceDN w:val="0"/>
        <w:adjustRightInd w:val="0"/>
        <w:snapToGrid w:val="0"/>
        <w:spacing w:before="83" w:line="360" w:lineRule="auto"/>
        <w:ind w:left="454"/>
        <w:textAlignment w:val="baseline"/>
        <w:rPr>
          <w:rFonts w:ascii="宋体" w:hAnsi="宋体" w:cs="宋体"/>
          <w:sz w:val="24"/>
        </w:rPr>
      </w:pPr>
      <w:r>
        <w:rPr>
          <w:rFonts w:hint="eastAsia" w:ascii="宋体" w:hAnsi="宋体" w:cs="宋体"/>
          <w:sz w:val="24"/>
        </w:rPr>
        <w:t>四、保修费用</w:t>
      </w:r>
    </w:p>
    <w:p w14:paraId="1323DA19">
      <w:pPr>
        <w:tabs>
          <w:tab w:val="left" w:pos="567"/>
        </w:tabs>
        <w:wordWrap w:val="0"/>
        <w:autoSpaceDE w:val="0"/>
        <w:autoSpaceDN w:val="0"/>
        <w:adjustRightInd w:val="0"/>
        <w:snapToGrid w:val="0"/>
        <w:spacing w:before="84" w:line="360" w:lineRule="auto"/>
        <w:ind w:left="436"/>
        <w:textAlignment w:val="baseline"/>
        <w:rPr>
          <w:rFonts w:ascii="宋体" w:hAnsi="宋体" w:cs="宋体"/>
          <w:sz w:val="24"/>
        </w:rPr>
      </w:pPr>
      <w:r>
        <w:rPr>
          <w:rFonts w:hint="eastAsia" w:ascii="宋体" w:hAnsi="宋体" w:cs="宋体"/>
          <w:sz w:val="24"/>
        </w:rPr>
        <w:t>保修费用由造成质量缺陷的责任方承担。</w:t>
      </w:r>
    </w:p>
    <w:p w14:paraId="6172A634">
      <w:pPr>
        <w:tabs>
          <w:tab w:val="left" w:pos="567"/>
        </w:tabs>
        <w:wordWrap w:val="0"/>
        <w:autoSpaceDE w:val="0"/>
        <w:autoSpaceDN w:val="0"/>
        <w:adjustRightInd w:val="0"/>
        <w:snapToGrid w:val="0"/>
        <w:spacing w:before="83" w:line="360" w:lineRule="auto"/>
        <w:ind w:left="439"/>
        <w:textAlignment w:val="baseline"/>
        <w:rPr>
          <w:rFonts w:ascii="宋体" w:hAnsi="宋体" w:cs="宋体"/>
          <w:sz w:val="24"/>
        </w:rPr>
      </w:pPr>
      <w:r>
        <w:rPr>
          <w:rFonts w:hint="eastAsia" w:ascii="宋体" w:hAnsi="宋体" w:cs="宋体"/>
          <w:sz w:val="24"/>
        </w:rPr>
        <w:t>五 、其 他</w:t>
      </w:r>
    </w:p>
    <w:p w14:paraId="065F10C8">
      <w:pPr>
        <w:tabs>
          <w:tab w:val="left" w:pos="567"/>
        </w:tabs>
        <w:wordWrap w:val="0"/>
        <w:autoSpaceDE w:val="0"/>
        <w:autoSpaceDN w:val="0"/>
        <w:adjustRightInd w:val="0"/>
        <w:snapToGrid w:val="0"/>
        <w:spacing w:before="82" w:line="360" w:lineRule="auto"/>
        <w:ind w:left="435"/>
        <w:textAlignment w:val="baseline"/>
        <w:rPr>
          <w:rFonts w:ascii="宋体" w:hAnsi="宋体" w:cs="宋体"/>
          <w:sz w:val="24"/>
        </w:rPr>
      </w:pPr>
      <w:r>
        <w:rPr>
          <w:rFonts w:hint="eastAsia" w:ascii="宋体" w:hAnsi="宋体" w:cs="宋体"/>
          <w:sz w:val="24"/>
        </w:rPr>
        <w:t>双方约定的其他工程保修责任事项：</w:t>
      </w:r>
    </w:p>
    <w:p w14:paraId="08136DC0">
      <w:pPr>
        <w:tabs>
          <w:tab w:val="left" w:pos="8100"/>
        </w:tabs>
        <w:wordWrap w:val="0"/>
        <w:autoSpaceDE w:val="0"/>
        <w:autoSpaceDN w:val="0"/>
        <w:adjustRightInd w:val="0"/>
        <w:snapToGrid w:val="0"/>
        <w:spacing w:before="90" w:line="360" w:lineRule="auto"/>
        <w:textAlignment w:val="baseline"/>
        <w:rPr>
          <w:rFonts w:ascii="宋体" w:hAnsi="宋体" w:cs="宋体"/>
        </w:rPr>
      </w:pPr>
      <w:r>
        <w:rPr>
          <w:rFonts w:hint="eastAsia" w:ascii="宋体" w:hAnsi="宋体" w:cs="宋体"/>
          <w:szCs w:val="21"/>
          <w:u w:val="single"/>
        </w:rPr>
        <w:tab/>
      </w:r>
    </w:p>
    <w:p w14:paraId="6C660EDA">
      <w:pPr>
        <w:tabs>
          <w:tab w:val="left" w:pos="8205"/>
        </w:tabs>
        <w:wordWrap w:val="0"/>
        <w:autoSpaceDE w:val="0"/>
        <w:autoSpaceDN w:val="0"/>
        <w:adjustRightInd w:val="0"/>
        <w:snapToGrid w:val="0"/>
        <w:spacing w:before="118" w:line="360" w:lineRule="auto"/>
        <w:textAlignment w:val="baseline"/>
        <w:rPr>
          <w:rFonts w:ascii="宋体" w:hAnsi="宋体" w:cs="宋体"/>
        </w:rPr>
      </w:pPr>
      <w:r>
        <w:rPr>
          <w:rFonts w:hint="eastAsia" w:ascii="宋体" w:hAnsi="宋体" w:cs="宋体"/>
          <w:szCs w:val="21"/>
          <w:u w:val="single"/>
        </w:rPr>
        <w:tab/>
      </w:r>
    </w:p>
    <w:p w14:paraId="2254B290">
      <w:pPr>
        <w:tabs>
          <w:tab w:val="left" w:pos="8100"/>
        </w:tabs>
        <w:wordWrap w:val="0"/>
        <w:autoSpaceDE w:val="0"/>
        <w:autoSpaceDN w:val="0"/>
        <w:adjustRightInd w:val="0"/>
        <w:snapToGrid w:val="0"/>
        <w:spacing w:before="119" w:line="360" w:lineRule="auto"/>
        <w:textAlignment w:val="baseline"/>
        <w:rPr>
          <w:rFonts w:ascii="宋体" w:hAnsi="宋体" w:cs="宋体"/>
        </w:rPr>
      </w:pPr>
      <w:r>
        <w:rPr>
          <w:rFonts w:hint="eastAsia" w:ascii="宋体" w:hAnsi="宋体" w:cs="宋体"/>
          <w:szCs w:val="21"/>
          <w:u w:val="single"/>
        </w:rPr>
        <w:tab/>
      </w:r>
    </w:p>
    <w:p w14:paraId="26531169">
      <w:pPr>
        <w:tabs>
          <w:tab w:val="left" w:pos="567"/>
        </w:tabs>
        <w:wordWrap w:val="0"/>
        <w:autoSpaceDE w:val="0"/>
        <w:autoSpaceDN w:val="0"/>
        <w:adjustRightInd w:val="0"/>
        <w:snapToGrid w:val="0"/>
        <w:spacing w:before="245" w:line="360" w:lineRule="auto"/>
        <w:ind w:left="8120"/>
        <w:textAlignment w:val="baseline"/>
        <w:rPr>
          <w:rFonts w:ascii="宋体" w:hAnsi="宋体" w:cs="宋体"/>
          <w:sz w:val="24"/>
        </w:rPr>
      </w:pPr>
      <w:r>
        <w:rPr>
          <w:rFonts w:hint="eastAsia" w:ascii="宋体" w:hAnsi="宋体" w:cs="宋体"/>
          <w:sz w:val="24"/>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62230</wp:posOffset>
                </wp:positionV>
                <wp:extent cx="5168900" cy="1790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168900" cy="179070"/>
                        </a:xfrm>
                        <a:prstGeom prst="rect">
                          <a:avLst/>
                        </a:prstGeom>
                        <a:noFill/>
                        <a:ln>
                          <a:noFill/>
                        </a:ln>
                      </wps:spPr>
                      <wps:txbx>
                        <w:txbxContent>
                          <w:p w14:paraId="64BE9B87">
                            <w:pPr>
                              <w:tabs>
                                <w:tab w:val="left" w:pos="8120"/>
                              </w:tabs>
                              <w:spacing w:before="20"/>
                              <w:ind w:left="20"/>
                              <w:rPr>
                                <w:rFonts w:ascii="Arial"/>
                              </w:rPr>
                            </w:pPr>
                            <w:r>
                              <w:rPr>
                                <w:rFonts w:ascii="Arial" w:hAnsi="Arial" w:eastAsia="Arial" w:cs="Arial"/>
                                <w:szCs w:val="21"/>
                                <w:u w:val="single"/>
                              </w:rPr>
                              <w:tab/>
                            </w:r>
                          </w:p>
                        </w:txbxContent>
                      </wps:txbx>
                      <wps:bodyPr lIns="0" tIns="0" rIns="0" bIns="0" upright="1"/>
                    </wps:wsp>
                  </a:graphicData>
                </a:graphic>
              </wp:anchor>
            </w:drawing>
          </mc:Choice>
          <mc:Fallback>
            <w:pict>
              <v:shape id="_x0000_s1026" o:spid="_x0000_s1026" o:spt="202" type="#_x0000_t202" style="position:absolute;left:0pt;margin-left:-1pt;margin-top:4.9pt;height:14.1pt;width:407pt;z-index:251661312;mso-width-relative:page;mso-height-relative:page;" filled="f" stroked="f" coordsize="21600,21600" o:gfxdata="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XHWVs1QAAAAcBAAAPAAAAAAAAAAEAIAAAACIAAABkcnMvZG93bnJldi54bWxQSwECFAAU&#10;AAAACACHTuJAAGZoVbsBAAByAwAADgAAAAAAAAABACAAAAAkAQAAZHJzL2Uyb0RvYy54bWxQSwUG&#10;AAAAAAYABgBZAQAAUQUAAAAA&#10;">
                <v:fill on="f" focussize="0,0"/>
                <v:stroke on="f"/>
                <v:imagedata o:title=""/>
                <o:lock v:ext="edit" aspectratio="f"/>
                <v:textbox inset="0mm,0mm,0mm,0mm">
                  <w:txbxContent>
                    <w:p w14:paraId="64BE9B87">
                      <w:pPr>
                        <w:tabs>
                          <w:tab w:val="left" w:pos="8120"/>
                        </w:tabs>
                        <w:spacing w:before="20"/>
                        <w:ind w:left="20"/>
                        <w:rPr>
                          <w:rFonts w:ascii="Arial"/>
                        </w:rPr>
                      </w:pPr>
                      <w:r>
                        <w:rPr>
                          <w:rFonts w:ascii="Arial" w:hAnsi="Arial" w:eastAsia="Arial" w:cs="Arial"/>
                          <w:szCs w:val="21"/>
                          <w:u w:val="single"/>
                        </w:rPr>
                        <w:tab/>
                      </w:r>
                    </w:p>
                  </w:txbxContent>
                </v:textbox>
              </v:shape>
            </w:pict>
          </mc:Fallback>
        </mc:AlternateContent>
      </w:r>
      <w:r>
        <w:rPr>
          <w:rFonts w:hint="eastAsia" w:ascii="宋体" w:hAnsi="宋体" w:cs="宋体"/>
          <w:position w:val="1"/>
          <w:sz w:val="24"/>
        </w:rPr>
        <w:t>。</w:t>
      </w:r>
    </w:p>
    <w:p w14:paraId="5BCFAD7A">
      <w:pPr>
        <w:tabs>
          <w:tab w:val="left" w:pos="567"/>
        </w:tabs>
        <w:wordWrap w:val="0"/>
        <w:autoSpaceDE w:val="0"/>
        <w:autoSpaceDN w:val="0"/>
        <w:adjustRightInd w:val="0"/>
        <w:snapToGrid w:val="0"/>
        <w:spacing w:before="180" w:line="360" w:lineRule="auto"/>
        <w:ind w:left="20" w:right="105" w:firstLine="415"/>
        <w:textAlignment w:val="baseline"/>
        <w:rPr>
          <w:rFonts w:ascii="宋体" w:hAnsi="宋体" w:cs="宋体"/>
          <w:sz w:val="24"/>
        </w:rPr>
      </w:pPr>
      <w:r>
        <w:rPr>
          <w:rFonts w:hint="eastAsia" w:ascii="宋体" w:hAnsi="宋体" w:cs="宋体"/>
          <w:sz w:val="24"/>
        </w:rPr>
        <w:t>本工程保修书 ， 由施工合同发包人、承包人双方在竣工验收前共同签署 ，作为施工合同附件 ，其有效期限至保修期满。</w:t>
      </w:r>
    </w:p>
    <w:p w14:paraId="493F1456">
      <w:pPr>
        <w:tabs>
          <w:tab w:val="left" w:pos="567"/>
        </w:tabs>
        <w:wordWrap w:val="0"/>
        <w:autoSpaceDE w:val="0"/>
        <w:autoSpaceDN w:val="0"/>
        <w:adjustRightInd w:val="0"/>
        <w:snapToGrid w:val="0"/>
        <w:spacing w:before="328" w:line="360" w:lineRule="auto"/>
        <w:ind w:left="19"/>
        <w:textAlignment w:val="baseline"/>
        <w:rPr>
          <w:rFonts w:ascii="宋体" w:hAnsi="宋体" w:cs="宋体"/>
          <w:sz w:val="24"/>
        </w:rPr>
      </w:pPr>
      <w:r>
        <w:rPr>
          <w:rFonts w:hint="eastAsia" w:ascii="宋体" w:hAnsi="宋体" w:cs="宋体"/>
          <w:sz w:val="24"/>
        </w:rPr>
        <w:t>发包人：</w:t>
      </w:r>
      <w:r>
        <w:rPr>
          <w:rFonts w:hint="eastAsia" w:ascii="宋体" w:hAnsi="宋体" w:cs="宋体"/>
          <w:sz w:val="24"/>
          <w:u w:val="single"/>
        </w:rPr>
        <w:t xml:space="preserve">                      </w:t>
      </w:r>
      <w:r>
        <w:rPr>
          <w:rFonts w:hint="eastAsia" w:ascii="宋体" w:hAnsi="宋体" w:cs="宋体"/>
          <w:sz w:val="24"/>
        </w:rPr>
        <w:t>（公章）     承包人：</w:t>
      </w:r>
      <w:r>
        <w:rPr>
          <w:rFonts w:hint="eastAsia" w:ascii="宋体" w:hAnsi="宋体" w:cs="宋体"/>
          <w:sz w:val="24"/>
          <w:u w:val="single"/>
        </w:rPr>
        <w:t xml:space="preserve">           </w:t>
      </w:r>
      <w:r>
        <w:rPr>
          <w:rFonts w:hint="eastAsia" w:ascii="宋体" w:hAnsi="宋体" w:cs="宋体"/>
          <w:sz w:val="24"/>
        </w:rPr>
        <w:t>（公章）</w:t>
      </w:r>
    </w:p>
    <w:p w14:paraId="13FBFA1E">
      <w:pPr>
        <w:tabs>
          <w:tab w:val="left" w:pos="567"/>
        </w:tabs>
        <w:wordWrap w:val="0"/>
        <w:autoSpaceDE w:val="0"/>
        <w:autoSpaceDN w:val="0"/>
        <w:adjustRightInd w:val="0"/>
        <w:snapToGrid w:val="0"/>
        <w:spacing w:before="90" w:line="360" w:lineRule="auto"/>
        <w:ind w:left="16"/>
        <w:textAlignment w:val="baseline"/>
        <w:rPr>
          <w:rFonts w:ascii="宋体" w:hAnsi="宋体" w:cs="宋体"/>
          <w:sz w:val="24"/>
        </w:rPr>
      </w:pPr>
      <w:r>
        <w:rPr>
          <w:rFonts w:hint="eastAsia" w:ascii="宋体" w:hAnsi="宋体" w:cs="宋体"/>
          <w:sz w:val="24"/>
        </w:rPr>
        <w:t>法定地址：</w:t>
      </w:r>
      <w:r>
        <w:rPr>
          <w:rFonts w:hint="eastAsia" w:ascii="宋体" w:hAnsi="宋体" w:cs="宋体"/>
          <w:sz w:val="24"/>
          <w:u w:val="single"/>
        </w:rPr>
        <w:t xml:space="preserve">                               </w:t>
      </w:r>
      <w:r>
        <w:rPr>
          <w:rFonts w:hint="eastAsia" w:ascii="宋体" w:hAnsi="宋体" w:cs="宋体"/>
          <w:sz w:val="24"/>
        </w:rPr>
        <w:t xml:space="preserve"> 法定地址：</w:t>
      </w:r>
      <w:r>
        <w:rPr>
          <w:rFonts w:hint="eastAsia" w:ascii="宋体" w:hAnsi="宋体" w:cs="宋体"/>
          <w:sz w:val="24"/>
          <w:u w:val="single"/>
        </w:rPr>
        <w:t xml:space="preserve">                    </w:t>
      </w:r>
    </w:p>
    <w:p w14:paraId="44B70054">
      <w:pPr>
        <w:tabs>
          <w:tab w:val="left" w:pos="567"/>
        </w:tabs>
        <w:wordWrap w:val="0"/>
        <w:autoSpaceDE w:val="0"/>
        <w:autoSpaceDN w:val="0"/>
        <w:adjustRightInd w:val="0"/>
        <w:snapToGrid w:val="0"/>
        <w:spacing w:before="82" w:line="360" w:lineRule="auto"/>
        <w:ind w:left="16"/>
        <w:textAlignment w:val="baseline"/>
        <w:rPr>
          <w:rFonts w:ascii="宋体" w:hAnsi="宋体" w:cs="宋体"/>
          <w:sz w:val="24"/>
        </w:rPr>
      </w:pPr>
      <w:r>
        <w:rPr>
          <w:rFonts w:hint="eastAsia" w:ascii="宋体" w:hAnsi="宋体" w:cs="宋体"/>
          <w:sz w:val="24"/>
        </w:rPr>
        <w:t>法定代表人或其                             法定代表人或其</w:t>
      </w:r>
    </w:p>
    <w:p w14:paraId="3B946F88">
      <w:pPr>
        <w:tabs>
          <w:tab w:val="left" w:pos="567"/>
        </w:tabs>
        <w:wordWrap w:val="0"/>
        <w:autoSpaceDE w:val="0"/>
        <w:autoSpaceDN w:val="0"/>
        <w:adjustRightInd w:val="0"/>
        <w:snapToGrid w:val="0"/>
        <w:spacing w:before="82" w:line="360" w:lineRule="auto"/>
        <w:ind w:left="14"/>
        <w:textAlignment w:val="baseline"/>
        <w:rPr>
          <w:rFonts w:ascii="宋体" w:hAnsi="宋体" w:cs="宋体"/>
          <w:sz w:val="24"/>
        </w:rPr>
      </w:pPr>
      <w:r>
        <w:rPr>
          <w:rFonts w:hint="eastAsia" w:ascii="宋体" w:hAnsi="宋体" w:cs="宋体"/>
          <w:sz w:val="24"/>
        </w:rPr>
        <w:t>委托代理人：</w:t>
      </w:r>
      <w:r>
        <w:rPr>
          <w:rFonts w:hint="eastAsia" w:ascii="宋体" w:hAnsi="宋体" w:cs="宋体"/>
          <w:sz w:val="24"/>
          <w:u w:val="single"/>
        </w:rPr>
        <w:t xml:space="preserve">                   </w:t>
      </w:r>
      <w:r>
        <w:rPr>
          <w:rFonts w:hint="eastAsia" w:ascii="宋体" w:hAnsi="宋体" w:cs="宋体"/>
          <w:sz w:val="24"/>
        </w:rPr>
        <w:t>（签字）   委托代理人：</w:t>
      </w:r>
      <w:r>
        <w:rPr>
          <w:rFonts w:hint="eastAsia" w:ascii="宋体" w:hAnsi="宋体" w:cs="宋体"/>
          <w:sz w:val="24"/>
          <w:u w:val="single"/>
        </w:rPr>
        <w:t xml:space="preserve">                </w:t>
      </w:r>
      <w:r>
        <w:rPr>
          <w:rFonts w:hint="eastAsia" w:ascii="宋体" w:hAnsi="宋体" w:cs="宋体"/>
          <w:sz w:val="24"/>
        </w:rPr>
        <w:t>（签字）</w:t>
      </w:r>
    </w:p>
    <w:p w14:paraId="48878627">
      <w:pPr>
        <w:tabs>
          <w:tab w:val="left" w:pos="567"/>
        </w:tabs>
        <w:wordWrap w:val="0"/>
        <w:autoSpaceDE w:val="0"/>
        <w:autoSpaceDN w:val="0"/>
        <w:adjustRightInd w:val="0"/>
        <w:snapToGrid w:val="0"/>
        <w:spacing w:before="89" w:line="360" w:lineRule="auto"/>
        <w:ind w:left="39"/>
        <w:textAlignment w:val="baseline"/>
        <w:rPr>
          <w:rFonts w:ascii="宋体" w:hAnsi="宋体" w:cs="宋体"/>
          <w:sz w:val="24"/>
        </w:rPr>
      </w:pP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 xml:space="preserve">    电话：</w:t>
      </w:r>
      <w:r>
        <w:rPr>
          <w:rFonts w:hint="eastAsia" w:ascii="宋体" w:hAnsi="宋体" w:cs="宋体"/>
          <w:sz w:val="24"/>
          <w:u w:val="single"/>
        </w:rPr>
        <w:t xml:space="preserve">                                </w:t>
      </w:r>
    </w:p>
    <w:p w14:paraId="12326687">
      <w:pPr>
        <w:tabs>
          <w:tab w:val="left" w:pos="567"/>
        </w:tabs>
        <w:wordWrap w:val="0"/>
        <w:autoSpaceDE w:val="0"/>
        <w:autoSpaceDN w:val="0"/>
        <w:adjustRightInd w:val="0"/>
        <w:snapToGrid w:val="0"/>
        <w:spacing w:before="81" w:line="360" w:lineRule="auto"/>
        <w:ind w:left="14"/>
        <w:textAlignment w:val="baseline"/>
        <w:rPr>
          <w:rFonts w:ascii="宋体" w:hAnsi="宋体" w:cs="宋体"/>
          <w:sz w:val="24"/>
        </w:rPr>
      </w:pPr>
      <w:r>
        <w:rPr>
          <w:rFonts w:hint="eastAsia" w:ascii="宋体" w:hAnsi="宋体" w:cs="宋体"/>
          <w:sz w:val="24"/>
        </w:rPr>
        <w:t>传真：</w:t>
      </w:r>
      <w:r>
        <w:rPr>
          <w:rFonts w:hint="eastAsia" w:ascii="宋体" w:hAnsi="宋体" w:cs="宋体"/>
          <w:sz w:val="24"/>
          <w:u w:val="single"/>
        </w:rPr>
        <w:t xml:space="preserve">                                </w:t>
      </w:r>
      <w:r>
        <w:rPr>
          <w:rFonts w:hint="eastAsia" w:ascii="宋体" w:hAnsi="宋体" w:cs="宋体"/>
          <w:sz w:val="24"/>
        </w:rPr>
        <w:t xml:space="preserve">   传真：</w:t>
      </w:r>
      <w:r>
        <w:rPr>
          <w:rFonts w:hint="eastAsia" w:ascii="宋体" w:hAnsi="宋体" w:cs="宋体"/>
          <w:sz w:val="24"/>
          <w:u w:val="single"/>
        </w:rPr>
        <w:t xml:space="preserve">                                </w:t>
      </w:r>
    </w:p>
    <w:p w14:paraId="32941326">
      <w:pPr>
        <w:tabs>
          <w:tab w:val="left" w:pos="567"/>
        </w:tabs>
        <w:wordWrap w:val="0"/>
        <w:autoSpaceDE w:val="0"/>
        <w:autoSpaceDN w:val="0"/>
        <w:adjustRightInd w:val="0"/>
        <w:snapToGrid w:val="0"/>
        <w:spacing w:before="84" w:line="360" w:lineRule="auto"/>
        <w:ind w:left="39"/>
        <w:textAlignment w:val="baseline"/>
        <w:rPr>
          <w:rFonts w:ascii="宋体" w:hAnsi="宋体" w:cs="宋体"/>
          <w:sz w:val="24"/>
        </w:rPr>
      </w:pPr>
      <w:r>
        <w:rPr>
          <w:rFonts w:hint="eastAsia" w:ascii="宋体" w:hAnsi="宋体" w:cs="宋体"/>
          <w:sz w:val="24"/>
        </w:rPr>
        <w:t>电子邮箱：</w:t>
      </w:r>
      <w:r>
        <w:rPr>
          <w:rFonts w:hint="eastAsia" w:ascii="宋体" w:hAnsi="宋体" w:cs="宋体"/>
          <w:sz w:val="24"/>
          <w:u w:val="single"/>
        </w:rPr>
        <w:t xml:space="preserve">                              </w:t>
      </w:r>
      <w:r>
        <w:rPr>
          <w:rFonts w:hint="eastAsia" w:ascii="宋体" w:hAnsi="宋体" w:cs="宋体"/>
          <w:sz w:val="24"/>
        </w:rPr>
        <w:t xml:space="preserve"> 电子邮箱：</w:t>
      </w:r>
      <w:r>
        <w:rPr>
          <w:rFonts w:hint="eastAsia" w:ascii="宋体" w:hAnsi="宋体" w:cs="宋体"/>
          <w:sz w:val="24"/>
          <w:u w:val="single"/>
        </w:rPr>
        <w:t xml:space="preserve">                            </w:t>
      </w:r>
    </w:p>
    <w:p w14:paraId="75AF64EE">
      <w:pPr>
        <w:tabs>
          <w:tab w:val="left" w:pos="567"/>
        </w:tabs>
        <w:wordWrap w:val="0"/>
        <w:autoSpaceDE w:val="0"/>
        <w:autoSpaceDN w:val="0"/>
        <w:adjustRightInd w:val="0"/>
        <w:snapToGrid w:val="0"/>
        <w:spacing w:before="82" w:line="360" w:lineRule="auto"/>
        <w:ind w:left="16"/>
        <w:textAlignment w:val="baseline"/>
        <w:rPr>
          <w:rFonts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 xml:space="preserve">      开户银行：</w:t>
      </w:r>
      <w:r>
        <w:rPr>
          <w:rFonts w:hint="eastAsia" w:ascii="宋体" w:hAnsi="宋体" w:cs="宋体"/>
          <w:sz w:val="24"/>
          <w:u w:val="single"/>
        </w:rPr>
        <w:t xml:space="preserve">                           </w:t>
      </w:r>
    </w:p>
    <w:p w14:paraId="64BFED47">
      <w:pPr>
        <w:tabs>
          <w:tab w:val="left" w:pos="567"/>
        </w:tabs>
        <w:wordWrap w:val="0"/>
        <w:autoSpaceDE w:val="0"/>
        <w:autoSpaceDN w:val="0"/>
        <w:adjustRightInd w:val="0"/>
        <w:snapToGrid w:val="0"/>
        <w:spacing w:before="83" w:line="360" w:lineRule="auto"/>
        <w:ind w:left="23"/>
        <w:textAlignment w:val="baseline"/>
        <w:rPr>
          <w:rFonts w:ascii="宋体" w:hAnsi="宋体" w:cs="宋体"/>
          <w:sz w:val="24"/>
        </w:rPr>
      </w:pPr>
      <w:r>
        <w:rPr>
          <w:rFonts w:hint="eastAsia" w:ascii="宋体" w:hAnsi="宋体" w:cs="宋体"/>
          <w:sz w:val="24"/>
        </w:rPr>
        <w:t>帐号：</w:t>
      </w:r>
      <w:r>
        <w:rPr>
          <w:rFonts w:hint="eastAsia" w:ascii="宋体" w:hAnsi="宋体" w:cs="宋体"/>
          <w:sz w:val="24"/>
          <w:u w:val="single"/>
        </w:rPr>
        <w:t xml:space="preserve">                                 </w:t>
      </w:r>
      <w:r>
        <w:rPr>
          <w:rFonts w:hint="eastAsia" w:ascii="宋体" w:hAnsi="宋体" w:cs="宋体"/>
          <w:sz w:val="24"/>
        </w:rPr>
        <w:t xml:space="preserve">    帐号：</w:t>
      </w:r>
      <w:r>
        <w:rPr>
          <w:rFonts w:hint="eastAsia" w:ascii="宋体" w:hAnsi="宋体" w:cs="宋体"/>
          <w:sz w:val="24"/>
          <w:u w:val="single"/>
        </w:rPr>
        <w:t xml:space="preserve">                              </w:t>
      </w:r>
    </w:p>
    <w:p w14:paraId="31FEAF82">
      <w:pPr>
        <w:tabs>
          <w:tab w:val="left" w:pos="567"/>
        </w:tabs>
        <w:wordWrap w:val="0"/>
        <w:autoSpaceDE w:val="0"/>
        <w:autoSpaceDN w:val="0"/>
        <w:adjustRightInd w:val="0"/>
        <w:snapToGrid w:val="0"/>
        <w:spacing w:before="81" w:line="360" w:lineRule="auto"/>
        <w:ind w:left="30"/>
        <w:textAlignment w:val="baseline"/>
        <w:rPr>
          <w:rFonts w:ascii="宋体" w:hAnsi="宋体" w:cs="宋体"/>
          <w:sz w:val="24"/>
        </w:rPr>
      </w:pPr>
      <w:r>
        <w:rPr>
          <w:rFonts w:hint="eastAsia" w:ascii="宋体" w:hAnsi="宋体" w:cs="宋体"/>
          <w:sz w:val="24"/>
        </w:rPr>
        <w:t>邮政编码：</w:t>
      </w:r>
      <w:r>
        <w:rPr>
          <w:rFonts w:hint="eastAsia" w:ascii="宋体" w:hAnsi="宋体" w:cs="宋体"/>
          <w:sz w:val="24"/>
          <w:u w:val="single"/>
        </w:rPr>
        <w:t xml:space="preserve">                               </w:t>
      </w:r>
      <w:r>
        <w:rPr>
          <w:rFonts w:hint="eastAsia" w:ascii="宋体" w:hAnsi="宋体" w:cs="宋体"/>
          <w:sz w:val="24"/>
        </w:rPr>
        <w:t>邮政编码：</w:t>
      </w:r>
      <w:r>
        <w:rPr>
          <w:rFonts w:hint="eastAsia" w:ascii="宋体" w:hAnsi="宋体" w:cs="宋体"/>
          <w:sz w:val="24"/>
          <w:u w:val="single"/>
        </w:rPr>
        <w:t xml:space="preserve">                            </w:t>
      </w:r>
    </w:p>
    <w:p w14:paraId="129FEB97">
      <w:pPr>
        <w:wordWrap w:val="0"/>
        <w:autoSpaceDE w:val="0"/>
        <w:autoSpaceDN w:val="0"/>
        <w:adjustRightInd w:val="0"/>
        <w:snapToGrid w:val="0"/>
        <w:spacing w:line="360" w:lineRule="auto"/>
        <w:textAlignment w:val="baseline"/>
        <w:rPr>
          <w:rFonts w:ascii="宋体" w:hAnsi="宋体" w:cs="宋体"/>
        </w:rPr>
        <w:sectPr>
          <w:pgSz w:w="11900" w:h="16840"/>
          <w:pgMar w:top="1440" w:right="1800" w:bottom="1440" w:left="1800" w:header="0" w:footer="0" w:gutter="0"/>
          <w:cols w:space="720" w:num="1"/>
        </w:sectPr>
      </w:pPr>
    </w:p>
    <w:p w14:paraId="1C1DBFC6">
      <w:pPr>
        <w:tabs>
          <w:tab w:val="left" w:pos="567"/>
        </w:tabs>
        <w:wordWrap w:val="0"/>
        <w:autoSpaceDE w:val="0"/>
        <w:autoSpaceDN w:val="0"/>
        <w:adjustRightInd w:val="0"/>
        <w:snapToGrid w:val="0"/>
        <w:spacing w:before="129" w:line="360" w:lineRule="auto"/>
        <w:ind w:left="19"/>
        <w:textAlignment w:val="baseline"/>
        <w:rPr>
          <w:rFonts w:ascii="宋体" w:hAnsi="宋体" w:cs="宋体"/>
          <w:sz w:val="30"/>
          <w:szCs w:val="30"/>
        </w:rPr>
      </w:pPr>
      <w:r>
        <w:rPr>
          <w:rFonts w:hint="eastAsia" w:ascii="宋体" w:hAnsi="宋体" w:cs="宋体"/>
          <w:sz w:val="30"/>
          <w:szCs w:val="30"/>
        </w:rPr>
        <w:t>附件八： 廉政责任书格式</w:t>
      </w:r>
    </w:p>
    <w:p w14:paraId="3C52C015">
      <w:pPr>
        <w:wordWrap w:val="0"/>
        <w:autoSpaceDE w:val="0"/>
        <w:autoSpaceDN w:val="0"/>
        <w:adjustRightInd w:val="0"/>
        <w:snapToGrid w:val="0"/>
        <w:spacing w:line="360" w:lineRule="auto"/>
        <w:textAlignment w:val="baseline"/>
        <w:rPr>
          <w:rFonts w:ascii="宋体" w:hAnsi="宋体" w:cs="宋体"/>
        </w:rPr>
      </w:pPr>
    </w:p>
    <w:p w14:paraId="4D9FC576">
      <w:pPr>
        <w:tabs>
          <w:tab w:val="left" w:pos="567"/>
        </w:tabs>
        <w:wordWrap w:val="0"/>
        <w:autoSpaceDE w:val="0"/>
        <w:autoSpaceDN w:val="0"/>
        <w:adjustRightInd w:val="0"/>
        <w:snapToGrid w:val="0"/>
        <w:spacing w:before="120" w:line="360" w:lineRule="auto"/>
        <w:ind w:left="3464"/>
        <w:textAlignment w:val="baseline"/>
        <w:outlineLvl w:val="0"/>
        <w:rPr>
          <w:rFonts w:ascii="宋体" w:hAnsi="宋体" w:cs="宋体"/>
          <w:sz w:val="28"/>
          <w:szCs w:val="28"/>
        </w:rPr>
      </w:pPr>
      <w:r>
        <w:rPr>
          <w:rFonts w:hint="eastAsia" w:ascii="宋体" w:hAnsi="宋体" w:cs="宋体"/>
          <w:sz w:val="28"/>
          <w:szCs w:val="28"/>
        </w:rPr>
        <w:t>建设工程廉政责任书</w:t>
      </w:r>
    </w:p>
    <w:p w14:paraId="056725EC">
      <w:pPr>
        <w:tabs>
          <w:tab w:val="left" w:pos="567"/>
        </w:tabs>
        <w:wordWrap w:val="0"/>
        <w:autoSpaceDE w:val="0"/>
        <w:autoSpaceDN w:val="0"/>
        <w:adjustRightInd w:val="0"/>
        <w:snapToGrid w:val="0"/>
        <w:spacing w:before="90" w:line="360" w:lineRule="auto"/>
        <w:ind w:left="4"/>
        <w:textAlignment w:val="baseline"/>
        <w:rPr>
          <w:rFonts w:ascii="宋体" w:hAnsi="宋体" w:cs="宋体"/>
          <w:sz w:val="24"/>
        </w:rPr>
      </w:pPr>
      <w:r>
        <w:rPr>
          <w:rFonts w:hint="eastAsia" w:ascii="宋体" w:hAnsi="宋体" w:cs="宋体"/>
          <w:sz w:val="24"/>
        </w:rPr>
        <w:t>发包人：</w:t>
      </w:r>
      <w:r>
        <w:rPr>
          <w:rFonts w:hint="eastAsia" w:ascii="宋体" w:hAnsi="宋体" w:cs="宋体"/>
          <w:sz w:val="24"/>
          <w:u w:val="single"/>
        </w:rPr>
        <w:t xml:space="preserve">                                                                       </w:t>
      </w:r>
    </w:p>
    <w:p w14:paraId="61269158">
      <w:pPr>
        <w:tabs>
          <w:tab w:val="left" w:pos="567"/>
        </w:tabs>
        <w:wordWrap w:val="0"/>
        <w:autoSpaceDE w:val="0"/>
        <w:autoSpaceDN w:val="0"/>
        <w:adjustRightInd w:val="0"/>
        <w:snapToGrid w:val="0"/>
        <w:spacing w:before="81" w:line="360" w:lineRule="auto"/>
        <w:textAlignment w:val="baseline"/>
        <w:rPr>
          <w:rFonts w:ascii="宋体" w:hAnsi="宋体" w:cs="宋体"/>
          <w:sz w:val="24"/>
        </w:rPr>
      </w:pPr>
      <w:r>
        <w:rPr>
          <w:rFonts w:hint="eastAsia" w:ascii="宋体" w:hAnsi="宋体" w:cs="宋体"/>
          <w:sz w:val="24"/>
        </w:rPr>
        <w:t>承包人：</w:t>
      </w:r>
      <w:r>
        <w:rPr>
          <w:rFonts w:hint="eastAsia" w:ascii="宋体" w:hAnsi="宋体" w:cs="宋体"/>
          <w:sz w:val="24"/>
          <w:u w:val="single"/>
        </w:rPr>
        <w:t xml:space="preserve">                                                                       </w:t>
      </w:r>
    </w:p>
    <w:p w14:paraId="1FA2C92B">
      <w:pPr>
        <w:tabs>
          <w:tab w:val="left" w:pos="567"/>
        </w:tabs>
        <w:wordWrap w:val="0"/>
        <w:autoSpaceDE w:val="0"/>
        <w:autoSpaceDN w:val="0"/>
        <w:adjustRightInd w:val="0"/>
        <w:snapToGrid w:val="0"/>
        <w:spacing w:before="91" w:line="360" w:lineRule="auto"/>
        <w:ind w:right="180" w:firstLine="423"/>
        <w:textAlignment w:val="baseline"/>
        <w:rPr>
          <w:rFonts w:ascii="宋体" w:hAnsi="宋体" w:cs="宋体"/>
          <w:sz w:val="24"/>
        </w:rPr>
      </w:pPr>
      <w:r>
        <w:rPr>
          <w:rFonts w:hint="eastAsia" w:ascii="宋体" w:hAnsi="宋体" w:cs="宋体"/>
          <w:sz w:val="24"/>
        </w:rPr>
        <w:t>为加强建设工程廉政建设 ，规范建设工程各项活动中发包人承包人双方的行为 ， 防止谋取不正当利益的违法违纪现象的发生 ，保护国家、集体和当事人的合法权益 ，根据国家有关工程建设的法律法规和廉政建设的有关规定 ，订立本廉政责任书。</w:t>
      </w:r>
    </w:p>
    <w:p w14:paraId="430C3530">
      <w:pPr>
        <w:tabs>
          <w:tab w:val="left" w:pos="567"/>
        </w:tabs>
        <w:wordWrap w:val="0"/>
        <w:autoSpaceDE w:val="0"/>
        <w:autoSpaceDN w:val="0"/>
        <w:adjustRightInd w:val="0"/>
        <w:snapToGrid w:val="0"/>
        <w:spacing w:before="1" w:line="360" w:lineRule="auto"/>
        <w:ind w:left="424"/>
        <w:textAlignment w:val="baseline"/>
        <w:rPr>
          <w:rFonts w:ascii="宋体" w:hAnsi="宋体" w:cs="宋体"/>
          <w:sz w:val="24"/>
        </w:rPr>
      </w:pPr>
      <w:r>
        <w:rPr>
          <w:rFonts w:hint="eastAsia" w:ascii="宋体" w:hAnsi="宋体" w:cs="宋体"/>
          <w:sz w:val="24"/>
        </w:rPr>
        <w:t>一、双方的责任</w:t>
      </w:r>
    </w:p>
    <w:p w14:paraId="46613F9D">
      <w:pPr>
        <w:tabs>
          <w:tab w:val="left" w:pos="567"/>
        </w:tabs>
        <w:wordWrap w:val="0"/>
        <w:autoSpaceDE w:val="0"/>
        <w:autoSpaceDN w:val="0"/>
        <w:adjustRightInd w:val="0"/>
        <w:snapToGrid w:val="0"/>
        <w:spacing w:before="82" w:line="360" w:lineRule="auto"/>
        <w:ind w:left="436"/>
        <w:textAlignment w:val="baseline"/>
        <w:rPr>
          <w:rFonts w:ascii="宋体" w:hAnsi="宋体" w:cs="宋体"/>
          <w:sz w:val="24"/>
        </w:rPr>
      </w:pPr>
      <w:r>
        <w:rPr>
          <w:rFonts w:hint="eastAsia" w:ascii="宋体" w:hAnsi="宋体" w:cs="宋体"/>
          <w:sz w:val="24"/>
        </w:rPr>
        <w:t>1.1</w:t>
      </w:r>
      <w:r>
        <w:rPr>
          <w:rFonts w:hint="eastAsia" w:ascii="宋体" w:hAnsi="宋体" w:cs="宋体"/>
          <w:w w:val="101"/>
          <w:sz w:val="24"/>
        </w:rPr>
        <w:t xml:space="preserve"> </w:t>
      </w:r>
      <w:r>
        <w:rPr>
          <w:rFonts w:hint="eastAsia" w:ascii="宋体" w:hAnsi="宋体" w:cs="宋体"/>
          <w:sz w:val="24"/>
        </w:rPr>
        <w:t>应严格遵守国家关于建设工程的有关法律、法规 ，相关政策 ， 以及廉政建设的各项规定。</w:t>
      </w:r>
    </w:p>
    <w:p w14:paraId="1BD24753">
      <w:pPr>
        <w:tabs>
          <w:tab w:val="left" w:pos="567"/>
        </w:tabs>
        <w:wordWrap w:val="0"/>
        <w:autoSpaceDE w:val="0"/>
        <w:autoSpaceDN w:val="0"/>
        <w:adjustRightInd w:val="0"/>
        <w:snapToGrid w:val="0"/>
        <w:spacing w:before="83" w:line="360" w:lineRule="auto"/>
        <w:ind w:left="436"/>
        <w:textAlignment w:val="baseline"/>
        <w:rPr>
          <w:rFonts w:ascii="宋体" w:hAnsi="宋体" w:cs="宋体"/>
          <w:sz w:val="24"/>
        </w:rPr>
      </w:pPr>
      <w:r>
        <w:rPr>
          <w:rFonts w:hint="eastAsia" w:ascii="宋体" w:hAnsi="宋体" w:cs="宋体"/>
          <w:sz w:val="24"/>
        </w:rPr>
        <w:t>1.2 严格执行建设工程合同文件 ， 自觉按合同办事。</w:t>
      </w:r>
    </w:p>
    <w:p w14:paraId="6D06F418">
      <w:pPr>
        <w:tabs>
          <w:tab w:val="left" w:pos="567"/>
        </w:tabs>
        <w:wordWrap w:val="0"/>
        <w:autoSpaceDE w:val="0"/>
        <w:autoSpaceDN w:val="0"/>
        <w:adjustRightInd w:val="0"/>
        <w:snapToGrid w:val="0"/>
        <w:spacing w:before="83" w:line="360" w:lineRule="auto"/>
        <w:ind w:left="3" w:firstLine="433"/>
        <w:textAlignment w:val="baseline"/>
        <w:rPr>
          <w:rFonts w:ascii="宋体" w:hAnsi="宋体" w:cs="宋体"/>
          <w:sz w:val="24"/>
        </w:rPr>
      </w:pPr>
      <w:r>
        <w:rPr>
          <w:rFonts w:hint="eastAsia" w:ascii="宋体" w:hAnsi="宋体" w:cs="宋体"/>
          <w:sz w:val="24"/>
        </w:rPr>
        <w:t>1.3 各项活动必须坚持公开、公平、公正、诚信、透明的原则（除法律法规另有规定者外），不得为获取不正当的利益 ，损害国家、集体和对方利益 ，不得违反建设工程管理的规章制度。</w:t>
      </w:r>
    </w:p>
    <w:p w14:paraId="3ECF3EB8">
      <w:pPr>
        <w:tabs>
          <w:tab w:val="left" w:pos="567"/>
        </w:tabs>
        <w:wordWrap w:val="0"/>
        <w:autoSpaceDE w:val="0"/>
        <w:autoSpaceDN w:val="0"/>
        <w:adjustRightInd w:val="0"/>
        <w:snapToGrid w:val="0"/>
        <w:spacing w:before="85" w:line="360" w:lineRule="auto"/>
        <w:ind w:left="4" w:firstLine="432"/>
        <w:textAlignment w:val="baseline"/>
        <w:rPr>
          <w:rFonts w:ascii="宋体" w:hAnsi="宋体" w:cs="宋体"/>
          <w:sz w:val="24"/>
        </w:rPr>
      </w:pPr>
      <w:r>
        <w:rPr>
          <w:rFonts w:hint="eastAsia" w:ascii="宋体" w:hAnsi="宋体" w:cs="宋体"/>
          <w:sz w:val="24"/>
        </w:rPr>
        <w:t>1.4</w:t>
      </w:r>
      <w:r>
        <w:rPr>
          <w:rFonts w:hint="eastAsia" w:ascii="宋体" w:hAnsi="宋体" w:cs="宋体"/>
          <w:w w:val="101"/>
          <w:sz w:val="24"/>
        </w:rPr>
        <w:t xml:space="preserve"> </w:t>
      </w:r>
      <w:r>
        <w:rPr>
          <w:rFonts w:hint="eastAsia" w:ascii="宋体" w:hAnsi="宋体" w:cs="宋体"/>
          <w:sz w:val="24"/>
        </w:rPr>
        <w:t>发现对方在业务活动中有违规、违纪、违法行为的 ，应及时提醒对方 ，情节严重的 ，应向其上级主管部门或纪检监察、司法等有关机关举报。</w:t>
      </w:r>
    </w:p>
    <w:p w14:paraId="2FA5F861">
      <w:pPr>
        <w:tabs>
          <w:tab w:val="left" w:pos="567"/>
        </w:tabs>
        <w:wordWrap w:val="0"/>
        <w:autoSpaceDE w:val="0"/>
        <w:autoSpaceDN w:val="0"/>
        <w:adjustRightInd w:val="0"/>
        <w:snapToGrid w:val="0"/>
        <w:spacing w:before="83" w:line="360" w:lineRule="auto"/>
        <w:ind w:left="424"/>
        <w:textAlignment w:val="baseline"/>
        <w:rPr>
          <w:rFonts w:ascii="宋体" w:hAnsi="宋体" w:cs="宋体"/>
          <w:sz w:val="24"/>
        </w:rPr>
      </w:pPr>
      <w:r>
        <w:rPr>
          <w:rFonts w:hint="eastAsia" w:ascii="宋体" w:hAnsi="宋体" w:cs="宋体"/>
          <w:sz w:val="24"/>
        </w:rPr>
        <w:t>二、发包人责任</w:t>
      </w:r>
    </w:p>
    <w:p w14:paraId="0D366B6C">
      <w:pPr>
        <w:tabs>
          <w:tab w:val="left" w:pos="567"/>
        </w:tabs>
        <w:wordWrap w:val="0"/>
        <w:autoSpaceDE w:val="0"/>
        <w:autoSpaceDN w:val="0"/>
        <w:adjustRightInd w:val="0"/>
        <w:snapToGrid w:val="0"/>
        <w:spacing w:before="81" w:line="360" w:lineRule="auto"/>
        <w:ind w:left="5" w:right="390" w:firstLine="418"/>
        <w:textAlignment w:val="baseline"/>
        <w:rPr>
          <w:rFonts w:ascii="宋体" w:hAnsi="宋体" w:cs="宋体"/>
          <w:sz w:val="24"/>
        </w:rPr>
      </w:pPr>
      <w:r>
        <w:rPr>
          <w:rFonts w:hint="eastAsia" w:ascii="宋体" w:hAnsi="宋体" w:cs="宋体"/>
          <w:sz w:val="24"/>
        </w:rPr>
        <w:t>发包人的领导和从事该建设工程项目的工作人员 ，在工程建设的事前、事中、事后应遵守以下规定：</w:t>
      </w:r>
    </w:p>
    <w:p w14:paraId="7BC3BAF7">
      <w:pPr>
        <w:tabs>
          <w:tab w:val="left" w:pos="567"/>
        </w:tabs>
        <w:wordWrap w:val="0"/>
        <w:autoSpaceDE w:val="0"/>
        <w:autoSpaceDN w:val="0"/>
        <w:adjustRightInd w:val="0"/>
        <w:snapToGrid w:val="0"/>
        <w:spacing w:before="120" w:line="360" w:lineRule="auto"/>
        <w:ind w:left="423"/>
        <w:textAlignment w:val="baseline"/>
        <w:rPr>
          <w:rFonts w:ascii="宋体" w:hAnsi="宋体" w:cs="宋体"/>
          <w:sz w:val="24"/>
        </w:rPr>
      </w:pPr>
      <w:r>
        <w:rPr>
          <w:rFonts w:hint="eastAsia" w:ascii="宋体" w:hAnsi="宋体" w:cs="宋体"/>
          <w:sz w:val="24"/>
        </w:rPr>
        <w:t>2.1不得向承包人和相关单位索要或接受回扣、礼金、有价证券、贵重物品和好处费、感谢费等。</w:t>
      </w:r>
    </w:p>
    <w:p w14:paraId="1EE8806E">
      <w:pPr>
        <w:tabs>
          <w:tab w:val="left" w:pos="567"/>
        </w:tabs>
        <w:wordWrap w:val="0"/>
        <w:autoSpaceDE w:val="0"/>
        <w:autoSpaceDN w:val="0"/>
        <w:adjustRightInd w:val="0"/>
        <w:snapToGrid w:val="0"/>
        <w:spacing w:before="84" w:line="360" w:lineRule="auto"/>
        <w:ind w:left="423"/>
        <w:textAlignment w:val="baseline"/>
        <w:rPr>
          <w:rFonts w:ascii="宋体" w:hAnsi="宋体" w:cs="宋体"/>
          <w:sz w:val="24"/>
        </w:rPr>
      </w:pPr>
      <w:r>
        <w:rPr>
          <w:rFonts w:hint="eastAsia" w:ascii="宋体" w:hAnsi="宋体" w:cs="宋体"/>
          <w:sz w:val="24"/>
        </w:rPr>
        <w:t>2.2 不得在承包人和相关单位报销任何应由发包人或个人支付的费用。</w:t>
      </w:r>
    </w:p>
    <w:p w14:paraId="5893C89D">
      <w:pPr>
        <w:tabs>
          <w:tab w:val="left" w:pos="567"/>
        </w:tabs>
        <w:wordWrap w:val="0"/>
        <w:autoSpaceDE w:val="0"/>
        <w:autoSpaceDN w:val="0"/>
        <w:adjustRightInd w:val="0"/>
        <w:snapToGrid w:val="0"/>
        <w:spacing w:before="83" w:line="360" w:lineRule="auto"/>
        <w:ind w:firstLine="423"/>
        <w:textAlignment w:val="baseline"/>
        <w:rPr>
          <w:rFonts w:ascii="宋体" w:hAnsi="宋体" w:cs="宋体"/>
          <w:sz w:val="24"/>
        </w:rPr>
      </w:pPr>
      <w:r>
        <w:rPr>
          <w:rFonts w:hint="eastAsia" w:ascii="宋体" w:hAnsi="宋体" w:cs="宋体"/>
          <w:sz w:val="24"/>
        </w:rPr>
        <w:t>2.3 不得要求、暗示或接受承包人和相关单位为个人装修住房、婚丧嫁娶、配偶子女的工作安排以及出国（境）、旅游等提供方便。</w:t>
      </w:r>
    </w:p>
    <w:p w14:paraId="388401E8">
      <w:pPr>
        <w:tabs>
          <w:tab w:val="left" w:pos="567"/>
        </w:tabs>
        <w:wordWrap w:val="0"/>
        <w:autoSpaceDE w:val="0"/>
        <w:autoSpaceDN w:val="0"/>
        <w:adjustRightInd w:val="0"/>
        <w:snapToGrid w:val="0"/>
        <w:spacing w:before="91" w:line="360" w:lineRule="auto"/>
        <w:ind w:left="423"/>
        <w:textAlignment w:val="baseline"/>
        <w:rPr>
          <w:rFonts w:ascii="宋体" w:hAnsi="宋体" w:cs="宋体"/>
          <w:sz w:val="24"/>
        </w:rPr>
      </w:pPr>
      <w:r>
        <w:rPr>
          <w:rFonts w:hint="eastAsia" w:ascii="宋体" w:hAnsi="宋体" w:cs="宋体"/>
          <w:sz w:val="24"/>
        </w:rPr>
        <w:t>2.4 不得参加有可能影响公正执行公务的承包人和相关单位的宴请、健身、娱乐等活动。</w:t>
      </w:r>
    </w:p>
    <w:p w14:paraId="3B49F713">
      <w:pPr>
        <w:tabs>
          <w:tab w:val="left" w:pos="567"/>
        </w:tabs>
        <w:wordWrap w:val="0"/>
        <w:autoSpaceDE w:val="0"/>
        <w:autoSpaceDN w:val="0"/>
        <w:adjustRightInd w:val="0"/>
        <w:snapToGrid w:val="0"/>
        <w:spacing w:before="83" w:line="360" w:lineRule="auto"/>
        <w:ind w:left="2" w:firstLine="420"/>
        <w:textAlignment w:val="baseline"/>
        <w:rPr>
          <w:rFonts w:ascii="宋体" w:hAnsi="宋体" w:cs="宋体"/>
          <w:sz w:val="24"/>
        </w:rPr>
      </w:pPr>
      <w:r>
        <w:rPr>
          <w:rFonts w:hint="eastAsia" w:ascii="宋体" w:hAnsi="宋体" w:cs="宋体"/>
          <w:sz w:val="24"/>
        </w:rPr>
        <w:t>2.5 不得向承包人和相关单位介绍或为配偶、子女、亲属参与同发包人工程建设管理合同有关的业务活动；不得以任何理由要求承包人和相关单位使用某种产品、材料和设备。</w:t>
      </w:r>
    </w:p>
    <w:p w14:paraId="1F986CEB">
      <w:pPr>
        <w:tabs>
          <w:tab w:val="left" w:pos="567"/>
        </w:tabs>
        <w:wordWrap w:val="0"/>
        <w:autoSpaceDE w:val="0"/>
        <w:autoSpaceDN w:val="0"/>
        <w:adjustRightInd w:val="0"/>
        <w:snapToGrid w:val="0"/>
        <w:spacing w:before="83" w:line="360" w:lineRule="auto"/>
        <w:ind w:left="420"/>
        <w:textAlignment w:val="baseline"/>
        <w:rPr>
          <w:rFonts w:ascii="宋体" w:hAnsi="宋体" w:cs="宋体"/>
          <w:sz w:val="24"/>
        </w:rPr>
      </w:pPr>
      <w:r>
        <w:rPr>
          <w:rFonts w:hint="eastAsia" w:ascii="宋体" w:hAnsi="宋体" w:cs="宋体"/>
          <w:sz w:val="24"/>
        </w:rPr>
        <w:t>三、承包人责任</w:t>
      </w:r>
    </w:p>
    <w:p w14:paraId="3597451E">
      <w:pPr>
        <w:tabs>
          <w:tab w:val="left" w:pos="567"/>
        </w:tabs>
        <w:wordWrap w:val="0"/>
        <w:autoSpaceDE w:val="0"/>
        <w:autoSpaceDN w:val="0"/>
        <w:adjustRightInd w:val="0"/>
        <w:snapToGrid w:val="0"/>
        <w:spacing w:before="82" w:line="360" w:lineRule="auto"/>
        <w:ind w:left="4" w:right="180" w:firstLine="416"/>
        <w:textAlignment w:val="baseline"/>
        <w:rPr>
          <w:rFonts w:ascii="宋体" w:hAnsi="宋体" w:cs="宋体"/>
          <w:sz w:val="24"/>
        </w:rPr>
      </w:pPr>
      <w:r>
        <w:rPr>
          <w:rFonts w:hint="eastAsia" w:ascii="宋体" w:hAnsi="宋体" w:cs="宋体"/>
          <w:sz w:val="24"/>
        </w:rPr>
        <w:t>应与发包人保持正常的业务交往 ，按照有关法律法规和程序开展业务工作 ，严格执行工程建设的有关方针、政策 ，执行工程建设强制性标准 ，并遵守以下规定：</w:t>
      </w:r>
    </w:p>
    <w:p w14:paraId="07437043">
      <w:pPr>
        <w:tabs>
          <w:tab w:val="left" w:pos="567"/>
        </w:tabs>
        <w:wordWrap w:val="0"/>
        <w:autoSpaceDE w:val="0"/>
        <w:autoSpaceDN w:val="0"/>
        <w:adjustRightInd w:val="0"/>
        <w:snapToGrid w:val="0"/>
        <w:spacing w:before="120" w:line="360" w:lineRule="auto"/>
        <w:ind w:right="26" w:firstLine="424"/>
        <w:textAlignment w:val="baseline"/>
        <w:rPr>
          <w:rFonts w:ascii="宋体" w:hAnsi="宋体" w:cs="宋体"/>
          <w:sz w:val="24"/>
        </w:rPr>
      </w:pPr>
      <w:r>
        <w:rPr>
          <w:rFonts w:hint="eastAsia" w:ascii="宋体" w:hAnsi="宋体" w:cs="宋体"/>
          <w:sz w:val="24"/>
        </w:rPr>
        <w:t>3 .</w:t>
      </w:r>
      <w:r>
        <w:rPr>
          <w:rFonts w:hint="eastAsia" w:ascii="宋体" w:hAnsi="宋体" w:cs="宋体"/>
          <w:w w:val="101"/>
          <w:sz w:val="24"/>
        </w:rPr>
        <w:t xml:space="preserve"> </w:t>
      </w:r>
      <w:r>
        <w:rPr>
          <w:rFonts w:hint="eastAsia" w:ascii="宋体" w:hAnsi="宋体" w:cs="宋体"/>
          <w:sz w:val="24"/>
        </w:rPr>
        <w:t>1</w:t>
      </w:r>
      <w:r>
        <w:rPr>
          <w:rFonts w:hint="eastAsia" w:ascii="宋体" w:hAnsi="宋体" w:cs="宋体"/>
          <w:w w:val="101"/>
          <w:sz w:val="24"/>
        </w:rPr>
        <w:t xml:space="preserve"> </w:t>
      </w:r>
      <w:r>
        <w:rPr>
          <w:rFonts w:hint="eastAsia" w:ascii="宋体" w:hAnsi="宋体" w:cs="宋体"/>
          <w:sz w:val="24"/>
        </w:rPr>
        <w:t>不得以任何理由向发包人及其工作人员索要、接受或赠送礼金、有价证券、贵重物品及回扣、好处费、感谢费等。</w:t>
      </w:r>
    </w:p>
    <w:p w14:paraId="41365E15">
      <w:pPr>
        <w:tabs>
          <w:tab w:val="left" w:pos="567"/>
        </w:tabs>
        <w:wordWrap w:val="0"/>
        <w:autoSpaceDE w:val="0"/>
        <w:autoSpaceDN w:val="0"/>
        <w:adjustRightInd w:val="0"/>
        <w:snapToGrid w:val="0"/>
        <w:spacing w:before="84" w:line="360" w:lineRule="auto"/>
        <w:ind w:left="425"/>
        <w:textAlignment w:val="baseline"/>
        <w:rPr>
          <w:rFonts w:ascii="宋体" w:hAnsi="宋体" w:cs="宋体"/>
          <w:sz w:val="24"/>
        </w:rPr>
      </w:pPr>
      <w:r>
        <w:rPr>
          <w:rFonts w:hint="eastAsia" w:ascii="宋体" w:hAnsi="宋体" w:cs="宋体"/>
          <w:sz w:val="24"/>
        </w:rPr>
        <w:t>3.2不得以任何理由为发包人和相关单位报销应由对方或个人支付的费用。</w:t>
      </w:r>
    </w:p>
    <w:p w14:paraId="5DC417C1">
      <w:pPr>
        <w:tabs>
          <w:tab w:val="left" w:pos="567"/>
        </w:tabs>
        <w:wordWrap w:val="0"/>
        <w:autoSpaceDE w:val="0"/>
        <w:autoSpaceDN w:val="0"/>
        <w:adjustRightInd w:val="0"/>
        <w:snapToGrid w:val="0"/>
        <w:spacing w:before="83" w:line="360" w:lineRule="auto"/>
        <w:ind w:left="4" w:right="75" w:firstLine="420"/>
        <w:textAlignment w:val="baseline"/>
        <w:rPr>
          <w:rFonts w:ascii="宋体" w:hAnsi="宋体" w:cs="宋体"/>
          <w:sz w:val="24"/>
        </w:rPr>
      </w:pPr>
      <w:r>
        <w:rPr>
          <w:rFonts w:hint="eastAsia" w:ascii="宋体" w:hAnsi="宋体" w:cs="宋体"/>
          <w:sz w:val="24"/>
        </w:rPr>
        <w:t>3.3不得接受或暗示为发包人、相关单位或个人装修住房、婚丧嫁娶、配偶子女的工作安排以及出国（境） 、旅游等提供方便。</w:t>
      </w:r>
    </w:p>
    <w:p w14:paraId="46D035EF">
      <w:pPr>
        <w:tabs>
          <w:tab w:val="left" w:pos="567"/>
        </w:tabs>
        <w:wordWrap w:val="0"/>
        <w:autoSpaceDE w:val="0"/>
        <w:autoSpaceDN w:val="0"/>
        <w:adjustRightInd w:val="0"/>
        <w:snapToGrid w:val="0"/>
        <w:spacing w:before="91" w:line="360" w:lineRule="auto"/>
        <w:ind w:left="4" w:right="75" w:firstLine="420"/>
        <w:textAlignment w:val="baseline"/>
        <w:rPr>
          <w:rFonts w:ascii="宋体" w:hAnsi="宋体" w:cs="宋体"/>
          <w:sz w:val="24"/>
        </w:rPr>
      </w:pPr>
      <w:r>
        <w:rPr>
          <w:rFonts w:hint="eastAsia" w:ascii="宋体" w:hAnsi="宋体" w:cs="宋体"/>
          <w:sz w:val="24"/>
        </w:rPr>
        <w:t>3.4不得以任何理由为发包人、相关单位或个人组织有可能影响公正执行公务的宴请、健身、娱乐等活动。</w:t>
      </w:r>
    </w:p>
    <w:p w14:paraId="3CB1DE1A">
      <w:pPr>
        <w:tabs>
          <w:tab w:val="left" w:pos="567"/>
        </w:tabs>
        <w:wordWrap w:val="0"/>
        <w:autoSpaceDE w:val="0"/>
        <w:autoSpaceDN w:val="0"/>
        <w:adjustRightInd w:val="0"/>
        <w:snapToGrid w:val="0"/>
        <w:spacing w:before="90" w:line="360" w:lineRule="auto"/>
        <w:ind w:left="440"/>
        <w:textAlignment w:val="baseline"/>
        <w:rPr>
          <w:rFonts w:ascii="宋体" w:hAnsi="宋体" w:cs="宋体"/>
          <w:sz w:val="24"/>
        </w:rPr>
      </w:pPr>
      <w:r>
        <w:rPr>
          <w:rFonts w:hint="eastAsia" w:ascii="宋体" w:hAnsi="宋体" w:cs="宋体"/>
          <w:sz w:val="24"/>
        </w:rPr>
        <w:t>四、违约责任</w:t>
      </w:r>
    </w:p>
    <w:p w14:paraId="0EA261D7">
      <w:pPr>
        <w:tabs>
          <w:tab w:val="left" w:pos="567"/>
        </w:tabs>
        <w:wordWrap w:val="0"/>
        <w:autoSpaceDE w:val="0"/>
        <w:autoSpaceDN w:val="0"/>
        <w:adjustRightInd w:val="0"/>
        <w:snapToGrid w:val="0"/>
        <w:spacing w:before="81" w:line="360" w:lineRule="auto"/>
        <w:ind w:left="5" w:right="75" w:firstLine="415"/>
        <w:textAlignment w:val="baseline"/>
        <w:rPr>
          <w:rFonts w:ascii="宋体" w:hAnsi="宋体" w:cs="宋体"/>
          <w:sz w:val="24"/>
        </w:rPr>
      </w:pPr>
      <w:r>
        <w:rPr>
          <w:rFonts w:hint="eastAsia" w:ascii="宋体" w:hAnsi="宋体" w:cs="宋体"/>
          <w:sz w:val="24"/>
        </w:rPr>
        <w:t>4.1发包人工作人员有违反本责任书第一、二条责任行为的 ，依据有关法律、法规给予处理；涉嫌犯罪的 ，移交司法机关追究刑事责任；给承包人单位造成经济损失的 ，应予以赔偿。</w:t>
      </w:r>
    </w:p>
    <w:p w14:paraId="06903925">
      <w:pPr>
        <w:tabs>
          <w:tab w:val="left" w:pos="567"/>
        </w:tabs>
        <w:wordWrap w:val="0"/>
        <w:autoSpaceDE w:val="0"/>
        <w:autoSpaceDN w:val="0"/>
        <w:adjustRightInd w:val="0"/>
        <w:snapToGrid w:val="0"/>
        <w:spacing w:before="83" w:line="360" w:lineRule="auto"/>
        <w:ind w:left="18" w:firstLine="402"/>
        <w:textAlignment w:val="baseline"/>
        <w:rPr>
          <w:rFonts w:ascii="宋体" w:hAnsi="宋体" w:cs="宋体"/>
          <w:sz w:val="24"/>
        </w:rPr>
      </w:pPr>
      <w:r>
        <w:rPr>
          <w:rFonts w:hint="eastAsia" w:ascii="宋体" w:hAnsi="宋体" w:cs="宋体"/>
          <w:sz w:val="24"/>
        </w:rPr>
        <w:t>4.2  承包人工作人员有违反本责任书第一、三条责任行为的 ，依据有关法律法规处理；涉嫌犯罪的 ，移交司法机关追究刑事责任；给发包人单位造成经济损失的 ，应予以赔偿。</w:t>
      </w:r>
    </w:p>
    <w:p w14:paraId="65ECF138">
      <w:pPr>
        <w:tabs>
          <w:tab w:val="left" w:pos="567"/>
        </w:tabs>
        <w:wordWrap w:val="0"/>
        <w:autoSpaceDE w:val="0"/>
        <w:autoSpaceDN w:val="0"/>
        <w:adjustRightInd w:val="0"/>
        <w:snapToGrid w:val="0"/>
        <w:spacing w:before="84" w:line="360" w:lineRule="auto"/>
        <w:ind w:left="16" w:firstLine="404"/>
        <w:textAlignment w:val="baseline"/>
        <w:rPr>
          <w:rFonts w:ascii="宋体" w:hAnsi="宋体" w:cs="宋体"/>
          <w:sz w:val="24"/>
        </w:rPr>
      </w:pPr>
      <w:r>
        <w:rPr>
          <w:rFonts w:hint="eastAsia" w:ascii="宋体" w:hAnsi="宋体" w:cs="宋体"/>
          <w:sz w:val="24"/>
        </w:rPr>
        <w:t>4.3 本责任书作为建设工程合同的组成部分 ，与建设工程合同具有同等法律效力 。经双方签署后立即生效。</w:t>
      </w:r>
    </w:p>
    <w:p w14:paraId="4DEED4B3">
      <w:pPr>
        <w:tabs>
          <w:tab w:val="left" w:pos="567"/>
        </w:tabs>
        <w:wordWrap w:val="0"/>
        <w:autoSpaceDE w:val="0"/>
        <w:autoSpaceDN w:val="0"/>
        <w:adjustRightInd w:val="0"/>
        <w:snapToGrid w:val="0"/>
        <w:spacing w:before="83" w:line="360" w:lineRule="auto"/>
        <w:ind w:left="425"/>
        <w:textAlignment w:val="baseline"/>
        <w:rPr>
          <w:rFonts w:ascii="宋体" w:hAnsi="宋体" w:cs="宋体"/>
          <w:sz w:val="24"/>
        </w:rPr>
      </w:pPr>
      <w:r>
        <w:rPr>
          <w:rFonts w:hint="eastAsia" w:ascii="宋体" w:hAnsi="宋体" w:cs="宋体"/>
          <w:sz w:val="24"/>
        </w:rPr>
        <w:t>五、责任书有效期</w:t>
      </w:r>
    </w:p>
    <w:p w14:paraId="5E62AB52">
      <w:pPr>
        <w:tabs>
          <w:tab w:val="left" w:pos="567"/>
        </w:tabs>
        <w:wordWrap w:val="0"/>
        <w:autoSpaceDE w:val="0"/>
        <w:autoSpaceDN w:val="0"/>
        <w:adjustRightInd w:val="0"/>
        <w:snapToGrid w:val="0"/>
        <w:spacing w:before="83" w:line="360" w:lineRule="auto"/>
        <w:ind w:left="422"/>
        <w:textAlignment w:val="baseline"/>
        <w:rPr>
          <w:rFonts w:ascii="宋体" w:hAnsi="宋体" w:cs="宋体"/>
          <w:sz w:val="24"/>
        </w:rPr>
      </w:pPr>
      <w:r>
        <w:rPr>
          <w:rFonts w:hint="eastAsia" w:ascii="宋体" w:hAnsi="宋体" w:cs="宋体"/>
          <w:sz w:val="24"/>
        </w:rPr>
        <w:t>本责任书的有效期为双方签署之日起至该工程项目竣工验收合格时止。</w:t>
      </w:r>
    </w:p>
    <w:p w14:paraId="0A534FE5">
      <w:pPr>
        <w:tabs>
          <w:tab w:val="left" w:pos="567"/>
        </w:tabs>
        <w:wordWrap w:val="0"/>
        <w:autoSpaceDE w:val="0"/>
        <w:autoSpaceDN w:val="0"/>
        <w:adjustRightInd w:val="0"/>
        <w:snapToGrid w:val="0"/>
        <w:spacing w:before="84" w:line="360" w:lineRule="auto"/>
        <w:ind w:left="423"/>
        <w:textAlignment w:val="baseline"/>
        <w:rPr>
          <w:rFonts w:ascii="宋体" w:hAnsi="宋体" w:cs="宋体"/>
          <w:sz w:val="24"/>
        </w:rPr>
      </w:pPr>
      <w:r>
        <w:rPr>
          <w:rFonts w:hint="eastAsia" w:ascii="宋体" w:hAnsi="宋体" w:cs="宋体"/>
          <w:sz w:val="24"/>
        </w:rPr>
        <w:t>六、责任书份数</w:t>
      </w:r>
    </w:p>
    <w:p w14:paraId="392CB545">
      <w:pPr>
        <w:tabs>
          <w:tab w:val="left" w:pos="567"/>
        </w:tabs>
        <w:wordWrap w:val="0"/>
        <w:autoSpaceDE w:val="0"/>
        <w:autoSpaceDN w:val="0"/>
        <w:adjustRightInd w:val="0"/>
        <w:snapToGrid w:val="0"/>
        <w:spacing w:before="83" w:line="360" w:lineRule="auto"/>
        <w:ind w:left="422"/>
        <w:textAlignment w:val="baseline"/>
        <w:rPr>
          <w:rFonts w:ascii="宋体" w:hAnsi="宋体" w:cs="宋体"/>
          <w:sz w:val="24"/>
        </w:rPr>
      </w:pPr>
      <w:r>
        <w:rPr>
          <w:rFonts w:hint="eastAsia" w:ascii="宋体" w:hAnsi="宋体" w:cs="宋体"/>
          <w:sz w:val="24"/>
        </w:rPr>
        <w:t>本责任书一式二份 ，发包人承包人各执一份 ，具有同等效力。</w:t>
      </w:r>
    </w:p>
    <w:p w14:paraId="0332F0EF">
      <w:pPr>
        <w:wordWrap w:val="0"/>
        <w:autoSpaceDE w:val="0"/>
        <w:autoSpaceDN w:val="0"/>
        <w:adjustRightInd w:val="0"/>
        <w:snapToGrid w:val="0"/>
        <w:spacing w:line="360" w:lineRule="auto"/>
        <w:textAlignment w:val="baseline"/>
        <w:rPr>
          <w:rFonts w:ascii="宋体" w:hAnsi="宋体" w:cs="宋体"/>
        </w:rPr>
      </w:pPr>
    </w:p>
    <w:p w14:paraId="5451C4A2">
      <w:pPr>
        <w:tabs>
          <w:tab w:val="left" w:pos="567"/>
        </w:tabs>
        <w:wordWrap w:val="0"/>
        <w:autoSpaceDE w:val="0"/>
        <w:autoSpaceDN w:val="0"/>
        <w:adjustRightInd w:val="0"/>
        <w:snapToGrid w:val="0"/>
        <w:spacing w:before="91" w:line="360" w:lineRule="auto"/>
        <w:ind w:left="5"/>
        <w:textAlignment w:val="baseline"/>
        <w:rPr>
          <w:rFonts w:ascii="宋体" w:hAnsi="宋体" w:cs="宋体"/>
          <w:sz w:val="24"/>
        </w:rPr>
      </w:pPr>
      <w:r>
        <w:rPr>
          <w:rFonts w:hint="eastAsia" w:ascii="宋体" w:hAnsi="宋体" w:cs="宋体"/>
          <w:sz w:val="24"/>
        </w:rPr>
        <w:t>发包人：</w:t>
      </w:r>
      <w:r>
        <w:rPr>
          <w:rFonts w:hint="eastAsia" w:ascii="宋体" w:hAnsi="宋体" w:cs="宋体"/>
          <w:sz w:val="24"/>
          <w:u w:val="single"/>
        </w:rPr>
        <w:t xml:space="preserve">                      </w:t>
      </w:r>
      <w:r>
        <w:rPr>
          <w:rFonts w:hint="eastAsia" w:ascii="宋体" w:hAnsi="宋体" w:cs="宋体"/>
          <w:sz w:val="24"/>
        </w:rPr>
        <w:t>（公章）     承包人：</w:t>
      </w:r>
      <w:r>
        <w:rPr>
          <w:rFonts w:hint="eastAsia" w:ascii="宋体" w:hAnsi="宋体" w:cs="宋体"/>
          <w:sz w:val="24"/>
          <w:u w:val="single"/>
        </w:rPr>
        <w:t xml:space="preserve">            （</w:t>
      </w:r>
      <w:r>
        <w:rPr>
          <w:rFonts w:hint="eastAsia" w:ascii="宋体" w:hAnsi="宋体" w:cs="宋体"/>
          <w:sz w:val="24"/>
        </w:rPr>
        <w:t>公章）</w:t>
      </w:r>
    </w:p>
    <w:p w14:paraId="5FF16374">
      <w:pPr>
        <w:tabs>
          <w:tab w:val="left" w:pos="567"/>
        </w:tabs>
        <w:wordWrap w:val="0"/>
        <w:autoSpaceDE w:val="0"/>
        <w:autoSpaceDN w:val="0"/>
        <w:adjustRightInd w:val="0"/>
        <w:snapToGrid w:val="0"/>
        <w:spacing w:before="90" w:line="360" w:lineRule="auto"/>
        <w:ind w:left="2"/>
        <w:textAlignment w:val="baseline"/>
        <w:rPr>
          <w:rFonts w:ascii="宋体" w:hAnsi="宋体" w:cs="宋体"/>
          <w:sz w:val="24"/>
        </w:rPr>
      </w:pPr>
      <w:r>
        <w:rPr>
          <w:rFonts w:hint="eastAsia" w:ascii="宋体" w:hAnsi="宋体" w:cs="宋体"/>
          <w:sz w:val="24"/>
        </w:rPr>
        <w:t>法定地址：</w:t>
      </w:r>
      <w:r>
        <w:rPr>
          <w:rFonts w:hint="eastAsia" w:ascii="宋体" w:hAnsi="宋体" w:cs="宋体"/>
          <w:sz w:val="24"/>
          <w:u w:val="single"/>
        </w:rPr>
        <w:t xml:space="preserve">                             </w:t>
      </w:r>
      <w:r>
        <w:rPr>
          <w:rFonts w:hint="eastAsia" w:ascii="宋体" w:hAnsi="宋体" w:cs="宋体"/>
          <w:sz w:val="24"/>
        </w:rPr>
        <w:t xml:space="preserve">      法定地址：</w:t>
      </w:r>
      <w:r>
        <w:rPr>
          <w:rFonts w:hint="eastAsia" w:ascii="宋体" w:hAnsi="宋体" w:cs="宋体"/>
          <w:sz w:val="24"/>
          <w:u w:val="single"/>
        </w:rPr>
        <w:t xml:space="preserve">       </w:t>
      </w:r>
    </w:p>
    <w:p w14:paraId="4A813980">
      <w:pPr>
        <w:tabs>
          <w:tab w:val="left" w:pos="567"/>
        </w:tabs>
        <w:wordWrap w:val="0"/>
        <w:autoSpaceDE w:val="0"/>
        <w:autoSpaceDN w:val="0"/>
        <w:adjustRightInd w:val="0"/>
        <w:snapToGrid w:val="0"/>
        <w:spacing w:before="82" w:line="360" w:lineRule="auto"/>
        <w:ind w:left="2"/>
        <w:textAlignment w:val="baseline"/>
        <w:rPr>
          <w:rFonts w:ascii="宋体" w:hAnsi="宋体" w:cs="宋体"/>
          <w:sz w:val="24"/>
        </w:rPr>
      </w:pPr>
      <w:r>
        <w:rPr>
          <w:rFonts w:hint="eastAsia" w:ascii="宋体" w:hAnsi="宋体" w:cs="宋体"/>
          <w:sz w:val="24"/>
        </w:rPr>
        <w:t>法定代表人或其                               法定代表人或其</w:t>
      </w:r>
    </w:p>
    <w:p w14:paraId="5A87AD9A">
      <w:pPr>
        <w:tabs>
          <w:tab w:val="left" w:pos="567"/>
        </w:tabs>
        <w:wordWrap w:val="0"/>
        <w:autoSpaceDE w:val="0"/>
        <w:autoSpaceDN w:val="0"/>
        <w:adjustRightInd w:val="0"/>
        <w:snapToGrid w:val="0"/>
        <w:spacing w:before="82" w:line="360" w:lineRule="auto"/>
        <w:textAlignment w:val="baseline"/>
        <w:rPr>
          <w:rFonts w:ascii="宋体" w:hAnsi="宋体" w:cs="宋体"/>
          <w:sz w:val="24"/>
        </w:rPr>
      </w:pPr>
      <w:r>
        <w:rPr>
          <w:rFonts w:hint="eastAsia" w:ascii="宋体" w:hAnsi="宋体" w:cs="宋体"/>
          <w:sz w:val="24"/>
        </w:rPr>
        <w:t>委托代理人：</w:t>
      </w:r>
      <w:r>
        <w:rPr>
          <w:rFonts w:hint="eastAsia" w:ascii="宋体" w:hAnsi="宋体" w:cs="宋体"/>
          <w:sz w:val="24"/>
          <w:u w:val="single"/>
        </w:rPr>
        <w:t xml:space="preserve">                 </w:t>
      </w:r>
      <w:r>
        <w:rPr>
          <w:rFonts w:hint="eastAsia" w:ascii="宋体" w:hAnsi="宋体" w:cs="宋体"/>
          <w:sz w:val="24"/>
        </w:rPr>
        <w:t>（签字）    委托代理人：</w:t>
      </w:r>
      <w:r>
        <w:rPr>
          <w:rFonts w:hint="eastAsia" w:ascii="宋体" w:hAnsi="宋体" w:cs="宋体"/>
          <w:sz w:val="24"/>
          <w:u w:val="single"/>
        </w:rPr>
        <w:t xml:space="preserve">          </w:t>
      </w:r>
      <w:r>
        <w:rPr>
          <w:rFonts w:hint="eastAsia" w:ascii="宋体" w:hAnsi="宋体" w:cs="宋体"/>
          <w:sz w:val="24"/>
        </w:rPr>
        <w:t>（签字）</w:t>
      </w:r>
    </w:p>
    <w:p w14:paraId="221BDF70">
      <w:pPr>
        <w:tabs>
          <w:tab w:val="left" w:pos="567"/>
        </w:tabs>
        <w:wordWrap w:val="0"/>
        <w:autoSpaceDE w:val="0"/>
        <w:autoSpaceDN w:val="0"/>
        <w:adjustRightInd w:val="0"/>
        <w:snapToGrid w:val="0"/>
        <w:spacing w:before="90" w:line="360" w:lineRule="auto"/>
        <w:ind w:left="25"/>
        <w:textAlignment w:val="baseline"/>
        <w:rPr>
          <w:rFonts w:ascii="宋体" w:hAnsi="宋体" w:cs="宋体"/>
          <w:sz w:val="24"/>
        </w:rPr>
      </w:pP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 xml:space="preserve">    电话：</w:t>
      </w:r>
      <w:r>
        <w:rPr>
          <w:rFonts w:hint="eastAsia" w:ascii="宋体" w:hAnsi="宋体" w:cs="宋体"/>
          <w:sz w:val="24"/>
          <w:u w:val="single"/>
        </w:rPr>
        <w:t xml:space="preserve">                          </w:t>
      </w:r>
    </w:p>
    <w:p w14:paraId="22579425">
      <w:pPr>
        <w:tabs>
          <w:tab w:val="left" w:pos="567"/>
        </w:tabs>
        <w:wordWrap w:val="0"/>
        <w:autoSpaceDE w:val="0"/>
        <w:autoSpaceDN w:val="0"/>
        <w:adjustRightInd w:val="0"/>
        <w:snapToGrid w:val="0"/>
        <w:spacing w:before="80" w:line="360" w:lineRule="auto"/>
        <w:textAlignment w:val="baseline"/>
        <w:rPr>
          <w:rFonts w:ascii="宋体" w:hAnsi="宋体" w:cs="宋体"/>
          <w:sz w:val="24"/>
        </w:rPr>
      </w:pPr>
      <w:r>
        <w:rPr>
          <w:rFonts w:hint="eastAsia" w:ascii="宋体" w:hAnsi="宋体" w:cs="宋体"/>
          <w:sz w:val="24"/>
        </w:rPr>
        <w:t>传真：</w:t>
      </w:r>
      <w:r>
        <w:rPr>
          <w:rFonts w:hint="eastAsia" w:ascii="宋体" w:hAnsi="宋体" w:cs="宋体"/>
          <w:sz w:val="24"/>
          <w:u w:val="single"/>
        </w:rPr>
        <w:t xml:space="preserve">                                  </w:t>
      </w:r>
      <w:r>
        <w:rPr>
          <w:rFonts w:hint="eastAsia" w:ascii="宋体" w:hAnsi="宋体" w:cs="宋体"/>
          <w:sz w:val="24"/>
        </w:rPr>
        <w:t xml:space="preserve"> 传真：</w:t>
      </w:r>
      <w:r>
        <w:rPr>
          <w:rFonts w:hint="eastAsia" w:ascii="宋体" w:hAnsi="宋体" w:cs="宋体"/>
          <w:sz w:val="24"/>
          <w:u w:val="single"/>
        </w:rPr>
        <w:t xml:space="preserve">                          </w:t>
      </w:r>
    </w:p>
    <w:p w14:paraId="14DB1BB9">
      <w:pPr>
        <w:tabs>
          <w:tab w:val="left" w:pos="567"/>
        </w:tabs>
        <w:wordWrap w:val="0"/>
        <w:autoSpaceDE w:val="0"/>
        <w:autoSpaceDN w:val="0"/>
        <w:adjustRightInd w:val="0"/>
        <w:snapToGrid w:val="0"/>
        <w:spacing w:before="84" w:line="360" w:lineRule="auto"/>
        <w:ind w:left="25"/>
        <w:textAlignment w:val="baseline"/>
        <w:rPr>
          <w:rFonts w:ascii="宋体" w:hAnsi="宋体" w:cs="宋体"/>
          <w:sz w:val="24"/>
        </w:rPr>
      </w:pPr>
      <w:r>
        <w:rPr>
          <w:rFonts w:hint="eastAsia" w:ascii="宋体" w:hAnsi="宋体" w:cs="宋体"/>
          <w:sz w:val="24"/>
        </w:rPr>
        <w:t>电子邮箱：</w:t>
      </w:r>
      <w:r>
        <w:rPr>
          <w:rFonts w:hint="eastAsia" w:ascii="宋体" w:hAnsi="宋体" w:cs="宋体"/>
          <w:sz w:val="24"/>
          <w:u w:val="single"/>
        </w:rPr>
        <w:t xml:space="preserve">                               </w:t>
      </w:r>
      <w:r>
        <w:rPr>
          <w:rFonts w:hint="eastAsia" w:ascii="宋体" w:hAnsi="宋体" w:cs="宋体"/>
          <w:sz w:val="24"/>
        </w:rPr>
        <w:t xml:space="preserve"> 电子邮箱：</w:t>
      </w:r>
      <w:r>
        <w:rPr>
          <w:rFonts w:hint="eastAsia" w:ascii="宋体" w:hAnsi="宋体" w:cs="宋体"/>
          <w:sz w:val="24"/>
          <w:u w:val="single"/>
        </w:rPr>
        <w:t xml:space="preserve">                        </w:t>
      </w:r>
    </w:p>
    <w:p w14:paraId="34C3383D">
      <w:pPr>
        <w:tabs>
          <w:tab w:val="left" w:pos="567"/>
        </w:tabs>
        <w:wordWrap w:val="0"/>
        <w:autoSpaceDE w:val="0"/>
        <w:autoSpaceDN w:val="0"/>
        <w:adjustRightInd w:val="0"/>
        <w:snapToGrid w:val="0"/>
        <w:spacing w:before="82" w:line="360" w:lineRule="auto"/>
        <w:ind w:left="2"/>
        <w:textAlignment w:val="baseline"/>
        <w:rPr>
          <w:rFonts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开户银行：</w:t>
      </w:r>
      <w:r>
        <w:rPr>
          <w:rFonts w:hint="eastAsia" w:ascii="宋体" w:hAnsi="宋体" w:cs="宋体"/>
          <w:sz w:val="24"/>
          <w:u w:val="single"/>
        </w:rPr>
        <w:t xml:space="preserve">                        </w:t>
      </w:r>
    </w:p>
    <w:p w14:paraId="40514032">
      <w:pPr>
        <w:tabs>
          <w:tab w:val="left" w:pos="567"/>
        </w:tabs>
        <w:wordWrap w:val="0"/>
        <w:autoSpaceDE w:val="0"/>
        <w:autoSpaceDN w:val="0"/>
        <w:adjustRightInd w:val="0"/>
        <w:snapToGrid w:val="0"/>
        <w:spacing w:before="84" w:line="360" w:lineRule="auto"/>
        <w:ind w:left="9"/>
        <w:textAlignment w:val="baseline"/>
        <w:rPr>
          <w:rFonts w:ascii="宋体" w:hAnsi="宋体" w:cs="宋体"/>
          <w:sz w:val="24"/>
        </w:rPr>
      </w:pPr>
      <w:r>
        <w:rPr>
          <w:rFonts w:hint="eastAsia" w:ascii="宋体" w:hAnsi="宋体" w:cs="宋体"/>
          <w:sz w:val="24"/>
        </w:rPr>
        <w:t>帐号：</w:t>
      </w:r>
      <w:r>
        <w:rPr>
          <w:rFonts w:hint="eastAsia" w:ascii="宋体" w:hAnsi="宋体" w:cs="宋体"/>
          <w:sz w:val="24"/>
          <w:u w:val="single"/>
        </w:rPr>
        <w:t xml:space="preserve">                                  </w:t>
      </w:r>
      <w:r>
        <w:rPr>
          <w:rFonts w:hint="eastAsia" w:ascii="宋体" w:hAnsi="宋体" w:cs="宋体"/>
          <w:sz w:val="24"/>
        </w:rPr>
        <w:t xml:space="preserve">帐号：                            </w:t>
      </w:r>
    </w:p>
    <w:p w14:paraId="0818954F">
      <w:pPr>
        <w:tabs>
          <w:tab w:val="left" w:pos="567"/>
        </w:tabs>
        <w:wordWrap w:val="0"/>
        <w:autoSpaceDE w:val="0"/>
        <w:autoSpaceDN w:val="0"/>
        <w:adjustRightInd w:val="0"/>
        <w:snapToGrid w:val="0"/>
        <w:spacing w:before="80" w:line="360" w:lineRule="auto"/>
        <w:ind w:left="16"/>
        <w:textAlignment w:val="baseline"/>
        <w:rPr>
          <w:rFonts w:ascii="宋体" w:hAnsi="宋体" w:cs="宋体"/>
          <w:sz w:val="24"/>
        </w:rPr>
      </w:pPr>
      <w:r>
        <w:rPr>
          <w:rFonts w:hint="eastAsia" w:ascii="宋体" w:hAnsi="宋体" w:cs="宋体"/>
          <w:sz w:val="24"/>
        </w:rPr>
        <w:t>邮政编码：</w:t>
      </w:r>
      <w:r>
        <w:rPr>
          <w:rFonts w:hint="eastAsia" w:ascii="宋体" w:hAnsi="宋体" w:cs="宋体"/>
          <w:sz w:val="24"/>
          <w:u w:val="single"/>
        </w:rPr>
        <w:t xml:space="preserve">                               </w:t>
      </w:r>
      <w:r>
        <w:rPr>
          <w:rFonts w:hint="eastAsia" w:ascii="宋体" w:hAnsi="宋体" w:cs="宋体"/>
          <w:sz w:val="24"/>
        </w:rPr>
        <w:t>邮政编码：</w:t>
      </w:r>
      <w:r>
        <w:rPr>
          <w:rFonts w:hint="eastAsia" w:ascii="宋体" w:hAnsi="宋体" w:cs="宋体"/>
          <w:i/>
          <w:iCs/>
          <w:sz w:val="24"/>
          <w:u w:val="single"/>
        </w:rPr>
        <w:t xml:space="preserve">           </w:t>
      </w:r>
    </w:p>
    <w:p w14:paraId="3224B4B1">
      <w:pPr>
        <w:tabs>
          <w:tab w:val="left" w:pos="567"/>
        </w:tabs>
        <w:wordWrap w:val="0"/>
        <w:autoSpaceDE w:val="0"/>
        <w:autoSpaceDN w:val="0"/>
        <w:adjustRightInd w:val="0"/>
        <w:snapToGrid w:val="0"/>
        <w:spacing w:before="82" w:line="360" w:lineRule="auto"/>
        <w:textAlignment w:val="baseline"/>
        <w:rPr>
          <w:rFonts w:ascii="宋体" w:hAnsi="宋体" w:cs="宋体"/>
          <w:sz w:val="24"/>
        </w:rPr>
      </w:pPr>
      <w:r>
        <w:rPr>
          <w:rFonts w:hint="eastAsia" w:ascii="宋体" w:hAnsi="宋体" w:cs="宋体"/>
          <w:sz w:val="24"/>
        </w:rPr>
        <w:t>监督单位：</w:t>
      </w:r>
      <w:r>
        <w:rPr>
          <w:rFonts w:hint="eastAsia" w:ascii="宋体" w:hAnsi="宋体" w:cs="宋体"/>
          <w:sz w:val="24"/>
          <w:u w:val="single"/>
        </w:rPr>
        <w:t xml:space="preserve">                         </w:t>
      </w:r>
      <w:r>
        <w:rPr>
          <w:rFonts w:hint="eastAsia" w:ascii="宋体" w:hAnsi="宋体" w:cs="宋体"/>
          <w:sz w:val="24"/>
        </w:rPr>
        <w:t>（盖章）</w:t>
      </w:r>
      <w:r>
        <w:rPr>
          <w:rFonts w:hint="eastAsia" w:ascii="宋体" w:hAnsi="宋体" w:cs="宋体"/>
          <w:w w:val="101"/>
          <w:sz w:val="24"/>
        </w:rPr>
        <w:t xml:space="preserve"> </w:t>
      </w:r>
      <w:r>
        <w:rPr>
          <w:rFonts w:hint="eastAsia" w:ascii="宋体" w:hAnsi="宋体" w:cs="宋体"/>
          <w:sz w:val="24"/>
        </w:rPr>
        <w:t>监督单位：</w:t>
      </w:r>
      <w:r>
        <w:rPr>
          <w:rFonts w:hint="eastAsia" w:ascii="宋体" w:hAnsi="宋体" w:cs="宋体"/>
          <w:sz w:val="24"/>
          <w:u w:val="single"/>
        </w:rPr>
        <w:t xml:space="preserve">          </w:t>
      </w:r>
      <w:r>
        <w:rPr>
          <w:rFonts w:hint="eastAsia" w:ascii="宋体" w:hAnsi="宋体" w:cs="宋体"/>
          <w:sz w:val="24"/>
        </w:rPr>
        <w:t>（盖章）</w:t>
      </w:r>
    </w:p>
    <w:p w14:paraId="4534BE98">
      <w:pPr>
        <w:wordWrap w:val="0"/>
        <w:spacing w:line="360" w:lineRule="auto"/>
        <w:jc w:val="center"/>
        <w:outlineLvl w:val="0"/>
        <w:rPr>
          <w:b/>
          <w:sz w:val="36"/>
          <w:szCs w:val="36"/>
        </w:rPr>
      </w:pPr>
    </w:p>
    <w:p w14:paraId="1380B453">
      <w:pPr>
        <w:wordWrap w:val="0"/>
        <w:spacing w:line="360" w:lineRule="auto"/>
        <w:rPr>
          <w:rFonts w:ascii="宋体" w:hAnsi="宋体" w:cs="宋体"/>
          <w:sz w:val="24"/>
        </w:rPr>
      </w:pPr>
    </w:p>
    <w:p w14:paraId="4B92853B">
      <w:pPr>
        <w:wordWrap w:val="0"/>
      </w:pPr>
    </w:p>
    <w:p w14:paraId="4F0E014C">
      <w:pPr>
        <w:tabs>
          <w:tab w:val="left" w:pos="900"/>
          <w:tab w:val="left" w:pos="1080"/>
        </w:tabs>
        <w:snapToGrid w:val="0"/>
        <w:spacing w:line="360" w:lineRule="auto"/>
        <w:rPr>
          <w:rFonts w:eastAsiaTheme="minorEastAsia"/>
          <w:b/>
          <w:sz w:val="36"/>
          <w:szCs w:val="36"/>
        </w:rPr>
      </w:pPr>
    </w:p>
    <w:p w14:paraId="6754AAC8">
      <w:pPr>
        <w:widowControl/>
        <w:jc w:val="left"/>
        <w:rPr>
          <w:rFonts w:eastAsiaTheme="minorEastAsia"/>
          <w:b/>
          <w:sz w:val="36"/>
          <w:szCs w:val="36"/>
        </w:rPr>
      </w:pPr>
      <w:r>
        <w:rPr>
          <w:rFonts w:eastAsiaTheme="minorEastAsia"/>
          <w:b/>
          <w:sz w:val="36"/>
          <w:szCs w:val="36"/>
        </w:rPr>
        <w:br w:type="page"/>
      </w:r>
    </w:p>
    <w:p w14:paraId="3628A342">
      <w:pPr>
        <w:spacing w:line="360" w:lineRule="auto"/>
        <w:jc w:val="center"/>
        <w:outlineLvl w:val="0"/>
        <w:rPr>
          <w:rFonts w:eastAsiaTheme="minorEastAsia"/>
          <w:b/>
          <w:sz w:val="36"/>
          <w:szCs w:val="36"/>
        </w:rPr>
      </w:pPr>
      <w:r>
        <w:rPr>
          <w:rFonts w:eastAsiaTheme="minorEastAsia"/>
          <w:b/>
          <w:sz w:val="36"/>
          <w:szCs w:val="36"/>
        </w:rPr>
        <w:t>第六章   响应文件格式</w:t>
      </w:r>
      <w:bookmarkEnd w:id="694"/>
    </w:p>
    <w:p w14:paraId="500BE455">
      <w:pPr>
        <w:widowControl/>
        <w:spacing w:line="360" w:lineRule="auto"/>
        <w:jc w:val="left"/>
        <w:rPr>
          <w:rFonts w:eastAsiaTheme="minorEastAsia"/>
          <w:b/>
          <w:sz w:val="24"/>
        </w:rPr>
      </w:pPr>
    </w:p>
    <w:p w14:paraId="7343640C">
      <w:pPr>
        <w:tabs>
          <w:tab w:val="left" w:pos="900"/>
          <w:tab w:val="left" w:pos="1980"/>
        </w:tabs>
        <w:snapToGrid w:val="0"/>
        <w:spacing w:line="360" w:lineRule="auto"/>
        <w:ind w:left="142"/>
        <w:rPr>
          <w:rFonts w:eastAsiaTheme="minorEastAsia"/>
          <w:b/>
          <w:kern w:val="0"/>
          <w:sz w:val="24"/>
        </w:rPr>
      </w:pPr>
      <w:r>
        <w:rPr>
          <w:rFonts w:eastAsiaTheme="minorEastAsia"/>
          <w:b/>
          <w:kern w:val="0"/>
          <w:sz w:val="24"/>
        </w:rPr>
        <w:t>供应商编制文件须知</w:t>
      </w:r>
    </w:p>
    <w:p w14:paraId="7B621206">
      <w:pPr>
        <w:tabs>
          <w:tab w:val="left" w:pos="900"/>
          <w:tab w:val="left" w:pos="1980"/>
        </w:tabs>
        <w:snapToGrid w:val="0"/>
        <w:spacing w:line="360" w:lineRule="auto"/>
        <w:ind w:left="142"/>
        <w:rPr>
          <w:rFonts w:eastAsiaTheme="minorEastAsia"/>
          <w:sz w:val="24"/>
        </w:rPr>
      </w:pPr>
      <w:r>
        <w:rPr>
          <w:rFonts w:eastAsiaTheme="minorEastAsia"/>
          <w:sz w:val="24"/>
        </w:rPr>
        <w:t>1、供应商按照本部分的顺序编制响应文件，编制中涉及格式资料的，应按照本部分提供的内容和格式（所有表格的格式可扩展）填写提交。</w:t>
      </w:r>
    </w:p>
    <w:p w14:paraId="7C5A5F25">
      <w:pPr>
        <w:tabs>
          <w:tab w:val="left" w:pos="900"/>
          <w:tab w:val="left" w:pos="1980"/>
        </w:tabs>
        <w:snapToGrid w:val="0"/>
        <w:spacing w:line="360" w:lineRule="auto"/>
        <w:ind w:left="142"/>
        <w:rPr>
          <w:rFonts w:eastAsiaTheme="minorEastAsia"/>
          <w:kern w:val="0"/>
          <w:sz w:val="24"/>
        </w:rPr>
      </w:pPr>
      <w:r>
        <w:rPr>
          <w:rFonts w:eastAsiaTheme="minorEastAsia"/>
          <w:sz w:val="24"/>
        </w:rPr>
        <w:t>2、</w:t>
      </w:r>
      <w:r>
        <w:rPr>
          <w:rFonts w:eastAsiaTheme="minorEastAsia"/>
          <w:kern w:val="0"/>
          <w:sz w:val="24"/>
        </w:rPr>
        <w:t>对于竞争性磋商文件中标记了“实质性格式”文件的，供应商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14:paraId="32010F18">
      <w:pPr>
        <w:tabs>
          <w:tab w:val="left" w:pos="900"/>
          <w:tab w:val="left" w:pos="1980"/>
        </w:tabs>
        <w:snapToGrid w:val="0"/>
        <w:spacing w:line="360" w:lineRule="auto"/>
        <w:ind w:left="142"/>
        <w:rPr>
          <w:rFonts w:eastAsiaTheme="minorEastAsia"/>
          <w:sz w:val="24"/>
        </w:rPr>
      </w:pPr>
      <w:r>
        <w:rPr>
          <w:rFonts w:eastAsiaTheme="minorEastAsia"/>
          <w:sz w:val="24"/>
        </w:rPr>
        <w:t>3、全部声明和问题的回答及所附材料必须是真实的、准确的和完整的。</w:t>
      </w:r>
    </w:p>
    <w:p w14:paraId="6DACE0E9">
      <w:pPr>
        <w:tabs>
          <w:tab w:val="left" w:pos="900"/>
          <w:tab w:val="left" w:pos="1980"/>
        </w:tabs>
        <w:snapToGrid w:val="0"/>
        <w:spacing w:line="360" w:lineRule="auto"/>
        <w:ind w:left="142"/>
        <w:rPr>
          <w:rFonts w:eastAsiaTheme="minorEastAsia"/>
          <w:sz w:val="24"/>
        </w:rPr>
      </w:pPr>
    </w:p>
    <w:p w14:paraId="1C3D38A4">
      <w:pPr>
        <w:widowControl/>
        <w:jc w:val="left"/>
        <w:rPr>
          <w:rFonts w:eastAsiaTheme="minorEastAsia"/>
          <w:sz w:val="24"/>
        </w:rPr>
      </w:pPr>
      <w:r>
        <w:rPr>
          <w:rFonts w:eastAsiaTheme="minorEastAsia"/>
          <w:sz w:val="24"/>
        </w:rPr>
        <w:br w:type="page"/>
      </w:r>
    </w:p>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14:paraId="73B2B7ED">
      <w:pPr>
        <w:rPr>
          <w:rFonts w:eastAsiaTheme="minorEastAsia"/>
          <w:b/>
          <w:spacing w:val="20"/>
          <w:szCs w:val="21"/>
        </w:rPr>
      </w:pPr>
      <w:bookmarkStart w:id="2585" w:name="OLE_LINK1"/>
      <w:bookmarkStart w:id="2586" w:name="OLE_LINK2"/>
    </w:p>
    <w:p w14:paraId="2A4702D3">
      <w:pPr>
        <w:rPr>
          <w:rFonts w:eastAsiaTheme="minorEastAsia"/>
          <w:b/>
          <w:sz w:val="24"/>
        </w:rPr>
      </w:pPr>
      <w:r>
        <w:rPr>
          <w:rFonts w:eastAsiaTheme="minorEastAsia"/>
          <w:b/>
          <w:spacing w:val="20"/>
          <w:sz w:val="24"/>
        </w:rPr>
        <w:t>响应文件</w:t>
      </w:r>
      <w:r>
        <w:rPr>
          <w:rFonts w:eastAsiaTheme="minorEastAsia"/>
          <w:b/>
          <w:sz w:val="24"/>
        </w:rPr>
        <w:t>封面（非实质性格式）</w:t>
      </w:r>
    </w:p>
    <w:p w14:paraId="014418B8">
      <w:pPr>
        <w:jc w:val="center"/>
        <w:rPr>
          <w:rFonts w:eastAsiaTheme="minorEastAsia"/>
          <w:szCs w:val="21"/>
        </w:rPr>
      </w:pPr>
    </w:p>
    <w:p w14:paraId="2C7509EF">
      <w:pPr>
        <w:jc w:val="center"/>
        <w:rPr>
          <w:rFonts w:eastAsiaTheme="minorEastAsia"/>
          <w:b/>
          <w:spacing w:val="60"/>
          <w:sz w:val="84"/>
          <w:szCs w:val="84"/>
        </w:rPr>
      </w:pPr>
      <w:r>
        <w:rPr>
          <w:rFonts w:eastAsiaTheme="minorEastAsia"/>
          <w:b/>
          <w:spacing w:val="60"/>
          <w:sz w:val="84"/>
          <w:szCs w:val="84"/>
        </w:rPr>
        <w:t>响 应 文 件</w:t>
      </w:r>
    </w:p>
    <w:p w14:paraId="210AED6B">
      <w:pPr>
        <w:jc w:val="center"/>
        <w:rPr>
          <w:rFonts w:eastAsiaTheme="minorEastAsia"/>
          <w:b/>
          <w:spacing w:val="60"/>
          <w:sz w:val="52"/>
          <w:szCs w:val="52"/>
        </w:rPr>
      </w:pPr>
    </w:p>
    <w:p w14:paraId="3B42EDD0">
      <w:pPr>
        <w:ind w:firstLine="542" w:firstLineChars="150"/>
        <w:rPr>
          <w:rFonts w:eastAsiaTheme="minorEastAsia"/>
          <w:b/>
          <w:spacing w:val="20"/>
          <w:sz w:val="32"/>
          <w:szCs w:val="32"/>
        </w:rPr>
      </w:pPr>
    </w:p>
    <w:p w14:paraId="11AA0EC8">
      <w:pPr>
        <w:ind w:firstLine="542" w:firstLineChars="150"/>
        <w:rPr>
          <w:rFonts w:eastAsiaTheme="minorEastAsia"/>
          <w:b/>
          <w:spacing w:val="20"/>
          <w:sz w:val="32"/>
          <w:szCs w:val="32"/>
        </w:rPr>
      </w:pPr>
    </w:p>
    <w:p w14:paraId="4405D217">
      <w:pPr>
        <w:ind w:firstLine="542" w:firstLineChars="150"/>
        <w:rPr>
          <w:rFonts w:eastAsiaTheme="minorEastAsia"/>
          <w:b/>
          <w:spacing w:val="20"/>
          <w:sz w:val="32"/>
          <w:szCs w:val="32"/>
        </w:rPr>
      </w:pPr>
    </w:p>
    <w:p w14:paraId="2E59A87A">
      <w:pPr>
        <w:ind w:firstLine="542" w:firstLineChars="150"/>
        <w:rPr>
          <w:rFonts w:eastAsiaTheme="minorEastAsia"/>
          <w:b/>
          <w:spacing w:val="20"/>
          <w:sz w:val="32"/>
          <w:szCs w:val="32"/>
        </w:rPr>
      </w:pPr>
    </w:p>
    <w:p w14:paraId="40A12E48">
      <w:pPr>
        <w:ind w:firstLine="542" w:firstLineChars="150"/>
        <w:rPr>
          <w:rFonts w:eastAsiaTheme="minorEastAsia"/>
          <w:b/>
          <w:spacing w:val="20"/>
          <w:sz w:val="32"/>
          <w:szCs w:val="32"/>
        </w:rPr>
      </w:pPr>
    </w:p>
    <w:p w14:paraId="02795175">
      <w:pPr>
        <w:ind w:firstLine="542" w:firstLineChars="150"/>
        <w:rPr>
          <w:rFonts w:eastAsiaTheme="minorEastAsia"/>
          <w:b/>
          <w:spacing w:val="20"/>
          <w:sz w:val="32"/>
          <w:szCs w:val="32"/>
        </w:rPr>
      </w:pPr>
    </w:p>
    <w:p w14:paraId="0336AC0E">
      <w:pPr>
        <w:ind w:firstLine="542" w:firstLineChars="150"/>
        <w:rPr>
          <w:rFonts w:eastAsiaTheme="minorEastAsia"/>
          <w:b/>
          <w:spacing w:val="20"/>
          <w:sz w:val="32"/>
          <w:szCs w:val="32"/>
        </w:rPr>
      </w:pPr>
    </w:p>
    <w:p w14:paraId="6373518E">
      <w:pPr>
        <w:ind w:firstLine="542" w:firstLineChars="150"/>
        <w:rPr>
          <w:rFonts w:eastAsiaTheme="minorEastAsia"/>
          <w:b/>
          <w:spacing w:val="20"/>
          <w:sz w:val="32"/>
          <w:szCs w:val="32"/>
        </w:rPr>
      </w:pPr>
    </w:p>
    <w:p w14:paraId="5A0C9576">
      <w:pPr>
        <w:ind w:firstLine="542" w:firstLineChars="150"/>
        <w:rPr>
          <w:rFonts w:eastAsiaTheme="minorEastAsia"/>
          <w:b/>
          <w:spacing w:val="20"/>
          <w:sz w:val="32"/>
          <w:szCs w:val="32"/>
        </w:rPr>
      </w:pPr>
      <w:r>
        <w:rPr>
          <w:rFonts w:eastAsiaTheme="minorEastAsia"/>
          <w:b/>
          <w:spacing w:val="20"/>
          <w:sz w:val="32"/>
          <w:szCs w:val="32"/>
        </w:rPr>
        <w:t>项目名称:</w:t>
      </w:r>
    </w:p>
    <w:p w14:paraId="2FCEC31C">
      <w:pPr>
        <w:ind w:firstLine="542" w:firstLineChars="150"/>
        <w:rPr>
          <w:rFonts w:eastAsiaTheme="minorEastAsia"/>
          <w:b/>
          <w:spacing w:val="20"/>
          <w:sz w:val="32"/>
          <w:szCs w:val="32"/>
        </w:rPr>
      </w:pPr>
      <w:r>
        <w:rPr>
          <w:rFonts w:eastAsiaTheme="minorEastAsia"/>
          <w:b/>
          <w:spacing w:val="20"/>
          <w:sz w:val="32"/>
          <w:szCs w:val="32"/>
        </w:rPr>
        <w:t>项目编号/包号：</w:t>
      </w:r>
    </w:p>
    <w:p w14:paraId="2A1FCA96">
      <w:pPr>
        <w:ind w:firstLine="542" w:firstLineChars="150"/>
        <w:rPr>
          <w:rFonts w:eastAsiaTheme="minorEastAsia"/>
          <w:b/>
          <w:spacing w:val="20"/>
          <w:sz w:val="32"/>
          <w:szCs w:val="32"/>
        </w:rPr>
      </w:pPr>
    </w:p>
    <w:p w14:paraId="20ABA5ED">
      <w:pPr>
        <w:ind w:firstLine="542" w:firstLineChars="150"/>
        <w:rPr>
          <w:rFonts w:eastAsiaTheme="minorEastAsia"/>
          <w:b/>
          <w:spacing w:val="20"/>
          <w:sz w:val="32"/>
          <w:szCs w:val="32"/>
        </w:rPr>
      </w:pPr>
    </w:p>
    <w:p w14:paraId="740928DF">
      <w:pPr>
        <w:jc w:val="center"/>
        <w:rPr>
          <w:rFonts w:eastAsiaTheme="minorEastAsia"/>
          <w:b/>
          <w:sz w:val="32"/>
          <w:szCs w:val="32"/>
        </w:rPr>
      </w:pPr>
    </w:p>
    <w:p w14:paraId="1E71E08F">
      <w:pPr>
        <w:jc w:val="center"/>
        <w:rPr>
          <w:rFonts w:eastAsiaTheme="minorEastAsia"/>
          <w:b/>
          <w:sz w:val="32"/>
          <w:szCs w:val="32"/>
        </w:rPr>
      </w:pPr>
    </w:p>
    <w:p w14:paraId="11C09702">
      <w:pPr>
        <w:jc w:val="center"/>
        <w:rPr>
          <w:rFonts w:eastAsiaTheme="minorEastAsia"/>
          <w:b/>
          <w:sz w:val="32"/>
          <w:szCs w:val="32"/>
        </w:rPr>
      </w:pPr>
    </w:p>
    <w:p w14:paraId="246DDF07">
      <w:pPr>
        <w:jc w:val="center"/>
        <w:rPr>
          <w:rFonts w:eastAsiaTheme="minorEastAsia"/>
          <w:b/>
          <w:spacing w:val="20"/>
          <w:sz w:val="32"/>
          <w:szCs w:val="32"/>
        </w:rPr>
      </w:pPr>
    </w:p>
    <w:p w14:paraId="2611C4F8">
      <w:pPr>
        <w:jc w:val="center"/>
        <w:rPr>
          <w:rFonts w:eastAsiaTheme="minorEastAsia"/>
          <w:b/>
          <w:spacing w:val="20"/>
          <w:sz w:val="32"/>
          <w:szCs w:val="32"/>
        </w:rPr>
      </w:pPr>
    </w:p>
    <w:p w14:paraId="12BE2521">
      <w:pPr>
        <w:jc w:val="center"/>
        <w:rPr>
          <w:rFonts w:eastAsiaTheme="minorEastAsia"/>
          <w:b/>
          <w:spacing w:val="20"/>
          <w:sz w:val="32"/>
          <w:szCs w:val="32"/>
        </w:rPr>
      </w:pPr>
    </w:p>
    <w:p w14:paraId="23A31DF5">
      <w:pPr>
        <w:jc w:val="center"/>
        <w:rPr>
          <w:rFonts w:eastAsiaTheme="minorEastAsia"/>
          <w:b/>
          <w:spacing w:val="20"/>
          <w:sz w:val="32"/>
          <w:szCs w:val="32"/>
        </w:rPr>
      </w:pPr>
    </w:p>
    <w:p w14:paraId="43C117F8">
      <w:pPr>
        <w:spacing w:line="360" w:lineRule="auto"/>
        <w:ind w:firstLine="1445" w:firstLineChars="400"/>
        <w:jc w:val="left"/>
        <w:rPr>
          <w:rFonts w:ascii="宋体" w:hAnsi="宋体"/>
          <w:b/>
          <w:spacing w:val="20"/>
          <w:sz w:val="32"/>
          <w:szCs w:val="32"/>
        </w:rPr>
      </w:pPr>
      <w:r>
        <w:rPr>
          <w:rFonts w:ascii="宋体" w:hAnsi="宋体"/>
          <w:b/>
          <w:spacing w:val="20"/>
          <w:sz w:val="32"/>
          <w:szCs w:val="32"/>
        </w:rPr>
        <w:t>供应商名称：</w:t>
      </w:r>
      <w:r>
        <w:rPr>
          <w:rFonts w:hint="eastAsia" w:ascii="宋体" w:hAnsi="宋体"/>
          <w:b/>
          <w:spacing w:val="20"/>
          <w:sz w:val="32"/>
          <w:szCs w:val="32"/>
          <w:u w:val="single"/>
        </w:rPr>
        <w:t xml:space="preserve">         </w:t>
      </w:r>
      <w:r>
        <w:rPr>
          <w:rFonts w:ascii="宋体" w:hAnsi="宋体"/>
          <w:b/>
          <w:spacing w:val="20"/>
          <w:sz w:val="32"/>
          <w:szCs w:val="32"/>
        </w:rPr>
        <w:t>（加盖单位公章）</w:t>
      </w:r>
    </w:p>
    <w:p w14:paraId="61C1685F">
      <w:pPr>
        <w:spacing w:line="360" w:lineRule="auto"/>
        <w:ind w:firstLine="1445" w:firstLineChars="400"/>
        <w:jc w:val="left"/>
        <w:rPr>
          <w:rFonts w:ascii="宋体" w:hAnsi="宋体"/>
          <w:b/>
          <w:spacing w:val="20"/>
          <w:sz w:val="32"/>
          <w:szCs w:val="32"/>
        </w:rPr>
      </w:pPr>
    </w:p>
    <w:p w14:paraId="53CDF833">
      <w:pPr>
        <w:jc w:val="center"/>
        <w:rPr>
          <w:rFonts w:eastAsiaTheme="minorEastAsia"/>
          <w:b/>
          <w:sz w:val="32"/>
          <w:szCs w:val="32"/>
        </w:rPr>
      </w:pPr>
      <w:r>
        <w:rPr>
          <w:rFonts w:hint="eastAsia" w:ascii="宋体" w:hAnsi="宋体"/>
          <w:b/>
          <w:spacing w:val="20"/>
          <w:sz w:val="32"/>
          <w:szCs w:val="32"/>
        </w:rPr>
        <w:t>日期：</w:t>
      </w:r>
      <w:r>
        <w:rPr>
          <w:rFonts w:hint="eastAsia" w:ascii="宋体" w:hAnsi="宋体"/>
          <w:b/>
          <w:spacing w:val="20"/>
          <w:sz w:val="32"/>
          <w:szCs w:val="32"/>
          <w:u w:val="single"/>
        </w:rPr>
        <w:t xml:space="preserve">      </w:t>
      </w:r>
      <w:r>
        <w:rPr>
          <w:rFonts w:hint="eastAsia" w:ascii="宋体" w:hAnsi="宋体"/>
          <w:b/>
          <w:spacing w:val="20"/>
          <w:sz w:val="32"/>
          <w:szCs w:val="32"/>
        </w:rPr>
        <w:t>年</w:t>
      </w:r>
      <w:r>
        <w:rPr>
          <w:rFonts w:hint="eastAsia" w:ascii="宋体" w:hAnsi="宋体"/>
          <w:b/>
          <w:spacing w:val="20"/>
          <w:sz w:val="32"/>
          <w:szCs w:val="32"/>
          <w:u w:val="single"/>
        </w:rPr>
        <w:t xml:space="preserve">     </w:t>
      </w:r>
      <w:r>
        <w:rPr>
          <w:rFonts w:hint="eastAsia" w:ascii="宋体" w:hAnsi="宋体"/>
          <w:b/>
          <w:spacing w:val="20"/>
          <w:sz w:val="32"/>
          <w:szCs w:val="32"/>
        </w:rPr>
        <w:t>月</w:t>
      </w:r>
      <w:r>
        <w:rPr>
          <w:rFonts w:hint="eastAsia" w:ascii="宋体" w:hAnsi="宋体"/>
          <w:b/>
          <w:spacing w:val="20"/>
          <w:sz w:val="32"/>
          <w:szCs w:val="32"/>
          <w:u w:val="single"/>
        </w:rPr>
        <w:t xml:space="preserve">    </w:t>
      </w:r>
      <w:r>
        <w:rPr>
          <w:rFonts w:hint="eastAsia" w:ascii="宋体" w:hAnsi="宋体"/>
          <w:b/>
          <w:spacing w:val="20"/>
          <w:sz w:val="32"/>
          <w:szCs w:val="32"/>
        </w:rPr>
        <w:t>日</w:t>
      </w:r>
    </w:p>
    <w:p w14:paraId="1FB7A7C1">
      <w:pPr>
        <w:rPr>
          <w:rFonts w:eastAsiaTheme="minorEastAsia"/>
          <w:b/>
        </w:rPr>
      </w:pPr>
      <w:r>
        <w:rPr>
          <w:rFonts w:eastAsiaTheme="minorEastAsia"/>
          <w:b/>
          <w:spacing w:val="20"/>
          <w:sz w:val="32"/>
          <w:szCs w:val="32"/>
        </w:rPr>
        <w:br w:type="page"/>
      </w:r>
    </w:p>
    <w:p w14:paraId="63AB47D1">
      <w:pPr>
        <w:tabs>
          <w:tab w:val="left" w:pos="360"/>
        </w:tabs>
        <w:snapToGrid w:val="0"/>
        <w:spacing w:line="360" w:lineRule="auto"/>
        <w:outlineLvl w:val="1"/>
        <w:rPr>
          <w:rFonts w:eastAsiaTheme="minorEastAsia"/>
          <w:sz w:val="24"/>
        </w:rPr>
      </w:pPr>
      <w:r>
        <w:rPr>
          <w:rFonts w:eastAsiaTheme="minorEastAsia"/>
          <w:sz w:val="24"/>
        </w:rPr>
        <w:t>1 满足《中华人民共和国政府采购法》第二十二条规定</w:t>
      </w:r>
    </w:p>
    <w:p w14:paraId="3CEEF950">
      <w:pPr>
        <w:spacing w:line="360" w:lineRule="auto"/>
        <w:outlineLvl w:val="2"/>
        <w:rPr>
          <w:rFonts w:eastAsiaTheme="minorEastAsia"/>
          <w:sz w:val="24"/>
        </w:rPr>
      </w:pPr>
      <w:r>
        <w:rPr>
          <w:rFonts w:eastAsiaTheme="minorEastAsia"/>
          <w:sz w:val="24"/>
        </w:rPr>
        <w:t>1-1 营业执照等证明文件</w:t>
      </w:r>
    </w:p>
    <w:p w14:paraId="36DF4A7B">
      <w:pPr>
        <w:tabs>
          <w:tab w:val="left" w:pos="1080"/>
        </w:tabs>
        <w:snapToGrid w:val="0"/>
        <w:rPr>
          <w:rFonts w:eastAsiaTheme="minorEastAsia"/>
          <w:sz w:val="24"/>
        </w:rPr>
      </w:pPr>
    </w:p>
    <w:p w14:paraId="2F39110C">
      <w:pPr>
        <w:widowControl/>
        <w:jc w:val="left"/>
        <w:rPr>
          <w:rFonts w:eastAsiaTheme="minorEastAsia"/>
          <w:sz w:val="24"/>
          <w:szCs w:val="20"/>
        </w:rPr>
      </w:pPr>
      <w:r>
        <w:rPr>
          <w:rFonts w:eastAsiaTheme="minorEastAsia"/>
          <w:sz w:val="24"/>
        </w:rPr>
        <w:br w:type="page"/>
      </w:r>
    </w:p>
    <w:p w14:paraId="3B4FD453">
      <w:pPr>
        <w:pStyle w:val="5"/>
        <w:rPr>
          <w:rFonts w:ascii="Times New Roman" w:eastAsiaTheme="minorEastAsia"/>
          <w:b w:val="0"/>
          <w:bCs/>
          <w:szCs w:val="24"/>
          <w:u w:val="none"/>
        </w:rPr>
      </w:pPr>
      <w:r>
        <w:rPr>
          <w:rFonts w:ascii="Times New Roman" w:eastAsiaTheme="minorEastAsia"/>
          <w:b w:val="0"/>
          <w:szCs w:val="24"/>
          <w:u w:val="none"/>
        </w:rPr>
        <w:t>1-2 供应商资格声明书</w:t>
      </w:r>
    </w:p>
    <w:p w14:paraId="00913B43">
      <w:pPr>
        <w:jc w:val="center"/>
        <w:rPr>
          <w:b/>
          <w:sz w:val="36"/>
          <w:szCs w:val="36"/>
        </w:rPr>
      </w:pPr>
      <w:r>
        <w:rPr>
          <w:b/>
          <w:sz w:val="36"/>
          <w:szCs w:val="36"/>
        </w:rPr>
        <w:t>供应商资格声明书</w:t>
      </w:r>
    </w:p>
    <w:p w14:paraId="5E9B3B46">
      <w:pPr>
        <w:tabs>
          <w:tab w:val="left" w:pos="5580"/>
        </w:tabs>
        <w:spacing w:line="360" w:lineRule="auto"/>
        <w:rPr>
          <w:rFonts w:eastAsiaTheme="minorEastAsia"/>
          <w:sz w:val="24"/>
        </w:rPr>
      </w:pPr>
    </w:p>
    <w:p w14:paraId="043DE6A5">
      <w:pPr>
        <w:tabs>
          <w:tab w:val="left" w:pos="5580"/>
        </w:tabs>
        <w:spacing w:line="360" w:lineRule="auto"/>
        <w:rPr>
          <w:rFonts w:eastAsiaTheme="minorEastAsia"/>
          <w:sz w:val="24"/>
        </w:rPr>
      </w:pPr>
      <w:r>
        <w:rPr>
          <w:rFonts w:eastAsiaTheme="minorEastAsia"/>
          <w:sz w:val="24"/>
        </w:rPr>
        <w:t>致：</w:t>
      </w:r>
      <w:r>
        <w:rPr>
          <w:rFonts w:hint="eastAsia" w:eastAsiaTheme="minorEastAsia"/>
          <w:sz w:val="24"/>
          <w:u w:val="single"/>
        </w:rPr>
        <w:t xml:space="preserve"> </w:t>
      </w:r>
      <w:r>
        <w:rPr>
          <w:rFonts w:eastAsiaTheme="minorEastAsia"/>
          <w:sz w:val="24"/>
          <w:u w:val="single"/>
        </w:rPr>
        <w:t xml:space="preserve">                    </w:t>
      </w:r>
      <w:r>
        <w:rPr>
          <w:rFonts w:hint="eastAsia" w:eastAsiaTheme="minorEastAsia"/>
          <w:sz w:val="24"/>
        </w:rPr>
        <w:t>（采购人）</w:t>
      </w:r>
    </w:p>
    <w:p w14:paraId="55C5EA55">
      <w:pPr>
        <w:spacing w:line="360" w:lineRule="auto"/>
        <w:ind w:firstLine="480" w:firstLineChars="200"/>
        <w:rPr>
          <w:rFonts w:eastAsiaTheme="minorEastAsia"/>
          <w:sz w:val="24"/>
        </w:rPr>
      </w:pPr>
      <w:r>
        <w:rPr>
          <w:rFonts w:eastAsiaTheme="minorEastAsia"/>
          <w:sz w:val="24"/>
        </w:rPr>
        <w:t>在参与本次项目磋商中，我单位承诺：</w:t>
      </w:r>
    </w:p>
    <w:p w14:paraId="24BBA708">
      <w:pPr>
        <w:numPr>
          <w:ilvl w:val="0"/>
          <w:numId w:val="14"/>
        </w:numPr>
        <w:spacing w:line="360" w:lineRule="auto"/>
        <w:ind w:left="1134"/>
        <w:rPr>
          <w:rFonts w:eastAsiaTheme="minorEastAsia"/>
          <w:sz w:val="24"/>
          <w:szCs w:val="22"/>
        </w:rPr>
      </w:pPr>
      <w:r>
        <w:rPr>
          <w:rFonts w:eastAsiaTheme="minorEastAsia"/>
          <w:sz w:val="24"/>
          <w:szCs w:val="22"/>
        </w:rPr>
        <w:t>具有良好的商业信誉和健全的财务会计制度；</w:t>
      </w:r>
    </w:p>
    <w:p w14:paraId="4E03A3D0">
      <w:pPr>
        <w:numPr>
          <w:ilvl w:val="0"/>
          <w:numId w:val="14"/>
        </w:numPr>
        <w:spacing w:line="360" w:lineRule="auto"/>
        <w:ind w:left="1134"/>
        <w:rPr>
          <w:rFonts w:eastAsiaTheme="minorEastAsia"/>
          <w:sz w:val="24"/>
          <w:szCs w:val="22"/>
        </w:rPr>
      </w:pPr>
      <w:r>
        <w:rPr>
          <w:rFonts w:eastAsiaTheme="minorEastAsia"/>
          <w:sz w:val="24"/>
          <w:szCs w:val="22"/>
        </w:rPr>
        <w:t>具有履行合同所必需的设备和专业技术能力；</w:t>
      </w:r>
    </w:p>
    <w:p w14:paraId="7CB04E75">
      <w:pPr>
        <w:numPr>
          <w:ilvl w:val="0"/>
          <w:numId w:val="14"/>
        </w:numPr>
        <w:spacing w:line="360" w:lineRule="auto"/>
        <w:ind w:left="1134"/>
        <w:rPr>
          <w:rFonts w:eastAsiaTheme="minorEastAsia"/>
          <w:sz w:val="24"/>
          <w:szCs w:val="22"/>
        </w:rPr>
      </w:pPr>
      <w:r>
        <w:rPr>
          <w:rFonts w:eastAsiaTheme="minorEastAsia"/>
          <w:sz w:val="24"/>
          <w:szCs w:val="22"/>
        </w:rPr>
        <w:t>有依法缴纳税收和社会保障资金的良好记录；</w:t>
      </w:r>
    </w:p>
    <w:p w14:paraId="12BECDED">
      <w:pPr>
        <w:numPr>
          <w:ilvl w:val="0"/>
          <w:numId w:val="14"/>
        </w:numPr>
        <w:spacing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CEEB478">
      <w:pPr>
        <w:numPr>
          <w:ilvl w:val="0"/>
          <w:numId w:val="14"/>
        </w:numPr>
        <w:spacing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14:paraId="2C8E425A">
      <w:pPr>
        <w:numPr>
          <w:ilvl w:val="0"/>
          <w:numId w:val="14"/>
        </w:numPr>
        <w:spacing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14:paraId="6894399B">
      <w:pPr>
        <w:numPr>
          <w:ilvl w:val="0"/>
          <w:numId w:val="14"/>
        </w:numPr>
        <w:spacing w:line="360" w:lineRule="auto"/>
        <w:ind w:left="1134"/>
        <w:rPr>
          <w:rFonts w:eastAsiaTheme="minorEastAsia"/>
          <w:sz w:val="24"/>
          <w:szCs w:val="22"/>
        </w:rPr>
      </w:pPr>
      <w:r>
        <w:rPr>
          <w:rFonts w:eastAsiaTheme="minorEastAsia"/>
          <w:sz w:val="24"/>
          <w:szCs w:val="22"/>
        </w:rPr>
        <w:t>与我单位存在“单位负责人为同一人或者存在直接控股、管理关系”的其他法人单位信息如下（如有，不论其是否参加同一合同项下的政府采购活动均须填写）：</w:t>
      </w:r>
    </w:p>
    <w:tbl>
      <w:tblPr>
        <w:tblStyle w:val="4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6F2FB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972D105">
            <w:pPr>
              <w:jc w:val="center"/>
              <w:rPr>
                <w:rFonts w:eastAsiaTheme="minorEastAsia"/>
                <w:sz w:val="24"/>
              </w:rPr>
            </w:pPr>
            <w:r>
              <w:rPr>
                <w:rFonts w:eastAsiaTheme="minorEastAsia"/>
                <w:sz w:val="24"/>
              </w:rPr>
              <w:t>序号</w:t>
            </w:r>
          </w:p>
        </w:tc>
        <w:tc>
          <w:tcPr>
            <w:tcW w:w="4574" w:type="dxa"/>
            <w:vAlign w:val="center"/>
          </w:tcPr>
          <w:p w14:paraId="64C95AE5">
            <w:pPr>
              <w:jc w:val="center"/>
              <w:rPr>
                <w:rFonts w:eastAsiaTheme="minorEastAsia"/>
                <w:sz w:val="24"/>
              </w:rPr>
            </w:pPr>
            <w:r>
              <w:rPr>
                <w:rFonts w:eastAsiaTheme="minorEastAsia"/>
                <w:sz w:val="24"/>
              </w:rPr>
              <w:t>单位名称</w:t>
            </w:r>
          </w:p>
        </w:tc>
        <w:tc>
          <w:tcPr>
            <w:tcW w:w="2976" w:type="dxa"/>
            <w:vAlign w:val="center"/>
          </w:tcPr>
          <w:p w14:paraId="1BB0F83B">
            <w:pPr>
              <w:jc w:val="center"/>
              <w:rPr>
                <w:rFonts w:eastAsiaTheme="minorEastAsia"/>
                <w:sz w:val="24"/>
              </w:rPr>
            </w:pPr>
            <w:r>
              <w:rPr>
                <w:rFonts w:eastAsiaTheme="minorEastAsia"/>
                <w:sz w:val="24"/>
              </w:rPr>
              <w:t>相互关系</w:t>
            </w:r>
          </w:p>
        </w:tc>
      </w:tr>
      <w:tr w14:paraId="4EDB5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5B12678">
            <w:pPr>
              <w:jc w:val="center"/>
              <w:rPr>
                <w:rFonts w:eastAsiaTheme="minorEastAsia"/>
                <w:sz w:val="24"/>
              </w:rPr>
            </w:pPr>
            <w:r>
              <w:rPr>
                <w:rFonts w:eastAsiaTheme="minorEastAsia"/>
                <w:sz w:val="24"/>
              </w:rPr>
              <w:t>1</w:t>
            </w:r>
          </w:p>
        </w:tc>
        <w:tc>
          <w:tcPr>
            <w:tcW w:w="4574" w:type="dxa"/>
            <w:vAlign w:val="center"/>
          </w:tcPr>
          <w:p w14:paraId="481D865C">
            <w:pPr>
              <w:jc w:val="center"/>
              <w:rPr>
                <w:rFonts w:eastAsiaTheme="minorEastAsia"/>
                <w:sz w:val="24"/>
              </w:rPr>
            </w:pPr>
          </w:p>
        </w:tc>
        <w:tc>
          <w:tcPr>
            <w:tcW w:w="2976" w:type="dxa"/>
            <w:vAlign w:val="center"/>
          </w:tcPr>
          <w:p w14:paraId="2FB85D2D">
            <w:pPr>
              <w:jc w:val="center"/>
              <w:rPr>
                <w:rFonts w:eastAsiaTheme="minorEastAsia"/>
                <w:sz w:val="24"/>
              </w:rPr>
            </w:pPr>
          </w:p>
        </w:tc>
      </w:tr>
      <w:tr w14:paraId="1CB9F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F439618">
            <w:pPr>
              <w:jc w:val="center"/>
              <w:rPr>
                <w:rFonts w:eastAsiaTheme="minorEastAsia"/>
                <w:sz w:val="24"/>
              </w:rPr>
            </w:pPr>
            <w:r>
              <w:rPr>
                <w:rFonts w:eastAsiaTheme="minorEastAsia"/>
                <w:sz w:val="24"/>
              </w:rPr>
              <w:t>2</w:t>
            </w:r>
          </w:p>
        </w:tc>
        <w:tc>
          <w:tcPr>
            <w:tcW w:w="4574" w:type="dxa"/>
            <w:vAlign w:val="center"/>
          </w:tcPr>
          <w:p w14:paraId="6EE1FA25">
            <w:pPr>
              <w:jc w:val="center"/>
              <w:rPr>
                <w:rFonts w:eastAsiaTheme="minorEastAsia"/>
                <w:sz w:val="24"/>
              </w:rPr>
            </w:pPr>
          </w:p>
        </w:tc>
        <w:tc>
          <w:tcPr>
            <w:tcW w:w="2976" w:type="dxa"/>
            <w:vAlign w:val="center"/>
          </w:tcPr>
          <w:p w14:paraId="6E465F11">
            <w:pPr>
              <w:jc w:val="center"/>
              <w:rPr>
                <w:rFonts w:eastAsiaTheme="minorEastAsia"/>
                <w:sz w:val="24"/>
              </w:rPr>
            </w:pPr>
          </w:p>
        </w:tc>
      </w:tr>
      <w:tr w14:paraId="1C90C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491802A">
            <w:pPr>
              <w:jc w:val="center"/>
              <w:rPr>
                <w:rFonts w:eastAsiaTheme="minorEastAsia"/>
                <w:sz w:val="24"/>
              </w:rPr>
            </w:pPr>
            <w:r>
              <w:rPr>
                <w:rFonts w:eastAsiaTheme="minorEastAsia"/>
                <w:sz w:val="24"/>
              </w:rPr>
              <w:t>…</w:t>
            </w:r>
          </w:p>
        </w:tc>
        <w:tc>
          <w:tcPr>
            <w:tcW w:w="4574" w:type="dxa"/>
            <w:vAlign w:val="center"/>
          </w:tcPr>
          <w:p w14:paraId="7CEE9F53">
            <w:pPr>
              <w:jc w:val="center"/>
              <w:rPr>
                <w:rFonts w:eastAsiaTheme="minorEastAsia"/>
                <w:sz w:val="24"/>
              </w:rPr>
            </w:pPr>
          </w:p>
        </w:tc>
        <w:tc>
          <w:tcPr>
            <w:tcW w:w="2976" w:type="dxa"/>
            <w:vAlign w:val="center"/>
          </w:tcPr>
          <w:p w14:paraId="69632BB6">
            <w:pPr>
              <w:jc w:val="center"/>
              <w:rPr>
                <w:rFonts w:eastAsiaTheme="minorEastAsia"/>
                <w:sz w:val="24"/>
              </w:rPr>
            </w:pPr>
          </w:p>
        </w:tc>
      </w:tr>
    </w:tbl>
    <w:p w14:paraId="797BBD58">
      <w:pPr>
        <w:rPr>
          <w:rFonts w:eastAsiaTheme="minorEastAsia"/>
        </w:rPr>
      </w:pPr>
    </w:p>
    <w:p w14:paraId="1B1BC997">
      <w:pPr>
        <w:ind w:firstLine="480" w:firstLineChars="200"/>
        <w:rPr>
          <w:rFonts w:eastAsiaTheme="minorEastAsia"/>
          <w:sz w:val="24"/>
          <w:szCs w:val="22"/>
        </w:rPr>
      </w:pPr>
      <w:r>
        <w:rPr>
          <w:rFonts w:eastAsiaTheme="minorEastAsia"/>
          <w:sz w:val="24"/>
        </w:rPr>
        <w:t>上述声明真实有效，否则我方负全部责任。</w:t>
      </w:r>
    </w:p>
    <w:p w14:paraId="141159A2">
      <w:pPr>
        <w:spacing w:line="360" w:lineRule="auto"/>
        <w:rPr>
          <w:rFonts w:eastAsiaTheme="minorEastAsia"/>
          <w:sz w:val="24"/>
        </w:rPr>
      </w:pPr>
    </w:p>
    <w:p w14:paraId="78A86308">
      <w:pPr>
        <w:autoSpaceDE w:val="0"/>
        <w:autoSpaceDN w:val="0"/>
        <w:adjustRightInd w:val="0"/>
        <w:snapToGrid w:val="0"/>
        <w:spacing w:before="25" w:after="25" w:line="360" w:lineRule="auto"/>
        <w:ind w:right="360"/>
        <w:jc w:val="right"/>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6EEC192C">
      <w:pPr>
        <w:spacing w:line="360" w:lineRule="auto"/>
        <w:ind w:right="360" w:firstLine="480"/>
        <w:jc w:val="right"/>
        <w:rPr>
          <w:rFonts w:eastAsiaTheme="minorEastAsia"/>
          <w:sz w:val="24"/>
        </w:rPr>
      </w:pPr>
      <w:r>
        <w:rPr>
          <w:rFonts w:eastAsiaTheme="minorEastAsia"/>
          <w:sz w:val="24"/>
          <w:szCs w:val="20"/>
        </w:rPr>
        <w:t xml:space="preserve">日期：____年____月____日   </w:t>
      </w:r>
    </w:p>
    <w:p w14:paraId="728EA325">
      <w:pPr>
        <w:spacing w:line="360" w:lineRule="auto"/>
        <w:rPr>
          <w:rFonts w:eastAsiaTheme="minorEastAsia"/>
          <w:sz w:val="24"/>
        </w:rPr>
      </w:pPr>
      <w:r>
        <w:rPr>
          <w:sz w:val="24"/>
        </w:rPr>
        <w:t>说明：供应商承诺不实的，依据《政府采购法》第七十七条“提供虚假材料谋取中标、成交的”有关规定予以处理。</w:t>
      </w:r>
    </w:p>
    <w:p w14:paraId="6515AD83">
      <w:pPr>
        <w:tabs>
          <w:tab w:val="left" w:pos="5580"/>
        </w:tabs>
        <w:spacing w:line="360" w:lineRule="auto"/>
        <w:rPr>
          <w:rFonts w:eastAsiaTheme="minorEastAsia"/>
          <w:sz w:val="24"/>
        </w:rPr>
        <w:sectPr>
          <w:headerReference r:id="rId15" w:type="first"/>
          <w:footerReference r:id="rId17" w:type="first"/>
          <w:headerReference r:id="rId14" w:type="even"/>
          <w:footerReference r:id="rId16" w:type="even"/>
          <w:pgSz w:w="11907" w:h="16840"/>
          <w:pgMar w:top="1418" w:right="1134" w:bottom="1418" w:left="1701" w:header="851" w:footer="851" w:gutter="0"/>
          <w:cols w:space="720" w:num="1"/>
          <w:docGrid w:linePitch="462" w:charSpace="0"/>
        </w:sectPr>
      </w:pPr>
    </w:p>
    <w:p w14:paraId="0BAE6A29">
      <w:pPr>
        <w:tabs>
          <w:tab w:val="left" w:pos="360"/>
        </w:tabs>
        <w:snapToGrid w:val="0"/>
        <w:spacing w:line="360" w:lineRule="auto"/>
        <w:outlineLvl w:val="1"/>
        <w:rPr>
          <w:rFonts w:eastAsiaTheme="minorEastAsia"/>
          <w:sz w:val="24"/>
        </w:rPr>
      </w:pPr>
      <w:r>
        <w:rPr>
          <w:rFonts w:eastAsiaTheme="minorEastAsia"/>
          <w:sz w:val="24"/>
        </w:rPr>
        <w:t>2 落实政府采购政策需满足的资格要求（如有）</w:t>
      </w:r>
    </w:p>
    <w:p w14:paraId="3D2B6C21">
      <w:pPr>
        <w:spacing w:line="360" w:lineRule="auto"/>
        <w:outlineLvl w:val="2"/>
        <w:rPr>
          <w:rFonts w:eastAsiaTheme="minorEastAsia"/>
          <w:sz w:val="24"/>
          <w:szCs w:val="20"/>
        </w:rPr>
      </w:pPr>
      <w:r>
        <w:rPr>
          <w:rFonts w:eastAsiaTheme="minorEastAsia"/>
          <w:sz w:val="24"/>
          <w:szCs w:val="20"/>
        </w:rPr>
        <w:t>2-1 中小企业</w:t>
      </w:r>
      <w:r>
        <w:rPr>
          <w:rFonts w:hint="eastAsia" w:eastAsiaTheme="minorEastAsia"/>
          <w:sz w:val="24"/>
          <w:szCs w:val="20"/>
        </w:rPr>
        <w:t>政策</w:t>
      </w:r>
      <w:r>
        <w:rPr>
          <w:rFonts w:eastAsiaTheme="minorEastAsia"/>
          <w:sz w:val="24"/>
          <w:szCs w:val="20"/>
        </w:rPr>
        <w:t>证明文件</w:t>
      </w:r>
    </w:p>
    <w:p w14:paraId="45E00189">
      <w:pPr>
        <w:tabs>
          <w:tab w:val="left" w:pos="5580"/>
        </w:tabs>
        <w:spacing w:line="360" w:lineRule="auto"/>
        <w:rPr>
          <w:rFonts w:eastAsiaTheme="minorEastAsia"/>
          <w:sz w:val="24"/>
        </w:rPr>
      </w:pPr>
      <w:r>
        <w:rPr>
          <w:rFonts w:eastAsiaTheme="minorEastAsia"/>
          <w:sz w:val="24"/>
        </w:rPr>
        <w:t>说明：</w:t>
      </w:r>
    </w:p>
    <w:p w14:paraId="3DA7AC8D">
      <w:pPr>
        <w:tabs>
          <w:tab w:val="left" w:pos="5580"/>
        </w:tabs>
        <w:spacing w:line="360" w:lineRule="auto"/>
        <w:rPr>
          <w:sz w:val="24"/>
        </w:rPr>
      </w:pPr>
      <w:r>
        <w:rPr>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sz w:val="24"/>
        </w:rPr>
        <w:t>否则不享受相关中小企业扶持政策</w:t>
      </w:r>
      <w:r>
        <w:rPr>
          <w:sz w:val="24"/>
        </w:rPr>
        <w:t>。</w:t>
      </w:r>
    </w:p>
    <w:p w14:paraId="64937782">
      <w:pPr>
        <w:tabs>
          <w:tab w:val="left" w:pos="5580"/>
        </w:tabs>
        <w:spacing w:line="360" w:lineRule="auto"/>
        <w:rPr>
          <w:rFonts w:eastAsiaTheme="minorEastAsia"/>
          <w:sz w:val="24"/>
        </w:rPr>
      </w:pPr>
      <w:r>
        <w:rPr>
          <w:rFonts w:eastAsiaTheme="minorEastAsia"/>
          <w:sz w:val="24"/>
        </w:rPr>
        <w:t>（2）如本项目（包）专门面向中小企业采购，响应文件中须提供《中小企业声明函》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14:paraId="085CB1B6">
      <w:pPr>
        <w:tabs>
          <w:tab w:val="left" w:pos="5580"/>
        </w:tabs>
        <w:spacing w:line="360" w:lineRule="auto"/>
        <w:rPr>
          <w:rFonts w:eastAsiaTheme="minorEastAsia"/>
          <w:sz w:val="24"/>
        </w:rPr>
      </w:pPr>
      <w:r>
        <w:rPr>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671A53C7">
      <w:pPr>
        <w:tabs>
          <w:tab w:val="left" w:pos="5580"/>
        </w:tabs>
        <w:spacing w:line="360" w:lineRule="auto"/>
        <w:rPr>
          <w:sz w:val="24"/>
        </w:rPr>
      </w:pPr>
      <w:r>
        <w:rPr>
          <w:rFonts w:eastAsiaTheme="minorEastAsia"/>
          <w:sz w:val="24"/>
        </w:rPr>
        <w:t>（4）</w:t>
      </w:r>
      <w:r>
        <w:rPr>
          <w:sz w:val="24"/>
        </w:rPr>
        <w:t>中小企业声明函填写注意事项</w:t>
      </w:r>
    </w:p>
    <w:p w14:paraId="780CF020">
      <w:pPr>
        <w:tabs>
          <w:tab w:val="left" w:pos="5580"/>
        </w:tabs>
        <w:spacing w:line="360" w:lineRule="auto"/>
        <w:rPr>
          <w:sz w:val="24"/>
        </w:rPr>
      </w:pPr>
      <w:r>
        <w:rPr>
          <w:sz w:val="24"/>
        </w:rPr>
        <w:t>1）《中小企业声明函》由参加政府采购活动的供应商出具。联合体参与的，《中小企业声明函》可由牵头人出具。</w:t>
      </w:r>
    </w:p>
    <w:p w14:paraId="2364FEFA">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4968054">
      <w:pPr>
        <w:tabs>
          <w:tab w:val="left" w:pos="5580"/>
        </w:tabs>
        <w:spacing w:line="360" w:lineRule="auto"/>
        <w:rPr>
          <w:rFonts w:eastAsiaTheme="minorEastAsia"/>
          <w:sz w:val="24"/>
        </w:rPr>
      </w:pPr>
      <w:r>
        <w:rPr>
          <w:sz w:val="24"/>
        </w:rPr>
        <w:t>3）对于多标的采购项目，供应商应充分、准确地了解所提供货物的制造企业、提供服务的承接企业信息。对相关情况了解不清楚的，不建议填报本声明函。</w:t>
      </w:r>
    </w:p>
    <w:p w14:paraId="4CC6099B">
      <w:pPr>
        <w:tabs>
          <w:tab w:val="left" w:pos="5580"/>
        </w:tabs>
        <w:spacing w:line="360" w:lineRule="auto"/>
        <w:rPr>
          <w:rFonts w:eastAsiaTheme="minorEastAsia"/>
          <w:b/>
          <w:bCs/>
          <w:sz w:val="36"/>
          <w:szCs w:val="36"/>
        </w:rPr>
      </w:pPr>
      <w:r>
        <w:rPr>
          <w:rFonts w:eastAsiaTheme="minor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sz w:val="36"/>
          <w:szCs w:val="36"/>
        </w:rPr>
        <w:br w:type="page"/>
      </w:r>
    </w:p>
    <w:p w14:paraId="646B5925">
      <w:pPr>
        <w:pStyle w:val="6"/>
        <w:rPr>
          <w:rFonts w:ascii="Times New Roman" w:hAnsi="Times New Roman" w:eastAsiaTheme="majorEastAsia"/>
          <w:sz w:val="24"/>
          <w:szCs w:val="24"/>
        </w:rPr>
      </w:pPr>
      <w:r>
        <w:rPr>
          <w:rFonts w:ascii="Times New Roman" w:hAnsi="Times New Roman" w:eastAsiaTheme="majorEastAsia"/>
          <w:sz w:val="24"/>
          <w:szCs w:val="24"/>
        </w:rPr>
        <w:t>2-1-1 中小企业</w:t>
      </w:r>
      <w:r>
        <w:rPr>
          <w:rFonts w:hint="eastAsia" w:ascii="Times New Roman" w:hAnsi="Times New Roman" w:eastAsiaTheme="majorEastAsia"/>
          <w:sz w:val="24"/>
          <w:szCs w:val="24"/>
        </w:rPr>
        <w:t>证明文件</w:t>
      </w:r>
    </w:p>
    <w:p w14:paraId="0547D87B">
      <w:pPr>
        <w:spacing w:before="240" w:beforeLines="100" w:after="240" w:afterLines="100" w:line="360" w:lineRule="auto"/>
        <w:jc w:val="center"/>
        <w:rPr>
          <w:rFonts w:eastAsiaTheme="minorEastAsia"/>
          <w:b/>
          <w:bCs/>
          <w:sz w:val="36"/>
          <w:szCs w:val="36"/>
        </w:rPr>
      </w:pPr>
      <w:r>
        <w:rPr>
          <w:rFonts w:eastAsiaTheme="minorEastAsia"/>
          <w:b/>
          <w:bCs/>
          <w:sz w:val="36"/>
          <w:szCs w:val="36"/>
        </w:rPr>
        <w:t>中小企业声明函（工程、服务）格式</w:t>
      </w:r>
    </w:p>
    <w:p w14:paraId="304899B6">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C3DA957">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14:paraId="149660B9">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14:paraId="68096542">
      <w:pPr>
        <w:spacing w:line="360" w:lineRule="auto"/>
        <w:ind w:firstLine="504"/>
        <w:rPr>
          <w:rFonts w:eastAsiaTheme="minorEastAsia"/>
          <w:spacing w:val="6"/>
          <w:sz w:val="24"/>
        </w:rPr>
      </w:pPr>
    </w:p>
    <w:p w14:paraId="4B7E7CD4">
      <w:pPr>
        <w:spacing w:line="360" w:lineRule="auto"/>
        <w:ind w:firstLine="504"/>
        <w:rPr>
          <w:rFonts w:eastAsiaTheme="minorEastAsia"/>
          <w:spacing w:val="6"/>
          <w:sz w:val="24"/>
        </w:rPr>
      </w:pPr>
      <w:r>
        <w:rPr>
          <w:rFonts w:eastAsiaTheme="minorEastAsia"/>
          <w:spacing w:val="6"/>
          <w:sz w:val="24"/>
        </w:rPr>
        <w:t>……</w:t>
      </w:r>
    </w:p>
    <w:p w14:paraId="4E87A16A">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44483587">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213A439A">
      <w:pPr>
        <w:spacing w:line="360" w:lineRule="auto"/>
        <w:ind w:right="360" w:firstLine="480"/>
        <w:jc w:val="right"/>
        <w:rPr>
          <w:rFonts w:eastAsiaTheme="minorEastAsia"/>
          <w:sz w:val="24"/>
        </w:rPr>
      </w:pPr>
    </w:p>
    <w:p w14:paraId="53403054">
      <w:pPr>
        <w:spacing w:line="360" w:lineRule="auto"/>
        <w:ind w:right="360" w:firstLine="480"/>
        <w:jc w:val="right"/>
        <w:rPr>
          <w:rFonts w:eastAsiaTheme="minorEastAsia"/>
          <w:sz w:val="24"/>
        </w:rPr>
      </w:pPr>
      <w:r>
        <w:rPr>
          <w:rFonts w:eastAsiaTheme="minorEastAsia"/>
          <w:sz w:val="24"/>
        </w:rPr>
        <w:t>企业名称（盖章）：______</w:t>
      </w:r>
    </w:p>
    <w:p w14:paraId="608AE7FF">
      <w:pPr>
        <w:spacing w:line="360" w:lineRule="auto"/>
        <w:ind w:right="360" w:firstLine="480"/>
        <w:jc w:val="right"/>
        <w:rPr>
          <w:rFonts w:eastAsiaTheme="minorEastAsia"/>
          <w:sz w:val="24"/>
        </w:rPr>
      </w:pPr>
      <w:r>
        <w:rPr>
          <w:rFonts w:eastAsiaTheme="minorEastAsia"/>
          <w:sz w:val="24"/>
        </w:rPr>
        <w:t>日 期：______</w:t>
      </w:r>
    </w:p>
    <w:p w14:paraId="4BF3078A">
      <w:pPr>
        <w:adjustRightInd w:val="0"/>
        <w:snapToGrid w:val="0"/>
        <w:jc w:val="left"/>
        <w:rPr>
          <w:rFonts w:eastAsiaTheme="minorEastAsia"/>
          <w:sz w:val="24"/>
          <w:szCs w:val="21"/>
        </w:rPr>
      </w:pPr>
    </w:p>
    <w:p w14:paraId="4575142C">
      <w:pPr>
        <w:adjustRightInd w:val="0"/>
        <w:snapToGrid w:val="0"/>
        <w:jc w:val="left"/>
        <w:rPr>
          <w:rFonts w:eastAsiaTheme="minorEastAsia"/>
          <w:sz w:val="24"/>
          <w:szCs w:val="21"/>
        </w:rPr>
      </w:pPr>
    </w:p>
    <w:tbl>
      <w:tblPr>
        <w:tblStyle w:val="49"/>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6EFE5A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3793AA0F">
            <w:pPr>
              <w:adjustRightInd w:val="0"/>
              <w:snapToGrid w:val="0"/>
              <w:jc w:val="left"/>
              <w:rPr>
                <w:rFonts w:eastAsiaTheme="minorEastAsia"/>
                <w:szCs w:val="21"/>
              </w:rPr>
            </w:pPr>
            <w:r>
              <w:rPr>
                <w:rFonts w:eastAsiaTheme="minorEastAsia"/>
                <w:szCs w:val="21"/>
                <w:vertAlign w:val="superscript"/>
              </w:rPr>
              <w:t>1</w:t>
            </w:r>
            <w:r>
              <w:rPr>
                <w:rFonts w:eastAsiaTheme="minorEastAsia"/>
                <w:szCs w:val="21"/>
              </w:rPr>
              <w:t>从业人员、营业收入、资产总额填报上一年度数据，无上一年度数据的新成立企业可不填报。</w:t>
            </w:r>
          </w:p>
        </w:tc>
      </w:tr>
    </w:tbl>
    <w:p w14:paraId="2C4925B6">
      <w:pPr>
        <w:adjustRightInd w:val="0"/>
        <w:snapToGrid w:val="0"/>
        <w:jc w:val="left"/>
        <w:rPr>
          <w:rFonts w:eastAsiaTheme="minorEastAsia"/>
          <w:szCs w:val="21"/>
          <w:vertAlign w:val="superscript"/>
        </w:rPr>
      </w:pPr>
    </w:p>
    <w:p w14:paraId="0D3870E4">
      <w:pPr>
        <w:spacing w:line="360" w:lineRule="auto"/>
        <w:ind w:right="360" w:firstLine="480"/>
        <w:jc w:val="right"/>
        <w:rPr>
          <w:rFonts w:eastAsiaTheme="minorEastAsia"/>
          <w:sz w:val="24"/>
        </w:rPr>
      </w:pPr>
    </w:p>
    <w:p w14:paraId="494F9007">
      <w:pPr>
        <w:spacing w:line="360" w:lineRule="auto"/>
        <w:ind w:right="360" w:firstLine="480"/>
        <w:jc w:val="right"/>
        <w:rPr>
          <w:rFonts w:eastAsiaTheme="minorEastAsia"/>
          <w:sz w:val="24"/>
        </w:rPr>
      </w:pPr>
    </w:p>
    <w:p w14:paraId="0C553509">
      <w:pPr>
        <w:spacing w:line="360" w:lineRule="auto"/>
        <w:ind w:right="360" w:firstLine="480"/>
        <w:jc w:val="right"/>
        <w:rPr>
          <w:rFonts w:eastAsiaTheme="minorEastAsia"/>
          <w:sz w:val="24"/>
          <w:szCs w:val="20"/>
        </w:rPr>
      </w:pPr>
      <w:r>
        <w:rPr>
          <w:rFonts w:eastAsiaTheme="minorEastAsia"/>
          <w:sz w:val="24"/>
          <w:szCs w:val="20"/>
        </w:rPr>
        <w:br w:type="page"/>
      </w:r>
    </w:p>
    <w:p w14:paraId="3BE0619A">
      <w:pPr>
        <w:spacing w:before="240" w:beforeLines="100" w:after="240" w:afterLines="100" w:line="360" w:lineRule="auto"/>
        <w:jc w:val="center"/>
        <w:rPr>
          <w:rFonts w:eastAsiaTheme="minorEastAsia"/>
          <w:b/>
          <w:sz w:val="36"/>
          <w:szCs w:val="36"/>
        </w:rPr>
      </w:pPr>
      <w:r>
        <w:rPr>
          <w:rFonts w:eastAsiaTheme="minorEastAsia"/>
          <w:b/>
          <w:bCs/>
          <w:sz w:val="36"/>
          <w:szCs w:val="36"/>
        </w:rPr>
        <w:t>残疾人福利性单位声明函格式</w:t>
      </w:r>
      <w:r>
        <w:rPr>
          <w:rFonts w:eastAsiaTheme="minorEastAsia"/>
          <w:b/>
          <w:sz w:val="36"/>
          <w:szCs w:val="36"/>
        </w:rPr>
        <w:t xml:space="preserve">       </w:t>
      </w:r>
    </w:p>
    <w:p w14:paraId="2A0D27CA">
      <w:pPr>
        <w:spacing w:line="588" w:lineRule="exact"/>
        <w:ind w:firstLine="504"/>
        <w:rPr>
          <w:rFonts w:eastAsiaTheme="minorEastAsia"/>
          <w:spacing w:val="6"/>
          <w:sz w:val="24"/>
        </w:rPr>
      </w:pPr>
      <w:r>
        <w:rPr>
          <w:rFonts w:eastAsiaTheme="minorEastAsia"/>
          <w:spacing w:val="6"/>
          <w:sz w:val="24"/>
        </w:rPr>
        <w:t>本单位郑重声明，根据《财政部 民政部 中国残疾人联合会关于促进残疾人就业政府采购政策的通知》（财库</w:t>
      </w:r>
      <w:r>
        <w:rPr>
          <w:rFonts w:eastAsiaTheme="minorEastAsia"/>
          <w:sz w:val="24"/>
        </w:rPr>
        <w:t>〔2017〕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14:paraId="55BC37DD">
      <w:pPr>
        <w:spacing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14:paraId="30B7FE11">
      <w:pPr>
        <w:spacing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项目采购活动提供本单位制造的货物（由本单位承担工程/提供服务），或者提供其他残疾人福利性单位制造的货物（不包括使用非残疾人福利性单位注册商标的货物）。</w:t>
      </w:r>
    </w:p>
    <w:p w14:paraId="1D9A916B">
      <w:pPr>
        <w:spacing w:line="588" w:lineRule="exact"/>
        <w:ind w:firstLine="506" w:firstLineChars="200"/>
        <w:rPr>
          <w:rFonts w:eastAsiaTheme="minorEastAsia"/>
          <w:spacing w:val="6"/>
          <w:sz w:val="24"/>
        </w:rPr>
      </w:pPr>
      <w:r>
        <w:rPr>
          <w:rFonts w:eastAsiaTheme="minorEastAsia"/>
          <w:b/>
          <w:spacing w:val="6"/>
          <w:sz w:val="24"/>
        </w:rPr>
        <w:t>本单位对上述声明的真实性负责。如有虚假，将依法承担相应责任。</w:t>
      </w:r>
    </w:p>
    <w:p w14:paraId="4DC97509">
      <w:pPr>
        <w:spacing w:line="588" w:lineRule="exact"/>
        <w:ind w:firstLine="504" w:firstLineChars="200"/>
        <w:rPr>
          <w:rFonts w:eastAsiaTheme="minorEastAsia"/>
          <w:spacing w:val="6"/>
          <w:sz w:val="24"/>
        </w:rPr>
      </w:pPr>
    </w:p>
    <w:p w14:paraId="449BB8D4">
      <w:pPr>
        <w:spacing w:line="588" w:lineRule="exact"/>
        <w:ind w:firstLine="504" w:firstLineChars="200"/>
        <w:rPr>
          <w:rFonts w:eastAsiaTheme="minorEastAsia"/>
          <w:spacing w:val="6"/>
          <w:sz w:val="24"/>
        </w:rPr>
      </w:pPr>
    </w:p>
    <w:p w14:paraId="250E7FB3">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单位名称（盖章）：</w:t>
      </w:r>
      <w:r>
        <w:rPr>
          <w:rFonts w:eastAsiaTheme="minorEastAsia"/>
          <w:sz w:val="24"/>
        </w:rPr>
        <w:t>______</w:t>
      </w:r>
    </w:p>
    <w:p w14:paraId="3845B1F9">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日  期：</w:t>
      </w:r>
      <w:r>
        <w:rPr>
          <w:rFonts w:eastAsiaTheme="minorEastAsia"/>
          <w:sz w:val="24"/>
        </w:rPr>
        <w:t>______</w:t>
      </w:r>
    </w:p>
    <w:p w14:paraId="64C95CEB">
      <w:pPr>
        <w:widowControl/>
        <w:jc w:val="left"/>
        <w:rPr>
          <w:rFonts w:eastAsiaTheme="minorEastAsia"/>
          <w:sz w:val="24"/>
          <w:szCs w:val="20"/>
        </w:rPr>
      </w:pPr>
      <w:r>
        <w:rPr>
          <w:rFonts w:eastAsiaTheme="minorEastAsia"/>
          <w:sz w:val="24"/>
          <w:szCs w:val="20"/>
        </w:rPr>
        <w:br w:type="page"/>
      </w:r>
    </w:p>
    <w:p w14:paraId="1BFE9DCE">
      <w:pPr>
        <w:pStyle w:val="6"/>
        <w:rPr>
          <w:rFonts w:ascii="Times New Roman" w:hAnsi="Times New Roman" w:eastAsiaTheme="majorEastAsia"/>
          <w:b w:val="0"/>
          <w:sz w:val="24"/>
        </w:rPr>
      </w:pPr>
      <w:r>
        <w:rPr>
          <w:rFonts w:ascii="Times New Roman" w:hAnsi="Times New Roman" w:eastAsiaTheme="majorEastAsia"/>
          <w:b w:val="0"/>
          <w:sz w:val="24"/>
        </w:rPr>
        <w:t>2-1-2 拟分包情况说明及分包意向协议（不适用）</w:t>
      </w:r>
    </w:p>
    <w:p w14:paraId="11F8BA09">
      <w:pPr>
        <w:tabs>
          <w:tab w:val="left" w:pos="5580"/>
        </w:tabs>
        <w:spacing w:line="360" w:lineRule="auto"/>
        <w:rPr>
          <w:rFonts w:eastAsiaTheme="minorEastAsia"/>
          <w:sz w:val="24"/>
        </w:rPr>
      </w:pPr>
      <w:r>
        <w:rPr>
          <w:rFonts w:eastAsiaTheme="minorEastAsia"/>
          <w:sz w:val="24"/>
        </w:rPr>
        <w:t>说明：</w:t>
      </w:r>
    </w:p>
    <w:p w14:paraId="0E05A8B7">
      <w:pPr>
        <w:tabs>
          <w:tab w:val="left" w:pos="5580"/>
        </w:tabs>
        <w:spacing w:line="360" w:lineRule="auto"/>
        <w:rPr>
          <w:rFonts w:eastAsiaTheme="minorEastAsia"/>
          <w:sz w:val="24"/>
        </w:rPr>
      </w:pPr>
      <w:r>
        <w:rPr>
          <w:rFonts w:eastAsiaTheme="minorEastAsia"/>
          <w:sz w:val="24"/>
        </w:rPr>
        <w:t>如本项目（包）允许分包，且供应商拟进行分包时</w:t>
      </w:r>
      <w:r>
        <w:rPr>
          <w:rFonts w:hint="eastAsia" w:eastAsiaTheme="minorEastAsia"/>
          <w:sz w:val="24"/>
        </w:rPr>
        <w:t>：</w:t>
      </w:r>
    </w:p>
    <w:p w14:paraId="0A2625DD">
      <w:pPr>
        <w:tabs>
          <w:tab w:val="left" w:pos="5580"/>
        </w:tabs>
        <w:spacing w:line="360" w:lineRule="auto"/>
        <w:rPr>
          <w:sz w:val="24"/>
        </w:rPr>
      </w:pPr>
      <w:r>
        <w:rPr>
          <w:rFonts w:eastAsiaTheme="minorEastAsia"/>
          <w:sz w:val="24"/>
        </w:rPr>
        <w:t>（1）响应文件中须提供</w:t>
      </w:r>
      <w:r>
        <w:rPr>
          <w:sz w:val="24"/>
        </w:rPr>
        <w:t>《拟分包情况说明》，否则</w:t>
      </w:r>
      <w:r>
        <w:rPr>
          <w:b/>
          <w:sz w:val="24"/>
        </w:rPr>
        <w:t>响应无效</w:t>
      </w:r>
      <w:r>
        <w:rPr>
          <w:sz w:val="24"/>
        </w:rPr>
        <w:t>；</w:t>
      </w:r>
    </w:p>
    <w:p w14:paraId="7487374B">
      <w:pPr>
        <w:tabs>
          <w:tab w:val="left" w:pos="5580"/>
        </w:tabs>
        <w:spacing w:line="360" w:lineRule="auto"/>
        <w:rPr>
          <w:sz w:val="24"/>
        </w:rPr>
      </w:pPr>
      <w:r>
        <w:rPr>
          <w:sz w:val="24"/>
        </w:rPr>
        <w:t>（2）当同时符合下列情形时，</w:t>
      </w:r>
      <w:r>
        <w:rPr>
          <w:rFonts w:eastAsiaTheme="minorEastAsia"/>
          <w:sz w:val="24"/>
        </w:rPr>
        <w:t>响应文件</w:t>
      </w:r>
      <w:r>
        <w:rPr>
          <w:sz w:val="24"/>
        </w:rPr>
        <w:t>还须提供《分包意向协议》，否则</w:t>
      </w:r>
      <w:r>
        <w:rPr>
          <w:b/>
          <w:sz w:val="24"/>
        </w:rPr>
        <w:t>响应无效</w:t>
      </w:r>
      <w:r>
        <w:rPr>
          <w:sz w:val="24"/>
        </w:rPr>
        <w:t>：</w:t>
      </w:r>
    </w:p>
    <w:p w14:paraId="0261384D">
      <w:pPr>
        <w:tabs>
          <w:tab w:val="left" w:pos="5580"/>
        </w:tabs>
        <w:spacing w:line="360" w:lineRule="auto"/>
        <w:ind w:left="567" w:leftChars="270"/>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14:paraId="66B9A5C8">
      <w:pPr>
        <w:tabs>
          <w:tab w:val="left" w:pos="5580"/>
        </w:tabs>
        <w:spacing w:line="360" w:lineRule="auto"/>
        <w:ind w:left="567" w:leftChars="270"/>
        <w:rPr>
          <w:rFonts w:eastAsiaTheme="minorEastAsia"/>
          <w:sz w:val="24"/>
        </w:rPr>
      </w:pPr>
      <w:r>
        <w:rPr>
          <w:rFonts w:eastAsiaTheme="minorEastAsia"/>
          <w:sz w:val="24"/>
        </w:rPr>
        <w:t xml:space="preserve">B. </w:t>
      </w:r>
      <w:r>
        <w:rPr>
          <w:sz w:val="24"/>
        </w:rPr>
        <w:t>供应商通过分包方式满足中小企业政策要求的。</w:t>
      </w:r>
    </w:p>
    <w:p w14:paraId="7B19D241">
      <w:pPr>
        <w:autoSpaceDE w:val="0"/>
        <w:autoSpaceDN w:val="0"/>
        <w:adjustRightInd w:val="0"/>
        <w:rPr>
          <w:rFonts w:eastAsiaTheme="minorEastAsia"/>
          <w:sz w:val="30"/>
          <w:szCs w:val="30"/>
        </w:rPr>
      </w:pPr>
    </w:p>
    <w:p w14:paraId="28A40E56">
      <w:pPr>
        <w:widowControl/>
        <w:jc w:val="left"/>
        <w:rPr>
          <w:rFonts w:eastAsiaTheme="minorEastAsia"/>
          <w:b/>
          <w:sz w:val="36"/>
          <w:szCs w:val="36"/>
        </w:rPr>
      </w:pPr>
      <w:r>
        <w:rPr>
          <w:rFonts w:eastAsiaTheme="minorEastAsia"/>
          <w:b/>
          <w:sz w:val="36"/>
          <w:szCs w:val="36"/>
        </w:rPr>
        <w:br w:type="page"/>
      </w:r>
    </w:p>
    <w:p w14:paraId="38C6C37F">
      <w:pPr>
        <w:autoSpaceDE w:val="0"/>
        <w:autoSpaceDN w:val="0"/>
        <w:adjustRightInd w:val="0"/>
        <w:spacing w:line="360" w:lineRule="auto"/>
        <w:jc w:val="center"/>
        <w:rPr>
          <w:rFonts w:eastAsiaTheme="minorEastAsia"/>
          <w:b/>
          <w:sz w:val="36"/>
          <w:szCs w:val="36"/>
        </w:rPr>
      </w:pPr>
      <w:r>
        <w:rPr>
          <w:rFonts w:eastAsiaTheme="minorEastAsia"/>
          <w:b/>
          <w:sz w:val="36"/>
          <w:szCs w:val="36"/>
        </w:rPr>
        <w:t>拟分包情况说明（不适用）</w:t>
      </w:r>
    </w:p>
    <w:p w14:paraId="3C46B933">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003BC01C">
      <w:pPr>
        <w:adjustRightInd w:val="0"/>
        <w:snapToGrid w:val="0"/>
        <w:spacing w:line="360" w:lineRule="auto"/>
        <w:ind w:firstLine="480" w:firstLineChars="200"/>
        <w:jc w:val="left"/>
        <w:rPr>
          <w:rFonts w:eastAsiaTheme="minorEastAsia"/>
          <w:sz w:val="24"/>
        </w:rPr>
      </w:pPr>
      <w:r>
        <w:rPr>
          <w:rFonts w:eastAsiaTheme="minorEastAsia"/>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5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2E61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F4598D7">
            <w:pPr>
              <w:pStyle w:val="25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7C051917">
            <w:pPr>
              <w:pStyle w:val="258"/>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6AA07D46">
            <w:pPr>
              <w:pStyle w:val="258"/>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29F2C477">
            <w:pPr>
              <w:pStyle w:val="25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6167E17F">
            <w:pPr>
              <w:pStyle w:val="25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69429DED">
            <w:pPr>
              <w:pStyle w:val="25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14:paraId="3BB1704E">
            <w:pPr>
              <w:pStyle w:val="258"/>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212E26B2">
            <w:pPr>
              <w:pStyle w:val="258"/>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028F43A6">
            <w:pPr>
              <w:pStyle w:val="258"/>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4D22E7A2">
            <w:pPr>
              <w:pStyle w:val="25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4F1D11C3">
            <w:pPr>
              <w:pStyle w:val="25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293F4380">
            <w:pPr>
              <w:pStyle w:val="25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7B0D6149">
            <w:pPr>
              <w:pStyle w:val="25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4B5A1AEA">
            <w:pPr>
              <w:pStyle w:val="258"/>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5AC76457">
            <w:pPr>
              <w:pStyle w:val="25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3FD08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62510551">
            <w:pPr>
              <w:pStyle w:val="25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5945E81D">
            <w:pPr>
              <w:pStyle w:val="258"/>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9E68BC1">
            <w:pPr>
              <w:pStyle w:val="25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4C8C688B">
            <w:pPr>
              <w:pStyle w:val="25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419378E2">
            <w:pPr>
              <w:pStyle w:val="25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51914E84">
            <w:pPr>
              <w:pStyle w:val="258"/>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4E7E04AE">
            <w:pPr>
              <w:pStyle w:val="258"/>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5386622C">
            <w:pPr>
              <w:pStyle w:val="258"/>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65711F74">
            <w:pPr>
              <w:pStyle w:val="258"/>
              <w:jc w:val="center"/>
              <w:rPr>
                <w:rFonts w:ascii="Times New Roman" w:hAnsi="Times New Roman" w:cs="Times New Roman" w:eastAsiaTheme="minorEastAsia"/>
                <w:sz w:val="30"/>
                <w:lang w:eastAsia="zh-CN"/>
              </w:rPr>
            </w:pPr>
          </w:p>
        </w:tc>
      </w:tr>
      <w:tr w14:paraId="0BAFD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3ECEFBE5">
            <w:pPr>
              <w:pStyle w:val="25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25A263D9">
            <w:pPr>
              <w:pStyle w:val="258"/>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1DD45A2">
            <w:pPr>
              <w:pStyle w:val="25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00C554D6">
            <w:pPr>
              <w:pStyle w:val="25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2D544852">
            <w:pPr>
              <w:pStyle w:val="25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15673C92">
            <w:pPr>
              <w:pStyle w:val="258"/>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348B76A8">
            <w:pPr>
              <w:pStyle w:val="258"/>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6553E368">
            <w:pPr>
              <w:pStyle w:val="258"/>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E480334">
            <w:pPr>
              <w:pStyle w:val="258"/>
              <w:jc w:val="center"/>
              <w:rPr>
                <w:rFonts w:ascii="Times New Roman" w:hAnsi="Times New Roman" w:cs="Times New Roman" w:eastAsiaTheme="minorEastAsia"/>
                <w:sz w:val="30"/>
                <w:lang w:eastAsia="zh-CN"/>
              </w:rPr>
            </w:pPr>
          </w:p>
        </w:tc>
      </w:tr>
      <w:tr w14:paraId="59BF6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731D3FEF">
            <w:pPr>
              <w:pStyle w:val="25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442AAF02">
            <w:pPr>
              <w:pStyle w:val="258"/>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488AAE1">
            <w:pPr>
              <w:pStyle w:val="258"/>
              <w:tabs>
                <w:tab w:val="left" w:pos="235"/>
              </w:tabs>
              <w:jc w:val="center"/>
              <w:rPr>
                <w:rFonts w:ascii="Times New Roman" w:hAnsi="Times New Roman" w:cs="Times New Roman" w:eastAsiaTheme="minor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7A105AB1">
            <w:pPr>
              <w:pStyle w:val="258"/>
              <w:jc w:val="center"/>
              <w:rPr>
                <w:rFonts w:ascii="Times New Roman" w:hAnsi="Times New Roman" w:cs="Times New Roman" w:eastAsiaTheme="minorEastAsia"/>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60743A26">
            <w:pPr>
              <w:pStyle w:val="258"/>
              <w:jc w:val="center"/>
              <w:rPr>
                <w:rFonts w:ascii="Times New Roman" w:hAnsi="Times New Roman" w:cs="Times New Roman" w:eastAsiaTheme="minorEastAsia"/>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65E7BBC3">
            <w:pPr>
              <w:pStyle w:val="258"/>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061B20A1">
            <w:pPr>
              <w:pStyle w:val="258"/>
              <w:jc w:val="center"/>
              <w:rPr>
                <w:rFonts w:ascii="Times New Roman" w:hAnsi="Times New Roman" w:cs="Times New Roman" w:eastAsiaTheme="minorEastAsia"/>
                <w:sz w:val="30"/>
              </w:rPr>
            </w:pPr>
          </w:p>
        </w:tc>
      </w:tr>
      <w:tr w14:paraId="78D63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1FB12956">
            <w:pPr>
              <w:pStyle w:val="258"/>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6A8B97BD">
            <w:pPr>
              <w:pStyle w:val="258"/>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08492327">
            <w:pPr>
              <w:pStyle w:val="258"/>
              <w:jc w:val="center"/>
              <w:rPr>
                <w:rFonts w:ascii="Times New Roman" w:hAnsi="Times New Roman" w:cs="Times New Roman" w:eastAsiaTheme="minorEastAsia"/>
                <w:sz w:val="30"/>
              </w:rPr>
            </w:pPr>
          </w:p>
        </w:tc>
      </w:tr>
    </w:tbl>
    <w:p w14:paraId="4DB39207">
      <w:pPr>
        <w:adjustRightInd w:val="0"/>
        <w:snapToGrid w:val="0"/>
        <w:spacing w:line="360" w:lineRule="auto"/>
        <w:jc w:val="left"/>
        <w:rPr>
          <w:rFonts w:eastAsiaTheme="minorEastAsia"/>
          <w:sz w:val="24"/>
        </w:rPr>
      </w:pPr>
    </w:p>
    <w:p w14:paraId="7CF5FC11">
      <w:pPr>
        <w:autoSpaceDE w:val="0"/>
        <w:autoSpaceDN w:val="0"/>
        <w:adjustRightInd w:val="0"/>
        <w:snapToGrid w:val="0"/>
        <w:spacing w:before="25" w:after="25" w:line="360" w:lineRule="auto"/>
        <w:jc w:val="right"/>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03D41D1A">
      <w:pPr>
        <w:spacing w:line="360" w:lineRule="auto"/>
        <w:ind w:right="-57" w:firstLine="480"/>
        <w:jc w:val="right"/>
        <w:rPr>
          <w:rFonts w:eastAsiaTheme="minorEastAsia"/>
          <w:sz w:val="24"/>
        </w:rPr>
      </w:pPr>
      <w:r>
        <w:rPr>
          <w:rFonts w:eastAsiaTheme="minorEastAsia"/>
          <w:sz w:val="24"/>
          <w:szCs w:val="20"/>
        </w:rPr>
        <w:t>日期：</w:t>
      </w:r>
      <w:r>
        <w:rPr>
          <w:rFonts w:eastAsiaTheme="minorEastAsia"/>
          <w:sz w:val="24"/>
        </w:rPr>
        <w:t>___</w:t>
      </w:r>
      <w:r>
        <w:rPr>
          <w:rFonts w:eastAsiaTheme="minorEastAsia"/>
          <w:sz w:val="24"/>
          <w:szCs w:val="20"/>
        </w:rPr>
        <w:t>年</w:t>
      </w:r>
      <w:r>
        <w:rPr>
          <w:rFonts w:eastAsiaTheme="minorEastAsia"/>
          <w:sz w:val="24"/>
        </w:rPr>
        <w:t>___</w:t>
      </w:r>
      <w:r>
        <w:rPr>
          <w:rFonts w:eastAsiaTheme="minorEastAsia"/>
          <w:sz w:val="24"/>
          <w:szCs w:val="20"/>
        </w:rPr>
        <w:t>月</w:t>
      </w:r>
      <w:r>
        <w:rPr>
          <w:rFonts w:eastAsiaTheme="minorEastAsia"/>
          <w:sz w:val="24"/>
        </w:rPr>
        <w:t>___</w:t>
      </w:r>
      <w:r>
        <w:rPr>
          <w:rFonts w:eastAsiaTheme="minorEastAsia"/>
          <w:sz w:val="24"/>
          <w:szCs w:val="20"/>
        </w:rPr>
        <w:t>日</w:t>
      </w:r>
    </w:p>
    <w:p w14:paraId="7B6D2AE9">
      <w:pPr>
        <w:adjustRightInd w:val="0"/>
        <w:snapToGrid w:val="0"/>
        <w:spacing w:line="360" w:lineRule="auto"/>
        <w:jc w:val="left"/>
        <w:rPr>
          <w:rFonts w:eastAsiaTheme="minorEastAsia"/>
          <w:sz w:val="24"/>
        </w:rPr>
      </w:pPr>
    </w:p>
    <w:p w14:paraId="26141CE4">
      <w:pPr>
        <w:adjustRightInd w:val="0"/>
        <w:snapToGrid w:val="0"/>
        <w:spacing w:line="360" w:lineRule="auto"/>
        <w:jc w:val="left"/>
        <w:rPr>
          <w:rFonts w:eastAsiaTheme="minorEastAsia"/>
          <w:sz w:val="24"/>
        </w:rPr>
      </w:pPr>
      <w:r>
        <w:rPr>
          <w:rFonts w:eastAsiaTheme="minorEastAsia"/>
          <w:sz w:val="24"/>
        </w:rPr>
        <w:t>注：</w:t>
      </w:r>
    </w:p>
    <w:p w14:paraId="6CA50E33">
      <w:pPr>
        <w:adjustRightInd w:val="0"/>
        <w:snapToGrid w:val="0"/>
        <w:spacing w:line="360" w:lineRule="auto"/>
        <w:jc w:val="left"/>
        <w:rPr>
          <w:rFonts w:eastAsiaTheme="minorEastAsia"/>
          <w:sz w:val="24"/>
        </w:rPr>
      </w:pPr>
      <w:r>
        <w:rPr>
          <w:rFonts w:eastAsiaTheme="minorEastAsia"/>
          <w:sz w:val="24"/>
        </w:rPr>
        <w:t>（1）当供应商属于本部分说明中第（1）类情形，如未提供《拟分包情况说明》，或提供了《拟分包情况说明》但未填写分包承担主体名称、拟分包合同内容、拟分包合同金额，其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14:paraId="131E9D49">
      <w:pPr>
        <w:adjustRightInd w:val="0"/>
        <w:snapToGrid w:val="0"/>
        <w:spacing w:line="360" w:lineRule="auto"/>
        <w:jc w:val="left"/>
        <w:rPr>
          <w:rFonts w:eastAsiaTheme="minorEastAsia"/>
          <w:sz w:val="24"/>
        </w:rPr>
      </w:pPr>
      <w:r>
        <w:rPr>
          <w:rFonts w:eastAsiaTheme="minorEastAsia"/>
          <w:sz w:val="24"/>
        </w:rPr>
        <w:t>（2）当供应商属于本部分说明中第（2）类情形，如未提供《拟分包情况说明》，或提供了《拟分包情况说明》但未填写分包承担主体名称、分包承担主体类型、拟分包合同内容、拟分包合同金额，其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14:paraId="1884BC95">
      <w:pPr>
        <w:adjustRightInd w:val="0"/>
        <w:snapToGrid w:val="0"/>
        <w:spacing w:line="360" w:lineRule="auto"/>
        <w:jc w:val="left"/>
        <w:rPr>
          <w:rFonts w:eastAsiaTheme="minorEastAsia"/>
          <w:sz w:val="24"/>
        </w:rPr>
      </w:pPr>
      <w:r>
        <w:rPr>
          <w:rFonts w:eastAsiaTheme="minorEastAsia"/>
          <w:sz w:val="24"/>
        </w:rPr>
        <w:t>（3）如本采购文件《供应商须知资料表》载明本项目分包承担主体应具备的相应资质条件，则供应商须在本表中列明分包承担主体的资质等级，并后附资质证书电子件，否则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14:paraId="37436969">
      <w:pPr>
        <w:autoSpaceDE w:val="0"/>
        <w:autoSpaceDN w:val="0"/>
        <w:adjustRightInd w:val="0"/>
        <w:spacing w:line="360" w:lineRule="auto"/>
        <w:jc w:val="center"/>
        <w:rPr>
          <w:rFonts w:eastAsiaTheme="minorEastAsia"/>
          <w:b/>
          <w:sz w:val="36"/>
          <w:szCs w:val="36"/>
        </w:rPr>
      </w:pPr>
      <w:r>
        <w:rPr>
          <w:rFonts w:eastAsiaTheme="minorEastAsia"/>
          <w:sz w:val="30"/>
          <w:szCs w:val="30"/>
        </w:rPr>
        <w:br w:type="page"/>
      </w:r>
      <w:r>
        <w:rPr>
          <w:rFonts w:eastAsiaTheme="minorEastAsia"/>
          <w:b/>
          <w:sz w:val="36"/>
          <w:szCs w:val="36"/>
        </w:rPr>
        <w:t>分包意向协议（不适用）</w:t>
      </w:r>
    </w:p>
    <w:p w14:paraId="302FAD59">
      <w:pPr>
        <w:adjustRightInd w:val="0"/>
        <w:snapToGrid w:val="0"/>
        <w:spacing w:line="360" w:lineRule="auto"/>
        <w:ind w:firstLine="480" w:firstLineChars="200"/>
        <w:jc w:val="left"/>
        <w:rPr>
          <w:rFonts w:eastAsiaTheme="minorEastAsia"/>
          <w:sz w:val="24"/>
        </w:rPr>
      </w:pPr>
      <w:r>
        <w:rPr>
          <w:rFonts w:eastAsiaTheme="minorEastAsia"/>
          <w:sz w:val="24"/>
        </w:rPr>
        <w:t>甲方（供应商）：______</w:t>
      </w:r>
    </w:p>
    <w:p w14:paraId="3019FEC2">
      <w:pPr>
        <w:adjustRightInd w:val="0"/>
        <w:snapToGrid w:val="0"/>
        <w:spacing w:line="360" w:lineRule="auto"/>
        <w:ind w:firstLine="480" w:firstLineChars="200"/>
        <w:jc w:val="left"/>
        <w:rPr>
          <w:rFonts w:eastAsiaTheme="minorEastAsia"/>
          <w:sz w:val="24"/>
        </w:rPr>
      </w:pPr>
      <w:r>
        <w:rPr>
          <w:rFonts w:eastAsiaTheme="minorEastAsia"/>
          <w:sz w:val="24"/>
        </w:rPr>
        <w:t>乙方（拟分包单位）：______</w:t>
      </w:r>
    </w:p>
    <w:p w14:paraId="704F20A1">
      <w:pPr>
        <w:adjustRightInd w:val="0"/>
        <w:snapToGrid w:val="0"/>
        <w:spacing w:line="360" w:lineRule="auto"/>
        <w:ind w:firstLine="480" w:firstLineChars="200"/>
        <w:jc w:val="left"/>
        <w:rPr>
          <w:rFonts w:eastAsiaTheme="minorEastAsia"/>
          <w:sz w:val="24"/>
        </w:rPr>
      </w:pPr>
      <w:r>
        <w:rPr>
          <w:rFonts w:eastAsiaTheme="minorEastAsia"/>
          <w:sz w:val="24"/>
        </w:rPr>
        <w:t>甲方承诺，一旦在______（采购项目名称）（项目编号/包号为：______）采购项目中获得采购合同，将按照下述约定将合同项下部分内容分包给乙方：</w:t>
      </w:r>
    </w:p>
    <w:p w14:paraId="26A3BD9F">
      <w:pPr>
        <w:adjustRightInd w:val="0"/>
        <w:snapToGrid w:val="0"/>
        <w:spacing w:line="360" w:lineRule="auto"/>
        <w:ind w:firstLine="480" w:firstLineChars="200"/>
        <w:jc w:val="left"/>
        <w:rPr>
          <w:rFonts w:eastAsiaTheme="minorEastAsia"/>
          <w:sz w:val="24"/>
        </w:rPr>
      </w:pPr>
      <w:r>
        <w:rPr>
          <w:rFonts w:eastAsiaTheme="minorEastAsia"/>
          <w:sz w:val="24"/>
        </w:rPr>
        <w:t>1.分包内容：______。</w:t>
      </w:r>
    </w:p>
    <w:p w14:paraId="72AE3D6C">
      <w:pPr>
        <w:adjustRightInd w:val="0"/>
        <w:snapToGrid w:val="0"/>
        <w:spacing w:line="360" w:lineRule="auto"/>
        <w:ind w:firstLine="480" w:firstLineChars="200"/>
        <w:jc w:val="left"/>
        <w:rPr>
          <w:rFonts w:eastAsiaTheme="minorEastAsia"/>
          <w:sz w:val="24"/>
        </w:rPr>
      </w:pPr>
      <w:r>
        <w:rPr>
          <w:rFonts w:eastAsiaTheme="minorEastAsia"/>
          <w:sz w:val="24"/>
        </w:rPr>
        <w:t>2.分包金额：______，该金额占该采购包合同金额的比例为______%。</w:t>
      </w:r>
    </w:p>
    <w:p w14:paraId="21774F13">
      <w:pPr>
        <w:adjustRightInd w:val="0"/>
        <w:snapToGrid w:val="0"/>
        <w:spacing w:line="360" w:lineRule="auto"/>
        <w:ind w:firstLine="480" w:firstLineChars="200"/>
        <w:jc w:val="left"/>
        <w:rPr>
          <w:rFonts w:eastAsiaTheme="minorEastAsia"/>
          <w:bCs/>
          <w:sz w:val="24"/>
        </w:rPr>
      </w:pPr>
      <w:r>
        <w:rPr>
          <w:rFonts w:eastAsiaTheme="minorEastAsia"/>
          <w:sz w:val="24"/>
        </w:rPr>
        <w:t>乙方承诺将在上述情况下与甲方签订分包合同。</w:t>
      </w:r>
    </w:p>
    <w:p w14:paraId="792142AC">
      <w:pPr>
        <w:adjustRightInd w:val="0"/>
        <w:snapToGrid w:val="0"/>
        <w:spacing w:line="360" w:lineRule="auto"/>
        <w:ind w:firstLine="480" w:firstLineChars="200"/>
        <w:jc w:val="left"/>
        <w:rPr>
          <w:rFonts w:eastAsiaTheme="minorEastAsia"/>
          <w:sz w:val="24"/>
        </w:rPr>
      </w:pPr>
      <w:r>
        <w:rPr>
          <w:rFonts w:eastAsiaTheme="minorEastAsia"/>
          <w:sz w:val="24"/>
        </w:rPr>
        <w:t>本协议自各方盖章之日起生效，如甲方未在该项目（采购包）成交，本协议自动终止。</w:t>
      </w:r>
    </w:p>
    <w:p w14:paraId="0C07B839">
      <w:pPr>
        <w:spacing w:line="360" w:lineRule="auto"/>
        <w:ind w:firstLine="471"/>
        <w:rPr>
          <w:rFonts w:eastAsiaTheme="minorEastAsia"/>
          <w:b/>
          <w:sz w:val="24"/>
        </w:rPr>
      </w:pPr>
    </w:p>
    <w:p w14:paraId="1F332060">
      <w:pPr>
        <w:spacing w:line="360" w:lineRule="auto"/>
        <w:ind w:firstLine="471"/>
        <w:rPr>
          <w:rFonts w:eastAsiaTheme="minorEastAsia"/>
          <w:b/>
          <w:sz w:val="24"/>
        </w:rPr>
      </w:pPr>
      <w:r>
        <w:rPr>
          <w:rFonts w:eastAsiaTheme="minorEastAsia"/>
          <w:sz w:val="24"/>
        </w:rPr>
        <w:t>甲方（盖章）：______                     乙方（盖章）：______</w:t>
      </w:r>
    </w:p>
    <w:p w14:paraId="076DC929">
      <w:pPr>
        <w:spacing w:line="360" w:lineRule="auto"/>
        <w:ind w:left="480"/>
        <w:jc w:val="right"/>
        <w:rPr>
          <w:rFonts w:eastAsiaTheme="minorEastAsia"/>
          <w:sz w:val="24"/>
        </w:rPr>
      </w:pPr>
    </w:p>
    <w:p w14:paraId="19CAEBE9">
      <w:pPr>
        <w:wordWrap w:val="0"/>
        <w:spacing w:line="360" w:lineRule="auto"/>
        <w:ind w:left="480"/>
        <w:jc w:val="right"/>
        <w:rPr>
          <w:rFonts w:eastAsiaTheme="minorEastAsia"/>
          <w:b/>
          <w:sz w:val="24"/>
        </w:rPr>
      </w:pPr>
      <w:r>
        <w:rPr>
          <w:rFonts w:eastAsiaTheme="minorEastAsia"/>
          <w:sz w:val="24"/>
          <w:szCs w:val="20"/>
        </w:rPr>
        <w:t>日期：</w:t>
      </w:r>
      <w:r>
        <w:rPr>
          <w:rFonts w:eastAsiaTheme="minorEastAsia"/>
          <w:sz w:val="24"/>
        </w:rPr>
        <w:t>______</w:t>
      </w:r>
      <w:r>
        <w:rPr>
          <w:rFonts w:eastAsiaTheme="minorEastAsia"/>
          <w:sz w:val="24"/>
          <w:szCs w:val="20"/>
        </w:rPr>
        <w:t>年</w:t>
      </w:r>
      <w:r>
        <w:rPr>
          <w:rFonts w:eastAsiaTheme="minorEastAsia"/>
          <w:sz w:val="24"/>
        </w:rPr>
        <w:t>______</w:t>
      </w:r>
      <w:r>
        <w:rPr>
          <w:rFonts w:eastAsiaTheme="minorEastAsia"/>
          <w:sz w:val="24"/>
          <w:szCs w:val="20"/>
        </w:rPr>
        <w:t>月</w:t>
      </w:r>
      <w:r>
        <w:rPr>
          <w:rFonts w:eastAsiaTheme="minorEastAsia"/>
          <w:sz w:val="24"/>
        </w:rPr>
        <w:t>______</w:t>
      </w:r>
      <w:r>
        <w:rPr>
          <w:rFonts w:eastAsiaTheme="minorEastAsia"/>
          <w:sz w:val="24"/>
          <w:szCs w:val="20"/>
        </w:rPr>
        <w:t xml:space="preserve">日   </w:t>
      </w:r>
    </w:p>
    <w:p w14:paraId="18C8FE19">
      <w:pPr>
        <w:tabs>
          <w:tab w:val="left" w:pos="8280"/>
        </w:tabs>
        <w:spacing w:line="360" w:lineRule="auto"/>
        <w:ind w:firstLine="480"/>
        <w:rPr>
          <w:rFonts w:eastAsiaTheme="minorEastAsia"/>
          <w:sz w:val="24"/>
        </w:rPr>
      </w:pPr>
    </w:p>
    <w:p w14:paraId="71C8BE40">
      <w:pPr>
        <w:tabs>
          <w:tab w:val="left" w:pos="8280"/>
        </w:tabs>
        <w:spacing w:line="360" w:lineRule="auto"/>
        <w:rPr>
          <w:rFonts w:eastAsiaTheme="minorEastAsia"/>
          <w:sz w:val="24"/>
        </w:rPr>
      </w:pPr>
      <w:r>
        <w:rPr>
          <w:rFonts w:eastAsiaTheme="minorEastAsia"/>
          <w:sz w:val="24"/>
        </w:rPr>
        <w:t>注：</w:t>
      </w:r>
    </w:p>
    <w:p w14:paraId="3D378DCB">
      <w:pPr>
        <w:tabs>
          <w:tab w:val="left" w:pos="8280"/>
        </w:tabs>
        <w:spacing w:line="360" w:lineRule="auto"/>
        <w:rPr>
          <w:sz w:val="24"/>
        </w:rPr>
      </w:pPr>
      <w:r>
        <w:rPr>
          <w:sz w:val="24"/>
        </w:rPr>
        <w:t>（1）</w:t>
      </w:r>
      <w:r>
        <w:rPr>
          <w:rFonts w:eastAsiaTheme="minorEastAsia"/>
          <w:sz w:val="24"/>
        </w:rPr>
        <w:t>当供应商属于本部分说明中第（2）类情形，必须提供，否则</w:t>
      </w:r>
      <w:r>
        <w:rPr>
          <w:rFonts w:eastAsiaTheme="minorEastAsia"/>
          <w:b/>
          <w:sz w:val="24"/>
        </w:rPr>
        <w:t>响应无效；</w:t>
      </w:r>
      <w:r>
        <w:rPr>
          <w:rFonts w:eastAsiaTheme="minorEastAsia"/>
          <w:sz w:val="24"/>
        </w:rPr>
        <w:t>其他情形无须提供；</w:t>
      </w:r>
      <w:r>
        <w:rPr>
          <w:sz w:val="24"/>
        </w:rPr>
        <w:t xml:space="preserve"> </w:t>
      </w:r>
    </w:p>
    <w:p w14:paraId="174777FF">
      <w:pPr>
        <w:tabs>
          <w:tab w:val="left" w:pos="8280"/>
        </w:tabs>
        <w:spacing w:line="360" w:lineRule="auto"/>
        <w:rPr>
          <w:rFonts w:eastAsiaTheme="minorEastAsia"/>
          <w:sz w:val="24"/>
        </w:rPr>
      </w:pPr>
      <w:r>
        <w:rPr>
          <w:sz w:val="24"/>
        </w:rPr>
        <w:t>（2）</w:t>
      </w:r>
      <w:r>
        <w:rPr>
          <w:rFonts w:eastAsiaTheme="minorEastAsia"/>
          <w:sz w:val="24"/>
        </w:rPr>
        <w:t>供应商须与所有拟分包单位分别签订《分包意向协议》，每单位签订一份，并在响应文件中提交全部协议原件的电子件，否则</w:t>
      </w:r>
      <w:r>
        <w:rPr>
          <w:rFonts w:eastAsiaTheme="minorEastAsia"/>
          <w:b/>
          <w:sz w:val="24"/>
        </w:rPr>
        <w:t>响应无效</w:t>
      </w:r>
      <w:r>
        <w:rPr>
          <w:rFonts w:eastAsiaTheme="minorEastAsia"/>
          <w:sz w:val="24"/>
        </w:rPr>
        <w:t>。</w:t>
      </w:r>
    </w:p>
    <w:p w14:paraId="2BD31D8C">
      <w:pPr>
        <w:tabs>
          <w:tab w:val="left" w:pos="8280"/>
        </w:tabs>
        <w:spacing w:line="360" w:lineRule="auto"/>
        <w:rPr>
          <w:rFonts w:eastAsiaTheme="minorEastAsia"/>
          <w:sz w:val="24"/>
        </w:rPr>
        <w:sectPr>
          <w:headerReference r:id="rId19" w:type="first"/>
          <w:footerReference r:id="rId21" w:type="first"/>
          <w:headerReference r:id="rId18" w:type="even"/>
          <w:footerReference r:id="rId20" w:type="even"/>
          <w:pgSz w:w="11907" w:h="16840"/>
          <w:pgMar w:top="1418" w:right="1134" w:bottom="1418" w:left="1701" w:header="851" w:footer="851" w:gutter="0"/>
          <w:cols w:space="720" w:num="1"/>
          <w:docGrid w:linePitch="462" w:charSpace="0"/>
        </w:sectPr>
      </w:pPr>
    </w:p>
    <w:p w14:paraId="5D214844">
      <w:pPr>
        <w:spacing w:line="360" w:lineRule="auto"/>
        <w:outlineLvl w:val="2"/>
        <w:rPr>
          <w:rFonts w:eastAsiaTheme="minorEastAsia"/>
          <w:sz w:val="24"/>
          <w:szCs w:val="20"/>
        </w:rPr>
      </w:pPr>
      <w:r>
        <w:rPr>
          <w:rFonts w:eastAsiaTheme="minorEastAsia"/>
          <w:sz w:val="24"/>
          <w:szCs w:val="20"/>
        </w:rPr>
        <w:t xml:space="preserve">2-2 </w:t>
      </w:r>
      <w:r>
        <w:rPr>
          <w:rFonts w:eastAsiaTheme="minorEastAsia"/>
          <w:sz w:val="24"/>
        </w:rPr>
        <w:t>其它落实政府采购政策的资格要求</w:t>
      </w:r>
      <w:r>
        <w:rPr>
          <w:rFonts w:eastAsiaTheme="minorEastAsia"/>
          <w:sz w:val="24"/>
          <w:szCs w:val="20"/>
        </w:rPr>
        <w:t>（如有）</w:t>
      </w:r>
    </w:p>
    <w:p w14:paraId="60DE52AF">
      <w:pPr>
        <w:widowControl/>
        <w:jc w:val="left"/>
        <w:rPr>
          <w:rFonts w:eastAsiaTheme="minorEastAsia"/>
          <w:sz w:val="24"/>
        </w:rPr>
      </w:pPr>
    </w:p>
    <w:p w14:paraId="4C16F8B0">
      <w:pPr>
        <w:widowControl/>
        <w:jc w:val="left"/>
        <w:rPr>
          <w:rFonts w:eastAsiaTheme="minorEastAsia"/>
          <w:sz w:val="24"/>
        </w:rPr>
      </w:pPr>
      <w:r>
        <w:rPr>
          <w:rFonts w:eastAsiaTheme="minorEastAsia"/>
          <w:sz w:val="24"/>
        </w:rPr>
        <w:br w:type="page"/>
      </w:r>
    </w:p>
    <w:p w14:paraId="284F4E1B">
      <w:pPr>
        <w:tabs>
          <w:tab w:val="left" w:pos="360"/>
        </w:tabs>
        <w:snapToGrid w:val="0"/>
        <w:spacing w:line="360" w:lineRule="auto"/>
        <w:outlineLvl w:val="1"/>
        <w:rPr>
          <w:rFonts w:eastAsiaTheme="minorEastAsia"/>
          <w:sz w:val="24"/>
        </w:rPr>
      </w:pPr>
      <w:r>
        <w:rPr>
          <w:rFonts w:eastAsiaTheme="minorEastAsia"/>
          <w:sz w:val="24"/>
        </w:rPr>
        <w:t>3 本项目的特定资格要求（如有）</w:t>
      </w:r>
    </w:p>
    <w:p w14:paraId="0574374E">
      <w:pPr>
        <w:spacing w:line="360" w:lineRule="auto"/>
        <w:outlineLvl w:val="2"/>
        <w:rPr>
          <w:rFonts w:eastAsiaTheme="minorEastAsia"/>
          <w:sz w:val="24"/>
          <w:szCs w:val="20"/>
        </w:rPr>
      </w:pPr>
      <w:r>
        <w:rPr>
          <w:rFonts w:eastAsiaTheme="minorEastAsia"/>
          <w:sz w:val="24"/>
          <w:szCs w:val="20"/>
        </w:rPr>
        <w:t>3-1 联合协议（如有）</w:t>
      </w:r>
    </w:p>
    <w:p w14:paraId="567A687A">
      <w:pPr>
        <w:autoSpaceDE w:val="0"/>
        <w:autoSpaceDN w:val="0"/>
        <w:adjustRightInd w:val="0"/>
        <w:spacing w:line="360" w:lineRule="auto"/>
        <w:jc w:val="center"/>
        <w:rPr>
          <w:rFonts w:eastAsiaTheme="minorEastAsia"/>
          <w:b/>
          <w:sz w:val="36"/>
          <w:szCs w:val="36"/>
        </w:rPr>
      </w:pPr>
      <w:r>
        <w:rPr>
          <w:rFonts w:eastAsiaTheme="minorEastAsia"/>
          <w:b/>
          <w:sz w:val="36"/>
          <w:szCs w:val="36"/>
        </w:rPr>
        <w:t>联合协议</w:t>
      </w:r>
    </w:p>
    <w:p w14:paraId="3106F28D">
      <w:pPr>
        <w:spacing w:line="360" w:lineRule="auto"/>
        <w:ind w:firstLine="828" w:firstLineChars="345"/>
        <w:rPr>
          <w:rFonts w:eastAsiaTheme="minorEastAsia"/>
          <w:bCs/>
        </w:rPr>
      </w:pPr>
      <w:r>
        <w:rPr>
          <w:rFonts w:eastAsiaTheme="minorEastAsia"/>
          <w:sz w:val="24"/>
        </w:rPr>
        <w:t>______</w:t>
      </w:r>
      <w:r>
        <w:rPr>
          <w:rFonts w:eastAsiaTheme="minorEastAsia"/>
          <w:bCs/>
          <w:sz w:val="24"/>
        </w:rPr>
        <w:t xml:space="preserve"> 、</w:t>
      </w:r>
      <w:r>
        <w:rPr>
          <w:rFonts w:eastAsiaTheme="minorEastAsia"/>
          <w:sz w:val="24"/>
        </w:rPr>
        <w:t>______</w:t>
      </w:r>
      <w:r>
        <w:rPr>
          <w:rFonts w:eastAsiaTheme="minorEastAsia"/>
          <w:bCs/>
          <w:sz w:val="24"/>
        </w:rPr>
        <w:t>及</w:t>
      </w:r>
      <w:r>
        <w:rPr>
          <w:rFonts w:eastAsiaTheme="minorEastAsia"/>
          <w:sz w:val="24"/>
        </w:rPr>
        <w:t>______</w:t>
      </w:r>
      <w:r>
        <w:rPr>
          <w:rFonts w:eastAsiaTheme="minorEastAsia"/>
          <w:bCs/>
          <w:sz w:val="24"/>
        </w:rPr>
        <w:t>就“</w:t>
      </w:r>
      <w:r>
        <w:rPr>
          <w:rFonts w:eastAsiaTheme="minorEastAsia"/>
          <w:sz w:val="24"/>
        </w:rPr>
        <w:t>______</w:t>
      </w:r>
      <w:r>
        <w:rPr>
          <w:rFonts w:eastAsiaTheme="minorEastAsia"/>
          <w:bCs/>
          <w:sz w:val="24"/>
        </w:rPr>
        <w:t>（项目名称）</w:t>
      </w:r>
      <w:r>
        <w:rPr>
          <w:rFonts w:eastAsiaTheme="minorEastAsia"/>
          <w:sz w:val="24"/>
        </w:rPr>
        <w:t>” ______包</w:t>
      </w:r>
      <w:r>
        <w:rPr>
          <w:rFonts w:eastAsiaTheme="minorEastAsia"/>
          <w:bCs/>
          <w:sz w:val="24"/>
        </w:rPr>
        <w:t>采购项目的磋商事宜，经各方充分协商一致，达成如下协议：</w:t>
      </w:r>
    </w:p>
    <w:p w14:paraId="7293EA14">
      <w:pPr>
        <w:numPr>
          <w:ilvl w:val="0"/>
          <w:numId w:val="15"/>
        </w:numPr>
        <w:spacing w:line="360" w:lineRule="auto"/>
        <w:rPr>
          <w:rFonts w:eastAsiaTheme="minorEastAsia"/>
          <w:bCs/>
          <w:sz w:val="24"/>
        </w:rPr>
      </w:pPr>
      <w:r>
        <w:rPr>
          <w:rFonts w:eastAsiaTheme="minorEastAsia"/>
          <w:bCs/>
          <w:sz w:val="24"/>
        </w:rPr>
        <w:t>由</w:t>
      </w:r>
      <w:r>
        <w:rPr>
          <w:rFonts w:eastAsiaTheme="minorEastAsia"/>
          <w:sz w:val="24"/>
        </w:rPr>
        <w:t>____</w:t>
      </w:r>
      <w:r>
        <w:rPr>
          <w:bCs/>
          <w:sz w:val="24"/>
        </w:rPr>
        <w:t>__</w:t>
      </w:r>
      <w:r>
        <w:rPr>
          <w:rFonts w:eastAsiaTheme="minorEastAsia"/>
          <w:sz w:val="24"/>
        </w:rPr>
        <w:t>__</w:t>
      </w:r>
      <w:r>
        <w:rPr>
          <w:rFonts w:eastAsiaTheme="minorEastAsia"/>
          <w:bCs/>
          <w:sz w:val="24"/>
        </w:rPr>
        <w:t>牵头，</w:t>
      </w:r>
      <w:r>
        <w:rPr>
          <w:rFonts w:eastAsiaTheme="minorEastAsia"/>
          <w:sz w:val="24"/>
        </w:rPr>
        <w:t>___</w:t>
      </w:r>
      <w:r>
        <w:rPr>
          <w:bCs/>
          <w:sz w:val="24"/>
        </w:rPr>
        <w:t>__</w:t>
      </w:r>
      <w:r>
        <w:rPr>
          <w:rFonts w:eastAsiaTheme="minorEastAsia"/>
          <w:sz w:val="24"/>
        </w:rPr>
        <w:t>___</w:t>
      </w:r>
      <w:r>
        <w:rPr>
          <w:rFonts w:eastAsiaTheme="minorEastAsia"/>
          <w:bCs/>
          <w:sz w:val="24"/>
        </w:rPr>
        <w:t>、</w:t>
      </w:r>
      <w:r>
        <w:rPr>
          <w:rFonts w:eastAsiaTheme="minorEastAsia"/>
          <w:sz w:val="24"/>
        </w:rPr>
        <w:t>___</w:t>
      </w:r>
      <w:r>
        <w:rPr>
          <w:bCs/>
          <w:sz w:val="24"/>
        </w:rPr>
        <w:t>__</w:t>
      </w:r>
      <w:r>
        <w:rPr>
          <w:rFonts w:eastAsiaTheme="minorEastAsia"/>
          <w:sz w:val="24"/>
        </w:rPr>
        <w:t>___</w:t>
      </w:r>
      <w:r>
        <w:rPr>
          <w:rFonts w:eastAsiaTheme="minorEastAsia"/>
          <w:bCs/>
          <w:sz w:val="24"/>
        </w:rPr>
        <w:t>参加，组成联合体共同进行采购项目的磋商工作。</w:t>
      </w:r>
    </w:p>
    <w:p w14:paraId="2F87FFD2">
      <w:pPr>
        <w:numPr>
          <w:ilvl w:val="0"/>
          <w:numId w:val="15"/>
        </w:numPr>
        <w:spacing w:line="360" w:lineRule="auto"/>
        <w:rPr>
          <w:rFonts w:eastAsiaTheme="minorEastAsia"/>
          <w:bCs/>
          <w:sz w:val="24"/>
        </w:rPr>
      </w:pPr>
      <w:r>
        <w:rPr>
          <w:rFonts w:eastAsiaTheme="minorEastAsia"/>
          <w:bCs/>
          <w:sz w:val="24"/>
        </w:rPr>
        <w:t>联合体成交后，联合体各方共同与采购人签订合同，就</w:t>
      </w:r>
      <w:r>
        <w:rPr>
          <w:rFonts w:eastAsiaTheme="minorEastAsia"/>
          <w:sz w:val="24"/>
          <w:szCs w:val="20"/>
        </w:rPr>
        <w:t>采购合同约定的事项</w:t>
      </w:r>
      <w:r>
        <w:rPr>
          <w:rFonts w:eastAsiaTheme="minorEastAsia"/>
          <w:bCs/>
          <w:sz w:val="24"/>
        </w:rPr>
        <w:t>对采购人承担连带责任。</w:t>
      </w:r>
    </w:p>
    <w:p w14:paraId="0F6DED30">
      <w:pPr>
        <w:numPr>
          <w:ilvl w:val="0"/>
          <w:numId w:val="15"/>
        </w:numPr>
        <w:spacing w:line="360" w:lineRule="auto"/>
        <w:rPr>
          <w:rFonts w:eastAsiaTheme="minorEastAsia"/>
          <w:bCs/>
          <w:sz w:val="24"/>
        </w:rPr>
      </w:pPr>
      <w:r>
        <w:rPr>
          <w:rFonts w:eastAsiaTheme="minorEastAsia"/>
          <w:bCs/>
          <w:sz w:val="24"/>
        </w:rPr>
        <w:t>联合体各方均同意由牵头人代表其他联合体成员单位按竞争性磋商文件要求出具《授权委托书》。</w:t>
      </w:r>
    </w:p>
    <w:p w14:paraId="0731125F">
      <w:pPr>
        <w:numPr>
          <w:ilvl w:val="0"/>
          <w:numId w:val="15"/>
        </w:numPr>
        <w:spacing w:line="360" w:lineRule="auto"/>
        <w:rPr>
          <w:rFonts w:eastAsiaTheme="minorEastAsia"/>
          <w:bCs/>
          <w:sz w:val="24"/>
        </w:rPr>
      </w:pPr>
      <w:r>
        <w:rPr>
          <w:rFonts w:eastAsiaTheme="minorEastAsia"/>
          <w:bCs/>
          <w:sz w:val="24"/>
        </w:rPr>
        <w:t>牵头人为项目的总负责单位；组织各参加方进行项目实施工作。</w:t>
      </w:r>
    </w:p>
    <w:p w14:paraId="009A8861">
      <w:pPr>
        <w:numPr>
          <w:ilvl w:val="0"/>
          <w:numId w:val="15"/>
        </w:numPr>
        <w:spacing w:line="360" w:lineRule="auto"/>
        <w:rPr>
          <w:rFonts w:eastAsiaTheme="minorEastAsia"/>
          <w:bCs/>
          <w:sz w:val="24"/>
        </w:rPr>
      </w:pPr>
      <w:r>
        <w:rPr>
          <w:rFonts w:eastAsiaTheme="minorEastAsia"/>
          <w:sz w:val="24"/>
        </w:rPr>
        <w:t>______</w:t>
      </w:r>
      <w:r>
        <w:rPr>
          <w:rFonts w:eastAsiaTheme="minorEastAsia"/>
          <w:bCs/>
          <w:sz w:val="24"/>
        </w:rPr>
        <w:t>负责</w:t>
      </w:r>
      <w:r>
        <w:rPr>
          <w:rFonts w:eastAsiaTheme="minorEastAsia"/>
          <w:sz w:val="24"/>
        </w:rPr>
        <w:t>______</w:t>
      </w:r>
      <w:r>
        <w:rPr>
          <w:rFonts w:eastAsiaTheme="minorEastAsia"/>
          <w:bCs/>
          <w:sz w:val="24"/>
        </w:rPr>
        <w:t>，具体工作范围、内容以响应文件及合同为准。</w:t>
      </w:r>
    </w:p>
    <w:p w14:paraId="436E97C0">
      <w:pPr>
        <w:numPr>
          <w:ilvl w:val="0"/>
          <w:numId w:val="15"/>
        </w:numPr>
        <w:spacing w:line="360" w:lineRule="auto"/>
        <w:rPr>
          <w:rFonts w:eastAsiaTheme="minorEastAsia"/>
          <w:bCs/>
          <w:sz w:val="24"/>
        </w:rPr>
      </w:pPr>
      <w:r>
        <w:rPr>
          <w:rFonts w:eastAsiaTheme="minorEastAsia"/>
          <w:sz w:val="24"/>
        </w:rPr>
        <w:t>______</w:t>
      </w:r>
      <w:r>
        <w:rPr>
          <w:rFonts w:eastAsiaTheme="minorEastAsia"/>
          <w:bCs/>
          <w:sz w:val="24"/>
        </w:rPr>
        <w:t>负责</w:t>
      </w:r>
      <w:r>
        <w:rPr>
          <w:rFonts w:eastAsiaTheme="minorEastAsia"/>
          <w:sz w:val="24"/>
        </w:rPr>
        <w:t>______</w:t>
      </w:r>
      <w:r>
        <w:rPr>
          <w:rFonts w:eastAsiaTheme="minorEastAsia"/>
          <w:bCs/>
          <w:sz w:val="24"/>
        </w:rPr>
        <w:t>，具体工作范围、内容以响应文件及合同为准。</w:t>
      </w:r>
    </w:p>
    <w:p w14:paraId="04C08888">
      <w:pPr>
        <w:numPr>
          <w:ilvl w:val="0"/>
          <w:numId w:val="15"/>
        </w:numPr>
        <w:spacing w:line="360" w:lineRule="auto"/>
        <w:rPr>
          <w:rFonts w:eastAsiaTheme="minorEastAsia"/>
          <w:bCs/>
          <w:sz w:val="24"/>
        </w:rPr>
      </w:pPr>
      <w:r>
        <w:rPr>
          <w:rFonts w:eastAsiaTheme="minorEastAsia"/>
          <w:sz w:val="24"/>
        </w:rPr>
        <w:t>______</w:t>
      </w:r>
      <w:r>
        <w:rPr>
          <w:rFonts w:eastAsiaTheme="minorEastAsia"/>
          <w:bCs/>
          <w:sz w:val="24"/>
        </w:rPr>
        <w:t>负责</w:t>
      </w:r>
      <w:r>
        <w:rPr>
          <w:rFonts w:eastAsiaTheme="minorEastAsia"/>
          <w:sz w:val="24"/>
        </w:rPr>
        <w:t>______</w:t>
      </w:r>
      <w:r>
        <w:rPr>
          <w:rFonts w:eastAsiaTheme="minorEastAsia"/>
          <w:bCs/>
          <w:sz w:val="24"/>
        </w:rPr>
        <w:t>（如有），具体工作范围、内容以响应文件及合同为准。</w:t>
      </w:r>
    </w:p>
    <w:p w14:paraId="694277EF">
      <w:pPr>
        <w:numPr>
          <w:ilvl w:val="0"/>
          <w:numId w:val="15"/>
        </w:numPr>
        <w:spacing w:line="360" w:lineRule="auto"/>
        <w:rPr>
          <w:rFonts w:eastAsiaTheme="minorEastAsia"/>
          <w:sz w:val="24"/>
        </w:rPr>
      </w:pPr>
      <w:r>
        <w:rPr>
          <w:rFonts w:eastAsiaTheme="minorEastAsia"/>
          <w:sz w:val="24"/>
        </w:rPr>
        <w:t>本项目联合协议合同总额为______元，联合体各成员按照如下比例分摊（按联合体成员分别列明）：</w:t>
      </w:r>
    </w:p>
    <w:p w14:paraId="3600044F">
      <w:pPr>
        <w:tabs>
          <w:tab w:val="left" w:pos="720"/>
          <w:tab w:val="left" w:pos="900"/>
        </w:tabs>
        <w:spacing w:line="360" w:lineRule="auto"/>
        <w:ind w:left="851"/>
        <w:rPr>
          <w:rFonts w:eastAsiaTheme="minorEastAsia"/>
          <w:sz w:val="24"/>
          <w:szCs w:val="20"/>
        </w:rPr>
      </w:pPr>
      <w:r>
        <w:rPr>
          <w:rFonts w:eastAsiaTheme="minorEastAsia"/>
          <w:sz w:val="24"/>
          <w:szCs w:val="20"/>
        </w:rPr>
        <w:t>（1）</w:t>
      </w:r>
      <w:r>
        <w:rPr>
          <w:rFonts w:eastAsiaTheme="minorEastAsia"/>
          <w:sz w:val="24"/>
        </w:rPr>
        <w:t>______</w:t>
      </w:r>
      <w:r>
        <w:rPr>
          <w:rFonts w:eastAsiaTheme="minorEastAsia"/>
          <w:sz w:val="24"/>
          <w:szCs w:val="20"/>
        </w:rPr>
        <w:t>为□大型企业□中型企业、□小微企业（包含监狱企业、残疾人福利性单位）、□其他，合同金额为</w:t>
      </w:r>
      <w:r>
        <w:rPr>
          <w:rFonts w:eastAsiaTheme="minorEastAsia"/>
          <w:sz w:val="24"/>
        </w:rPr>
        <w:t>______</w:t>
      </w:r>
      <w:r>
        <w:rPr>
          <w:rFonts w:eastAsiaTheme="minorEastAsia"/>
          <w:sz w:val="24"/>
          <w:szCs w:val="20"/>
        </w:rPr>
        <w:t>元；</w:t>
      </w:r>
    </w:p>
    <w:p w14:paraId="39B22789">
      <w:pPr>
        <w:tabs>
          <w:tab w:val="left" w:pos="720"/>
          <w:tab w:val="left" w:pos="900"/>
        </w:tabs>
        <w:spacing w:line="360" w:lineRule="auto"/>
        <w:ind w:left="851"/>
        <w:rPr>
          <w:rFonts w:eastAsiaTheme="minorEastAsia"/>
          <w:sz w:val="24"/>
          <w:szCs w:val="20"/>
        </w:rPr>
      </w:pPr>
      <w:r>
        <w:rPr>
          <w:rFonts w:eastAsiaTheme="minorEastAsia"/>
          <w:sz w:val="24"/>
          <w:szCs w:val="20"/>
        </w:rPr>
        <w:t>（2）</w:t>
      </w:r>
      <w:r>
        <w:rPr>
          <w:rFonts w:eastAsiaTheme="minorEastAsia"/>
          <w:sz w:val="24"/>
        </w:rPr>
        <w:t>______</w:t>
      </w:r>
      <w:r>
        <w:rPr>
          <w:rFonts w:eastAsiaTheme="minorEastAsia"/>
          <w:sz w:val="24"/>
          <w:szCs w:val="20"/>
        </w:rPr>
        <w:t>为□大型企业□中型企业、□小微企业（包含监狱企业、残疾人福利性单位）、□其他，合同金额为</w:t>
      </w:r>
      <w:r>
        <w:rPr>
          <w:rFonts w:eastAsiaTheme="minorEastAsia"/>
          <w:sz w:val="24"/>
        </w:rPr>
        <w:t>______</w:t>
      </w:r>
      <w:r>
        <w:rPr>
          <w:rFonts w:eastAsiaTheme="minorEastAsia"/>
          <w:sz w:val="24"/>
          <w:szCs w:val="20"/>
        </w:rPr>
        <w:t>元；</w:t>
      </w:r>
    </w:p>
    <w:p w14:paraId="02A38EA3">
      <w:pPr>
        <w:tabs>
          <w:tab w:val="left" w:pos="720"/>
          <w:tab w:val="left" w:pos="900"/>
        </w:tabs>
        <w:spacing w:line="360" w:lineRule="auto"/>
        <w:ind w:left="851"/>
        <w:rPr>
          <w:rFonts w:eastAsiaTheme="minorEastAsia"/>
          <w:sz w:val="24"/>
          <w:szCs w:val="20"/>
        </w:rPr>
      </w:pPr>
      <w:r>
        <w:rPr>
          <w:rFonts w:eastAsiaTheme="minorEastAsia"/>
          <w:sz w:val="24"/>
          <w:szCs w:val="20"/>
        </w:rPr>
        <w:t>（…）</w:t>
      </w:r>
      <w:r>
        <w:rPr>
          <w:rFonts w:eastAsiaTheme="minorEastAsia"/>
          <w:sz w:val="24"/>
        </w:rPr>
        <w:t>______</w:t>
      </w:r>
      <w:r>
        <w:rPr>
          <w:rFonts w:eastAsiaTheme="minorEastAsia"/>
          <w:sz w:val="24"/>
          <w:szCs w:val="20"/>
        </w:rPr>
        <w:t>为□大型企业□中型企业、□小微企业（包含监狱企业、残疾人福利性单位）、□其他，合同金额为</w:t>
      </w:r>
      <w:r>
        <w:rPr>
          <w:rFonts w:eastAsiaTheme="minorEastAsia"/>
          <w:sz w:val="24"/>
        </w:rPr>
        <w:t>______</w:t>
      </w:r>
      <w:r>
        <w:rPr>
          <w:rFonts w:eastAsiaTheme="minorEastAsia"/>
          <w:sz w:val="24"/>
          <w:szCs w:val="20"/>
        </w:rPr>
        <w:t>元。</w:t>
      </w:r>
    </w:p>
    <w:p w14:paraId="57A3AADA">
      <w:pPr>
        <w:numPr>
          <w:ilvl w:val="0"/>
          <w:numId w:val="15"/>
        </w:numPr>
        <w:tabs>
          <w:tab w:val="left" w:pos="993"/>
        </w:tabs>
        <w:spacing w:line="360" w:lineRule="auto"/>
        <w:rPr>
          <w:rFonts w:eastAsiaTheme="minorEastAsia"/>
          <w:bCs/>
          <w:sz w:val="24"/>
        </w:rPr>
      </w:pPr>
      <w:r>
        <w:rPr>
          <w:rFonts w:eastAsiaTheme="minorEastAsia"/>
          <w:sz w:val="24"/>
          <w:szCs w:val="20"/>
        </w:rPr>
        <w:t>以联合体形式参加政府采购活动的，联合体各方不得再单独参加或者与其他供应商另外组成联合体参加同一合同项下的政府采购活动。</w:t>
      </w:r>
    </w:p>
    <w:p w14:paraId="3CDE4A69">
      <w:pPr>
        <w:numPr>
          <w:ilvl w:val="0"/>
          <w:numId w:val="15"/>
        </w:numPr>
        <w:spacing w:line="360" w:lineRule="auto"/>
        <w:rPr>
          <w:rFonts w:eastAsiaTheme="minorEastAsia"/>
          <w:bCs/>
          <w:sz w:val="24"/>
        </w:rPr>
      </w:pPr>
      <w:r>
        <w:rPr>
          <w:rFonts w:eastAsiaTheme="minorEastAsia"/>
          <w:bCs/>
          <w:sz w:val="24"/>
        </w:rPr>
        <w:t>其他约定（如有）：</w:t>
      </w:r>
      <w:r>
        <w:rPr>
          <w:rFonts w:eastAsiaTheme="minorEastAsia"/>
          <w:sz w:val="24"/>
        </w:rPr>
        <w:t>______。</w:t>
      </w:r>
    </w:p>
    <w:p w14:paraId="36D96720">
      <w:pPr>
        <w:tabs>
          <w:tab w:val="left" w:pos="780"/>
        </w:tabs>
        <w:spacing w:line="360" w:lineRule="auto"/>
        <w:ind w:left="180" w:firstLine="480" w:firstLineChars="200"/>
        <w:rPr>
          <w:sz w:val="24"/>
        </w:rPr>
      </w:pPr>
      <w:r>
        <w:rPr>
          <w:rFonts w:eastAsiaTheme="minorEastAsia"/>
          <w:bCs/>
          <w:sz w:val="24"/>
        </w:rPr>
        <w:t>本协议自各方盖章后生效，采购合同履行完毕后自动失效。如未成交，本协议自动终止。</w:t>
      </w:r>
      <w:r>
        <w:rPr>
          <w:rFonts w:eastAsiaTheme="minorEastAsia"/>
          <w:sz w:val="24"/>
        </w:rPr>
        <w:br w:type="page"/>
      </w:r>
    </w:p>
    <w:p w14:paraId="4D560D51">
      <w:pPr>
        <w:spacing w:line="360" w:lineRule="auto"/>
        <w:ind w:firstLine="471"/>
        <w:rPr>
          <w:sz w:val="24"/>
        </w:rPr>
      </w:pPr>
      <w:r>
        <w:rPr>
          <w:sz w:val="24"/>
        </w:rPr>
        <w:t>联合体牵头人名称：</w:t>
      </w:r>
      <w:r>
        <w:rPr>
          <w:sz w:val="24"/>
          <w:szCs w:val="20"/>
        </w:rPr>
        <w:t>______</w:t>
      </w:r>
      <w:r>
        <w:rPr>
          <w:sz w:val="24"/>
        </w:rPr>
        <w:tab/>
      </w:r>
      <w:r>
        <w:rPr>
          <w:sz w:val="24"/>
        </w:rPr>
        <w:tab/>
      </w:r>
      <w:r>
        <w:rPr>
          <w:sz w:val="24"/>
        </w:rPr>
        <w:tab/>
      </w:r>
      <w:r>
        <w:rPr>
          <w:sz w:val="24"/>
        </w:rPr>
        <w:tab/>
      </w:r>
      <w:r>
        <w:rPr>
          <w:sz w:val="24"/>
        </w:rPr>
        <w:tab/>
      </w:r>
      <w:r>
        <w:rPr>
          <w:sz w:val="24"/>
        </w:rPr>
        <w:t xml:space="preserve"> 联合体成员名称：</w:t>
      </w:r>
      <w:r>
        <w:rPr>
          <w:sz w:val="24"/>
          <w:szCs w:val="20"/>
        </w:rPr>
        <w:t>______</w:t>
      </w:r>
    </w:p>
    <w:p w14:paraId="7949BC55">
      <w:pPr>
        <w:spacing w:line="360" w:lineRule="auto"/>
        <w:ind w:firstLine="471"/>
        <w:rPr>
          <w:sz w:val="24"/>
        </w:rPr>
      </w:pPr>
      <w:r>
        <w:rPr>
          <w:sz w:val="24"/>
        </w:rPr>
        <w:t>盖章：</w:t>
      </w:r>
      <w:r>
        <w:rPr>
          <w:sz w:val="24"/>
          <w:szCs w:val="20"/>
        </w:rPr>
        <w:t>______</w:t>
      </w:r>
      <w:r>
        <w:rPr>
          <w:sz w:val="24"/>
        </w:rPr>
        <w:t xml:space="preserve">                           盖章：</w:t>
      </w:r>
      <w:r>
        <w:rPr>
          <w:sz w:val="24"/>
          <w:szCs w:val="20"/>
        </w:rPr>
        <w:t>______</w:t>
      </w:r>
    </w:p>
    <w:p w14:paraId="1CCAF5E7">
      <w:pPr>
        <w:spacing w:line="360" w:lineRule="auto"/>
        <w:ind w:firstLine="471"/>
        <w:rPr>
          <w:sz w:val="24"/>
        </w:rPr>
      </w:pPr>
    </w:p>
    <w:p w14:paraId="31485D7C">
      <w:pPr>
        <w:spacing w:line="360" w:lineRule="auto"/>
        <w:ind w:firstLine="471"/>
        <w:rPr>
          <w:sz w:val="24"/>
        </w:rPr>
      </w:pPr>
    </w:p>
    <w:p w14:paraId="40372B39">
      <w:pPr>
        <w:spacing w:line="360" w:lineRule="auto"/>
        <w:ind w:firstLine="471"/>
        <w:rPr>
          <w:sz w:val="24"/>
        </w:rPr>
      </w:pPr>
      <w:r>
        <w:rPr>
          <w:sz w:val="24"/>
        </w:rPr>
        <w:t>联合体成员名称：</w:t>
      </w:r>
      <w:r>
        <w:rPr>
          <w:sz w:val="24"/>
          <w:szCs w:val="20"/>
        </w:rPr>
        <w:t>______</w:t>
      </w:r>
    </w:p>
    <w:p w14:paraId="1F8206FF">
      <w:pPr>
        <w:widowControl/>
        <w:ind w:firstLine="480" w:firstLineChars="200"/>
        <w:jc w:val="left"/>
        <w:rPr>
          <w:rFonts w:eastAsiaTheme="minorEastAsia"/>
          <w:sz w:val="24"/>
        </w:rPr>
      </w:pPr>
      <w:r>
        <w:rPr>
          <w:sz w:val="24"/>
        </w:rPr>
        <w:t>盖章：</w:t>
      </w:r>
      <w:r>
        <w:rPr>
          <w:sz w:val="24"/>
          <w:szCs w:val="20"/>
        </w:rPr>
        <w:t>______</w:t>
      </w:r>
      <w:r>
        <w:rPr>
          <w:sz w:val="24"/>
        </w:rPr>
        <w:t xml:space="preserve">        </w:t>
      </w:r>
      <w:r>
        <w:rPr>
          <w:rFonts w:eastAsiaTheme="minorEastAsia"/>
          <w:sz w:val="24"/>
        </w:rPr>
        <w:t xml:space="preserve"> </w:t>
      </w:r>
    </w:p>
    <w:p w14:paraId="5A531D95">
      <w:pPr>
        <w:spacing w:line="360" w:lineRule="auto"/>
        <w:ind w:left="480"/>
        <w:jc w:val="right"/>
        <w:rPr>
          <w:rFonts w:eastAsiaTheme="minorEastAsia"/>
          <w:sz w:val="24"/>
        </w:rPr>
      </w:pPr>
    </w:p>
    <w:p w14:paraId="41A2B8C4">
      <w:pPr>
        <w:spacing w:line="360" w:lineRule="auto"/>
        <w:ind w:left="480"/>
        <w:jc w:val="right"/>
        <w:rPr>
          <w:rFonts w:eastAsiaTheme="minorEastAsia"/>
          <w:sz w:val="24"/>
        </w:rPr>
      </w:pPr>
      <w:r>
        <w:rPr>
          <w:rFonts w:eastAsiaTheme="minorEastAsia"/>
          <w:sz w:val="24"/>
          <w:szCs w:val="20"/>
        </w:rPr>
        <w:t>日期：</w:t>
      </w:r>
      <w:r>
        <w:rPr>
          <w:rFonts w:eastAsiaTheme="minorEastAsia"/>
          <w:sz w:val="24"/>
        </w:rPr>
        <w:t>______</w:t>
      </w:r>
      <w:r>
        <w:rPr>
          <w:rFonts w:eastAsiaTheme="minorEastAsia"/>
          <w:sz w:val="24"/>
          <w:szCs w:val="20"/>
        </w:rPr>
        <w:t>年</w:t>
      </w:r>
      <w:r>
        <w:rPr>
          <w:rFonts w:eastAsiaTheme="minorEastAsia"/>
          <w:sz w:val="24"/>
        </w:rPr>
        <w:t>______</w:t>
      </w:r>
      <w:r>
        <w:rPr>
          <w:rFonts w:eastAsiaTheme="minorEastAsia"/>
          <w:sz w:val="24"/>
          <w:szCs w:val="20"/>
        </w:rPr>
        <w:t>月</w:t>
      </w:r>
      <w:r>
        <w:rPr>
          <w:rFonts w:eastAsiaTheme="minorEastAsia"/>
          <w:sz w:val="24"/>
        </w:rPr>
        <w:t>______</w:t>
      </w:r>
      <w:r>
        <w:rPr>
          <w:rFonts w:eastAsiaTheme="minorEastAsia"/>
          <w:sz w:val="24"/>
          <w:szCs w:val="20"/>
        </w:rPr>
        <w:t>日</w:t>
      </w:r>
    </w:p>
    <w:p w14:paraId="1A9716AA">
      <w:pPr>
        <w:spacing w:line="360" w:lineRule="auto"/>
        <w:ind w:left="480"/>
        <w:jc w:val="right"/>
        <w:rPr>
          <w:rFonts w:eastAsiaTheme="minorEastAsia"/>
          <w:b/>
          <w:sz w:val="24"/>
        </w:rPr>
      </w:pPr>
    </w:p>
    <w:p w14:paraId="314D3AF8">
      <w:pPr>
        <w:tabs>
          <w:tab w:val="left" w:pos="8280"/>
        </w:tabs>
        <w:spacing w:line="360" w:lineRule="auto"/>
        <w:ind w:firstLine="480"/>
        <w:rPr>
          <w:rFonts w:eastAsiaTheme="minorEastAsia"/>
          <w:sz w:val="24"/>
        </w:rPr>
      </w:pPr>
    </w:p>
    <w:p w14:paraId="7ADC134F">
      <w:pPr>
        <w:tabs>
          <w:tab w:val="left" w:pos="8280"/>
        </w:tabs>
        <w:spacing w:line="360" w:lineRule="auto"/>
        <w:ind w:firstLine="480"/>
        <w:rPr>
          <w:rFonts w:eastAsiaTheme="minorEastAsia"/>
          <w:sz w:val="24"/>
        </w:rPr>
      </w:pPr>
    </w:p>
    <w:p w14:paraId="67DDA805">
      <w:pPr>
        <w:spacing w:line="360" w:lineRule="auto"/>
        <w:ind w:left="719" w:leftChars="228" w:hanging="240" w:hangingChars="100"/>
        <w:rPr>
          <w:rFonts w:eastAsiaTheme="minorEastAsia"/>
          <w:sz w:val="24"/>
        </w:rPr>
      </w:pPr>
      <w:r>
        <w:rPr>
          <w:rFonts w:eastAsiaTheme="minorEastAsia"/>
          <w:sz w:val="24"/>
        </w:rPr>
        <w:t>注：</w:t>
      </w:r>
    </w:p>
    <w:p w14:paraId="3D83BE6E">
      <w:pPr>
        <w:spacing w:line="360" w:lineRule="auto"/>
        <w:ind w:left="719" w:leftChars="228" w:hanging="240" w:hangingChars="100"/>
        <w:rPr>
          <w:rFonts w:eastAsiaTheme="minorEastAsia"/>
          <w:sz w:val="24"/>
        </w:rPr>
      </w:pPr>
      <w:r>
        <w:rPr>
          <w:rFonts w:eastAsiaTheme="minorEastAsia"/>
          <w:sz w:val="24"/>
        </w:rPr>
        <w:t>1. 如本项目（包）接受供应商以联合体形式参加采购活动，且供应商以联合体形式参与时，须提供《联合协议》，否则</w:t>
      </w:r>
      <w:r>
        <w:rPr>
          <w:rFonts w:eastAsiaTheme="minorEastAsia"/>
          <w:b/>
          <w:sz w:val="24"/>
        </w:rPr>
        <w:t>响应无效</w:t>
      </w:r>
      <w:r>
        <w:rPr>
          <w:rFonts w:eastAsiaTheme="minorEastAsia"/>
          <w:sz w:val="24"/>
        </w:rPr>
        <w:t>。</w:t>
      </w:r>
    </w:p>
    <w:p w14:paraId="022D4A0C">
      <w:pPr>
        <w:spacing w:line="360" w:lineRule="auto"/>
        <w:ind w:left="719" w:leftChars="228" w:hanging="240" w:hangingChars="100"/>
        <w:rPr>
          <w:rFonts w:eastAsiaTheme="minorEastAsia"/>
          <w:sz w:val="24"/>
        </w:rPr>
      </w:pPr>
      <w:r>
        <w:rPr>
          <w:rFonts w:eastAsiaTheme="minorEastAsia"/>
          <w:sz w:val="24"/>
        </w:rPr>
        <w:t>2. 联合体各方成员</w:t>
      </w:r>
      <w:r>
        <w:rPr>
          <w:rFonts w:hint="eastAsia" w:eastAsiaTheme="minorEastAsia"/>
          <w:sz w:val="24"/>
        </w:rPr>
        <w:t>须</w:t>
      </w:r>
      <w:r>
        <w:rPr>
          <w:rFonts w:eastAsiaTheme="minorEastAsia"/>
          <w:sz w:val="24"/>
        </w:rPr>
        <w:t>在本协议上共同盖章。</w:t>
      </w:r>
    </w:p>
    <w:p w14:paraId="1E7E57CC">
      <w:pPr>
        <w:widowControl/>
        <w:jc w:val="left"/>
        <w:rPr>
          <w:rFonts w:eastAsiaTheme="minorEastAsia"/>
          <w:sz w:val="24"/>
        </w:rPr>
      </w:pPr>
      <w:r>
        <w:rPr>
          <w:rFonts w:eastAsiaTheme="minorEastAsia"/>
          <w:sz w:val="24"/>
        </w:rPr>
        <w:br w:type="page"/>
      </w:r>
    </w:p>
    <w:p w14:paraId="6FFAF1BE">
      <w:pPr>
        <w:spacing w:line="360" w:lineRule="auto"/>
        <w:outlineLvl w:val="2"/>
        <w:rPr>
          <w:rFonts w:eastAsiaTheme="minorEastAsia"/>
          <w:sz w:val="24"/>
          <w:szCs w:val="20"/>
        </w:rPr>
      </w:pPr>
      <w:r>
        <w:rPr>
          <w:rFonts w:eastAsiaTheme="minorEastAsia"/>
          <w:sz w:val="24"/>
          <w:szCs w:val="20"/>
        </w:rPr>
        <w:t>3-2 其他特定资格要求</w:t>
      </w:r>
    </w:p>
    <w:p w14:paraId="0919058E">
      <w:pPr>
        <w:widowControl/>
        <w:numPr>
          <w:ilvl w:val="0"/>
          <w:numId w:val="16"/>
        </w:numPr>
        <w:shd w:val="clear" w:color="auto" w:fill="FFFFFF"/>
        <w:spacing w:after="240" w:line="360" w:lineRule="auto"/>
        <w:jc w:val="left"/>
        <w:rPr>
          <w:rFonts w:ascii="宋体" w:hAnsi="宋体"/>
          <w:sz w:val="24"/>
          <w:szCs w:val="20"/>
        </w:rPr>
      </w:pPr>
      <w:r>
        <w:rPr>
          <w:rFonts w:hint="eastAsia" w:ascii="宋体" w:hAnsi="宋体"/>
          <w:sz w:val="24"/>
          <w:szCs w:val="20"/>
        </w:rPr>
        <w:t>法人或者其他组织，且具备与承接本项目相匹配的能力：提供营业执照等证明材料复印件加盖单位公章。</w:t>
      </w:r>
    </w:p>
    <w:p w14:paraId="1FF6D20F">
      <w:pPr>
        <w:numPr>
          <w:ilvl w:val="0"/>
          <w:numId w:val="16"/>
        </w:numPr>
        <w:shd w:val="clear" w:color="auto" w:fill="FFFFFF"/>
        <w:spacing w:after="240" w:line="360" w:lineRule="auto"/>
        <w:rPr>
          <w:rFonts w:ascii="宋体" w:hAnsi="宋体"/>
          <w:sz w:val="24"/>
          <w:szCs w:val="20"/>
        </w:rPr>
      </w:pPr>
      <w:r>
        <w:rPr>
          <w:rFonts w:ascii="宋体" w:hAnsi="宋体"/>
          <w:sz w:val="24"/>
          <w:szCs w:val="20"/>
        </w:rPr>
        <w:t>企业资质证书：提供</w:t>
      </w:r>
      <w:r>
        <w:rPr>
          <w:rFonts w:hint="eastAsia" w:ascii="宋体" w:hAnsi="宋体"/>
          <w:sz w:val="24"/>
          <w:szCs w:val="20"/>
        </w:rPr>
        <w:t>资质证书复印件加盖单位公章</w:t>
      </w:r>
      <w:r>
        <w:rPr>
          <w:rFonts w:ascii="宋体" w:hAnsi="宋体"/>
          <w:sz w:val="24"/>
          <w:szCs w:val="20"/>
        </w:rPr>
        <w:t>；</w:t>
      </w:r>
    </w:p>
    <w:p w14:paraId="5AE54923">
      <w:pPr>
        <w:shd w:val="clear" w:color="auto" w:fill="FFFFFF"/>
        <w:spacing w:after="240" w:line="360" w:lineRule="auto"/>
        <w:ind w:left="143" w:firstLine="720" w:firstLineChars="300"/>
        <w:rPr>
          <w:rFonts w:ascii="宋体" w:hAnsi="宋体"/>
          <w:sz w:val="24"/>
          <w:szCs w:val="20"/>
        </w:rPr>
      </w:pPr>
      <w:r>
        <w:rPr>
          <w:rFonts w:hint="eastAsia" w:ascii="宋体" w:hAnsi="宋体"/>
          <w:sz w:val="24"/>
          <w:szCs w:val="20"/>
        </w:rPr>
        <w:t>（3）</w:t>
      </w:r>
      <w:r>
        <w:rPr>
          <w:rFonts w:ascii="宋体" w:hAnsi="宋体"/>
          <w:sz w:val="24"/>
          <w:szCs w:val="20"/>
        </w:rPr>
        <w:t>安全生产许可证：提供</w:t>
      </w:r>
      <w:r>
        <w:rPr>
          <w:rFonts w:hint="eastAsia" w:ascii="宋体" w:hAnsi="宋体"/>
          <w:sz w:val="24"/>
          <w:szCs w:val="20"/>
        </w:rPr>
        <w:t>安全生产许可证复印件加盖单位公章；</w:t>
      </w:r>
    </w:p>
    <w:p w14:paraId="2933ACB1">
      <w:pPr>
        <w:shd w:val="clear" w:color="auto" w:fill="FFFFFF"/>
        <w:spacing w:after="240" w:line="360" w:lineRule="auto"/>
        <w:ind w:left="1560" w:leftChars="400" w:hanging="720" w:hangingChars="300"/>
        <w:rPr>
          <w:rFonts w:ascii="宋体" w:hAnsi="宋体"/>
          <w:sz w:val="24"/>
          <w:szCs w:val="20"/>
        </w:rPr>
      </w:pPr>
      <w:r>
        <w:rPr>
          <w:rFonts w:hint="eastAsia" w:ascii="宋体" w:hAnsi="宋体"/>
          <w:sz w:val="24"/>
          <w:szCs w:val="20"/>
        </w:rPr>
        <w:t>（4）拟派项目经理：提供项目经理注册建造师执业资格和有效的安全生产考核合格证书（B本）复印件加盖章单位公章；且在确定成交人时不得担任其他在施建设工程的项目经理的承诺书加盖单位公章。</w:t>
      </w:r>
    </w:p>
    <w:p w14:paraId="3E74C822">
      <w:pPr>
        <w:tabs>
          <w:tab w:val="left" w:pos="5580"/>
        </w:tabs>
        <w:spacing w:line="360" w:lineRule="auto"/>
        <w:rPr>
          <w:rFonts w:eastAsiaTheme="minorEastAsia"/>
          <w:sz w:val="24"/>
        </w:rPr>
      </w:pPr>
    </w:p>
    <w:p w14:paraId="212EA548">
      <w:pPr>
        <w:widowControl/>
        <w:jc w:val="left"/>
        <w:rPr>
          <w:rFonts w:eastAsiaTheme="minorEastAsia"/>
          <w:sz w:val="24"/>
          <w:szCs w:val="20"/>
        </w:rPr>
      </w:pPr>
      <w:r>
        <w:rPr>
          <w:rFonts w:eastAsiaTheme="minorEastAsia"/>
          <w:sz w:val="24"/>
          <w:szCs w:val="20"/>
        </w:rPr>
        <w:br w:type="page"/>
      </w:r>
    </w:p>
    <w:p w14:paraId="15878856">
      <w:pPr>
        <w:snapToGrid w:val="0"/>
        <w:spacing w:line="360" w:lineRule="auto"/>
        <w:outlineLvl w:val="1"/>
        <w:rPr>
          <w:rFonts w:eastAsiaTheme="minorEastAsia"/>
          <w:sz w:val="24"/>
        </w:rPr>
      </w:pPr>
      <w:r>
        <w:rPr>
          <w:rFonts w:eastAsiaTheme="minorEastAsia"/>
          <w:sz w:val="24"/>
        </w:rPr>
        <w:t>4</w:t>
      </w:r>
      <w:r>
        <w:rPr>
          <w:rFonts w:hint="eastAsia"/>
        </w:rPr>
        <w:t xml:space="preserve"> </w:t>
      </w:r>
      <w:r>
        <w:rPr>
          <w:rFonts w:hint="eastAsia" w:eastAsiaTheme="minorEastAsia"/>
          <w:sz w:val="24"/>
        </w:rPr>
        <w:t xml:space="preserve">  磋商保证金凭证/交款单据电子件</w:t>
      </w:r>
    </w:p>
    <w:p w14:paraId="0B86022B">
      <w:pPr>
        <w:tabs>
          <w:tab w:val="left" w:pos="360"/>
        </w:tabs>
        <w:snapToGrid w:val="0"/>
        <w:spacing w:line="360" w:lineRule="auto"/>
        <w:ind w:firstLine="480" w:firstLineChars="200"/>
        <w:outlineLvl w:val="1"/>
        <w:rPr>
          <w:rFonts w:ascii="宋体" w:hAnsi="宋体"/>
          <w:sz w:val="24"/>
        </w:rPr>
      </w:pPr>
      <w:r>
        <w:rPr>
          <w:rFonts w:hint="eastAsia" w:ascii="宋体" w:hAnsi="宋体"/>
          <w:sz w:val="24"/>
        </w:rPr>
        <w:t>磋商保证金符合竞争性磋商文件要求，提供电汇凭证/交款单据复印件加盖公章，或保函(保险)等。</w:t>
      </w:r>
    </w:p>
    <w:p w14:paraId="2F0DE491">
      <w:pPr>
        <w:tabs>
          <w:tab w:val="left" w:pos="360"/>
        </w:tabs>
        <w:snapToGrid w:val="0"/>
        <w:spacing w:line="360" w:lineRule="auto"/>
        <w:ind w:firstLine="480" w:firstLineChars="200"/>
        <w:outlineLvl w:val="1"/>
        <w:rPr>
          <w:rFonts w:ascii="宋体" w:hAnsi="宋体"/>
          <w:sz w:val="24"/>
        </w:rPr>
      </w:pPr>
      <w:r>
        <w:rPr>
          <w:rFonts w:hint="eastAsia" w:ascii="宋体" w:hAnsi="宋体"/>
          <w:sz w:val="24"/>
        </w:rPr>
        <w:t>本项目磋商保证金响应政策要求，鼓励供应商以出具保函(保险)形式提交磋商保证金，供应商无法出具保函(保险)，确需银行转账、支票等方式缴纳保证金的，供应商应出具说明函(格式自拟)。</w:t>
      </w:r>
    </w:p>
    <w:p w14:paraId="43066A50">
      <w:pPr>
        <w:widowControl/>
        <w:jc w:val="left"/>
        <w:rPr>
          <w:rFonts w:eastAsiaTheme="minorEastAsia"/>
          <w:b/>
          <w:sz w:val="24"/>
        </w:rPr>
      </w:pPr>
    </w:p>
    <w:p w14:paraId="68295E85">
      <w:pPr>
        <w:widowControl/>
        <w:jc w:val="left"/>
        <w:rPr>
          <w:rFonts w:eastAsiaTheme="minorEastAsia"/>
          <w:kern w:val="0"/>
          <w:sz w:val="24"/>
          <w:szCs w:val="20"/>
        </w:rPr>
      </w:pPr>
      <w:r>
        <w:rPr>
          <w:rFonts w:eastAsiaTheme="minorEastAsia"/>
          <w:b/>
          <w:sz w:val="24"/>
        </w:rPr>
        <w:br w:type="page"/>
      </w:r>
    </w:p>
    <w:p w14:paraId="161BFDE5">
      <w:pPr>
        <w:tabs>
          <w:tab w:val="left" w:pos="360"/>
        </w:tabs>
        <w:snapToGrid w:val="0"/>
        <w:spacing w:line="360" w:lineRule="auto"/>
        <w:outlineLvl w:val="1"/>
        <w:rPr>
          <w:rFonts w:eastAsiaTheme="minorEastAsia"/>
          <w:sz w:val="24"/>
        </w:rPr>
      </w:pPr>
      <w:bookmarkStart w:id="2587" w:name="_Hlt520350918"/>
      <w:bookmarkEnd w:id="2587"/>
      <w:bookmarkStart w:id="2588" w:name="_Hlt520273711"/>
      <w:bookmarkEnd w:id="2588"/>
      <w:bookmarkStart w:id="2589" w:name="_Hlt520274393"/>
      <w:bookmarkEnd w:id="2589"/>
      <w:bookmarkStart w:id="2590" w:name="_Hlt520274407"/>
      <w:bookmarkEnd w:id="2590"/>
      <w:bookmarkStart w:id="2591" w:name="_Hlt520274065"/>
      <w:bookmarkEnd w:id="2591"/>
      <w:bookmarkStart w:id="2592" w:name="_Hlt520274121"/>
      <w:bookmarkEnd w:id="2592"/>
      <w:bookmarkStart w:id="2593" w:name="_Hlt520271212"/>
      <w:bookmarkEnd w:id="2593"/>
      <w:bookmarkStart w:id="2594" w:name="_Hlt520343392"/>
      <w:bookmarkEnd w:id="2594"/>
      <w:bookmarkStart w:id="2595" w:name="_Hlt520343000"/>
      <w:bookmarkEnd w:id="2595"/>
      <w:bookmarkStart w:id="2596" w:name="_Hlt520355504"/>
      <w:bookmarkEnd w:id="2596"/>
      <w:bookmarkStart w:id="2597" w:name="_Ref467988698"/>
      <w:bookmarkStart w:id="2598" w:name="_Toc480942349"/>
      <w:bookmarkStart w:id="2599" w:name="_Toc226965829"/>
      <w:bookmarkStart w:id="2600" w:name="_Toc150480794"/>
      <w:bookmarkStart w:id="2601" w:name="_Toc195842921"/>
      <w:bookmarkStart w:id="2602" w:name="_Toc226337252"/>
      <w:bookmarkStart w:id="2603" w:name="_Toc226309800"/>
      <w:bookmarkStart w:id="2604" w:name="_Toc150774761"/>
      <w:bookmarkStart w:id="2605" w:name="_Toc226965746"/>
      <w:bookmarkStart w:id="2606" w:name="_Toc142311058"/>
      <w:bookmarkStart w:id="2607" w:name="_Toc127151556"/>
      <w:bookmarkStart w:id="2608" w:name="_Toc520356217"/>
      <w:r>
        <w:rPr>
          <w:rFonts w:eastAsiaTheme="minorEastAsia"/>
          <w:sz w:val="24"/>
        </w:rPr>
        <w:t xml:space="preserve">5  </w:t>
      </w:r>
      <w:bookmarkEnd w:id="2597"/>
      <w:bookmarkEnd w:id="2598"/>
      <w:r>
        <w:rPr>
          <w:rFonts w:eastAsiaTheme="minorEastAsia"/>
          <w:sz w:val="24"/>
        </w:rPr>
        <w:t>响应书</w:t>
      </w:r>
      <w:bookmarkEnd w:id="2599"/>
      <w:bookmarkEnd w:id="2600"/>
      <w:bookmarkEnd w:id="2601"/>
      <w:bookmarkEnd w:id="2602"/>
      <w:bookmarkEnd w:id="2603"/>
      <w:bookmarkEnd w:id="2604"/>
      <w:bookmarkEnd w:id="2605"/>
      <w:bookmarkEnd w:id="2606"/>
      <w:bookmarkEnd w:id="2607"/>
      <w:bookmarkEnd w:id="2608"/>
      <w:r>
        <w:rPr>
          <w:rFonts w:eastAsiaTheme="minorEastAsia"/>
          <w:sz w:val="24"/>
        </w:rPr>
        <w:t>（实质性格式）</w:t>
      </w:r>
    </w:p>
    <w:p w14:paraId="4AE7EB0B">
      <w:pPr>
        <w:tabs>
          <w:tab w:val="left" w:pos="5580"/>
        </w:tabs>
        <w:spacing w:line="360" w:lineRule="auto"/>
        <w:rPr>
          <w:rFonts w:eastAsiaTheme="minorEastAsia"/>
          <w:sz w:val="24"/>
        </w:rPr>
      </w:pPr>
    </w:p>
    <w:p w14:paraId="3E30EF52">
      <w:pPr>
        <w:spacing w:line="360" w:lineRule="auto"/>
        <w:jc w:val="center"/>
        <w:rPr>
          <w:rFonts w:eastAsiaTheme="minorEastAsia"/>
          <w:b/>
          <w:sz w:val="36"/>
          <w:szCs w:val="36"/>
        </w:rPr>
      </w:pPr>
      <w:r>
        <w:rPr>
          <w:rFonts w:eastAsiaTheme="minorEastAsia"/>
          <w:b/>
          <w:sz w:val="36"/>
          <w:szCs w:val="36"/>
        </w:rPr>
        <w:t>响应书</w:t>
      </w:r>
    </w:p>
    <w:p w14:paraId="7659ECF6">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w:t>
      </w:r>
    </w:p>
    <w:p w14:paraId="72E480D7">
      <w:pPr>
        <w:tabs>
          <w:tab w:val="left" w:pos="5580"/>
        </w:tabs>
        <w:spacing w:line="360" w:lineRule="auto"/>
        <w:rPr>
          <w:rFonts w:eastAsiaTheme="minorEastAsia"/>
          <w:sz w:val="24"/>
          <w:szCs w:val="20"/>
        </w:rPr>
      </w:pPr>
    </w:p>
    <w:p w14:paraId="432FB277">
      <w:pPr>
        <w:tabs>
          <w:tab w:val="left" w:pos="5580"/>
        </w:tabs>
        <w:spacing w:line="360" w:lineRule="auto"/>
        <w:ind w:firstLine="408"/>
        <w:rPr>
          <w:rFonts w:eastAsiaTheme="minorEastAsia"/>
          <w:sz w:val="24"/>
          <w:szCs w:val="20"/>
        </w:rPr>
      </w:pPr>
      <w:r>
        <w:rPr>
          <w:rFonts w:eastAsiaTheme="minorEastAsia"/>
          <w:sz w:val="24"/>
          <w:szCs w:val="20"/>
        </w:rPr>
        <w:t>我方参加你方就</w:t>
      </w:r>
      <w:r>
        <w:rPr>
          <w:rFonts w:eastAsiaTheme="minorEastAsia"/>
          <w:sz w:val="24"/>
        </w:rPr>
        <w:t>______</w:t>
      </w:r>
      <w:r>
        <w:rPr>
          <w:rFonts w:eastAsiaTheme="minorEastAsia"/>
          <w:sz w:val="24"/>
          <w:szCs w:val="20"/>
        </w:rPr>
        <w:t>（项目名称，项目编号/包号）组织的采购活动，并对此项目进行磋商。</w:t>
      </w:r>
    </w:p>
    <w:p w14:paraId="17DE4A89">
      <w:pPr>
        <w:tabs>
          <w:tab w:val="left" w:pos="5580"/>
        </w:tabs>
        <w:spacing w:line="360" w:lineRule="auto"/>
        <w:ind w:firstLine="408"/>
        <w:rPr>
          <w:rFonts w:eastAsiaTheme="minorEastAsia"/>
          <w:sz w:val="24"/>
          <w:szCs w:val="20"/>
        </w:rPr>
      </w:pPr>
      <w:r>
        <w:rPr>
          <w:rFonts w:eastAsiaTheme="minorEastAsia"/>
          <w:sz w:val="24"/>
          <w:szCs w:val="20"/>
        </w:rPr>
        <w:t>1. 我方</w:t>
      </w:r>
      <w:r>
        <w:rPr>
          <w:rFonts w:eastAsiaTheme="minorEastAsia"/>
          <w:sz w:val="24"/>
        </w:rPr>
        <w:t>已详细审查全部竞争性磋商文件</w:t>
      </w:r>
      <w:r>
        <w:rPr>
          <w:rFonts w:eastAsiaTheme="minorEastAsia"/>
          <w:sz w:val="24"/>
          <w:szCs w:val="20"/>
        </w:rPr>
        <w:t>，自愿参与磋商并承诺如下：</w:t>
      </w:r>
    </w:p>
    <w:p w14:paraId="45DE324D">
      <w:pPr>
        <w:tabs>
          <w:tab w:val="left" w:pos="720"/>
          <w:tab w:val="left" w:pos="900"/>
        </w:tabs>
        <w:spacing w:line="360" w:lineRule="auto"/>
        <w:ind w:left="360" w:firstLine="72" w:firstLineChars="30"/>
        <w:rPr>
          <w:rFonts w:eastAsiaTheme="minorEastAsia"/>
          <w:sz w:val="24"/>
          <w:szCs w:val="20"/>
        </w:rPr>
      </w:pPr>
      <w:r>
        <w:rPr>
          <w:rFonts w:eastAsiaTheme="minorEastAsia"/>
          <w:sz w:val="24"/>
          <w:szCs w:val="20"/>
        </w:rPr>
        <w:t>（1）本响应有效期为自响应文件提交截止之日起</w:t>
      </w:r>
      <w:r>
        <w:rPr>
          <w:rFonts w:eastAsiaTheme="minorEastAsia"/>
          <w:sz w:val="24"/>
        </w:rPr>
        <w:t>__</w:t>
      </w:r>
      <w:r>
        <w:rPr>
          <w:rFonts w:hint="eastAsia" w:eastAsiaTheme="minorEastAsia"/>
          <w:sz w:val="24"/>
          <w:u w:val="single"/>
        </w:rPr>
        <w:t>90</w:t>
      </w:r>
      <w:r>
        <w:rPr>
          <w:rFonts w:eastAsiaTheme="minorEastAsia"/>
          <w:sz w:val="24"/>
        </w:rPr>
        <w:t>_</w:t>
      </w:r>
      <w:r>
        <w:rPr>
          <w:rFonts w:eastAsiaTheme="minorEastAsia"/>
          <w:sz w:val="24"/>
          <w:szCs w:val="20"/>
        </w:rPr>
        <w:t>个日历日。</w:t>
      </w:r>
    </w:p>
    <w:p w14:paraId="783C8737">
      <w:pPr>
        <w:tabs>
          <w:tab w:val="left" w:pos="720"/>
          <w:tab w:val="left" w:pos="900"/>
        </w:tabs>
        <w:spacing w:line="360" w:lineRule="auto"/>
        <w:ind w:left="360" w:firstLine="72" w:firstLineChars="30"/>
        <w:rPr>
          <w:rFonts w:eastAsiaTheme="minorEastAsia"/>
          <w:sz w:val="24"/>
          <w:szCs w:val="20"/>
        </w:rPr>
      </w:pPr>
      <w:r>
        <w:rPr>
          <w:rFonts w:eastAsiaTheme="minorEastAsia"/>
          <w:sz w:val="24"/>
          <w:szCs w:val="20"/>
        </w:rPr>
        <w:t>（2）除合同条款及采购需求偏离表列出的偏离外，我方响应竞争性磋商文件的全部要求。</w:t>
      </w:r>
    </w:p>
    <w:p w14:paraId="451C419D">
      <w:pPr>
        <w:tabs>
          <w:tab w:val="left" w:pos="5580"/>
        </w:tabs>
        <w:spacing w:line="360" w:lineRule="auto"/>
        <w:ind w:firstLine="420" w:firstLineChars="175"/>
        <w:rPr>
          <w:rFonts w:eastAsiaTheme="minorEastAsia"/>
          <w:sz w:val="24"/>
          <w:szCs w:val="20"/>
        </w:rPr>
      </w:pPr>
      <w:r>
        <w:rPr>
          <w:rFonts w:eastAsiaTheme="minorEastAsia"/>
          <w:sz w:val="24"/>
          <w:szCs w:val="20"/>
        </w:rPr>
        <w:t>（3）我方已提供的全部文件资料是真实、准确的，并对此承担一切法律后果。</w:t>
      </w:r>
    </w:p>
    <w:p w14:paraId="680E0EF5">
      <w:pPr>
        <w:tabs>
          <w:tab w:val="left" w:pos="5580"/>
        </w:tabs>
        <w:spacing w:line="360" w:lineRule="auto"/>
        <w:ind w:firstLine="420" w:firstLineChars="175"/>
        <w:rPr>
          <w:rFonts w:eastAsiaTheme="minorEastAsia"/>
          <w:sz w:val="24"/>
          <w:szCs w:val="20"/>
        </w:rPr>
      </w:pPr>
      <w:r>
        <w:rPr>
          <w:rFonts w:eastAsiaTheme="minorEastAsia"/>
          <w:sz w:val="24"/>
          <w:szCs w:val="20"/>
        </w:rPr>
        <w:t>（4）如我方成交，我方将在法律规定的期限内与你方签订合同，按照竞争性磋商文件要求提交履约保证金，并在合同约定的期限内完成合同规定的全部义务。</w:t>
      </w:r>
    </w:p>
    <w:p w14:paraId="7E60AE8F">
      <w:pPr>
        <w:spacing w:line="360" w:lineRule="auto"/>
        <w:ind w:firstLine="480" w:firstLineChars="200"/>
        <w:jc w:val="left"/>
        <w:rPr>
          <w:rFonts w:ascii="宋体" w:hAnsi="宋体"/>
          <w:sz w:val="24"/>
        </w:rPr>
      </w:pPr>
      <w:r>
        <w:rPr>
          <w:rFonts w:hint="eastAsia" w:ascii="宋体" w:hAnsi="宋体"/>
          <w:sz w:val="24"/>
        </w:rPr>
        <w:t>（5）项目</w:t>
      </w:r>
      <w:r>
        <w:rPr>
          <w:rFonts w:ascii="宋体" w:hAnsi="宋体"/>
          <w:sz w:val="24"/>
        </w:rPr>
        <w:t>质量标准达到</w:t>
      </w:r>
      <w:r>
        <w:rPr>
          <w:rFonts w:hint="eastAsia" w:ascii="宋体" w:hAnsi="宋体"/>
          <w:sz w:val="24"/>
          <w:u w:val="single"/>
        </w:rPr>
        <w:t xml:space="preserve">    </w:t>
      </w:r>
      <w:r>
        <w:rPr>
          <w:rFonts w:ascii="宋体" w:hAnsi="宋体"/>
          <w:sz w:val="24"/>
          <w:u w:val="single"/>
        </w:rPr>
        <w:t>合格</w:t>
      </w:r>
      <w:r>
        <w:rPr>
          <w:rFonts w:hint="eastAsia" w:ascii="宋体" w:hAnsi="宋体"/>
          <w:sz w:val="24"/>
          <w:u w:val="single"/>
        </w:rPr>
        <w:t xml:space="preserve">   </w:t>
      </w:r>
      <w:r>
        <w:rPr>
          <w:rFonts w:hint="eastAsia" w:ascii="宋体" w:hAnsi="宋体"/>
          <w:sz w:val="24"/>
        </w:rPr>
        <w:t>标准。</w:t>
      </w:r>
    </w:p>
    <w:p w14:paraId="5E1590D2">
      <w:pPr>
        <w:spacing w:line="360" w:lineRule="auto"/>
        <w:ind w:firstLine="480" w:firstLineChars="200"/>
        <w:jc w:val="left"/>
        <w:rPr>
          <w:rFonts w:ascii="宋体" w:hAnsi="宋体"/>
          <w:sz w:val="24"/>
        </w:rPr>
      </w:pPr>
      <w:r>
        <w:rPr>
          <w:rFonts w:hint="eastAsia" w:ascii="宋体" w:hAnsi="宋体"/>
          <w:sz w:val="24"/>
        </w:rPr>
        <w:t>（6）项目施工现场安全生产标准化管理目标等级，</w:t>
      </w:r>
      <w:r>
        <w:rPr>
          <w:rFonts w:ascii="宋体" w:hAnsi="宋体"/>
          <w:sz w:val="24"/>
        </w:rPr>
        <w:t>达到</w:t>
      </w:r>
      <w:r>
        <w:rPr>
          <w:rFonts w:hint="eastAsia" w:ascii="宋体" w:hAnsi="宋体"/>
          <w:sz w:val="24"/>
          <w:u w:val="single"/>
        </w:rPr>
        <w:t xml:space="preserve">  达标  </w:t>
      </w:r>
      <w:r>
        <w:rPr>
          <w:rFonts w:hint="eastAsia" w:ascii="宋体" w:hAnsi="宋体"/>
          <w:sz w:val="24"/>
        </w:rPr>
        <w:t>等级。</w:t>
      </w:r>
    </w:p>
    <w:p w14:paraId="7C619F47">
      <w:pPr>
        <w:spacing w:line="360" w:lineRule="auto"/>
        <w:ind w:firstLine="480" w:firstLineChars="200"/>
        <w:jc w:val="left"/>
        <w:rPr>
          <w:rFonts w:ascii="宋体" w:hAnsi="宋体"/>
          <w:sz w:val="24"/>
        </w:rPr>
      </w:pPr>
      <w:r>
        <w:rPr>
          <w:rFonts w:hint="eastAsia" w:ascii="宋体" w:hAnsi="宋体"/>
          <w:sz w:val="24"/>
        </w:rPr>
        <w:t>（7）本项目工期</w:t>
      </w:r>
      <w:r>
        <w:rPr>
          <w:rFonts w:hint="eastAsia" w:ascii="宋体" w:hAnsi="宋体"/>
          <w:sz w:val="24"/>
          <w:u w:val="single"/>
        </w:rPr>
        <w:t xml:space="preserve">        </w:t>
      </w:r>
      <w:r>
        <w:rPr>
          <w:rFonts w:hint="eastAsia" w:ascii="宋体" w:hAnsi="宋体"/>
          <w:sz w:val="24"/>
        </w:rPr>
        <w:t>日历天（计划开工日期：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日，计划竣工时间：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8286293">
      <w:pPr>
        <w:spacing w:line="360" w:lineRule="auto"/>
        <w:ind w:left="420"/>
        <w:rPr>
          <w:rFonts w:eastAsiaTheme="minorEastAsia"/>
          <w:sz w:val="24"/>
        </w:rPr>
      </w:pPr>
      <w:r>
        <w:rPr>
          <w:rFonts w:eastAsiaTheme="minorEastAsia"/>
          <w:sz w:val="24"/>
        </w:rPr>
        <w:t>2. 其他补充条款（如有）：______。</w:t>
      </w:r>
    </w:p>
    <w:p w14:paraId="505A7DF0">
      <w:pPr>
        <w:spacing w:line="360" w:lineRule="auto"/>
        <w:ind w:firstLine="480" w:firstLineChars="200"/>
        <w:rPr>
          <w:rFonts w:eastAsiaTheme="minorEastAsia"/>
          <w:sz w:val="24"/>
        </w:rPr>
      </w:pPr>
      <w:r>
        <w:rPr>
          <w:rFonts w:eastAsiaTheme="minorEastAsia"/>
          <w:sz w:val="24"/>
        </w:rPr>
        <w:t>与本磋商有关的一切正式往来信函请寄：</w:t>
      </w:r>
    </w:p>
    <w:p w14:paraId="3A9E468A">
      <w:pPr>
        <w:tabs>
          <w:tab w:val="left" w:pos="5580"/>
        </w:tabs>
        <w:spacing w:line="360" w:lineRule="auto"/>
        <w:ind w:left="420"/>
        <w:rPr>
          <w:rFonts w:eastAsiaTheme="minorEastAsia"/>
          <w:sz w:val="24"/>
          <w:szCs w:val="20"/>
        </w:rPr>
      </w:pPr>
    </w:p>
    <w:p w14:paraId="6504FA9E">
      <w:pPr>
        <w:tabs>
          <w:tab w:val="left" w:pos="5580"/>
        </w:tabs>
        <w:spacing w:line="360" w:lineRule="auto"/>
        <w:ind w:left="420"/>
        <w:rPr>
          <w:rFonts w:eastAsiaTheme="minorEastAsia"/>
          <w:sz w:val="24"/>
          <w:szCs w:val="20"/>
        </w:rPr>
      </w:pPr>
      <w:r>
        <w:rPr>
          <w:rFonts w:eastAsiaTheme="minorEastAsia"/>
          <w:sz w:val="24"/>
          <w:szCs w:val="20"/>
        </w:rPr>
        <w:t>地址</w:t>
      </w:r>
      <w:r>
        <w:rPr>
          <w:rFonts w:eastAsiaTheme="minorEastAsia"/>
          <w:bCs/>
          <w:sz w:val="24"/>
        </w:rPr>
        <w:t>_________________________</w:t>
      </w:r>
      <w:r>
        <w:rPr>
          <w:rFonts w:eastAsiaTheme="minorEastAsia"/>
          <w:sz w:val="24"/>
          <w:szCs w:val="20"/>
        </w:rPr>
        <w:t xml:space="preserve">      传   真</w:t>
      </w:r>
      <w:r>
        <w:rPr>
          <w:rFonts w:eastAsiaTheme="minorEastAsia"/>
          <w:bCs/>
          <w:sz w:val="24"/>
        </w:rPr>
        <w:t>_________________________</w:t>
      </w:r>
    </w:p>
    <w:p w14:paraId="0B0F5B1D">
      <w:pPr>
        <w:tabs>
          <w:tab w:val="left" w:pos="5580"/>
        </w:tabs>
        <w:spacing w:line="360" w:lineRule="auto"/>
        <w:ind w:left="420"/>
        <w:rPr>
          <w:rFonts w:eastAsiaTheme="minorEastAsia"/>
          <w:sz w:val="24"/>
          <w:szCs w:val="20"/>
        </w:rPr>
      </w:pPr>
      <w:r>
        <w:rPr>
          <w:rFonts w:eastAsiaTheme="minorEastAsia"/>
          <w:sz w:val="24"/>
          <w:szCs w:val="20"/>
        </w:rPr>
        <w:t>电话</w:t>
      </w:r>
      <w:r>
        <w:rPr>
          <w:rFonts w:eastAsiaTheme="minorEastAsia"/>
          <w:bCs/>
          <w:sz w:val="24"/>
        </w:rPr>
        <w:t>_________________________</w:t>
      </w:r>
      <w:r>
        <w:rPr>
          <w:rFonts w:eastAsiaTheme="minorEastAsia"/>
          <w:sz w:val="24"/>
          <w:szCs w:val="20"/>
        </w:rPr>
        <w:t xml:space="preserve">      电子函件</w:t>
      </w:r>
      <w:r>
        <w:rPr>
          <w:rFonts w:eastAsiaTheme="minorEastAsia"/>
          <w:bCs/>
          <w:sz w:val="24"/>
        </w:rPr>
        <w:t>_________________________</w:t>
      </w:r>
    </w:p>
    <w:p w14:paraId="67272799">
      <w:pPr>
        <w:tabs>
          <w:tab w:val="left" w:pos="5580"/>
        </w:tabs>
        <w:spacing w:line="360" w:lineRule="auto"/>
        <w:ind w:left="420"/>
        <w:rPr>
          <w:rFonts w:eastAsiaTheme="minorEastAsia"/>
          <w:sz w:val="24"/>
          <w:szCs w:val="20"/>
        </w:rPr>
      </w:pPr>
    </w:p>
    <w:p w14:paraId="6426FE08">
      <w:pPr>
        <w:tabs>
          <w:tab w:val="left" w:pos="5580"/>
        </w:tabs>
        <w:spacing w:line="360" w:lineRule="auto"/>
        <w:ind w:left="420"/>
        <w:rPr>
          <w:rFonts w:eastAsiaTheme="minorEastAsia"/>
          <w:sz w:val="24"/>
          <w:szCs w:val="20"/>
        </w:rPr>
      </w:pPr>
    </w:p>
    <w:p w14:paraId="46EC76DC">
      <w:pPr>
        <w:tabs>
          <w:tab w:val="left" w:pos="5580"/>
        </w:tabs>
        <w:spacing w:line="360" w:lineRule="auto"/>
        <w:ind w:left="420"/>
        <w:rPr>
          <w:rFonts w:eastAsiaTheme="minorEastAsia"/>
          <w:sz w:val="24"/>
          <w:szCs w:val="20"/>
        </w:rPr>
      </w:pPr>
    </w:p>
    <w:p w14:paraId="7898BCB8">
      <w:pPr>
        <w:autoSpaceDE w:val="0"/>
        <w:autoSpaceDN w:val="0"/>
        <w:adjustRightInd w:val="0"/>
        <w:snapToGrid w:val="0"/>
        <w:spacing w:before="25" w:after="25" w:line="360" w:lineRule="auto"/>
        <w:ind w:right="360" w:firstLine="360" w:firstLineChars="150"/>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168CE724">
      <w:pPr>
        <w:tabs>
          <w:tab w:val="left" w:pos="5580"/>
        </w:tabs>
        <w:spacing w:line="360" w:lineRule="auto"/>
        <w:ind w:firstLine="360" w:firstLineChars="150"/>
        <w:rPr>
          <w:rFonts w:eastAsiaTheme="minorEastAsia"/>
          <w:sz w:val="24"/>
          <w:szCs w:val="20"/>
        </w:rPr>
      </w:pPr>
      <w:r>
        <w:rPr>
          <w:rFonts w:eastAsiaTheme="minorEastAsia"/>
          <w:sz w:val="24"/>
          <w:szCs w:val="20"/>
        </w:rPr>
        <w:t xml:space="preserve">日期：____年____月____日  </w:t>
      </w:r>
    </w:p>
    <w:p w14:paraId="368C1324">
      <w:pPr>
        <w:tabs>
          <w:tab w:val="left" w:pos="5580"/>
        </w:tabs>
        <w:spacing w:line="360" w:lineRule="auto"/>
        <w:ind w:left="420"/>
        <w:jc w:val="left"/>
        <w:rPr>
          <w:rFonts w:eastAsiaTheme="minorEastAsia"/>
          <w:sz w:val="24"/>
          <w:szCs w:val="20"/>
        </w:rPr>
      </w:pPr>
    </w:p>
    <w:p w14:paraId="36C7155C">
      <w:pPr>
        <w:widowControl/>
        <w:jc w:val="left"/>
        <w:rPr>
          <w:rFonts w:eastAsiaTheme="minorEastAsia"/>
          <w:b/>
          <w:sz w:val="24"/>
          <w:szCs w:val="20"/>
        </w:rPr>
      </w:pPr>
      <w:r>
        <w:rPr>
          <w:rFonts w:eastAsiaTheme="minorEastAsia"/>
          <w:b/>
          <w:sz w:val="24"/>
          <w:szCs w:val="20"/>
        </w:rPr>
        <w:br w:type="page"/>
      </w:r>
    </w:p>
    <w:p w14:paraId="0E8B36A1">
      <w:pPr>
        <w:tabs>
          <w:tab w:val="left" w:pos="360"/>
        </w:tabs>
        <w:snapToGrid w:val="0"/>
        <w:spacing w:line="360" w:lineRule="auto"/>
        <w:outlineLvl w:val="1"/>
        <w:rPr>
          <w:rFonts w:eastAsiaTheme="minorEastAsia"/>
          <w:sz w:val="24"/>
        </w:rPr>
      </w:pPr>
      <w:bookmarkStart w:id="2609" w:name="_Hlt520355938"/>
      <w:bookmarkEnd w:id="2609"/>
      <w:bookmarkStart w:id="2610" w:name="_Hlt520356243"/>
      <w:bookmarkEnd w:id="2610"/>
      <w:bookmarkStart w:id="2611" w:name="_Toc127151557"/>
      <w:bookmarkStart w:id="2612" w:name="_Toc520356218"/>
      <w:bookmarkStart w:id="2613" w:name="_Toc265228395"/>
      <w:bookmarkStart w:id="2614" w:name="_Toc226309801"/>
      <w:bookmarkStart w:id="2615" w:name="_Toc226337253"/>
      <w:bookmarkStart w:id="2616" w:name="_Toc150480795"/>
      <w:bookmarkStart w:id="2617" w:name="_Toc264969247"/>
      <w:bookmarkStart w:id="2618" w:name="_Toc195842922"/>
      <w:bookmarkStart w:id="2619" w:name="_Toc305158899"/>
      <w:bookmarkStart w:id="2620" w:name="_Toc150774762"/>
      <w:bookmarkStart w:id="2621" w:name="_Toc305158825"/>
      <w:bookmarkStart w:id="2622" w:name="_Toc142311059"/>
      <w:bookmarkStart w:id="2623" w:name="_Toc226965747"/>
      <w:bookmarkStart w:id="2624" w:name="_Ref467988705"/>
      <w:bookmarkStart w:id="2625" w:name="_Toc226965830"/>
      <w:bookmarkStart w:id="2626" w:name="_Toc480942350"/>
      <w:r>
        <w:rPr>
          <w:rFonts w:eastAsiaTheme="minorEastAsia"/>
          <w:sz w:val="24"/>
        </w:rPr>
        <w:t>6  授权委托书（实质性格式）</w:t>
      </w:r>
    </w:p>
    <w:p w14:paraId="0DBB678D">
      <w:pPr>
        <w:autoSpaceDE w:val="0"/>
        <w:autoSpaceDN w:val="0"/>
        <w:adjustRightInd w:val="0"/>
        <w:spacing w:line="360" w:lineRule="auto"/>
        <w:jc w:val="center"/>
        <w:rPr>
          <w:rFonts w:eastAsiaTheme="minorEastAsia"/>
          <w:b/>
          <w:sz w:val="36"/>
          <w:szCs w:val="36"/>
        </w:rPr>
      </w:pPr>
      <w:r>
        <w:rPr>
          <w:rFonts w:eastAsiaTheme="minorEastAsia"/>
          <w:b/>
          <w:sz w:val="36"/>
          <w:szCs w:val="36"/>
        </w:rPr>
        <w:t>授权委托书</w:t>
      </w:r>
    </w:p>
    <w:p w14:paraId="69805460">
      <w:pPr>
        <w:spacing w:line="360" w:lineRule="auto"/>
        <w:ind w:firstLine="420"/>
        <w:rPr>
          <w:rFonts w:eastAsiaTheme="minorEastAsia"/>
          <w:sz w:val="24"/>
          <w:szCs w:val="20"/>
        </w:rPr>
      </w:pPr>
      <w:r>
        <w:rPr>
          <w:rFonts w:eastAsiaTheme="minorEastAsia"/>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14:paraId="7B31E401">
      <w:pPr>
        <w:spacing w:line="360" w:lineRule="auto"/>
        <w:ind w:firstLine="420"/>
        <w:rPr>
          <w:rFonts w:eastAsiaTheme="minorEastAsia"/>
          <w:sz w:val="24"/>
          <w:szCs w:val="20"/>
        </w:rPr>
      </w:pPr>
      <w:r>
        <w:rPr>
          <w:rFonts w:eastAsiaTheme="minorEastAsia"/>
          <w:sz w:val="24"/>
          <w:szCs w:val="20"/>
        </w:rPr>
        <w:t>委托期限：自本授权委托书签署之日起至响应有效期届满之日止。</w:t>
      </w:r>
    </w:p>
    <w:p w14:paraId="4404E13D">
      <w:pPr>
        <w:spacing w:line="360" w:lineRule="auto"/>
        <w:ind w:firstLine="420"/>
        <w:rPr>
          <w:rFonts w:eastAsiaTheme="minorEastAsia"/>
          <w:sz w:val="24"/>
          <w:szCs w:val="20"/>
        </w:rPr>
      </w:pPr>
      <w:r>
        <w:rPr>
          <w:rFonts w:eastAsiaTheme="minorEastAsia"/>
          <w:sz w:val="24"/>
          <w:szCs w:val="20"/>
        </w:rPr>
        <w:t>代理人无转委托权。</w:t>
      </w:r>
      <w:r>
        <w:rPr>
          <w:rFonts w:eastAsiaTheme="minorEastAsia"/>
          <w:sz w:val="24"/>
          <w:szCs w:val="20"/>
        </w:rPr>
        <w:cr/>
      </w:r>
    </w:p>
    <w:p w14:paraId="0A41CA23">
      <w:pPr>
        <w:spacing w:line="360" w:lineRule="auto"/>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szCs w:val="20"/>
        </w:rPr>
        <w:t>______________</w:t>
      </w:r>
    </w:p>
    <w:p w14:paraId="18F4668D">
      <w:pPr>
        <w:spacing w:line="360" w:lineRule="auto"/>
        <w:rPr>
          <w:rFonts w:eastAsiaTheme="minorEastAsia"/>
          <w:sz w:val="24"/>
          <w:szCs w:val="20"/>
        </w:rPr>
      </w:pPr>
      <w:r>
        <w:rPr>
          <w:rFonts w:eastAsiaTheme="minorEastAsia"/>
          <w:sz w:val="24"/>
          <w:szCs w:val="20"/>
        </w:rPr>
        <w:t>法定代表人（单位负责人）（签字</w:t>
      </w:r>
      <w:r>
        <w:rPr>
          <w:sz w:val="24"/>
          <w:szCs w:val="20"/>
        </w:rPr>
        <w:t>或签章</w:t>
      </w:r>
      <w:r>
        <w:rPr>
          <w:rFonts w:eastAsiaTheme="minorEastAsia"/>
          <w:sz w:val="24"/>
          <w:szCs w:val="20"/>
        </w:rPr>
        <w:t>）：______________</w:t>
      </w:r>
    </w:p>
    <w:p w14:paraId="730EEDC9">
      <w:pPr>
        <w:autoSpaceDE w:val="0"/>
        <w:autoSpaceDN w:val="0"/>
        <w:adjustRightInd w:val="0"/>
        <w:snapToGrid w:val="0"/>
        <w:spacing w:line="360" w:lineRule="auto"/>
        <w:rPr>
          <w:rFonts w:eastAsiaTheme="minorEastAsia"/>
          <w:sz w:val="24"/>
          <w:lang w:val="zh-CN"/>
        </w:rPr>
      </w:pPr>
      <w:r>
        <w:rPr>
          <w:rFonts w:eastAsiaTheme="minorEastAsia"/>
          <w:sz w:val="24"/>
        </w:rPr>
        <w:t>委托代理人（签字</w:t>
      </w:r>
      <w:r>
        <w:rPr>
          <w:sz w:val="24"/>
          <w:szCs w:val="20"/>
        </w:rPr>
        <w:t>或签章</w:t>
      </w:r>
      <w:r>
        <w:rPr>
          <w:rFonts w:eastAsiaTheme="minorEastAsia"/>
          <w:sz w:val="24"/>
        </w:rPr>
        <w:t>）：</w:t>
      </w:r>
      <w:r>
        <w:rPr>
          <w:rFonts w:eastAsiaTheme="minorEastAsia"/>
          <w:sz w:val="24"/>
          <w:szCs w:val="20"/>
        </w:rPr>
        <w:t>______________</w:t>
      </w:r>
      <w:r>
        <w:rPr>
          <w:rFonts w:eastAsiaTheme="minorEastAsia"/>
          <w:sz w:val="24"/>
          <w:lang w:val="zh-CN"/>
        </w:rPr>
        <w:t xml:space="preserve">        </w:t>
      </w:r>
    </w:p>
    <w:p w14:paraId="1EC52B90">
      <w:pPr>
        <w:autoSpaceDE w:val="0"/>
        <w:autoSpaceDN w:val="0"/>
        <w:adjustRightInd w:val="0"/>
        <w:snapToGrid w:val="0"/>
        <w:spacing w:line="360" w:lineRule="auto"/>
        <w:rPr>
          <w:rFonts w:eastAsiaTheme="minorEastAsia"/>
          <w:sz w:val="24"/>
          <w:lang w:val="zh-CN"/>
        </w:rPr>
      </w:pPr>
      <w:r>
        <w:rPr>
          <w:rFonts w:eastAsiaTheme="minorEastAsia"/>
          <w:sz w:val="24"/>
        </w:rPr>
        <w:t>日期：</w:t>
      </w:r>
      <w:r>
        <w:rPr>
          <w:rFonts w:eastAsiaTheme="minorEastAsia"/>
          <w:sz w:val="24"/>
          <w:szCs w:val="20"/>
        </w:rPr>
        <w:t>____</w:t>
      </w:r>
      <w:r>
        <w:rPr>
          <w:rFonts w:eastAsiaTheme="minorEastAsia"/>
          <w:sz w:val="24"/>
        </w:rPr>
        <w:t>年</w:t>
      </w:r>
      <w:r>
        <w:rPr>
          <w:rFonts w:eastAsiaTheme="minorEastAsia"/>
          <w:sz w:val="24"/>
          <w:szCs w:val="20"/>
        </w:rPr>
        <w:t>____</w:t>
      </w:r>
      <w:r>
        <w:rPr>
          <w:rFonts w:eastAsiaTheme="minorEastAsia"/>
          <w:sz w:val="24"/>
        </w:rPr>
        <w:t>月</w:t>
      </w:r>
      <w:r>
        <w:rPr>
          <w:rFonts w:eastAsiaTheme="minorEastAsia"/>
          <w:sz w:val="24"/>
          <w:szCs w:val="20"/>
        </w:rPr>
        <w:t>____</w:t>
      </w:r>
      <w:r>
        <w:rPr>
          <w:rFonts w:eastAsiaTheme="minorEastAsia"/>
          <w:sz w:val="24"/>
        </w:rPr>
        <w:t>日</w:t>
      </w:r>
    </w:p>
    <w:p w14:paraId="0D24EA63">
      <w:pPr>
        <w:tabs>
          <w:tab w:val="left" w:pos="5580"/>
        </w:tabs>
        <w:spacing w:line="360" w:lineRule="auto"/>
        <w:ind w:firstLine="480" w:firstLineChars="200"/>
        <w:rPr>
          <w:rFonts w:eastAsiaTheme="minorEastAsia"/>
          <w:sz w:val="24"/>
          <w:szCs w:val="20"/>
        </w:rPr>
      </w:pPr>
    </w:p>
    <w:p w14:paraId="5C409ED8">
      <w:pPr>
        <w:tabs>
          <w:tab w:val="left" w:pos="5580"/>
        </w:tabs>
        <w:spacing w:line="360" w:lineRule="auto"/>
        <w:rPr>
          <w:sz w:val="24"/>
          <w:szCs w:val="20"/>
        </w:rPr>
      </w:pPr>
      <w:r>
        <w:rPr>
          <w:rFonts w:hint="eastAsia"/>
          <w:sz w:val="24"/>
          <w:szCs w:val="20"/>
        </w:rPr>
        <w:t>附：</w:t>
      </w:r>
      <w:r>
        <w:rPr>
          <w:sz w:val="24"/>
          <w:szCs w:val="20"/>
        </w:rPr>
        <w:t>法定代表人</w:t>
      </w:r>
      <w:r>
        <w:rPr>
          <w:rFonts w:hint="eastAsia"/>
          <w:sz w:val="24"/>
          <w:szCs w:val="20"/>
        </w:rPr>
        <w:t>（单位负责人）</w:t>
      </w:r>
      <w:r>
        <w:rPr>
          <w:sz w:val="24"/>
          <w:szCs w:val="20"/>
        </w:rPr>
        <w:t>及委托代理人身份证明文件电子件：</w:t>
      </w:r>
    </w:p>
    <w:p w14:paraId="361ABE3A">
      <w:pPr>
        <w:tabs>
          <w:tab w:val="left" w:pos="5580"/>
        </w:tabs>
        <w:spacing w:line="360" w:lineRule="auto"/>
        <w:jc w:val="left"/>
        <w:rPr>
          <w:rFonts w:eastAsiaTheme="minorEastAsia"/>
          <w:sz w:val="24"/>
          <w:szCs w:val="20"/>
        </w:rPr>
      </w:pPr>
    </w:p>
    <w:p w14:paraId="3B009747">
      <w:pPr>
        <w:tabs>
          <w:tab w:val="left" w:pos="5580"/>
        </w:tabs>
        <w:spacing w:line="360" w:lineRule="auto"/>
        <w:jc w:val="left"/>
        <w:rPr>
          <w:rFonts w:eastAsiaTheme="minorEastAsia"/>
          <w:sz w:val="24"/>
          <w:szCs w:val="20"/>
        </w:rPr>
      </w:pPr>
    </w:p>
    <w:p w14:paraId="20B86153">
      <w:pPr>
        <w:tabs>
          <w:tab w:val="left" w:pos="5580"/>
        </w:tabs>
        <w:spacing w:line="360" w:lineRule="auto"/>
        <w:jc w:val="left"/>
        <w:rPr>
          <w:rFonts w:eastAsiaTheme="minorEastAsia"/>
          <w:sz w:val="24"/>
          <w:szCs w:val="20"/>
        </w:rPr>
      </w:pPr>
    </w:p>
    <w:p w14:paraId="5C7A8185">
      <w:pPr>
        <w:tabs>
          <w:tab w:val="left" w:pos="5580"/>
        </w:tabs>
        <w:spacing w:line="360" w:lineRule="auto"/>
        <w:jc w:val="left"/>
        <w:rPr>
          <w:rFonts w:eastAsiaTheme="minorEastAsia"/>
          <w:sz w:val="24"/>
          <w:szCs w:val="20"/>
        </w:rPr>
      </w:pPr>
    </w:p>
    <w:p w14:paraId="62C7B962">
      <w:pPr>
        <w:tabs>
          <w:tab w:val="left" w:pos="5580"/>
        </w:tabs>
        <w:spacing w:line="360" w:lineRule="auto"/>
        <w:jc w:val="left"/>
        <w:rPr>
          <w:rFonts w:eastAsiaTheme="minorEastAsia"/>
          <w:sz w:val="24"/>
          <w:szCs w:val="20"/>
        </w:rPr>
      </w:pPr>
    </w:p>
    <w:p w14:paraId="231FDE4A">
      <w:pPr>
        <w:tabs>
          <w:tab w:val="left" w:pos="5580"/>
        </w:tabs>
        <w:spacing w:line="360" w:lineRule="auto"/>
        <w:jc w:val="left"/>
        <w:rPr>
          <w:rFonts w:eastAsiaTheme="minorEastAsia"/>
          <w:sz w:val="24"/>
          <w:szCs w:val="20"/>
        </w:rPr>
      </w:pPr>
      <w:r>
        <w:rPr>
          <w:rFonts w:eastAsiaTheme="minorEastAsia"/>
          <w:sz w:val="24"/>
          <w:szCs w:val="20"/>
        </w:rPr>
        <w:t>说明：</w:t>
      </w:r>
    </w:p>
    <w:p w14:paraId="189F6FC3">
      <w:pPr>
        <w:tabs>
          <w:tab w:val="left" w:pos="5580"/>
        </w:tabs>
        <w:spacing w:line="360" w:lineRule="auto"/>
        <w:jc w:val="left"/>
        <w:rPr>
          <w:rFonts w:eastAsiaTheme="minorEastAsia"/>
          <w:sz w:val="24"/>
          <w:szCs w:val="20"/>
        </w:rPr>
      </w:pPr>
      <w:r>
        <w:rPr>
          <w:rFonts w:eastAsiaTheme="minorEastAsia"/>
          <w:sz w:val="24"/>
          <w:szCs w:val="20"/>
        </w:rPr>
        <w:t>1.若供应商为事业单位或其他组织或分支机构，则法定代表人（单位负责人）处的签署人可为单位负责人。</w:t>
      </w:r>
    </w:p>
    <w:p w14:paraId="378F4C21">
      <w:pPr>
        <w:tabs>
          <w:tab w:val="left" w:pos="5580"/>
        </w:tabs>
        <w:spacing w:line="360" w:lineRule="auto"/>
        <w:jc w:val="left"/>
        <w:rPr>
          <w:rFonts w:eastAsiaTheme="minorEastAsia"/>
          <w:sz w:val="24"/>
          <w:szCs w:val="20"/>
        </w:rPr>
      </w:pPr>
      <w:r>
        <w:rPr>
          <w:rFonts w:eastAsiaTheme="minorEastAsia"/>
          <w:sz w:val="24"/>
          <w:szCs w:val="20"/>
        </w:rPr>
        <w:t>2.若响应文件中签字之处均为法定代表人（单位负责人）本人签署，则可不提供本《授权委托书》，但须提供《法定代表人（单位负责人）身份证明》</w:t>
      </w:r>
      <w:r>
        <w:rPr>
          <w:sz w:val="24"/>
          <w:szCs w:val="20"/>
        </w:rPr>
        <w:t>；否则，不需要提供《法定代表人（单位负责人）身份证明》</w:t>
      </w:r>
      <w:r>
        <w:rPr>
          <w:rFonts w:eastAsiaTheme="minorEastAsia"/>
          <w:sz w:val="24"/>
          <w:szCs w:val="20"/>
        </w:rPr>
        <w:t>。</w:t>
      </w:r>
    </w:p>
    <w:p w14:paraId="0F6861FC">
      <w:pPr>
        <w:tabs>
          <w:tab w:val="left" w:pos="5580"/>
        </w:tabs>
        <w:spacing w:line="360" w:lineRule="auto"/>
        <w:jc w:val="left"/>
        <w:rPr>
          <w:rFonts w:eastAsiaTheme="minorEastAsia"/>
          <w:sz w:val="24"/>
          <w:szCs w:val="20"/>
        </w:rPr>
      </w:pPr>
      <w:r>
        <w:rPr>
          <w:rFonts w:eastAsiaTheme="minorEastAsia"/>
          <w:sz w:val="24"/>
          <w:szCs w:val="20"/>
        </w:rPr>
        <w:t>3.供应商为自然人的情形，可不提供本《授权委托书》。</w:t>
      </w:r>
    </w:p>
    <w:p w14:paraId="3283CBC7">
      <w:pPr>
        <w:tabs>
          <w:tab w:val="left" w:pos="5580"/>
        </w:tabs>
        <w:spacing w:line="360" w:lineRule="auto"/>
        <w:jc w:val="left"/>
        <w:rPr>
          <w:rFonts w:eastAsiaTheme="minorEastAsia"/>
          <w:sz w:val="30"/>
          <w:szCs w:val="30"/>
        </w:rPr>
      </w:pPr>
      <w:r>
        <w:rPr>
          <w:sz w:val="24"/>
          <w:szCs w:val="20"/>
        </w:rPr>
        <w:t>4.供应商应随本《授权委托书》同时提供法定代表人（单位负责人）及委托代理人的有效的身份证</w:t>
      </w:r>
      <w:r>
        <w:rPr>
          <w:rFonts w:hint="eastAsia"/>
          <w:sz w:val="24"/>
          <w:szCs w:val="20"/>
        </w:rPr>
        <w:t>或</w:t>
      </w:r>
      <w:r>
        <w:rPr>
          <w:sz w:val="24"/>
          <w:szCs w:val="20"/>
        </w:rPr>
        <w:t>护照等身份证明文件电子件。提供身份证的，应同时提供身份证</w:t>
      </w:r>
      <w:r>
        <w:rPr>
          <w:b/>
          <w:sz w:val="24"/>
          <w:szCs w:val="20"/>
        </w:rPr>
        <w:t>双面</w:t>
      </w:r>
      <w:r>
        <w:rPr>
          <w:sz w:val="24"/>
          <w:szCs w:val="20"/>
        </w:rPr>
        <w:t>电子件。</w:t>
      </w:r>
      <w:r>
        <w:rPr>
          <w:rFonts w:eastAsiaTheme="minorEastAsia"/>
          <w:sz w:val="30"/>
          <w:szCs w:val="30"/>
        </w:rPr>
        <w:br w:type="page"/>
      </w:r>
    </w:p>
    <w:p w14:paraId="052D52DC">
      <w:pPr>
        <w:autoSpaceDE w:val="0"/>
        <w:autoSpaceDN w:val="0"/>
        <w:adjustRightInd w:val="0"/>
        <w:spacing w:line="360" w:lineRule="auto"/>
        <w:jc w:val="center"/>
        <w:rPr>
          <w:rFonts w:eastAsiaTheme="minorEastAsia"/>
          <w:b/>
          <w:sz w:val="36"/>
          <w:szCs w:val="36"/>
        </w:rPr>
      </w:pPr>
      <w:r>
        <w:rPr>
          <w:rFonts w:eastAsiaTheme="minorEastAsia"/>
          <w:b/>
          <w:sz w:val="36"/>
          <w:szCs w:val="36"/>
        </w:rPr>
        <w:t>法定代表人（单位负责人）身份证明</w:t>
      </w:r>
    </w:p>
    <w:p w14:paraId="36D072ED">
      <w:pPr>
        <w:kinsoku w:val="0"/>
        <w:overflowPunct w:val="0"/>
        <w:spacing w:line="200" w:lineRule="exact"/>
        <w:rPr>
          <w:rFonts w:eastAsiaTheme="minorEastAsia"/>
          <w:sz w:val="20"/>
          <w:szCs w:val="20"/>
        </w:rPr>
      </w:pPr>
    </w:p>
    <w:p w14:paraId="75D5BFFE">
      <w:pPr>
        <w:tabs>
          <w:tab w:val="left" w:pos="5580"/>
        </w:tabs>
        <w:spacing w:line="360" w:lineRule="auto"/>
        <w:rPr>
          <w:rFonts w:eastAsiaTheme="minorEastAsia"/>
          <w:sz w:val="24"/>
        </w:rPr>
      </w:pPr>
      <w:r>
        <w:rPr>
          <w:rFonts w:eastAsiaTheme="minorEastAsia"/>
          <w:sz w:val="24"/>
        </w:rPr>
        <w:t>致：</w:t>
      </w:r>
      <w:r>
        <w:rPr>
          <w:rFonts w:eastAsiaTheme="minorEastAsia"/>
          <w:sz w:val="24"/>
          <w:szCs w:val="20"/>
        </w:rPr>
        <w:t>____</w:t>
      </w:r>
      <w:r>
        <w:rPr>
          <w:rFonts w:eastAsiaTheme="minorEastAsia"/>
          <w:sz w:val="24"/>
        </w:rPr>
        <w:t>（采购人或采购代理机构）</w:t>
      </w:r>
    </w:p>
    <w:p w14:paraId="24336192">
      <w:pPr>
        <w:pStyle w:val="19"/>
        <w:tabs>
          <w:tab w:val="left" w:pos="2412"/>
          <w:tab w:val="left" w:pos="3883"/>
          <w:tab w:val="left" w:pos="5352"/>
          <w:tab w:val="left" w:pos="6821"/>
        </w:tabs>
        <w:kinsoku w:val="0"/>
        <w:overflowPunct w:val="0"/>
        <w:spacing w:line="335" w:lineRule="exact"/>
        <w:ind w:firstLine="480" w:firstLineChars="200"/>
        <w:rPr>
          <w:rFonts w:ascii="Times New Roman" w:hAnsi="Times New Roman" w:eastAsiaTheme="minorEastAsia"/>
        </w:rPr>
      </w:pPr>
      <w:r>
        <w:rPr>
          <w:rFonts w:ascii="Times New Roman" w:hAnsi="Times New Roman" w:eastAsiaTheme="minorEastAsia"/>
        </w:rPr>
        <w:t>兹证明，</w:t>
      </w:r>
    </w:p>
    <w:p w14:paraId="6232DFE6">
      <w:pPr>
        <w:pStyle w:val="19"/>
        <w:tabs>
          <w:tab w:val="left" w:pos="1690"/>
          <w:tab w:val="left" w:pos="3400"/>
          <w:tab w:val="left" w:pos="5110"/>
          <w:tab w:val="left" w:pos="6821"/>
        </w:tabs>
        <w:kinsoku w:val="0"/>
        <w:overflowPunct w:val="0"/>
        <w:spacing w:line="335" w:lineRule="exact"/>
        <w:rPr>
          <w:rFonts w:ascii="Times New Roman" w:hAnsi="Times New Roman" w:eastAsiaTheme="minorEastAsia"/>
        </w:rPr>
      </w:pPr>
      <w:r>
        <w:rPr>
          <w:rFonts w:ascii="Times New Roman" w:hAnsi="Times New Roman" w:eastAsiaTheme="minorEastAsia"/>
        </w:rPr>
        <w:t>姓名：</w:t>
      </w:r>
      <w:r>
        <w:rPr>
          <w:rFonts w:ascii="Times New Roman" w:hAnsi="Times New Roman" w:eastAsiaTheme="minorEastAsia"/>
          <w:szCs w:val="20"/>
        </w:rPr>
        <w:t>____</w:t>
      </w:r>
      <w:r>
        <w:rPr>
          <w:rFonts w:ascii="Times New Roman" w:hAnsi="Times New Roman" w:eastAsiaTheme="minorEastAsia"/>
        </w:rPr>
        <w:t>性别：</w:t>
      </w:r>
      <w:r>
        <w:rPr>
          <w:rFonts w:ascii="Times New Roman" w:hAnsi="Times New Roman" w:eastAsiaTheme="minorEastAsia"/>
          <w:szCs w:val="20"/>
        </w:rPr>
        <w:t>____</w:t>
      </w:r>
      <w:r>
        <w:rPr>
          <w:rFonts w:ascii="Times New Roman" w:hAnsi="Times New Roman" w:eastAsiaTheme="minorEastAsia"/>
        </w:rPr>
        <w:t>年龄：</w:t>
      </w:r>
      <w:r>
        <w:rPr>
          <w:rFonts w:ascii="Times New Roman" w:hAnsi="Times New Roman" w:eastAsiaTheme="minorEastAsia"/>
          <w:szCs w:val="20"/>
        </w:rPr>
        <w:t>____</w:t>
      </w:r>
      <w:r>
        <w:rPr>
          <w:rFonts w:ascii="Times New Roman" w:hAnsi="Times New Roman" w:eastAsiaTheme="minorEastAsia"/>
        </w:rPr>
        <w:t>职务：</w:t>
      </w:r>
      <w:r>
        <w:rPr>
          <w:rFonts w:ascii="Times New Roman" w:hAnsi="Times New Roman" w:eastAsiaTheme="minorEastAsia"/>
          <w:szCs w:val="20"/>
        </w:rPr>
        <w:t>____</w:t>
      </w:r>
    </w:p>
    <w:p w14:paraId="54C46DCB">
      <w:pPr>
        <w:pStyle w:val="19"/>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0EB4EC86">
      <w:pPr>
        <w:pStyle w:val="19"/>
        <w:tabs>
          <w:tab w:val="left" w:pos="2250"/>
          <w:tab w:val="left" w:pos="2412"/>
          <w:tab w:val="left" w:pos="3883"/>
          <w:tab w:val="left" w:pos="5352"/>
          <w:tab w:val="left" w:pos="6821"/>
          <w:tab w:val="clear" w:pos="567"/>
        </w:tabs>
        <w:kinsoku w:val="0"/>
        <w:overflowPunct w:val="0"/>
        <w:spacing w:line="335" w:lineRule="exact"/>
        <w:rPr>
          <w:rFonts w:ascii="Times New Roman" w:hAnsi="Times New Roman" w:eastAsiaTheme="minorEastAsia"/>
        </w:rPr>
      </w:pPr>
      <w:r>
        <w:rPr>
          <w:rFonts w:ascii="Times New Roman" w:hAnsi="Times New Roman" w:eastAsiaTheme="minorEastAsia"/>
        </w:rPr>
        <w:t>系</w:t>
      </w:r>
      <w:r>
        <w:rPr>
          <w:rFonts w:ascii="Times New Roman" w:hAnsi="Times New Roman" w:eastAsiaTheme="minorEastAsia"/>
          <w:szCs w:val="20"/>
        </w:rPr>
        <w:t>__________</w:t>
      </w:r>
      <w:r>
        <w:rPr>
          <w:rFonts w:ascii="Times New Roman" w:hAnsi="Times New Roman" w:eastAsiaTheme="minorEastAsia"/>
        </w:rPr>
        <w:t>（供应商名称）的法定代表人（单位负责人）。</w:t>
      </w:r>
    </w:p>
    <w:p w14:paraId="4DE29A1C">
      <w:pPr>
        <w:pStyle w:val="19"/>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093EFE50">
      <w:pPr>
        <w:pStyle w:val="19"/>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50AF0A3E">
      <w:pPr>
        <w:pStyle w:val="19"/>
        <w:kinsoku w:val="0"/>
        <w:overflowPunct w:val="0"/>
        <w:spacing w:line="583" w:lineRule="auto"/>
        <w:ind w:right="-46"/>
        <w:rPr>
          <w:szCs w:val="20"/>
        </w:rPr>
      </w:pPr>
      <w:r>
        <w:rPr>
          <w:rFonts w:hint="eastAsia"/>
          <w:szCs w:val="20"/>
        </w:rPr>
        <w:t>附：</w:t>
      </w:r>
      <w:r>
        <w:rPr>
          <w:szCs w:val="20"/>
        </w:rPr>
        <w:t>法定代表人</w:t>
      </w:r>
      <w:r>
        <w:rPr>
          <w:rFonts w:hint="eastAsia"/>
          <w:szCs w:val="20"/>
        </w:rPr>
        <w:t>（单位负责人）</w:t>
      </w:r>
      <w:r>
        <w:rPr>
          <w:szCs w:val="20"/>
        </w:rPr>
        <w:t>身份证</w:t>
      </w:r>
      <w:r>
        <w:rPr>
          <w:rFonts w:hint="eastAsia"/>
          <w:szCs w:val="20"/>
        </w:rPr>
        <w:t>或</w:t>
      </w:r>
      <w:r>
        <w:rPr>
          <w:szCs w:val="20"/>
        </w:rPr>
        <w:t>护照等身份证明文件电子件：</w:t>
      </w:r>
    </w:p>
    <w:p w14:paraId="6628DBCA">
      <w:pPr>
        <w:pStyle w:val="19"/>
        <w:kinsoku w:val="0"/>
        <w:overflowPunct w:val="0"/>
        <w:spacing w:line="583" w:lineRule="auto"/>
        <w:ind w:right="4305"/>
        <w:rPr>
          <w:rFonts w:ascii="Times New Roman" w:hAnsi="Times New Roman" w:eastAsiaTheme="minorEastAsia"/>
          <w:spacing w:val="-3"/>
        </w:rPr>
      </w:pPr>
    </w:p>
    <w:p w14:paraId="4884CA78">
      <w:pPr>
        <w:autoSpaceDE w:val="0"/>
        <w:autoSpaceDN w:val="0"/>
        <w:adjustRightInd w:val="0"/>
        <w:snapToGrid w:val="0"/>
        <w:spacing w:line="360" w:lineRule="auto"/>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295841A0">
      <w:pPr>
        <w:autoSpaceDE w:val="0"/>
        <w:autoSpaceDN w:val="0"/>
        <w:adjustRightInd w:val="0"/>
        <w:snapToGrid w:val="0"/>
        <w:spacing w:line="360" w:lineRule="auto"/>
        <w:rPr>
          <w:rFonts w:eastAsiaTheme="minorEastAsia"/>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sz w:val="24"/>
          <w:szCs w:val="20"/>
        </w:rPr>
        <w:t>或签章</w:t>
      </w:r>
      <w:r>
        <w:rPr>
          <w:rFonts w:eastAsiaTheme="minorEastAsia"/>
          <w:spacing w:val="-3"/>
          <w:sz w:val="24"/>
        </w:rPr>
        <w:t>）：</w:t>
      </w:r>
      <w:r>
        <w:rPr>
          <w:rFonts w:eastAsiaTheme="minorEastAsia"/>
          <w:sz w:val="24"/>
        </w:rPr>
        <w:t>______</w:t>
      </w:r>
    </w:p>
    <w:p w14:paraId="39DA5D69">
      <w:pPr>
        <w:autoSpaceDE w:val="0"/>
        <w:autoSpaceDN w:val="0"/>
        <w:adjustRightInd w:val="0"/>
        <w:snapToGrid w:val="0"/>
        <w:spacing w:line="360" w:lineRule="auto"/>
        <w:rPr>
          <w:rFonts w:eastAsiaTheme="minorEastAsia"/>
          <w:sz w:val="24"/>
          <w:lang w:val="zh-CN"/>
        </w:rPr>
      </w:pPr>
      <w:r>
        <w:rPr>
          <w:rFonts w:eastAsiaTheme="minorEastAsia"/>
          <w:sz w:val="24"/>
        </w:rPr>
        <w:t>日期：</w:t>
      </w:r>
      <w:r>
        <w:rPr>
          <w:rFonts w:eastAsiaTheme="minorEastAsia"/>
          <w:sz w:val="24"/>
          <w:szCs w:val="20"/>
        </w:rPr>
        <w:t>____年____月____日</w:t>
      </w:r>
    </w:p>
    <w:p w14:paraId="093E4729">
      <w:pPr>
        <w:widowControl/>
        <w:jc w:val="left"/>
        <w:rPr>
          <w:rFonts w:eastAsiaTheme="minorEastAsia"/>
          <w:i/>
          <w:sz w:val="24"/>
          <w:szCs w:val="20"/>
          <w:u w:val="single"/>
        </w:rPr>
      </w:pPr>
    </w:p>
    <w:p w14:paraId="353CA458">
      <w:pPr>
        <w:widowControl/>
        <w:jc w:val="left"/>
        <w:rPr>
          <w:rFonts w:eastAsiaTheme="minorEastAsia"/>
          <w:sz w:val="24"/>
          <w:szCs w:val="20"/>
        </w:rPr>
      </w:pPr>
      <w:r>
        <w:rPr>
          <w:rFonts w:eastAsiaTheme="minorEastAsia"/>
          <w:sz w:val="24"/>
          <w:szCs w:val="20"/>
        </w:rPr>
        <w:br w:type="page"/>
      </w:r>
    </w:p>
    <w:p w14:paraId="7279A380">
      <w:pPr>
        <w:tabs>
          <w:tab w:val="left" w:pos="360"/>
        </w:tabs>
        <w:snapToGrid w:val="0"/>
        <w:spacing w:line="360" w:lineRule="auto"/>
        <w:outlineLvl w:val="1"/>
        <w:rPr>
          <w:rFonts w:eastAsiaTheme="minorEastAsia"/>
          <w:sz w:val="24"/>
        </w:rPr>
      </w:pPr>
      <w:r>
        <w:rPr>
          <w:rFonts w:eastAsiaTheme="minorEastAsia"/>
          <w:sz w:val="24"/>
        </w:rPr>
        <w:t>7  报价一览表</w:t>
      </w:r>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p>
    <w:p w14:paraId="3F82560B">
      <w:pPr>
        <w:spacing w:line="360" w:lineRule="exact"/>
        <w:jc w:val="center"/>
        <w:rPr>
          <w:rFonts w:eastAsiaTheme="minorEastAsia"/>
          <w:b/>
          <w:sz w:val="36"/>
          <w:szCs w:val="36"/>
        </w:rPr>
      </w:pPr>
      <w:bookmarkStart w:id="2627" w:name="_Toc226309802"/>
      <w:bookmarkStart w:id="2628" w:name="_Toc265228396"/>
      <w:bookmarkStart w:id="2629" w:name="_Toc226337254"/>
      <w:bookmarkStart w:id="2630" w:name="_Toc264969248"/>
      <w:bookmarkStart w:id="2631" w:name="_Toc305158900"/>
      <w:bookmarkStart w:id="2632" w:name="_Toc164608827"/>
      <w:bookmarkStart w:id="2633" w:name="_Toc305158826"/>
      <w:bookmarkStart w:id="2634" w:name="_Toc195842923"/>
      <w:bookmarkStart w:id="2635" w:name="_Toc226965831"/>
      <w:bookmarkStart w:id="2636" w:name="_Toc226965748"/>
      <w:bookmarkStart w:id="2637" w:name="_Toc164608672"/>
      <w:r>
        <w:rPr>
          <w:rFonts w:eastAsiaTheme="minorEastAsia"/>
          <w:b/>
          <w:sz w:val="36"/>
          <w:szCs w:val="36"/>
        </w:rPr>
        <w:t>报价一览表</w:t>
      </w:r>
      <w:bookmarkEnd w:id="2627"/>
      <w:bookmarkEnd w:id="2628"/>
      <w:bookmarkEnd w:id="2629"/>
      <w:bookmarkEnd w:id="2630"/>
      <w:bookmarkEnd w:id="2631"/>
      <w:bookmarkEnd w:id="2632"/>
      <w:bookmarkEnd w:id="2633"/>
      <w:bookmarkEnd w:id="2634"/>
      <w:bookmarkEnd w:id="2635"/>
      <w:bookmarkEnd w:id="2636"/>
      <w:bookmarkEnd w:id="2637"/>
    </w:p>
    <w:p w14:paraId="062BB73F">
      <w:pPr>
        <w:tabs>
          <w:tab w:val="left" w:pos="1800"/>
          <w:tab w:val="left" w:pos="5580"/>
        </w:tabs>
        <w:spacing w:line="360" w:lineRule="auto"/>
        <w:ind w:firstLine="240" w:firstLineChars="100"/>
        <w:jc w:val="left"/>
        <w:rPr>
          <w:rFonts w:eastAsiaTheme="minorEastAsia"/>
          <w:sz w:val="24"/>
          <w:u w:val="single"/>
        </w:rPr>
      </w:pPr>
      <w:r>
        <w:rPr>
          <w:rFonts w:eastAsiaTheme="minorEastAsia"/>
          <w:sz w:val="24"/>
        </w:rPr>
        <w:t>项目编号：___________     项目名称：___________</w:t>
      </w:r>
    </w:p>
    <w:tbl>
      <w:tblPr>
        <w:tblStyle w:val="49"/>
        <w:tblW w:w="4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3204"/>
        <w:gridCol w:w="2026"/>
        <w:gridCol w:w="2132"/>
      </w:tblGrid>
      <w:tr w14:paraId="31E1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96" w:type="pct"/>
            <w:vMerge w:val="restart"/>
            <w:tcBorders>
              <w:top w:val="single" w:color="auto" w:sz="4" w:space="0"/>
              <w:left w:val="single" w:color="auto" w:sz="4" w:space="0"/>
              <w:bottom w:val="single" w:color="auto" w:sz="4" w:space="0"/>
              <w:right w:val="single" w:color="auto" w:sz="4" w:space="0"/>
            </w:tcBorders>
            <w:vAlign w:val="center"/>
          </w:tcPr>
          <w:p w14:paraId="562197CB">
            <w:pPr>
              <w:tabs>
                <w:tab w:val="left" w:pos="5580"/>
              </w:tabs>
              <w:jc w:val="center"/>
              <w:rPr>
                <w:rFonts w:eastAsiaTheme="minorEastAsia"/>
                <w:b/>
                <w:sz w:val="24"/>
              </w:rPr>
            </w:pPr>
            <w:r>
              <w:rPr>
                <w:rFonts w:eastAsiaTheme="minorEastAsia"/>
                <w:b/>
                <w:sz w:val="24"/>
              </w:rPr>
              <w:t>包号</w:t>
            </w:r>
          </w:p>
        </w:tc>
        <w:tc>
          <w:tcPr>
            <w:tcW w:w="1960" w:type="pct"/>
            <w:vMerge w:val="restart"/>
            <w:tcBorders>
              <w:top w:val="single" w:color="auto" w:sz="4" w:space="0"/>
              <w:left w:val="single" w:color="auto" w:sz="4" w:space="0"/>
              <w:bottom w:val="single" w:color="auto" w:sz="4" w:space="0"/>
              <w:right w:val="single" w:color="auto" w:sz="4" w:space="0"/>
            </w:tcBorders>
            <w:vAlign w:val="center"/>
          </w:tcPr>
          <w:p w14:paraId="61C93184">
            <w:pPr>
              <w:tabs>
                <w:tab w:val="left" w:pos="5580"/>
              </w:tabs>
              <w:jc w:val="center"/>
              <w:rPr>
                <w:rFonts w:eastAsiaTheme="minorEastAsia"/>
                <w:b/>
                <w:sz w:val="24"/>
              </w:rPr>
            </w:pPr>
            <w:r>
              <w:rPr>
                <w:rFonts w:eastAsiaTheme="minorEastAsia"/>
                <w:b/>
                <w:sz w:val="24"/>
              </w:rPr>
              <w:t>供应商名称</w:t>
            </w:r>
          </w:p>
        </w:tc>
        <w:tc>
          <w:tcPr>
            <w:tcW w:w="2543" w:type="pct"/>
            <w:gridSpan w:val="2"/>
            <w:tcBorders>
              <w:top w:val="single" w:color="auto" w:sz="4" w:space="0"/>
              <w:left w:val="single" w:color="auto" w:sz="4" w:space="0"/>
              <w:bottom w:val="single" w:color="auto" w:sz="4" w:space="0"/>
              <w:right w:val="single" w:color="auto" w:sz="4" w:space="0"/>
            </w:tcBorders>
            <w:vAlign w:val="center"/>
          </w:tcPr>
          <w:p w14:paraId="7E7D8EEF">
            <w:pPr>
              <w:tabs>
                <w:tab w:val="left" w:pos="5580"/>
              </w:tabs>
              <w:jc w:val="center"/>
              <w:rPr>
                <w:rFonts w:eastAsiaTheme="minorEastAsia"/>
                <w:b/>
                <w:sz w:val="24"/>
              </w:rPr>
            </w:pPr>
            <w:r>
              <w:rPr>
                <w:rFonts w:eastAsiaTheme="minorEastAsia"/>
                <w:b/>
                <w:sz w:val="24"/>
              </w:rPr>
              <w:t>报价</w:t>
            </w:r>
          </w:p>
        </w:tc>
      </w:tr>
      <w:tr w14:paraId="0BF5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D90DC6E">
            <w:pPr>
              <w:widowControl/>
              <w:jc w:val="left"/>
              <w:rPr>
                <w:rFonts w:eastAsiaTheme="minorEastAsia"/>
                <w:b/>
                <w:sz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965446D">
            <w:pPr>
              <w:widowControl/>
              <w:jc w:val="left"/>
              <w:rPr>
                <w:rFonts w:eastAsiaTheme="minorEastAsia"/>
                <w:b/>
                <w:sz w:val="24"/>
              </w:rPr>
            </w:pPr>
          </w:p>
        </w:tc>
        <w:tc>
          <w:tcPr>
            <w:tcW w:w="1239" w:type="pct"/>
            <w:tcBorders>
              <w:top w:val="single" w:color="auto" w:sz="4" w:space="0"/>
              <w:left w:val="single" w:color="auto" w:sz="4" w:space="0"/>
              <w:bottom w:val="single" w:color="auto" w:sz="4" w:space="0"/>
              <w:right w:val="single" w:color="auto" w:sz="4" w:space="0"/>
            </w:tcBorders>
            <w:vAlign w:val="center"/>
          </w:tcPr>
          <w:p w14:paraId="2CFEC29F">
            <w:pPr>
              <w:tabs>
                <w:tab w:val="left" w:pos="5580"/>
              </w:tabs>
              <w:jc w:val="center"/>
              <w:rPr>
                <w:rFonts w:eastAsiaTheme="minorEastAsia"/>
                <w:b/>
                <w:sz w:val="24"/>
              </w:rPr>
            </w:pPr>
            <w:r>
              <w:rPr>
                <w:rFonts w:eastAsiaTheme="minorEastAsia"/>
                <w:b/>
                <w:sz w:val="24"/>
              </w:rPr>
              <w:t>大写</w:t>
            </w:r>
          </w:p>
        </w:tc>
        <w:tc>
          <w:tcPr>
            <w:tcW w:w="1304" w:type="pct"/>
            <w:tcBorders>
              <w:top w:val="single" w:color="auto" w:sz="4" w:space="0"/>
              <w:left w:val="single" w:color="auto" w:sz="4" w:space="0"/>
              <w:bottom w:val="single" w:color="auto" w:sz="4" w:space="0"/>
              <w:right w:val="single" w:color="auto" w:sz="4" w:space="0"/>
            </w:tcBorders>
            <w:vAlign w:val="center"/>
          </w:tcPr>
          <w:p w14:paraId="447D0A01">
            <w:pPr>
              <w:tabs>
                <w:tab w:val="left" w:pos="5580"/>
              </w:tabs>
              <w:jc w:val="center"/>
              <w:rPr>
                <w:rFonts w:eastAsiaTheme="minorEastAsia"/>
                <w:b/>
                <w:sz w:val="24"/>
              </w:rPr>
            </w:pPr>
            <w:r>
              <w:rPr>
                <w:rFonts w:eastAsiaTheme="minorEastAsia"/>
                <w:b/>
                <w:sz w:val="24"/>
              </w:rPr>
              <w:t>小写</w:t>
            </w:r>
          </w:p>
        </w:tc>
      </w:tr>
      <w:tr w14:paraId="6E36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96" w:type="pct"/>
            <w:tcBorders>
              <w:top w:val="single" w:color="auto" w:sz="4" w:space="0"/>
              <w:left w:val="single" w:color="auto" w:sz="4" w:space="0"/>
              <w:bottom w:val="single" w:color="auto" w:sz="4" w:space="0"/>
              <w:right w:val="single" w:color="auto" w:sz="4" w:space="0"/>
            </w:tcBorders>
            <w:vAlign w:val="center"/>
          </w:tcPr>
          <w:p w14:paraId="6995F3F9">
            <w:pPr>
              <w:tabs>
                <w:tab w:val="left" w:pos="5580"/>
              </w:tabs>
              <w:jc w:val="center"/>
              <w:rPr>
                <w:rFonts w:eastAsiaTheme="minorEastAsia"/>
                <w:sz w:val="24"/>
              </w:rPr>
            </w:pPr>
          </w:p>
        </w:tc>
        <w:tc>
          <w:tcPr>
            <w:tcW w:w="1960" w:type="pct"/>
            <w:tcBorders>
              <w:top w:val="single" w:color="auto" w:sz="4" w:space="0"/>
              <w:left w:val="single" w:color="auto" w:sz="4" w:space="0"/>
              <w:bottom w:val="single" w:color="auto" w:sz="4" w:space="0"/>
              <w:right w:val="single" w:color="auto" w:sz="4" w:space="0"/>
            </w:tcBorders>
            <w:vAlign w:val="center"/>
          </w:tcPr>
          <w:p w14:paraId="38BD9184">
            <w:pPr>
              <w:tabs>
                <w:tab w:val="left" w:pos="5580"/>
              </w:tabs>
              <w:jc w:val="center"/>
              <w:rPr>
                <w:rFonts w:eastAsiaTheme="minorEastAsia"/>
                <w:sz w:val="24"/>
              </w:rPr>
            </w:pPr>
          </w:p>
        </w:tc>
        <w:tc>
          <w:tcPr>
            <w:tcW w:w="1239" w:type="pct"/>
            <w:tcBorders>
              <w:top w:val="single" w:color="auto" w:sz="4" w:space="0"/>
              <w:left w:val="single" w:color="auto" w:sz="4" w:space="0"/>
              <w:bottom w:val="single" w:color="auto" w:sz="4" w:space="0"/>
              <w:right w:val="single" w:color="auto" w:sz="4" w:space="0"/>
            </w:tcBorders>
            <w:vAlign w:val="center"/>
          </w:tcPr>
          <w:p w14:paraId="5B844AAB">
            <w:pPr>
              <w:tabs>
                <w:tab w:val="left" w:pos="5580"/>
              </w:tabs>
              <w:jc w:val="center"/>
              <w:rPr>
                <w:rFonts w:eastAsiaTheme="minorEastAsia"/>
                <w:sz w:val="24"/>
              </w:rPr>
            </w:pPr>
          </w:p>
        </w:tc>
        <w:tc>
          <w:tcPr>
            <w:tcW w:w="1304" w:type="pct"/>
            <w:tcBorders>
              <w:top w:val="single" w:color="auto" w:sz="4" w:space="0"/>
              <w:left w:val="single" w:color="auto" w:sz="4" w:space="0"/>
              <w:bottom w:val="single" w:color="auto" w:sz="4" w:space="0"/>
              <w:right w:val="single" w:color="auto" w:sz="4" w:space="0"/>
            </w:tcBorders>
            <w:vAlign w:val="center"/>
          </w:tcPr>
          <w:p w14:paraId="7D317A87">
            <w:pPr>
              <w:tabs>
                <w:tab w:val="left" w:pos="5580"/>
              </w:tabs>
              <w:jc w:val="center"/>
              <w:rPr>
                <w:rFonts w:eastAsiaTheme="minorEastAsia"/>
                <w:sz w:val="24"/>
              </w:rPr>
            </w:pPr>
          </w:p>
        </w:tc>
      </w:tr>
    </w:tbl>
    <w:p w14:paraId="3D3D2290">
      <w:pPr>
        <w:autoSpaceDE w:val="0"/>
        <w:autoSpaceDN w:val="0"/>
        <w:adjustRightInd w:val="0"/>
        <w:jc w:val="left"/>
        <w:rPr>
          <w:rFonts w:eastAsiaTheme="minorEastAsia"/>
          <w:kern w:val="0"/>
          <w:sz w:val="24"/>
        </w:rPr>
      </w:pPr>
    </w:p>
    <w:p w14:paraId="6D63C9F3">
      <w:pPr>
        <w:autoSpaceDE w:val="0"/>
        <w:autoSpaceDN w:val="0"/>
        <w:adjustRightInd w:val="0"/>
        <w:jc w:val="left"/>
        <w:rPr>
          <w:rFonts w:eastAsiaTheme="minorEastAsia"/>
          <w:sz w:val="24"/>
          <w:szCs w:val="20"/>
        </w:rPr>
      </w:pPr>
      <w:r>
        <w:rPr>
          <w:rFonts w:eastAsiaTheme="minorEastAsia"/>
          <w:kern w:val="0"/>
          <w:sz w:val="24"/>
        </w:rPr>
        <w:t>注：1</w:t>
      </w:r>
      <w:r>
        <w:rPr>
          <w:rFonts w:eastAsiaTheme="minorEastAsia"/>
          <w:sz w:val="24"/>
          <w:szCs w:val="20"/>
        </w:rPr>
        <w:t>.此表中，每包的报价应和《分项报价表》中的总价相一致。</w:t>
      </w:r>
    </w:p>
    <w:p w14:paraId="28474EBD">
      <w:pPr>
        <w:tabs>
          <w:tab w:val="left" w:pos="5580"/>
        </w:tabs>
        <w:ind w:firstLine="480" w:firstLineChars="200"/>
        <w:rPr>
          <w:rFonts w:eastAsiaTheme="minorEastAsia"/>
          <w:sz w:val="24"/>
          <w:szCs w:val="20"/>
        </w:rPr>
      </w:pPr>
      <w:r>
        <w:rPr>
          <w:rFonts w:eastAsiaTheme="minorEastAsia"/>
          <w:sz w:val="24"/>
          <w:szCs w:val="20"/>
        </w:rPr>
        <w:t>2.本表必须按包分别填写。</w:t>
      </w:r>
    </w:p>
    <w:p w14:paraId="52A46C05">
      <w:pPr>
        <w:tabs>
          <w:tab w:val="left" w:pos="5580"/>
        </w:tabs>
        <w:ind w:firstLine="480" w:firstLineChars="200"/>
        <w:rPr>
          <w:rFonts w:eastAsiaTheme="minorEastAsia"/>
          <w:sz w:val="24"/>
          <w:szCs w:val="20"/>
        </w:rPr>
      </w:pPr>
    </w:p>
    <w:p w14:paraId="08D0E0F9">
      <w:pPr>
        <w:autoSpaceDE w:val="0"/>
        <w:autoSpaceDN w:val="0"/>
        <w:adjustRightInd w:val="0"/>
        <w:snapToGrid w:val="0"/>
        <w:spacing w:before="25" w:after="25" w:line="360" w:lineRule="auto"/>
        <w:rPr>
          <w:rFonts w:eastAsiaTheme="minorEastAsia"/>
          <w:sz w:val="24"/>
          <w:lang w:val="zh-CN"/>
        </w:rPr>
      </w:pPr>
    </w:p>
    <w:p w14:paraId="50536C2D">
      <w:pPr>
        <w:autoSpaceDE w:val="0"/>
        <w:autoSpaceDN w:val="0"/>
        <w:adjustRightInd w:val="0"/>
        <w:snapToGrid w:val="0"/>
        <w:spacing w:before="25" w:after="25" w:line="360" w:lineRule="auto"/>
        <w:rPr>
          <w:rFonts w:eastAsiaTheme="minorEastAsia"/>
          <w:sz w:val="24"/>
          <w:lang w:val="zh-CN"/>
        </w:rPr>
      </w:pPr>
      <w:r>
        <w:rPr>
          <w:rFonts w:eastAsiaTheme="minorEastAsia"/>
          <w:sz w:val="24"/>
          <w:lang w:val="zh-CN"/>
        </w:rPr>
        <w:t xml:space="preserve">   </w:t>
      </w:r>
    </w:p>
    <w:p w14:paraId="2B69CB46">
      <w:pPr>
        <w:autoSpaceDE w:val="0"/>
        <w:autoSpaceDN w:val="0"/>
        <w:adjustRightInd w:val="0"/>
        <w:snapToGrid w:val="0"/>
        <w:spacing w:before="25" w:after="25" w:line="360" w:lineRule="auto"/>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___________</w:t>
      </w:r>
    </w:p>
    <w:p w14:paraId="14A7F681">
      <w:pPr>
        <w:autoSpaceDE w:val="0"/>
        <w:autoSpaceDN w:val="0"/>
        <w:adjustRightInd w:val="0"/>
        <w:snapToGrid w:val="0"/>
        <w:spacing w:line="360" w:lineRule="auto"/>
        <w:rPr>
          <w:rFonts w:eastAsiaTheme="minorEastAsia"/>
          <w:sz w:val="24"/>
          <w:lang w:val="zh-CN"/>
        </w:rPr>
      </w:pPr>
      <w:r>
        <w:rPr>
          <w:rFonts w:eastAsiaTheme="minorEastAsia"/>
          <w:sz w:val="24"/>
        </w:rPr>
        <w:t>日期：</w:t>
      </w:r>
      <w:r>
        <w:rPr>
          <w:rFonts w:eastAsiaTheme="minorEastAsia"/>
          <w:sz w:val="24"/>
          <w:szCs w:val="20"/>
        </w:rPr>
        <w:t>____年____月____日</w:t>
      </w:r>
    </w:p>
    <w:p w14:paraId="0AA85D93">
      <w:pPr>
        <w:autoSpaceDE w:val="0"/>
        <w:autoSpaceDN w:val="0"/>
        <w:adjustRightInd w:val="0"/>
        <w:snapToGrid w:val="0"/>
        <w:spacing w:before="25" w:after="25" w:line="360" w:lineRule="auto"/>
        <w:rPr>
          <w:rFonts w:eastAsiaTheme="minorEastAsia"/>
          <w:sz w:val="24"/>
          <w:lang w:val="zh-CN"/>
        </w:rPr>
      </w:pPr>
      <w:r>
        <w:rPr>
          <w:rFonts w:eastAsiaTheme="minorEastAsia"/>
          <w:sz w:val="24"/>
          <w:szCs w:val="20"/>
        </w:rPr>
        <w:t xml:space="preserve">  </w:t>
      </w:r>
    </w:p>
    <w:p w14:paraId="781A9868">
      <w:pPr>
        <w:tabs>
          <w:tab w:val="left" w:pos="360"/>
        </w:tabs>
        <w:snapToGrid w:val="0"/>
        <w:spacing w:line="360" w:lineRule="auto"/>
        <w:outlineLvl w:val="1"/>
        <w:rPr>
          <w:rFonts w:eastAsiaTheme="minorEastAsia"/>
          <w:sz w:val="24"/>
        </w:rPr>
        <w:sectPr>
          <w:headerReference r:id="rId23" w:type="first"/>
          <w:footerReference r:id="rId25" w:type="first"/>
          <w:headerReference r:id="rId22" w:type="even"/>
          <w:footerReference r:id="rId24" w:type="even"/>
          <w:pgSz w:w="11907" w:h="16840"/>
          <w:pgMar w:top="1418" w:right="1134" w:bottom="1418" w:left="1701" w:header="851" w:footer="851" w:gutter="0"/>
          <w:cols w:space="720" w:num="1"/>
          <w:docGrid w:linePitch="462" w:charSpace="0"/>
        </w:sectPr>
      </w:pPr>
      <w:bookmarkStart w:id="2638" w:name="_Toc142311060"/>
      <w:bookmarkStart w:id="2639" w:name="_Toc150480796"/>
      <w:bookmarkStart w:id="2640" w:name="_Toc226337255"/>
      <w:bookmarkStart w:id="2641" w:name="_Toc305158827"/>
      <w:bookmarkStart w:id="2642" w:name="_Toc264969249"/>
      <w:bookmarkStart w:id="2643" w:name="_Toc265228397"/>
      <w:bookmarkStart w:id="2644" w:name="_Toc226309803"/>
      <w:bookmarkStart w:id="2645" w:name="_Toc226965749"/>
      <w:bookmarkStart w:id="2646" w:name="_Toc305158901"/>
      <w:bookmarkStart w:id="2647" w:name="_Toc150774763"/>
      <w:bookmarkStart w:id="2648" w:name="_Toc226965832"/>
      <w:bookmarkStart w:id="2649" w:name="_Toc195842924"/>
      <w:bookmarkStart w:id="2650" w:name="_Toc127151558"/>
    </w:p>
    <w:bookmarkEnd w:id="2638"/>
    <w:bookmarkEnd w:id="2639"/>
    <w:bookmarkEnd w:id="2640"/>
    <w:bookmarkEnd w:id="2641"/>
    <w:bookmarkEnd w:id="2642"/>
    <w:bookmarkEnd w:id="2643"/>
    <w:bookmarkEnd w:id="2644"/>
    <w:bookmarkEnd w:id="2645"/>
    <w:bookmarkEnd w:id="2646"/>
    <w:bookmarkEnd w:id="2647"/>
    <w:bookmarkEnd w:id="2648"/>
    <w:bookmarkEnd w:id="2649"/>
    <w:bookmarkEnd w:id="2650"/>
    <w:p w14:paraId="2F55BCFA">
      <w:pPr>
        <w:tabs>
          <w:tab w:val="left" w:pos="360"/>
        </w:tabs>
        <w:snapToGrid w:val="0"/>
        <w:spacing w:line="360" w:lineRule="auto"/>
        <w:outlineLvl w:val="1"/>
        <w:rPr>
          <w:rFonts w:eastAsiaTheme="minorEastAsia"/>
          <w:sz w:val="24"/>
        </w:rPr>
      </w:pPr>
      <w:r>
        <w:rPr>
          <w:rFonts w:eastAsiaTheme="minorEastAsia"/>
          <w:sz w:val="24"/>
        </w:rPr>
        <w:t>8  分项报价表</w:t>
      </w:r>
    </w:p>
    <w:p w14:paraId="073F8B94">
      <w:pPr>
        <w:tabs>
          <w:tab w:val="left" w:pos="1800"/>
          <w:tab w:val="left" w:pos="5580"/>
        </w:tabs>
        <w:jc w:val="center"/>
        <w:rPr>
          <w:rFonts w:eastAsiaTheme="minorEastAsia"/>
          <w:sz w:val="24"/>
        </w:rPr>
      </w:pPr>
      <w:r>
        <w:rPr>
          <w:rFonts w:hint="eastAsia" w:ascii="宋体" w:hAnsi="宋体"/>
          <w:b/>
          <w:sz w:val="36"/>
          <w:szCs w:val="36"/>
        </w:rPr>
        <w:t>分项报价表</w:t>
      </w:r>
    </w:p>
    <w:p w14:paraId="2BDA6E8E">
      <w:pPr>
        <w:tabs>
          <w:tab w:val="left" w:pos="1800"/>
          <w:tab w:val="left" w:pos="5580"/>
        </w:tabs>
        <w:jc w:val="left"/>
        <w:rPr>
          <w:rFonts w:eastAsiaTheme="minorEastAsia"/>
          <w:b/>
          <w:sz w:val="24"/>
        </w:rPr>
      </w:pPr>
    </w:p>
    <w:p w14:paraId="75D0037E">
      <w:pPr>
        <w:tabs>
          <w:tab w:val="left" w:pos="1800"/>
          <w:tab w:val="left" w:pos="5580"/>
        </w:tabs>
        <w:jc w:val="left"/>
        <w:rPr>
          <w:rFonts w:eastAsiaTheme="minorEastAsia"/>
          <w:b/>
          <w:sz w:val="24"/>
        </w:rPr>
      </w:pPr>
      <w:r>
        <w:rPr>
          <w:rFonts w:eastAsiaTheme="minorEastAsia"/>
          <w:b/>
          <w:sz w:val="24"/>
        </w:rPr>
        <w:t>（</w:t>
      </w:r>
      <w:r>
        <w:rPr>
          <w:rFonts w:hint="eastAsia" w:eastAsiaTheme="minorEastAsia"/>
          <w:b/>
          <w:sz w:val="24"/>
        </w:rPr>
        <w:t>工程类项目，放置已标价工程量清单</w:t>
      </w:r>
      <w:r>
        <w:rPr>
          <w:rFonts w:eastAsiaTheme="minorEastAsia"/>
          <w:b/>
          <w:sz w:val="24"/>
        </w:rPr>
        <w:t>）</w:t>
      </w:r>
    </w:p>
    <w:p w14:paraId="4822E4AC">
      <w:pPr>
        <w:tabs>
          <w:tab w:val="left" w:pos="1800"/>
          <w:tab w:val="left" w:pos="5580"/>
        </w:tabs>
        <w:jc w:val="left"/>
        <w:rPr>
          <w:rFonts w:eastAsiaTheme="minorEastAsia"/>
          <w:b/>
          <w:sz w:val="24"/>
        </w:rPr>
      </w:pPr>
    </w:p>
    <w:p w14:paraId="7DAB6389">
      <w:pPr>
        <w:tabs>
          <w:tab w:val="left" w:pos="1800"/>
          <w:tab w:val="left" w:pos="5580"/>
        </w:tabs>
        <w:jc w:val="left"/>
        <w:rPr>
          <w:rFonts w:eastAsiaTheme="minorEastAsia"/>
          <w:b/>
          <w:sz w:val="24"/>
        </w:rPr>
      </w:pPr>
    </w:p>
    <w:p w14:paraId="331682CB">
      <w:pPr>
        <w:tabs>
          <w:tab w:val="left" w:pos="1800"/>
          <w:tab w:val="left" w:pos="5580"/>
        </w:tabs>
        <w:jc w:val="left"/>
        <w:rPr>
          <w:rFonts w:eastAsiaTheme="minorEastAsia"/>
          <w:b/>
          <w:sz w:val="24"/>
        </w:rPr>
      </w:pPr>
    </w:p>
    <w:p w14:paraId="01A481B0">
      <w:pPr>
        <w:tabs>
          <w:tab w:val="left" w:pos="1800"/>
          <w:tab w:val="left" w:pos="5580"/>
        </w:tabs>
        <w:jc w:val="left"/>
        <w:rPr>
          <w:rFonts w:eastAsiaTheme="minorEastAsia"/>
          <w:b/>
          <w:sz w:val="24"/>
        </w:rPr>
      </w:pPr>
    </w:p>
    <w:p w14:paraId="1F0FEB8C">
      <w:pPr>
        <w:tabs>
          <w:tab w:val="left" w:pos="1800"/>
          <w:tab w:val="left" w:pos="5580"/>
        </w:tabs>
        <w:jc w:val="left"/>
        <w:rPr>
          <w:rFonts w:eastAsiaTheme="minorEastAsia"/>
          <w:sz w:val="24"/>
        </w:rPr>
      </w:pPr>
    </w:p>
    <w:p w14:paraId="40CC0C96">
      <w:pPr>
        <w:tabs>
          <w:tab w:val="left" w:pos="1800"/>
          <w:tab w:val="left" w:pos="5580"/>
        </w:tabs>
        <w:spacing w:line="276" w:lineRule="auto"/>
        <w:rPr>
          <w:rFonts w:ascii="宋体" w:hAnsi="宋体"/>
          <w:b/>
          <w:iCs/>
          <w:sz w:val="24"/>
        </w:rPr>
      </w:pPr>
      <w:r>
        <w:rPr>
          <w:rFonts w:hint="eastAsia" w:ascii="宋体" w:hAnsi="宋体"/>
          <w:b/>
          <w:iCs/>
          <w:sz w:val="24"/>
        </w:rPr>
        <w:t>应按现行清单计价规范填报工程量清单，签字盖章要求以广联达格式要求为准。</w:t>
      </w:r>
    </w:p>
    <w:p w14:paraId="6F0BBAB5">
      <w:pPr>
        <w:tabs>
          <w:tab w:val="left" w:pos="1800"/>
          <w:tab w:val="left" w:pos="5580"/>
        </w:tabs>
        <w:jc w:val="left"/>
        <w:rPr>
          <w:rFonts w:eastAsiaTheme="minorEastAsia"/>
          <w:sz w:val="24"/>
        </w:rPr>
      </w:pPr>
    </w:p>
    <w:p w14:paraId="30069C9A">
      <w:pPr>
        <w:tabs>
          <w:tab w:val="left" w:pos="1800"/>
          <w:tab w:val="left" w:pos="5580"/>
        </w:tabs>
        <w:jc w:val="left"/>
        <w:rPr>
          <w:rFonts w:eastAsiaTheme="minorEastAsia"/>
          <w:sz w:val="24"/>
        </w:rPr>
      </w:pPr>
      <w:r>
        <w:rPr>
          <w:rFonts w:eastAsiaTheme="minorEastAsia"/>
          <w:sz w:val="24"/>
        </w:rPr>
        <w:t>注：1.本表应按包分别填写。</w:t>
      </w:r>
    </w:p>
    <w:p w14:paraId="08B29AB0">
      <w:pPr>
        <w:tabs>
          <w:tab w:val="left" w:pos="1800"/>
          <w:tab w:val="left" w:pos="5580"/>
        </w:tabs>
        <w:jc w:val="left"/>
        <w:rPr>
          <w:rFonts w:eastAsiaTheme="minorEastAsia"/>
          <w:sz w:val="24"/>
        </w:rPr>
      </w:pPr>
      <w:r>
        <w:rPr>
          <w:rFonts w:hint="eastAsia" w:eastAsiaTheme="minorEastAsia"/>
          <w:sz w:val="24"/>
        </w:rPr>
        <w:t xml:space="preserve">    2.如果不提供分项报价将视为没有实质性响应竞争性磋商文件。</w:t>
      </w:r>
    </w:p>
    <w:p w14:paraId="46E50424">
      <w:pPr>
        <w:tabs>
          <w:tab w:val="left" w:pos="1800"/>
          <w:tab w:val="left" w:pos="5580"/>
        </w:tabs>
        <w:ind w:firstLine="480" w:firstLineChars="200"/>
        <w:jc w:val="left"/>
        <w:rPr>
          <w:rFonts w:eastAsiaTheme="minorEastAsia"/>
          <w:sz w:val="24"/>
        </w:rPr>
      </w:pPr>
      <w:r>
        <w:rPr>
          <w:rFonts w:hint="eastAsia" w:eastAsiaTheme="minorEastAsia"/>
          <w:sz w:val="24"/>
        </w:rPr>
        <w:t>3</w:t>
      </w:r>
      <w:r>
        <w:rPr>
          <w:rFonts w:eastAsiaTheme="minorEastAsia"/>
          <w:sz w:val="24"/>
        </w:rPr>
        <w:t>.上述各项的详细规格（如有），可另页描述。</w:t>
      </w:r>
    </w:p>
    <w:p w14:paraId="5ADCA760">
      <w:pPr>
        <w:autoSpaceDE w:val="0"/>
        <w:autoSpaceDN w:val="0"/>
        <w:adjustRightInd w:val="0"/>
        <w:snapToGrid w:val="0"/>
        <w:spacing w:before="25" w:after="25" w:line="360" w:lineRule="auto"/>
        <w:rPr>
          <w:rFonts w:eastAsiaTheme="minorEastAsia"/>
          <w:sz w:val="24"/>
        </w:rPr>
      </w:pPr>
    </w:p>
    <w:p w14:paraId="5E0E06F5">
      <w:pPr>
        <w:autoSpaceDE w:val="0"/>
        <w:autoSpaceDN w:val="0"/>
        <w:adjustRightInd w:val="0"/>
        <w:snapToGrid w:val="0"/>
        <w:spacing w:before="25" w:after="25" w:line="360" w:lineRule="auto"/>
        <w:rPr>
          <w:rFonts w:eastAsiaTheme="minorEastAsia"/>
          <w:sz w:val="24"/>
        </w:rPr>
      </w:pPr>
    </w:p>
    <w:p w14:paraId="5B2DD339">
      <w:pPr>
        <w:autoSpaceDE w:val="0"/>
        <w:autoSpaceDN w:val="0"/>
        <w:adjustRightInd w:val="0"/>
        <w:snapToGrid w:val="0"/>
        <w:spacing w:before="25" w:after="25" w:line="360" w:lineRule="auto"/>
        <w:rPr>
          <w:rFonts w:eastAsiaTheme="minorEastAsia"/>
          <w:sz w:val="24"/>
        </w:rPr>
      </w:pPr>
    </w:p>
    <w:p w14:paraId="080D12F8">
      <w:pPr>
        <w:autoSpaceDE w:val="0"/>
        <w:autoSpaceDN w:val="0"/>
        <w:adjustRightInd w:val="0"/>
        <w:snapToGrid w:val="0"/>
        <w:spacing w:before="25" w:after="25" w:line="360" w:lineRule="auto"/>
        <w:rPr>
          <w:rFonts w:eastAsiaTheme="minorEastAsia"/>
          <w:sz w:val="24"/>
        </w:rPr>
      </w:pPr>
    </w:p>
    <w:p w14:paraId="789D5EBA">
      <w:pPr>
        <w:autoSpaceDE w:val="0"/>
        <w:autoSpaceDN w:val="0"/>
        <w:adjustRightInd w:val="0"/>
        <w:snapToGrid w:val="0"/>
        <w:spacing w:before="25" w:after="25" w:line="360" w:lineRule="auto"/>
        <w:rPr>
          <w:rFonts w:eastAsiaTheme="minorEastAsia"/>
          <w:sz w:val="24"/>
        </w:rPr>
      </w:pPr>
    </w:p>
    <w:p w14:paraId="4847ECF9">
      <w:pPr>
        <w:autoSpaceDE w:val="0"/>
        <w:autoSpaceDN w:val="0"/>
        <w:adjustRightInd w:val="0"/>
        <w:snapToGrid w:val="0"/>
        <w:spacing w:before="25" w:after="25" w:line="360" w:lineRule="auto"/>
        <w:rPr>
          <w:rFonts w:eastAsiaTheme="minorEastAsia"/>
          <w:sz w:val="24"/>
        </w:rPr>
      </w:pPr>
    </w:p>
    <w:p w14:paraId="0A5AD969">
      <w:pPr>
        <w:autoSpaceDE w:val="0"/>
        <w:autoSpaceDN w:val="0"/>
        <w:adjustRightInd w:val="0"/>
        <w:snapToGrid w:val="0"/>
        <w:spacing w:before="25" w:after="25" w:line="360" w:lineRule="auto"/>
        <w:rPr>
          <w:rFonts w:eastAsiaTheme="minorEastAsia"/>
          <w:sz w:val="24"/>
        </w:rPr>
      </w:pPr>
    </w:p>
    <w:p w14:paraId="5A535986">
      <w:pPr>
        <w:autoSpaceDE w:val="0"/>
        <w:autoSpaceDN w:val="0"/>
        <w:adjustRightInd w:val="0"/>
        <w:snapToGrid w:val="0"/>
        <w:spacing w:before="25" w:after="25" w:line="360" w:lineRule="auto"/>
        <w:ind w:right="360"/>
        <w:jc w:val="left"/>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4A9E555A">
      <w:pPr>
        <w:autoSpaceDE w:val="0"/>
        <w:autoSpaceDN w:val="0"/>
        <w:adjustRightInd w:val="0"/>
        <w:snapToGrid w:val="0"/>
        <w:spacing w:before="25" w:after="25" w:line="360" w:lineRule="auto"/>
        <w:rPr>
          <w:rFonts w:eastAsiaTheme="minorEastAsia"/>
          <w:sz w:val="24"/>
          <w:lang w:val="zh-CN"/>
        </w:rPr>
      </w:pPr>
      <w:r>
        <w:rPr>
          <w:rFonts w:eastAsiaTheme="minorEastAsia"/>
          <w:sz w:val="24"/>
          <w:szCs w:val="20"/>
        </w:rPr>
        <w:t xml:space="preserve">日期：____年____月____日  </w:t>
      </w:r>
    </w:p>
    <w:p w14:paraId="373D3836">
      <w:pPr>
        <w:tabs>
          <w:tab w:val="left" w:pos="360"/>
        </w:tabs>
        <w:snapToGrid w:val="0"/>
        <w:spacing w:line="360" w:lineRule="auto"/>
        <w:outlineLvl w:val="1"/>
        <w:rPr>
          <w:rFonts w:eastAsiaTheme="minorEastAsia"/>
          <w:sz w:val="24"/>
        </w:rPr>
        <w:sectPr>
          <w:pgSz w:w="11907" w:h="16840"/>
          <w:pgMar w:top="1418" w:right="1134" w:bottom="1418" w:left="1701" w:header="851" w:footer="851" w:gutter="0"/>
          <w:cols w:space="720" w:num="1"/>
          <w:docGrid w:linePitch="462" w:charSpace="0"/>
        </w:sectPr>
      </w:pPr>
      <w:bookmarkStart w:id="2651" w:name="_Toc150774765"/>
      <w:bookmarkStart w:id="2652" w:name="_Toc226965752"/>
      <w:bookmarkStart w:id="2653" w:name="_Toc142311062"/>
      <w:bookmarkStart w:id="2654" w:name="_Toc195842927"/>
      <w:bookmarkStart w:id="2655" w:name="_Toc305158830"/>
      <w:bookmarkStart w:id="2656" w:name="_Toc226965835"/>
      <w:bookmarkStart w:id="2657" w:name="_Toc226309806"/>
      <w:bookmarkStart w:id="2658" w:name="_Toc265228400"/>
      <w:bookmarkStart w:id="2659" w:name="_Toc226337258"/>
      <w:bookmarkStart w:id="2660" w:name="_Toc127151562"/>
      <w:bookmarkStart w:id="2661" w:name="_Toc150480798"/>
      <w:bookmarkStart w:id="2662" w:name="_Toc264969252"/>
      <w:bookmarkStart w:id="2663" w:name="_Toc305158904"/>
      <w:bookmarkStart w:id="2664" w:name="_Toc150774764"/>
      <w:bookmarkStart w:id="2665" w:name="_Toc264969251"/>
      <w:bookmarkStart w:id="2666" w:name="_Toc305158903"/>
      <w:bookmarkStart w:id="2667" w:name="_Toc226965751"/>
      <w:bookmarkStart w:id="2668" w:name="_Toc150480797"/>
      <w:bookmarkStart w:id="2669" w:name="_Toc226965834"/>
      <w:bookmarkStart w:id="2670" w:name="_Toc265228399"/>
      <w:bookmarkStart w:id="2671" w:name="_Toc195842926"/>
      <w:bookmarkStart w:id="2672" w:name="_Toc305158829"/>
      <w:bookmarkStart w:id="2673" w:name="_Toc226337257"/>
      <w:bookmarkStart w:id="2674" w:name="_Toc142311061"/>
      <w:bookmarkStart w:id="2675" w:name="_Toc226309805"/>
      <w:bookmarkStart w:id="2676" w:name="_Toc127151561"/>
    </w:p>
    <w:p w14:paraId="42A23347">
      <w:pPr>
        <w:tabs>
          <w:tab w:val="left" w:pos="360"/>
        </w:tabs>
        <w:snapToGrid w:val="0"/>
        <w:spacing w:line="360" w:lineRule="auto"/>
        <w:outlineLvl w:val="1"/>
        <w:rPr>
          <w:rFonts w:eastAsiaTheme="minorEastAsia"/>
          <w:sz w:val="24"/>
          <w:szCs w:val="20"/>
        </w:rPr>
      </w:pPr>
      <w:r>
        <w:rPr>
          <w:rFonts w:eastAsiaTheme="minorEastAsia"/>
          <w:sz w:val="24"/>
        </w:rPr>
        <w:t>9  合同条款偏离表</w:t>
      </w:r>
      <w:bookmarkEnd w:id="2651"/>
      <w:bookmarkEnd w:id="2652"/>
      <w:bookmarkEnd w:id="2653"/>
      <w:bookmarkEnd w:id="2654"/>
      <w:bookmarkEnd w:id="2655"/>
      <w:bookmarkEnd w:id="2656"/>
      <w:bookmarkEnd w:id="2657"/>
      <w:bookmarkEnd w:id="2658"/>
      <w:bookmarkEnd w:id="2659"/>
      <w:bookmarkEnd w:id="2660"/>
      <w:bookmarkEnd w:id="2661"/>
      <w:bookmarkEnd w:id="2662"/>
      <w:bookmarkEnd w:id="2663"/>
      <w:r>
        <w:rPr>
          <w:rFonts w:eastAsiaTheme="minorEastAsia"/>
          <w:sz w:val="24"/>
        </w:rPr>
        <w:t>（实质性格式）</w:t>
      </w:r>
    </w:p>
    <w:p w14:paraId="63960574">
      <w:pPr>
        <w:spacing w:line="360" w:lineRule="auto"/>
        <w:rPr>
          <w:rFonts w:eastAsiaTheme="minorEastAsia"/>
          <w:sz w:val="24"/>
          <w:szCs w:val="20"/>
        </w:rPr>
      </w:pPr>
    </w:p>
    <w:p w14:paraId="0D5C2B1B">
      <w:pPr>
        <w:tabs>
          <w:tab w:val="left" w:pos="2775"/>
          <w:tab w:val="center" w:pos="4153"/>
        </w:tabs>
        <w:autoSpaceDE w:val="0"/>
        <w:autoSpaceDN w:val="0"/>
        <w:adjustRightInd w:val="0"/>
        <w:spacing w:line="360" w:lineRule="auto"/>
        <w:jc w:val="left"/>
        <w:rPr>
          <w:rFonts w:eastAsiaTheme="minorEastAsia"/>
          <w:b/>
          <w:sz w:val="36"/>
          <w:szCs w:val="36"/>
        </w:rPr>
      </w:pPr>
      <w:r>
        <w:rPr>
          <w:rFonts w:eastAsiaTheme="minorEastAsia"/>
          <w:sz w:val="36"/>
          <w:szCs w:val="36"/>
        </w:rPr>
        <w:tab/>
      </w:r>
      <w:r>
        <w:rPr>
          <w:rFonts w:eastAsiaTheme="minorEastAsia"/>
          <w:b/>
          <w:sz w:val="36"/>
          <w:szCs w:val="36"/>
        </w:rPr>
        <w:tab/>
      </w:r>
      <w:r>
        <w:rPr>
          <w:rFonts w:eastAsiaTheme="minorEastAsia"/>
          <w:b/>
          <w:sz w:val="36"/>
          <w:szCs w:val="36"/>
        </w:rPr>
        <w:t>合同条款偏离表</w:t>
      </w:r>
    </w:p>
    <w:p w14:paraId="23EE56DE">
      <w:pPr>
        <w:spacing w:line="360" w:lineRule="auto"/>
        <w:rPr>
          <w:rFonts w:eastAsiaTheme="minorEastAsia"/>
          <w:sz w:val="24"/>
          <w:szCs w:val="20"/>
        </w:rPr>
      </w:pPr>
    </w:p>
    <w:p w14:paraId="09875500">
      <w:pPr>
        <w:tabs>
          <w:tab w:val="left" w:pos="1800"/>
          <w:tab w:val="left" w:pos="5580"/>
        </w:tabs>
        <w:spacing w:line="360" w:lineRule="auto"/>
        <w:ind w:firstLine="360" w:firstLineChars="150"/>
        <w:jc w:val="left"/>
        <w:rPr>
          <w:rFonts w:eastAsiaTheme="minorEastAsia"/>
          <w:sz w:val="24"/>
        </w:rPr>
      </w:pPr>
      <w:r>
        <w:rPr>
          <w:rFonts w:eastAsiaTheme="minorEastAsia"/>
          <w:sz w:val="24"/>
        </w:rPr>
        <w:t>项目编号/包号： _______________     项目名称：_______________</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
        <w:gridCol w:w="1560"/>
        <w:gridCol w:w="1777"/>
        <w:gridCol w:w="1777"/>
        <w:gridCol w:w="2183"/>
        <w:gridCol w:w="980"/>
      </w:tblGrid>
      <w:tr w14:paraId="58F5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27D48604">
            <w:pPr>
              <w:adjustRightInd w:val="0"/>
              <w:snapToGrid w:val="0"/>
              <w:jc w:val="center"/>
              <w:rPr>
                <w:rFonts w:eastAsiaTheme="minorEastAsia"/>
                <w:sz w:val="24"/>
              </w:rPr>
            </w:pPr>
            <w:r>
              <w:rPr>
                <w:rFonts w:eastAsiaTheme="minorEastAsia"/>
                <w:sz w:val="24"/>
              </w:rPr>
              <w:t>序号</w:t>
            </w:r>
          </w:p>
        </w:tc>
        <w:tc>
          <w:tcPr>
            <w:tcW w:w="1394" w:type="dxa"/>
            <w:vAlign w:val="center"/>
          </w:tcPr>
          <w:p w14:paraId="1F2616F4">
            <w:pPr>
              <w:adjustRightInd w:val="0"/>
              <w:snapToGrid w:val="0"/>
              <w:jc w:val="center"/>
              <w:rPr>
                <w:rFonts w:eastAsiaTheme="minorEastAsia"/>
                <w:sz w:val="24"/>
              </w:rPr>
            </w:pPr>
            <w:r>
              <w:rPr>
                <w:rFonts w:eastAsiaTheme="minorEastAsia"/>
                <w:sz w:val="24"/>
                <w:szCs w:val="21"/>
              </w:rPr>
              <w:t>竞争性磋商文件</w:t>
            </w:r>
            <w:r>
              <w:rPr>
                <w:rFonts w:eastAsiaTheme="minorEastAsia"/>
                <w:sz w:val="24"/>
              </w:rPr>
              <w:t>条目号（页码）</w:t>
            </w:r>
          </w:p>
        </w:tc>
        <w:tc>
          <w:tcPr>
            <w:tcW w:w="1808" w:type="dxa"/>
            <w:vAlign w:val="center"/>
          </w:tcPr>
          <w:p w14:paraId="134B5DC5">
            <w:pPr>
              <w:adjustRightInd w:val="0"/>
              <w:snapToGrid w:val="0"/>
              <w:jc w:val="center"/>
              <w:rPr>
                <w:rFonts w:eastAsiaTheme="minorEastAsia"/>
                <w:sz w:val="24"/>
              </w:rPr>
            </w:pPr>
            <w:r>
              <w:rPr>
                <w:rFonts w:eastAsiaTheme="minorEastAsia"/>
                <w:sz w:val="24"/>
                <w:szCs w:val="21"/>
              </w:rPr>
              <w:t>竞争性磋商文件</w:t>
            </w:r>
            <w:r>
              <w:rPr>
                <w:rFonts w:eastAsiaTheme="minorEastAsia"/>
                <w:sz w:val="24"/>
              </w:rPr>
              <w:t>要求</w:t>
            </w:r>
          </w:p>
        </w:tc>
        <w:tc>
          <w:tcPr>
            <w:tcW w:w="1809" w:type="dxa"/>
            <w:vAlign w:val="center"/>
          </w:tcPr>
          <w:p w14:paraId="4D58FAD9">
            <w:pPr>
              <w:adjustRightInd w:val="0"/>
              <w:snapToGrid w:val="0"/>
              <w:jc w:val="center"/>
              <w:rPr>
                <w:rFonts w:eastAsiaTheme="minorEastAsia"/>
                <w:sz w:val="24"/>
              </w:rPr>
            </w:pPr>
            <w:r>
              <w:rPr>
                <w:rFonts w:eastAsiaTheme="minorEastAsia"/>
                <w:sz w:val="24"/>
              </w:rPr>
              <w:t>响应文件内容</w:t>
            </w:r>
          </w:p>
        </w:tc>
        <w:tc>
          <w:tcPr>
            <w:tcW w:w="2290" w:type="dxa"/>
            <w:vAlign w:val="center"/>
          </w:tcPr>
          <w:p w14:paraId="699C3E15">
            <w:pPr>
              <w:adjustRightInd w:val="0"/>
              <w:snapToGrid w:val="0"/>
              <w:jc w:val="center"/>
              <w:rPr>
                <w:rFonts w:eastAsiaTheme="minorEastAsia"/>
                <w:sz w:val="24"/>
              </w:rPr>
            </w:pPr>
            <w:r>
              <w:rPr>
                <w:rFonts w:eastAsiaTheme="minorEastAsia"/>
                <w:sz w:val="24"/>
              </w:rPr>
              <w:t>偏离情况</w:t>
            </w:r>
          </w:p>
        </w:tc>
        <w:tc>
          <w:tcPr>
            <w:tcW w:w="863" w:type="dxa"/>
            <w:vAlign w:val="center"/>
          </w:tcPr>
          <w:p w14:paraId="2A069102">
            <w:pPr>
              <w:adjustRightInd w:val="0"/>
              <w:snapToGrid w:val="0"/>
              <w:jc w:val="center"/>
              <w:rPr>
                <w:rFonts w:eastAsiaTheme="minorEastAsia"/>
                <w:sz w:val="24"/>
              </w:rPr>
            </w:pPr>
            <w:r>
              <w:rPr>
                <w:rFonts w:eastAsiaTheme="minorEastAsia"/>
                <w:sz w:val="24"/>
              </w:rPr>
              <w:t>说明</w:t>
            </w:r>
          </w:p>
        </w:tc>
      </w:tr>
      <w:tr w14:paraId="4C7D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6860A341">
            <w:pPr>
              <w:adjustRightInd w:val="0"/>
              <w:snapToGrid w:val="0"/>
              <w:jc w:val="left"/>
              <w:rPr>
                <w:rFonts w:eastAsiaTheme="minorEastAsia"/>
                <w:b/>
                <w:sz w:val="24"/>
              </w:rPr>
            </w:pPr>
            <w:r>
              <w:rPr>
                <w:b/>
                <w:sz w:val="24"/>
              </w:rPr>
              <w:t>对本项目合同条款的偏离情况（</w:t>
            </w:r>
            <w:r>
              <w:rPr>
                <w:rFonts w:hint="eastAsia"/>
                <w:bCs/>
                <w:sz w:val="24"/>
              </w:rPr>
              <w:t>应</w:t>
            </w:r>
            <w:r>
              <w:rPr>
                <w:bCs/>
                <w:sz w:val="24"/>
              </w:rPr>
              <w:t>进行选择</w:t>
            </w:r>
            <w:r>
              <w:rPr>
                <w:rFonts w:hint="eastAsia"/>
                <w:bCs/>
                <w:sz w:val="24"/>
              </w:rPr>
              <w:t>，未选择</w:t>
            </w:r>
            <w:r>
              <w:rPr>
                <w:rFonts w:hint="eastAsia"/>
                <w:b/>
                <w:sz w:val="24"/>
              </w:rPr>
              <w:t>响应无效</w:t>
            </w:r>
            <w:r>
              <w:rPr>
                <w:b/>
                <w:sz w:val="24"/>
              </w:rPr>
              <w:t>）：</w:t>
            </w:r>
          </w:p>
          <w:p w14:paraId="5E63D62B">
            <w:pPr>
              <w:adjustRightInd w:val="0"/>
              <w:snapToGrid w:val="0"/>
              <w:jc w:val="left"/>
              <w:rPr>
                <w:rFonts w:eastAsiaTheme="minorEastAsia"/>
                <w:b/>
                <w:sz w:val="24"/>
              </w:rPr>
            </w:pPr>
            <w:r>
              <w:rPr>
                <w:rFonts w:eastAsiaTheme="minorEastAsia"/>
                <w:b/>
                <w:sz w:val="24"/>
              </w:rPr>
              <w:t>□无偏离</w:t>
            </w:r>
            <w:r>
              <w:rPr>
                <w:rFonts w:eastAsiaTheme="minorEastAsia"/>
                <w:sz w:val="24"/>
              </w:rPr>
              <w:t>（</w:t>
            </w:r>
            <w:r>
              <w:rPr>
                <w:rFonts w:eastAsiaTheme="minorEastAsia"/>
                <w:sz w:val="24"/>
                <w:szCs w:val="21"/>
              </w:rPr>
              <w:t>如无偏离，仅选择无偏离即可</w:t>
            </w:r>
            <w:r>
              <w:rPr>
                <w:rFonts w:hint="eastAsia"/>
                <w:sz w:val="24"/>
                <w:szCs w:val="21"/>
              </w:rPr>
              <w:t>；</w:t>
            </w:r>
            <w:r>
              <w:rPr>
                <w:rFonts w:hint="eastAsia"/>
                <w:bCs/>
                <w:sz w:val="24"/>
              </w:rPr>
              <w:t>无偏离即为</w:t>
            </w:r>
            <w:r>
              <w:rPr>
                <w:sz w:val="24"/>
              </w:rPr>
              <w:t>对合同条款中的所有要求</w:t>
            </w:r>
            <w:r>
              <w:rPr>
                <w:rFonts w:hint="eastAsia"/>
                <w:sz w:val="24"/>
              </w:rPr>
              <w:t>，</w:t>
            </w:r>
            <w:r>
              <w:rPr>
                <w:sz w:val="24"/>
              </w:rPr>
              <w:t>均视作供应商已对之理解和响应。</w:t>
            </w:r>
            <w:r>
              <w:rPr>
                <w:rFonts w:eastAsiaTheme="minorEastAsia"/>
                <w:sz w:val="24"/>
              </w:rPr>
              <w:t>）</w:t>
            </w:r>
          </w:p>
          <w:p w14:paraId="371C1C7E">
            <w:pPr>
              <w:adjustRightInd w:val="0"/>
              <w:snapToGrid w:val="0"/>
              <w:jc w:val="left"/>
              <w:rPr>
                <w:rFonts w:eastAsiaTheme="minorEastAsia"/>
                <w:sz w:val="24"/>
              </w:rPr>
            </w:pPr>
            <w:r>
              <w:rPr>
                <w:rFonts w:eastAsiaTheme="minorEastAsia"/>
                <w:b/>
                <w:sz w:val="24"/>
              </w:rPr>
              <w:t>□有偏离</w:t>
            </w:r>
            <w:r>
              <w:rPr>
                <w:rFonts w:eastAsiaTheme="minorEastAsia"/>
                <w:sz w:val="24"/>
              </w:rPr>
              <w:t>（</w:t>
            </w:r>
            <w:r>
              <w:rPr>
                <w:rFonts w:eastAsiaTheme="minorEastAsia"/>
                <w:sz w:val="24"/>
                <w:szCs w:val="21"/>
              </w:rPr>
              <w:t>如有偏离，</w:t>
            </w:r>
            <w:r>
              <w:rPr>
                <w:rFonts w:eastAsiaTheme="minorEastAsia"/>
                <w:sz w:val="24"/>
              </w:rPr>
              <w:t>则</w:t>
            </w:r>
            <w:r>
              <w:rPr>
                <w:rFonts w:hint="eastAsia" w:eastAsiaTheme="minorEastAsia"/>
                <w:sz w:val="24"/>
              </w:rPr>
              <w:t>应</w:t>
            </w:r>
            <w:r>
              <w:rPr>
                <w:rFonts w:eastAsiaTheme="minorEastAsia"/>
                <w:sz w:val="24"/>
              </w:rPr>
              <w:t>在本表中对负偏离项逐一列明</w:t>
            </w:r>
            <w:r>
              <w:rPr>
                <w:rFonts w:hint="eastAsia"/>
                <w:sz w:val="24"/>
              </w:rPr>
              <w:t>，否则</w:t>
            </w:r>
            <w:r>
              <w:rPr>
                <w:rFonts w:hint="eastAsia"/>
                <w:b/>
                <w:bCs/>
                <w:sz w:val="24"/>
              </w:rPr>
              <w:t>响应无效</w:t>
            </w:r>
            <w:r>
              <w:rPr>
                <w:sz w:val="24"/>
              </w:rPr>
              <w:t>；对合同条款中的所有要求，除本表列明的偏离外，均视作供应商已对之理解和响应。</w:t>
            </w:r>
            <w:r>
              <w:rPr>
                <w:rFonts w:eastAsiaTheme="minorEastAsia"/>
                <w:sz w:val="24"/>
              </w:rPr>
              <w:t>）</w:t>
            </w:r>
          </w:p>
        </w:tc>
      </w:tr>
      <w:tr w14:paraId="706D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14BB28C1">
            <w:pPr>
              <w:adjustRightInd w:val="0"/>
              <w:snapToGrid w:val="0"/>
              <w:jc w:val="center"/>
              <w:rPr>
                <w:rFonts w:eastAsiaTheme="minorEastAsia"/>
                <w:sz w:val="24"/>
              </w:rPr>
            </w:pPr>
          </w:p>
        </w:tc>
        <w:tc>
          <w:tcPr>
            <w:tcW w:w="1394" w:type="dxa"/>
            <w:vAlign w:val="center"/>
          </w:tcPr>
          <w:p w14:paraId="6B172E68">
            <w:pPr>
              <w:adjustRightInd w:val="0"/>
              <w:snapToGrid w:val="0"/>
              <w:jc w:val="center"/>
              <w:rPr>
                <w:rFonts w:eastAsiaTheme="minorEastAsia"/>
                <w:sz w:val="24"/>
              </w:rPr>
            </w:pPr>
          </w:p>
        </w:tc>
        <w:tc>
          <w:tcPr>
            <w:tcW w:w="1808" w:type="dxa"/>
            <w:vAlign w:val="center"/>
          </w:tcPr>
          <w:p w14:paraId="735C31C1">
            <w:pPr>
              <w:adjustRightInd w:val="0"/>
              <w:snapToGrid w:val="0"/>
              <w:jc w:val="center"/>
              <w:rPr>
                <w:rFonts w:eastAsiaTheme="minorEastAsia"/>
                <w:sz w:val="24"/>
              </w:rPr>
            </w:pPr>
          </w:p>
        </w:tc>
        <w:tc>
          <w:tcPr>
            <w:tcW w:w="1809" w:type="dxa"/>
            <w:vAlign w:val="center"/>
          </w:tcPr>
          <w:p w14:paraId="32EDC18F">
            <w:pPr>
              <w:adjustRightInd w:val="0"/>
              <w:snapToGrid w:val="0"/>
              <w:jc w:val="center"/>
              <w:rPr>
                <w:rFonts w:eastAsiaTheme="minorEastAsia"/>
                <w:sz w:val="24"/>
              </w:rPr>
            </w:pPr>
          </w:p>
        </w:tc>
        <w:tc>
          <w:tcPr>
            <w:tcW w:w="2290" w:type="dxa"/>
            <w:vAlign w:val="center"/>
          </w:tcPr>
          <w:p w14:paraId="66275BF2">
            <w:pPr>
              <w:adjustRightInd w:val="0"/>
              <w:snapToGrid w:val="0"/>
              <w:jc w:val="center"/>
              <w:rPr>
                <w:rFonts w:eastAsiaTheme="minorEastAsia"/>
                <w:sz w:val="24"/>
              </w:rPr>
            </w:pPr>
          </w:p>
        </w:tc>
        <w:tc>
          <w:tcPr>
            <w:tcW w:w="863" w:type="dxa"/>
            <w:vAlign w:val="center"/>
          </w:tcPr>
          <w:p w14:paraId="0EFF3A52">
            <w:pPr>
              <w:adjustRightInd w:val="0"/>
              <w:snapToGrid w:val="0"/>
              <w:jc w:val="center"/>
              <w:rPr>
                <w:rFonts w:eastAsiaTheme="minorEastAsia"/>
                <w:sz w:val="24"/>
              </w:rPr>
            </w:pPr>
          </w:p>
        </w:tc>
      </w:tr>
      <w:tr w14:paraId="62DC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21010B9F">
            <w:pPr>
              <w:adjustRightInd w:val="0"/>
              <w:snapToGrid w:val="0"/>
              <w:jc w:val="center"/>
              <w:rPr>
                <w:rFonts w:eastAsiaTheme="minorEastAsia"/>
                <w:sz w:val="24"/>
              </w:rPr>
            </w:pPr>
          </w:p>
        </w:tc>
        <w:tc>
          <w:tcPr>
            <w:tcW w:w="1394" w:type="dxa"/>
            <w:vAlign w:val="center"/>
          </w:tcPr>
          <w:p w14:paraId="40279838">
            <w:pPr>
              <w:adjustRightInd w:val="0"/>
              <w:snapToGrid w:val="0"/>
              <w:jc w:val="center"/>
              <w:rPr>
                <w:rFonts w:eastAsiaTheme="minorEastAsia"/>
                <w:sz w:val="24"/>
              </w:rPr>
            </w:pPr>
          </w:p>
        </w:tc>
        <w:tc>
          <w:tcPr>
            <w:tcW w:w="1808" w:type="dxa"/>
            <w:vAlign w:val="center"/>
          </w:tcPr>
          <w:p w14:paraId="4A0784CB">
            <w:pPr>
              <w:adjustRightInd w:val="0"/>
              <w:snapToGrid w:val="0"/>
              <w:jc w:val="center"/>
              <w:rPr>
                <w:rFonts w:eastAsiaTheme="minorEastAsia"/>
                <w:sz w:val="24"/>
              </w:rPr>
            </w:pPr>
          </w:p>
        </w:tc>
        <w:tc>
          <w:tcPr>
            <w:tcW w:w="1809" w:type="dxa"/>
            <w:vAlign w:val="center"/>
          </w:tcPr>
          <w:p w14:paraId="1D7E4188">
            <w:pPr>
              <w:adjustRightInd w:val="0"/>
              <w:snapToGrid w:val="0"/>
              <w:jc w:val="center"/>
              <w:rPr>
                <w:rFonts w:eastAsiaTheme="minorEastAsia"/>
                <w:sz w:val="24"/>
              </w:rPr>
            </w:pPr>
          </w:p>
        </w:tc>
        <w:tc>
          <w:tcPr>
            <w:tcW w:w="2290" w:type="dxa"/>
            <w:vAlign w:val="center"/>
          </w:tcPr>
          <w:p w14:paraId="0FA4B375">
            <w:pPr>
              <w:adjustRightInd w:val="0"/>
              <w:snapToGrid w:val="0"/>
              <w:jc w:val="center"/>
              <w:rPr>
                <w:rFonts w:eastAsiaTheme="minorEastAsia"/>
                <w:sz w:val="24"/>
              </w:rPr>
            </w:pPr>
          </w:p>
        </w:tc>
        <w:tc>
          <w:tcPr>
            <w:tcW w:w="863" w:type="dxa"/>
            <w:vAlign w:val="center"/>
          </w:tcPr>
          <w:p w14:paraId="3C855A0F">
            <w:pPr>
              <w:adjustRightInd w:val="0"/>
              <w:snapToGrid w:val="0"/>
              <w:jc w:val="center"/>
              <w:rPr>
                <w:rFonts w:eastAsiaTheme="minorEastAsia"/>
                <w:sz w:val="24"/>
              </w:rPr>
            </w:pPr>
          </w:p>
        </w:tc>
      </w:tr>
      <w:tr w14:paraId="6C65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49E5D946">
            <w:pPr>
              <w:adjustRightInd w:val="0"/>
              <w:snapToGrid w:val="0"/>
              <w:jc w:val="center"/>
              <w:rPr>
                <w:rFonts w:eastAsiaTheme="minorEastAsia"/>
                <w:sz w:val="24"/>
              </w:rPr>
            </w:pPr>
          </w:p>
        </w:tc>
        <w:tc>
          <w:tcPr>
            <w:tcW w:w="1394" w:type="dxa"/>
            <w:vAlign w:val="center"/>
          </w:tcPr>
          <w:p w14:paraId="11CD20F5">
            <w:pPr>
              <w:adjustRightInd w:val="0"/>
              <w:snapToGrid w:val="0"/>
              <w:jc w:val="center"/>
              <w:rPr>
                <w:rFonts w:eastAsiaTheme="minorEastAsia"/>
                <w:sz w:val="24"/>
              </w:rPr>
            </w:pPr>
          </w:p>
        </w:tc>
        <w:tc>
          <w:tcPr>
            <w:tcW w:w="1808" w:type="dxa"/>
            <w:vAlign w:val="center"/>
          </w:tcPr>
          <w:p w14:paraId="05761845">
            <w:pPr>
              <w:adjustRightInd w:val="0"/>
              <w:snapToGrid w:val="0"/>
              <w:jc w:val="center"/>
              <w:rPr>
                <w:rFonts w:eastAsiaTheme="minorEastAsia"/>
                <w:sz w:val="24"/>
              </w:rPr>
            </w:pPr>
          </w:p>
        </w:tc>
        <w:tc>
          <w:tcPr>
            <w:tcW w:w="1809" w:type="dxa"/>
            <w:vAlign w:val="center"/>
          </w:tcPr>
          <w:p w14:paraId="1E8DCA90">
            <w:pPr>
              <w:adjustRightInd w:val="0"/>
              <w:snapToGrid w:val="0"/>
              <w:jc w:val="center"/>
              <w:rPr>
                <w:rFonts w:eastAsiaTheme="minorEastAsia"/>
                <w:sz w:val="24"/>
              </w:rPr>
            </w:pPr>
          </w:p>
        </w:tc>
        <w:tc>
          <w:tcPr>
            <w:tcW w:w="2290" w:type="dxa"/>
            <w:vAlign w:val="center"/>
          </w:tcPr>
          <w:p w14:paraId="40A0B255">
            <w:pPr>
              <w:adjustRightInd w:val="0"/>
              <w:snapToGrid w:val="0"/>
              <w:jc w:val="center"/>
              <w:rPr>
                <w:rFonts w:eastAsiaTheme="minorEastAsia"/>
                <w:sz w:val="24"/>
              </w:rPr>
            </w:pPr>
          </w:p>
        </w:tc>
        <w:tc>
          <w:tcPr>
            <w:tcW w:w="863" w:type="dxa"/>
            <w:vAlign w:val="center"/>
          </w:tcPr>
          <w:p w14:paraId="6FE62D4F">
            <w:pPr>
              <w:adjustRightInd w:val="0"/>
              <w:snapToGrid w:val="0"/>
              <w:jc w:val="center"/>
              <w:rPr>
                <w:rFonts w:eastAsiaTheme="minorEastAsia"/>
                <w:sz w:val="24"/>
              </w:rPr>
            </w:pPr>
          </w:p>
        </w:tc>
      </w:tr>
      <w:tr w14:paraId="008E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7F7013BB">
            <w:pPr>
              <w:adjustRightInd w:val="0"/>
              <w:snapToGrid w:val="0"/>
              <w:jc w:val="center"/>
              <w:rPr>
                <w:rFonts w:eastAsiaTheme="minorEastAsia"/>
                <w:sz w:val="24"/>
              </w:rPr>
            </w:pPr>
          </w:p>
        </w:tc>
        <w:tc>
          <w:tcPr>
            <w:tcW w:w="1394" w:type="dxa"/>
            <w:vAlign w:val="center"/>
          </w:tcPr>
          <w:p w14:paraId="09B1FAA0">
            <w:pPr>
              <w:adjustRightInd w:val="0"/>
              <w:snapToGrid w:val="0"/>
              <w:jc w:val="center"/>
              <w:rPr>
                <w:rFonts w:eastAsiaTheme="minorEastAsia"/>
                <w:sz w:val="24"/>
              </w:rPr>
            </w:pPr>
          </w:p>
        </w:tc>
        <w:tc>
          <w:tcPr>
            <w:tcW w:w="1808" w:type="dxa"/>
            <w:vAlign w:val="center"/>
          </w:tcPr>
          <w:p w14:paraId="0BE89230">
            <w:pPr>
              <w:adjustRightInd w:val="0"/>
              <w:snapToGrid w:val="0"/>
              <w:jc w:val="center"/>
              <w:rPr>
                <w:rFonts w:eastAsiaTheme="minorEastAsia"/>
                <w:sz w:val="24"/>
              </w:rPr>
            </w:pPr>
          </w:p>
        </w:tc>
        <w:tc>
          <w:tcPr>
            <w:tcW w:w="1809" w:type="dxa"/>
            <w:vAlign w:val="center"/>
          </w:tcPr>
          <w:p w14:paraId="743CE88B">
            <w:pPr>
              <w:adjustRightInd w:val="0"/>
              <w:snapToGrid w:val="0"/>
              <w:jc w:val="center"/>
              <w:rPr>
                <w:rFonts w:eastAsiaTheme="minorEastAsia"/>
                <w:sz w:val="24"/>
              </w:rPr>
            </w:pPr>
          </w:p>
        </w:tc>
        <w:tc>
          <w:tcPr>
            <w:tcW w:w="2290" w:type="dxa"/>
            <w:vAlign w:val="center"/>
          </w:tcPr>
          <w:p w14:paraId="5FB203AC">
            <w:pPr>
              <w:adjustRightInd w:val="0"/>
              <w:snapToGrid w:val="0"/>
              <w:jc w:val="center"/>
              <w:rPr>
                <w:rFonts w:eastAsiaTheme="minorEastAsia"/>
                <w:sz w:val="24"/>
              </w:rPr>
            </w:pPr>
          </w:p>
        </w:tc>
        <w:tc>
          <w:tcPr>
            <w:tcW w:w="863" w:type="dxa"/>
            <w:vAlign w:val="center"/>
          </w:tcPr>
          <w:p w14:paraId="4B43BBF8">
            <w:pPr>
              <w:adjustRightInd w:val="0"/>
              <w:snapToGrid w:val="0"/>
              <w:jc w:val="center"/>
              <w:rPr>
                <w:rFonts w:eastAsiaTheme="minorEastAsia"/>
                <w:sz w:val="24"/>
              </w:rPr>
            </w:pPr>
          </w:p>
        </w:tc>
      </w:tr>
      <w:tr w14:paraId="540D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07526944">
            <w:pPr>
              <w:adjustRightInd w:val="0"/>
              <w:snapToGrid w:val="0"/>
              <w:jc w:val="center"/>
              <w:rPr>
                <w:rFonts w:eastAsiaTheme="minorEastAsia"/>
                <w:sz w:val="24"/>
              </w:rPr>
            </w:pPr>
          </w:p>
        </w:tc>
        <w:tc>
          <w:tcPr>
            <w:tcW w:w="1394" w:type="dxa"/>
            <w:vAlign w:val="center"/>
          </w:tcPr>
          <w:p w14:paraId="7F9D14CA">
            <w:pPr>
              <w:adjustRightInd w:val="0"/>
              <w:snapToGrid w:val="0"/>
              <w:jc w:val="center"/>
              <w:rPr>
                <w:rFonts w:eastAsiaTheme="minorEastAsia"/>
                <w:sz w:val="24"/>
              </w:rPr>
            </w:pPr>
          </w:p>
        </w:tc>
        <w:tc>
          <w:tcPr>
            <w:tcW w:w="1808" w:type="dxa"/>
            <w:vAlign w:val="center"/>
          </w:tcPr>
          <w:p w14:paraId="483392D7">
            <w:pPr>
              <w:adjustRightInd w:val="0"/>
              <w:snapToGrid w:val="0"/>
              <w:jc w:val="center"/>
              <w:rPr>
                <w:rFonts w:eastAsiaTheme="minorEastAsia"/>
                <w:sz w:val="24"/>
              </w:rPr>
            </w:pPr>
          </w:p>
        </w:tc>
        <w:tc>
          <w:tcPr>
            <w:tcW w:w="1809" w:type="dxa"/>
            <w:vAlign w:val="center"/>
          </w:tcPr>
          <w:p w14:paraId="7D95114D">
            <w:pPr>
              <w:adjustRightInd w:val="0"/>
              <w:snapToGrid w:val="0"/>
              <w:jc w:val="center"/>
              <w:rPr>
                <w:rFonts w:eastAsiaTheme="minorEastAsia"/>
                <w:sz w:val="24"/>
              </w:rPr>
            </w:pPr>
          </w:p>
        </w:tc>
        <w:tc>
          <w:tcPr>
            <w:tcW w:w="2290" w:type="dxa"/>
            <w:vAlign w:val="center"/>
          </w:tcPr>
          <w:p w14:paraId="5AC5B6F3">
            <w:pPr>
              <w:adjustRightInd w:val="0"/>
              <w:snapToGrid w:val="0"/>
              <w:jc w:val="center"/>
              <w:rPr>
                <w:rFonts w:eastAsiaTheme="minorEastAsia"/>
                <w:sz w:val="24"/>
              </w:rPr>
            </w:pPr>
          </w:p>
        </w:tc>
        <w:tc>
          <w:tcPr>
            <w:tcW w:w="863" w:type="dxa"/>
            <w:vAlign w:val="center"/>
          </w:tcPr>
          <w:p w14:paraId="6E086B68">
            <w:pPr>
              <w:adjustRightInd w:val="0"/>
              <w:snapToGrid w:val="0"/>
              <w:jc w:val="center"/>
              <w:rPr>
                <w:rFonts w:eastAsiaTheme="minorEastAsia"/>
                <w:sz w:val="24"/>
              </w:rPr>
            </w:pPr>
          </w:p>
        </w:tc>
      </w:tr>
    </w:tbl>
    <w:p w14:paraId="1F570706">
      <w:pPr>
        <w:tabs>
          <w:tab w:val="left" w:pos="1800"/>
          <w:tab w:val="left" w:pos="5580"/>
        </w:tabs>
        <w:jc w:val="left"/>
        <w:rPr>
          <w:rFonts w:eastAsiaTheme="minorEastAsia"/>
          <w:sz w:val="24"/>
        </w:rPr>
      </w:pPr>
    </w:p>
    <w:p w14:paraId="68B52F11">
      <w:pPr>
        <w:tabs>
          <w:tab w:val="left" w:pos="1800"/>
          <w:tab w:val="left" w:pos="5580"/>
        </w:tabs>
        <w:jc w:val="left"/>
        <w:rPr>
          <w:sz w:val="24"/>
        </w:rPr>
      </w:pPr>
      <w:r>
        <w:rPr>
          <w:sz w:val="24"/>
        </w:rPr>
        <w:t>注： “偏离情况”列应据实填写“正偏离”或“负偏离”。</w:t>
      </w:r>
    </w:p>
    <w:p w14:paraId="09DBA0BB">
      <w:pPr>
        <w:spacing w:line="360" w:lineRule="auto"/>
        <w:rPr>
          <w:rFonts w:eastAsiaTheme="minorEastAsia"/>
          <w:sz w:val="24"/>
          <w:szCs w:val="20"/>
        </w:rPr>
      </w:pPr>
    </w:p>
    <w:p w14:paraId="49B1DB95">
      <w:pPr>
        <w:autoSpaceDE w:val="0"/>
        <w:autoSpaceDN w:val="0"/>
        <w:adjustRightInd w:val="0"/>
        <w:snapToGrid w:val="0"/>
        <w:spacing w:before="25" w:after="25" w:line="360" w:lineRule="auto"/>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_______________</w:t>
      </w:r>
    </w:p>
    <w:p w14:paraId="4741BF11">
      <w:pPr>
        <w:autoSpaceDE w:val="0"/>
        <w:autoSpaceDN w:val="0"/>
        <w:adjustRightInd w:val="0"/>
        <w:snapToGrid w:val="0"/>
        <w:spacing w:before="25" w:after="25" w:line="360" w:lineRule="auto"/>
        <w:rPr>
          <w:rFonts w:eastAsiaTheme="minorEastAsia"/>
          <w:sz w:val="24"/>
          <w:lang w:val="zh-CN"/>
        </w:rPr>
      </w:pPr>
      <w:r>
        <w:rPr>
          <w:rFonts w:eastAsiaTheme="minorEastAsia"/>
          <w:sz w:val="24"/>
          <w:szCs w:val="20"/>
        </w:rPr>
        <w:t xml:space="preserve">日期：____年____月____日    </w:t>
      </w:r>
    </w:p>
    <w:p w14:paraId="404BC425">
      <w:pPr>
        <w:tabs>
          <w:tab w:val="left" w:pos="360"/>
        </w:tabs>
        <w:snapToGrid w:val="0"/>
        <w:spacing w:line="360" w:lineRule="auto"/>
        <w:outlineLvl w:val="1"/>
        <w:rPr>
          <w:rFonts w:eastAsiaTheme="minorEastAsia"/>
          <w:sz w:val="24"/>
          <w:szCs w:val="20"/>
        </w:rPr>
      </w:pPr>
      <w:r>
        <w:rPr>
          <w:rFonts w:eastAsiaTheme="minorEastAsia"/>
          <w:sz w:val="24"/>
          <w:szCs w:val="20"/>
        </w:rPr>
        <w:br w:type="page"/>
      </w:r>
      <w:r>
        <w:rPr>
          <w:rFonts w:eastAsiaTheme="minorEastAsia"/>
          <w:sz w:val="24"/>
        </w:rPr>
        <w:t xml:space="preserve">10  </w:t>
      </w:r>
      <w:bookmarkEnd w:id="2664"/>
      <w:bookmarkEnd w:id="2665"/>
      <w:bookmarkEnd w:id="2666"/>
      <w:bookmarkEnd w:id="2667"/>
      <w:bookmarkEnd w:id="2668"/>
      <w:bookmarkEnd w:id="2669"/>
      <w:bookmarkEnd w:id="2670"/>
      <w:bookmarkEnd w:id="2671"/>
      <w:bookmarkEnd w:id="2672"/>
      <w:bookmarkEnd w:id="2673"/>
      <w:bookmarkEnd w:id="2674"/>
      <w:bookmarkEnd w:id="2675"/>
      <w:bookmarkEnd w:id="2676"/>
      <w:r>
        <w:rPr>
          <w:rFonts w:eastAsiaTheme="minorEastAsia"/>
          <w:sz w:val="24"/>
        </w:rPr>
        <w:t>采购需求偏离表（实质性格式）</w:t>
      </w:r>
    </w:p>
    <w:p w14:paraId="35B09888">
      <w:pPr>
        <w:autoSpaceDE w:val="0"/>
        <w:autoSpaceDN w:val="0"/>
        <w:adjustRightInd w:val="0"/>
        <w:spacing w:line="360" w:lineRule="auto"/>
        <w:jc w:val="center"/>
        <w:rPr>
          <w:rFonts w:eastAsiaTheme="minorEastAsia"/>
          <w:b/>
          <w:sz w:val="36"/>
          <w:szCs w:val="36"/>
        </w:rPr>
      </w:pPr>
      <w:r>
        <w:rPr>
          <w:rFonts w:eastAsiaTheme="minorEastAsia"/>
          <w:b/>
          <w:sz w:val="36"/>
          <w:szCs w:val="36"/>
        </w:rPr>
        <w:t>采购需求偏离表</w:t>
      </w:r>
    </w:p>
    <w:p w14:paraId="52D8721F">
      <w:pPr>
        <w:tabs>
          <w:tab w:val="left" w:pos="1800"/>
          <w:tab w:val="left" w:pos="5580"/>
        </w:tabs>
        <w:spacing w:line="360" w:lineRule="auto"/>
        <w:ind w:firstLine="360" w:firstLineChars="150"/>
        <w:jc w:val="left"/>
        <w:rPr>
          <w:rFonts w:eastAsiaTheme="minorEastAsia"/>
          <w:sz w:val="24"/>
        </w:rPr>
      </w:pPr>
      <w:r>
        <w:rPr>
          <w:rFonts w:eastAsiaTheme="minorEastAsia"/>
          <w:sz w:val="24"/>
        </w:rPr>
        <w:t>项目编号/包号： _______________     项目名称：_______________</w:t>
      </w:r>
    </w:p>
    <w:tbl>
      <w:tblPr>
        <w:tblStyle w:val="49"/>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523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549EEB7F">
            <w:pPr>
              <w:adjustRightInd w:val="0"/>
              <w:snapToGrid w:val="0"/>
              <w:jc w:val="center"/>
              <w:rPr>
                <w:rFonts w:eastAsiaTheme="minorEastAsia"/>
                <w:sz w:val="24"/>
              </w:rPr>
            </w:pPr>
            <w:r>
              <w:rPr>
                <w:rFonts w:eastAsiaTheme="minorEastAsia"/>
                <w:sz w:val="24"/>
              </w:rPr>
              <w:t>序号</w:t>
            </w:r>
          </w:p>
        </w:tc>
        <w:tc>
          <w:tcPr>
            <w:tcW w:w="1482" w:type="dxa"/>
            <w:vAlign w:val="center"/>
          </w:tcPr>
          <w:p w14:paraId="6FBD57FA">
            <w:pPr>
              <w:adjustRightInd w:val="0"/>
              <w:snapToGrid w:val="0"/>
              <w:jc w:val="center"/>
              <w:rPr>
                <w:rFonts w:eastAsiaTheme="minorEastAsia"/>
                <w:sz w:val="24"/>
              </w:rPr>
            </w:pPr>
            <w:r>
              <w:rPr>
                <w:rFonts w:eastAsiaTheme="minorEastAsia"/>
                <w:sz w:val="24"/>
              </w:rPr>
              <w:t>竞争性磋商文件条目号(页码)</w:t>
            </w:r>
          </w:p>
        </w:tc>
        <w:tc>
          <w:tcPr>
            <w:tcW w:w="2384" w:type="dxa"/>
            <w:vAlign w:val="center"/>
          </w:tcPr>
          <w:p w14:paraId="4DE500CA">
            <w:pPr>
              <w:adjustRightInd w:val="0"/>
              <w:snapToGrid w:val="0"/>
              <w:jc w:val="center"/>
              <w:rPr>
                <w:rFonts w:eastAsiaTheme="minorEastAsia"/>
                <w:sz w:val="24"/>
              </w:rPr>
            </w:pPr>
            <w:r>
              <w:rPr>
                <w:rFonts w:eastAsiaTheme="minorEastAsia"/>
                <w:sz w:val="24"/>
              </w:rPr>
              <w:t>竞争性磋商文件要求</w:t>
            </w:r>
          </w:p>
        </w:tc>
        <w:tc>
          <w:tcPr>
            <w:tcW w:w="2126" w:type="dxa"/>
            <w:vAlign w:val="center"/>
          </w:tcPr>
          <w:p w14:paraId="655C1FAB">
            <w:pPr>
              <w:adjustRightInd w:val="0"/>
              <w:snapToGrid w:val="0"/>
              <w:jc w:val="center"/>
              <w:rPr>
                <w:rFonts w:eastAsiaTheme="minorEastAsia"/>
                <w:sz w:val="24"/>
              </w:rPr>
            </w:pPr>
            <w:r>
              <w:rPr>
                <w:rFonts w:eastAsiaTheme="minorEastAsia"/>
                <w:sz w:val="24"/>
              </w:rPr>
              <w:t>响应内容</w:t>
            </w:r>
          </w:p>
        </w:tc>
        <w:tc>
          <w:tcPr>
            <w:tcW w:w="1875" w:type="dxa"/>
            <w:vAlign w:val="center"/>
          </w:tcPr>
          <w:p w14:paraId="1A37DE9B">
            <w:pPr>
              <w:adjustRightInd w:val="0"/>
              <w:snapToGrid w:val="0"/>
              <w:jc w:val="center"/>
              <w:rPr>
                <w:rFonts w:eastAsiaTheme="minorEastAsia"/>
                <w:sz w:val="24"/>
              </w:rPr>
            </w:pPr>
            <w:r>
              <w:rPr>
                <w:rFonts w:eastAsiaTheme="minorEastAsia"/>
                <w:sz w:val="24"/>
              </w:rPr>
              <w:t>偏离情况</w:t>
            </w:r>
          </w:p>
        </w:tc>
        <w:tc>
          <w:tcPr>
            <w:tcW w:w="1009" w:type="dxa"/>
            <w:vAlign w:val="center"/>
          </w:tcPr>
          <w:p w14:paraId="6C63A0F8">
            <w:pPr>
              <w:adjustRightInd w:val="0"/>
              <w:snapToGrid w:val="0"/>
              <w:jc w:val="center"/>
              <w:rPr>
                <w:rFonts w:eastAsiaTheme="minorEastAsia"/>
                <w:sz w:val="24"/>
              </w:rPr>
            </w:pPr>
            <w:r>
              <w:rPr>
                <w:rFonts w:eastAsiaTheme="minorEastAsia"/>
                <w:sz w:val="24"/>
              </w:rPr>
              <w:t>说明</w:t>
            </w:r>
          </w:p>
        </w:tc>
      </w:tr>
      <w:tr w14:paraId="1886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47EC798">
            <w:pPr>
              <w:adjustRightInd w:val="0"/>
              <w:snapToGrid w:val="0"/>
              <w:jc w:val="center"/>
              <w:rPr>
                <w:rFonts w:eastAsiaTheme="minorEastAsia"/>
                <w:sz w:val="24"/>
              </w:rPr>
            </w:pPr>
          </w:p>
        </w:tc>
        <w:tc>
          <w:tcPr>
            <w:tcW w:w="1482" w:type="dxa"/>
            <w:vAlign w:val="center"/>
          </w:tcPr>
          <w:p w14:paraId="3EBC09F4">
            <w:pPr>
              <w:adjustRightInd w:val="0"/>
              <w:snapToGrid w:val="0"/>
              <w:jc w:val="center"/>
              <w:rPr>
                <w:rFonts w:eastAsiaTheme="minorEastAsia"/>
                <w:sz w:val="24"/>
              </w:rPr>
            </w:pPr>
          </w:p>
        </w:tc>
        <w:tc>
          <w:tcPr>
            <w:tcW w:w="2384" w:type="dxa"/>
            <w:vAlign w:val="center"/>
          </w:tcPr>
          <w:p w14:paraId="4ED6B9AB">
            <w:pPr>
              <w:adjustRightInd w:val="0"/>
              <w:snapToGrid w:val="0"/>
              <w:jc w:val="center"/>
              <w:rPr>
                <w:rFonts w:eastAsiaTheme="minorEastAsia"/>
                <w:sz w:val="24"/>
              </w:rPr>
            </w:pPr>
          </w:p>
        </w:tc>
        <w:tc>
          <w:tcPr>
            <w:tcW w:w="2126" w:type="dxa"/>
            <w:vAlign w:val="center"/>
          </w:tcPr>
          <w:p w14:paraId="1E9DC1C5">
            <w:pPr>
              <w:adjustRightInd w:val="0"/>
              <w:snapToGrid w:val="0"/>
              <w:jc w:val="center"/>
              <w:rPr>
                <w:rFonts w:eastAsiaTheme="minorEastAsia"/>
                <w:sz w:val="24"/>
              </w:rPr>
            </w:pPr>
          </w:p>
        </w:tc>
        <w:tc>
          <w:tcPr>
            <w:tcW w:w="1875" w:type="dxa"/>
            <w:vAlign w:val="center"/>
          </w:tcPr>
          <w:p w14:paraId="251F6495">
            <w:pPr>
              <w:adjustRightInd w:val="0"/>
              <w:snapToGrid w:val="0"/>
              <w:jc w:val="center"/>
              <w:rPr>
                <w:rFonts w:eastAsiaTheme="minorEastAsia"/>
                <w:sz w:val="24"/>
              </w:rPr>
            </w:pPr>
          </w:p>
        </w:tc>
        <w:tc>
          <w:tcPr>
            <w:tcW w:w="1009" w:type="dxa"/>
            <w:vAlign w:val="center"/>
          </w:tcPr>
          <w:p w14:paraId="40625C94">
            <w:pPr>
              <w:adjustRightInd w:val="0"/>
              <w:snapToGrid w:val="0"/>
              <w:jc w:val="center"/>
              <w:rPr>
                <w:rFonts w:eastAsiaTheme="minorEastAsia"/>
                <w:sz w:val="24"/>
              </w:rPr>
            </w:pPr>
          </w:p>
        </w:tc>
      </w:tr>
      <w:tr w14:paraId="4A6F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775" w:type="dxa"/>
            <w:vAlign w:val="center"/>
          </w:tcPr>
          <w:p w14:paraId="79E84926">
            <w:pPr>
              <w:adjustRightInd w:val="0"/>
              <w:snapToGrid w:val="0"/>
              <w:jc w:val="center"/>
              <w:rPr>
                <w:rFonts w:eastAsiaTheme="minorEastAsia"/>
                <w:sz w:val="24"/>
              </w:rPr>
            </w:pPr>
          </w:p>
        </w:tc>
        <w:tc>
          <w:tcPr>
            <w:tcW w:w="1482" w:type="dxa"/>
            <w:vAlign w:val="center"/>
          </w:tcPr>
          <w:p w14:paraId="5F4B3043">
            <w:pPr>
              <w:adjustRightInd w:val="0"/>
              <w:snapToGrid w:val="0"/>
              <w:jc w:val="center"/>
              <w:rPr>
                <w:rFonts w:eastAsiaTheme="minorEastAsia"/>
                <w:sz w:val="24"/>
              </w:rPr>
            </w:pPr>
          </w:p>
        </w:tc>
        <w:tc>
          <w:tcPr>
            <w:tcW w:w="2384" w:type="dxa"/>
            <w:vAlign w:val="center"/>
          </w:tcPr>
          <w:p w14:paraId="6287651C">
            <w:pPr>
              <w:adjustRightInd w:val="0"/>
              <w:snapToGrid w:val="0"/>
              <w:jc w:val="center"/>
              <w:rPr>
                <w:rFonts w:eastAsiaTheme="minorEastAsia"/>
                <w:sz w:val="24"/>
              </w:rPr>
            </w:pPr>
          </w:p>
        </w:tc>
        <w:tc>
          <w:tcPr>
            <w:tcW w:w="2126" w:type="dxa"/>
            <w:vAlign w:val="center"/>
          </w:tcPr>
          <w:p w14:paraId="7F3EDD27">
            <w:pPr>
              <w:adjustRightInd w:val="0"/>
              <w:snapToGrid w:val="0"/>
              <w:jc w:val="center"/>
              <w:rPr>
                <w:rFonts w:eastAsiaTheme="minorEastAsia"/>
                <w:sz w:val="24"/>
              </w:rPr>
            </w:pPr>
          </w:p>
        </w:tc>
        <w:tc>
          <w:tcPr>
            <w:tcW w:w="1875" w:type="dxa"/>
            <w:vAlign w:val="center"/>
          </w:tcPr>
          <w:p w14:paraId="29B71648">
            <w:pPr>
              <w:adjustRightInd w:val="0"/>
              <w:snapToGrid w:val="0"/>
              <w:jc w:val="center"/>
              <w:rPr>
                <w:rFonts w:eastAsiaTheme="minorEastAsia"/>
                <w:sz w:val="24"/>
              </w:rPr>
            </w:pPr>
          </w:p>
        </w:tc>
        <w:tc>
          <w:tcPr>
            <w:tcW w:w="1009" w:type="dxa"/>
            <w:vAlign w:val="center"/>
          </w:tcPr>
          <w:p w14:paraId="6FDE9E65">
            <w:pPr>
              <w:adjustRightInd w:val="0"/>
              <w:snapToGrid w:val="0"/>
              <w:jc w:val="center"/>
              <w:rPr>
                <w:rFonts w:eastAsiaTheme="minorEastAsia"/>
                <w:sz w:val="24"/>
              </w:rPr>
            </w:pPr>
          </w:p>
        </w:tc>
      </w:tr>
      <w:tr w14:paraId="3923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448267D">
            <w:pPr>
              <w:adjustRightInd w:val="0"/>
              <w:snapToGrid w:val="0"/>
              <w:jc w:val="center"/>
              <w:rPr>
                <w:rFonts w:eastAsiaTheme="minorEastAsia"/>
                <w:sz w:val="24"/>
              </w:rPr>
            </w:pPr>
          </w:p>
        </w:tc>
        <w:tc>
          <w:tcPr>
            <w:tcW w:w="1482" w:type="dxa"/>
            <w:vAlign w:val="center"/>
          </w:tcPr>
          <w:p w14:paraId="4EF95397">
            <w:pPr>
              <w:adjustRightInd w:val="0"/>
              <w:snapToGrid w:val="0"/>
              <w:jc w:val="center"/>
              <w:rPr>
                <w:rFonts w:eastAsiaTheme="minorEastAsia"/>
                <w:sz w:val="24"/>
              </w:rPr>
            </w:pPr>
          </w:p>
        </w:tc>
        <w:tc>
          <w:tcPr>
            <w:tcW w:w="2384" w:type="dxa"/>
            <w:vAlign w:val="center"/>
          </w:tcPr>
          <w:p w14:paraId="4E089AF3">
            <w:pPr>
              <w:adjustRightInd w:val="0"/>
              <w:snapToGrid w:val="0"/>
              <w:jc w:val="center"/>
              <w:rPr>
                <w:rFonts w:eastAsiaTheme="minorEastAsia"/>
                <w:sz w:val="24"/>
              </w:rPr>
            </w:pPr>
          </w:p>
        </w:tc>
        <w:tc>
          <w:tcPr>
            <w:tcW w:w="2126" w:type="dxa"/>
            <w:vAlign w:val="center"/>
          </w:tcPr>
          <w:p w14:paraId="3B2D46FA">
            <w:pPr>
              <w:adjustRightInd w:val="0"/>
              <w:snapToGrid w:val="0"/>
              <w:jc w:val="center"/>
              <w:rPr>
                <w:rFonts w:eastAsiaTheme="minorEastAsia"/>
                <w:sz w:val="24"/>
              </w:rPr>
            </w:pPr>
          </w:p>
        </w:tc>
        <w:tc>
          <w:tcPr>
            <w:tcW w:w="1875" w:type="dxa"/>
            <w:vAlign w:val="center"/>
          </w:tcPr>
          <w:p w14:paraId="5308B179">
            <w:pPr>
              <w:adjustRightInd w:val="0"/>
              <w:snapToGrid w:val="0"/>
              <w:jc w:val="center"/>
              <w:rPr>
                <w:rFonts w:eastAsiaTheme="minorEastAsia"/>
                <w:sz w:val="24"/>
              </w:rPr>
            </w:pPr>
          </w:p>
        </w:tc>
        <w:tc>
          <w:tcPr>
            <w:tcW w:w="1009" w:type="dxa"/>
            <w:vAlign w:val="center"/>
          </w:tcPr>
          <w:p w14:paraId="0F8D41D5">
            <w:pPr>
              <w:adjustRightInd w:val="0"/>
              <w:snapToGrid w:val="0"/>
              <w:jc w:val="center"/>
              <w:rPr>
                <w:rFonts w:eastAsiaTheme="minorEastAsia"/>
                <w:sz w:val="24"/>
              </w:rPr>
            </w:pPr>
          </w:p>
        </w:tc>
      </w:tr>
      <w:tr w14:paraId="147E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775" w:type="dxa"/>
            <w:vAlign w:val="center"/>
          </w:tcPr>
          <w:p w14:paraId="1720D938">
            <w:pPr>
              <w:adjustRightInd w:val="0"/>
              <w:snapToGrid w:val="0"/>
              <w:jc w:val="center"/>
              <w:rPr>
                <w:rFonts w:eastAsiaTheme="minorEastAsia"/>
                <w:sz w:val="24"/>
              </w:rPr>
            </w:pPr>
          </w:p>
        </w:tc>
        <w:tc>
          <w:tcPr>
            <w:tcW w:w="1482" w:type="dxa"/>
            <w:vAlign w:val="center"/>
          </w:tcPr>
          <w:p w14:paraId="6239E4BA">
            <w:pPr>
              <w:adjustRightInd w:val="0"/>
              <w:snapToGrid w:val="0"/>
              <w:jc w:val="center"/>
              <w:rPr>
                <w:rFonts w:eastAsiaTheme="minorEastAsia"/>
                <w:sz w:val="24"/>
              </w:rPr>
            </w:pPr>
          </w:p>
        </w:tc>
        <w:tc>
          <w:tcPr>
            <w:tcW w:w="2384" w:type="dxa"/>
            <w:vAlign w:val="center"/>
          </w:tcPr>
          <w:p w14:paraId="620893ED">
            <w:pPr>
              <w:adjustRightInd w:val="0"/>
              <w:snapToGrid w:val="0"/>
              <w:jc w:val="center"/>
              <w:rPr>
                <w:rFonts w:eastAsiaTheme="minorEastAsia"/>
                <w:sz w:val="24"/>
              </w:rPr>
            </w:pPr>
          </w:p>
        </w:tc>
        <w:tc>
          <w:tcPr>
            <w:tcW w:w="2126" w:type="dxa"/>
            <w:vAlign w:val="center"/>
          </w:tcPr>
          <w:p w14:paraId="7E1FDB90">
            <w:pPr>
              <w:adjustRightInd w:val="0"/>
              <w:snapToGrid w:val="0"/>
              <w:jc w:val="center"/>
              <w:rPr>
                <w:rFonts w:eastAsiaTheme="minorEastAsia"/>
                <w:sz w:val="24"/>
              </w:rPr>
            </w:pPr>
          </w:p>
        </w:tc>
        <w:tc>
          <w:tcPr>
            <w:tcW w:w="1875" w:type="dxa"/>
            <w:vAlign w:val="center"/>
          </w:tcPr>
          <w:p w14:paraId="273715CE">
            <w:pPr>
              <w:adjustRightInd w:val="0"/>
              <w:snapToGrid w:val="0"/>
              <w:jc w:val="center"/>
              <w:rPr>
                <w:rFonts w:eastAsiaTheme="minorEastAsia"/>
                <w:sz w:val="24"/>
              </w:rPr>
            </w:pPr>
          </w:p>
        </w:tc>
        <w:tc>
          <w:tcPr>
            <w:tcW w:w="1009" w:type="dxa"/>
            <w:vAlign w:val="center"/>
          </w:tcPr>
          <w:p w14:paraId="074C484C">
            <w:pPr>
              <w:adjustRightInd w:val="0"/>
              <w:snapToGrid w:val="0"/>
              <w:jc w:val="center"/>
              <w:rPr>
                <w:rFonts w:eastAsiaTheme="minorEastAsia"/>
                <w:sz w:val="24"/>
              </w:rPr>
            </w:pPr>
          </w:p>
        </w:tc>
      </w:tr>
      <w:tr w14:paraId="7CB0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83EB812">
            <w:pPr>
              <w:adjustRightInd w:val="0"/>
              <w:snapToGrid w:val="0"/>
              <w:jc w:val="center"/>
              <w:rPr>
                <w:rFonts w:eastAsiaTheme="minorEastAsia"/>
                <w:sz w:val="24"/>
              </w:rPr>
            </w:pPr>
          </w:p>
        </w:tc>
        <w:tc>
          <w:tcPr>
            <w:tcW w:w="1482" w:type="dxa"/>
            <w:vAlign w:val="center"/>
          </w:tcPr>
          <w:p w14:paraId="292874F0">
            <w:pPr>
              <w:adjustRightInd w:val="0"/>
              <w:snapToGrid w:val="0"/>
              <w:jc w:val="center"/>
              <w:rPr>
                <w:rFonts w:eastAsiaTheme="minorEastAsia"/>
                <w:sz w:val="24"/>
              </w:rPr>
            </w:pPr>
          </w:p>
        </w:tc>
        <w:tc>
          <w:tcPr>
            <w:tcW w:w="2384" w:type="dxa"/>
            <w:vAlign w:val="center"/>
          </w:tcPr>
          <w:p w14:paraId="101AF255">
            <w:pPr>
              <w:adjustRightInd w:val="0"/>
              <w:snapToGrid w:val="0"/>
              <w:jc w:val="center"/>
              <w:rPr>
                <w:rFonts w:eastAsiaTheme="minorEastAsia"/>
                <w:sz w:val="24"/>
              </w:rPr>
            </w:pPr>
          </w:p>
        </w:tc>
        <w:tc>
          <w:tcPr>
            <w:tcW w:w="2126" w:type="dxa"/>
            <w:vAlign w:val="center"/>
          </w:tcPr>
          <w:p w14:paraId="74CF63DE">
            <w:pPr>
              <w:adjustRightInd w:val="0"/>
              <w:snapToGrid w:val="0"/>
              <w:jc w:val="center"/>
              <w:rPr>
                <w:rFonts w:eastAsiaTheme="minorEastAsia"/>
                <w:sz w:val="24"/>
              </w:rPr>
            </w:pPr>
          </w:p>
        </w:tc>
        <w:tc>
          <w:tcPr>
            <w:tcW w:w="1875" w:type="dxa"/>
            <w:vAlign w:val="center"/>
          </w:tcPr>
          <w:p w14:paraId="5337364E">
            <w:pPr>
              <w:adjustRightInd w:val="0"/>
              <w:snapToGrid w:val="0"/>
              <w:jc w:val="center"/>
              <w:rPr>
                <w:rFonts w:eastAsiaTheme="minorEastAsia"/>
                <w:sz w:val="24"/>
              </w:rPr>
            </w:pPr>
          </w:p>
        </w:tc>
        <w:tc>
          <w:tcPr>
            <w:tcW w:w="1009" w:type="dxa"/>
            <w:vAlign w:val="center"/>
          </w:tcPr>
          <w:p w14:paraId="082B3584">
            <w:pPr>
              <w:adjustRightInd w:val="0"/>
              <w:snapToGrid w:val="0"/>
              <w:jc w:val="center"/>
              <w:rPr>
                <w:rFonts w:eastAsiaTheme="minorEastAsia"/>
                <w:sz w:val="24"/>
              </w:rPr>
            </w:pPr>
          </w:p>
        </w:tc>
      </w:tr>
      <w:tr w14:paraId="1EB8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3E8F1BF">
            <w:pPr>
              <w:adjustRightInd w:val="0"/>
              <w:snapToGrid w:val="0"/>
              <w:jc w:val="center"/>
              <w:rPr>
                <w:rFonts w:eastAsiaTheme="minorEastAsia"/>
                <w:sz w:val="24"/>
              </w:rPr>
            </w:pPr>
          </w:p>
        </w:tc>
        <w:tc>
          <w:tcPr>
            <w:tcW w:w="1482" w:type="dxa"/>
            <w:vAlign w:val="center"/>
          </w:tcPr>
          <w:p w14:paraId="3A8EF0A6">
            <w:pPr>
              <w:adjustRightInd w:val="0"/>
              <w:snapToGrid w:val="0"/>
              <w:jc w:val="center"/>
              <w:rPr>
                <w:rFonts w:eastAsiaTheme="minorEastAsia"/>
                <w:sz w:val="24"/>
              </w:rPr>
            </w:pPr>
          </w:p>
        </w:tc>
        <w:tc>
          <w:tcPr>
            <w:tcW w:w="2384" w:type="dxa"/>
            <w:vAlign w:val="center"/>
          </w:tcPr>
          <w:p w14:paraId="18B2D5FE">
            <w:pPr>
              <w:adjustRightInd w:val="0"/>
              <w:snapToGrid w:val="0"/>
              <w:jc w:val="center"/>
              <w:rPr>
                <w:rFonts w:eastAsiaTheme="minorEastAsia"/>
                <w:sz w:val="24"/>
              </w:rPr>
            </w:pPr>
          </w:p>
        </w:tc>
        <w:tc>
          <w:tcPr>
            <w:tcW w:w="2126" w:type="dxa"/>
            <w:vAlign w:val="center"/>
          </w:tcPr>
          <w:p w14:paraId="1FC821E7">
            <w:pPr>
              <w:adjustRightInd w:val="0"/>
              <w:snapToGrid w:val="0"/>
              <w:jc w:val="center"/>
              <w:rPr>
                <w:rFonts w:eastAsiaTheme="minorEastAsia"/>
                <w:sz w:val="24"/>
              </w:rPr>
            </w:pPr>
          </w:p>
        </w:tc>
        <w:tc>
          <w:tcPr>
            <w:tcW w:w="1875" w:type="dxa"/>
            <w:vAlign w:val="center"/>
          </w:tcPr>
          <w:p w14:paraId="5BC97056">
            <w:pPr>
              <w:adjustRightInd w:val="0"/>
              <w:snapToGrid w:val="0"/>
              <w:jc w:val="center"/>
              <w:rPr>
                <w:rFonts w:eastAsiaTheme="minorEastAsia"/>
                <w:sz w:val="24"/>
              </w:rPr>
            </w:pPr>
          </w:p>
        </w:tc>
        <w:tc>
          <w:tcPr>
            <w:tcW w:w="1009" w:type="dxa"/>
            <w:vAlign w:val="center"/>
          </w:tcPr>
          <w:p w14:paraId="59E76FC7">
            <w:pPr>
              <w:adjustRightInd w:val="0"/>
              <w:snapToGrid w:val="0"/>
              <w:jc w:val="center"/>
              <w:rPr>
                <w:rFonts w:eastAsiaTheme="minorEastAsia"/>
                <w:sz w:val="24"/>
              </w:rPr>
            </w:pPr>
          </w:p>
        </w:tc>
      </w:tr>
    </w:tbl>
    <w:p w14:paraId="15A3976E">
      <w:pPr>
        <w:tabs>
          <w:tab w:val="left" w:pos="1800"/>
          <w:tab w:val="left" w:pos="5580"/>
        </w:tabs>
        <w:spacing w:line="360" w:lineRule="auto"/>
        <w:ind w:firstLine="360" w:firstLineChars="150"/>
        <w:jc w:val="left"/>
        <w:rPr>
          <w:rFonts w:eastAsiaTheme="minorEastAsia"/>
          <w:sz w:val="24"/>
          <w:u w:val="single"/>
        </w:rPr>
      </w:pPr>
    </w:p>
    <w:p w14:paraId="3FF50C4F">
      <w:pPr>
        <w:tabs>
          <w:tab w:val="left" w:pos="1800"/>
          <w:tab w:val="left" w:pos="5580"/>
        </w:tabs>
        <w:spacing w:line="360" w:lineRule="auto"/>
        <w:ind w:firstLine="360" w:firstLineChars="150"/>
        <w:jc w:val="left"/>
        <w:rPr>
          <w:rFonts w:eastAsiaTheme="minorEastAsia"/>
          <w:sz w:val="24"/>
          <w:u w:val="single"/>
        </w:rPr>
      </w:pPr>
    </w:p>
    <w:p w14:paraId="36E61921">
      <w:pPr>
        <w:tabs>
          <w:tab w:val="left" w:pos="1800"/>
          <w:tab w:val="left" w:pos="5580"/>
        </w:tabs>
        <w:jc w:val="left"/>
        <w:rPr>
          <w:rFonts w:eastAsiaTheme="minorEastAsia"/>
          <w:sz w:val="24"/>
        </w:rPr>
      </w:pPr>
      <w:r>
        <w:rPr>
          <w:rFonts w:eastAsiaTheme="minorEastAsia"/>
          <w:sz w:val="24"/>
        </w:rPr>
        <w:t>注：</w:t>
      </w:r>
    </w:p>
    <w:p w14:paraId="345EC614">
      <w:pPr>
        <w:tabs>
          <w:tab w:val="left" w:pos="1800"/>
          <w:tab w:val="left" w:pos="5580"/>
        </w:tabs>
        <w:jc w:val="left"/>
        <w:rPr>
          <w:rFonts w:eastAsiaTheme="minorEastAsia"/>
          <w:sz w:val="24"/>
        </w:rPr>
      </w:pPr>
      <w:r>
        <w:rPr>
          <w:rFonts w:eastAsiaTheme="minorEastAsia"/>
          <w:sz w:val="24"/>
        </w:rPr>
        <w:t>1. 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14:paraId="32E1C4DC">
      <w:pPr>
        <w:tabs>
          <w:tab w:val="left" w:pos="1800"/>
          <w:tab w:val="left" w:pos="5580"/>
        </w:tabs>
        <w:jc w:val="left"/>
        <w:rPr>
          <w:sz w:val="24"/>
        </w:rPr>
      </w:pPr>
      <w:r>
        <w:rPr>
          <w:sz w:val="24"/>
        </w:rPr>
        <w:t>2.“偏离情况”列应据实填写“无偏离”、“正偏离”或“负偏离”。</w:t>
      </w:r>
    </w:p>
    <w:p w14:paraId="1A49EC5D">
      <w:pPr>
        <w:tabs>
          <w:tab w:val="left" w:pos="1800"/>
          <w:tab w:val="left" w:pos="5580"/>
        </w:tabs>
        <w:jc w:val="left"/>
        <w:rPr>
          <w:rFonts w:eastAsiaTheme="minorEastAsia"/>
          <w:sz w:val="24"/>
        </w:rPr>
      </w:pPr>
    </w:p>
    <w:p w14:paraId="20FD675B">
      <w:pPr>
        <w:rPr>
          <w:rFonts w:eastAsiaTheme="minorEastAsia"/>
          <w:sz w:val="24"/>
          <w:szCs w:val="20"/>
        </w:rPr>
      </w:pPr>
    </w:p>
    <w:p w14:paraId="3472D10C">
      <w:pPr>
        <w:autoSpaceDE w:val="0"/>
        <w:autoSpaceDN w:val="0"/>
        <w:adjustRightInd w:val="0"/>
        <w:snapToGrid w:val="0"/>
        <w:spacing w:before="25" w:after="25" w:line="360" w:lineRule="auto"/>
        <w:ind w:right="360"/>
        <w:jc w:val="left"/>
        <w:rPr>
          <w:rFonts w:eastAsiaTheme="minorEastAsia"/>
          <w:sz w:val="24"/>
          <w:lang w:val="zh-CN"/>
        </w:rPr>
      </w:pPr>
      <w:r>
        <w:rPr>
          <w:rFonts w:eastAsiaTheme="minorEastAsia"/>
          <w:sz w:val="24"/>
        </w:rPr>
        <w:t>供应商名称（加盖公章）</w:t>
      </w:r>
      <w:r>
        <w:rPr>
          <w:rFonts w:eastAsiaTheme="minorEastAsia"/>
          <w:sz w:val="24"/>
          <w:lang w:val="zh-CN"/>
        </w:rPr>
        <w:t>：</w:t>
      </w:r>
      <w:r>
        <w:rPr>
          <w:rFonts w:eastAsiaTheme="minorEastAsia"/>
          <w:sz w:val="24"/>
        </w:rPr>
        <w:t>______</w:t>
      </w:r>
    </w:p>
    <w:p w14:paraId="33CA7BAC">
      <w:pPr>
        <w:autoSpaceDE w:val="0"/>
        <w:autoSpaceDN w:val="0"/>
        <w:adjustRightInd w:val="0"/>
        <w:snapToGrid w:val="0"/>
        <w:spacing w:before="25" w:after="25" w:line="360" w:lineRule="auto"/>
        <w:ind w:right="360"/>
        <w:jc w:val="left"/>
        <w:rPr>
          <w:rFonts w:eastAsiaTheme="minorEastAsia"/>
          <w:sz w:val="24"/>
          <w:szCs w:val="20"/>
        </w:rPr>
      </w:pPr>
      <w:r>
        <w:rPr>
          <w:rFonts w:eastAsiaTheme="minorEastAsia"/>
          <w:sz w:val="24"/>
          <w:szCs w:val="20"/>
        </w:rPr>
        <w:t xml:space="preserve">日期：____年____月____日 </w:t>
      </w:r>
    </w:p>
    <w:p w14:paraId="79F745CE">
      <w:pPr>
        <w:tabs>
          <w:tab w:val="left" w:pos="360"/>
        </w:tabs>
        <w:snapToGrid w:val="0"/>
        <w:spacing w:line="360" w:lineRule="auto"/>
        <w:outlineLvl w:val="1"/>
        <w:rPr>
          <w:sz w:val="24"/>
          <w:szCs w:val="20"/>
        </w:rPr>
      </w:pPr>
      <w:r>
        <w:rPr>
          <w:rFonts w:eastAsiaTheme="minorEastAsia"/>
          <w:sz w:val="24"/>
          <w:szCs w:val="20"/>
        </w:rPr>
        <w:br w:type="page"/>
      </w:r>
      <w:r>
        <w:rPr>
          <w:rFonts w:eastAsiaTheme="minorEastAsia"/>
          <w:sz w:val="24"/>
        </w:rPr>
        <w:t xml:space="preserve">11  </w:t>
      </w:r>
      <w:r>
        <w:rPr>
          <w:rFonts w:hint="eastAsia"/>
          <w:sz w:val="24"/>
          <w:szCs w:val="20"/>
        </w:rPr>
        <w:t>本国产品标准证明文件（不适用）</w:t>
      </w:r>
    </w:p>
    <w:p w14:paraId="1E3DE540">
      <w:pPr>
        <w:pStyle w:val="45"/>
        <w:shd w:val="clear" w:color="auto" w:fill="FFFFFF"/>
        <w:spacing w:before="30" w:beforeAutospacing="0" w:after="30" w:afterAutospacing="0"/>
        <w:jc w:val="center"/>
        <w:rPr>
          <w:sz w:val="36"/>
          <w:szCs w:val="36"/>
        </w:rPr>
      </w:pPr>
      <w:r>
        <w:rPr>
          <w:rStyle w:val="57"/>
          <w:rFonts w:hint="eastAsia"/>
          <w:sz w:val="36"/>
          <w:szCs w:val="36"/>
        </w:rPr>
        <w:t>关于符合本国产品标准的声明函（不适用）</w:t>
      </w:r>
    </w:p>
    <w:p w14:paraId="47909401">
      <w:pPr>
        <w:pStyle w:val="45"/>
        <w:shd w:val="clear" w:color="auto" w:fill="FFFFFF"/>
        <w:spacing w:before="30" w:beforeAutospacing="0" w:after="30" w:afterAutospacing="0"/>
        <w:ind w:firstLine="420"/>
      </w:pPr>
    </w:p>
    <w:p w14:paraId="108AB658">
      <w:pPr>
        <w:pStyle w:val="45"/>
        <w:shd w:val="clear" w:color="auto" w:fill="FFFFFF"/>
        <w:spacing w:before="0" w:beforeAutospacing="0" w:after="0" w:afterAutospacing="0" w:line="360" w:lineRule="auto"/>
        <w:ind w:firstLine="480" w:firstLineChars="200"/>
      </w:pPr>
      <w:r>
        <w:rPr>
          <w:rFonts w:hint="eastAsia"/>
        </w:rPr>
        <w:t>本公司（单位）郑重声明，根据《国务院办公厅关于在政府采购中实施本国产品标准及相关政策的通知》（国办发〔2025〕34号）的规定，本公司（单位）提供的以下产品属于本国产品。具体情况如下：</w:t>
      </w:r>
    </w:p>
    <w:p w14:paraId="3482087D">
      <w:pPr>
        <w:pStyle w:val="45"/>
        <w:shd w:val="clear" w:color="auto" w:fill="FFFFFF"/>
        <w:spacing w:before="0" w:beforeAutospacing="0" w:after="0" w:afterAutospacing="0" w:line="360" w:lineRule="auto"/>
        <w:ind w:firstLine="480" w:firstLineChars="200"/>
      </w:pPr>
      <w:r>
        <w:rPr>
          <w:rFonts w:hint="eastAsia"/>
        </w:rPr>
        <w:t>1.</w:t>
      </w:r>
      <w:r>
        <w:rPr>
          <w:rStyle w:val="60"/>
          <w:rFonts w:hint="eastAsia"/>
          <w:color w:val="auto"/>
          <w:u w:val="single"/>
        </w:rPr>
        <w:t>（产品名称1）</w:t>
      </w:r>
      <w:r>
        <w:rPr>
          <w:rStyle w:val="60"/>
          <w:rFonts w:hint="eastAsia"/>
          <w:color w:val="auto"/>
          <w:vertAlign w:val="superscript"/>
        </w:rPr>
        <w:t>1</w:t>
      </w:r>
      <w:r>
        <w:rPr>
          <w:rFonts w:hint="eastAsia"/>
        </w:rPr>
        <w:t>，生产厂为</w:t>
      </w:r>
      <w:r>
        <w:rPr>
          <w:rStyle w:val="60"/>
          <w:rFonts w:hint="eastAsia"/>
          <w:color w:val="auto"/>
          <w:u w:val="single"/>
        </w:rPr>
        <w:t>（厂名）</w:t>
      </w:r>
      <w:r>
        <w:rPr>
          <w:rStyle w:val="60"/>
          <w:rFonts w:hint="eastAsia"/>
          <w:color w:val="auto"/>
          <w:vertAlign w:val="superscript"/>
        </w:rPr>
        <w:t>2</w:t>
      </w:r>
      <w:r>
        <w:rPr>
          <w:rFonts w:hint="eastAsia"/>
        </w:rPr>
        <w:t>，厂址为</w:t>
      </w:r>
      <w:r>
        <w:rPr>
          <w:rStyle w:val="60"/>
          <w:rFonts w:hint="eastAsia"/>
          <w:color w:val="auto"/>
          <w:u w:val="single"/>
        </w:rPr>
        <w:t>（生产厂址）</w:t>
      </w:r>
      <w:r>
        <w:rPr>
          <w:rFonts w:hint="eastAsia"/>
        </w:rPr>
        <w:t>。</w:t>
      </w:r>
      <w:r>
        <w:rPr>
          <w:rStyle w:val="60"/>
          <w:rFonts w:hint="eastAsia"/>
          <w:color w:val="auto"/>
          <w:u w:val="single"/>
        </w:rPr>
        <w:t>（产品名称1）</w:t>
      </w:r>
      <w:r>
        <w:rPr>
          <w:rFonts w:hint="eastAsia"/>
        </w:rPr>
        <w:t>的中国境内生产的组件成本占比≥</w:t>
      </w:r>
      <w:r>
        <w:rPr>
          <w:rStyle w:val="60"/>
          <w:rFonts w:hint="eastAsia"/>
          <w:color w:val="auto"/>
          <w:u w:val="single"/>
        </w:rPr>
        <w:t>（规定比例）</w:t>
      </w:r>
      <w:r>
        <w:rPr>
          <w:rStyle w:val="60"/>
          <w:rFonts w:hint="eastAsia"/>
          <w:color w:val="auto"/>
          <w:vertAlign w:val="superscript"/>
        </w:rPr>
        <w:t>3</w:t>
      </w:r>
      <w:r>
        <w:rPr>
          <w:rFonts w:hint="eastAsia"/>
        </w:rPr>
        <w:t>。</w:t>
      </w:r>
      <w:r>
        <w:rPr>
          <w:rStyle w:val="60"/>
          <w:rFonts w:hint="eastAsia"/>
          <w:color w:val="auto"/>
          <w:u w:val="single"/>
        </w:rPr>
        <w:t>（产品名称1）</w:t>
      </w:r>
      <w:r>
        <w:rPr>
          <w:rFonts w:hint="eastAsia"/>
        </w:rPr>
        <w:t>的</w:t>
      </w:r>
      <w:r>
        <w:rPr>
          <w:rStyle w:val="60"/>
          <w:rFonts w:hint="eastAsia"/>
          <w:color w:val="auto"/>
          <w:u w:val="single"/>
        </w:rPr>
        <w:t>（关键组件）</w:t>
      </w:r>
      <w:r>
        <w:rPr>
          <w:rStyle w:val="60"/>
          <w:rFonts w:hint="eastAsia"/>
          <w:color w:val="auto"/>
          <w:vertAlign w:val="superscript"/>
        </w:rPr>
        <w:t>4</w:t>
      </w:r>
      <w:r>
        <w:rPr>
          <w:rFonts w:hint="eastAsia"/>
        </w:rPr>
        <w:t>在中国境内生产。</w:t>
      </w:r>
      <w:r>
        <w:rPr>
          <w:rStyle w:val="60"/>
          <w:rFonts w:hint="eastAsia"/>
          <w:color w:val="auto"/>
          <w:u w:val="single"/>
        </w:rPr>
        <w:t>（产品名称1）</w:t>
      </w:r>
      <w:r>
        <w:rPr>
          <w:rFonts w:hint="eastAsia"/>
        </w:rPr>
        <w:t>的</w:t>
      </w:r>
      <w:r>
        <w:rPr>
          <w:rStyle w:val="60"/>
          <w:rFonts w:hint="eastAsia"/>
          <w:color w:val="auto"/>
          <w:u w:val="single"/>
        </w:rPr>
        <w:t>（关键工序）</w:t>
      </w:r>
      <w:r>
        <w:rPr>
          <w:rStyle w:val="60"/>
          <w:rFonts w:hint="eastAsia"/>
          <w:color w:val="auto"/>
          <w:vertAlign w:val="superscript"/>
        </w:rPr>
        <w:t>5</w:t>
      </w:r>
      <w:r>
        <w:rPr>
          <w:rFonts w:hint="eastAsia"/>
        </w:rPr>
        <w:t>在中国境内完成。</w:t>
      </w:r>
    </w:p>
    <w:p w14:paraId="7B8C77ED">
      <w:pPr>
        <w:pStyle w:val="45"/>
        <w:shd w:val="clear" w:color="auto" w:fill="FFFFFF"/>
        <w:spacing w:before="0" w:beforeAutospacing="0" w:after="0" w:afterAutospacing="0" w:line="360" w:lineRule="auto"/>
        <w:ind w:firstLine="480" w:firstLineChars="200"/>
      </w:pPr>
      <w:r>
        <w:rPr>
          <w:rFonts w:hint="eastAsia"/>
        </w:rPr>
        <w:t>2.</w:t>
      </w:r>
      <w:r>
        <w:rPr>
          <w:rStyle w:val="60"/>
          <w:rFonts w:hint="eastAsia"/>
          <w:color w:val="auto"/>
          <w:u w:val="single"/>
        </w:rPr>
        <w:t>（产品名称2）</w:t>
      </w:r>
      <w:r>
        <w:rPr>
          <w:rFonts w:hint="eastAsia"/>
        </w:rPr>
        <w:t>，生产厂为</w:t>
      </w:r>
      <w:r>
        <w:rPr>
          <w:rStyle w:val="60"/>
          <w:rFonts w:hint="eastAsia"/>
          <w:color w:val="auto"/>
          <w:u w:val="single"/>
        </w:rPr>
        <w:t>（厂名）</w:t>
      </w:r>
      <w:r>
        <w:rPr>
          <w:rFonts w:hint="eastAsia"/>
        </w:rPr>
        <w:t>，厂址为</w:t>
      </w:r>
      <w:r>
        <w:rPr>
          <w:rStyle w:val="60"/>
          <w:rFonts w:hint="eastAsia"/>
          <w:color w:val="auto"/>
          <w:u w:val="single"/>
        </w:rPr>
        <w:t>（生产厂址）</w:t>
      </w:r>
      <w:r>
        <w:rPr>
          <w:rFonts w:hint="eastAsia"/>
        </w:rPr>
        <w:t>。</w:t>
      </w:r>
      <w:r>
        <w:rPr>
          <w:rStyle w:val="60"/>
          <w:rFonts w:hint="eastAsia"/>
          <w:color w:val="auto"/>
          <w:u w:val="single"/>
        </w:rPr>
        <w:t>（产品名称2）</w:t>
      </w:r>
      <w:r>
        <w:rPr>
          <w:rFonts w:hint="eastAsia"/>
        </w:rPr>
        <w:t>的中国境内生产的组件成本占比≥</w:t>
      </w:r>
      <w:r>
        <w:rPr>
          <w:rStyle w:val="60"/>
          <w:rFonts w:hint="eastAsia"/>
          <w:color w:val="auto"/>
          <w:u w:val="single"/>
        </w:rPr>
        <w:t>（规定比例）</w:t>
      </w:r>
      <w:r>
        <w:rPr>
          <w:rFonts w:hint="eastAsia"/>
        </w:rPr>
        <w:t>。</w:t>
      </w:r>
      <w:r>
        <w:rPr>
          <w:rStyle w:val="60"/>
          <w:rFonts w:hint="eastAsia"/>
          <w:color w:val="auto"/>
          <w:u w:val="single"/>
        </w:rPr>
        <w:t>（产品名称2）</w:t>
      </w:r>
      <w:r>
        <w:rPr>
          <w:rFonts w:hint="eastAsia"/>
        </w:rPr>
        <w:t>的</w:t>
      </w:r>
      <w:r>
        <w:rPr>
          <w:rStyle w:val="60"/>
          <w:rFonts w:hint="eastAsia"/>
          <w:color w:val="auto"/>
          <w:u w:val="single"/>
        </w:rPr>
        <w:t>（关键组件）</w:t>
      </w:r>
      <w:r>
        <w:rPr>
          <w:rFonts w:hint="eastAsia"/>
        </w:rPr>
        <w:t>在中国境内生产。</w:t>
      </w:r>
      <w:r>
        <w:rPr>
          <w:rStyle w:val="60"/>
          <w:rFonts w:hint="eastAsia"/>
          <w:color w:val="auto"/>
          <w:u w:val="single"/>
        </w:rPr>
        <w:t>（产品名称2）</w:t>
      </w:r>
      <w:r>
        <w:rPr>
          <w:rFonts w:hint="eastAsia"/>
        </w:rPr>
        <w:t>的</w:t>
      </w:r>
      <w:r>
        <w:rPr>
          <w:rStyle w:val="60"/>
          <w:rFonts w:hint="eastAsia"/>
          <w:color w:val="auto"/>
          <w:u w:val="single"/>
        </w:rPr>
        <w:t>（关键工序）</w:t>
      </w:r>
      <w:r>
        <w:rPr>
          <w:rFonts w:hint="eastAsia"/>
        </w:rPr>
        <w:t>在中国境内完成。</w:t>
      </w:r>
    </w:p>
    <w:p w14:paraId="56E1BB1A">
      <w:pPr>
        <w:pStyle w:val="45"/>
        <w:shd w:val="clear" w:color="auto" w:fill="FFFFFF"/>
        <w:spacing w:before="0" w:beforeAutospacing="0" w:after="0" w:afterAutospacing="0" w:line="360" w:lineRule="auto"/>
        <w:ind w:firstLine="480" w:firstLineChars="200"/>
      </w:pPr>
      <w:r>
        <w:rPr>
          <w:rFonts w:hint="eastAsia"/>
        </w:rPr>
        <w:t>……</w:t>
      </w:r>
    </w:p>
    <w:p w14:paraId="2CD3C5F7">
      <w:pPr>
        <w:pStyle w:val="45"/>
        <w:shd w:val="clear" w:color="auto" w:fill="FFFFFF"/>
        <w:spacing w:before="0" w:beforeAutospacing="0" w:after="0" w:afterAutospacing="0" w:line="360" w:lineRule="auto"/>
        <w:ind w:firstLine="480" w:firstLineChars="200"/>
      </w:pPr>
      <w:r>
        <w:rPr>
          <w:rFonts w:hint="eastAsia"/>
        </w:rPr>
        <w:t>本公司（单位）对上述声明内容的真实性负责。如有虚假，愿承担相应法律责任。</w:t>
      </w:r>
    </w:p>
    <w:p w14:paraId="535E4F53">
      <w:pPr>
        <w:pStyle w:val="45"/>
        <w:shd w:val="clear" w:color="auto" w:fill="FFFFFF"/>
        <w:spacing w:before="0" w:beforeAutospacing="0" w:after="0" w:afterAutospacing="0" w:line="360" w:lineRule="auto"/>
      </w:pPr>
    </w:p>
    <w:p w14:paraId="6415FEA3">
      <w:pPr>
        <w:pStyle w:val="45"/>
        <w:shd w:val="clear" w:color="auto" w:fill="FFFFFF"/>
        <w:spacing w:before="0" w:beforeAutospacing="0" w:after="0" w:afterAutospacing="0" w:line="360" w:lineRule="auto"/>
        <w:jc w:val="right"/>
      </w:pPr>
    </w:p>
    <w:p w14:paraId="3AD6AB1A">
      <w:pPr>
        <w:pStyle w:val="45"/>
        <w:shd w:val="clear" w:color="auto" w:fill="FFFFFF"/>
        <w:spacing w:before="0" w:beforeAutospacing="0" w:after="0" w:afterAutospacing="0" w:line="360" w:lineRule="auto"/>
        <w:jc w:val="right"/>
      </w:pPr>
      <w:r>
        <w:rPr>
          <w:rFonts w:hint="eastAsia"/>
        </w:rPr>
        <w:t>公司（单位）名称（盖章）：　        </w:t>
      </w:r>
    </w:p>
    <w:p w14:paraId="586ECFE6">
      <w:pPr>
        <w:pStyle w:val="45"/>
        <w:shd w:val="clear" w:color="auto" w:fill="FFFFFF"/>
        <w:spacing w:before="0" w:beforeAutospacing="0" w:after="0" w:afterAutospacing="0" w:line="360" w:lineRule="auto"/>
        <w:jc w:val="right"/>
      </w:pPr>
      <w:r>
        <w:rPr>
          <w:rFonts w:hint="eastAsia"/>
        </w:rPr>
        <w:t>日期：　     年　  月　  日         </w:t>
      </w:r>
    </w:p>
    <w:p w14:paraId="2E2A8106">
      <w:pPr>
        <w:pStyle w:val="45"/>
        <w:shd w:val="clear" w:color="auto" w:fill="FFFFFF"/>
        <w:spacing w:before="0" w:beforeAutospacing="0" w:after="0" w:afterAutospacing="0" w:line="360" w:lineRule="auto"/>
      </w:pPr>
    </w:p>
    <w:p w14:paraId="2FA48E2F">
      <w:pPr>
        <w:pStyle w:val="45"/>
        <w:shd w:val="clear" w:color="auto" w:fill="FFFFFF"/>
        <w:spacing w:before="0" w:beforeAutospacing="0" w:after="0" w:afterAutospacing="0" w:line="360" w:lineRule="auto"/>
      </w:pPr>
    </w:p>
    <w:p w14:paraId="56EF7418">
      <w:pPr>
        <w:spacing w:line="360" w:lineRule="auto"/>
        <w:ind w:left="424" w:leftChars="1" w:hanging="422" w:hangingChars="201"/>
        <w:rPr>
          <w:szCs w:val="21"/>
        </w:rPr>
      </w:pPr>
      <w:r>
        <w:rPr>
          <w:rFonts w:hint="eastAsia"/>
          <w:szCs w:val="21"/>
        </w:rPr>
        <w:t>注：</w:t>
      </w:r>
      <w:r>
        <w:rPr>
          <w:szCs w:val="21"/>
        </w:rPr>
        <w:t>1.</w:t>
      </w:r>
      <w:r>
        <w:rPr>
          <w:rFonts w:hint="eastAsia"/>
          <w:szCs w:val="21"/>
        </w:rPr>
        <w:t>产品如有型号，请在</w:t>
      </w:r>
      <w:r>
        <w:rPr>
          <w:szCs w:val="21"/>
        </w:rPr>
        <w:t>“</w:t>
      </w:r>
      <w:r>
        <w:rPr>
          <w:rFonts w:hint="eastAsia"/>
          <w:szCs w:val="21"/>
        </w:rPr>
        <w:t>产品名称</w:t>
      </w:r>
      <w:r>
        <w:rPr>
          <w:szCs w:val="21"/>
        </w:rPr>
        <w:t>”</w:t>
      </w:r>
      <w:r>
        <w:rPr>
          <w:rFonts w:hint="eastAsia"/>
          <w:szCs w:val="21"/>
        </w:rPr>
        <w:t>栏一并填写。</w:t>
      </w:r>
    </w:p>
    <w:p w14:paraId="3B45A073">
      <w:pPr>
        <w:spacing w:line="360" w:lineRule="auto"/>
        <w:ind w:left="420" w:leftChars="200"/>
        <w:rPr>
          <w:szCs w:val="21"/>
        </w:rPr>
      </w:pPr>
      <w:r>
        <w:rPr>
          <w:szCs w:val="21"/>
        </w:rPr>
        <w:t>2.</w:t>
      </w:r>
      <w:r>
        <w:rPr>
          <w:rFonts w:hint="eastAsia"/>
          <w:szCs w:val="21"/>
        </w:rPr>
        <w:t>生产厂名与厂址应与生产厂营业执照载明的相关信息保持一致。</w:t>
      </w:r>
    </w:p>
    <w:p w14:paraId="79292C8C">
      <w:pPr>
        <w:spacing w:line="360" w:lineRule="auto"/>
        <w:ind w:left="420" w:leftChars="200"/>
        <w:rPr>
          <w:szCs w:val="21"/>
        </w:rPr>
      </w:pPr>
      <w:r>
        <w:rPr>
          <w:szCs w:val="21"/>
        </w:rPr>
        <w:t>3.</w:t>
      </w:r>
      <w:r>
        <w:rPr>
          <w:rFonts w:hint="eastAsia"/>
          <w:szCs w:val="21"/>
        </w:rPr>
        <w:t>该产品的中国境内生产的组件成本占比相关要求实施前，</w:t>
      </w:r>
      <w:r>
        <w:rPr>
          <w:szCs w:val="21"/>
        </w:rPr>
        <w:t>“</w:t>
      </w:r>
      <w:r>
        <w:rPr>
          <w:rFonts w:hint="eastAsia"/>
          <w:szCs w:val="21"/>
        </w:rPr>
        <w:t>规定比例</w:t>
      </w:r>
      <w:r>
        <w:rPr>
          <w:szCs w:val="21"/>
        </w:rPr>
        <w:t>”</w:t>
      </w:r>
      <w:r>
        <w:rPr>
          <w:rFonts w:hint="eastAsia"/>
          <w:szCs w:val="21"/>
        </w:rPr>
        <w:t>栏可不填。</w:t>
      </w:r>
    </w:p>
    <w:p w14:paraId="3B9EEFB8">
      <w:pPr>
        <w:spacing w:line="360" w:lineRule="auto"/>
        <w:ind w:left="420" w:leftChars="200"/>
        <w:rPr>
          <w:szCs w:val="21"/>
        </w:rPr>
      </w:pPr>
      <w:r>
        <w:rPr>
          <w:szCs w:val="21"/>
        </w:rPr>
        <w:t>4.</w:t>
      </w:r>
      <w:r>
        <w:rPr>
          <w:rFonts w:hint="eastAsia"/>
          <w:szCs w:val="21"/>
        </w:rPr>
        <w:t>该产品的关键组件要求实施前，</w:t>
      </w:r>
      <w:r>
        <w:rPr>
          <w:szCs w:val="21"/>
        </w:rPr>
        <w:t>“</w:t>
      </w:r>
      <w:r>
        <w:rPr>
          <w:rFonts w:hint="eastAsia"/>
          <w:szCs w:val="21"/>
        </w:rPr>
        <w:t>关键组件</w:t>
      </w:r>
      <w:r>
        <w:rPr>
          <w:szCs w:val="21"/>
        </w:rPr>
        <w:t>”</w:t>
      </w:r>
      <w:r>
        <w:rPr>
          <w:rFonts w:hint="eastAsia"/>
          <w:szCs w:val="21"/>
        </w:rPr>
        <w:t>栏可不填。</w:t>
      </w:r>
    </w:p>
    <w:p w14:paraId="5B5F3F3B">
      <w:pPr>
        <w:spacing w:line="360" w:lineRule="auto"/>
        <w:ind w:left="420" w:leftChars="200"/>
        <w:rPr>
          <w:szCs w:val="21"/>
        </w:rPr>
      </w:pPr>
      <w:r>
        <w:rPr>
          <w:szCs w:val="21"/>
        </w:rPr>
        <w:t>5.</w:t>
      </w:r>
      <w:r>
        <w:rPr>
          <w:rFonts w:hint="eastAsia"/>
          <w:szCs w:val="21"/>
        </w:rPr>
        <w:t>该产品的关键工序要求实施前，</w:t>
      </w:r>
      <w:r>
        <w:rPr>
          <w:szCs w:val="21"/>
        </w:rPr>
        <w:t>“</w:t>
      </w:r>
      <w:r>
        <w:rPr>
          <w:rFonts w:hint="eastAsia"/>
          <w:szCs w:val="21"/>
        </w:rPr>
        <w:t>关键工序</w:t>
      </w:r>
      <w:r>
        <w:rPr>
          <w:szCs w:val="21"/>
        </w:rPr>
        <w:t>”</w:t>
      </w:r>
      <w:r>
        <w:rPr>
          <w:rFonts w:hint="eastAsia"/>
          <w:szCs w:val="21"/>
        </w:rPr>
        <w:t>栏可不填。</w:t>
      </w:r>
    </w:p>
    <w:p w14:paraId="7009AF05">
      <w:pPr>
        <w:widowControl/>
        <w:jc w:val="left"/>
        <w:rPr>
          <w:szCs w:val="21"/>
        </w:rPr>
      </w:pPr>
      <w:r>
        <w:rPr>
          <w:szCs w:val="21"/>
        </w:rPr>
        <w:br w:type="page"/>
      </w:r>
    </w:p>
    <w:p w14:paraId="3E8C44EF">
      <w:pPr>
        <w:pStyle w:val="45"/>
        <w:shd w:val="clear" w:color="auto" w:fill="FFFFFF"/>
        <w:spacing w:before="30" w:beforeAutospacing="0" w:after="30" w:afterAutospacing="0"/>
        <w:jc w:val="center"/>
        <w:rPr>
          <w:rStyle w:val="57"/>
          <w:sz w:val="36"/>
          <w:szCs w:val="36"/>
        </w:rPr>
      </w:pPr>
      <w:r>
        <w:rPr>
          <w:rStyle w:val="57"/>
          <w:rFonts w:hint="eastAsia"/>
          <w:sz w:val="36"/>
          <w:szCs w:val="36"/>
        </w:rPr>
        <w:t>产品成本占比承诺函（不适用）</w:t>
      </w:r>
    </w:p>
    <w:p w14:paraId="263D50E1">
      <w:pPr>
        <w:pStyle w:val="45"/>
        <w:shd w:val="clear" w:color="auto" w:fill="FFFFFF"/>
        <w:spacing w:before="30" w:beforeAutospacing="0" w:after="30" w:afterAutospacing="0"/>
        <w:rPr>
          <w:rStyle w:val="57"/>
          <w:sz w:val="36"/>
          <w:szCs w:val="36"/>
        </w:rPr>
      </w:pPr>
    </w:p>
    <w:p w14:paraId="1954893A">
      <w:pPr>
        <w:widowControl/>
        <w:spacing w:line="360" w:lineRule="auto"/>
        <w:ind w:firstLine="480" w:firstLineChars="200"/>
        <w:jc w:val="left"/>
        <w:rPr>
          <w:sz w:val="24"/>
        </w:rPr>
      </w:pPr>
      <w:r>
        <w:rPr>
          <w:rFonts w:hint="eastAsia"/>
          <w:sz w:val="24"/>
        </w:rPr>
        <w:t>我公司（单位）郑重承诺，我公司已阅读并理解《国务院办公厅关于在政府采购中实施本国产品标准及相关政策的通知》（国办发〔</w:t>
      </w:r>
      <w:r>
        <w:rPr>
          <w:sz w:val="24"/>
        </w:rPr>
        <w:t>2025</w:t>
      </w:r>
      <w:r>
        <w:rPr>
          <w:rFonts w:hint="eastAsia"/>
          <w:sz w:val="24"/>
        </w:rPr>
        <w:t>〕</w:t>
      </w:r>
      <w:r>
        <w:rPr>
          <w:sz w:val="24"/>
        </w:rPr>
        <w:t>34</w:t>
      </w:r>
      <w:r>
        <w:rPr>
          <w:rFonts w:hint="eastAsia"/>
          <w:sz w:val="24"/>
        </w:rPr>
        <w:t>号）的规定。据此承诺如下：</w:t>
      </w:r>
    </w:p>
    <w:p w14:paraId="5B214678">
      <w:pPr>
        <w:widowControl/>
        <w:spacing w:line="360" w:lineRule="auto"/>
        <w:ind w:firstLine="480" w:firstLineChars="200"/>
        <w:jc w:val="left"/>
        <w:rPr>
          <w:spacing w:val="6"/>
          <w:sz w:val="24"/>
        </w:rPr>
      </w:pPr>
      <w:r>
        <w:rPr>
          <w:rFonts w:hint="eastAsia"/>
          <w:sz w:val="24"/>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26993F9D">
      <w:pPr>
        <w:widowControl/>
        <w:spacing w:line="360" w:lineRule="auto"/>
        <w:ind w:firstLine="480" w:firstLineChars="200"/>
        <w:jc w:val="left"/>
        <w:rPr>
          <w:sz w:val="24"/>
        </w:rPr>
      </w:pPr>
    </w:p>
    <w:p w14:paraId="602A3197">
      <w:pPr>
        <w:pStyle w:val="45"/>
        <w:shd w:val="clear" w:color="auto" w:fill="FFFFFF"/>
        <w:spacing w:before="0" w:beforeAutospacing="0" w:after="0" w:afterAutospacing="0" w:line="360" w:lineRule="auto"/>
        <w:jc w:val="right"/>
      </w:pPr>
      <w:r>
        <w:rPr>
          <w:rFonts w:hint="eastAsia"/>
        </w:rPr>
        <w:t>公司（单位）名称（盖章）：　        </w:t>
      </w:r>
    </w:p>
    <w:p w14:paraId="4DBD599A">
      <w:pPr>
        <w:widowControl/>
        <w:spacing w:line="360" w:lineRule="auto"/>
        <w:ind w:firstLine="480" w:firstLineChars="200"/>
        <w:jc w:val="right"/>
        <w:rPr>
          <w:sz w:val="24"/>
        </w:rPr>
      </w:pPr>
      <w:r>
        <w:rPr>
          <w:rFonts w:hint="eastAsia"/>
          <w:sz w:val="24"/>
        </w:rPr>
        <w:t>日期：　     </w:t>
      </w:r>
      <w:r>
        <w:rPr>
          <w:rFonts w:hint="eastAsia" w:ascii="宋体" w:hAnsi="宋体" w:cs="宋体"/>
          <w:sz w:val="24"/>
        </w:rPr>
        <w:t>年　</w:t>
      </w:r>
      <w:r>
        <w:rPr>
          <w:rFonts w:hint="eastAsia"/>
          <w:sz w:val="24"/>
        </w:rPr>
        <w:t>  </w:t>
      </w:r>
      <w:r>
        <w:rPr>
          <w:rFonts w:hint="eastAsia" w:ascii="宋体" w:hAnsi="宋体" w:cs="宋体"/>
          <w:sz w:val="24"/>
        </w:rPr>
        <w:t>月　</w:t>
      </w:r>
      <w:r>
        <w:rPr>
          <w:rFonts w:hint="eastAsia"/>
          <w:sz w:val="24"/>
        </w:rPr>
        <w:t>  </w:t>
      </w:r>
      <w:r>
        <w:rPr>
          <w:rFonts w:hint="eastAsia" w:ascii="宋体" w:hAnsi="宋体" w:cs="宋体"/>
          <w:sz w:val="24"/>
        </w:rPr>
        <w:t>日</w:t>
      </w:r>
      <w:r>
        <w:rPr>
          <w:rFonts w:hint="eastAsia"/>
          <w:sz w:val="24"/>
        </w:rPr>
        <w:t>     </w:t>
      </w:r>
    </w:p>
    <w:p w14:paraId="74234A6D">
      <w:pPr>
        <w:widowControl/>
        <w:spacing w:line="360" w:lineRule="auto"/>
        <w:jc w:val="left"/>
        <w:rPr>
          <w:sz w:val="24"/>
        </w:rPr>
      </w:pPr>
    </w:p>
    <w:p w14:paraId="08EB1D81">
      <w:pPr>
        <w:widowControl/>
        <w:spacing w:line="360" w:lineRule="auto"/>
        <w:jc w:val="left"/>
        <w:rPr>
          <w:sz w:val="24"/>
        </w:rPr>
      </w:pPr>
    </w:p>
    <w:p w14:paraId="3ED7928A">
      <w:pPr>
        <w:spacing w:line="360" w:lineRule="auto"/>
        <w:rPr>
          <w:sz w:val="22"/>
          <w:szCs w:val="22"/>
        </w:rPr>
      </w:pPr>
      <w:r>
        <w:rPr>
          <w:rFonts w:hint="eastAsia"/>
          <w:sz w:val="22"/>
          <w:szCs w:val="22"/>
        </w:rPr>
        <w:t>注：</w:t>
      </w:r>
    </w:p>
    <w:p w14:paraId="6F1D8635">
      <w:pPr>
        <w:spacing w:line="360" w:lineRule="auto"/>
        <w:rPr>
          <w:szCs w:val="21"/>
        </w:rPr>
      </w:pPr>
      <w:r>
        <w:rPr>
          <w:szCs w:val="21"/>
        </w:rPr>
        <w:t xml:space="preserve">1. </w:t>
      </w:r>
      <w:r>
        <w:rPr>
          <w:rFonts w:hint="eastAsia"/>
          <w:szCs w:val="21"/>
        </w:rPr>
        <w:t>本承诺函应按包分别提供。</w:t>
      </w:r>
    </w:p>
    <w:p w14:paraId="5AB2836F">
      <w:pPr>
        <w:spacing w:line="360" w:lineRule="auto"/>
        <w:rPr>
          <w:szCs w:val="21"/>
        </w:rPr>
      </w:pPr>
      <w:r>
        <w:rPr>
          <w:szCs w:val="21"/>
        </w:rPr>
        <w:t xml:space="preserve">2. </w:t>
      </w:r>
      <w:r>
        <w:rPr>
          <w:rFonts w:hint="eastAsia"/>
          <w:szCs w:val="21"/>
        </w:rPr>
        <w:t>单一产品采购无须提供本承诺函；供应商提供产品全部为本国产品，且提供了《关于符合本国产品标准的声明函》时，无须提供本承诺函。</w:t>
      </w:r>
    </w:p>
    <w:p w14:paraId="0D690D9F">
      <w:pPr>
        <w:spacing w:line="360" w:lineRule="auto"/>
        <w:rPr>
          <w:szCs w:val="21"/>
        </w:rPr>
      </w:pPr>
      <w:r>
        <w:rPr>
          <w:szCs w:val="21"/>
        </w:rPr>
        <w:t xml:space="preserve">3. </w:t>
      </w:r>
      <w:r>
        <w:rPr>
          <w:rFonts w:hint="eastAsia"/>
          <w:szCs w:val="21"/>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szCs w:val="21"/>
        </w:rPr>
        <w:t>。</w:t>
      </w:r>
    </w:p>
    <w:p w14:paraId="123C4D81">
      <w:pPr>
        <w:spacing w:line="360" w:lineRule="auto"/>
        <w:ind w:left="420" w:leftChars="200"/>
        <w:rPr>
          <w:szCs w:val="21"/>
        </w:rPr>
      </w:pPr>
    </w:p>
    <w:p w14:paraId="2E75FEF1">
      <w:pPr>
        <w:widowControl/>
        <w:jc w:val="left"/>
        <w:rPr>
          <w:rFonts w:eastAsiaTheme="minorEastAsia"/>
          <w:sz w:val="24"/>
        </w:rPr>
      </w:pPr>
      <w:r>
        <w:rPr>
          <w:rFonts w:eastAsiaTheme="minorEastAsia"/>
          <w:sz w:val="24"/>
        </w:rPr>
        <w:br w:type="page"/>
      </w:r>
    </w:p>
    <w:p w14:paraId="7FC23C6A">
      <w:pPr>
        <w:tabs>
          <w:tab w:val="left" w:pos="360"/>
        </w:tabs>
        <w:snapToGrid w:val="0"/>
        <w:spacing w:line="360" w:lineRule="auto"/>
        <w:outlineLvl w:val="1"/>
        <w:rPr>
          <w:rFonts w:eastAsiaTheme="minorEastAsia"/>
          <w:sz w:val="24"/>
          <w:szCs w:val="20"/>
        </w:rPr>
      </w:pPr>
      <w:r>
        <w:rPr>
          <w:rFonts w:eastAsiaTheme="minorEastAsia"/>
          <w:sz w:val="24"/>
        </w:rPr>
        <w:t>12  竞争性磋商文件要求提供或供应商认为应附的其他材料</w:t>
      </w:r>
    </w:p>
    <w:p w14:paraId="599498AE">
      <w:pPr>
        <w:widowControl/>
        <w:jc w:val="left"/>
        <w:rPr>
          <w:rFonts w:eastAsiaTheme="minorEastAsia"/>
          <w:b/>
          <w:sz w:val="36"/>
          <w:szCs w:val="36"/>
        </w:rPr>
      </w:pPr>
    </w:p>
    <w:p w14:paraId="34B233E3">
      <w:pPr>
        <w:widowControl/>
        <w:jc w:val="left"/>
        <w:rPr>
          <w:sz w:val="24"/>
          <w:szCs w:val="20"/>
        </w:rPr>
      </w:pPr>
      <w:bookmarkStart w:id="2677" w:name="_Hlk167094858"/>
      <w:r>
        <w:rPr>
          <w:rFonts w:hint="eastAsia"/>
          <w:sz w:val="24"/>
          <w:szCs w:val="20"/>
        </w:rPr>
        <w:t>1</w:t>
      </w:r>
      <w:r>
        <w:rPr>
          <w:sz w:val="24"/>
          <w:szCs w:val="20"/>
        </w:rPr>
        <w:t>2-1</w:t>
      </w:r>
      <w:r>
        <w:rPr>
          <w:rFonts w:hint="eastAsia"/>
          <w:sz w:val="24"/>
          <w:szCs w:val="20"/>
        </w:rPr>
        <w:t>供应商信息采集表</w:t>
      </w:r>
    </w:p>
    <w:tbl>
      <w:tblPr>
        <w:tblStyle w:val="5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6"/>
        <w:gridCol w:w="3094"/>
      </w:tblGrid>
      <w:tr w14:paraId="53335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337D5BCA">
            <w:pPr>
              <w:rPr>
                <w:sz w:val="24"/>
              </w:rPr>
            </w:pPr>
            <w:r>
              <w:rPr>
                <w:rFonts w:hint="eastAsia"/>
                <w:sz w:val="24"/>
              </w:rPr>
              <w:t>供应商名称</w:t>
            </w:r>
          </w:p>
        </w:tc>
        <w:tc>
          <w:tcPr>
            <w:tcW w:w="1667" w:type="pct"/>
          </w:tcPr>
          <w:p w14:paraId="6B37236E">
            <w:pPr>
              <w:rPr>
                <w:sz w:val="24"/>
              </w:rPr>
            </w:pPr>
            <w:r>
              <w:rPr>
                <w:rFonts w:hint="eastAsia"/>
                <w:sz w:val="24"/>
              </w:rPr>
              <w:t>供应商所属性别</w:t>
            </w:r>
          </w:p>
        </w:tc>
        <w:tc>
          <w:tcPr>
            <w:tcW w:w="1667" w:type="pct"/>
          </w:tcPr>
          <w:p w14:paraId="3D572501">
            <w:pPr>
              <w:rPr>
                <w:sz w:val="24"/>
              </w:rPr>
            </w:pPr>
            <w:r>
              <w:rPr>
                <w:rFonts w:hint="eastAsia"/>
                <w:sz w:val="24"/>
              </w:rPr>
              <w:t>外商投资类型</w:t>
            </w:r>
          </w:p>
        </w:tc>
      </w:tr>
      <w:tr w14:paraId="3AFA5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74714D41">
            <w:pPr>
              <w:rPr>
                <w:sz w:val="24"/>
              </w:rPr>
            </w:pPr>
          </w:p>
        </w:tc>
        <w:tc>
          <w:tcPr>
            <w:tcW w:w="1667" w:type="pct"/>
          </w:tcPr>
          <w:p w14:paraId="39ADA8E1">
            <w:pPr>
              <w:rPr>
                <w:sz w:val="24"/>
              </w:rPr>
            </w:pPr>
          </w:p>
        </w:tc>
        <w:tc>
          <w:tcPr>
            <w:tcW w:w="1667" w:type="pct"/>
          </w:tcPr>
          <w:p w14:paraId="563499BA">
            <w:pPr>
              <w:rPr>
                <w:sz w:val="24"/>
              </w:rPr>
            </w:pPr>
          </w:p>
        </w:tc>
      </w:tr>
      <w:tr w14:paraId="543B5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9" w:hRule="atLeast"/>
        </w:trPr>
        <w:tc>
          <w:tcPr>
            <w:tcW w:w="1667" w:type="pct"/>
          </w:tcPr>
          <w:p w14:paraId="307C39DC"/>
        </w:tc>
        <w:tc>
          <w:tcPr>
            <w:tcW w:w="1667" w:type="pct"/>
          </w:tcPr>
          <w:p w14:paraId="28C47BE6"/>
        </w:tc>
        <w:tc>
          <w:tcPr>
            <w:tcW w:w="1667" w:type="pct"/>
          </w:tcPr>
          <w:p w14:paraId="14D1EB44"/>
        </w:tc>
      </w:tr>
      <w:tr w14:paraId="0510C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03CBC803"/>
        </w:tc>
        <w:tc>
          <w:tcPr>
            <w:tcW w:w="1667" w:type="pct"/>
          </w:tcPr>
          <w:p w14:paraId="3BC4CC65"/>
        </w:tc>
        <w:tc>
          <w:tcPr>
            <w:tcW w:w="1667" w:type="pct"/>
          </w:tcPr>
          <w:p w14:paraId="07E2061A"/>
        </w:tc>
      </w:tr>
      <w:tr w14:paraId="55E1F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 w:hRule="atLeast"/>
        </w:trPr>
        <w:tc>
          <w:tcPr>
            <w:tcW w:w="1667" w:type="pct"/>
          </w:tcPr>
          <w:p w14:paraId="7044768D"/>
        </w:tc>
        <w:tc>
          <w:tcPr>
            <w:tcW w:w="1667" w:type="pct"/>
          </w:tcPr>
          <w:p w14:paraId="0D84E461"/>
        </w:tc>
        <w:tc>
          <w:tcPr>
            <w:tcW w:w="1667" w:type="pct"/>
          </w:tcPr>
          <w:p w14:paraId="3E3A191B"/>
        </w:tc>
      </w:tr>
    </w:tbl>
    <w:p w14:paraId="5A1A1B4F">
      <w:pPr>
        <w:tabs>
          <w:tab w:val="left" w:pos="1800"/>
          <w:tab w:val="left" w:pos="5580"/>
        </w:tabs>
        <w:jc w:val="left"/>
        <w:rPr>
          <w:sz w:val="24"/>
        </w:rPr>
      </w:pPr>
      <w:r>
        <w:rPr>
          <w:rFonts w:hint="eastAsia"/>
          <w:sz w:val="24"/>
        </w:rPr>
        <w:t>注：1.供应商如为联合体，则应填写联合体各成员信息。</w:t>
      </w:r>
    </w:p>
    <w:p w14:paraId="36969DE3">
      <w:pPr>
        <w:tabs>
          <w:tab w:val="left" w:pos="1800"/>
          <w:tab w:val="left" w:pos="5580"/>
        </w:tabs>
        <w:ind w:firstLine="480" w:firstLineChars="200"/>
        <w:jc w:val="left"/>
        <w:rPr>
          <w:sz w:val="24"/>
        </w:rPr>
      </w:pPr>
      <w:r>
        <w:rPr>
          <w:rFonts w:hint="eastAsia"/>
          <w:sz w:val="24"/>
        </w:rPr>
        <w:t>2.供应商所属性别请填写“男”或“女”，指拥有供应商</w:t>
      </w:r>
      <w:r>
        <w:rPr>
          <w:sz w:val="24"/>
        </w:rPr>
        <w:t>51%</w:t>
      </w:r>
      <w:r>
        <w:rPr>
          <w:rFonts w:hint="eastAsia"/>
          <w:sz w:val="24"/>
        </w:rPr>
        <w:t>以上绝对所有权的性别；绝对所有权拥有者可以是一个人，也可以是多人合计计算。</w:t>
      </w:r>
    </w:p>
    <w:p w14:paraId="4B33CE6D">
      <w:pPr>
        <w:tabs>
          <w:tab w:val="left" w:pos="1800"/>
          <w:tab w:val="left" w:pos="5580"/>
        </w:tabs>
        <w:ind w:firstLine="480" w:firstLineChars="200"/>
        <w:jc w:val="left"/>
        <w:rPr>
          <w:sz w:val="24"/>
        </w:rPr>
      </w:pPr>
      <w:r>
        <w:rPr>
          <w:rFonts w:hint="eastAsia"/>
          <w:sz w:val="24"/>
        </w:rPr>
        <w:t>3.外商投资类型请填写“外商单独投资”、“外商部分投资”或“内资”。</w:t>
      </w:r>
    </w:p>
    <w:bookmarkEnd w:id="2677"/>
    <w:p w14:paraId="1D8317F2">
      <w:pPr>
        <w:widowControl/>
        <w:jc w:val="left"/>
        <w:rPr>
          <w:rFonts w:eastAsiaTheme="minorEastAsia"/>
          <w:b/>
          <w:sz w:val="36"/>
          <w:szCs w:val="36"/>
        </w:rPr>
      </w:pPr>
      <w:r>
        <w:rPr>
          <w:rFonts w:eastAsiaTheme="minorEastAsia"/>
          <w:b/>
          <w:sz w:val="36"/>
          <w:szCs w:val="36"/>
        </w:rPr>
        <w:br w:type="page"/>
      </w:r>
    </w:p>
    <w:p w14:paraId="493A6B6A">
      <w:pPr>
        <w:tabs>
          <w:tab w:val="left" w:pos="360"/>
        </w:tabs>
        <w:snapToGrid w:val="0"/>
        <w:spacing w:line="360" w:lineRule="auto"/>
        <w:outlineLvl w:val="1"/>
        <w:rPr>
          <w:rFonts w:eastAsiaTheme="minorEastAsia"/>
          <w:sz w:val="24"/>
        </w:rPr>
      </w:pPr>
      <w:bookmarkStart w:id="2678" w:name="_Toc144974872"/>
      <w:bookmarkStart w:id="2679" w:name="_Toc241459832"/>
      <w:bookmarkStart w:id="2680" w:name="_Toc179632824"/>
      <w:bookmarkStart w:id="2681" w:name="_Toc404614337"/>
      <w:bookmarkStart w:id="2682" w:name="_Toc342296589"/>
      <w:bookmarkStart w:id="2683" w:name="_Toc152045804"/>
      <w:bookmarkStart w:id="2684" w:name="_Toc428172989"/>
      <w:bookmarkStart w:id="2685" w:name="_Toc152042593"/>
      <w:bookmarkStart w:id="2686" w:name="_Toc415600088"/>
      <w:r>
        <w:rPr>
          <w:rFonts w:hint="eastAsia" w:eastAsiaTheme="minorEastAsia"/>
          <w:sz w:val="24"/>
        </w:rPr>
        <w:t>13  项目管理机构组成表</w:t>
      </w:r>
      <w:bookmarkEnd w:id="2678"/>
      <w:bookmarkEnd w:id="2679"/>
      <w:bookmarkEnd w:id="2680"/>
      <w:bookmarkEnd w:id="2681"/>
      <w:bookmarkEnd w:id="2682"/>
      <w:bookmarkEnd w:id="2683"/>
      <w:bookmarkEnd w:id="2684"/>
      <w:bookmarkEnd w:id="2685"/>
      <w:bookmarkEnd w:id="2686"/>
    </w:p>
    <w:tbl>
      <w:tblPr>
        <w:tblStyle w:val="49"/>
        <w:tblW w:w="8528"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721"/>
        <w:gridCol w:w="720"/>
        <w:gridCol w:w="1276"/>
        <w:gridCol w:w="1417"/>
        <w:gridCol w:w="1276"/>
        <w:gridCol w:w="1797"/>
        <w:gridCol w:w="669"/>
      </w:tblGrid>
      <w:tr w14:paraId="487D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2" w:type="dxa"/>
            <w:vMerge w:val="restart"/>
            <w:vAlign w:val="center"/>
          </w:tcPr>
          <w:p w14:paraId="6137ACCE">
            <w:pPr>
              <w:spacing w:line="276" w:lineRule="auto"/>
              <w:rPr>
                <w:rFonts w:ascii="宋体" w:hAnsi="宋体"/>
                <w:sz w:val="24"/>
              </w:rPr>
            </w:pPr>
            <w:r>
              <w:rPr>
                <w:rFonts w:hint="eastAsia" w:ascii="宋体" w:hAnsi="宋体"/>
                <w:sz w:val="24"/>
              </w:rPr>
              <w:t>职务</w:t>
            </w:r>
          </w:p>
        </w:tc>
        <w:tc>
          <w:tcPr>
            <w:tcW w:w="721" w:type="dxa"/>
            <w:vMerge w:val="restart"/>
            <w:vAlign w:val="center"/>
          </w:tcPr>
          <w:p w14:paraId="2FED38DF">
            <w:pPr>
              <w:spacing w:line="276" w:lineRule="auto"/>
              <w:rPr>
                <w:rFonts w:ascii="宋体" w:hAnsi="宋体"/>
                <w:sz w:val="24"/>
              </w:rPr>
            </w:pPr>
            <w:r>
              <w:rPr>
                <w:rFonts w:hint="eastAsia" w:ascii="宋体" w:hAnsi="宋体"/>
                <w:sz w:val="24"/>
              </w:rPr>
              <w:t>姓名</w:t>
            </w:r>
          </w:p>
        </w:tc>
        <w:tc>
          <w:tcPr>
            <w:tcW w:w="720" w:type="dxa"/>
            <w:vMerge w:val="restart"/>
            <w:vAlign w:val="center"/>
          </w:tcPr>
          <w:p w14:paraId="3AAB9B47">
            <w:pPr>
              <w:spacing w:line="276" w:lineRule="auto"/>
              <w:rPr>
                <w:rFonts w:ascii="宋体" w:hAnsi="宋体"/>
                <w:sz w:val="24"/>
              </w:rPr>
            </w:pPr>
            <w:r>
              <w:rPr>
                <w:rFonts w:hint="eastAsia" w:ascii="宋体" w:hAnsi="宋体"/>
                <w:sz w:val="24"/>
              </w:rPr>
              <w:t>职称</w:t>
            </w:r>
          </w:p>
        </w:tc>
        <w:tc>
          <w:tcPr>
            <w:tcW w:w="5766" w:type="dxa"/>
            <w:gridSpan w:val="4"/>
            <w:vAlign w:val="center"/>
          </w:tcPr>
          <w:p w14:paraId="6470CB95">
            <w:pPr>
              <w:spacing w:line="276" w:lineRule="auto"/>
              <w:jc w:val="center"/>
              <w:rPr>
                <w:rFonts w:ascii="宋体" w:hAnsi="宋体"/>
                <w:sz w:val="24"/>
              </w:rPr>
            </w:pPr>
            <w:r>
              <w:rPr>
                <w:rFonts w:hint="eastAsia" w:ascii="宋体" w:hAnsi="宋体"/>
                <w:sz w:val="24"/>
              </w:rPr>
              <w:t>执业或职业资格证明</w:t>
            </w:r>
          </w:p>
        </w:tc>
        <w:tc>
          <w:tcPr>
            <w:tcW w:w="669" w:type="dxa"/>
            <w:vAlign w:val="center"/>
          </w:tcPr>
          <w:p w14:paraId="563EF655">
            <w:pPr>
              <w:spacing w:line="276" w:lineRule="auto"/>
              <w:rPr>
                <w:rFonts w:ascii="宋体" w:hAnsi="宋体"/>
                <w:sz w:val="24"/>
              </w:rPr>
            </w:pPr>
            <w:r>
              <w:rPr>
                <w:rFonts w:hint="eastAsia" w:ascii="宋体" w:hAnsi="宋体"/>
                <w:sz w:val="24"/>
              </w:rPr>
              <w:t>备注</w:t>
            </w:r>
          </w:p>
        </w:tc>
      </w:tr>
      <w:tr w14:paraId="6E55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2" w:type="dxa"/>
            <w:vMerge w:val="continue"/>
            <w:vAlign w:val="center"/>
          </w:tcPr>
          <w:p w14:paraId="7F9967EC">
            <w:pPr>
              <w:spacing w:line="276" w:lineRule="auto"/>
              <w:rPr>
                <w:rFonts w:ascii="宋体" w:hAnsi="宋体"/>
                <w:sz w:val="24"/>
              </w:rPr>
            </w:pPr>
          </w:p>
        </w:tc>
        <w:tc>
          <w:tcPr>
            <w:tcW w:w="721" w:type="dxa"/>
            <w:vMerge w:val="continue"/>
            <w:vAlign w:val="center"/>
          </w:tcPr>
          <w:p w14:paraId="3B34C5CA">
            <w:pPr>
              <w:spacing w:line="276" w:lineRule="auto"/>
              <w:rPr>
                <w:rFonts w:ascii="宋体" w:hAnsi="宋体"/>
                <w:sz w:val="24"/>
              </w:rPr>
            </w:pPr>
          </w:p>
        </w:tc>
        <w:tc>
          <w:tcPr>
            <w:tcW w:w="720" w:type="dxa"/>
            <w:vMerge w:val="continue"/>
            <w:vAlign w:val="center"/>
          </w:tcPr>
          <w:p w14:paraId="7294B65D">
            <w:pPr>
              <w:spacing w:line="276" w:lineRule="auto"/>
              <w:rPr>
                <w:rFonts w:ascii="宋体" w:hAnsi="宋体"/>
                <w:sz w:val="24"/>
              </w:rPr>
            </w:pPr>
          </w:p>
        </w:tc>
        <w:tc>
          <w:tcPr>
            <w:tcW w:w="1276" w:type="dxa"/>
            <w:vAlign w:val="center"/>
          </w:tcPr>
          <w:p w14:paraId="4E2501C6">
            <w:pPr>
              <w:spacing w:line="276" w:lineRule="auto"/>
              <w:jc w:val="center"/>
              <w:rPr>
                <w:rFonts w:ascii="宋体" w:hAnsi="宋体"/>
                <w:sz w:val="24"/>
              </w:rPr>
            </w:pPr>
            <w:r>
              <w:rPr>
                <w:rFonts w:hint="eastAsia" w:ascii="宋体" w:hAnsi="宋体"/>
                <w:sz w:val="24"/>
              </w:rPr>
              <w:t>证书名称</w:t>
            </w:r>
          </w:p>
        </w:tc>
        <w:tc>
          <w:tcPr>
            <w:tcW w:w="1417" w:type="dxa"/>
            <w:vAlign w:val="center"/>
          </w:tcPr>
          <w:p w14:paraId="7CC1E9A9">
            <w:pPr>
              <w:spacing w:line="276" w:lineRule="auto"/>
              <w:jc w:val="center"/>
              <w:rPr>
                <w:rFonts w:ascii="宋体" w:hAnsi="宋体"/>
                <w:sz w:val="24"/>
              </w:rPr>
            </w:pPr>
            <w:r>
              <w:rPr>
                <w:rFonts w:hint="eastAsia" w:ascii="宋体" w:hAnsi="宋体"/>
                <w:sz w:val="24"/>
              </w:rPr>
              <w:t>级别</w:t>
            </w:r>
          </w:p>
        </w:tc>
        <w:tc>
          <w:tcPr>
            <w:tcW w:w="1276" w:type="dxa"/>
            <w:vAlign w:val="center"/>
          </w:tcPr>
          <w:p w14:paraId="362DE557">
            <w:pPr>
              <w:spacing w:line="276" w:lineRule="auto"/>
              <w:jc w:val="center"/>
              <w:rPr>
                <w:rFonts w:ascii="宋体" w:hAnsi="宋体"/>
                <w:sz w:val="24"/>
              </w:rPr>
            </w:pPr>
            <w:r>
              <w:rPr>
                <w:rFonts w:hint="eastAsia" w:ascii="宋体" w:hAnsi="宋体"/>
                <w:sz w:val="24"/>
              </w:rPr>
              <w:t>证号</w:t>
            </w:r>
          </w:p>
        </w:tc>
        <w:tc>
          <w:tcPr>
            <w:tcW w:w="1797" w:type="dxa"/>
            <w:vAlign w:val="center"/>
          </w:tcPr>
          <w:p w14:paraId="19C418A5">
            <w:pPr>
              <w:spacing w:line="276" w:lineRule="auto"/>
              <w:jc w:val="center"/>
              <w:rPr>
                <w:rFonts w:ascii="宋体" w:hAnsi="宋体"/>
                <w:sz w:val="24"/>
              </w:rPr>
            </w:pPr>
            <w:r>
              <w:rPr>
                <w:rFonts w:hint="eastAsia" w:ascii="宋体" w:hAnsi="宋体"/>
                <w:sz w:val="24"/>
              </w:rPr>
              <w:t>专业</w:t>
            </w:r>
          </w:p>
        </w:tc>
        <w:tc>
          <w:tcPr>
            <w:tcW w:w="669" w:type="dxa"/>
            <w:vAlign w:val="center"/>
          </w:tcPr>
          <w:p w14:paraId="12F223D9">
            <w:pPr>
              <w:spacing w:line="276" w:lineRule="auto"/>
              <w:rPr>
                <w:rFonts w:ascii="宋体" w:hAnsi="宋体"/>
                <w:sz w:val="24"/>
              </w:rPr>
            </w:pPr>
          </w:p>
        </w:tc>
      </w:tr>
      <w:tr w14:paraId="3C45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14:paraId="71A23D2E">
            <w:pPr>
              <w:spacing w:line="276" w:lineRule="auto"/>
              <w:rPr>
                <w:rFonts w:ascii="宋体" w:hAnsi="宋体"/>
                <w:szCs w:val="21"/>
              </w:rPr>
            </w:pPr>
          </w:p>
        </w:tc>
        <w:tc>
          <w:tcPr>
            <w:tcW w:w="721" w:type="dxa"/>
            <w:vAlign w:val="center"/>
          </w:tcPr>
          <w:p w14:paraId="7811FA6E">
            <w:pPr>
              <w:spacing w:line="276" w:lineRule="auto"/>
              <w:rPr>
                <w:rFonts w:ascii="宋体" w:hAnsi="宋体"/>
                <w:szCs w:val="21"/>
              </w:rPr>
            </w:pPr>
          </w:p>
        </w:tc>
        <w:tc>
          <w:tcPr>
            <w:tcW w:w="720" w:type="dxa"/>
            <w:vAlign w:val="center"/>
          </w:tcPr>
          <w:p w14:paraId="64C13D61">
            <w:pPr>
              <w:spacing w:line="276" w:lineRule="auto"/>
              <w:rPr>
                <w:rFonts w:ascii="宋体" w:hAnsi="宋体"/>
                <w:szCs w:val="21"/>
              </w:rPr>
            </w:pPr>
          </w:p>
        </w:tc>
        <w:tc>
          <w:tcPr>
            <w:tcW w:w="1276" w:type="dxa"/>
            <w:vAlign w:val="center"/>
          </w:tcPr>
          <w:p w14:paraId="645C8FF9">
            <w:pPr>
              <w:spacing w:line="276" w:lineRule="auto"/>
              <w:rPr>
                <w:rFonts w:ascii="宋体" w:hAnsi="宋体"/>
                <w:szCs w:val="21"/>
              </w:rPr>
            </w:pPr>
          </w:p>
        </w:tc>
        <w:tc>
          <w:tcPr>
            <w:tcW w:w="1417" w:type="dxa"/>
            <w:vAlign w:val="center"/>
          </w:tcPr>
          <w:p w14:paraId="4E0C2636">
            <w:pPr>
              <w:spacing w:line="276" w:lineRule="auto"/>
              <w:rPr>
                <w:rFonts w:ascii="宋体" w:hAnsi="宋体"/>
                <w:szCs w:val="21"/>
              </w:rPr>
            </w:pPr>
          </w:p>
        </w:tc>
        <w:tc>
          <w:tcPr>
            <w:tcW w:w="1276" w:type="dxa"/>
            <w:vAlign w:val="center"/>
          </w:tcPr>
          <w:p w14:paraId="4322CEE4">
            <w:pPr>
              <w:spacing w:line="276" w:lineRule="auto"/>
              <w:rPr>
                <w:rFonts w:ascii="宋体" w:hAnsi="宋体"/>
                <w:szCs w:val="21"/>
              </w:rPr>
            </w:pPr>
          </w:p>
        </w:tc>
        <w:tc>
          <w:tcPr>
            <w:tcW w:w="1797" w:type="dxa"/>
            <w:vAlign w:val="center"/>
          </w:tcPr>
          <w:p w14:paraId="2967E289">
            <w:pPr>
              <w:spacing w:line="276" w:lineRule="auto"/>
              <w:rPr>
                <w:rFonts w:ascii="宋体" w:hAnsi="宋体"/>
                <w:szCs w:val="21"/>
              </w:rPr>
            </w:pPr>
          </w:p>
        </w:tc>
        <w:tc>
          <w:tcPr>
            <w:tcW w:w="669" w:type="dxa"/>
            <w:vAlign w:val="center"/>
          </w:tcPr>
          <w:p w14:paraId="116A7638">
            <w:pPr>
              <w:spacing w:line="276" w:lineRule="auto"/>
              <w:rPr>
                <w:rFonts w:ascii="宋体" w:hAnsi="宋体"/>
                <w:szCs w:val="21"/>
              </w:rPr>
            </w:pPr>
          </w:p>
        </w:tc>
      </w:tr>
      <w:tr w14:paraId="7A20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6147FE3B">
            <w:pPr>
              <w:spacing w:line="276" w:lineRule="auto"/>
              <w:rPr>
                <w:rFonts w:ascii="宋体" w:hAnsi="宋体"/>
                <w:szCs w:val="21"/>
              </w:rPr>
            </w:pPr>
          </w:p>
        </w:tc>
        <w:tc>
          <w:tcPr>
            <w:tcW w:w="721" w:type="dxa"/>
          </w:tcPr>
          <w:p w14:paraId="21F0F70D">
            <w:pPr>
              <w:spacing w:line="276" w:lineRule="auto"/>
              <w:rPr>
                <w:rFonts w:ascii="宋体" w:hAnsi="宋体"/>
                <w:szCs w:val="21"/>
              </w:rPr>
            </w:pPr>
          </w:p>
        </w:tc>
        <w:tc>
          <w:tcPr>
            <w:tcW w:w="720" w:type="dxa"/>
          </w:tcPr>
          <w:p w14:paraId="34426A7E">
            <w:pPr>
              <w:spacing w:line="276" w:lineRule="auto"/>
              <w:rPr>
                <w:rFonts w:ascii="宋体" w:hAnsi="宋体"/>
                <w:szCs w:val="21"/>
              </w:rPr>
            </w:pPr>
          </w:p>
        </w:tc>
        <w:tc>
          <w:tcPr>
            <w:tcW w:w="1276" w:type="dxa"/>
          </w:tcPr>
          <w:p w14:paraId="72FC2329">
            <w:pPr>
              <w:spacing w:line="276" w:lineRule="auto"/>
              <w:rPr>
                <w:rFonts w:ascii="宋体" w:hAnsi="宋体"/>
                <w:szCs w:val="21"/>
              </w:rPr>
            </w:pPr>
          </w:p>
        </w:tc>
        <w:tc>
          <w:tcPr>
            <w:tcW w:w="1417" w:type="dxa"/>
          </w:tcPr>
          <w:p w14:paraId="4DDDCF5C">
            <w:pPr>
              <w:spacing w:line="276" w:lineRule="auto"/>
              <w:rPr>
                <w:rFonts w:ascii="宋体" w:hAnsi="宋体"/>
                <w:szCs w:val="21"/>
              </w:rPr>
            </w:pPr>
          </w:p>
        </w:tc>
        <w:tc>
          <w:tcPr>
            <w:tcW w:w="1276" w:type="dxa"/>
          </w:tcPr>
          <w:p w14:paraId="5168D2D0">
            <w:pPr>
              <w:spacing w:line="276" w:lineRule="auto"/>
              <w:rPr>
                <w:rFonts w:ascii="宋体" w:hAnsi="宋体"/>
                <w:szCs w:val="21"/>
              </w:rPr>
            </w:pPr>
          </w:p>
        </w:tc>
        <w:tc>
          <w:tcPr>
            <w:tcW w:w="1797" w:type="dxa"/>
          </w:tcPr>
          <w:p w14:paraId="3D6C5FF6">
            <w:pPr>
              <w:spacing w:line="276" w:lineRule="auto"/>
              <w:rPr>
                <w:rFonts w:ascii="宋体" w:hAnsi="宋体"/>
                <w:szCs w:val="21"/>
              </w:rPr>
            </w:pPr>
          </w:p>
        </w:tc>
        <w:tc>
          <w:tcPr>
            <w:tcW w:w="669" w:type="dxa"/>
          </w:tcPr>
          <w:p w14:paraId="01AA3783">
            <w:pPr>
              <w:spacing w:line="276" w:lineRule="auto"/>
              <w:rPr>
                <w:rFonts w:ascii="宋体" w:hAnsi="宋体"/>
                <w:szCs w:val="21"/>
              </w:rPr>
            </w:pPr>
          </w:p>
        </w:tc>
      </w:tr>
      <w:tr w14:paraId="0272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46197D6D">
            <w:pPr>
              <w:spacing w:line="276" w:lineRule="auto"/>
              <w:rPr>
                <w:rFonts w:ascii="宋体" w:hAnsi="宋体"/>
                <w:szCs w:val="21"/>
              </w:rPr>
            </w:pPr>
          </w:p>
        </w:tc>
        <w:tc>
          <w:tcPr>
            <w:tcW w:w="721" w:type="dxa"/>
          </w:tcPr>
          <w:p w14:paraId="5AED8AF3">
            <w:pPr>
              <w:spacing w:line="276" w:lineRule="auto"/>
              <w:rPr>
                <w:rFonts w:ascii="宋体" w:hAnsi="宋体"/>
                <w:szCs w:val="21"/>
              </w:rPr>
            </w:pPr>
          </w:p>
        </w:tc>
        <w:tc>
          <w:tcPr>
            <w:tcW w:w="720" w:type="dxa"/>
          </w:tcPr>
          <w:p w14:paraId="65F869A3">
            <w:pPr>
              <w:spacing w:line="276" w:lineRule="auto"/>
              <w:rPr>
                <w:rFonts w:ascii="宋体" w:hAnsi="宋体"/>
                <w:szCs w:val="21"/>
              </w:rPr>
            </w:pPr>
          </w:p>
        </w:tc>
        <w:tc>
          <w:tcPr>
            <w:tcW w:w="1276" w:type="dxa"/>
          </w:tcPr>
          <w:p w14:paraId="05F9787F">
            <w:pPr>
              <w:spacing w:line="276" w:lineRule="auto"/>
              <w:rPr>
                <w:rFonts w:ascii="宋体" w:hAnsi="宋体"/>
                <w:szCs w:val="21"/>
              </w:rPr>
            </w:pPr>
          </w:p>
        </w:tc>
        <w:tc>
          <w:tcPr>
            <w:tcW w:w="1417" w:type="dxa"/>
          </w:tcPr>
          <w:p w14:paraId="4E90514A">
            <w:pPr>
              <w:spacing w:line="276" w:lineRule="auto"/>
              <w:rPr>
                <w:rFonts w:ascii="宋体" w:hAnsi="宋体"/>
                <w:szCs w:val="21"/>
              </w:rPr>
            </w:pPr>
          </w:p>
        </w:tc>
        <w:tc>
          <w:tcPr>
            <w:tcW w:w="1276" w:type="dxa"/>
          </w:tcPr>
          <w:p w14:paraId="118B63B8">
            <w:pPr>
              <w:spacing w:line="276" w:lineRule="auto"/>
              <w:rPr>
                <w:rFonts w:ascii="宋体" w:hAnsi="宋体"/>
                <w:szCs w:val="21"/>
              </w:rPr>
            </w:pPr>
          </w:p>
        </w:tc>
        <w:tc>
          <w:tcPr>
            <w:tcW w:w="1797" w:type="dxa"/>
          </w:tcPr>
          <w:p w14:paraId="2B7D4989">
            <w:pPr>
              <w:spacing w:line="276" w:lineRule="auto"/>
              <w:rPr>
                <w:rFonts w:ascii="宋体" w:hAnsi="宋体"/>
                <w:szCs w:val="21"/>
              </w:rPr>
            </w:pPr>
          </w:p>
        </w:tc>
        <w:tc>
          <w:tcPr>
            <w:tcW w:w="669" w:type="dxa"/>
          </w:tcPr>
          <w:p w14:paraId="007ACF63">
            <w:pPr>
              <w:spacing w:line="276" w:lineRule="auto"/>
              <w:rPr>
                <w:rFonts w:ascii="宋体" w:hAnsi="宋体"/>
                <w:szCs w:val="21"/>
              </w:rPr>
            </w:pPr>
          </w:p>
        </w:tc>
      </w:tr>
      <w:tr w14:paraId="7EC0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03B48F42">
            <w:pPr>
              <w:spacing w:line="276" w:lineRule="auto"/>
              <w:rPr>
                <w:rFonts w:ascii="宋体" w:hAnsi="宋体"/>
                <w:szCs w:val="21"/>
              </w:rPr>
            </w:pPr>
          </w:p>
        </w:tc>
        <w:tc>
          <w:tcPr>
            <w:tcW w:w="721" w:type="dxa"/>
          </w:tcPr>
          <w:p w14:paraId="40E8894A">
            <w:pPr>
              <w:spacing w:line="276" w:lineRule="auto"/>
              <w:rPr>
                <w:rFonts w:ascii="宋体" w:hAnsi="宋体"/>
                <w:szCs w:val="21"/>
              </w:rPr>
            </w:pPr>
          </w:p>
        </w:tc>
        <w:tc>
          <w:tcPr>
            <w:tcW w:w="720" w:type="dxa"/>
          </w:tcPr>
          <w:p w14:paraId="33E7B0D3">
            <w:pPr>
              <w:spacing w:line="276" w:lineRule="auto"/>
              <w:rPr>
                <w:rFonts w:ascii="宋体" w:hAnsi="宋体"/>
                <w:szCs w:val="21"/>
              </w:rPr>
            </w:pPr>
          </w:p>
        </w:tc>
        <w:tc>
          <w:tcPr>
            <w:tcW w:w="1276" w:type="dxa"/>
          </w:tcPr>
          <w:p w14:paraId="5A776053">
            <w:pPr>
              <w:spacing w:line="276" w:lineRule="auto"/>
              <w:rPr>
                <w:rFonts w:ascii="宋体" w:hAnsi="宋体"/>
                <w:szCs w:val="21"/>
              </w:rPr>
            </w:pPr>
          </w:p>
        </w:tc>
        <w:tc>
          <w:tcPr>
            <w:tcW w:w="1417" w:type="dxa"/>
          </w:tcPr>
          <w:p w14:paraId="30B7298B">
            <w:pPr>
              <w:spacing w:line="276" w:lineRule="auto"/>
              <w:rPr>
                <w:rFonts w:ascii="宋体" w:hAnsi="宋体"/>
                <w:szCs w:val="21"/>
              </w:rPr>
            </w:pPr>
          </w:p>
        </w:tc>
        <w:tc>
          <w:tcPr>
            <w:tcW w:w="1276" w:type="dxa"/>
          </w:tcPr>
          <w:p w14:paraId="7DC187B8">
            <w:pPr>
              <w:spacing w:line="276" w:lineRule="auto"/>
              <w:rPr>
                <w:rFonts w:ascii="宋体" w:hAnsi="宋体"/>
                <w:szCs w:val="21"/>
              </w:rPr>
            </w:pPr>
          </w:p>
        </w:tc>
        <w:tc>
          <w:tcPr>
            <w:tcW w:w="1797" w:type="dxa"/>
          </w:tcPr>
          <w:p w14:paraId="04808FF7">
            <w:pPr>
              <w:spacing w:line="276" w:lineRule="auto"/>
              <w:rPr>
                <w:rFonts w:ascii="宋体" w:hAnsi="宋体"/>
                <w:szCs w:val="21"/>
              </w:rPr>
            </w:pPr>
          </w:p>
        </w:tc>
        <w:tc>
          <w:tcPr>
            <w:tcW w:w="669" w:type="dxa"/>
          </w:tcPr>
          <w:p w14:paraId="531F9C6B">
            <w:pPr>
              <w:spacing w:line="276" w:lineRule="auto"/>
              <w:rPr>
                <w:rFonts w:ascii="宋体" w:hAnsi="宋体"/>
                <w:szCs w:val="21"/>
              </w:rPr>
            </w:pPr>
          </w:p>
        </w:tc>
      </w:tr>
      <w:tr w14:paraId="13D0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3E49359B">
            <w:pPr>
              <w:spacing w:line="276" w:lineRule="auto"/>
              <w:rPr>
                <w:rFonts w:ascii="宋体" w:hAnsi="宋体"/>
                <w:szCs w:val="21"/>
              </w:rPr>
            </w:pPr>
          </w:p>
        </w:tc>
        <w:tc>
          <w:tcPr>
            <w:tcW w:w="721" w:type="dxa"/>
          </w:tcPr>
          <w:p w14:paraId="199A5167">
            <w:pPr>
              <w:spacing w:line="276" w:lineRule="auto"/>
              <w:rPr>
                <w:rFonts w:ascii="宋体" w:hAnsi="宋体"/>
                <w:szCs w:val="21"/>
              </w:rPr>
            </w:pPr>
          </w:p>
        </w:tc>
        <w:tc>
          <w:tcPr>
            <w:tcW w:w="720" w:type="dxa"/>
          </w:tcPr>
          <w:p w14:paraId="5031AAF1">
            <w:pPr>
              <w:spacing w:line="276" w:lineRule="auto"/>
              <w:rPr>
                <w:rFonts w:ascii="宋体" w:hAnsi="宋体"/>
                <w:szCs w:val="21"/>
              </w:rPr>
            </w:pPr>
          </w:p>
        </w:tc>
        <w:tc>
          <w:tcPr>
            <w:tcW w:w="1276" w:type="dxa"/>
          </w:tcPr>
          <w:p w14:paraId="1C77C72E">
            <w:pPr>
              <w:spacing w:line="276" w:lineRule="auto"/>
              <w:rPr>
                <w:rFonts w:ascii="宋体" w:hAnsi="宋体"/>
                <w:szCs w:val="21"/>
              </w:rPr>
            </w:pPr>
          </w:p>
        </w:tc>
        <w:tc>
          <w:tcPr>
            <w:tcW w:w="1417" w:type="dxa"/>
          </w:tcPr>
          <w:p w14:paraId="3A20EB34">
            <w:pPr>
              <w:spacing w:line="276" w:lineRule="auto"/>
              <w:rPr>
                <w:rFonts w:ascii="宋体" w:hAnsi="宋体"/>
                <w:szCs w:val="21"/>
              </w:rPr>
            </w:pPr>
          </w:p>
        </w:tc>
        <w:tc>
          <w:tcPr>
            <w:tcW w:w="1276" w:type="dxa"/>
          </w:tcPr>
          <w:p w14:paraId="1BEC0C46">
            <w:pPr>
              <w:spacing w:line="276" w:lineRule="auto"/>
              <w:rPr>
                <w:rFonts w:ascii="宋体" w:hAnsi="宋体"/>
                <w:szCs w:val="21"/>
              </w:rPr>
            </w:pPr>
          </w:p>
        </w:tc>
        <w:tc>
          <w:tcPr>
            <w:tcW w:w="1797" w:type="dxa"/>
          </w:tcPr>
          <w:p w14:paraId="499F9FDD">
            <w:pPr>
              <w:spacing w:line="276" w:lineRule="auto"/>
              <w:rPr>
                <w:rFonts w:ascii="宋体" w:hAnsi="宋体"/>
                <w:szCs w:val="21"/>
              </w:rPr>
            </w:pPr>
          </w:p>
        </w:tc>
        <w:tc>
          <w:tcPr>
            <w:tcW w:w="669" w:type="dxa"/>
          </w:tcPr>
          <w:p w14:paraId="0BC4B13D">
            <w:pPr>
              <w:spacing w:line="276" w:lineRule="auto"/>
              <w:rPr>
                <w:rFonts w:ascii="宋体" w:hAnsi="宋体"/>
                <w:szCs w:val="21"/>
              </w:rPr>
            </w:pPr>
          </w:p>
        </w:tc>
      </w:tr>
      <w:tr w14:paraId="1C48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32037F6F">
            <w:pPr>
              <w:spacing w:line="276" w:lineRule="auto"/>
              <w:rPr>
                <w:rFonts w:ascii="宋体" w:hAnsi="宋体"/>
                <w:szCs w:val="21"/>
              </w:rPr>
            </w:pPr>
          </w:p>
        </w:tc>
        <w:tc>
          <w:tcPr>
            <w:tcW w:w="721" w:type="dxa"/>
          </w:tcPr>
          <w:p w14:paraId="4B3C8876">
            <w:pPr>
              <w:spacing w:line="276" w:lineRule="auto"/>
              <w:rPr>
                <w:rFonts w:ascii="宋体" w:hAnsi="宋体"/>
                <w:szCs w:val="21"/>
              </w:rPr>
            </w:pPr>
          </w:p>
        </w:tc>
        <w:tc>
          <w:tcPr>
            <w:tcW w:w="720" w:type="dxa"/>
          </w:tcPr>
          <w:p w14:paraId="6C4BE71D">
            <w:pPr>
              <w:spacing w:line="276" w:lineRule="auto"/>
              <w:rPr>
                <w:rFonts w:ascii="宋体" w:hAnsi="宋体"/>
                <w:szCs w:val="21"/>
              </w:rPr>
            </w:pPr>
          </w:p>
        </w:tc>
        <w:tc>
          <w:tcPr>
            <w:tcW w:w="1276" w:type="dxa"/>
          </w:tcPr>
          <w:p w14:paraId="36EE31FB">
            <w:pPr>
              <w:spacing w:line="276" w:lineRule="auto"/>
              <w:rPr>
                <w:rFonts w:ascii="宋体" w:hAnsi="宋体"/>
                <w:szCs w:val="21"/>
              </w:rPr>
            </w:pPr>
          </w:p>
        </w:tc>
        <w:tc>
          <w:tcPr>
            <w:tcW w:w="1417" w:type="dxa"/>
          </w:tcPr>
          <w:p w14:paraId="6B003A21">
            <w:pPr>
              <w:spacing w:line="276" w:lineRule="auto"/>
              <w:rPr>
                <w:rFonts w:ascii="宋体" w:hAnsi="宋体"/>
                <w:szCs w:val="21"/>
              </w:rPr>
            </w:pPr>
          </w:p>
        </w:tc>
        <w:tc>
          <w:tcPr>
            <w:tcW w:w="1276" w:type="dxa"/>
          </w:tcPr>
          <w:p w14:paraId="02C2FCED">
            <w:pPr>
              <w:spacing w:line="276" w:lineRule="auto"/>
              <w:rPr>
                <w:rFonts w:ascii="宋体" w:hAnsi="宋体"/>
                <w:szCs w:val="21"/>
              </w:rPr>
            </w:pPr>
          </w:p>
        </w:tc>
        <w:tc>
          <w:tcPr>
            <w:tcW w:w="1797" w:type="dxa"/>
          </w:tcPr>
          <w:p w14:paraId="0D6DCA2C">
            <w:pPr>
              <w:spacing w:line="276" w:lineRule="auto"/>
              <w:rPr>
                <w:rFonts w:ascii="宋体" w:hAnsi="宋体"/>
                <w:szCs w:val="21"/>
              </w:rPr>
            </w:pPr>
          </w:p>
        </w:tc>
        <w:tc>
          <w:tcPr>
            <w:tcW w:w="669" w:type="dxa"/>
          </w:tcPr>
          <w:p w14:paraId="47F1A4B2">
            <w:pPr>
              <w:spacing w:line="276" w:lineRule="auto"/>
              <w:rPr>
                <w:rFonts w:ascii="宋体" w:hAnsi="宋体"/>
                <w:szCs w:val="21"/>
              </w:rPr>
            </w:pPr>
          </w:p>
        </w:tc>
      </w:tr>
      <w:tr w14:paraId="2DD5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15F3EF9D">
            <w:pPr>
              <w:spacing w:line="276" w:lineRule="auto"/>
              <w:rPr>
                <w:rFonts w:ascii="宋体" w:hAnsi="宋体"/>
                <w:szCs w:val="21"/>
              </w:rPr>
            </w:pPr>
          </w:p>
        </w:tc>
        <w:tc>
          <w:tcPr>
            <w:tcW w:w="721" w:type="dxa"/>
          </w:tcPr>
          <w:p w14:paraId="4A3C239D">
            <w:pPr>
              <w:spacing w:line="276" w:lineRule="auto"/>
              <w:rPr>
                <w:rFonts w:ascii="宋体" w:hAnsi="宋体"/>
                <w:szCs w:val="21"/>
              </w:rPr>
            </w:pPr>
          </w:p>
        </w:tc>
        <w:tc>
          <w:tcPr>
            <w:tcW w:w="720" w:type="dxa"/>
          </w:tcPr>
          <w:p w14:paraId="002F261D">
            <w:pPr>
              <w:spacing w:line="276" w:lineRule="auto"/>
              <w:rPr>
                <w:rFonts w:ascii="宋体" w:hAnsi="宋体"/>
                <w:szCs w:val="21"/>
              </w:rPr>
            </w:pPr>
          </w:p>
        </w:tc>
        <w:tc>
          <w:tcPr>
            <w:tcW w:w="1276" w:type="dxa"/>
          </w:tcPr>
          <w:p w14:paraId="2BD5E57A">
            <w:pPr>
              <w:spacing w:line="276" w:lineRule="auto"/>
              <w:rPr>
                <w:rFonts w:ascii="宋体" w:hAnsi="宋体"/>
                <w:szCs w:val="21"/>
              </w:rPr>
            </w:pPr>
          </w:p>
        </w:tc>
        <w:tc>
          <w:tcPr>
            <w:tcW w:w="1417" w:type="dxa"/>
          </w:tcPr>
          <w:p w14:paraId="47D142FA">
            <w:pPr>
              <w:spacing w:line="276" w:lineRule="auto"/>
              <w:rPr>
                <w:rFonts w:ascii="宋体" w:hAnsi="宋体"/>
                <w:szCs w:val="21"/>
              </w:rPr>
            </w:pPr>
          </w:p>
        </w:tc>
        <w:tc>
          <w:tcPr>
            <w:tcW w:w="1276" w:type="dxa"/>
          </w:tcPr>
          <w:p w14:paraId="420347E3">
            <w:pPr>
              <w:spacing w:line="276" w:lineRule="auto"/>
              <w:rPr>
                <w:rFonts w:ascii="宋体" w:hAnsi="宋体"/>
                <w:szCs w:val="21"/>
              </w:rPr>
            </w:pPr>
          </w:p>
        </w:tc>
        <w:tc>
          <w:tcPr>
            <w:tcW w:w="1797" w:type="dxa"/>
          </w:tcPr>
          <w:p w14:paraId="12E9ABDB">
            <w:pPr>
              <w:spacing w:line="276" w:lineRule="auto"/>
              <w:rPr>
                <w:rFonts w:ascii="宋体" w:hAnsi="宋体"/>
                <w:szCs w:val="21"/>
              </w:rPr>
            </w:pPr>
          </w:p>
        </w:tc>
        <w:tc>
          <w:tcPr>
            <w:tcW w:w="669" w:type="dxa"/>
          </w:tcPr>
          <w:p w14:paraId="2972A29D">
            <w:pPr>
              <w:spacing w:line="276" w:lineRule="auto"/>
              <w:rPr>
                <w:rFonts w:ascii="宋体" w:hAnsi="宋体"/>
                <w:szCs w:val="21"/>
              </w:rPr>
            </w:pPr>
          </w:p>
        </w:tc>
      </w:tr>
      <w:tr w14:paraId="2086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646F2104">
            <w:pPr>
              <w:spacing w:line="276" w:lineRule="auto"/>
              <w:rPr>
                <w:rFonts w:ascii="宋体" w:hAnsi="宋体"/>
                <w:szCs w:val="21"/>
              </w:rPr>
            </w:pPr>
          </w:p>
        </w:tc>
        <w:tc>
          <w:tcPr>
            <w:tcW w:w="721" w:type="dxa"/>
          </w:tcPr>
          <w:p w14:paraId="165283ED">
            <w:pPr>
              <w:spacing w:line="276" w:lineRule="auto"/>
              <w:rPr>
                <w:rFonts w:ascii="宋体" w:hAnsi="宋体"/>
                <w:szCs w:val="21"/>
              </w:rPr>
            </w:pPr>
          </w:p>
        </w:tc>
        <w:tc>
          <w:tcPr>
            <w:tcW w:w="720" w:type="dxa"/>
          </w:tcPr>
          <w:p w14:paraId="769BDD08">
            <w:pPr>
              <w:spacing w:line="276" w:lineRule="auto"/>
              <w:rPr>
                <w:rFonts w:ascii="宋体" w:hAnsi="宋体"/>
                <w:szCs w:val="21"/>
              </w:rPr>
            </w:pPr>
          </w:p>
        </w:tc>
        <w:tc>
          <w:tcPr>
            <w:tcW w:w="1276" w:type="dxa"/>
          </w:tcPr>
          <w:p w14:paraId="547B761D">
            <w:pPr>
              <w:spacing w:line="276" w:lineRule="auto"/>
              <w:rPr>
                <w:rFonts w:ascii="宋体" w:hAnsi="宋体"/>
                <w:szCs w:val="21"/>
              </w:rPr>
            </w:pPr>
          </w:p>
        </w:tc>
        <w:tc>
          <w:tcPr>
            <w:tcW w:w="1417" w:type="dxa"/>
          </w:tcPr>
          <w:p w14:paraId="1F6F1A44">
            <w:pPr>
              <w:spacing w:line="276" w:lineRule="auto"/>
              <w:rPr>
                <w:rFonts w:ascii="宋体" w:hAnsi="宋体"/>
                <w:szCs w:val="21"/>
              </w:rPr>
            </w:pPr>
          </w:p>
        </w:tc>
        <w:tc>
          <w:tcPr>
            <w:tcW w:w="1276" w:type="dxa"/>
          </w:tcPr>
          <w:p w14:paraId="044F737B">
            <w:pPr>
              <w:spacing w:line="276" w:lineRule="auto"/>
              <w:rPr>
                <w:rFonts w:ascii="宋体" w:hAnsi="宋体"/>
                <w:szCs w:val="21"/>
              </w:rPr>
            </w:pPr>
          </w:p>
        </w:tc>
        <w:tc>
          <w:tcPr>
            <w:tcW w:w="1797" w:type="dxa"/>
          </w:tcPr>
          <w:p w14:paraId="770DE1D0">
            <w:pPr>
              <w:spacing w:line="276" w:lineRule="auto"/>
              <w:rPr>
                <w:rFonts w:ascii="宋体" w:hAnsi="宋体"/>
                <w:szCs w:val="21"/>
              </w:rPr>
            </w:pPr>
          </w:p>
        </w:tc>
        <w:tc>
          <w:tcPr>
            <w:tcW w:w="669" w:type="dxa"/>
          </w:tcPr>
          <w:p w14:paraId="6A9CE83D">
            <w:pPr>
              <w:spacing w:line="276" w:lineRule="auto"/>
              <w:rPr>
                <w:rFonts w:ascii="宋体" w:hAnsi="宋体"/>
                <w:szCs w:val="21"/>
              </w:rPr>
            </w:pPr>
          </w:p>
        </w:tc>
      </w:tr>
      <w:tr w14:paraId="4C8A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5D2F1D87">
            <w:pPr>
              <w:spacing w:line="276" w:lineRule="auto"/>
              <w:rPr>
                <w:rFonts w:ascii="宋体" w:hAnsi="宋体"/>
                <w:szCs w:val="21"/>
              </w:rPr>
            </w:pPr>
          </w:p>
        </w:tc>
        <w:tc>
          <w:tcPr>
            <w:tcW w:w="721" w:type="dxa"/>
          </w:tcPr>
          <w:p w14:paraId="738CB602">
            <w:pPr>
              <w:spacing w:line="276" w:lineRule="auto"/>
              <w:rPr>
                <w:rFonts w:ascii="宋体" w:hAnsi="宋体"/>
                <w:szCs w:val="21"/>
              </w:rPr>
            </w:pPr>
          </w:p>
        </w:tc>
        <w:tc>
          <w:tcPr>
            <w:tcW w:w="720" w:type="dxa"/>
          </w:tcPr>
          <w:p w14:paraId="782F4F21">
            <w:pPr>
              <w:spacing w:line="276" w:lineRule="auto"/>
              <w:rPr>
                <w:rFonts w:ascii="宋体" w:hAnsi="宋体"/>
                <w:szCs w:val="21"/>
              </w:rPr>
            </w:pPr>
          </w:p>
        </w:tc>
        <w:tc>
          <w:tcPr>
            <w:tcW w:w="1276" w:type="dxa"/>
          </w:tcPr>
          <w:p w14:paraId="49FB8E1D">
            <w:pPr>
              <w:spacing w:line="276" w:lineRule="auto"/>
              <w:rPr>
                <w:rFonts w:ascii="宋体" w:hAnsi="宋体"/>
                <w:szCs w:val="21"/>
              </w:rPr>
            </w:pPr>
          </w:p>
        </w:tc>
        <w:tc>
          <w:tcPr>
            <w:tcW w:w="1417" w:type="dxa"/>
          </w:tcPr>
          <w:p w14:paraId="5287C261">
            <w:pPr>
              <w:spacing w:line="276" w:lineRule="auto"/>
              <w:rPr>
                <w:rFonts w:ascii="宋体" w:hAnsi="宋体"/>
                <w:szCs w:val="21"/>
              </w:rPr>
            </w:pPr>
          </w:p>
        </w:tc>
        <w:tc>
          <w:tcPr>
            <w:tcW w:w="1276" w:type="dxa"/>
          </w:tcPr>
          <w:p w14:paraId="3D38E6E5">
            <w:pPr>
              <w:spacing w:line="276" w:lineRule="auto"/>
              <w:rPr>
                <w:rFonts w:ascii="宋体" w:hAnsi="宋体"/>
                <w:szCs w:val="21"/>
              </w:rPr>
            </w:pPr>
          </w:p>
        </w:tc>
        <w:tc>
          <w:tcPr>
            <w:tcW w:w="1797" w:type="dxa"/>
          </w:tcPr>
          <w:p w14:paraId="4AFEA8FF">
            <w:pPr>
              <w:spacing w:line="276" w:lineRule="auto"/>
              <w:rPr>
                <w:rFonts w:ascii="宋体" w:hAnsi="宋体"/>
                <w:szCs w:val="21"/>
              </w:rPr>
            </w:pPr>
          </w:p>
        </w:tc>
        <w:tc>
          <w:tcPr>
            <w:tcW w:w="669" w:type="dxa"/>
          </w:tcPr>
          <w:p w14:paraId="26A61541">
            <w:pPr>
              <w:spacing w:line="276" w:lineRule="auto"/>
              <w:rPr>
                <w:rFonts w:ascii="宋体" w:hAnsi="宋体"/>
                <w:szCs w:val="21"/>
              </w:rPr>
            </w:pPr>
          </w:p>
        </w:tc>
      </w:tr>
      <w:tr w14:paraId="03E6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6D820D5D">
            <w:pPr>
              <w:spacing w:line="276" w:lineRule="auto"/>
              <w:rPr>
                <w:rFonts w:ascii="宋体" w:hAnsi="宋体"/>
                <w:szCs w:val="21"/>
              </w:rPr>
            </w:pPr>
          </w:p>
        </w:tc>
        <w:tc>
          <w:tcPr>
            <w:tcW w:w="721" w:type="dxa"/>
          </w:tcPr>
          <w:p w14:paraId="31478D44">
            <w:pPr>
              <w:spacing w:line="276" w:lineRule="auto"/>
              <w:rPr>
                <w:rFonts w:ascii="宋体" w:hAnsi="宋体"/>
                <w:szCs w:val="21"/>
              </w:rPr>
            </w:pPr>
          </w:p>
        </w:tc>
        <w:tc>
          <w:tcPr>
            <w:tcW w:w="720" w:type="dxa"/>
          </w:tcPr>
          <w:p w14:paraId="21033382">
            <w:pPr>
              <w:spacing w:line="276" w:lineRule="auto"/>
              <w:rPr>
                <w:rFonts w:ascii="宋体" w:hAnsi="宋体"/>
                <w:szCs w:val="21"/>
              </w:rPr>
            </w:pPr>
          </w:p>
        </w:tc>
        <w:tc>
          <w:tcPr>
            <w:tcW w:w="1276" w:type="dxa"/>
          </w:tcPr>
          <w:p w14:paraId="12DBD8D9">
            <w:pPr>
              <w:spacing w:line="276" w:lineRule="auto"/>
              <w:rPr>
                <w:rFonts w:ascii="宋体" w:hAnsi="宋体"/>
                <w:szCs w:val="21"/>
              </w:rPr>
            </w:pPr>
          </w:p>
        </w:tc>
        <w:tc>
          <w:tcPr>
            <w:tcW w:w="1417" w:type="dxa"/>
          </w:tcPr>
          <w:p w14:paraId="171AAF69">
            <w:pPr>
              <w:spacing w:line="276" w:lineRule="auto"/>
              <w:rPr>
                <w:rFonts w:ascii="宋体" w:hAnsi="宋体"/>
                <w:szCs w:val="21"/>
              </w:rPr>
            </w:pPr>
          </w:p>
        </w:tc>
        <w:tc>
          <w:tcPr>
            <w:tcW w:w="1276" w:type="dxa"/>
          </w:tcPr>
          <w:p w14:paraId="75C819EC">
            <w:pPr>
              <w:spacing w:line="276" w:lineRule="auto"/>
              <w:rPr>
                <w:rFonts w:ascii="宋体" w:hAnsi="宋体"/>
                <w:szCs w:val="21"/>
              </w:rPr>
            </w:pPr>
          </w:p>
        </w:tc>
        <w:tc>
          <w:tcPr>
            <w:tcW w:w="1797" w:type="dxa"/>
          </w:tcPr>
          <w:p w14:paraId="18975737">
            <w:pPr>
              <w:spacing w:line="276" w:lineRule="auto"/>
              <w:rPr>
                <w:rFonts w:ascii="宋体" w:hAnsi="宋体"/>
                <w:szCs w:val="21"/>
              </w:rPr>
            </w:pPr>
          </w:p>
        </w:tc>
        <w:tc>
          <w:tcPr>
            <w:tcW w:w="669" w:type="dxa"/>
          </w:tcPr>
          <w:p w14:paraId="00F9A2CA">
            <w:pPr>
              <w:spacing w:line="276" w:lineRule="auto"/>
              <w:rPr>
                <w:rFonts w:ascii="宋体" w:hAnsi="宋体"/>
                <w:szCs w:val="21"/>
              </w:rPr>
            </w:pPr>
          </w:p>
        </w:tc>
      </w:tr>
      <w:tr w14:paraId="193A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48B87928">
            <w:pPr>
              <w:spacing w:line="276" w:lineRule="auto"/>
              <w:rPr>
                <w:rFonts w:ascii="宋体" w:hAnsi="宋体"/>
                <w:szCs w:val="21"/>
              </w:rPr>
            </w:pPr>
          </w:p>
        </w:tc>
        <w:tc>
          <w:tcPr>
            <w:tcW w:w="721" w:type="dxa"/>
          </w:tcPr>
          <w:p w14:paraId="680CC9CE">
            <w:pPr>
              <w:spacing w:line="276" w:lineRule="auto"/>
              <w:rPr>
                <w:rFonts w:ascii="宋体" w:hAnsi="宋体"/>
                <w:szCs w:val="21"/>
              </w:rPr>
            </w:pPr>
          </w:p>
        </w:tc>
        <w:tc>
          <w:tcPr>
            <w:tcW w:w="720" w:type="dxa"/>
          </w:tcPr>
          <w:p w14:paraId="4DA6CF5C">
            <w:pPr>
              <w:spacing w:line="276" w:lineRule="auto"/>
              <w:rPr>
                <w:rFonts w:ascii="宋体" w:hAnsi="宋体"/>
                <w:szCs w:val="21"/>
              </w:rPr>
            </w:pPr>
          </w:p>
        </w:tc>
        <w:tc>
          <w:tcPr>
            <w:tcW w:w="1276" w:type="dxa"/>
          </w:tcPr>
          <w:p w14:paraId="136DC900">
            <w:pPr>
              <w:spacing w:line="276" w:lineRule="auto"/>
              <w:rPr>
                <w:rFonts w:ascii="宋体" w:hAnsi="宋体"/>
                <w:szCs w:val="21"/>
              </w:rPr>
            </w:pPr>
          </w:p>
        </w:tc>
        <w:tc>
          <w:tcPr>
            <w:tcW w:w="1417" w:type="dxa"/>
          </w:tcPr>
          <w:p w14:paraId="75C4D0E6">
            <w:pPr>
              <w:spacing w:line="276" w:lineRule="auto"/>
              <w:rPr>
                <w:rFonts w:ascii="宋体" w:hAnsi="宋体"/>
                <w:szCs w:val="21"/>
              </w:rPr>
            </w:pPr>
          </w:p>
        </w:tc>
        <w:tc>
          <w:tcPr>
            <w:tcW w:w="1276" w:type="dxa"/>
          </w:tcPr>
          <w:p w14:paraId="1A8F07D6">
            <w:pPr>
              <w:spacing w:line="276" w:lineRule="auto"/>
              <w:rPr>
                <w:rFonts w:ascii="宋体" w:hAnsi="宋体"/>
                <w:szCs w:val="21"/>
              </w:rPr>
            </w:pPr>
          </w:p>
        </w:tc>
        <w:tc>
          <w:tcPr>
            <w:tcW w:w="1797" w:type="dxa"/>
          </w:tcPr>
          <w:p w14:paraId="7C2C4F04">
            <w:pPr>
              <w:spacing w:line="276" w:lineRule="auto"/>
              <w:rPr>
                <w:rFonts w:ascii="宋体" w:hAnsi="宋体"/>
                <w:szCs w:val="21"/>
              </w:rPr>
            </w:pPr>
          </w:p>
        </w:tc>
        <w:tc>
          <w:tcPr>
            <w:tcW w:w="669" w:type="dxa"/>
          </w:tcPr>
          <w:p w14:paraId="4AE04816">
            <w:pPr>
              <w:spacing w:line="276" w:lineRule="auto"/>
              <w:rPr>
                <w:rFonts w:ascii="宋体" w:hAnsi="宋体"/>
                <w:szCs w:val="21"/>
              </w:rPr>
            </w:pPr>
          </w:p>
        </w:tc>
      </w:tr>
      <w:tr w14:paraId="0602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6B1F4930">
            <w:pPr>
              <w:spacing w:line="276" w:lineRule="auto"/>
              <w:rPr>
                <w:rFonts w:ascii="宋体" w:hAnsi="宋体"/>
                <w:szCs w:val="21"/>
              </w:rPr>
            </w:pPr>
          </w:p>
        </w:tc>
        <w:tc>
          <w:tcPr>
            <w:tcW w:w="721" w:type="dxa"/>
          </w:tcPr>
          <w:p w14:paraId="2A47B24C">
            <w:pPr>
              <w:spacing w:line="276" w:lineRule="auto"/>
              <w:rPr>
                <w:rFonts w:ascii="宋体" w:hAnsi="宋体"/>
                <w:szCs w:val="21"/>
              </w:rPr>
            </w:pPr>
          </w:p>
        </w:tc>
        <w:tc>
          <w:tcPr>
            <w:tcW w:w="720" w:type="dxa"/>
          </w:tcPr>
          <w:p w14:paraId="1B8FCAD4">
            <w:pPr>
              <w:spacing w:line="276" w:lineRule="auto"/>
              <w:rPr>
                <w:rFonts w:ascii="宋体" w:hAnsi="宋体"/>
                <w:szCs w:val="21"/>
              </w:rPr>
            </w:pPr>
          </w:p>
        </w:tc>
        <w:tc>
          <w:tcPr>
            <w:tcW w:w="1276" w:type="dxa"/>
          </w:tcPr>
          <w:p w14:paraId="7664E9D9">
            <w:pPr>
              <w:spacing w:line="276" w:lineRule="auto"/>
              <w:rPr>
                <w:rFonts w:ascii="宋体" w:hAnsi="宋体"/>
                <w:szCs w:val="21"/>
              </w:rPr>
            </w:pPr>
          </w:p>
        </w:tc>
        <w:tc>
          <w:tcPr>
            <w:tcW w:w="1417" w:type="dxa"/>
          </w:tcPr>
          <w:p w14:paraId="186C2AF0">
            <w:pPr>
              <w:spacing w:line="276" w:lineRule="auto"/>
              <w:rPr>
                <w:rFonts w:ascii="宋体" w:hAnsi="宋体"/>
                <w:szCs w:val="21"/>
              </w:rPr>
            </w:pPr>
          </w:p>
        </w:tc>
        <w:tc>
          <w:tcPr>
            <w:tcW w:w="1276" w:type="dxa"/>
          </w:tcPr>
          <w:p w14:paraId="08B7EB78">
            <w:pPr>
              <w:spacing w:line="276" w:lineRule="auto"/>
              <w:rPr>
                <w:rFonts w:ascii="宋体" w:hAnsi="宋体"/>
                <w:szCs w:val="21"/>
              </w:rPr>
            </w:pPr>
          </w:p>
        </w:tc>
        <w:tc>
          <w:tcPr>
            <w:tcW w:w="1797" w:type="dxa"/>
          </w:tcPr>
          <w:p w14:paraId="12D10980">
            <w:pPr>
              <w:spacing w:line="276" w:lineRule="auto"/>
              <w:rPr>
                <w:rFonts w:ascii="宋体" w:hAnsi="宋体"/>
                <w:szCs w:val="21"/>
              </w:rPr>
            </w:pPr>
          </w:p>
        </w:tc>
        <w:tc>
          <w:tcPr>
            <w:tcW w:w="669" w:type="dxa"/>
          </w:tcPr>
          <w:p w14:paraId="78664219">
            <w:pPr>
              <w:spacing w:line="276" w:lineRule="auto"/>
              <w:rPr>
                <w:rFonts w:ascii="宋体" w:hAnsi="宋体"/>
                <w:szCs w:val="21"/>
              </w:rPr>
            </w:pPr>
          </w:p>
        </w:tc>
      </w:tr>
      <w:tr w14:paraId="2F2B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2EE77596">
            <w:pPr>
              <w:spacing w:line="276" w:lineRule="auto"/>
              <w:rPr>
                <w:rFonts w:ascii="宋体" w:hAnsi="宋体"/>
                <w:szCs w:val="21"/>
              </w:rPr>
            </w:pPr>
          </w:p>
        </w:tc>
        <w:tc>
          <w:tcPr>
            <w:tcW w:w="721" w:type="dxa"/>
          </w:tcPr>
          <w:p w14:paraId="0096B7E3">
            <w:pPr>
              <w:spacing w:line="276" w:lineRule="auto"/>
              <w:rPr>
                <w:rFonts w:ascii="宋体" w:hAnsi="宋体"/>
                <w:szCs w:val="21"/>
              </w:rPr>
            </w:pPr>
          </w:p>
        </w:tc>
        <w:tc>
          <w:tcPr>
            <w:tcW w:w="720" w:type="dxa"/>
          </w:tcPr>
          <w:p w14:paraId="31194261">
            <w:pPr>
              <w:spacing w:line="276" w:lineRule="auto"/>
              <w:rPr>
                <w:rFonts w:ascii="宋体" w:hAnsi="宋体"/>
                <w:szCs w:val="21"/>
              </w:rPr>
            </w:pPr>
          </w:p>
        </w:tc>
        <w:tc>
          <w:tcPr>
            <w:tcW w:w="1276" w:type="dxa"/>
          </w:tcPr>
          <w:p w14:paraId="31143E95">
            <w:pPr>
              <w:spacing w:line="276" w:lineRule="auto"/>
              <w:rPr>
                <w:rFonts w:ascii="宋体" w:hAnsi="宋体"/>
                <w:szCs w:val="21"/>
              </w:rPr>
            </w:pPr>
          </w:p>
        </w:tc>
        <w:tc>
          <w:tcPr>
            <w:tcW w:w="1417" w:type="dxa"/>
          </w:tcPr>
          <w:p w14:paraId="70B1BA12">
            <w:pPr>
              <w:spacing w:line="276" w:lineRule="auto"/>
              <w:rPr>
                <w:rFonts w:ascii="宋体" w:hAnsi="宋体"/>
                <w:szCs w:val="21"/>
              </w:rPr>
            </w:pPr>
          </w:p>
        </w:tc>
        <w:tc>
          <w:tcPr>
            <w:tcW w:w="1276" w:type="dxa"/>
          </w:tcPr>
          <w:p w14:paraId="6D3C4839">
            <w:pPr>
              <w:spacing w:line="276" w:lineRule="auto"/>
              <w:rPr>
                <w:rFonts w:ascii="宋体" w:hAnsi="宋体"/>
                <w:szCs w:val="21"/>
              </w:rPr>
            </w:pPr>
          </w:p>
        </w:tc>
        <w:tc>
          <w:tcPr>
            <w:tcW w:w="1797" w:type="dxa"/>
          </w:tcPr>
          <w:p w14:paraId="3CABA8B8">
            <w:pPr>
              <w:spacing w:line="276" w:lineRule="auto"/>
              <w:rPr>
                <w:rFonts w:ascii="宋体" w:hAnsi="宋体"/>
                <w:szCs w:val="21"/>
              </w:rPr>
            </w:pPr>
          </w:p>
        </w:tc>
        <w:tc>
          <w:tcPr>
            <w:tcW w:w="669" w:type="dxa"/>
          </w:tcPr>
          <w:p w14:paraId="207477FB">
            <w:pPr>
              <w:spacing w:line="276" w:lineRule="auto"/>
              <w:rPr>
                <w:rFonts w:ascii="宋体" w:hAnsi="宋体"/>
                <w:szCs w:val="21"/>
              </w:rPr>
            </w:pPr>
          </w:p>
        </w:tc>
      </w:tr>
      <w:tr w14:paraId="6226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39149077">
            <w:pPr>
              <w:spacing w:line="276" w:lineRule="auto"/>
              <w:rPr>
                <w:rFonts w:ascii="宋体" w:hAnsi="宋体"/>
                <w:szCs w:val="21"/>
              </w:rPr>
            </w:pPr>
          </w:p>
        </w:tc>
        <w:tc>
          <w:tcPr>
            <w:tcW w:w="721" w:type="dxa"/>
          </w:tcPr>
          <w:p w14:paraId="64F703F0">
            <w:pPr>
              <w:spacing w:line="276" w:lineRule="auto"/>
              <w:rPr>
                <w:rFonts w:ascii="宋体" w:hAnsi="宋体"/>
                <w:szCs w:val="21"/>
              </w:rPr>
            </w:pPr>
          </w:p>
        </w:tc>
        <w:tc>
          <w:tcPr>
            <w:tcW w:w="720" w:type="dxa"/>
          </w:tcPr>
          <w:p w14:paraId="735EFECD">
            <w:pPr>
              <w:spacing w:line="276" w:lineRule="auto"/>
              <w:rPr>
                <w:rFonts w:ascii="宋体" w:hAnsi="宋体"/>
                <w:szCs w:val="21"/>
              </w:rPr>
            </w:pPr>
          </w:p>
        </w:tc>
        <w:tc>
          <w:tcPr>
            <w:tcW w:w="1276" w:type="dxa"/>
          </w:tcPr>
          <w:p w14:paraId="1E61FEE7">
            <w:pPr>
              <w:spacing w:line="276" w:lineRule="auto"/>
              <w:rPr>
                <w:rFonts w:ascii="宋体" w:hAnsi="宋体"/>
                <w:szCs w:val="21"/>
              </w:rPr>
            </w:pPr>
          </w:p>
        </w:tc>
        <w:tc>
          <w:tcPr>
            <w:tcW w:w="1417" w:type="dxa"/>
          </w:tcPr>
          <w:p w14:paraId="307CA448">
            <w:pPr>
              <w:spacing w:line="276" w:lineRule="auto"/>
              <w:rPr>
                <w:rFonts w:ascii="宋体" w:hAnsi="宋体"/>
                <w:szCs w:val="21"/>
              </w:rPr>
            </w:pPr>
          </w:p>
        </w:tc>
        <w:tc>
          <w:tcPr>
            <w:tcW w:w="1276" w:type="dxa"/>
          </w:tcPr>
          <w:p w14:paraId="38B7391F">
            <w:pPr>
              <w:spacing w:line="276" w:lineRule="auto"/>
              <w:rPr>
                <w:rFonts w:ascii="宋体" w:hAnsi="宋体"/>
                <w:szCs w:val="21"/>
              </w:rPr>
            </w:pPr>
          </w:p>
        </w:tc>
        <w:tc>
          <w:tcPr>
            <w:tcW w:w="1797" w:type="dxa"/>
          </w:tcPr>
          <w:p w14:paraId="6817215E">
            <w:pPr>
              <w:spacing w:line="276" w:lineRule="auto"/>
              <w:rPr>
                <w:rFonts w:ascii="宋体" w:hAnsi="宋体"/>
                <w:szCs w:val="21"/>
              </w:rPr>
            </w:pPr>
          </w:p>
        </w:tc>
        <w:tc>
          <w:tcPr>
            <w:tcW w:w="669" w:type="dxa"/>
          </w:tcPr>
          <w:p w14:paraId="5A67FB73">
            <w:pPr>
              <w:spacing w:line="276" w:lineRule="auto"/>
              <w:rPr>
                <w:rFonts w:ascii="宋体" w:hAnsi="宋体"/>
                <w:szCs w:val="21"/>
              </w:rPr>
            </w:pPr>
          </w:p>
        </w:tc>
      </w:tr>
      <w:tr w14:paraId="79A0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703D3D6A">
            <w:pPr>
              <w:spacing w:line="276" w:lineRule="auto"/>
              <w:rPr>
                <w:rFonts w:ascii="宋体" w:hAnsi="宋体"/>
                <w:szCs w:val="21"/>
              </w:rPr>
            </w:pPr>
          </w:p>
        </w:tc>
        <w:tc>
          <w:tcPr>
            <w:tcW w:w="721" w:type="dxa"/>
          </w:tcPr>
          <w:p w14:paraId="7869FBAC">
            <w:pPr>
              <w:spacing w:line="276" w:lineRule="auto"/>
              <w:rPr>
                <w:rFonts w:ascii="宋体" w:hAnsi="宋体"/>
                <w:szCs w:val="21"/>
              </w:rPr>
            </w:pPr>
          </w:p>
        </w:tc>
        <w:tc>
          <w:tcPr>
            <w:tcW w:w="720" w:type="dxa"/>
          </w:tcPr>
          <w:p w14:paraId="14E8F28B">
            <w:pPr>
              <w:spacing w:line="276" w:lineRule="auto"/>
              <w:rPr>
                <w:rFonts w:ascii="宋体" w:hAnsi="宋体"/>
                <w:szCs w:val="21"/>
              </w:rPr>
            </w:pPr>
          </w:p>
        </w:tc>
        <w:tc>
          <w:tcPr>
            <w:tcW w:w="1276" w:type="dxa"/>
          </w:tcPr>
          <w:p w14:paraId="47AD781E">
            <w:pPr>
              <w:spacing w:line="276" w:lineRule="auto"/>
              <w:rPr>
                <w:rFonts w:ascii="宋体" w:hAnsi="宋体"/>
                <w:szCs w:val="21"/>
              </w:rPr>
            </w:pPr>
          </w:p>
        </w:tc>
        <w:tc>
          <w:tcPr>
            <w:tcW w:w="1417" w:type="dxa"/>
          </w:tcPr>
          <w:p w14:paraId="64E5E486">
            <w:pPr>
              <w:spacing w:line="276" w:lineRule="auto"/>
              <w:rPr>
                <w:rFonts w:ascii="宋体" w:hAnsi="宋体"/>
                <w:szCs w:val="21"/>
              </w:rPr>
            </w:pPr>
          </w:p>
        </w:tc>
        <w:tc>
          <w:tcPr>
            <w:tcW w:w="1276" w:type="dxa"/>
          </w:tcPr>
          <w:p w14:paraId="627CC969">
            <w:pPr>
              <w:spacing w:line="276" w:lineRule="auto"/>
              <w:rPr>
                <w:rFonts w:ascii="宋体" w:hAnsi="宋体"/>
                <w:szCs w:val="21"/>
              </w:rPr>
            </w:pPr>
          </w:p>
        </w:tc>
        <w:tc>
          <w:tcPr>
            <w:tcW w:w="1797" w:type="dxa"/>
          </w:tcPr>
          <w:p w14:paraId="6847AE17">
            <w:pPr>
              <w:spacing w:line="276" w:lineRule="auto"/>
              <w:rPr>
                <w:rFonts w:ascii="宋体" w:hAnsi="宋体"/>
                <w:szCs w:val="21"/>
              </w:rPr>
            </w:pPr>
          </w:p>
        </w:tc>
        <w:tc>
          <w:tcPr>
            <w:tcW w:w="669" w:type="dxa"/>
          </w:tcPr>
          <w:p w14:paraId="20EE863E">
            <w:pPr>
              <w:spacing w:line="276" w:lineRule="auto"/>
              <w:rPr>
                <w:rFonts w:ascii="宋体" w:hAnsi="宋体"/>
                <w:szCs w:val="21"/>
              </w:rPr>
            </w:pPr>
          </w:p>
        </w:tc>
      </w:tr>
      <w:tr w14:paraId="6641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2760063B">
            <w:pPr>
              <w:spacing w:line="276" w:lineRule="auto"/>
              <w:rPr>
                <w:rFonts w:ascii="宋体" w:hAnsi="宋体"/>
                <w:szCs w:val="21"/>
              </w:rPr>
            </w:pPr>
          </w:p>
        </w:tc>
        <w:tc>
          <w:tcPr>
            <w:tcW w:w="721" w:type="dxa"/>
          </w:tcPr>
          <w:p w14:paraId="29DBC19A">
            <w:pPr>
              <w:spacing w:line="276" w:lineRule="auto"/>
              <w:rPr>
                <w:rFonts w:ascii="宋体" w:hAnsi="宋体"/>
                <w:szCs w:val="21"/>
              </w:rPr>
            </w:pPr>
          </w:p>
        </w:tc>
        <w:tc>
          <w:tcPr>
            <w:tcW w:w="720" w:type="dxa"/>
          </w:tcPr>
          <w:p w14:paraId="6E9F0550">
            <w:pPr>
              <w:spacing w:line="276" w:lineRule="auto"/>
              <w:rPr>
                <w:rFonts w:ascii="宋体" w:hAnsi="宋体"/>
                <w:szCs w:val="21"/>
              </w:rPr>
            </w:pPr>
          </w:p>
        </w:tc>
        <w:tc>
          <w:tcPr>
            <w:tcW w:w="1276" w:type="dxa"/>
          </w:tcPr>
          <w:p w14:paraId="659BBC21">
            <w:pPr>
              <w:spacing w:line="276" w:lineRule="auto"/>
              <w:rPr>
                <w:rFonts w:ascii="宋体" w:hAnsi="宋体"/>
                <w:szCs w:val="21"/>
              </w:rPr>
            </w:pPr>
          </w:p>
        </w:tc>
        <w:tc>
          <w:tcPr>
            <w:tcW w:w="1417" w:type="dxa"/>
          </w:tcPr>
          <w:p w14:paraId="228D37C0">
            <w:pPr>
              <w:spacing w:line="276" w:lineRule="auto"/>
              <w:rPr>
                <w:rFonts w:ascii="宋体" w:hAnsi="宋体"/>
                <w:szCs w:val="21"/>
              </w:rPr>
            </w:pPr>
          </w:p>
        </w:tc>
        <w:tc>
          <w:tcPr>
            <w:tcW w:w="1276" w:type="dxa"/>
          </w:tcPr>
          <w:p w14:paraId="1EA07A99">
            <w:pPr>
              <w:spacing w:line="276" w:lineRule="auto"/>
              <w:rPr>
                <w:rFonts w:ascii="宋体" w:hAnsi="宋体"/>
                <w:szCs w:val="21"/>
              </w:rPr>
            </w:pPr>
          </w:p>
        </w:tc>
        <w:tc>
          <w:tcPr>
            <w:tcW w:w="1797" w:type="dxa"/>
          </w:tcPr>
          <w:p w14:paraId="0D8BFBC1">
            <w:pPr>
              <w:spacing w:line="276" w:lineRule="auto"/>
              <w:rPr>
                <w:rFonts w:ascii="宋体" w:hAnsi="宋体"/>
                <w:szCs w:val="21"/>
              </w:rPr>
            </w:pPr>
          </w:p>
        </w:tc>
        <w:tc>
          <w:tcPr>
            <w:tcW w:w="669" w:type="dxa"/>
          </w:tcPr>
          <w:p w14:paraId="4E45C91E">
            <w:pPr>
              <w:spacing w:line="276" w:lineRule="auto"/>
              <w:rPr>
                <w:rFonts w:ascii="宋体" w:hAnsi="宋体"/>
                <w:szCs w:val="21"/>
              </w:rPr>
            </w:pPr>
          </w:p>
        </w:tc>
      </w:tr>
      <w:tr w14:paraId="2FB8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77BE0A69">
            <w:pPr>
              <w:spacing w:line="276" w:lineRule="auto"/>
              <w:rPr>
                <w:rFonts w:ascii="宋体" w:hAnsi="宋体"/>
                <w:szCs w:val="21"/>
              </w:rPr>
            </w:pPr>
          </w:p>
        </w:tc>
        <w:tc>
          <w:tcPr>
            <w:tcW w:w="721" w:type="dxa"/>
          </w:tcPr>
          <w:p w14:paraId="50A25DBF">
            <w:pPr>
              <w:spacing w:line="276" w:lineRule="auto"/>
              <w:rPr>
                <w:rFonts w:ascii="宋体" w:hAnsi="宋体"/>
                <w:szCs w:val="21"/>
              </w:rPr>
            </w:pPr>
          </w:p>
        </w:tc>
        <w:tc>
          <w:tcPr>
            <w:tcW w:w="720" w:type="dxa"/>
          </w:tcPr>
          <w:p w14:paraId="7FF34F1C">
            <w:pPr>
              <w:spacing w:line="276" w:lineRule="auto"/>
              <w:rPr>
                <w:rFonts w:ascii="宋体" w:hAnsi="宋体"/>
                <w:szCs w:val="21"/>
              </w:rPr>
            </w:pPr>
          </w:p>
        </w:tc>
        <w:tc>
          <w:tcPr>
            <w:tcW w:w="1276" w:type="dxa"/>
          </w:tcPr>
          <w:p w14:paraId="342EE680">
            <w:pPr>
              <w:spacing w:line="276" w:lineRule="auto"/>
              <w:rPr>
                <w:rFonts w:ascii="宋体" w:hAnsi="宋体"/>
                <w:szCs w:val="21"/>
              </w:rPr>
            </w:pPr>
          </w:p>
        </w:tc>
        <w:tc>
          <w:tcPr>
            <w:tcW w:w="1417" w:type="dxa"/>
          </w:tcPr>
          <w:p w14:paraId="064D83C3">
            <w:pPr>
              <w:spacing w:line="276" w:lineRule="auto"/>
              <w:rPr>
                <w:rFonts w:ascii="宋体" w:hAnsi="宋体"/>
                <w:szCs w:val="21"/>
              </w:rPr>
            </w:pPr>
          </w:p>
        </w:tc>
        <w:tc>
          <w:tcPr>
            <w:tcW w:w="1276" w:type="dxa"/>
          </w:tcPr>
          <w:p w14:paraId="66C47959">
            <w:pPr>
              <w:spacing w:line="276" w:lineRule="auto"/>
              <w:rPr>
                <w:rFonts w:ascii="宋体" w:hAnsi="宋体"/>
                <w:szCs w:val="21"/>
              </w:rPr>
            </w:pPr>
          </w:p>
        </w:tc>
        <w:tc>
          <w:tcPr>
            <w:tcW w:w="1797" w:type="dxa"/>
          </w:tcPr>
          <w:p w14:paraId="1A703D4D">
            <w:pPr>
              <w:spacing w:line="276" w:lineRule="auto"/>
              <w:rPr>
                <w:rFonts w:ascii="宋体" w:hAnsi="宋体"/>
                <w:szCs w:val="21"/>
              </w:rPr>
            </w:pPr>
          </w:p>
        </w:tc>
        <w:tc>
          <w:tcPr>
            <w:tcW w:w="669" w:type="dxa"/>
          </w:tcPr>
          <w:p w14:paraId="5EEC7103">
            <w:pPr>
              <w:spacing w:line="276" w:lineRule="auto"/>
              <w:rPr>
                <w:rFonts w:ascii="宋体" w:hAnsi="宋体"/>
                <w:szCs w:val="21"/>
              </w:rPr>
            </w:pPr>
          </w:p>
        </w:tc>
      </w:tr>
      <w:tr w14:paraId="5168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Pr>
          <w:p w14:paraId="50A936C0">
            <w:pPr>
              <w:spacing w:line="276" w:lineRule="auto"/>
              <w:rPr>
                <w:rFonts w:ascii="宋体" w:hAnsi="宋体"/>
                <w:szCs w:val="21"/>
              </w:rPr>
            </w:pPr>
          </w:p>
        </w:tc>
        <w:tc>
          <w:tcPr>
            <w:tcW w:w="721" w:type="dxa"/>
          </w:tcPr>
          <w:p w14:paraId="06A64071">
            <w:pPr>
              <w:spacing w:line="276" w:lineRule="auto"/>
              <w:rPr>
                <w:rFonts w:ascii="宋体" w:hAnsi="宋体"/>
                <w:szCs w:val="21"/>
              </w:rPr>
            </w:pPr>
          </w:p>
        </w:tc>
        <w:tc>
          <w:tcPr>
            <w:tcW w:w="720" w:type="dxa"/>
          </w:tcPr>
          <w:p w14:paraId="3302D69D">
            <w:pPr>
              <w:spacing w:line="276" w:lineRule="auto"/>
              <w:rPr>
                <w:rFonts w:ascii="宋体" w:hAnsi="宋体"/>
                <w:szCs w:val="21"/>
              </w:rPr>
            </w:pPr>
          </w:p>
        </w:tc>
        <w:tc>
          <w:tcPr>
            <w:tcW w:w="1276" w:type="dxa"/>
          </w:tcPr>
          <w:p w14:paraId="0EF01B48">
            <w:pPr>
              <w:spacing w:line="276" w:lineRule="auto"/>
              <w:rPr>
                <w:rFonts w:ascii="宋体" w:hAnsi="宋体"/>
                <w:szCs w:val="21"/>
              </w:rPr>
            </w:pPr>
          </w:p>
        </w:tc>
        <w:tc>
          <w:tcPr>
            <w:tcW w:w="1417" w:type="dxa"/>
          </w:tcPr>
          <w:p w14:paraId="2C534F42">
            <w:pPr>
              <w:spacing w:line="276" w:lineRule="auto"/>
              <w:rPr>
                <w:rFonts w:ascii="宋体" w:hAnsi="宋体"/>
                <w:szCs w:val="21"/>
              </w:rPr>
            </w:pPr>
          </w:p>
        </w:tc>
        <w:tc>
          <w:tcPr>
            <w:tcW w:w="1276" w:type="dxa"/>
          </w:tcPr>
          <w:p w14:paraId="13145000">
            <w:pPr>
              <w:spacing w:line="276" w:lineRule="auto"/>
              <w:rPr>
                <w:rFonts w:ascii="宋体" w:hAnsi="宋体"/>
                <w:szCs w:val="21"/>
              </w:rPr>
            </w:pPr>
          </w:p>
        </w:tc>
        <w:tc>
          <w:tcPr>
            <w:tcW w:w="1797" w:type="dxa"/>
          </w:tcPr>
          <w:p w14:paraId="0D4DCC3F">
            <w:pPr>
              <w:spacing w:line="276" w:lineRule="auto"/>
              <w:rPr>
                <w:rFonts w:ascii="宋体" w:hAnsi="宋体"/>
                <w:szCs w:val="21"/>
              </w:rPr>
            </w:pPr>
          </w:p>
        </w:tc>
        <w:tc>
          <w:tcPr>
            <w:tcW w:w="669" w:type="dxa"/>
          </w:tcPr>
          <w:p w14:paraId="7CA141DC">
            <w:pPr>
              <w:spacing w:line="276" w:lineRule="auto"/>
              <w:rPr>
                <w:rFonts w:ascii="宋体" w:hAnsi="宋体"/>
                <w:szCs w:val="21"/>
              </w:rPr>
            </w:pPr>
          </w:p>
        </w:tc>
      </w:tr>
    </w:tbl>
    <w:p w14:paraId="30D804DC">
      <w:pPr>
        <w:widowControl/>
        <w:jc w:val="left"/>
        <w:rPr>
          <w:rFonts w:eastAsiaTheme="minorEastAsia"/>
          <w:sz w:val="24"/>
        </w:rPr>
      </w:pPr>
    </w:p>
    <w:p w14:paraId="6A3F2936">
      <w:pPr>
        <w:widowControl/>
        <w:jc w:val="left"/>
        <w:rPr>
          <w:rFonts w:eastAsiaTheme="minorEastAsia"/>
          <w:sz w:val="24"/>
        </w:rPr>
      </w:pPr>
      <w:r>
        <w:rPr>
          <w:rFonts w:eastAsiaTheme="minorEastAsia"/>
          <w:sz w:val="24"/>
        </w:rPr>
        <w:br w:type="page"/>
      </w:r>
    </w:p>
    <w:p w14:paraId="141CECCA">
      <w:pPr>
        <w:tabs>
          <w:tab w:val="left" w:pos="360"/>
        </w:tabs>
        <w:snapToGrid w:val="0"/>
        <w:spacing w:line="360" w:lineRule="auto"/>
        <w:outlineLvl w:val="1"/>
        <w:rPr>
          <w:rFonts w:eastAsiaTheme="minorEastAsia"/>
          <w:sz w:val="24"/>
        </w:rPr>
      </w:pPr>
      <w:r>
        <w:rPr>
          <w:rFonts w:hint="eastAsia" w:eastAsiaTheme="minorEastAsia"/>
          <w:sz w:val="24"/>
        </w:rPr>
        <w:t>14 项目经理简历表</w:t>
      </w:r>
    </w:p>
    <w:p w14:paraId="34B4B1A3">
      <w:pPr>
        <w:spacing w:line="360" w:lineRule="auto"/>
        <w:ind w:right="281" w:rightChars="134" w:firstLine="480" w:firstLineChars="200"/>
        <w:rPr>
          <w:rFonts w:ascii="宋体" w:hAnsi="宋体"/>
          <w:sz w:val="24"/>
        </w:rPr>
      </w:pPr>
      <w:r>
        <w:rPr>
          <w:rFonts w:hint="eastAsia" w:ascii="宋体" w:hAnsi="宋体"/>
          <w:sz w:val="24"/>
        </w:rPr>
        <w:t>项目经理应附建造师注册证书、安全生产考核合格证书、身份证、职称证、学历证复印件，管理过的项目业绩须附中标/成交通知书或合同协议书、竣工验收备案登记表或单位工程质量竣工验收记录复印件。类似项目限于以项目经理身份参与的项目。</w:t>
      </w:r>
    </w:p>
    <w:tbl>
      <w:tblPr>
        <w:tblStyle w:val="49"/>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1079"/>
        <w:gridCol w:w="927"/>
        <w:gridCol w:w="1065"/>
        <w:gridCol w:w="1969"/>
        <w:gridCol w:w="161"/>
        <w:gridCol w:w="2135"/>
      </w:tblGrid>
      <w:tr w14:paraId="7EF0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762" w:type="dxa"/>
            <w:vAlign w:val="center"/>
          </w:tcPr>
          <w:p w14:paraId="130F9328">
            <w:pPr>
              <w:spacing w:line="276" w:lineRule="auto"/>
              <w:rPr>
                <w:rFonts w:ascii="宋体" w:hAnsi="宋体"/>
                <w:sz w:val="24"/>
              </w:rPr>
            </w:pPr>
            <w:r>
              <w:rPr>
                <w:rFonts w:hint="eastAsia" w:ascii="宋体" w:hAnsi="宋体"/>
                <w:sz w:val="24"/>
              </w:rPr>
              <w:t>姓名</w:t>
            </w:r>
          </w:p>
        </w:tc>
        <w:tc>
          <w:tcPr>
            <w:tcW w:w="1079" w:type="dxa"/>
            <w:vAlign w:val="center"/>
          </w:tcPr>
          <w:p w14:paraId="578D304F">
            <w:pPr>
              <w:spacing w:line="276" w:lineRule="auto"/>
              <w:rPr>
                <w:rFonts w:ascii="宋体" w:hAnsi="宋体"/>
                <w:sz w:val="24"/>
              </w:rPr>
            </w:pPr>
          </w:p>
        </w:tc>
        <w:tc>
          <w:tcPr>
            <w:tcW w:w="927" w:type="dxa"/>
            <w:vAlign w:val="center"/>
          </w:tcPr>
          <w:p w14:paraId="5E832B2D">
            <w:pPr>
              <w:spacing w:line="276" w:lineRule="auto"/>
              <w:rPr>
                <w:rFonts w:ascii="宋体" w:hAnsi="宋体"/>
                <w:sz w:val="24"/>
              </w:rPr>
            </w:pPr>
            <w:r>
              <w:rPr>
                <w:rFonts w:hint="eastAsia" w:ascii="宋体" w:hAnsi="宋体"/>
                <w:sz w:val="24"/>
              </w:rPr>
              <w:t>年龄</w:t>
            </w:r>
          </w:p>
        </w:tc>
        <w:tc>
          <w:tcPr>
            <w:tcW w:w="1065" w:type="dxa"/>
            <w:vAlign w:val="center"/>
          </w:tcPr>
          <w:p w14:paraId="691C4D70">
            <w:pPr>
              <w:spacing w:line="276" w:lineRule="auto"/>
              <w:rPr>
                <w:rFonts w:ascii="宋体" w:hAnsi="宋体"/>
                <w:sz w:val="24"/>
              </w:rPr>
            </w:pPr>
          </w:p>
        </w:tc>
        <w:tc>
          <w:tcPr>
            <w:tcW w:w="2130" w:type="dxa"/>
            <w:gridSpan w:val="2"/>
            <w:vAlign w:val="center"/>
          </w:tcPr>
          <w:p w14:paraId="7DD3B7B2">
            <w:pPr>
              <w:spacing w:line="276" w:lineRule="auto"/>
              <w:rPr>
                <w:rFonts w:ascii="宋体" w:hAnsi="宋体"/>
                <w:sz w:val="24"/>
              </w:rPr>
            </w:pPr>
            <w:r>
              <w:rPr>
                <w:rFonts w:hint="eastAsia" w:ascii="宋体" w:hAnsi="宋体"/>
                <w:sz w:val="24"/>
              </w:rPr>
              <w:t>身 份 证</w:t>
            </w:r>
          </w:p>
        </w:tc>
        <w:tc>
          <w:tcPr>
            <w:tcW w:w="2135" w:type="dxa"/>
            <w:vAlign w:val="center"/>
          </w:tcPr>
          <w:p w14:paraId="3E3B2B17">
            <w:pPr>
              <w:spacing w:line="276" w:lineRule="auto"/>
              <w:rPr>
                <w:rFonts w:ascii="宋体" w:hAnsi="宋体"/>
                <w:sz w:val="24"/>
              </w:rPr>
            </w:pPr>
          </w:p>
        </w:tc>
      </w:tr>
      <w:tr w14:paraId="0189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2" w:type="dxa"/>
            <w:vAlign w:val="center"/>
          </w:tcPr>
          <w:p w14:paraId="79314937">
            <w:pPr>
              <w:spacing w:line="276" w:lineRule="auto"/>
              <w:rPr>
                <w:rFonts w:ascii="宋体" w:hAnsi="宋体"/>
                <w:sz w:val="24"/>
              </w:rPr>
            </w:pPr>
            <w:r>
              <w:rPr>
                <w:rFonts w:hint="eastAsia" w:ascii="宋体" w:hAnsi="宋体"/>
                <w:sz w:val="24"/>
              </w:rPr>
              <w:t xml:space="preserve">学 历 </w:t>
            </w:r>
          </w:p>
        </w:tc>
        <w:tc>
          <w:tcPr>
            <w:tcW w:w="1079" w:type="dxa"/>
            <w:vAlign w:val="center"/>
          </w:tcPr>
          <w:p w14:paraId="72D2BF95">
            <w:pPr>
              <w:spacing w:line="276" w:lineRule="auto"/>
              <w:rPr>
                <w:rFonts w:ascii="宋体" w:hAnsi="宋体"/>
                <w:sz w:val="24"/>
              </w:rPr>
            </w:pPr>
          </w:p>
        </w:tc>
        <w:tc>
          <w:tcPr>
            <w:tcW w:w="927" w:type="dxa"/>
            <w:vAlign w:val="center"/>
          </w:tcPr>
          <w:p w14:paraId="1A0CBA08">
            <w:pPr>
              <w:spacing w:line="276" w:lineRule="auto"/>
              <w:rPr>
                <w:rFonts w:ascii="宋体" w:hAnsi="宋体"/>
                <w:sz w:val="24"/>
              </w:rPr>
            </w:pPr>
            <w:r>
              <w:rPr>
                <w:rFonts w:hint="eastAsia" w:ascii="宋体" w:hAnsi="宋体"/>
                <w:sz w:val="24"/>
              </w:rPr>
              <w:t xml:space="preserve">职 称 </w:t>
            </w:r>
          </w:p>
        </w:tc>
        <w:tc>
          <w:tcPr>
            <w:tcW w:w="1065" w:type="dxa"/>
            <w:vAlign w:val="center"/>
          </w:tcPr>
          <w:p w14:paraId="754984F8">
            <w:pPr>
              <w:spacing w:line="276" w:lineRule="auto"/>
              <w:rPr>
                <w:rFonts w:ascii="宋体" w:hAnsi="宋体"/>
                <w:sz w:val="24"/>
              </w:rPr>
            </w:pPr>
          </w:p>
        </w:tc>
        <w:tc>
          <w:tcPr>
            <w:tcW w:w="2130" w:type="dxa"/>
            <w:gridSpan w:val="2"/>
            <w:vAlign w:val="center"/>
          </w:tcPr>
          <w:p w14:paraId="207F038D">
            <w:pPr>
              <w:spacing w:line="276" w:lineRule="auto"/>
              <w:rPr>
                <w:rFonts w:ascii="宋体" w:hAnsi="宋体"/>
                <w:sz w:val="24"/>
              </w:rPr>
            </w:pPr>
            <w:r>
              <w:rPr>
                <w:rFonts w:hint="eastAsia" w:ascii="宋体" w:hAnsi="宋体"/>
                <w:sz w:val="24"/>
              </w:rPr>
              <w:t>职 务</w:t>
            </w:r>
          </w:p>
        </w:tc>
        <w:tc>
          <w:tcPr>
            <w:tcW w:w="2135" w:type="dxa"/>
            <w:vAlign w:val="center"/>
          </w:tcPr>
          <w:p w14:paraId="43B7E99A">
            <w:pPr>
              <w:spacing w:line="276" w:lineRule="auto"/>
              <w:rPr>
                <w:rFonts w:ascii="宋体" w:hAnsi="宋体"/>
                <w:sz w:val="24"/>
              </w:rPr>
            </w:pPr>
            <w:r>
              <w:rPr>
                <w:rFonts w:hint="eastAsia" w:ascii="宋体" w:hAnsi="宋体"/>
                <w:sz w:val="24"/>
              </w:rPr>
              <w:t xml:space="preserve"> </w:t>
            </w:r>
          </w:p>
        </w:tc>
      </w:tr>
      <w:tr w14:paraId="793C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768" w:type="dxa"/>
            <w:gridSpan w:val="3"/>
            <w:vAlign w:val="center"/>
          </w:tcPr>
          <w:p w14:paraId="14192E7B">
            <w:pPr>
              <w:spacing w:line="276" w:lineRule="auto"/>
              <w:rPr>
                <w:rFonts w:ascii="宋体" w:hAnsi="宋体"/>
                <w:sz w:val="24"/>
              </w:rPr>
            </w:pPr>
            <w:r>
              <w:rPr>
                <w:rFonts w:hint="eastAsia" w:ascii="宋体" w:hAnsi="宋体"/>
                <w:sz w:val="24"/>
              </w:rPr>
              <w:t>注册建造师执业资格等级</w:t>
            </w:r>
          </w:p>
        </w:tc>
        <w:tc>
          <w:tcPr>
            <w:tcW w:w="1065" w:type="dxa"/>
            <w:vAlign w:val="center"/>
          </w:tcPr>
          <w:p w14:paraId="2518E86C">
            <w:pPr>
              <w:spacing w:line="276" w:lineRule="auto"/>
              <w:ind w:firstLine="480" w:firstLineChars="200"/>
              <w:rPr>
                <w:rFonts w:ascii="宋体" w:hAnsi="宋体"/>
                <w:sz w:val="24"/>
              </w:rPr>
            </w:pPr>
            <w:r>
              <w:rPr>
                <w:rFonts w:hint="eastAsia" w:ascii="宋体" w:hAnsi="宋体"/>
                <w:sz w:val="24"/>
              </w:rPr>
              <w:t>级</w:t>
            </w:r>
          </w:p>
        </w:tc>
        <w:tc>
          <w:tcPr>
            <w:tcW w:w="2130" w:type="dxa"/>
            <w:gridSpan w:val="2"/>
            <w:vAlign w:val="center"/>
          </w:tcPr>
          <w:p w14:paraId="47993E01">
            <w:pPr>
              <w:spacing w:line="276" w:lineRule="auto"/>
              <w:rPr>
                <w:rFonts w:ascii="宋体" w:hAnsi="宋体"/>
                <w:sz w:val="24"/>
              </w:rPr>
            </w:pPr>
            <w:r>
              <w:rPr>
                <w:rFonts w:hint="eastAsia" w:ascii="宋体" w:hAnsi="宋体"/>
                <w:sz w:val="24"/>
              </w:rPr>
              <w:t>建造师专业</w:t>
            </w:r>
          </w:p>
        </w:tc>
        <w:tc>
          <w:tcPr>
            <w:tcW w:w="2135" w:type="dxa"/>
            <w:vAlign w:val="center"/>
          </w:tcPr>
          <w:p w14:paraId="5CEC887C">
            <w:pPr>
              <w:spacing w:line="276" w:lineRule="auto"/>
              <w:rPr>
                <w:rFonts w:ascii="宋体" w:hAnsi="宋体"/>
                <w:sz w:val="24"/>
              </w:rPr>
            </w:pPr>
          </w:p>
        </w:tc>
      </w:tr>
      <w:tr w14:paraId="7073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8" w:type="dxa"/>
            <w:gridSpan w:val="3"/>
            <w:vAlign w:val="center"/>
          </w:tcPr>
          <w:p w14:paraId="32CC7D6F">
            <w:pPr>
              <w:spacing w:line="276" w:lineRule="auto"/>
              <w:rPr>
                <w:rFonts w:ascii="宋体" w:hAnsi="宋体"/>
                <w:sz w:val="24"/>
              </w:rPr>
            </w:pPr>
            <w:r>
              <w:rPr>
                <w:rFonts w:hint="eastAsia" w:ascii="宋体" w:hAnsi="宋体"/>
                <w:sz w:val="24"/>
              </w:rPr>
              <w:t>安全生产考核合格证书</w:t>
            </w:r>
          </w:p>
        </w:tc>
        <w:tc>
          <w:tcPr>
            <w:tcW w:w="5330" w:type="dxa"/>
            <w:gridSpan w:val="4"/>
            <w:vAlign w:val="center"/>
          </w:tcPr>
          <w:p w14:paraId="69F4D3ED">
            <w:pPr>
              <w:spacing w:line="276" w:lineRule="auto"/>
              <w:rPr>
                <w:rFonts w:ascii="宋体" w:hAnsi="宋体"/>
                <w:sz w:val="24"/>
              </w:rPr>
            </w:pPr>
          </w:p>
        </w:tc>
      </w:tr>
      <w:tr w14:paraId="5F38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2" w:type="dxa"/>
            <w:vAlign w:val="center"/>
          </w:tcPr>
          <w:p w14:paraId="0D5F5A00">
            <w:pPr>
              <w:spacing w:line="276" w:lineRule="auto"/>
              <w:rPr>
                <w:rFonts w:ascii="宋体" w:hAnsi="宋体"/>
                <w:sz w:val="24"/>
              </w:rPr>
            </w:pPr>
            <w:r>
              <w:rPr>
                <w:rFonts w:hint="eastAsia" w:ascii="宋体" w:hAnsi="宋体"/>
                <w:sz w:val="24"/>
              </w:rPr>
              <w:t>毕业学校</w:t>
            </w:r>
          </w:p>
        </w:tc>
        <w:tc>
          <w:tcPr>
            <w:tcW w:w="7336" w:type="dxa"/>
            <w:gridSpan w:val="6"/>
          </w:tcPr>
          <w:p w14:paraId="1E0C76DD">
            <w:pPr>
              <w:spacing w:line="276" w:lineRule="auto"/>
              <w:rPr>
                <w:rFonts w:ascii="宋体" w:hAnsi="宋体"/>
                <w:sz w:val="24"/>
              </w:rPr>
            </w:pPr>
            <w:r>
              <w:rPr>
                <w:rFonts w:hint="eastAsia" w:ascii="宋体" w:hAnsi="宋体"/>
                <w:sz w:val="24"/>
              </w:rPr>
              <w:t xml:space="preserve">      年毕业于            学校        专业</w:t>
            </w:r>
          </w:p>
        </w:tc>
      </w:tr>
      <w:tr w14:paraId="7469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8" w:type="dxa"/>
            <w:gridSpan w:val="7"/>
            <w:vAlign w:val="center"/>
          </w:tcPr>
          <w:p w14:paraId="1C51424D">
            <w:pPr>
              <w:spacing w:line="276" w:lineRule="auto"/>
              <w:rPr>
                <w:rFonts w:ascii="宋体" w:hAnsi="宋体"/>
                <w:sz w:val="24"/>
              </w:rPr>
            </w:pPr>
            <w:r>
              <w:rPr>
                <w:rFonts w:hint="eastAsia" w:ascii="宋体" w:hAnsi="宋体"/>
                <w:sz w:val="24"/>
              </w:rPr>
              <w:t>主要工作经历</w:t>
            </w:r>
          </w:p>
        </w:tc>
      </w:tr>
      <w:tr w14:paraId="71CE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2" w:type="dxa"/>
            <w:vAlign w:val="center"/>
          </w:tcPr>
          <w:p w14:paraId="034A6AE9">
            <w:pPr>
              <w:spacing w:line="276" w:lineRule="auto"/>
              <w:rPr>
                <w:rFonts w:ascii="宋体" w:hAnsi="宋体"/>
                <w:sz w:val="24"/>
              </w:rPr>
            </w:pPr>
            <w:r>
              <w:rPr>
                <w:rFonts w:hint="eastAsia" w:ascii="宋体" w:hAnsi="宋体"/>
                <w:sz w:val="24"/>
              </w:rPr>
              <w:t>时  间</w:t>
            </w:r>
          </w:p>
        </w:tc>
        <w:tc>
          <w:tcPr>
            <w:tcW w:w="3071" w:type="dxa"/>
            <w:gridSpan w:val="3"/>
            <w:vAlign w:val="center"/>
          </w:tcPr>
          <w:p w14:paraId="58F42151">
            <w:pPr>
              <w:spacing w:line="276" w:lineRule="auto"/>
              <w:rPr>
                <w:rFonts w:ascii="宋体" w:hAnsi="宋体"/>
                <w:sz w:val="24"/>
              </w:rPr>
            </w:pPr>
            <w:r>
              <w:rPr>
                <w:rFonts w:hint="eastAsia" w:ascii="宋体" w:hAnsi="宋体"/>
                <w:sz w:val="24"/>
              </w:rPr>
              <w:t>参加过的类似项目名称</w:t>
            </w:r>
          </w:p>
        </w:tc>
        <w:tc>
          <w:tcPr>
            <w:tcW w:w="1969" w:type="dxa"/>
            <w:vAlign w:val="center"/>
          </w:tcPr>
          <w:p w14:paraId="28AF14DE">
            <w:pPr>
              <w:spacing w:line="276" w:lineRule="auto"/>
              <w:rPr>
                <w:rFonts w:ascii="宋体" w:hAnsi="宋体"/>
                <w:sz w:val="24"/>
              </w:rPr>
            </w:pPr>
            <w:r>
              <w:rPr>
                <w:rFonts w:hint="eastAsia" w:ascii="宋体" w:hAnsi="宋体"/>
                <w:sz w:val="24"/>
              </w:rPr>
              <w:t>工程概况说明</w:t>
            </w:r>
          </w:p>
        </w:tc>
        <w:tc>
          <w:tcPr>
            <w:tcW w:w="2296" w:type="dxa"/>
            <w:gridSpan w:val="2"/>
            <w:vAlign w:val="center"/>
          </w:tcPr>
          <w:p w14:paraId="5FC05D77">
            <w:pPr>
              <w:spacing w:line="276" w:lineRule="auto"/>
              <w:rPr>
                <w:rFonts w:ascii="宋体" w:hAnsi="宋体"/>
                <w:sz w:val="24"/>
              </w:rPr>
            </w:pPr>
            <w:r>
              <w:rPr>
                <w:rFonts w:hint="eastAsia" w:ascii="宋体" w:hAnsi="宋体"/>
                <w:sz w:val="24"/>
              </w:rPr>
              <w:t>发包人及联系电话</w:t>
            </w:r>
          </w:p>
        </w:tc>
      </w:tr>
      <w:tr w14:paraId="6CBD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762" w:type="dxa"/>
          </w:tcPr>
          <w:p w14:paraId="1C6D7359">
            <w:pPr>
              <w:spacing w:line="276" w:lineRule="auto"/>
              <w:rPr>
                <w:rFonts w:ascii="宋体" w:hAnsi="宋体"/>
                <w:sz w:val="24"/>
              </w:rPr>
            </w:pPr>
          </w:p>
        </w:tc>
        <w:tc>
          <w:tcPr>
            <w:tcW w:w="3071" w:type="dxa"/>
            <w:gridSpan w:val="3"/>
          </w:tcPr>
          <w:p w14:paraId="2DEED29C">
            <w:pPr>
              <w:spacing w:line="276" w:lineRule="auto"/>
              <w:rPr>
                <w:rFonts w:ascii="宋体" w:hAnsi="宋体"/>
                <w:sz w:val="24"/>
              </w:rPr>
            </w:pPr>
          </w:p>
        </w:tc>
        <w:tc>
          <w:tcPr>
            <w:tcW w:w="1969" w:type="dxa"/>
          </w:tcPr>
          <w:p w14:paraId="3E1263C5">
            <w:pPr>
              <w:spacing w:line="276" w:lineRule="auto"/>
              <w:rPr>
                <w:rFonts w:ascii="宋体" w:hAnsi="宋体"/>
                <w:sz w:val="24"/>
              </w:rPr>
            </w:pPr>
          </w:p>
        </w:tc>
        <w:tc>
          <w:tcPr>
            <w:tcW w:w="2296" w:type="dxa"/>
            <w:gridSpan w:val="2"/>
          </w:tcPr>
          <w:p w14:paraId="628A3FC6">
            <w:pPr>
              <w:spacing w:line="276" w:lineRule="auto"/>
              <w:rPr>
                <w:rFonts w:ascii="宋体" w:hAnsi="宋体"/>
                <w:sz w:val="24"/>
              </w:rPr>
            </w:pPr>
          </w:p>
        </w:tc>
      </w:tr>
      <w:tr w14:paraId="4663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762" w:type="dxa"/>
          </w:tcPr>
          <w:p w14:paraId="3EC4418D">
            <w:pPr>
              <w:spacing w:line="276" w:lineRule="auto"/>
              <w:rPr>
                <w:rFonts w:ascii="宋体" w:hAnsi="宋体"/>
                <w:sz w:val="24"/>
              </w:rPr>
            </w:pPr>
          </w:p>
        </w:tc>
        <w:tc>
          <w:tcPr>
            <w:tcW w:w="3071" w:type="dxa"/>
            <w:gridSpan w:val="3"/>
          </w:tcPr>
          <w:p w14:paraId="0A138E79">
            <w:pPr>
              <w:spacing w:line="276" w:lineRule="auto"/>
              <w:rPr>
                <w:rFonts w:ascii="宋体" w:hAnsi="宋体"/>
                <w:sz w:val="24"/>
              </w:rPr>
            </w:pPr>
          </w:p>
        </w:tc>
        <w:tc>
          <w:tcPr>
            <w:tcW w:w="1969" w:type="dxa"/>
          </w:tcPr>
          <w:p w14:paraId="2B4D800A">
            <w:pPr>
              <w:spacing w:line="276" w:lineRule="auto"/>
              <w:rPr>
                <w:rFonts w:ascii="宋体" w:hAnsi="宋体"/>
                <w:sz w:val="24"/>
              </w:rPr>
            </w:pPr>
          </w:p>
        </w:tc>
        <w:tc>
          <w:tcPr>
            <w:tcW w:w="2296" w:type="dxa"/>
            <w:gridSpan w:val="2"/>
          </w:tcPr>
          <w:p w14:paraId="5735CF6E">
            <w:pPr>
              <w:spacing w:line="276" w:lineRule="auto"/>
              <w:rPr>
                <w:rFonts w:ascii="宋体" w:hAnsi="宋体"/>
                <w:sz w:val="24"/>
              </w:rPr>
            </w:pPr>
          </w:p>
        </w:tc>
      </w:tr>
      <w:tr w14:paraId="4854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762" w:type="dxa"/>
          </w:tcPr>
          <w:p w14:paraId="76163487">
            <w:pPr>
              <w:spacing w:line="276" w:lineRule="auto"/>
              <w:rPr>
                <w:rFonts w:ascii="宋体" w:hAnsi="宋体"/>
                <w:sz w:val="24"/>
              </w:rPr>
            </w:pPr>
          </w:p>
        </w:tc>
        <w:tc>
          <w:tcPr>
            <w:tcW w:w="3071" w:type="dxa"/>
            <w:gridSpan w:val="3"/>
          </w:tcPr>
          <w:p w14:paraId="4CEA07CB">
            <w:pPr>
              <w:spacing w:line="276" w:lineRule="auto"/>
              <w:rPr>
                <w:rFonts w:ascii="宋体" w:hAnsi="宋体"/>
                <w:sz w:val="24"/>
              </w:rPr>
            </w:pPr>
          </w:p>
        </w:tc>
        <w:tc>
          <w:tcPr>
            <w:tcW w:w="1969" w:type="dxa"/>
          </w:tcPr>
          <w:p w14:paraId="4939CE30">
            <w:pPr>
              <w:spacing w:line="276" w:lineRule="auto"/>
              <w:rPr>
                <w:rFonts w:ascii="宋体" w:hAnsi="宋体"/>
                <w:sz w:val="24"/>
              </w:rPr>
            </w:pPr>
          </w:p>
        </w:tc>
        <w:tc>
          <w:tcPr>
            <w:tcW w:w="2296" w:type="dxa"/>
            <w:gridSpan w:val="2"/>
          </w:tcPr>
          <w:p w14:paraId="49A7E04D">
            <w:pPr>
              <w:spacing w:line="276" w:lineRule="auto"/>
              <w:rPr>
                <w:rFonts w:ascii="宋体" w:hAnsi="宋体"/>
                <w:sz w:val="24"/>
              </w:rPr>
            </w:pPr>
          </w:p>
        </w:tc>
      </w:tr>
      <w:tr w14:paraId="105D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62" w:type="dxa"/>
            <w:vAlign w:val="center"/>
          </w:tcPr>
          <w:p w14:paraId="795B780A">
            <w:pPr>
              <w:spacing w:line="276" w:lineRule="auto"/>
              <w:rPr>
                <w:rFonts w:ascii="宋体" w:hAnsi="宋体"/>
                <w:sz w:val="24"/>
              </w:rPr>
            </w:pPr>
          </w:p>
        </w:tc>
        <w:tc>
          <w:tcPr>
            <w:tcW w:w="3071" w:type="dxa"/>
            <w:gridSpan w:val="3"/>
            <w:vAlign w:val="center"/>
          </w:tcPr>
          <w:p w14:paraId="4519075A">
            <w:pPr>
              <w:spacing w:line="276" w:lineRule="auto"/>
              <w:rPr>
                <w:rFonts w:ascii="宋体" w:hAnsi="宋体"/>
                <w:sz w:val="24"/>
              </w:rPr>
            </w:pPr>
          </w:p>
        </w:tc>
        <w:tc>
          <w:tcPr>
            <w:tcW w:w="1969" w:type="dxa"/>
            <w:vAlign w:val="center"/>
          </w:tcPr>
          <w:p w14:paraId="6C3BDAF0">
            <w:pPr>
              <w:spacing w:line="276" w:lineRule="auto"/>
              <w:rPr>
                <w:rFonts w:ascii="宋体" w:hAnsi="宋体"/>
                <w:sz w:val="24"/>
              </w:rPr>
            </w:pPr>
          </w:p>
        </w:tc>
        <w:tc>
          <w:tcPr>
            <w:tcW w:w="2296" w:type="dxa"/>
            <w:gridSpan w:val="2"/>
            <w:vAlign w:val="center"/>
          </w:tcPr>
          <w:p w14:paraId="4F4B21D2">
            <w:pPr>
              <w:spacing w:line="276" w:lineRule="auto"/>
              <w:rPr>
                <w:rFonts w:ascii="宋体" w:hAnsi="宋体"/>
                <w:sz w:val="24"/>
              </w:rPr>
            </w:pPr>
          </w:p>
        </w:tc>
      </w:tr>
      <w:tr w14:paraId="2E5C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62" w:type="dxa"/>
            <w:vAlign w:val="center"/>
          </w:tcPr>
          <w:p w14:paraId="6940D92C">
            <w:pPr>
              <w:spacing w:line="276" w:lineRule="auto"/>
              <w:rPr>
                <w:rFonts w:ascii="宋体" w:hAnsi="宋体"/>
                <w:sz w:val="24"/>
              </w:rPr>
            </w:pPr>
          </w:p>
        </w:tc>
        <w:tc>
          <w:tcPr>
            <w:tcW w:w="3071" w:type="dxa"/>
            <w:gridSpan w:val="3"/>
            <w:vAlign w:val="center"/>
          </w:tcPr>
          <w:p w14:paraId="77D859DA">
            <w:pPr>
              <w:spacing w:line="276" w:lineRule="auto"/>
              <w:rPr>
                <w:rFonts w:ascii="宋体" w:hAnsi="宋体"/>
                <w:sz w:val="24"/>
              </w:rPr>
            </w:pPr>
          </w:p>
        </w:tc>
        <w:tc>
          <w:tcPr>
            <w:tcW w:w="1969" w:type="dxa"/>
            <w:vAlign w:val="center"/>
          </w:tcPr>
          <w:p w14:paraId="41FBFD7A">
            <w:pPr>
              <w:spacing w:line="276" w:lineRule="auto"/>
              <w:rPr>
                <w:rFonts w:ascii="宋体" w:hAnsi="宋体"/>
                <w:sz w:val="24"/>
              </w:rPr>
            </w:pPr>
          </w:p>
        </w:tc>
        <w:tc>
          <w:tcPr>
            <w:tcW w:w="2296" w:type="dxa"/>
            <w:gridSpan w:val="2"/>
            <w:vAlign w:val="center"/>
          </w:tcPr>
          <w:p w14:paraId="7B37FFC4">
            <w:pPr>
              <w:spacing w:line="276" w:lineRule="auto"/>
              <w:rPr>
                <w:rFonts w:ascii="宋体" w:hAnsi="宋体"/>
                <w:sz w:val="24"/>
              </w:rPr>
            </w:pPr>
          </w:p>
        </w:tc>
      </w:tr>
      <w:tr w14:paraId="2E9A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762" w:type="dxa"/>
            <w:vAlign w:val="center"/>
          </w:tcPr>
          <w:p w14:paraId="1BDAB5D6">
            <w:pPr>
              <w:spacing w:line="276" w:lineRule="auto"/>
              <w:rPr>
                <w:rFonts w:ascii="宋体" w:hAnsi="宋体"/>
                <w:sz w:val="24"/>
              </w:rPr>
            </w:pPr>
          </w:p>
        </w:tc>
        <w:tc>
          <w:tcPr>
            <w:tcW w:w="3071" w:type="dxa"/>
            <w:gridSpan w:val="3"/>
            <w:vAlign w:val="center"/>
          </w:tcPr>
          <w:p w14:paraId="307E9C53">
            <w:pPr>
              <w:spacing w:line="276" w:lineRule="auto"/>
              <w:rPr>
                <w:rFonts w:ascii="宋体" w:hAnsi="宋体"/>
                <w:sz w:val="24"/>
              </w:rPr>
            </w:pPr>
          </w:p>
        </w:tc>
        <w:tc>
          <w:tcPr>
            <w:tcW w:w="1969" w:type="dxa"/>
            <w:vAlign w:val="center"/>
          </w:tcPr>
          <w:p w14:paraId="043FDDDE">
            <w:pPr>
              <w:spacing w:line="276" w:lineRule="auto"/>
              <w:rPr>
                <w:rFonts w:ascii="宋体" w:hAnsi="宋体"/>
                <w:sz w:val="24"/>
              </w:rPr>
            </w:pPr>
          </w:p>
        </w:tc>
        <w:tc>
          <w:tcPr>
            <w:tcW w:w="2296" w:type="dxa"/>
            <w:gridSpan w:val="2"/>
            <w:vAlign w:val="center"/>
          </w:tcPr>
          <w:p w14:paraId="212F4C97">
            <w:pPr>
              <w:spacing w:line="276" w:lineRule="auto"/>
              <w:rPr>
                <w:rFonts w:ascii="宋体" w:hAnsi="宋体"/>
                <w:sz w:val="24"/>
              </w:rPr>
            </w:pPr>
          </w:p>
        </w:tc>
      </w:tr>
      <w:tr w14:paraId="3361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62" w:type="dxa"/>
            <w:vAlign w:val="center"/>
          </w:tcPr>
          <w:p w14:paraId="65F89845">
            <w:pPr>
              <w:spacing w:line="276" w:lineRule="auto"/>
              <w:rPr>
                <w:rFonts w:ascii="宋体" w:hAnsi="宋体"/>
                <w:sz w:val="24"/>
              </w:rPr>
            </w:pPr>
          </w:p>
        </w:tc>
        <w:tc>
          <w:tcPr>
            <w:tcW w:w="3071" w:type="dxa"/>
            <w:gridSpan w:val="3"/>
            <w:vAlign w:val="center"/>
          </w:tcPr>
          <w:p w14:paraId="0CF67040">
            <w:pPr>
              <w:spacing w:line="276" w:lineRule="auto"/>
              <w:rPr>
                <w:rFonts w:ascii="宋体" w:hAnsi="宋体"/>
                <w:sz w:val="24"/>
              </w:rPr>
            </w:pPr>
          </w:p>
        </w:tc>
        <w:tc>
          <w:tcPr>
            <w:tcW w:w="1969" w:type="dxa"/>
            <w:vAlign w:val="center"/>
          </w:tcPr>
          <w:p w14:paraId="653D1147">
            <w:pPr>
              <w:spacing w:line="276" w:lineRule="auto"/>
              <w:rPr>
                <w:rFonts w:ascii="宋体" w:hAnsi="宋体"/>
                <w:sz w:val="24"/>
              </w:rPr>
            </w:pPr>
          </w:p>
        </w:tc>
        <w:tc>
          <w:tcPr>
            <w:tcW w:w="2296" w:type="dxa"/>
            <w:gridSpan w:val="2"/>
            <w:vAlign w:val="center"/>
          </w:tcPr>
          <w:p w14:paraId="72CCBC50">
            <w:pPr>
              <w:spacing w:line="276" w:lineRule="auto"/>
              <w:rPr>
                <w:rFonts w:ascii="宋体" w:hAnsi="宋体"/>
                <w:sz w:val="24"/>
              </w:rPr>
            </w:pPr>
          </w:p>
        </w:tc>
      </w:tr>
      <w:tr w14:paraId="6F00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762" w:type="dxa"/>
            <w:vAlign w:val="center"/>
          </w:tcPr>
          <w:p w14:paraId="3447BE6B">
            <w:pPr>
              <w:spacing w:line="276" w:lineRule="auto"/>
              <w:rPr>
                <w:rFonts w:ascii="宋体" w:hAnsi="宋体"/>
                <w:sz w:val="24"/>
              </w:rPr>
            </w:pPr>
          </w:p>
        </w:tc>
        <w:tc>
          <w:tcPr>
            <w:tcW w:w="3071" w:type="dxa"/>
            <w:gridSpan w:val="3"/>
            <w:vAlign w:val="center"/>
          </w:tcPr>
          <w:p w14:paraId="3F60D05C">
            <w:pPr>
              <w:spacing w:line="276" w:lineRule="auto"/>
              <w:rPr>
                <w:rFonts w:ascii="宋体" w:hAnsi="宋体"/>
                <w:sz w:val="24"/>
              </w:rPr>
            </w:pPr>
          </w:p>
        </w:tc>
        <w:tc>
          <w:tcPr>
            <w:tcW w:w="1969" w:type="dxa"/>
            <w:vAlign w:val="center"/>
          </w:tcPr>
          <w:p w14:paraId="002629D3">
            <w:pPr>
              <w:spacing w:line="276" w:lineRule="auto"/>
              <w:rPr>
                <w:rFonts w:ascii="宋体" w:hAnsi="宋体"/>
                <w:sz w:val="24"/>
              </w:rPr>
            </w:pPr>
          </w:p>
        </w:tc>
        <w:tc>
          <w:tcPr>
            <w:tcW w:w="2296" w:type="dxa"/>
            <w:gridSpan w:val="2"/>
            <w:vAlign w:val="center"/>
          </w:tcPr>
          <w:p w14:paraId="531F334E">
            <w:pPr>
              <w:spacing w:line="276" w:lineRule="auto"/>
              <w:rPr>
                <w:rFonts w:ascii="宋体" w:hAnsi="宋体"/>
                <w:sz w:val="24"/>
              </w:rPr>
            </w:pPr>
          </w:p>
        </w:tc>
      </w:tr>
      <w:tr w14:paraId="7F2D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762" w:type="dxa"/>
            <w:vAlign w:val="center"/>
          </w:tcPr>
          <w:p w14:paraId="73A228BE">
            <w:pPr>
              <w:spacing w:line="276" w:lineRule="auto"/>
              <w:rPr>
                <w:rFonts w:ascii="宋体" w:hAnsi="宋体"/>
                <w:sz w:val="24"/>
              </w:rPr>
            </w:pPr>
          </w:p>
        </w:tc>
        <w:tc>
          <w:tcPr>
            <w:tcW w:w="3071" w:type="dxa"/>
            <w:gridSpan w:val="3"/>
            <w:vAlign w:val="center"/>
          </w:tcPr>
          <w:p w14:paraId="2F020439">
            <w:pPr>
              <w:spacing w:line="276" w:lineRule="auto"/>
              <w:rPr>
                <w:rFonts w:ascii="宋体" w:hAnsi="宋体"/>
                <w:sz w:val="24"/>
              </w:rPr>
            </w:pPr>
          </w:p>
        </w:tc>
        <w:tc>
          <w:tcPr>
            <w:tcW w:w="1969" w:type="dxa"/>
            <w:vAlign w:val="center"/>
          </w:tcPr>
          <w:p w14:paraId="7B68DAA4">
            <w:pPr>
              <w:spacing w:line="276" w:lineRule="auto"/>
              <w:rPr>
                <w:rFonts w:ascii="宋体" w:hAnsi="宋体"/>
                <w:sz w:val="24"/>
              </w:rPr>
            </w:pPr>
          </w:p>
        </w:tc>
        <w:tc>
          <w:tcPr>
            <w:tcW w:w="2296" w:type="dxa"/>
            <w:gridSpan w:val="2"/>
            <w:vAlign w:val="center"/>
          </w:tcPr>
          <w:p w14:paraId="0098C0EA">
            <w:pPr>
              <w:spacing w:line="276" w:lineRule="auto"/>
              <w:rPr>
                <w:rFonts w:ascii="宋体" w:hAnsi="宋体"/>
                <w:sz w:val="24"/>
              </w:rPr>
            </w:pPr>
          </w:p>
        </w:tc>
      </w:tr>
      <w:tr w14:paraId="48C8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762" w:type="dxa"/>
            <w:vAlign w:val="center"/>
          </w:tcPr>
          <w:p w14:paraId="10295BC2">
            <w:pPr>
              <w:spacing w:line="276" w:lineRule="auto"/>
              <w:rPr>
                <w:rFonts w:ascii="宋体" w:hAnsi="宋体"/>
                <w:sz w:val="24"/>
              </w:rPr>
            </w:pPr>
          </w:p>
        </w:tc>
        <w:tc>
          <w:tcPr>
            <w:tcW w:w="3071" w:type="dxa"/>
            <w:gridSpan w:val="3"/>
            <w:vAlign w:val="center"/>
          </w:tcPr>
          <w:p w14:paraId="1DB1DAA6">
            <w:pPr>
              <w:spacing w:line="276" w:lineRule="auto"/>
              <w:rPr>
                <w:rFonts w:ascii="宋体" w:hAnsi="宋体"/>
                <w:sz w:val="24"/>
              </w:rPr>
            </w:pPr>
          </w:p>
        </w:tc>
        <w:tc>
          <w:tcPr>
            <w:tcW w:w="1969" w:type="dxa"/>
            <w:vAlign w:val="center"/>
          </w:tcPr>
          <w:p w14:paraId="4B1DDC7C">
            <w:pPr>
              <w:spacing w:line="276" w:lineRule="auto"/>
              <w:rPr>
                <w:rFonts w:ascii="宋体" w:hAnsi="宋体"/>
                <w:sz w:val="24"/>
              </w:rPr>
            </w:pPr>
          </w:p>
        </w:tc>
        <w:tc>
          <w:tcPr>
            <w:tcW w:w="2296" w:type="dxa"/>
            <w:gridSpan w:val="2"/>
            <w:vAlign w:val="center"/>
          </w:tcPr>
          <w:p w14:paraId="53A05424">
            <w:pPr>
              <w:spacing w:line="276" w:lineRule="auto"/>
              <w:rPr>
                <w:rFonts w:ascii="宋体" w:hAnsi="宋体"/>
                <w:sz w:val="24"/>
              </w:rPr>
            </w:pPr>
          </w:p>
        </w:tc>
      </w:tr>
    </w:tbl>
    <w:p w14:paraId="5B7145F1">
      <w:pPr>
        <w:widowControl/>
        <w:jc w:val="left"/>
        <w:rPr>
          <w:rFonts w:eastAsiaTheme="minorEastAsia"/>
          <w:sz w:val="24"/>
        </w:rPr>
      </w:pPr>
    </w:p>
    <w:p w14:paraId="239527C9">
      <w:pPr>
        <w:widowControl/>
        <w:jc w:val="left"/>
        <w:rPr>
          <w:rFonts w:eastAsiaTheme="minorEastAsia"/>
          <w:sz w:val="24"/>
        </w:rPr>
      </w:pPr>
      <w:r>
        <w:rPr>
          <w:rFonts w:eastAsiaTheme="minorEastAsia"/>
          <w:sz w:val="24"/>
        </w:rPr>
        <w:br w:type="page"/>
      </w:r>
    </w:p>
    <w:p w14:paraId="2C241FD0">
      <w:pPr>
        <w:tabs>
          <w:tab w:val="left" w:pos="360"/>
        </w:tabs>
        <w:snapToGrid w:val="0"/>
        <w:spacing w:line="360" w:lineRule="auto"/>
        <w:outlineLvl w:val="1"/>
        <w:rPr>
          <w:rFonts w:eastAsiaTheme="minorEastAsia"/>
          <w:sz w:val="24"/>
        </w:rPr>
      </w:pPr>
      <w:bookmarkStart w:id="2687" w:name="OLE_LINK102"/>
      <w:r>
        <w:rPr>
          <w:rFonts w:hint="eastAsia" w:eastAsiaTheme="minorEastAsia"/>
          <w:sz w:val="24"/>
        </w:rPr>
        <w:t>15 主要项目管理人员简历表</w:t>
      </w:r>
    </w:p>
    <w:p w14:paraId="00E54795">
      <w:pPr>
        <w:spacing w:line="276" w:lineRule="auto"/>
        <w:ind w:left="553" w:right="-55" w:rightChars="-26" w:firstLine="480" w:firstLineChars="200"/>
        <w:rPr>
          <w:rFonts w:ascii="宋体" w:hAnsi="宋体"/>
          <w:sz w:val="24"/>
        </w:rPr>
      </w:pPr>
      <w:r>
        <w:rPr>
          <w:rFonts w:hint="eastAsia" w:ascii="宋体" w:hAnsi="宋体"/>
          <w:sz w:val="24"/>
        </w:rPr>
        <w:t>主要项目管理人员指项目副经理、技术负责人、合同商务负责人、专职安全生产管理人员等岗位人员。应附资格证书、身份证、职称证、学历证复印件，专职安全生产管理人员应附安全生产考核合格证书，主要业绩须附合同协议书。</w:t>
      </w:r>
    </w:p>
    <w:tbl>
      <w:tblPr>
        <w:tblStyle w:val="49"/>
        <w:tblW w:w="8956" w:type="dxa"/>
        <w:tblInd w:w="6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2082"/>
        <w:gridCol w:w="2082"/>
        <w:gridCol w:w="2710"/>
      </w:tblGrid>
      <w:tr w14:paraId="57D5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082" w:type="dxa"/>
            <w:vAlign w:val="center"/>
          </w:tcPr>
          <w:p w14:paraId="76F7CA82">
            <w:pPr>
              <w:spacing w:line="276" w:lineRule="auto"/>
              <w:rPr>
                <w:rFonts w:ascii="宋体" w:hAnsi="宋体"/>
                <w:sz w:val="24"/>
              </w:rPr>
            </w:pPr>
            <w:r>
              <w:rPr>
                <w:rFonts w:hint="eastAsia" w:ascii="宋体" w:hAnsi="宋体"/>
                <w:sz w:val="24"/>
              </w:rPr>
              <w:t>岗位名称</w:t>
            </w:r>
          </w:p>
        </w:tc>
        <w:tc>
          <w:tcPr>
            <w:tcW w:w="6874" w:type="dxa"/>
            <w:gridSpan w:val="3"/>
            <w:vAlign w:val="center"/>
          </w:tcPr>
          <w:p w14:paraId="1B20E3F4">
            <w:pPr>
              <w:spacing w:line="276" w:lineRule="auto"/>
              <w:rPr>
                <w:rFonts w:ascii="宋体" w:hAnsi="宋体"/>
                <w:sz w:val="24"/>
              </w:rPr>
            </w:pPr>
          </w:p>
        </w:tc>
      </w:tr>
      <w:tr w14:paraId="19A9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082" w:type="dxa"/>
            <w:vAlign w:val="center"/>
          </w:tcPr>
          <w:p w14:paraId="3CD746D0">
            <w:pPr>
              <w:spacing w:line="276" w:lineRule="auto"/>
              <w:rPr>
                <w:rFonts w:ascii="宋体" w:hAnsi="宋体"/>
                <w:sz w:val="24"/>
              </w:rPr>
            </w:pPr>
            <w:r>
              <w:rPr>
                <w:rFonts w:hint="eastAsia" w:ascii="宋体" w:hAnsi="宋体"/>
                <w:sz w:val="24"/>
              </w:rPr>
              <w:t>姓名</w:t>
            </w:r>
          </w:p>
        </w:tc>
        <w:tc>
          <w:tcPr>
            <w:tcW w:w="2082" w:type="dxa"/>
            <w:vAlign w:val="center"/>
          </w:tcPr>
          <w:p w14:paraId="29C4738E">
            <w:pPr>
              <w:spacing w:line="276" w:lineRule="auto"/>
              <w:rPr>
                <w:rFonts w:ascii="宋体" w:hAnsi="宋体"/>
                <w:sz w:val="24"/>
              </w:rPr>
            </w:pPr>
          </w:p>
        </w:tc>
        <w:tc>
          <w:tcPr>
            <w:tcW w:w="2082" w:type="dxa"/>
            <w:vAlign w:val="center"/>
          </w:tcPr>
          <w:p w14:paraId="7091C7D4">
            <w:pPr>
              <w:spacing w:line="276" w:lineRule="auto"/>
              <w:rPr>
                <w:rFonts w:ascii="宋体" w:hAnsi="宋体"/>
                <w:sz w:val="24"/>
              </w:rPr>
            </w:pPr>
            <w:r>
              <w:rPr>
                <w:rFonts w:hint="eastAsia" w:ascii="宋体" w:hAnsi="宋体"/>
                <w:sz w:val="24"/>
              </w:rPr>
              <w:t>年    龄</w:t>
            </w:r>
          </w:p>
        </w:tc>
        <w:tc>
          <w:tcPr>
            <w:tcW w:w="2710" w:type="dxa"/>
            <w:vAlign w:val="center"/>
          </w:tcPr>
          <w:p w14:paraId="23AC0787">
            <w:pPr>
              <w:spacing w:line="276" w:lineRule="auto"/>
              <w:rPr>
                <w:rFonts w:ascii="宋体" w:hAnsi="宋体"/>
                <w:sz w:val="24"/>
              </w:rPr>
            </w:pPr>
          </w:p>
        </w:tc>
      </w:tr>
      <w:tr w14:paraId="04E5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082" w:type="dxa"/>
            <w:vAlign w:val="center"/>
          </w:tcPr>
          <w:p w14:paraId="19C98566">
            <w:pPr>
              <w:spacing w:line="276" w:lineRule="auto"/>
              <w:rPr>
                <w:rFonts w:ascii="宋体" w:hAnsi="宋体"/>
                <w:sz w:val="24"/>
              </w:rPr>
            </w:pPr>
            <w:r>
              <w:rPr>
                <w:rFonts w:hint="eastAsia" w:ascii="宋体" w:hAnsi="宋体"/>
                <w:sz w:val="24"/>
              </w:rPr>
              <w:t>性别</w:t>
            </w:r>
          </w:p>
        </w:tc>
        <w:tc>
          <w:tcPr>
            <w:tcW w:w="2082" w:type="dxa"/>
            <w:vAlign w:val="center"/>
          </w:tcPr>
          <w:p w14:paraId="630F5F10">
            <w:pPr>
              <w:spacing w:line="276" w:lineRule="auto"/>
              <w:rPr>
                <w:rFonts w:ascii="宋体" w:hAnsi="宋体"/>
                <w:sz w:val="24"/>
              </w:rPr>
            </w:pPr>
          </w:p>
        </w:tc>
        <w:tc>
          <w:tcPr>
            <w:tcW w:w="2082" w:type="dxa"/>
            <w:vAlign w:val="center"/>
          </w:tcPr>
          <w:p w14:paraId="5FBECDD0">
            <w:pPr>
              <w:spacing w:line="276" w:lineRule="auto"/>
              <w:rPr>
                <w:rFonts w:ascii="宋体" w:hAnsi="宋体"/>
                <w:sz w:val="24"/>
              </w:rPr>
            </w:pPr>
            <w:r>
              <w:rPr>
                <w:rFonts w:hint="eastAsia" w:ascii="宋体" w:hAnsi="宋体"/>
                <w:sz w:val="24"/>
              </w:rPr>
              <w:t>毕业学校</w:t>
            </w:r>
          </w:p>
        </w:tc>
        <w:tc>
          <w:tcPr>
            <w:tcW w:w="2710" w:type="dxa"/>
            <w:vAlign w:val="center"/>
          </w:tcPr>
          <w:p w14:paraId="35EA9F12">
            <w:pPr>
              <w:spacing w:line="276" w:lineRule="auto"/>
              <w:rPr>
                <w:rFonts w:ascii="宋体" w:hAnsi="宋体"/>
                <w:sz w:val="24"/>
              </w:rPr>
            </w:pPr>
          </w:p>
        </w:tc>
      </w:tr>
      <w:tr w14:paraId="5547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082" w:type="dxa"/>
            <w:vAlign w:val="center"/>
          </w:tcPr>
          <w:p w14:paraId="6C092F12">
            <w:pPr>
              <w:spacing w:line="276" w:lineRule="auto"/>
              <w:rPr>
                <w:rFonts w:ascii="宋体" w:hAnsi="宋体"/>
                <w:sz w:val="24"/>
              </w:rPr>
            </w:pPr>
            <w:r>
              <w:rPr>
                <w:rFonts w:hint="eastAsia" w:ascii="宋体" w:hAnsi="宋体"/>
                <w:sz w:val="24"/>
              </w:rPr>
              <w:t>学历和专业</w:t>
            </w:r>
          </w:p>
        </w:tc>
        <w:tc>
          <w:tcPr>
            <w:tcW w:w="2082" w:type="dxa"/>
            <w:vAlign w:val="center"/>
          </w:tcPr>
          <w:p w14:paraId="375FC405">
            <w:pPr>
              <w:spacing w:line="276" w:lineRule="auto"/>
              <w:rPr>
                <w:rFonts w:ascii="宋体" w:hAnsi="宋体"/>
                <w:sz w:val="24"/>
              </w:rPr>
            </w:pPr>
          </w:p>
        </w:tc>
        <w:tc>
          <w:tcPr>
            <w:tcW w:w="2082" w:type="dxa"/>
            <w:vAlign w:val="center"/>
          </w:tcPr>
          <w:p w14:paraId="6FEFBEAB">
            <w:pPr>
              <w:spacing w:line="276" w:lineRule="auto"/>
              <w:rPr>
                <w:rFonts w:ascii="宋体" w:hAnsi="宋体"/>
                <w:sz w:val="24"/>
              </w:rPr>
            </w:pPr>
            <w:r>
              <w:rPr>
                <w:rFonts w:hint="eastAsia" w:ascii="宋体" w:hAnsi="宋体"/>
                <w:sz w:val="24"/>
              </w:rPr>
              <w:t>毕业时间</w:t>
            </w:r>
          </w:p>
        </w:tc>
        <w:tc>
          <w:tcPr>
            <w:tcW w:w="2710" w:type="dxa"/>
            <w:vAlign w:val="center"/>
          </w:tcPr>
          <w:p w14:paraId="5B729191">
            <w:pPr>
              <w:spacing w:line="276" w:lineRule="auto"/>
              <w:rPr>
                <w:rFonts w:ascii="宋体" w:hAnsi="宋体"/>
                <w:sz w:val="24"/>
              </w:rPr>
            </w:pPr>
          </w:p>
        </w:tc>
      </w:tr>
      <w:tr w14:paraId="31A0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82" w:type="dxa"/>
            <w:vAlign w:val="center"/>
          </w:tcPr>
          <w:p w14:paraId="2C669712">
            <w:pPr>
              <w:spacing w:line="276" w:lineRule="auto"/>
              <w:rPr>
                <w:rFonts w:ascii="宋体" w:hAnsi="宋体"/>
                <w:sz w:val="24"/>
              </w:rPr>
            </w:pPr>
            <w:r>
              <w:rPr>
                <w:rFonts w:hint="eastAsia" w:ascii="宋体" w:hAnsi="宋体"/>
                <w:sz w:val="24"/>
              </w:rPr>
              <w:t>拥有的执业资格</w:t>
            </w:r>
          </w:p>
        </w:tc>
        <w:tc>
          <w:tcPr>
            <w:tcW w:w="2082" w:type="dxa"/>
            <w:vAlign w:val="center"/>
          </w:tcPr>
          <w:p w14:paraId="76BE5ED5">
            <w:pPr>
              <w:spacing w:line="276" w:lineRule="auto"/>
              <w:rPr>
                <w:rFonts w:ascii="宋体" w:hAnsi="宋体"/>
                <w:sz w:val="24"/>
              </w:rPr>
            </w:pPr>
          </w:p>
        </w:tc>
        <w:tc>
          <w:tcPr>
            <w:tcW w:w="2082" w:type="dxa"/>
            <w:vAlign w:val="center"/>
          </w:tcPr>
          <w:p w14:paraId="004914A8">
            <w:pPr>
              <w:spacing w:line="276" w:lineRule="auto"/>
              <w:rPr>
                <w:rFonts w:ascii="宋体" w:hAnsi="宋体"/>
                <w:sz w:val="24"/>
              </w:rPr>
            </w:pPr>
            <w:r>
              <w:rPr>
                <w:rFonts w:hint="eastAsia" w:ascii="宋体" w:hAnsi="宋体"/>
                <w:sz w:val="24"/>
              </w:rPr>
              <w:t>专业职称</w:t>
            </w:r>
          </w:p>
        </w:tc>
        <w:tc>
          <w:tcPr>
            <w:tcW w:w="2710" w:type="dxa"/>
            <w:vAlign w:val="center"/>
          </w:tcPr>
          <w:p w14:paraId="0EAA2D80">
            <w:pPr>
              <w:spacing w:line="276" w:lineRule="auto"/>
              <w:rPr>
                <w:rFonts w:ascii="宋体" w:hAnsi="宋体"/>
                <w:sz w:val="24"/>
              </w:rPr>
            </w:pPr>
          </w:p>
        </w:tc>
      </w:tr>
      <w:tr w14:paraId="5F71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082" w:type="dxa"/>
            <w:vAlign w:val="center"/>
          </w:tcPr>
          <w:p w14:paraId="6E5EE230">
            <w:pPr>
              <w:spacing w:line="276" w:lineRule="auto"/>
              <w:rPr>
                <w:rFonts w:ascii="宋体" w:hAnsi="宋体"/>
                <w:sz w:val="24"/>
              </w:rPr>
            </w:pPr>
            <w:r>
              <w:rPr>
                <w:rFonts w:hint="eastAsia" w:ascii="宋体" w:hAnsi="宋体"/>
                <w:sz w:val="24"/>
              </w:rPr>
              <w:t>执业资格证书编号</w:t>
            </w:r>
          </w:p>
        </w:tc>
        <w:tc>
          <w:tcPr>
            <w:tcW w:w="2082" w:type="dxa"/>
            <w:vAlign w:val="center"/>
          </w:tcPr>
          <w:p w14:paraId="491849B1">
            <w:pPr>
              <w:spacing w:line="276" w:lineRule="auto"/>
              <w:rPr>
                <w:rFonts w:ascii="宋体" w:hAnsi="宋体"/>
                <w:sz w:val="24"/>
              </w:rPr>
            </w:pPr>
          </w:p>
        </w:tc>
        <w:tc>
          <w:tcPr>
            <w:tcW w:w="2082" w:type="dxa"/>
            <w:vAlign w:val="center"/>
          </w:tcPr>
          <w:p w14:paraId="43CFE7B0">
            <w:pPr>
              <w:spacing w:line="276" w:lineRule="auto"/>
              <w:rPr>
                <w:rFonts w:ascii="宋体" w:hAnsi="宋体"/>
                <w:sz w:val="24"/>
              </w:rPr>
            </w:pPr>
            <w:r>
              <w:rPr>
                <w:rFonts w:hint="eastAsia" w:ascii="宋体" w:hAnsi="宋体"/>
                <w:sz w:val="24"/>
              </w:rPr>
              <w:t>工作年限</w:t>
            </w:r>
          </w:p>
        </w:tc>
        <w:tc>
          <w:tcPr>
            <w:tcW w:w="2710" w:type="dxa"/>
            <w:vAlign w:val="center"/>
          </w:tcPr>
          <w:p w14:paraId="19F8235B">
            <w:pPr>
              <w:spacing w:line="276" w:lineRule="auto"/>
              <w:rPr>
                <w:rFonts w:ascii="宋体" w:hAnsi="宋体"/>
                <w:sz w:val="24"/>
              </w:rPr>
            </w:pPr>
          </w:p>
        </w:tc>
      </w:tr>
      <w:tr w14:paraId="5126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4" w:hRule="atLeast"/>
        </w:trPr>
        <w:tc>
          <w:tcPr>
            <w:tcW w:w="2082" w:type="dxa"/>
            <w:textDirection w:val="tbRlV"/>
            <w:vAlign w:val="center"/>
          </w:tcPr>
          <w:p w14:paraId="110F7C33">
            <w:pPr>
              <w:spacing w:line="276" w:lineRule="auto"/>
              <w:ind w:left="113" w:right="113"/>
              <w:rPr>
                <w:rFonts w:ascii="宋体" w:hAnsi="宋体"/>
                <w:sz w:val="24"/>
              </w:rPr>
            </w:pPr>
            <w:r>
              <w:rPr>
                <w:rFonts w:hint="eastAsia" w:ascii="宋体" w:hAnsi="宋体"/>
                <w:sz w:val="24"/>
              </w:rPr>
              <w:t>主要工作业绩及担任的主要工作</w:t>
            </w:r>
          </w:p>
        </w:tc>
        <w:tc>
          <w:tcPr>
            <w:tcW w:w="6874" w:type="dxa"/>
            <w:gridSpan w:val="3"/>
            <w:vAlign w:val="center"/>
          </w:tcPr>
          <w:p w14:paraId="1A1C77A3">
            <w:pPr>
              <w:spacing w:line="276" w:lineRule="auto"/>
              <w:rPr>
                <w:rFonts w:ascii="宋体" w:hAnsi="宋体"/>
                <w:sz w:val="24"/>
              </w:rPr>
            </w:pPr>
          </w:p>
        </w:tc>
      </w:tr>
      <w:bookmarkEnd w:id="2687"/>
    </w:tbl>
    <w:p w14:paraId="49C32E03">
      <w:pPr>
        <w:widowControl/>
        <w:jc w:val="left"/>
        <w:rPr>
          <w:rFonts w:eastAsiaTheme="minorEastAsia"/>
          <w:sz w:val="24"/>
        </w:rPr>
      </w:pPr>
    </w:p>
    <w:p w14:paraId="5FC90CBE">
      <w:pPr>
        <w:widowControl/>
        <w:jc w:val="left"/>
        <w:rPr>
          <w:rFonts w:eastAsiaTheme="minorEastAsia"/>
          <w:sz w:val="24"/>
        </w:rPr>
      </w:pPr>
      <w:r>
        <w:rPr>
          <w:rFonts w:eastAsiaTheme="minorEastAsia"/>
          <w:sz w:val="24"/>
        </w:rPr>
        <w:br w:type="page"/>
      </w:r>
    </w:p>
    <w:p w14:paraId="3EFAC531">
      <w:pPr>
        <w:tabs>
          <w:tab w:val="left" w:pos="360"/>
        </w:tabs>
        <w:snapToGrid w:val="0"/>
        <w:spacing w:line="360" w:lineRule="auto"/>
        <w:outlineLvl w:val="1"/>
        <w:rPr>
          <w:rFonts w:eastAsiaTheme="minorEastAsia"/>
          <w:sz w:val="24"/>
        </w:rPr>
      </w:pPr>
      <w:bookmarkStart w:id="2688" w:name="_Toc526596264"/>
      <w:bookmarkStart w:id="2689" w:name="_Toc106116018"/>
      <w:bookmarkStart w:id="2690" w:name="_Toc106206398"/>
      <w:r>
        <w:rPr>
          <w:rFonts w:hint="eastAsia" w:eastAsiaTheme="minorEastAsia"/>
          <w:sz w:val="24"/>
        </w:rPr>
        <w:t>16 各岗位人员配置人员一览表</w:t>
      </w:r>
      <w:bookmarkEnd w:id="2688"/>
      <w:bookmarkEnd w:id="2689"/>
      <w:bookmarkEnd w:id="2690"/>
    </w:p>
    <w:p w14:paraId="356BBF6B">
      <w:pPr>
        <w:pStyle w:val="84"/>
        <w:spacing w:line="276" w:lineRule="auto"/>
        <w:ind w:left="900" w:firstLine="480"/>
        <w:rPr>
          <w:rFonts w:ascii="宋体" w:hAnsi="宋体"/>
          <w:sz w:val="24"/>
          <w:szCs w:val="24"/>
        </w:rPr>
      </w:pPr>
    </w:p>
    <w:p w14:paraId="019B44D1">
      <w:pPr>
        <w:spacing w:line="276" w:lineRule="auto"/>
        <w:ind w:firstLine="482" w:firstLineChars="200"/>
        <w:rPr>
          <w:rFonts w:ascii="宋体" w:hAnsi="宋体"/>
          <w:b/>
          <w:bCs/>
          <w:sz w:val="24"/>
          <w:lang w:val="zh-CN"/>
        </w:rPr>
      </w:pPr>
      <w:r>
        <w:rPr>
          <w:rFonts w:hint="eastAsia" w:ascii="宋体" w:hAnsi="宋体"/>
          <w:b/>
          <w:bCs/>
          <w:sz w:val="24"/>
          <w:lang w:val="zh-CN"/>
        </w:rPr>
        <w:t>说明：</w:t>
      </w:r>
    </w:p>
    <w:p w14:paraId="3CABAA57">
      <w:pPr>
        <w:spacing w:line="276" w:lineRule="auto"/>
        <w:ind w:firstLine="482" w:firstLineChars="200"/>
        <w:rPr>
          <w:rFonts w:ascii="宋体" w:hAnsi="宋体"/>
          <w:b/>
          <w:bCs/>
          <w:sz w:val="24"/>
          <w:lang w:val="zh-CN"/>
        </w:rPr>
      </w:pPr>
      <w:r>
        <w:rPr>
          <w:rFonts w:hint="eastAsia" w:ascii="宋体" w:hAnsi="宋体"/>
          <w:b/>
          <w:bCs/>
          <w:sz w:val="24"/>
        </w:rPr>
        <w:t>1.</w:t>
      </w:r>
      <w:r>
        <w:rPr>
          <w:rFonts w:hint="eastAsia" w:ascii="宋体" w:hAnsi="宋体"/>
          <w:b/>
          <w:bCs/>
          <w:sz w:val="24"/>
          <w:lang w:val="zh-CN"/>
        </w:rPr>
        <w:t>人员配置各单位根据项目情况自行评估确定。</w:t>
      </w:r>
    </w:p>
    <w:p w14:paraId="20B2B016">
      <w:pPr>
        <w:spacing w:line="276" w:lineRule="auto"/>
        <w:ind w:firstLine="482" w:firstLineChars="200"/>
        <w:rPr>
          <w:rFonts w:ascii="宋体" w:hAnsi="宋体"/>
          <w:b/>
          <w:bCs/>
          <w:sz w:val="24"/>
          <w:lang w:val="zh-CN"/>
        </w:rPr>
      </w:pPr>
      <w:r>
        <w:rPr>
          <w:rFonts w:hint="eastAsia" w:ascii="宋体" w:hAnsi="宋体"/>
          <w:b/>
          <w:bCs/>
          <w:sz w:val="24"/>
        </w:rPr>
        <w:t>2.</w:t>
      </w:r>
      <w:r>
        <w:rPr>
          <w:rFonts w:hint="eastAsia" w:ascii="宋体" w:hAnsi="宋体"/>
          <w:b/>
          <w:bCs/>
          <w:sz w:val="24"/>
          <w:lang w:val="zh-CN"/>
        </w:rPr>
        <w:t>格式自拟</w:t>
      </w:r>
    </w:p>
    <w:p w14:paraId="021A1131">
      <w:pPr>
        <w:spacing w:line="276" w:lineRule="auto"/>
        <w:rPr>
          <w:rFonts w:ascii="宋体" w:hAnsi="宋体"/>
          <w:b/>
          <w:bCs/>
          <w:sz w:val="24"/>
        </w:rPr>
      </w:pPr>
    </w:p>
    <w:p w14:paraId="3D122612">
      <w:pPr>
        <w:spacing w:line="276" w:lineRule="auto"/>
        <w:rPr>
          <w:rFonts w:ascii="宋体" w:hAnsi="宋体"/>
          <w:b/>
          <w:bCs/>
          <w:sz w:val="24"/>
        </w:rPr>
      </w:pPr>
    </w:p>
    <w:p w14:paraId="7C4B4CE4">
      <w:pPr>
        <w:spacing w:line="276" w:lineRule="auto"/>
        <w:rPr>
          <w:rFonts w:ascii="宋体" w:hAnsi="宋体"/>
          <w:b/>
          <w:bCs/>
          <w:sz w:val="24"/>
        </w:rPr>
      </w:pPr>
    </w:p>
    <w:p w14:paraId="6FD1BB30">
      <w:pPr>
        <w:spacing w:line="276" w:lineRule="auto"/>
        <w:rPr>
          <w:rFonts w:ascii="宋体" w:hAnsi="宋体"/>
          <w:b/>
          <w:bCs/>
          <w:sz w:val="24"/>
        </w:rPr>
      </w:pPr>
    </w:p>
    <w:p w14:paraId="5C072416">
      <w:pPr>
        <w:adjustRightInd w:val="0"/>
        <w:snapToGrid w:val="0"/>
        <w:spacing w:before="25" w:after="25" w:line="276" w:lineRule="auto"/>
        <w:ind w:right="360" w:firstLine="480" w:firstLineChars="200"/>
        <w:rPr>
          <w:rFonts w:ascii="宋体" w:hAnsi="宋体"/>
          <w:sz w:val="24"/>
          <w:lang w:val="zh-CN"/>
        </w:rPr>
      </w:pPr>
      <w:r>
        <w:rPr>
          <w:rFonts w:hint="eastAsia" w:ascii="宋体" w:hAnsi="宋体"/>
          <w:sz w:val="24"/>
        </w:rPr>
        <w:t>供应商名称（加盖公章）</w:t>
      </w:r>
      <w:r>
        <w:rPr>
          <w:rFonts w:hint="eastAsia" w:ascii="宋体" w:hAnsi="宋体"/>
          <w:sz w:val="24"/>
          <w:lang w:val="zh-CN"/>
        </w:rPr>
        <w:t>：</w:t>
      </w:r>
      <w:r>
        <w:rPr>
          <w:rFonts w:hint="eastAsia" w:ascii="宋体" w:hAnsi="宋体"/>
          <w:sz w:val="24"/>
        </w:rPr>
        <w:t>______</w:t>
      </w:r>
    </w:p>
    <w:p w14:paraId="19003F61">
      <w:pPr>
        <w:spacing w:line="276" w:lineRule="auto"/>
        <w:ind w:firstLine="480" w:firstLineChars="200"/>
        <w:rPr>
          <w:rFonts w:ascii="宋体" w:hAnsi="宋体"/>
          <w:sz w:val="24"/>
          <w:szCs w:val="20"/>
        </w:rPr>
      </w:pPr>
      <w:r>
        <w:rPr>
          <w:rFonts w:hint="eastAsia" w:ascii="宋体" w:hAnsi="宋体"/>
          <w:sz w:val="24"/>
          <w:szCs w:val="20"/>
        </w:rPr>
        <w:t>日期：</w:t>
      </w:r>
      <w:r>
        <w:rPr>
          <w:rFonts w:hint="eastAsia" w:ascii="宋体" w:hAnsi="宋体"/>
          <w:sz w:val="24"/>
          <w:szCs w:val="20"/>
          <w:u w:val="single"/>
        </w:rPr>
        <w:t>___   _</w:t>
      </w:r>
      <w:r>
        <w:rPr>
          <w:rFonts w:hint="eastAsia" w:ascii="宋体" w:hAnsi="宋体"/>
          <w:sz w:val="24"/>
          <w:szCs w:val="20"/>
        </w:rPr>
        <w:t>年____月____日</w:t>
      </w:r>
    </w:p>
    <w:p w14:paraId="398C287B">
      <w:pPr>
        <w:widowControl/>
        <w:jc w:val="left"/>
        <w:rPr>
          <w:rFonts w:eastAsiaTheme="minorEastAsia"/>
          <w:sz w:val="24"/>
        </w:rPr>
      </w:pPr>
    </w:p>
    <w:p w14:paraId="50F9D205">
      <w:pPr>
        <w:widowControl/>
        <w:jc w:val="left"/>
        <w:rPr>
          <w:rFonts w:eastAsiaTheme="minorEastAsia"/>
          <w:sz w:val="24"/>
        </w:rPr>
      </w:pPr>
      <w:r>
        <w:rPr>
          <w:rFonts w:eastAsiaTheme="minorEastAsia"/>
          <w:sz w:val="24"/>
        </w:rPr>
        <w:br w:type="page"/>
      </w:r>
    </w:p>
    <w:p w14:paraId="1AFAF3C5">
      <w:pPr>
        <w:tabs>
          <w:tab w:val="left" w:pos="360"/>
        </w:tabs>
        <w:snapToGrid w:val="0"/>
        <w:spacing w:line="360" w:lineRule="auto"/>
        <w:outlineLvl w:val="1"/>
        <w:rPr>
          <w:rFonts w:eastAsiaTheme="minorEastAsia"/>
          <w:sz w:val="24"/>
        </w:rPr>
      </w:pPr>
      <w:bookmarkStart w:id="2691" w:name="_Toc106116019"/>
      <w:bookmarkStart w:id="2692" w:name="_Toc106206399"/>
      <w:bookmarkStart w:id="2693" w:name="_Toc414526936"/>
      <w:r>
        <w:rPr>
          <w:rFonts w:hint="eastAsia" w:eastAsiaTheme="minorEastAsia"/>
          <w:sz w:val="24"/>
        </w:rPr>
        <w:t>17 近五年（自2021年</w:t>
      </w:r>
      <w:r>
        <w:rPr>
          <w:rFonts w:eastAsiaTheme="minorEastAsia"/>
          <w:sz w:val="24"/>
        </w:rPr>
        <w:t>8</w:t>
      </w:r>
      <w:r>
        <w:rPr>
          <w:rFonts w:hint="eastAsia" w:eastAsiaTheme="minorEastAsia"/>
          <w:sz w:val="24"/>
        </w:rPr>
        <w:t>月1日至响应文件提交截止时间）类似工程情况一览表</w:t>
      </w:r>
      <w:bookmarkEnd w:id="2691"/>
      <w:bookmarkEnd w:id="2692"/>
    </w:p>
    <w:p w14:paraId="286679E6">
      <w:pPr>
        <w:spacing w:line="276" w:lineRule="auto"/>
        <w:rPr>
          <w:rFonts w:ascii="宋体" w:hAnsi="宋体"/>
          <w:b/>
          <w:bCs/>
          <w:sz w:val="28"/>
          <w:szCs w:val="28"/>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1079"/>
        <w:gridCol w:w="1365"/>
        <w:gridCol w:w="1446"/>
        <w:gridCol w:w="1260"/>
        <w:gridCol w:w="2512"/>
      </w:tblGrid>
      <w:tr w14:paraId="32D5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6" w:type="dxa"/>
            <w:vAlign w:val="center"/>
          </w:tcPr>
          <w:p w14:paraId="7E5F4245">
            <w:pPr>
              <w:spacing w:line="276" w:lineRule="auto"/>
              <w:rPr>
                <w:rFonts w:ascii="宋体" w:hAnsi="宋体" w:cs="Arial"/>
                <w:sz w:val="24"/>
                <w:szCs w:val="21"/>
              </w:rPr>
            </w:pPr>
            <w:r>
              <w:rPr>
                <w:rFonts w:hint="eastAsia" w:ascii="宋体" w:hAnsi="宋体" w:cs="Arial"/>
                <w:sz w:val="24"/>
                <w:szCs w:val="21"/>
              </w:rPr>
              <w:t>工程名称</w:t>
            </w:r>
          </w:p>
        </w:tc>
        <w:tc>
          <w:tcPr>
            <w:tcW w:w="7662" w:type="dxa"/>
            <w:gridSpan w:val="5"/>
            <w:vAlign w:val="center"/>
          </w:tcPr>
          <w:p w14:paraId="277E497A">
            <w:pPr>
              <w:spacing w:line="276" w:lineRule="auto"/>
              <w:rPr>
                <w:rFonts w:ascii="宋体" w:hAnsi="宋体" w:cs="Arial"/>
                <w:sz w:val="24"/>
                <w:szCs w:val="21"/>
              </w:rPr>
            </w:pPr>
          </w:p>
        </w:tc>
      </w:tr>
      <w:tr w14:paraId="463C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396" w:type="dxa"/>
            <w:vAlign w:val="center"/>
          </w:tcPr>
          <w:p w14:paraId="48E5284B">
            <w:pPr>
              <w:spacing w:line="276" w:lineRule="auto"/>
              <w:rPr>
                <w:rFonts w:ascii="宋体" w:hAnsi="宋体" w:cs="Arial"/>
                <w:sz w:val="24"/>
                <w:szCs w:val="21"/>
              </w:rPr>
            </w:pPr>
            <w:r>
              <w:rPr>
                <w:rFonts w:hint="eastAsia" w:ascii="宋体" w:hAnsi="宋体" w:cs="Arial"/>
                <w:sz w:val="24"/>
                <w:szCs w:val="21"/>
              </w:rPr>
              <w:t>公司名称</w:t>
            </w:r>
          </w:p>
        </w:tc>
        <w:tc>
          <w:tcPr>
            <w:tcW w:w="7662" w:type="dxa"/>
            <w:gridSpan w:val="5"/>
            <w:vAlign w:val="center"/>
          </w:tcPr>
          <w:p w14:paraId="1A478EC1">
            <w:pPr>
              <w:spacing w:line="276" w:lineRule="auto"/>
              <w:rPr>
                <w:rFonts w:ascii="宋体" w:hAnsi="宋体" w:cs="Arial"/>
                <w:sz w:val="24"/>
                <w:szCs w:val="21"/>
              </w:rPr>
            </w:pPr>
          </w:p>
        </w:tc>
      </w:tr>
      <w:tr w14:paraId="0CD1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0FF786FC">
            <w:pPr>
              <w:spacing w:line="276" w:lineRule="auto"/>
              <w:rPr>
                <w:rFonts w:ascii="宋体" w:hAnsi="宋体" w:cs="Arial"/>
                <w:sz w:val="24"/>
                <w:szCs w:val="21"/>
              </w:rPr>
            </w:pPr>
            <w:r>
              <w:rPr>
                <w:rFonts w:hint="eastAsia" w:ascii="宋体" w:hAnsi="宋体" w:cs="Arial"/>
                <w:sz w:val="24"/>
                <w:szCs w:val="21"/>
              </w:rPr>
              <w:t>建设单位</w:t>
            </w:r>
          </w:p>
        </w:tc>
        <w:tc>
          <w:tcPr>
            <w:tcW w:w="1079" w:type="dxa"/>
            <w:vAlign w:val="center"/>
          </w:tcPr>
          <w:p w14:paraId="26023AD4">
            <w:pPr>
              <w:spacing w:line="276" w:lineRule="auto"/>
              <w:rPr>
                <w:rFonts w:ascii="宋体" w:hAnsi="宋体" w:cs="Arial"/>
                <w:sz w:val="24"/>
                <w:szCs w:val="21"/>
              </w:rPr>
            </w:pPr>
            <w:r>
              <w:rPr>
                <w:rFonts w:hint="eastAsia" w:ascii="宋体" w:hAnsi="宋体" w:cs="Arial"/>
                <w:sz w:val="24"/>
                <w:szCs w:val="21"/>
              </w:rPr>
              <w:t>项目</w:t>
            </w:r>
          </w:p>
          <w:p w14:paraId="3E97A338">
            <w:pPr>
              <w:spacing w:line="276" w:lineRule="auto"/>
              <w:rPr>
                <w:rFonts w:ascii="宋体" w:hAnsi="宋体" w:cs="Arial"/>
                <w:sz w:val="24"/>
                <w:szCs w:val="21"/>
              </w:rPr>
            </w:pPr>
            <w:r>
              <w:rPr>
                <w:rFonts w:hint="eastAsia" w:ascii="宋体" w:hAnsi="宋体" w:cs="Arial"/>
                <w:sz w:val="24"/>
                <w:szCs w:val="21"/>
              </w:rPr>
              <w:t>名称</w:t>
            </w:r>
          </w:p>
        </w:tc>
        <w:tc>
          <w:tcPr>
            <w:tcW w:w="1365" w:type="dxa"/>
            <w:vAlign w:val="center"/>
          </w:tcPr>
          <w:p w14:paraId="5A5D6AC4">
            <w:pPr>
              <w:spacing w:line="276" w:lineRule="auto"/>
              <w:rPr>
                <w:rFonts w:ascii="宋体" w:hAnsi="宋体" w:cs="Arial"/>
                <w:sz w:val="24"/>
                <w:szCs w:val="21"/>
              </w:rPr>
            </w:pPr>
            <w:r>
              <w:rPr>
                <w:rFonts w:hint="eastAsia" w:ascii="宋体" w:hAnsi="宋体" w:cs="Arial"/>
                <w:sz w:val="24"/>
                <w:szCs w:val="21"/>
              </w:rPr>
              <w:t>建设规模</w:t>
            </w:r>
          </w:p>
        </w:tc>
        <w:tc>
          <w:tcPr>
            <w:tcW w:w="1446" w:type="dxa"/>
            <w:vAlign w:val="center"/>
          </w:tcPr>
          <w:p w14:paraId="4CD5CFB9">
            <w:pPr>
              <w:spacing w:line="276" w:lineRule="auto"/>
              <w:rPr>
                <w:rFonts w:ascii="宋体" w:hAnsi="宋体" w:cs="Arial"/>
                <w:sz w:val="24"/>
                <w:szCs w:val="21"/>
              </w:rPr>
            </w:pPr>
            <w:r>
              <w:rPr>
                <w:rFonts w:hint="eastAsia" w:ascii="宋体" w:hAnsi="宋体" w:cs="Arial"/>
                <w:sz w:val="24"/>
                <w:szCs w:val="21"/>
              </w:rPr>
              <w:t>开竣工日期</w:t>
            </w:r>
          </w:p>
        </w:tc>
        <w:tc>
          <w:tcPr>
            <w:tcW w:w="1260" w:type="dxa"/>
            <w:vAlign w:val="center"/>
          </w:tcPr>
          <w:p w14:paraId="418EC2F9">
            <w:pPr>
              <w:spacing w:line="276" w:lineRule="auto"/>
              <w:rPr>
                <w:rFonts w:ascii="宋体" w:hAnsi="宋体" w:cs="Arial"/>
                <w:sz w:val="24"/>
                <w:szCs w:val="21"/>
              </w:rPr>
            </w:pPr>
            <w:r>
              <w:rPr>
                <w:rFonts w:hint="eastAsia" w:ascii="宋体" w:hAnsi="宋体" w:cs="Arial"/>
                <w:sz w:val="24"/>
                <w:szCs w:val="21"/>
              </w:rPr>
              <w:t>合同价格（万元）</w:t>
            </w:r>
          </w:p>
        </w:tc>
        <w:tc>
          <w:tcPr>
            <w:tcW w:w="2512" w:type="dxa"/>
            <w:vAlign w:val="center"/>
          </w:tcPr>
          <w:p w14:paraId="1CDAB156">
            <w:pPr>
              <w:spacing w:line="276" w:lineRule="auto"/>
              <w:rPr>
                <w:rFonts w:ascii="宋体" w:hAnsi="宋体" w:cs="Arial"/>
                <w:sz w:val="24"/>
                <w:szCs w:val="21"/>
              </w:rPr>
            </w:pPr>
            <w:r>
              <w:rPr>
                <w:rFonts w:hint="eastAsia" w:ascii="宋体" w:hAnsi="宋体" w:cs="Arial"/>
                <w:sz w:val="24"/>
                <w:szCs w:val="21"/>
              </w:rPr>
              <w:t>工程类型</w:t>
            </w:r>
          </w:p>
        </w:tc>
      </w:tr>
      <w:tr w14:paraId="6E90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6D5BA185">
            <w:pPr>
              <w:spacing w:line="276" w:lineRule="auto"/>
              <w:rPr>
                <w:rFonts w:ascii="宋体" w:hAnsi="宋体" w:cs="Arial"/>
                <w:sz w:val="24"/>
                <w:szCs w:val="21"/>
              </w:rPr>
            </w:pPr>
          </w:p>
        </w:tc>
        <w:tc>
          <w:tcPr>
            <w:tcW w:w="1079" w:type="dxa"/>
            <w:vAlign w:val="center"/>
          </w:tcPr>
          <w:p w14:paraId="6F50545D">
            <w:pPr>
              <w:spacing w:line="276" w:lineRule="auto"/>
              <w:rPr>
                <w:rFonts w:ascii="宋体" w:hAnsi="宋体" w:cs="Arial"/>
                <w:sz w:val="24"/>
                <w:szCs w:val="21"/>
              </w:rPr>
            </w:pPr>
          </w:p>
        </w:tc>
        <w:tc>
          <w:tcPr>
            <w:tcW w:w="1365" w:type="dxa"/>
            <w:vAlign w:val="center"/>
          </w:tcPr>
          <w:p w14:paraId="77C16719">
            <w:pPr>
              <w:spacing w:line="276" w:lineRule="auto"/>
              <w:rPr>
                <w:rFonts w:ascii="宋体" w:hAnsi="宋体" w:cs="Arial"/>
                <w:sz w:val="24"/>
                <w:szCs w:val="21"/>
              </w:rPr>
            </w:pPr>
          </w:p>
        </w:tc>
        <w:tc>
          <w:tcPr>
            <w:tcW w:w="1446" w:type="dxa"/>
            <w:vAlign w:val="center"/>
          </w:tcPr>
          <w:p w14:paraId="519D18E6">
            <w:pPr>
              <w:spacing w:line="276" w:lineRule="auto"/>
              <w:rPr>
                <w:rFonts w:ascii="宋体" w:hAnsi="宋体" w:cs="Arial"/>
                <w:sz w:val="24"/>
                <w:szCs w:val="21"/>
              </w:rPr>
            </w:pPr>
          </w:p>
        </w:tc>
        <w:tc>
          <w:tcPr>
            <w:tcW w:w="1260" w:type="dxa"/>
            <w:vAlign w:val="center"/>
          </w:tcPr>
          <w:p w14:paraId="12D12246">
            <w:pPr>
              <w:spacing w:line="276" w:lineRule="auto"/>
              <w:rPr>
                <w:rFonts w:ascii="宋体" w:hAnsi="宋体" w:cs="Arial"/>
                <w:sz w:val="24"/>
                <w:szCs w:val="21"/>
              </w:rPr>
            </w:pPr>
          </w:p>
        </w:tc>
        <w:tc>
          <w:tcPr>
            <w:tcW w:w="2512" w:type="dxa"/>
            <w:vAlign w:val="center"/>
          </w:tcPr>
          <w:p w14:paraId="7C1C8E6C">
            <w:pPr>
              <w:spacing w:line="276" w:lineRule="auto"/>
              <w:rPr>
                <w:rFonts w:ascii="宋体" w:hAnsi="宋体" w:cs="Arial"/>
                <w:sz w:val="24"/>
                <w:szCs w:val="21"/>
              </w:rPr>
            </w:pPr>
          </w:p>
        </w:tc>
      </w:tr>
      <w:tr w14:paraId="3063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44D055F7">
            <w:pPr>
              <w:spacing w:line="276" w:lineRule="auto"/>
              <w:rPr>
                <w:rFonts w:ascii="宋体" w:hAnsi="宋体" w:cs="Arial"/>
                <w:sz w:val="24"/>
                <w:szCs w:val="21"/>
              </w:rPr>
            </w:pPr>
          </w:p>
        </w:tc>
        <w:tc>
          <w:tcPr>
            <w:tcW w:w="1079" w:type="dxa"/>
            <w:vAlign w:val="center"/>
          </w:tcPr>
          <w:p w14:paraId="077ECB9C">
            <w:pPr>
              <w:spacing w:line="276" w:lineRule="auto"/>
              <w:rPr>
                <w:rFonts w:ascii="宋体" w:hAnsi="宋体" w:cs="Arial"/>
                <w:sz w:val="24"/>
                <w:szCs w:val="21"/>
              </w:rPr>
            </w:pPr>
          </w:p>
        </w:tc>
        <w:tc>
          <w:tcPr>
            <w:tcW w:w="1365" w:type="dxa"/>
            <w:vAlign w:val="center"/>
          </w:tcPr>
          <w:p w14:paraId="2655E236">
            <w:pPr>
              <w:spacing w:line="276" w:lineRule="auto"/>
              <w:rPr>
                <w:rFonts w:ascii="宋体" w:hAnsi="宋体" w:cs="Arial"/>
                <w:sz w:val="24"/>
                <w:szCs w:val="21"/>
              </w:rPr>
            </w:pPr>
          </w:p>
        </w:tc>
        <w:tc>
          <w:tcPr>
            <w:tcW w:w="1446" w:type="dxa"/>
            <w:vAlign w:val="center"/>
          </w:tcPr>
          <w:p w14:paraId="47D3F07B">
            <w:pPr>
              <w:spacing w:line="276" w:lineRule="auto"/>
              <w:rPr>
                <w:rFonts w:ascii="宋体" w:hAnsi="宋体" w:cs="Arial"/>
                <w:sz w:val="24"/>
                <w:szCs w:val="21"/>
              </w:rPr>
            </w:pPr>
          </w:p>
        </w:tc>
        <w:tc>
          <w:tcPr>
            <w:tcW w:w="1260" w:type="dxa"/>
            <w:vAlign w:val="center"/>
          </w:tcPr>
          <w:p w14:paraId="28BD87BC">
            <w:pPr>
              <w:spacing w:line="276" w:lineRule="auto"/>
              <w:rPr>
                <w:rFonts w:ascii="宋体" w:hAnsi="宋体" w:cs="Arial"/>
                <w:sz w:val="24"/>
                <w:szCs w:val="21"/>
              </w:rPr>
            </w:pPr>
          </w:p>
        </w:tc>
        <w:tc>
          <w:tcPr>
            <w:tcW w:w="2512" w:type="dxa"/>
            <w:vAlign w:val="center"/>
          </w:tcPr>
          <w:p w14:paraId="0A0D041A">
            <w:pPr>
              <w:spacing w:line="276" w:lineRule="auto"/>
              <w:rPr>
                <w:rFonts w:ascii="宋体" w:hAnsi="宋体" w:cs="Arial"/>
                <w:sz w:val="24"/>
                <w:szCs w:val="21"/>
              </w:rPr>
            </w:pPr>
          </w:p>
        </w:tc>
      </w:tr>
      <w:tr w14:paraId="69BE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63FEDF61">
            <w:pPr>
              <w:spacing w:line="276" w:lineRule="auto"/>
              <w:rPr>
                <w:rFonts w:ascii="宋体" w:hAnsi="宋体" w:cs="Arial"/>
                <w:sz w:val="24"/>
                <w:szCs w:val="21"/>
              </w:rPr>
            </w:pPr>
          </w:p>
        </w:tc>
        <w:tc>
          <w:tcPr>
            <w:tcW w:w="1079" w:type="dxa"/>
            <w:vAlign w:val="center"/>
          </w:tcPr>
          <w:p w14:paraId="43CC6601">
            <w:pPr>
              <w:spacing w:line="276" w:lineRule="auto"/>
              <w:rPr>
                <w:rFonts w:ascii="宋体" w:hAnsi="宋体" w:cs="Arial"/>
                <w:sz w:val="24"/>
                <w:szCs w:val="21"/>
              </w:rPr>
            </w:pPr>
          </w:p>
        </w:tc>
        <w:tc>
          <w:tcPr>
            <w:tcW w:w="1365" w:type="dxa"/>
            <w:vAlign w:val="center"/>
          </w:tcPr>
          <w:p w14:paraId="1371FF12">
            <w:pPr>
              <w:spacing w:line="276" w:lineRule="auto"/>
              <w:rPr>
                <w:rFonts w:ascii="宋体" w:hAnsi="宋体" w:cs="Arial"/>
                <w:sz w:val="24"/>
                <w:szCs w:val="21"/>
              </w:rPr>
            </w:pPr>
          </w:p>
        </w:tc>
        <w:tc>
          <w:tcPr>
            <w:tcW w:w="1446" w:type="dxa"/>
            <w:vAlign w:val="center"/>
          </w:tcPr>
          <w:p w14:paraId="17530CB0">
            <w:pPr>
              <w:spacing w:line="276" w:lineRule="auto"/>
              <w:rPr>
                <w:rFonts w:ascii="宋体" w:hAnsi="宋体" w:cs="Arial"/>
                <w:sz w:val="24"/>
                <w:szCs w:val="21"/>
              </w:rPr>
            </w:pPr>
          </w:p>
        </w:tc>
        <w:tc>
          <w:tcPr>
            <w:tcW w:w="1260" w:type="dxa"/>
            <w:vAlign w:val="center"/>
          </w:tcPr>
          <w:p w14:paraId="681A89C9">
            <w:pPr>
              <w:spacing w:line="276" w:lineRule="auto"/>
              <w:rPr>
                <w:rFonts w:ascii="宋体" w:hAnsi="宋体" w:cs="Arial"/>
                <w:sz w:val="24"/>
                <w:szCs w:val="21"/>
              </w:rPr>
            </w:pPr>
          </w:p>
        </w:tc>
        <w:tc>
          <w:tcPr>
            <w:tcW w:w="2512" w:type="dxa"/>
            <w:vAlign w:val="center"/>
          </w:tcPr>
          <w:p w14:paraId="5D24D9A8">
            <w:pPr>
              <w:spacing w:line="276" w:lineRule="auto"/>
              <w:rPr>
                <w:rFonts w:ascii="宋体" w:hAnsi="宋体" w:cs="Arial"/>
                <w:sz w:val="24"/>
                <w:szCs w:val="21"/>
              </w:rPr>
            </w:pPr>
          </w:p>
        </w:tc>
      </w:tr>
      <w:tr w14:paraId="7D0D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5B08800B">
            <w:pPr>
              <w:spacing w:line="276" w:lineRule="auto"/>
              <w:rPr>
                <w:rFonts w:ascii="宋体" w:hAnsi="宋体" w:cs="Arial"/>
                <w:sz w:val="24"/>
                <w:szCs w:val="21"/>
              </w:rPr>
            </w:pPr>
          </w:p>
        </w:tc>
        <w:tc>
          <w:tcPr>
            <w:tcW w:w="1079" w:type="dxa"/>
            <w:vAlign w:val="center"/>
          </w:tcPr>
          <w:p w14:paraId="70250C1F">
            <w:pPr>
              <w:spacing w:line="276" w:lineRule="auto"/>
              <w:rPr>
                <w:rFonts w:ascii="宋体" w:hAnsi="宋体" w:cs="Arial"/>
                <w:sz w:val="24"/>
                <w:szCs w:val="21"/>
              </w:rPr>
            </w:pPr>
          </w:p>
        </w:tc>
        <w:tc>
          <w:tcPr>
            <w:tcW w:w="1365" w:type="dxa"/>
            <w:vAlign w:val="center"/>
          </w:tcPr>
          <w:p w14:paraId="584EF134">
            <w:pPr>
              <w:spacing w:line="276" w:lineRule="auto"/>
              <w:rPr>
                <w:rFonts w:ascii="宋体" w:hAnsi="宋体" w:cs="Arial"/>
                <w:sz w:val="24"/>
                <w:szCs w:val="21"/>
              </w:rPr>
            </w:pPr>
          </w:p>
        </w:tc>
        <w:tc>
          <w:tcPr>
            <w:tcW w:w="1446" w:type="dxa"/>
            <w:vAlign w:val="center"/>
          </w:tcPr>
          <w:p w14:paraId="6788401D">
            <w:pPr>
              <w:spacing w:line="276" w:lineRule="auto"/>
              <w:rPr>
                <w:rFonts w:ascii="宋体" w:hAnsi="宋体" w:cs="Arial"/>
                <w:sz w:val="24"/>
                <w:szCs w:val="21"/>
              </w:rPr>
            </w:pPr>
          </w:p>
        </w:tc>
        <w:tc>
          <w:tcPr>
            <w:tcW w:w="1260" w:type="dxa"/>
            <w:vAlign w:val="center"/>
          </w:tcPr>
          <w:p w14:paraId="71108BC6">
            <w:pPr>
              <w:spacing w:line="276" w:lineRule="auto"/>
              <w:rPr>
                <w:rFonts w:ascii="宋体" w:hAnsi="宋体" w:cs="Arial"/>
                <w:sz w:val="24"/>
                <w:szCs w:val="21"/>
              </w:rPr>
            </w:pPr>
          </w:p>
        </w:tc>
        <w:tc>
          <w:tcPr>
            <w:tcW w:w="2512" w:type="dxa"/>
            <w:vAlign w:val="center"/>
          </w:tcPr>
          <w:p w14:paraId="22CF12B5">
            <w:pPr>
              <w:spacing w:line="276" w:lineRule="auto"/>
              <w:rPr>
                <w:rFonts w:ascii="宋体" w:hAnsi="宋体" w:cs="Arial"/>
                <w:sz w:val="24"/>
                <w:szCs w:val="21"/>
              </w:rPr>
            </w:pPr>
          </w:p>
        </w:tc>
      </w:tr>
      <w:tr w14:paraId="004E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080B8C16">
            <w:pPr>
              <w:spacing w:line="276" w:lineRule="auto"/>
              <w:rPr>
                <w:rFonts w:ascii="宋体" w:hAnsi="宋体" w:cs="Arial"/>
                <w:sz w:val="24"/>
                <w:szCs w:val="21"/>
              </w:rPr>
            </w:pPr>
          </w:p>
        </w:tc>
        <w:tc>
          <w:tcPr>
            <w:tcW w:w="1079" w:type="dxa"/>
            <w:vAlign w:val="center"/>
          </w:tcPr>
          <w:p w14:paraId="3E09EB0E">
            <w:pPr>
              <w:spacing w:line="276" w:lineRule="auto"/>
              <w:rPr>
                <w:rFonts w:ascii="宋体" w:hAnsi="宋体" w:cs="Arial"/>
                <w:sz w:val="24"/>
                <w:szCs w:val="21"/>
              </w:rPr>
            </w:pPr>
          </w:p>
        </w:tc>
        <w:tc>
          <w:tcPr>
            <w:tcW w:w="1365" w:type="dxa"/>
            <w:vAlign w:val="center"/>
          </w:tcPr>
          <w:p w14:paraId="1D8B415E">
            <w:pPr>
              <w:spacing w:line="276" w:lineRule="auto"/>
              <w:rPr>
                <w:rFonts w:ascii="宋体" w:hAnsi="宋体" w:cs="Arial"/>
                <w:sz w:val="24"/>
                <w:szCs w:val="21"/>
              </w:rPr>
            </w:pPr>
          </w:p>
        </w:tc>
        <w:tc>
          <w:tcPr>
            <w:tcW w:w="1446" w:type="dxa"/>
            <w:vAlign w:val="center"/>
          </w:tcPr>
          <w:p w14:paraId="02577F5B">
            <w:pPr>
              <w:spacing w:line="276" w:lineRule="auto"/>
              <w:rPr>
                <w:rFonts w:ascii="宋体" w:hAnsi="宋体" w:cs="Arial"/>
                <w:sz w:val="24"/>
                <w:szCs w:val="21"/>
              </w:rPr>
            </w:pPr>
          </w:p>
        </w:tc>
        <w:tc>
          <w:tcPr>
            <w:tcW w:w="1260" w:type="dxa"/>
            <w:vAlign w:val="center"/>
          </w:tcPr>
          <w:p w14:paraId="71BD6F1E">
            <w:pPr>
              <w:spacing w:line="276" w:lineRule="auto"/>
              <w:rPr>
                <w:rFonts w:ascii="宋体" w:hAnsi="宋体" w:cs="Arial"/>
                <w:sz w:val="24"/>
                <w:szCs w:val="21"/>
              </w:rPr>
            </w:pPr>
          </w:p>
        </w:tc>
        <w:tc>
          <w:tcPr>
            <w:tcW w:w="2512" w:type="dxa"/>
            <w:vAlign w:val="center"/>
          </w:tcPr>
          <w:p w14:paraId="0B5CC06C">
            <w:pPr>
              <w:spacing w:line="276" w:lineRule="auto"/>
              <w:rPr>
                <w:rFonts w:ascii="宋体" w:hAnsi="宋体" w:cs="Arial"/>
                <w:sz w:val="24"/>
                <w:szCs w:val="21"/>
              </w:rPr>
            </w:pPr>
          </w:p>
        </w:tc>
      </w:tr>
      <w:tr w14:paraId="1C84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66C18F63">
            <w:pPr>
              <w:spacing w:line="276" w:lineRule="auto"/>
              <w:rPr>
                <w:rFonts w:ascii="宋体" w:hAnsi="宋体" w:cs="Arial"/>
                <w:sz w:val="24"/>
                <w:szCs w:val="21"/>
              </w:rPr>
            </w:pPr>
          </w:p>
        </w:tc>
        <w:tc>
          <w:tcPr>
            <w:tcW w:w="1079" w:type="dxa"/>
            <w:vAlign w:val="center"/>
          </w:tcPr>
          <w:p w14:paraId="2AA6B2B1">
            <w:pPr>
              <w:spacing w:line="276" w:lineRule="auto"/>
              <w:rPr>
                <w:rFonts w:ascii="宋体" w:hAnsi="宋体" w:cs="Arial"/>
                <w:sz w:val="24"/>
                <w:szCs w:val="21"/>
              </w:rPr>
            </w:pPr>
          </w:p>
        </w:tc>
        <w:tc>
          <w:tcPr>
            <w:tcW w:w="1365" w:type="dxa"/>
            <w:vAlign w:val="center"/>
          </w:tcPr>
          <w:p w14:paraId="5821FD7A">
            <w:pPr>
              <w:spacing w:line="276" w:lineRule="auto"/>
              <w:rPr>
                <w:rFonts w:ascii="宋体" w:hAnsi="宋体" w:cs="Arial"/>
                <w:sz w:val="24"/>
                <w:szCs w:val="21"/>
              </w:rPr>
            </w:pPr>
          </w:p>
        </w:tc>
        <w:tc>
          <w:tcPr>
            <w:tcW w:w="1446" w:type="dxa"/>
            <w:vAlign w:val="center"/>
          </w:tcPr>
          <w:p w14:paraId="2B060E9C">
            <w:pPr>
              <w:spacing w:line="276" w:lineRule="auto"/>
              <w:rPr>
                <w:rFonts w:ascii="宋体" w:hAnsi="宋体" w:cs="Arial"/>
                <w:sz w:val="24"/>
                <w:szCs w:val="21"/>
              </w:rPr>
            </w:pPr>
          </w:p>
        </w:tc>
        <w:tc>
          <w:tcPr>
            <w:tcW w:w="1260" w:type="dxa"/>
            <w:vAlign w:val="center"/>
          </w:tcPr>
          <w:p w14:paraId="226B2F9F">
            <w:pPr>
              <w:spacing w:line="276" w:lineRule="auto"/>
              <w:rPr>
                <w:rFonts w:ascii="宋体" w:hAnsi="宋体" w:cs="Arial"/>
                <w:sz w:val="24"/>
                <w:szCs w:val="21"/>
              </w:rPr>
            </w:pPr>
          </w:p>
        </w:tc>
        <w:tc>
          <w:tcPr>
            <w:tcW w:w="2512" w:type="dxa"/>
            <w:vAlign w:val="center"/>
          </w:tcPr>
          <w:p w14:paraId="050E9C0A">
            <w:pPr>
              <w:spacing w:line="276" w:lineRule="auto"/>
              <w:rPr>
                <w:rFonts w:ascii="宋体" w:hAnsi="宋体" w:cs="Arial"/>
                <w:sz w:val="24"/>
                <w:szCs w:val="21"/>
              </w:rPr>
            </w:pPr>
          </w:p>
        </w:tc>
      </w:tr>
      <w:tr w14:paraId="3947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396" w:type="dxa"/>
            <w:vAlign w:val="center"/>
          </w:tcPr>
          <w:p w14:paraId="31479D25">
            <w:pPr>
              <w:spacing w:line="276" w:lineRule="auto"/>
              <w:rPr>
                <w:rFonts w:ascii="宋体" w:hAnsi="宋体" w:cs="Arial"/>
                <w:sz w:val="24"/>
                <w:szCs w:val="21"/>
              </w:rPr>
            </w:pPr>
          </w:p>
        </w:tc>
        <w:tc>
          <w:tcPr>
            <w:tcW w:w="1079" w:type="dxa"/>
            <w:vAlign w:val="center"/>
          </w:tcPr>
          <w:p w14:paraId="23646BA9">
            <w:pPr>
              <w:spacing w:line="276" w:lineRule="auto"/>
              <w:rPr>
                <w:rFonts w:ascii="宋体" w:hAnsi="宋体" w:cs="Arial"/>
                <w:sz w:val="24"/>
                <w:szCs w:val="21"/>
              </w:rPr>
            </w:pPr>
          </w:p>
        </w:tc>
        <w:tc>
          <w:tcPr>
            <w:tcW w:w="1365" w:type="dxa"/>
            <w:vAlign w:val="center"/>
          </w:tcPr>
          <w:p w14:paraId="5E82F65A">
            <w:pPr>
              <w:spacing w:line="276" w:lineRule="auto"/>
              <w:rPr>
                <w:rFonts w:ascii="宋体" w:hAnsi="宋体" w:cs="Arial"/>
                <w:sz w:val="24"/>
                <w:szCs w:val="21"/>
              </w:rPr>
            </w:pPr>
          </w:p>
        </w:tc>
        <w:tc>
          <w:tcPr>
            <w:tcW w:w="1446" w:type="dxa"/>
            <w:vAlign w:val="center"/>
          </w:tcPr>
          <w:p w14:paraId="6131D13B">
            <w:pPr>
              <w:spacing w:line="276" w:lineRule="auto"/>
              <w:rPr>
                <w:rFonts w:ascii="宋体" w:hAnsi="宋体" w:cs="Arial"/>
                <w:sz w:val="24"/>
                <w:szCs w:val="21"/>
              </w:rPr>
            </w:pPr>
          </w:p>
        </w:tc>
        <w:tc>
          <w:tcPr>
            <w:tcW w:w="1260" w:type="dxa"/>
            <w:vAlign w:val="center"/>
          </w:tcPr>
          <w:p w14:paraId="4F34ABE9">
            <w:pPr>
              <w:spacing w:line="276" w:lineRule="auto"/>
              <w:rPr>
                <w:rFonts w:ascii="宋体" w:hAnsi="宋体" w:cs="Arial"/>
                <w:sz w:val="24"/>
                <w:szCs w:val="21"/>
              </w:rPr>
            </w:pPr>
          </w:p>
        </w:tc>
        <w:tc>
          <w:tcPr>
            <w:tcW w:w="2512" w:type="dxa"/>
            <w:vAlign w:val="center"/>
          </w:tcPr>
          <w:p w14:paraId="32B3DD91">
            <w:pPr>
              <w:spacing w:line="276" w:lineRule="auto"/>
              <w:rPr>
                <w:rFonts w:ascii="宋体" w:hAnsi="宋体" w:cs="Arial"/>
                <w:sz w:val="24"/>
                <w:szCs w:val="21"/>
              </w:rPr>
            </w:pPr>
          </w:p>
        </w:tc>
      </w:tr>
    </w:tbl>
    <w:p w14:paraId="11CE07E0">
      <w:pPr>
        <w:spacing w:line="276" w:lineRule="auto"/>
        <w:rPr>
          <w:rFonts w:ascii="宋体" w:hAnsi="宋体" w:cs="Arial"/>
          <w:b/>
          <w:szCs w:val="21"/>
        </w:rPr>
      </w:pPr>
    </w:p>
    <w:p w14:paraId="2810CD01">
      <w:pPr>
        <w:spacing w:line="276" w:lineRule="auto"/>
        <w:rPr>
          <w:rFonts w:ascii="宋体" w:hAnsi="宋体" w:cs="Arial"/>
          <w:b/>
          <w:szCs w:val="21"/>
        </w:rPr>
      </w:pPr>
      <w:r>
        <w:rPr>
          <w:rFonts w:hint="eastAsia" w:ascii="宋体" w:hAnsi="宋体" w:cs="Arial"/>
          <w:b/>
          <w:szCs w:val="21"/>
        </w:rPr>
        <w:t>注：</w:t>
      </w:r>
      <w:r>
        <w:rPr>
          <w:rFonts w:hint="eastAsia" w:ascii="宋体" w:hAnsi="宋体"/>
          <w:b/>
          <w:szCs w:val="21"/>
        </w:rPr>
        <w:t>1.供应商提供近五年（自2021年</w:t>
      </w:r>
      <w:r>
        <w:rPr>
          <w:rFonts w:ascii="宋体" w:hAnsi="宋体"/>
          <w:b/>
          <w:szCs w:val="21"/>
        </w:rPr>
        <w:t>8</w:t>
      </w:r>
      <w:r>
        <w:rPr>
          <w:rFonts w:hint="eastAsia" w:ascii="宋体" w:hAnsi="宋体"/>
          <w:b/>
          <w:szCs w:val="21"/>
        </w:rPr>
        <w:t xml:space="preserve">月1日至响应文件提交截止时间）业绩证明材料  </w:t>
      </w:r>
    </w:p>
    <w:p w14:paraId="279574C9">
      <w:pPr>
        <w:spacing w:line="276" w:lineRule="auto"/>
        <w:ind w:firstLine="422" w:firstLineChars="200"/>
        <w:rPr>
          <w:rFonts w:ascii="宋体" w:hAnsi="宋体"/>
          <w:b/>
          <w:szCs w:val="21"/>
        </w:rPr>
      </w:pPr>
      <w:r>
        <w:rPr>
          <w:rFonts w:hint="eastAsia" w:ascii="宋体" w:hAnsi="宋体"/>
          <w:b/>
          <w:szCs w:val="21"/>
        </w:rPr>
        <w:t>2.需提供类似工程业绩（合同复印件或扫描件加盖单位公章，敏感信息可覆盖），以证明业绩列表中的内容真实和有效，采购人保留审核原件的权利。</w:t>
      </w:r>
    </w:p>
    <w:p w14:paraId="2BADF932">
      <w:pPr>
        <w:spacing w:line="276" w:lineRule="auto"/>
        <w:ind w:firstLine="422" w:firstLineChars="200"/>
        <w:rPr>
          <w:rFonts w:ascii="宋体" w:hAnsi="宋体"/>
          <w:b/>
          <w:szCs w:val="21"/>
        </w:rPr>
      </w:pPr>
    </w:p>
    <w:bookmarkEnd w:id="2693"/>
    <w:p w14:paraId="4C3DB327">
      <w:pPr>
        <w:adjustRightInd w:val="0"/>
        <w:snapToGrid w:val="0"/>
        <w:spacing w:before="25" w:after="25" w:line="276" w:lineRule="auto"/>
        <w:ind w:right="360"/>
        <w:rPr>
          <w:rFonts w:ascii="宋体" w:hAnsi="宋体"/>
          <w:sz w:val="24"/>
          <w:lang w:val="zh-CN"/>
        </w:rPr>
      </w:pPr>
      <w:r>
        <w:rPr>
          <w:rFonts w:hint="eastAsia" w:ascii="宋体" w:hAnsi="宋体"/>
          <w:sz w:val="24"/>
        </w:rPr>
        <w:t>供应商名称（加盖公章）</w:t>
      </w:r>
      <w:r>
        <w:rPr>
          <w:rFonts w:hint="eastAsia" w:ascii="宋体" w:hAnsi="宋体"/>
          <w:sz w:val="24"/>
          <w:lang w:val="zh-CN"/>
        </w:rPr>
        <w:t>：</w:t>
      </w:r>
      <w:r>
        <w:rPr>
          <w:rFonts w:hint="eastAsia" w:ascii="宋体" w:hAnsi="宋体"/>
          <w:sz w:val="24"/>
        </w:rPr>
        <w:t>______</w:t>
      </w:r>
    </w:p>
    <w:p w14:paraId="760EBDA6">
      <w:pPr>
        <w:spacing w:line="276" w:lineRule="auto"/>
        <w:rPr>
          <w:rFonts w:ascii="宋体" w:hAnsi="宋体"/>
          <w:sz w:val="24"/>
          <w:szCs w:val="20"/>
        </w:rPr>
      </w:pPr>
      <w:r>
        <w:rPr>
          <w:rFonts w:hint="eastAsia" w:ascii="宋体" w:hAnsi="宋体"/>
          <w:sz w:val="24"/>
          <w:szCs w:val="20"/>
        </w:rPr>
        <w:t>日期：____年____月____日</w:t>
      </w:r>
    </w:p>
    <w:p w14:paraId="2E8E8B62">
      <w:pPr>
        <w:widowControl/>
        <w:jc w:val="left"/>
        <w:rPr>
          <w:rFonts w:eastAsiaTheme="minorEastAsia"/>
          <w:sz w:val="24"/>
        </w:rPr>
      </w:pPr>
    </w:p>
    <w:p w14:paraId="2D85EEAB">
      <w:pPr>
        <w:widowControl/>
        <w:jc w:val="left"/>
        <w:rPr>
          <w:rFonts w:eastAsiaTheme="minorEastAsia"/>
          <w:sz w:val="24"/>
        </w:rPr>
      </w:pPr>
    </w:p>
    <w:p w14:paraId="0621D537">
      <w:pPr>
        <w:widowControl/>
        <w:jc w:val="left"/>
        <w:rPr>
          <w:rFonts w:eastAsiaTheme="minorEastAsia"/>
          <w:sz w:val="24"/>
        </w:rPr>
      </w:pPr>
      <w:r>
        <w:rPr>
          <w:rFonts w:eastAsiaTheme="minorEastAsia"/>
          <w:sz w:val="24"/>
        </w:rPr>
        <w:br w:type="page"/>
      </w:r>
    </w:p>
    <w:p w14:paraId="5AFD5035">
      <w:pPr>
        <w:tabs>
          <w:tab w:val="left" w:pos="360"/>
        </w:tabs>
        <w:snapToGrid w:val="0"/>
        <w:spacing w:line="360" w:lineRule="auto"/>
        <w:outlineLvl w:val="1"/>
        <w:rPr>
          <w:rFonts w:eastAsiaTheme="minorEastAsia"/>
          <w:sz w:val="24"/>
        </w:rPr>
      </w:pPr>
      <w:bookmarkStart w:id="2694" w:name="_Toc106116020"/>
      <w:r>
        <w:rPr>
          <w:rFonts w:hint="eastAsia" w:eastAsiaTheme="minorEastAsia"/>
          <w:sz w:val="24"/>
        </w:rPr>
        <w:t>18 主要材料和工程设备选用表</w:t>
      </w:r>
      <w:bookmarkEnd w:id="2694"/>
    </w:p>
    <w:tbl>
      <w:tblPr>
        <w:tblStyle w:val="49"/>
        <w:tblW w:w="0" w:type="auto"/>
        <w:tblInd w:w="108" w:type="dxa"/>
        <w:tblLayout w:type="fixed"/>
        <w:tblCellMar>
          <w:top w:w="0" w:type="dxa"/>
          <w:left w:w="108" w:type="dxa"/>
          <w:bottom w:w="0" w:type="dxa"/>
          <w:right w:w="108" w:type="dxa"/>
        </w:tblCellMar>
      </w:tblPr>
      <w:tblGrid>
        <w:gridCol w:w="12900"/>
      </w:tblGrid>
      <w:tr w14:paraId="1508D9CE">
        <w:tblPrEx>
          <w:tblCellMar>
            <w:top w:w="0" w:type="dxa"/>
            <w:left w:w="108" w:type="dxa"/>
            <w:bottom w:w="0" w:type="dxa"/>
            <w:right w:w="108" w:type="dxa"/>
          </w:tblCellMar>
        </w:tblPrEx>
        <w:trPr>
          <w:trHeight w:val="552" w:hRule="atLeast"/>
        </w:trPr>
        <w:tc>
          <w:tcPr>
            <w:tcW w:w="12900" w:type="dxa"/>
            <w:tcBorders>
              <w:top w:val="nil"/>
              <w:left w:val="nil"/>
              <w:bottom w:val="nil"/>
              <w:right w:val="nil"/>
            </w:tcBorders>
          </w:tcPr>
          <w:p w14:paraId="42FAE80E">
            <w:pPr>
              <w:spacing w:line="276" w:lineRule="auto"/>
              <w:ind w:firstLine="2700" w:firstLineChars="900"/>
              <w:rPr>
                <w:rFonts w:ascii="宋体" w:hAnsi="宋体"/>
                <w:sz w:val="30"/>
                <w:szCs w:val="30"/>
              </w:rPr>
            </w:pPr>
            <w:bookmarkStart w:id="2695" w:name="RANGE!A1:H18"/>
          </w:p>
          <w:p w14:paraId="2EA54305">
            <w:pPr>
              <w:spacing w:line="276" w:lineRule="auto"/>
              <w:ind w:firstLine="2700" w:firstLineChars="900"/>
              <w:rPr>
                <w:rFonts w:ascii="宋体" w:hAnsi="宋体"/>
                <w:sz w:val="30"/>
                <w:szCs w:val="30"/>
              </w:rPr>
            </w:pPr>
            <w:r>
              <w:rPr>
                <w:rFonts w:hint="eastAsia" w:ascii="宋体" w:hAnsi="宋体"/>
                <w:sz w:val="30"/>
                <w:szCs w:val="30"/>
              </w:rPr>
              <w:t>主要材料和工程设备选用表</w:t>
            </w:r>
            <w:bookmarkEnd w:id="2695"/>
          </w:p>
        </w:tc>
      </w:tr>
      <w:tr w14:paraId="6A21E862">
        <w:tblPrEx>
          <w:tblCellMar>
            <w:top w:w="0" w:type="dxa"/>
            <w:left w:w="108" w:type="dxa"/>
            <w:bottom w:w="0" w:type="dxa"/>
            <w:right w:w="108" w:type="dxa"/>
          </w:tblCellMar>
        </w:tblPrEx>
        <w:trPr>
          <w:trHeight w:val="390" w:hRule="atLeast"/>
        </w:trPr>
        <w:tc>
          <w:tcPr>
            <w:tcW w:w="12900" w:type="dxa"/>
            <w:tcBorders>
              <w:top w:val="nil"/>
              <w:left w:val="nil"/>
              <w:bottom w:val="nil"/>
              <w:right w:val="nil"/>
            </w:tcBorders>
            <w:vAlign w:val="center"/>
          </w:tcPr>
          <w:p w14:paraId="0F987627">
            <w:pPr>
              <w:spacing w:line="276" w:lineRule="auto"/>
              <w:rPr>
                <w:rFonts w:ascii="宋体" w:hAnsi="宋体"/>
                <w:sz w:val="24"/>
                <w:u w:val="single"/>
              </w:rPr>
            </w:pPr>
            <w:r>
              <w:rPr>
                <w:rFonts w:hint="eastAsia" w:ascii="宋体" w:hAnsi="宋体"/>
                <w:sz w:val="24"/>
              </w:rPr>
              <w:t>工程名称：</w:t>
            </w:r>
          </w:p>
          <w:tbl>
            <w:tblPr>
              <w:tblStyle w:val="49"/>
              <w:tblW w:w="0" w:type="auto"/>
              <w:tblInd w:w="0" w:type="dxa"/>
              <w:tblLayout w:type="fixed"/>
              <w:tblCellMar>
                <w:top w:w="0" w:type="dxa"/>
                <w:left w:w="108" w:type="dxa"/>
                <w:bottom w:w="0" w:type="dxa"/>
                <w:right w:w="108" w:type="dxa"/>
              </w:tblCellMar>
            </w:tblPr>
            <w:tblGrid>
              <w:gridCol w:w="567"/>
              <w:gridCol w:w="1872"/>
              <w:gridCol w:w="992"/>
              <w:gridCol w:w="992"/>
              <w:gridCol w:w="993"/>
              <w:gridCol w:w="1403"/>
              <w:gridCol w:w="1290"/>
              <w:gridCol w:w="992"/>
            </w:tblGrid>
            <w:tr w14:paraId="41506CDF">
              <w:tblPrEx>
                <w:tblCellMar>
                  <w:top w:w="0" w:type="dxa"/>
                  <w:left w:w="108" w:type="dxa"/>
                  <w:bottom w:w="0" w:type="dxa"/>
                  <w:right w:w="108" w:type="dxa"/>
                </w:tblCellMar>
              </w:tblPrEx>
              <w:trPr>
                <w:trHeight w:val="499" w:hRule="atLeast"/>
              </w:trPr>
              <w:tc>
                <w:tcPr>
                  <w:tcW w:w="567" w:type="dxa"/>
                  <w:tcBorders>
                    <w:top w:val="single" w:color="auto" w:sz="4" w:space="0"/>
                    <w:left w:val="single" w:color="auto" w:sz="4" w:space="0"/>
                    <w:bottom w:val="single" w:color="auto" w:sz="4" w:space="0"/>
                    <w:right w:val="single" w:color="auto" w:sz="4" w:space="0"/>
                  </w:tcBorders>
                  <w:vAlign w:val="center"/>
                </w:tcPr>
                <w:p w14:paraId="66F96020">
                  <w:pPr>
                    <w:spacing w:line="276" w:lineRule="auto"/>
                    <w:rPr>
                      <w:rFonts w:ascii="宋体" w:hAnsi="宋体"/>
                      <w:sz w:val="24"/>
                    </w:rPr>
                  </w:pPr>
                  <w:r>
                    <w:rPr>
                      <w:rFonts w:hint="eastAsia" w:ascii="宋体" w:hAnsi="宋体"/>
                      <w:sz w:val="24"/>
                    </w:rPr>
                    <w:t>序号</w:t>
                  </w:r>
                </w:p>
              </w:tc>
              <w:tc>
                <w:tcPr>
                  <w:tcW w:w="1872" w:type="dxa"/>
                  <w:tcBorders>
                    <w:top w:val="single" w:color="auto" w:sz="4" w:space="0"/>
                    <w:left w:val="nil"/>
                    <w:bottom w:val="single" w:color="auto" w:sz="4" w:space="0"/>
                    <w:right w:val="single" w:color="auto" w:sz="4" w:space="0"/>
                  </w:tcBorders>
                  <w:vAlign w:val="center"/>
                </w:tcPr>
                <w:p w14:paraId="07E9A10B">
                  <w:pPr>
                    <w:spacing w:line="276" w:lineRule="auto"/>
                    <w:rPr>
                      <w:rFonts w:ascii="宋体" w:hAnsi="宋体"/>
                      <w:sz w:val="24"/>
                    </w:rPr>
                  </w:pPr>
                  <w:r>
                    <w:rPr>
                      <w:rFonts w:hint="eastAsia" w:ascii="宋体" w:hAnsi="宋体"/>
                      <w:sz w:val="24"/>
                    </w:rPr>
                    <w:t>材料和工程设备名称</w:t>
                  </w:r>
                </w:p>
              </w:tc>
              <w:tc>
                <w:tcPr>
                  <w:tcW w:w="992" w:type="dxa"/>
                  <w:tcBorders>
                    <w:top w:val="single" w:color="auto" w:sz="4" w:space="0"/>
                    <w:left w:val="nil"/>
                    <w:bottom w:val="single" w:color="auto" w:sz="4" w:space="0"/>
                    <w:right w:val="single" w:color="auto" w:sz="4" w:space="0"/>
                  </w:tcBorders>
                  <w:vAlign w:val="center"/>
                </w:tcPr>
                <w:p w14:paraId="28D3C850">
                  <w:pPr>
                    <w:spacing w:line="276" w:lineRule="auto"/>
                    <w:rPr>
                      <w:rFonts w:ascii="宋体" w:hAnsi="宋体"/>
                      <w:sz w:val="24"/>
                    </w:rPr>
                  </w:pPr>
                  <w:r>
                    <w:rPr>
                      <w:rFonts w:hint="eastAsia" w:ascii="宋体" w:hAnsi="宋体"/>
                      <w:sz w:val="24"/>
                    </w:rPr>
                    <w:t>单位</w:t>
                  </w:r>
                </w:p>
              </w:tc>
              <w:tc>
                <w:tcPr>
                  <w:tcW w:w="992" w:type="dxa"/>
                  <w:tcBorders>
                    <w:top w:val="single" w:color="auto" w:sz="4" w:space="0"/>
                    <w:left w:val="nil"/>
                    <w:bottom w:val="single" w:color="auto" w:sz="4" w:space="0"/>
                    <w:right w:val="single" w:color="auto" w:sz="4" w:space="0"/>
                  </w:tcBorders>
                  <w:vAlign w:val="center"/>
                </w:tcPr>
                <w:p w14:paraId="5FB86A12">
                  <w:pPr>
                    <w:spacing w:line="276" w:lineRule="auto"/>
                    <w:rPr>
                      <w:rFonts w:ascii="宋体" w:hAnsi="宋体"/>
                      <w:sz w:val="24"/>
                    </w:rPr>
                  </w:pPr>
                  <w:r>
                    <w:rPr>
                      <w:rFonts w:hint="eastAsia" w:ascii="宋体" w:hAnsi="宋体"/>
                      <w:sz w:val="24"/>
                    </w:rPr>
                    <w:t>单价</w:t>
                  </w:r>
                </w:p>
              </w:tc>
              <w:tc>
                <w:tcPr>
                  <w:tcW w:w="993" w:type="dxa"/>
                  <w:tcBorders>
                    <w:top w:val="single" w:color="auto" w:sz="4" w:space="0"/>
                    <w:left w:val="nil"/>
                    <w:bottom w:val="single" w:color="auto" w:sz="4" w:space="0"/>
                    <w:right w:val="single" w:color="auto" w:sz="4" w:space="0"/>
                  </w:tcBorders>
                  <w:vAlign w:val="center"/>
                </w:tcPr>
                <w:p w14:paraId="40CA198B">
                  <w:pPr>
                    <w:spacing w:line="276" w:lineRule="auto"/>
                    <w:rPr>
                      <w:rFonts w:ascii="宋体" w:hAnsi="宋体"/>
                      <w:sz w:val="24"/>
                    </w:rPr>
                  </w:pPr>
                  <w:r>
                    <w:rPr>
                      <w:rFonts w:hint="eastAsia" w:ascii="宋体" w:hAnsi="宋体"/>
                      <w:sz w:val="24"/>
                    </w:rPr>
                    <w:t>数量</w:t>
                  </w:r>
                </w:p>
              </w:tc>
              <w:tc>
                <w:tcPr>
                  <w:tcW w:w="1403" w:type="dxa"/>
                  <w:tcBorders>
                    <w:top w:val="single" w:color="auto" w:sz="4" w:space="0"/>
                    <w:left w:val="nil"/>
                    <w:bottom w:val="single" w:color="auto" w:sz="4" w:space="0"/>
                    <w:right w:val="single" w:color="auto" w:sz="4" w:space="0"/>
                  </w:tcBorders>
                  <w:vAlign w:val="center"/>
                </w:tcPr>
                <w:p w14:paraId="2442BDA5">
                  <w:pPr>
                    <w:spacing w:line="276" w:lineRule="auto"/>
                    <w:rPr>
                      <w:rFonts w:ascii="宋体" w:hAnsi="宋体"/>
                      <w:sz w:val="24"/>
                    </w:rPr>
                  </w:pPr>
                  <w:r>
                    <w:rPr>
                      <w:rFonts w:hint="eastAsia" w:ascii="宋体" w:hAnsi="宋体"/>
                      <w:sz w:val="24"/>
                    </w:rPr>
                    <w:t>品牌</w:t>
                  </w:r>
                  <w:r>
                    <w:rPr>
                      <w:rFonts w:hint="eastAsia" w:ascii="宋体" w:hAnsi="宋体" w:cs="Arial"/>
                      <w:sz w:val="24"/>
                    </w:rPr>
                    <w:t>/</w:t>
                  </w:r>
                  <w:r>
                    <w:rPr>
                      <w:rFonts w:hint="eastAsia" w:ascii="宋体" w:hAnsi="宋体"/>
                      <w:sz w:val="24"/>
                    </w:rPr>
                    <w:t>厂家</w:t>
                  </w:r>
                </w:p>
              </w:tc>
              <w:tc>
                <w:tcPr>
                  <w:tcW w:w="1290" w:type="dxa"/>
                  <w:tcBorders>
                    <w:top w:val="single" w:color="auto" w:sz="4" w:space="0"/>
                    <w:left w:val="nil"/>
                    <w:bottom w:val="single" w:color="auto" w:sz="4" w:space="0"/>
                    <w:right w:val="single" w:color="auto" w:sz="4" w:space="0"/>
                  </w:tcBorders>
                  <w:vAlign w:val="center"/>
                </w:tcPr>
                <w:p w14:paraId="2F7215BE">
                  <w:pPr>
                    <w:spacing w:line="276" w:lineRule="auto"/>
                    <w:rPr>
                      <w:rFonts w:ascii="宋体" w:hAnsi="宋体"/>
                      <w:sz w:val="24"/>
                    </w:rPr>
                  </w:pPr>
                  <w:r>
                    <w:rPr>
                      <w:rFonts w:hint="eastAsia" w:ascii="宋体" w:hAnsi="宋体"/>
                      <w:sz w:val="24"/>
                    </w:rPr>
                    <w:t>规格型号</w:t>
                  </w:r>
                </w:p>
              </w:tc>
              <w:tc>
                <w:tcPr>
                  <w:tcW w:w="992" w:type="dxa"/>
                  <w:tcBorders>
                    <w:top w:val="single" w:color="auto" w:sz="4" w:space="0"/>
                    <w:left w:val="nil"/>
                    <w:bottom w:val="single" w:color="auto" w:sz="4" w:space="0"/>
                    <w:right w:val="single" w:color="auto" w:sz="4" w:space="0"/>
                  </w:tcBorders>
                  <w:vAlign w:val="center"/>
                </w:tcPr>
                <w:p w14:paraId="46B8F9B5">
                  <w:pPr>
                    <w:spacing w:line="276" w:lineRule="auto"/>
                    <w:rPr>
                      <w:rFonts w:ascii="宋体" w:hAnsi="宋体"/>
                      <w:sz w:val="24"/>
                    </w:rPr>
                  </w:pPr>
                  <w:r>
                    <w:rPr>
                      <w:rFonts w:hint="eastAsia" w:ascii="宋体" w:hAnsi="宋体"/>
                      <w:sz w:val="24"/>
                    </w:rPr>
                    <w:t>备注</w:t>
                  </w:r>
                </w:p>
              </w:tc>
            </w:tr>
            <w:tr w14:paraId="25DA15E8">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456D71DD">
                  <w:pPr>
                    <w:spacing w:line="276" w:lineRule="auto"/>
                    <w:rPr>
                      <w:rFonts w:ascii="宋体" w:hAnsi="宋体" w:cs="Arial"/>
                      <w:sz w:val="24"/>
                    </w:rPr>
                  </w:pPr>
                </w:p>
              </w:tc>
              <w:tc>
                <w:tcPr>
                  <w:tcW w:w="1872" w:type="dxa"/>
                  <w:tcBorders>
                    <w:top w:val="nil"/>
                    <w:left w:val="nil"/>
                    <w:bottom w:val="nil"/>
                    <w:right w:val="single" w:color="auto" w:sz="4" w:space="0"/>
                  </w:tcBorders>
                  <w:vAlign w:val="center"/>
                </w:tcPr>
                <w:p w14:paraId="12B616BC">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6E92EFE7">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160A674F">
                  <w:pPr>
                    <w:spacing w:line="276" w:lineRule="auto"/>
                    <w:rPr>
                      <w:rFonts w:ascii="宋体" w:hAnsi="宋体" w:cs="Arial"/>
                      <w:sz w:val="24"/>
                    </w:rPr>
                  </w:pPr>
                </w:p>
              </w:tc>
              <w:tc>
                <w:tcPr>
                  <w:tcW w:w="993" w:type="dxa"/>
                  <w:tcBorders>
                    <w:top w:val="nil"/>
                    <w:left w:val="nil"/>
                    <w:bottom w:val="nil"/>
                    <w:right w:val="single" w:color="auto" w:sz="4" w:space="0"/>
                  </w:tcBorders>
                  <w:vAlign w:val="center"/>
                </w:tcPr>
                <w:p w14:paraId="2829F4E1">
                  <w:pPr>
                    <w:spacing w:line="276" w:lineRule="auto"/>
                    <w:rPr>
                      <w:rFonts w:ascii="宋体" w:hAnsi="宋体" w:cs="Arial"/>
                      <w:sz w:val="24"/>
                    </w:rPr>
                  </w:pPr>
                </w:p>
              </w:tc>
              <w:tc>
                <w:tcPr>
                  <w:tcW w:w="1403" w:type="dxa"/>
                  <w:tcBorders>
                    <w:top w:val="nil"/>
                    <w:left w:val="nil"/>
                    <w:bottom w:val="nil"/>
                    <w:right w:val="single" w:color="auto" w:sz="4" w:space="0"/>
                  </w:tcBorders>
                  <w:vAlign w:val="center"/>
                </w:tcPr>
                <w:p w14:paraId="6CA41189">
                  <w:pPr>
                    <w:spacing w:line="276" w:lineRule="auto"/>
                    <w:rPr>
                      <w:rFonts w:ascii="宋体" w:hAnsi="宋体" w:cs="Arial"/>
                      <w:sz w:val="24"/>
                    </w:rPr>
                  </w:pPr>
                </w:p>
              </w:tc>
              <w:tc>
                <w:tcPr>
                  <w:tcW w:w="1290" w:type="dxa"/>
                  <w:tcBorders>
                    <w:top w:val="nil"/>
                    <w:left w:val="nil"/>
                    <w:bottom w:val="nil"/>
                    <w:right w:val="single" w:color="auto" w:sz="4" w:space="0"/>
                  </w:tcBorders>
                  <w:vAlign w:val="center"/>
                </w:tcPr>
                <w:p w14:paraId="6D419EA4">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096FECBF">
                  <w:pPr>
                    <w:spacing w:line="276" w:lineRule="auto"/>
                    <w:rPr>
                      <w:rFonts w:ascii="宋体" w:hAnsi="宋体" w:cs="Arial"/>
                      <w:sz w:val="24"/>
                    </w:rPr>
                  </w:pPr>
                </w:p>
              </w:tc>
            </w:tr>
            <w:tr w14:paraId="5C2B6916">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3A8739CD">
                  <w:pPr>
                    <w:spacing w:line="276" w:lineRule="auto"/>
                    <w:rPr>
                      <w:rFonts w:ascii="宋体" w:hAnsi="宋体" w:cs="Arial"/>
                      <w:sz w:val="24"/>
                    </w:rPr>
                  </w:pPr>
                </w:p>
              </w:tc>
              <w:tc>
                <w:tcPr>
                  <w:tcW w:w="1872" w:type="dxa"/>
                  <w:tcBorders>
                    <w:top w:val="nil"/>
                    <w:left w:val="nil"/>
                    <w:bottom w:val="nil"/>
                    <w:right w:val="single" w:color="auto" w:sz="4" w:space="0"/>
                  </w:tcBorders>
                  <w:vAlign w:val="center"/>
                </w:tcPr>
                <w:p w14:paraId="70C1431D">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4138A0FA">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348470F6">
                  <w:pPr>
                    <w:spacing w:line="276" w:lineRule="auto"/>
                    <w:rPr>
                      <w:rFonts w:ascii="宋体" w:hAnsi="宋体" w:cs="Arial"/>
                      <w:sz w:val="24"/>
                    </w:rPr>
                  </w:pPr>
                </w:p>
              </w:tc>
              <w:tc>
                <w:tcPr>
                  <w:tcW w:w="993" w:type="dxa"/>
                  <w:tcBorders>
                    <w:top w:val="nil"/>
                    <w:left w:val="nil"/>
                    <w:bottom w:val="nil"/>
                    <w:right w:val="single" w:color="auto" w:sz="4" w:space="0"/>
                  </w:tcBorders>
                  <w:vAlign w:val="center"/>
                </w:tcPr>
                <w:p w14:paraId="57EE548C">
                  <w:pPr>
                    <w:spacing w:line="276" w:lineRule="auto"/>
                    <w:rPr>
                      <w:rFonts w:ascii="宋体" w:hAnsi="宋体" w:cs="Arial"/>
                      <w:sz w:val="24"/>
                    </w:rPr>
                  </w:pPr>
                </w:p>
              </w:tc>
              <w:tc>
                <w:tcPr>
                  <w:tcW w:w="1403" w:type="dxa"/>
                  <w:tcBorders>
                    <w:top w:val="nil"/>
                    <w:left w:val="nil"/>
                    <w:bottom w:val="nil"/>
                    <w:right w:val="single" w:color="auto" w:sz="4" w:space="0"/>
                  </w:tcBorders>
                  <w:vAlign w:val="center"/>
                </w:tcPr>
                <w:p w14:paraId="6D2E6E20">
                  <w:pPr>
                    <w:spacing w:line="276" w:lineRule="auto"/>
                    <w:rPr>
                      <w:rFonts w:ascii="宋体" w:hAnsi="宋体" w:cs="Arial"/>
                      <w:sz w:val="24"/>
                    </w:rPr>
                  </w:pPr>
                </w:p>
              </w:tc>
              <w:tc>
                <w:tcPr>
                  <w:tcW w:w="1290" w:type="dxa"/>
                  <w:tcBorders>
                    <w:top w:val="nil"/>
                    <w:left w:val="nil"/>
                    <w:bottom w:val="nil"/>
                    <w:right w:val="single" w:color="auto" w:sz="4" w:space="0"/>
                  </w:tcBorders>
                  <w:vAlign w:val="center"/>
                </w:tcPr>
                <w:p w14:paraId="2943B7B7">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25EBA526">
                  <w:pPr>
                    <w:spacing w:line="276" w:lineRule="auto"/>
                    <w:rPr>
                      <w:rFonts w:ascii="宋体" w:hAnsi="宋体" w:cs="Arial"/>
                      <w:sz w:val="24"/>
                    </w:rPr>
                  </w:pPr>
                </w:p>
              </w:tc>
            </w:tr>
            <w:tr w14:paraId="77AE6B40">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086B595F">
                  <w:pPr>
                    <w:spacing w:line="276" w:lineRule="auto"/>
                    <w:rPr>
                      <w:rFonts w:ascii="宋体" w:hAnsi="宋体" w:cs="Arial"/>
                      <w:sz w:val="24"/>
                    </w:rPr>
                  </w:pPr>
                </w:p>
              </w:tc>
              <w:tc>
                <w:tcPr>
                  <w:tcW w:w="1872" w:type="dxa"/>
                  <w:tcBorders>
                    <w:top w:val="nil"/>
                    <w:left w:val="nil"/>
                    <w:bottom w:val="nil"/>
                    <w:right w:val="single" w:color="auto" w:sz="4" w:space="0"/>
                  </w:tcBorders>
                  <w:vAlign w:val="center"/>
                </w:tcPr>
                <w:p w14:paraId="195045F7">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3798CDE7">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7C1FE118">
                  <w:pPr>
                    <w:spacing w:line="276" w:lineRule="auto"/>
                    <w:rPr>
                      <w:rFonts w:ascii="宋体" w:hAnsi="宋体" w:cs="Arial"/>
                      <w:sz w:val="24"/>
                    </w:rPr>
                  </w:pPr>
                </w:p>
              </w:tc>
              <w:tc>
                <w:tcPr>
                  <w:tcW w:w="993" w:type="dxa"/>
                  <w:tcBorders>
                    <w:top w:val="nil"/>
                    <w:left w:val="nil"/>
                    <w:bottom w:val="nil"/>
                    <w:right w:val="single" w:color="auto" w:sz="4" w:space="0"/>
                  </w:tcBorders>
                  <w:vAlign w:val="center"/>
                </w:tcPr>
                <w:p w14:paraId="6E0B4F2D">
                  <w:pPr>
                    <w:spacing w:line="276" w:lineRule="auto"/>
                    <w:rPr>
                      <w:rFonts w:ascii="宋体" w:hAnsi="宋体" w:cs="Arial"/>
                      <w:sz w:val="24"/>
                    </w:rPr>
                  </w:pPr>
                </w:p>
              </w:tc>
              <w:tc>
                <w:tcPr>
                  <w:tcW w:w="1403" w:type="dxa"/>
                  <w:tcBorders>
                    <w:top w:val="nil"/>
                    <w:left w:val="nil"/>
                    <w:bottom w:val="nil"/>
                    <w:right w:val="single" w:color="auto" w:sz="4" w:space="0"/>
                  </w:tcBorders>
                  <w:vAlign w:val="center"/>
                </w:tcPr>
                <w:p w14:paraId="42E95C1F">
                  <w:pPr>
                    <w:spacing w:line="276" w:lineRule="auto"/>
                    <w:rPr>
                      <w:rFonts w:ascii="宋体" w:hAnsi="宋体" w:cs="Arial"/>
                      <w:sz w:val="24"/>
                    </w:rPr>
                  </w:pPr>
                </w:p>
              </w:tc>
              <w:tc>
                <w:tcPr>
                  <w:tcW w:w="1290" w:type="dxa"/>
                  <w:tcBorders>
                    <w:top w:val="nil"/>
                    <w:left w:val="nil"/>
                    <w:bottom w:val="nil"/>
                    <w:right w:val="single" w:color="auto" w:sz="4" w:space="0"/>
                  </w:tcBorders>
                  <w:vAlign w:val="center"/>
                </w:tcPr>
                <w:p w14:paraId="0D7FE4F6">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7E7F60B8">
                  <w:pPr>
                    <w:spacing w:line="276" w:lineRule="auto"/>
                    <w:rPr>
                      <w:rFonts w:ascii="宋体" w:hAnsi="宋体" w:cs="Arial"/>
                      <w:sz w:val="24"/>
                    </w:rPr>
                  </w:pPr>
                </w:p>
              </w:tc>
            </w:tr>
            <w:tr w14:paraId="739791B4">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7955728E">
                  <w:pPr>
                    <w:spacing w:line="276" w:lineRule="auto"/>
                    <w:rPr>
                      <w:rFonts w:ascii="宋体" w:hAnsi="宋体" w:cs="Arial"/>
                      <w:sz w:val="24"/>
                    </w:rPr>
                  </w:pPr>
                </w:p>
              </w:tc>
              <w:tc>
                <w:tcPr>
                  <w:tcW w:w="1872" w:type="dxa"/>
                  <w:tcBorders>
                    <w:top w:val="nil"/>
                    <w:left w:val="nil"/>
                    <w:bottom w:val="nil"/>
                    <w:right w:val="single" w:color="auto" w:sz="4" w:space="0"/>
                  </w:tcBorders>
                  <w:vAlign w:val="center"/>
                </w:tcPr>
                <w:p w14:paraId="5E18989C">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70A38F95">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4DC82B15">
                  <w:pPr>
                    <w:spacing w:line="276" w:lineRule="auto"/>
                    <w:rPr>
                      <w:rFonts w:ascii="宋体" w:hAnsi="宋体" w:cs="Arial"/>
                      <w:sz w:val="24"/>
                    </w:rPr>
                  </w:pPr>
                </w:p>
              </w:tc>
              <w:tc>
                <w:tcPr>
                  <w:tcW w:w="993" w:type="dxa"/>
                  <w:tcBorders>
                    <w:top w:val="nil"/>
                    <w:left w:val="nil"/>
                    <w:bottom w:val="nil"/>
                    <w:right w:val="single" w:color="auto" w:sz="4" w:space="0"/>
                  </w:tcBorders>
                  <w:vAlign w:val="center"/>
                </w:tcPr>
                <w:p w14:paraId="1329AA76">
                  <w:pPr>
                    <w:spacing w:line="276" w:lineRule="auto"/>
                    <w:rPr>
                      <w:rFonts w:ascii="宋体" w:hAnsi="宋体" w:cs="Arial"/>
                      <w:sz w:val="24"/>
                    </w:rPr>
                  </w:pPr>
                </w:p>
              </w:tc>
              <w:tc>
                <w:tcPr>
                  <w:tcW w:w="1403" w:type="dxa"/>
                  <w:tcBorders>
                    <w:top w:val="nil"/>
                    <w:left w:val="nil"/>
                    <w:bottom w:val="nil"/>
                    <w:right w:val="single" w:color="auto" w:sz="4" w:space="0"/>
                  </w:tcBorders>
                  <w:vAlign w:val="center"/>
                </w:tcPr>
                <w:p w14:paraId="407D1E93">
                  <w:pPr>
                    <w:spacing w:line="276" w:lineRule="auto"/>
                    <w:rPr>
                      <w:rFonts w:ascii="宋体" w:hAnsi="宋体" w:cs="Arial"/>
                      <w:sz w:val="24"/>
                    </w:rPr>
                  </w:pPr>
                </w:p>
              </w:tc>
              <w:tc>
                <w:tcPr>
                  <w:tcW w:w="1290" w:type="dxa"/>
                  <w:tcBorders>
                    <w:top w:val="nil"/>
                    <w:left w:val="nil"/>
                    <w:bottom w:val="nil"/>
                    <w:right w:val="single" w:color="auto" w:sz="4" w:space="0"/>
                  </w:tcBorders>
                  <w:vAlign w:val="center"/>
                </w:tcPr>
                <w:p w14:paraId="1B0ABF9A">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06653464">
                  <w:pPr>
                    <w:spacing w:line="276" w:lineRule="auto"/>
                    <w:rPr>
                      <w:rFonts w:ascii="宋体" w:hAnsi="宋体" w:cs="Arial"/>
                      <w:sz w:val="24"/>
                    </w:rPr>
                  </w:pPr>
                </w:p>
              </w:tc>
            </w:tr>
            <w:tr w14:paraId="5B52CCCC">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18BD9B22">
                  <w:pPr>
                    <w:spacing w:line="276" w:lineRule="auto"/>
                    <w:rPr>
                      <w:rFonts w:ascii="宋体" w:hAnsi="宋体" w:cs="Arial"/>
                      <w:sz w:val="24"/>
                    </w:rPr>
                  </w:pPr>
                </w:p>
              </w:tc>
              <w:tc>
                <w:tcPr>
                  <w:tcW w:w="1872" w:type="dxa"/>
                  <w:tcBorders>
                    <w:top w:val="nil"/>
                    <w:left w:val="nil"/>
                    <w:bottom w:val="nil"/>
                    <w:right w:val="single" w:color="auto" w:sz="4" w:space="0"/>
                  </w:tcBorders>
                  <w:vAlign w:val="center"/>
                </w:tcPr>
                <w:p w14:paraId="3CF51AD4">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221308B1">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4F412154">
                  <w:pPr>
                    <w:spacing w:line="276" w:lineRule="auto"/>
                    <w:rPr>
                      <w:rFonts w:ascii="宋体" w:hAnsi="宋体" w:cs="Arial"/>
                      <w:sz w:val="24"/>
                    </w:rPr>
                  </w:pPr>
                </w:p>
              </w:tc>
              <w:tc>
                <w:tcPr>
                  <w:tcW w:w="993" w:type="dxa"/>
                  <w:tcBorders>
                    <w:top w:val="nil"/>
                    <w:left w:val="nil"/>
                    <w:bottom w:val="nil"/>
                    <w:right w:val="single" w:color="auto" w:sz="4" w:space="0"/>
                  </w:tcBorders>
                  <w:vAlign w:val="center"/>
                </w:tcPr>
                <w:p w14:paraId="10A861BE">
                  <w:pPr>
                    <w:spacing w:line="276" w:lineRule="auto"/>
                    <w:rPr>
                      <w:rFonts w:ascii="宋体" w:hAnsi="宋体" w:cs="Arial"/>
                      <w:sz w:val="24"/>
                    </w:rPr>
                  </w:pPr>
                </w:p>
              </w:tc>
              <w:tc>
                <w:tcPr>
                  <w:tcW w:w="1403" w:type="dxa"/>
                  <w:tcBorders>
                    <w:top w:val="nil"/>
                    <w:left w:val="nil"/>
                    <w:bottom w:val="nil"/>
                    <w:right w:val="single" w:color="auto" w:sz="4" w:space="0"/>
                  </w:tcBorders>
                  <w:vAlign w:val="center"/>
                </w:tcPr>
                <w:p w14:paraId="26BA81C7">
                  <w:pPr>
                    <w:spacing w:line="276" w:lineRule="auto"/>
                    <w:rPr>
                      <w:rFonts w:ascii="宋体" w:hAnsi="宋体" w:cs="Arial"/>
                      <w:sz w:val="24"/>
                    </w:rPr>
                  </w:pPr>
                </w:p>
              </w:tc>
              <w:tc>
                <w:tcPr>
                  <w:tcW w:w="1290" w:type="dxa"/>
                  <w:tcBorders>
                    <w:top w:val="nil"/>
                    <w:left w:val="nil"/>
                    <w:bottom w:val="nil"/>
                    <w:right w:val="single" w:color="auto" w:sz="4" w:space="0"/>
                  </w:tcBorders>
                  <w:vAlign w:val="center"/>
                </w:tcPr>
                <w:p w14:paraId="5C117B45">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25B2E6F3">
                  <w:pPr>
                    <w:spacing w:line="276" w:lineRule="auto"/>
                    <w:rPr>
                      <w:rFonts w:ascii="宋体" w:hAnsi="宋体" w:cs="Arial"/>
                      <w:sz w:val="24"/>
                    </w:rPr>
                  </w:pPr>
                </w:p>
              </w:tc>
            </w:tr>
            <w:tr w14:paraId="1B2C21D9">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128783C1">
                  <w:pPr>
                    <w:spacing w:line="276" w:lineRule="auto"/>
                    <w:rPr>
                      <w:rFonts w:ascii="宋体" w:hAnsi="宋体" w:cs="Arial"/>
                      <w:sz w:val="24"/>
                    </w:rPr>
                  </w:pPr>
                </w:p>
              </w:tc>
              <w:tc>
                <w:tcPr>
                  <w:tcW w:w="1872" w:type="dxa"/>
                  <w:tcBorders>
                    <w:top w:val="nil"/>
                    <w:left w:val="nil"/>
                    <w:bottom w:val="nil"/>
                    <w:right w:val="single" w:color="auto" w:sz="4" w:space="0"/>
                  </w:tcBorders>
                  <w:vAlign w:val="center"/>
                </w:tcPr>
                <w:p w14:paraId="73D64E30">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7F8287C9">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4DA03011">
                  <w:pPr>
                    <w:spacing w:line="276" w:lineRule="auto"/>
                    <w:rPr>
                      <w:rFonts w:ascii="宋体" w:hAnsi="宋体" w:cs="Arial"/>
                      <w:sz w:val="24"/>
                    </w:rPr>
                  </w:pPr>
                </w:p>
              </w:tc>
              <w:tc>
                <w:tcPr>
                  <w:tcW w:w="993" w:type="dxa"/>
                  <w:tcBorders>
                    <w:top w:val="nil"/>
                    <w:left w:val="nil"/>
                    <w:bottom w:val="nil"/>
                    <w:right w:val="single" w:color="auto" w:sz="4" w:space="0"/>
                  </w:tcBorders>
                  <w:vAlign w:val="center"/>
                </w:tcPr>
                <w:p w14:paraId="1560D45F">
                  <w:pPr>
                    <w:spacing w:line="276" w:lineRule="auto"/>
                    <w:rPr>
                      <w:rFonts w:ascii="宋体" w:hAnsi="宋体" w:cs="Arial"/>
                      <w:sz w:val="24"/>
                    </w:rPr>
                  </w:pPr>
                </w:p>
              </w:tc>
              <w:tc>
                <w:tcPr>
                  <w:tcW w:w="1403" w:type="dxa"/>
                  <w:tcBorders>
                    <w:top w:val="nil"/>
                    <w:left w:val="nil"/>
                    <w:bottom w:val="nil"/>
                    <w:right w:val="single" w:color="auto" w:sz="4" w:space="0"/>
                  </w:tcBorders>
                  <w:vAlign w:val="center"/>
                </w:tcPr>
                <w:p w14:paraId="3EBFEBF8">
                  <w:pPr>
                    <w:spacing w:line="276" w:lineRule="auto"/>
                    <w:rPr>
                      <w:rFonts w:ascii="宋体" w:hAnsi="宋体" w:cs="Arial"/>
                      <w:sz w:val="24"/>
                    </w:rPr>
                  </w:pPr>
                </w:p>
              </w:tc>
              <w:tc>
                <w:tcPr>
                  <w:tcW w:w="1290" w:type="dxa"/>
                  <w:tcBorders>
                    <w:top w:val="nil"/>
                    <w:left w:val="nil"/>
                    <w:bottom w:val="nil"/>
                    <w:right w:val="single" w:color="auto" w:sz="4" w:space="0"/>
                  </w:tcBorders>
                  <w:vAlign w:val="center"/>
                </w:tcPr>
                <w:p w14:paraId="63CC706B">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3501A538">
                  <w:pPr>
                    <w:spacing w:line="276" w:lineRule="auto"/>
                    <w:rPr>
                      <w:rFonts w:ascii="宋体" w:hAnsi="宋体" w:cs="Arial"/>
                      <w:sz w:val="24"/>
                    </w:rPr>
                  </w:pPr>
                </w:p>
              </w:tc>
            </w:tr>
            <w:tr w14:paraId="21261A01">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071B46C5">
                  <w:pPr>
                    <w:spacing w:line="276" w:lineRule="auto"/>
                    <w:rPr>
                      <w:rFonts w:ascii="宋体" w:hAnsi="宋体" w:cs="Arial"/>
                      <w:sz w:val="24"/>
                    </w:rPr>
                  </w:pPr>
                </w:p>
              </w:tc>
              <w:tc>
                <w:tcPr>
                  <w:tcW w:w="1872" w:type="dxa"/>
                  <w:tcBorders>
                    <w:top w:val="nil"/>
                    <w:left w:val="nil"/>
                    <w:bottom w:val="nil"/>
                    <w:right w:val="single" w:color="auto" w:sz="4" w:space="0"/>
                  </w:tcBorders>
                  <w:vAlign w:val="center"/>
                </w:tcPr>
                <w:p w14:paraId="3C76AB3D">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2F941B6D">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5FECFD63">
                  <w:pPr>
                    <w:spacing w:line="276" w:lineRule="auto"/>
                    <w:rPr>
                      <w:rFonts w:ascii="宋体" w:hAnsi="宋体" w:cs="Arial"/>
                      <w:sz w:val="24"/>
                    </w:rPr>
                  </w:pPr>
                </w:p>
              </w:tc>
              <w:tc>
                <w:tcPr>
                  <w:tcW w:w="993" w:type="dxa"/>
                  <w:tcBorders>
                    <w:top w:val="nil"/>
                    <w:left w:val="nil"/>
                    <w:bottom w:val="nil"/>
                    <w:right w:val="single" w:color="auto" w:sz="4" w:space="0"/>
                  </w:tcBorders>
                  <w:vAlign w:val="center"/>
                </w:tcPr>
                <w:p w14:paraId="21C1A22C">
                  <w:pPr>
                    <w:spacing w:line="276" w:lineRule="auto"/>
                    <w:rPr>
                      <w:rFonts w:ascii="宋体" w:hAnsi="宋体" w:cs="Arial"/>
                      <w:sz w:val="24"/>
                    </w:rPr>
                  </w:pPr>
                </w:p>
              </w:tc>
              <w:tc>
                <w:tcPr>
                  <w:tcW w:w="1403" w:type="dxa"/>
                  <w:tcBorders>
                    <w:top w:val="nil"/>
                    <w:left w:val="nil"/>
                    <w:bottom w:val="nil"/>
                    <w:right w:val="single" w:color="auto" w:sz="4" w:space="0"/>
                  </w:tcBorders>
                  <w:vAlign w:val="center"/>
                </w:tcPr>
                <w:p w14:paraId="1C773858">
                  <w:pPr>
                    <w:spacing w:line="276" w:lineRule="auto"/>
                    <w:rPr>
                      <w:rFonts w:ascii="宋体" w:hAnsi="宋体" w:cs="Arial"/>
                      <w:sz w:val="24"/>
                    </w:rPr>
                  </w:pPr>
                </w:p>
              </w:tc>
              <w:tc>
                <w:tcPr>
                  <w:tcW w:w="1290" w:type="dxa"/>
                  <w:tcBorders>
                    <w:top w:val="nil"/>
                    <w:left w:val="nil"/>
                    <w:bottom w:val="nil"/>
                    <w:right w:val="single" w:color="auto" w:sz="4" w:space="0"/>
                  </w:tcBorders>
                  <w:vAlign w:val="center"/>
                </w:tcPr>
                <w:p w14:paraId="24B950F3">
                  <w:pPr>
                    <w:spacing w:line="276" w:lineRule="auto"/>
                    <w:rPr>
                      <w:rFonts w:ascii="宋体" w:hAnsi="宋体" w:cs="Arial"/>
                      <w:sz w:val="24"/>
                    </w:rPr>
                  </w:pPr>
                </w:p>
              </w:tc>
              <w:tc>
                <w:tcPr>
                  <w:tcW w:w="992" w:type="dxa"/>
                  <w:tcBorders>
                    <w:top w:val="nil"/>
                    <w:left w:val="nil"/>
                    <w:bottom w:val="nil"/>
                    <w:right w:val="single" w:color="auto" w:sz="4" w:space="0"/>
                  </w:tcBorders>
                  <w:vAlign w:val="center"/>
                </w:tcPr>
                <w:p w14:paraId="746350F7">
                  <w:pPr>
                    <w:spacing w:line="276" w:lineRule="auto"/>
                    <w:rPr>
                      <w:rFonts w:ascii="宋体" w:hAnsi="宋体" w:cs="Arial"/>
                      <w:sz w:val="24"/>
                    </w:rPr>
                  </w:pPr>
                </w:p>
              </w:tc>
            </w:tr>
            <w:tr w14:paraId="5AE8FB16">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4DC05F05">
                  <w:pPr>
                    <w:spacing w:line="276" w:lineRule="auto"/>
                    <w:rPr>
                      <w:rFonts w:ascii="宋体" w:hAnsi="宋体"/>
                      <w:sz w:val="24"/>
                    </w:rPr>
                  </w:pPr>
                </w:p>
              </w:tc>
              <w:tc>
                <w:tcPr>
                  <w:tcW w:w="1872" w:type="dxa"/>
                  <w:tcBorders>
                    <w:top w:val="nil"/>
                    <w:left w:val="nil"/>
                    <w:bottom w:val="nil"/>
                    <w:right w:val="single" w:color="auto" w:sz="4" w:space="0"/>
                  </w:tcBorders>
                  <w:vAlign w:val="center"/>
                </w:tcPr>
                <w:p w14:paraId="680A27AB">
                  <w:pPr>
                    <w:spacing w:line="276" w:lineRule="auto"/>
                    <w:rPr>
                      <w:rFonts w:ascii="宋体" w:hAnsi="宋体"/>
                      <w:sz w:val="24"/>
                    </w:rPr>
                  </w:pPr>
                </w:p>
              </w:tc>
              <w:tc>
                <w:tcPr>
                  <w:tcW w:w="992" w:type="dxa"/>
                  <w:tcBorders>
                    <w:top w:val="nil"/>
                    <w:left w:val="nil"/>
                    <w:bottom w:val="nil"/>
                    <w:right w:val="single" w:color="auto" w:sz="4" w:space="0"/>
                  </w:tcBorders>
                  <w:vAlign w:val="center"/>
                </w:tcPr>
                <w:p w14:paraId="68A0B7B1">
                  <w:pPr>
                    <w:spacing w:line="276" w:lineRule="auto"/>
                    <w:rPr>
                      <w:rFonts w:ascii="宋体" w:hAnsi="宋体"/>
                      <w:sz w:val="24"/>
                    </w:rPr>
                  </w:pPr>
                </w:p>
              </w:tc>
              <w:tc>
                <w:tcPr>
                  <w:tcW w:w="992" w:type="dxa"/>
                  <w:tcBorders>
                    <w:top w:val="nil"/>
                    <w:left w:val="nil"/>
                    <w:bottom w:val="nil"/>
                    <w:right w:val="single" w:color="auto" w:sz="4" w:space="0"/>
                  </w:tcBorders>
                  <w:vAlign w:val="center"/>
                </w:tcPr>
                <w:p w14:paraId="78B3E2B4">
                  <w:pPr>
                    <w:spacing w:line="276" w:lineRule="auto"/>
                    <w:rPr>
                      <w:rFonts w:ascii="宋体" w:hAnsi="宋体"/>
                      <w:sz w:val="24"/>
                    </w:rPr>
                  </w:pPr>
                </w:p>
              </w:tc>
              <w:tc>
                <w:tcPr>
                  <w:tcW w:w="993" w:type="dxa"/>
                  <w:tcBorders>
                    <w:top w:val="nil"/>
                    <w:left w:val="nil"/>
                    <w:bottom w:val="nil"/>
                    <w:right w:val="single" w:color="auto" w:sz="4" w:space="0"/>
                  </w:tcBorders>
                  <w:vAlign w:val="center"/>
                </w:tcPr>
                <w:p w14:paraId="280D18B1">
                  <w:pPr>
                    <w:spacing w:line="276" w:lineRule="auto"/>
                    <w:rPr>
                      <w:rFonts w:ascii="宋体" w:hAnsi="宋体"/>
                      <w:sz w:val="24"/>
                    </w:rPr>
                  </w:pPr>
                </w:p>
              </w:tc>
              <w:tc>
                <w:tcPr>
                  <w:tcW w:w="1403" w:type="dxa"/>
                  <w:tcBorders>
                    <w:top w:val="nil"/>
                    <w:left w:val="nil"/>
                    <w:bottom w:val="nil"/>
                    <w:right w:val="single" w:color="auto" w:sz="4" w:space="0"/>
                  </w:tcBorders>
                  <w:vAlign w:val="center"/>
                </w:tcPr>
                <w:p w14:paraId="1978F72D">
                  <w:pPr>
                    <w:spacing w:line="276" w:lineRule="auto"/>
                    <w:rPr>
                      <w:rFonts w:ascii="宋体" w:hAnsi="宋体"/>
                      <w:sz w:val="24"/>
                    </w:rPr>
                  </w:pPr>
                </w:p>
              </w:tc>
              <w:tc>
                <w:tcPr>
                  <w:tcW w:w="1290" w:type="dxa"/>
                  <w:tcBorders>
                    <w:top w:val="nil"/>
                    <w:left w:val="nil"/>
                    <w:bottom w:val="nil"/>
                    <w:right w:val="single" w:color="auto" w:sz="4" w:space="0"/>
                  </w:tcBorders>
                  <w:vAlign w:val="center"/>
                </w:tcPr>
                <w:p w14:paraId="50AF27A7">
                  <w:pPr>
                    <w:spacing w:line="276" w:lineRule="auto"/>
                    <w:rPr>
                      <w:rFonts w:ascii="宋体" w:hAnsi="宋体"/>
                      <w:sz w:val="24"/>
                    </w:rPr>
                  </w:pPr>
                </w:p>
              </w:tc>
              <w:tc>
                <w:tcPr>
                  <w:tcW w:w="992" w:type="dxa"/>
                  <w:tcBorders>
                    <w:top w:val="nil"/>
                    <w:left w:val="nil"/>
                    <w:bottom w:val="nil"/>
                    <w:right w:val="single" w:color="auto" w:sz="4" w:space="0"/>
                  </w:tcBorders>
                  <w:vAlign w:val="center"/>
                </w:tcPr>
                <w:p w14:paraId="6A91153F">
                  <w:pPr>
                    <w:spacing w:line="276" w:lineRule="auto"/>
                    <w:rPr>
                      <w:rFonts w:ascii="宋体" w:hAnsi="宋体"/>
                      <w:sz w:val="24"/>
                    </w:rPr>
                  </w:pPr>
                </w:p>
              </w:tc>
            </w:tr>
            <w:tr w14:paraId="35718B05">
              <w:tblPrEx>
                <w:tblCellMar>
                  <w:top w:w="0" w:type="dxa"/>
                  <w:left w:w="108" w:type="dxa"/>
                  <w:bottom w:w="0" w:type="dxa"/>
                  <w:right w:w="108" w:type="dxa"/>
                </w:tblCellMar>
              </w:tblPrEx>
              <w:trPr>
                <w:trHeight w:val="499" w:hRule="atLeast"/>
              </w:trPr>
              <w:tc>
                <w:tcPr>
                  <w:tcW w:w="567" w:type="dxa"/>
                  <w:tcBorders>
                    <w:top w:val="nil"/>
                    <w:left w:val="single" w:color="auto" w:sz="4" w:space="0"/>
                    <w:bottom w:val="nil"/>
                    <w:right w:val="single" w:color="auto" w:sz="4" w:space="0"/>
                  </w:tcBorders>
                  <w:vAlign w:val="center"/>
                </w:tcPr>
                <w:p w14:paraId="36F555BB">
                  <w:pPr>
                    <w:spacing w:line="276" w:lineRule="auto"/>
                    <w:rPr>
                      <w:rFonts w:ascii="宋体" w:hAnsi="宋体"/>
                      <w:sz w:val="24"/>
                    </w:rPr>
                  </w:pPr>
                </w:p>
              </w:tc>
              <w:tc>
                <w:tcPr>
                  <w:tcW w:w="1872" w:type="dxa"/>
                  <w:tcBorders>
                    <w:top w:val="nil"/>
                    <w:left w:val="nil"/>
                    <w:bottom w:val="nil"/>
                    <w:right w:val="single" w:color="auto" w:sz="4" w:space="0"/>
                  </w:tcBorders>
                  <w:vAlign w:val="center"/>
                </w:tcPr>
                <w:p w14:paraId="7CE6BF7F">
                  <w:pPr>
                    <w:spacing w:line="276" w:lineRule="auto"/>
                    <w:rPr>
                      <w:rFonts w:ascii="宋体" w:hAnsi="宋体"/>
                      <w:sz w:val="24"/>
                    </w:rPr>
                  </w:pPr>
                </w:p>
              </w:tc>
              <w:tc>
                <w:tcPr>
                  <w:tcW w:w="992" w:type="dxa"/>
                  <w:tcBorders>
                    <w:top w:val="nil"/>
                    <w:left w:val="nil"/>
                    <w:bottom w:val="nil"/>
                    <w:right w:val="single" w:color="auto" w:sz="4" w:space="0"/>
                  </w:tcBorders>
                  <w:vAlign w:val="center"/>
                </w:tcPr>
                <w:p w14:paraId="3B4D5FCD">
                  <w:pPr>
                    <w:spacing w:line="276" w:lineRule="auto"/>
                    <w:rPr>
                      <w:rFonts w:ascii="宋体" w:hAnsi="宋体"/>
                      <w:sz w:val="24"/>
                    </w:rPr>
                  </w:pPr>
                </w:p>
              </w:tc>
              <w:tc>
                <w:tcPr>
                  <w:tcW w:w="992" w:type="dxa"/>
                  <w:tcBorders>
                    <w:top w:val="nil"/>
                    <w:left w:val="nil"/>
                    <w:bottom w:val="nil"/>
                    <w:right w:val="single" w:color="auto" w:sz="4" w:space="0"/>
                  </w:tcBorders>
                  <w:vAlign w:val="center"/>
                </w:tcPr>
                <w:p w14:paraId="22610E45">
                  <w:pPr>
                    <w:spacing w:line="276" w:lineRule="auto"/>
                    <w:rPr>
                      <w:rFonts w:ascii="宋体" w:hAnsi="宋体"/>
                      <w:sz w:val="24"/>
                    </w:rPr>
                  </w:pPr>
                </w:p>
              </w:tc>
              <w:tc>
                <w:tcPr>
                  <w:tcW w:w="993" w:type="dxa"/>
                  <w:tcBorders>
                    <w:top w:val="nil"/>
                    <w:left w:val="nil"/>
                    <w:bottom w:val="nil"/>
                    <w:right w:val="single" w:color="auto" w:sz="4" w:space="0"/>
                  </w:tcBorders>
                  <w:vAlign w:val="center"/>
                </w:tcPr>
                <w:p w14:paraId="006D3BE5">
                  <w:pPr>
                    <w:spacing w:line="276" w:lineRule="auto"/>
                    <w:rPr>
                      <w:rFonts w:ascii="宋体" w:hAnsi="宋体"/>
                      <w:sz w:val="24"/>
                    </w:rPr>
                  </w:pPr>
                </w:p>
              </w:tc>
              <w:tc>
                <w:tcPr>
                  <w:tcW w:w="1403" w:type="dxa"/>
                  <w:tcBorders>
                    <w:top w:val="nil"/>
                    <w:left w:val="nil"/>
                    <w:bottom w:val="nil"/>
                    <w:right w:val="single" w:color="auto" w:sz="4" w:space="0"/>
                  </w:tcBorders>
                  <w:vAlign w:val="center"/>
                </w:tcPr>
                <w:p w14:paraId="799F76F6">
                  <w:pPr>
                    <w:spacing w:line="276" w:lineRule="auto"/>
                    <w:rPr>
                      <w:rFonts w:ascii="宋体" w:hAnsi="宋体"/>
                      <w:sz w:val="24"/>
                    </w:rPr>
                  </w:pPr>
                </w:p>
              </w:tc>
              <w:tc>
                <w:tcPr>
                  <w:tcW w:w="1290" w:type="dxa"/>
                  <w:tcBorders>
                    <w:top w:val="nil"/>
                    <w:left w:val="nil"/>
                    <w:bottom w:val="nil"/>
                    <w:right w:val="single" w:color="auto" w:sz="4" w:space="0"/>
                  </w:tcBorders>
                  <w:vAlign w:val="center"/>
                </w:tcPr>
                <w:p w14:paraId="75A3B31A">
                  <w:pPr>
                    <w:spacing w:line="276" w:lineRule="auto"/>
                    <w:rPr>
                      <w:rFonts w:ascii="宋体" w:hAnsi="宋体"/>
                      <w:sz w:val="24"/>
                    </w:rPr>
                  </w:pPr>
                </w:p>
              </w:tc>
              <w:tc>
                <w:tcPr>
                  <w:tcW w:w="992" w:type="dxa"/>
                  <w:tcBorders>
                    <w:top w:val="nil"/>
                    <w:left w:val="nil"/>
                    <w:bottom w:val="nil"/>
                    <w:right w:val="single" w:color="auto" w:sz="4" w:space="0"/>
                  </w:tcBorders>
                  <w:vAlign w:val="center"/>
                </w:tcPr>
                <w:p w14:paraId="241ADBDE">
                  <w:pPr>
                    <w:spacing w:line="276" w:lineRule="auto"/>
                    <w:rPr>
                      <w:rFonts w:ascii="宋体" w:hAnsi="宋体"/>
                      <w:sz w:val="24"/>
                    </w:rPr>
                  </w:pPr>
                </w:p>
              </w:tc>
            </w:tr>
            <w:tr w14:paraId="3DCDD806">
              <w:tblPrEx>
                <w:tblCellMar>
                  <w:top w:w="0" w:type="dxa"/>
                  <w:left w:w="108" w:type="dxa"/>
                  <w:bottom w:w="0" w:type="dxa"/>
                  <w:right w:w="108" w:type="dxa"/>
                </w:tblCellMar>
              </w:tblPrEx>
              <w:trPr>
                <w:trHeight w:val="499" w:hRule="atLeast"/>
              </w:trPr>
              <w:tc>
                <w:tcPr>
                  <w:tcW w:w="567" w:type="dxa"/>
                  <w:tcBorders>
                    <w:top w:val="nil"/>
                    <w:left w:val="single" w:color="auto" w:sz="4" w:space="0"/>
                    <w:bottom w:val="single" w:color="auto" w:sz="4" w:space="0"/>
                    <w:right w:val="single" w:color="auto" w:sz="4" w:space="0"/>
                  </w:tcBorders>
                  <w:vAlign w:val="center"/>
                </w:tcPr>
                <w:p w14:paraId="5FEF2192">
                  <w:pPr>
                    <w:spacing w:line="276" w:lineRule="auto"/>
                    <w:rPr>
                      <w:rFonts w:ascii="宋体" w:hAnsi="宋体"/>
                      <w:sz w:val="24"/>
                    </w:rPr>
                  </w:pPr>
                </w:p>
              </w:tc>
              <w:tc>
                <w:tcPr>
                  <w:tcW w:w="1872" w:type="dxa"/>
                  <w:tcBorders>
                    <w:top w:val="nil"/>
                    <w:left w:val="nil"/>
                    <w:bottom w:val="single" w:color="auto" w:sz="4" w:space="0"/>
                    <w:right w:val="single" w:color="auto" w:sz="4" w:space="0"/>
                  </w:tcBorders>
                  <w:vAlign w:val="center"/>
                </w:tcPr>
                <w:p w14:paraId="73E7C74F">
                  <w:pPr>
                    <w:spacing w:line="276" w:lineRule="auto"/>
                    <w:rPr>
                      <w:rFonts w:ascii="宋体" w:hAnsi="宋体"/>
                      <w:sz w:val="24"/>
                    </w:rPr>
                  </w:pPr>
                </w:p>
              </w:tc>
              <w:tc>
                <w:tcPr>
                  <w:tcW w:w="992" w:type="dxa"/>
                  <w:tcBorders>
                    <w:top w:val="nil"/>
                    <w:left w:val="nil"/>
                    <w:bottom w:val="single" w:color="auto" w:sz="4" w:space="0"/>
                    <w:right w:val="single" w:color="auto" w:sz="4" w:space="0"/>
                  </w:tcBorders>
                  <w:vAlign w:val="center"/>
                </w:tcPr>
                <w:p w14:paraId="1DD629C5">
                  <w:pPr>
                    <w:spacing w:line="276" w:lineRule="auto"/>
                    <w:rPr>
                      <w:rFonts w:ascii="宋体" w:hAnsi="宋体"/>
                      <w:sz w:val="24"/>
                    </w:rPr>
                  </w:pPr>
                </w:p>
              </w:tc>
              <w:tc>
                <w:tcPr>
                  <w:tcW w:w="992" w:type="dxa"/>
                  <w:tcBorders>
                    <w:top w:val="nil"/>
                    <w:left w:val="nil"/>
                    <w:bottom w:val="single" w:color="auto" w:sz="4" w:space="0"/>
                    <w:right w:val="single" w:color="auto" w:sz="4" w:space="0"/>
                  </w:tcBorders>
                  <w:vAlign w:val="center"/>
                </w:tcPr>
                <w:p w14:paraId="3C0D3F03">
                  <w:pPr>
                    <w:spacing w:line="276" w:lineRule="auto"/>
                    <w:rPr>
                      <w:rFonts w:ascii="宋体" w:hAnsi="宋体"/>
                      <w:sz w:val="24"/>
                    </w:rPr>
                  </w:pPr>
                </w:p>
              </w:tc>
              <w:tc>
                <w:tcPr>
                  <w:tcW w:w="993" w:type="dxa"/>
                  <w:tcBorders>
                    <w:top w:val="nil"/>
                    <w:left w:val="nil"/>
                    <w:bottom w:val="single" w:color="auto" w:sz="4" w:space="0"/>
                    <w:right w:val="single" w:color="auto" w:sz="4" w:space="0"/>
                  </w:tcBorders>
                  <w:vAlign w:val="center"/>
                </w:tcPr>
                <w:p w14:paraId="633724C3">
                  <w:pPr>
                    <w:spacing w:line="276" w:lineRule="auto"/>
                    <w:rPr>
                      <w:rFonts w:ascii="宋体" w:hAnsi="宋体"/>
                      <w:sz w:val="24"/>
                    </w:rPr>
                  </w:pPr>
                </w:p>
              </w:tc>
              <w:tc>
                <w:tcPr>
                  <w:tcW w:w="1403" w:type="dxa"/>
                  <w:tcBorders>
                    <w:top w:val="nil"/>
                    <w:left w:val="nil"/>
                    <w:bottom w:val="single" w:color="auto" w:sz="4" w:space="0"/>
                    <w:right w:val="single" w:color="auto" w:sz="4" w:space="0"/>
                  </w:tcBorders>
                  <w:vAlign w:val="center"/>
                </w:tcPr>
                <w:p w14:paraId="558A4267">
                  <w:pPr>
                    <w:spacing w:line="276" w:lineRule="auto"/>
                    <w:rPr>
                      <w:rFonts w:ascii="宋体" w:hAnsi="宋体"/>
                      <w:sz w:val="24"/>
                    </w:rPr>
                  </w:pPr>
                </w:p>
              </w:tc>
              <w:tc>
                <w:tcPr>
                  <w:tcW w:w="1290" w:type="dxa"/>
                  <w:tcBorders>
                    <w:top w:val="nil"/>
                    <w:left w:val="nil"/>
                    <w:bottom w:val="single" w:color="auto" w:sz="4" w:space="0"/>
                    <w:right w:val="single" w:color="auto" w:sz="4" w:space="0"/>
                  </w:tcBorders>
                  <w:vAlign w:val="center"/>
                </w:tcPr>
                <w:p w14:paraId="34224309">
                  <w:pPr>
                    <w:spacing w:line="276" w:lineRule="auto"/>
                    <w:rPr>
                      <w:rFonts w:ascii="宋体" w:hAnsi="宋体"/>
                      <w:sz w:val="24"/>
                    </w:rPr>
                  </w:pPr>
                </w:p>
              </w:tc>
              <w:tc>
                <w:tcPr>
                  <w:tcW w:w="992" w:type="dxa"/>
                  <w:tcBorders>
                    <w:top w:val="nil"/>
                    <w:left w:val="nil"/>
                    <w:bottom w:val="single" w:color="auto" w:sz="4" w:space="0"/>
                    <w:right w:val="single" w:color="auto" w:sz="4" w:space="0"/>
                  </w:tcBorders>
                  <w:vAlign w:val="center"/>
                </w:tcPr>
                <w:p w14:paraId="21726D0A">
                  <w:pPr>
                    <w:spacing w:line="276" w:lineRule="auto"/>
                    <w:rPr>
                      <w:rFonts w:ascii="宋体" w:hAnsi="宋体"/>
                      <w:sz w:val="24"/>
                    </w:rPr>
                  </w:pPr>
                </w:p>
              </w:tc>
            </w:tr>
          </w:tbl>
          <w:p w14:paraId="1CE52B49">
            <w:pPr>
              <w:spacing w:line="276" w:lineRule="auto"/>
              <w:ind w:right="4053" w:rightChars="1930"/>
              <w:rPr>
                <w:rFonts w:ascii="宋体" w:hAnsi="宋体"/>
                <w:sz w:val="24"/>
              </w:rPr>
            </w:pPr>
          </w:p>
          <w:p w14:paraId="1EBA3F7A">
            <w:pPr>
              <w:spacing w:line="276" w:lineRule="auto"/>
              <w:rPr>
                <w:rFonts w:ascii="宋体" w:hAnsi="宋体"/>
                <w:sz w:val="24"/>
              </w:rPr>
            </w:pPr>
          </w:p>
        </w:tc>
      </w:tr>
      <w:tr w14:paraId="37320F8A">
        <w:tblPrEx>
          <w:tblCellMar>
            <w:top w:w="0" w:type="dxa"/>
            <w:left w:w="108" w:type="dxa"/>
            <w:bottom w:w="0" w:type="dxa"/>
            <w:right w:w="108" w:type="dxa"/>
          </w:tblCellMar>
        </w:tblPrEx>
        <w:trPr>
          <w:trHeight w:val="499" w:hRule="atLeast"/>
        </w:trPr>
        <w:tc>
          <w:tcPr>
            <w:tcW w:w="12900" w:type="dxa"/>
            <w:tcBorders>
              <w:top w:val="nil"/>
              <w:left w:val="nil"/>
              <w:bottom w:val="nil"/>
              <w:right w:val="nil"/>
            </w:tcBorders>
            <w:vAlign w:val="bottom"/>
          </w:tcPr>
          <w:p w14:paraId="31DCF93B">
            <w:pPr>
              <w:spacing w:line="276" w:lineRule="auto"/>
              <w:rPr>
                <w:rFonts w:ascii="宋体" w:hAnsi="宋体"/>
                <w:sz w:val="24"/>
              </w:rPr>
            </w:pPr>
            <w:r>
              <w:rPr>
                <w:rFonts w:hint="eastAsia" w:ascii="宋体" w:hAnsi="宋体"/>
                <w:sz w:val="24"/>
              </w:rPr>
              <w:t>注：本表中所列材料设备应仅限于承包人自行采购范围内的材料设备。</w:t>
            </w:r>
          </w:p>
          <w:p w14:paraId="0552090E">
            <w:pPr>
              <w:spacing w:line="276" w:lineRule="auto"/>
              <w:ind w:firstLine="480" w:firstLineChars="200"/>
              <w:rPr>
                <w:rFonts w:ascii="宋体" w:hAnsi="宋体"/>
                <w:sz w:val="24"/>
              </w:rPr>
            </w:pPr>
            <w:r>
              <w:rPr>
                <w:rFonts w:hint="eastAsia" w:ascii="宋体" w:hAnsi="宋体"/>
                <w:sz w:val="24"/>
              </w:rPr>
              <w:t>本表格可以按照同样的格式扩展。</w:t>
            </w:r>
          </w:p>
        </w:tc>
      </w:tr>
    </w:tbl>
    <w:p w14:paraId="168AF67B">
      <w:pPr>
        <w:spacing w:line="276" w:lineRule="auto"/>
        <w:rPr>
          <w:rFonts w:ascii="宋体" w:hAnsi="宋体"/>
          <w:b/>
          <w:bCs/>
          <w:kern w:val="44"/>
          <w:sz w:val="24"/>
        </w:rPr>
      </w:pPr>
    </w:p>
    <w:p w14:paraId="6C1E7BE3">
      <w:pPr>
        <w:spacing w:line="276" w:lineRule="auto"/>
        <w:rPr>
          <w:rFonts w:ascii="宋体" w:hAnsi="宋体"/>
          <w:b/>
          <w:bCs/>
          <w:kern w:val="44"/>
          <w:sz w:val="24"/>
        </w:rPr>
      </w:pPr>
    </w:p>
    <w:p w14:paraId="68839DF0">
      <w:pPr>
        <w:adjustRightInd w:val="0"/>
        <w:snapToGrid w:val="0"/>
        <w:spacing w:before="25" w:after="25" w:line="276" w:lineRule="auto"/>
        <w:ind w:right="360"/>
        <w:rPr>
          <w:rFonts w:ascii="宋体" w:hAnsi="宋体"/>
          <w:sz w:val="24"/>
          <w:lang w:val="zh-CN"/>
        </w:rPr>
      </w:pPr>
      <w:r>
        <w:rPr>
          <w:rFonts w:hint="eastAsia" w:ascii="宋体" w:hAnsi="宋体"/>
          <w:sz w:val="24"/>
        </w:rPr>
        <w:t>供应商名称（加盖公章）</w:t>
      </w:r>
      <w:r>
        <w:rPr>
          <w:rFonts w:hint="eastAsia" w:ascii="宋体" w:hAnsi="宋体"/>
          <w:sz w:val="24"/>
          <w:lang w:val="zh-CN"/>
        </w:rPr>
        <w:t>：</w:t>
      </w:r>
      <w:r>
        <w:rPr>
          <w:rFonts w:hint="eastAsia" w:ascii="宋体" w:hAnsi="宋体"/>
          <w:sz w:val="24"/>
        </w:rPr>
        <w:t>______</w:t>
      </w:r>
    </w:p>
    <w:p w14:paraId="1C4EDE60">
      <w:pPr>
        <w:adjustRightInd w:val="0"/>
        <w:snapToGrid w:val="0"/>
        <w:spacing w:before="25" w:after="25" w:line="276" w:lineRule="auto"/>
        <w:ind w:right="360"/>
        <w:rPr>
          <w:rFonts w:ascii="宋体" w:hAnsi="宋体"/>
          <w:sz w:val="24"/>
        </w:rPr>
      </w:pPr>
      <w:r>
        <w:rPr>
          <w:rFonts w:hint="eastAsia" w:ascii="宋体" w:hAnsi="宋体"/>
          <w:sz w:val="24"/>
        </w:rPr>
        <w:t>日期：____年____月____日</w:t>
      </w:r>
    </w:p>
    <w:p w14:paraId="18B5C8B7">
      <w:pPr>
        <w:spacing w:line="276" w:lineRule="auto"/>
        <w:rPr>
          <w:rFonts w:ascii="宋体" w:hAnsi="宋体"/>
          <w:b/>
          <w:bCs/>
          <w:kern w:val="44"/>
          <w:sz w:val="24"/>
        </w:rPr>
      </w:pPr>
    </w:p>
    <w:p w14:paraId="10E1E508">
      <w:pPr>
        <w:widowControl/>
        <w:jc w:val="left"/>
        <w:rPr>
          <w:rFonts w:eastAsiaTheme="minorEastAsia"/>
          <w:sz w:val="24"/>
        </w:rPr>
      </w:pPr>
      <w:r>
        <w:rPr>
          <w:rFonts w:eastAsiaTheme="minorEastAsia"/>
          <w:sz w:val="24"/>
        </w:rPr>
        <w:br w:type="page"/>
      </w:r>
    </w:p>
    <w:p w14:paraId="451C217F">
      <w:pPr>
        <w:tabs>
          <w:tab w:val="left" w:pos="360"/>
        </w:tabs>
        <w:snapToGrid w:val="0"/>
        <w:spacing w:line="360" w:lineRule="auto"/>
        <w:outlineLvl w:val="1"/>
        <w:rPr>
          <w:rFonts w:eastAsiaTheme="minorEastAsia"/>
          <w:sz w:val="24"/>
        </w:rPr>
      </w:pPr>
      <w:bookmarkStart w:id="2696" w:name="_Toc526596266"/>
      <w:bookmarkStart w:id="2697" w:name="_Toc106116021"/>
      <w:r>
        <w:rPr>
          <w:rFonts w:hint="eastAsia" w:eastAsiaTheme="minorEastAsia"/>
          <w:sz w:val="24"/>
        </w:rPr>
        <w:t xml:space="preserve">19 项目经理承诺书 </w:t>
      </w:r>
    </w:p>
    <w:p w14:paraId="633DEAD0">
      <w:pPr>
        <w:pStyle w:val="84"/>
        <w:autoSpaceDE w:val="0"/>
        <w:autoSpaceDN w:val="0"/>
        <w:spacing w:line="276" w:lineRule="auto"/>
        <w:ind w:left="896" w:firstLine="0" w:firstLineChars="0"/>
        <w:rPr>
          <w:rFonts w:ascii="宋体" w:hAnsi="宋体"/>
          <w:sz w:val="24"/>
          <w:szCs w:val="24"/>
        </w:rPr>
      </w:pPr>
    </w:p>
    <w:p w14:paraId="59661A0F">
      <w:pPr>
        <w:adjustRightInd w:val="0"/>
        <w:spacing w:line="276" w:lineRule="auto"/>
        <w:jc w:val="center"/>
        <w:rPr>
          <w:rFonts w:ascii="宋体" w:hAnsi="宋体"/>
          <w:sz w:val="36"/>
          <w:szCs w:val="36"/>
        </w:rPr>
      </w:pPr>
    </w:p>
    <w:p w14:paraId="3D028BE3">
      <w:pPr>
        <w:adjustRightInd w:val="0"/>
        <w:spacing w:line="276" w:lineRule="auto"/>
        <w:jc w:val="center"/>
        <w:rPr>
          <w:rFonts w:ascii="宋体" w:hAnsi="宋体"/>
          <w:sz w:val="28"/>
          <w:szCs w:val="28"/>
        </w:rPr>
      </w:pPr>
      <w:r>
        <w:rPr>
          <w:rFonts w:hint="eastAsia" w:ascii="宋体" w:hAnsi="宋体"/>
          <w:sz w:val="28"/>
          <w:szCs w:val="28"/>
        </w:rPr>
        <w:t>项目经理承诺书</w:t>
      </w:r>
    </w:p>
    <w:p w14:paraId="25BD6686">
      <w:pPr>
        <w:adjustRightInd w:val="0"/>
        <w:spacing w:line="276" w:lineRule="auto"/>
        <w:jc w:val="center"/>
        <w:rPr>
          <w:rFonts w:ascii="宋体" w:hAnsi="宋体"/>
          <w:sz w:val="36"/>
          <w:szCs w:val="36"/>
        </w:rPr>
      </w:pPr>
    </w:p>
    <w:p w14:paraId="6E12DB19">
      <w:pPr>
        <w:adjustRightInd w:val="0"/>
        <w:spacing w:line="360" w:lineRule="auto"/>
        <w:ind w:firstLine="240" w:firstLineChars="100"/>
        <w:rPr>
          <w:rFonts w:ascii="宋体" w:hAnsi="宋体"/>
          <w:sz w:val="24"/>
        </w:rPr>
      </w:pPr>
      <w:r>
        <w:rPr>
          <w:rFonts w:hint="eastAsia" w:ascii="宋体" w:hAnsi="宋体"/>
          <w:sz w:val="24"/>
          <w:u w:val="single"/>
        </w:rPr>
        <w:t>（采购人名称）</w:t>
      </w:r>
      <w:r>
        <w:rPr>
          <w:rFonts w:hint="eastAsia" w:ascii="宋体" w:hAnsi="宋体"/>
          <w:sz w:val="24"/>
        </w:rPr>
        <w:t xml:space="preserve">： </w:t>
      </w:r>
    </w:p>
    <w:p w14:paraId="646C45AA">
      <w:pPr>
        <w:adjustRightInd w:val="0"/>
        <w:spacing w:line="360" w:lineRule="auto"/>
        <w:ind w:left="229" w:leftChars="109" w:firstLine="480" w:firstLineChars="200"/>
        <w:rPr>
          <w:rFonts w:ascii="宋体" w:hAnsi="宋体"/>
          <w:sz w:val="24"/>
        </w:rPr>
      </w:pPr>
      <w:r>
        <w:rPr>
          <w:rFonts w:hint="eastAsia" w:ascii="宋体" w:hAnsi="宋体"/>
          <w:sz w:val="24"/>
        </w:rPr>
        <w:t xml:space="preserve">我公司在此承诺，在确定成交供应商时，我单位拟派项目经理未担任其他在施建设工程项目的项目经理。 </w:t>
      </w:r>
    </w:p>
    <w:p w14:paraId="28B98711">
      <w:pPr>
        <w:adjustRightInd w:val="0"/>
        <w:spacing w:line="360" w:lineRule="auto"/>
        <w:ind w:left="229" w:leftChars="109" w:firstLine="480" w:firstLineChars="200"/>
        <w:rPr>
          <w:rFonts w:ascii="宋体" w:hAnsi="宋体"/>
          <w:sz w:val="24"/>
        </w:rPr>
      </w:pPr>
      <w:r>
        <w:rPr>
          <w:rFonts w:hint="eastAsia" w:ascii="宋体" w:hAnsi="宋体"/>
          <w:sz w:val="24"/>
        </w:rPr>
        <w:t xml:space="preserve">我方保证上述信息的真实和准确，并愿意承担因我方就此弄虚作假所引起的一切法律后果。 </w:t>
      </w:r>
    </w:p>
    <w:p w14:paraId="707F57C3">
      <w:pPr>
        <w:adjustRightInd w:val="0"/>
        <w:spacing w:line="360" w:lineRule="auto"/>
        <w:rPr>
          <w:rFonts w:ascii="宋体" w:hAnsi="宋体"/>
          <w:sz w:val="24"/>
        </w:rPr>
      </w:pPr>
    </w:p>
    <w:p w14:paraId="6056C3B5">
      <w:pPr>
        <w:pStyle w:val="84"/>
        <w:adjustRightInd w:val="0"/>
        <w:snapToGrid w:val="0"/>
        <w:spacing w:before="25" w:after="25" w:line="360" w:lineRule="auto"/>
        <w:ind w:left="900" w:right="360" w:firstLine="480"/>
        <w:rPr>
          <w:rFonts w:ascii="宋体" w:hAnsi="宋体"/>
          <w:sz w:val="24"/>
        </w:rPr>
      </w:pPr>
    </w:p>
    <w:p w14:paraId="7B9ED7EF">
      <w:pPr>
        <w:pStyle w:val="84"/>
        <w:adjustRightInd w:val="0"/>
        <w:snapToGrid w:val="0"/>
        <w:spacing w:before="25" w:after="25" w:line="276" w:lineRule="auto"/>
        <w:ind w:left="900" w:right="360" w:firstLine="480"/>
        <w:rPr>
          <w:rFonts w:ascii="宋体" w:hAnsi="宋体"/>
          <w:sz w:val="24"/>
        </w:rPr>
      </w:pPr>
    </w:p>
    <w:p w14:paraId="17CEDC38">
      <w:pPr>
        <w:pStyle w:val="84"/>
        <w:adjustRightInd w:val="0"/>
        <w:snapToGrid w:val="0"/>
        <w:spacing w:before="25" w:after="25" w:line="276" w:lineRule="auto"/>
        <w:ind w:left="900" w:right="360" w:firstLine="480"/>
        <w:rPr>
          <w:rFonts w:ascii="宋体" w:hAnsi="宋体"/>
          <w:sz w:val="24"/>
          <w:u w:val="single"/>
          <w:lang w:val="zh-CN"/>
        </w:rPr>
      </w:pPr>
      <w:r>
        <w:rPr>
          <w:rFonts w:hint="eastAsia" w:ascii="宋体" w:hAnsi="宋体"/>
          <w:sz w:val="24"/>
        </w:rPr>
        <w:t>供应商名称（加盖公章）</w:t>
      </w:r>
      <w:r>
        <w:rPr>
          <w:rFonts w:hint="eastAsia" w:ascii="宋体" w:hAnsi="宋体"/>
          <w:sz w:val="24"/>
          <w:lang w:val="zh-CN"/>
        </w:rPr>
        <w:t>：</w:t>
      </w:r>
      <w:r>
        <w:rPr>
          <w:rFonts w:hint="eastAsia" w:ascii="宋体" w:hAnsi="宋体"/>
          <w:sz w:val="24"/>
          <w:u w:val="single"/>
          <w:lang w:val="zh-CN"/>
        </w:rPr>
        <w:t xml:space="preserve">            </w:t>
      </w:r>
    </w:p>
    <w:p w14:paraId="75E31580">
      <w:pPr>
        <w:pStyle w:val="84"/>
        <w:adjustRightInd w:val="0"/>
        <w:snapToGrid w:val="0"/>
        <w:spacing w:before="25" w:after="25" w:line="276" w:lineRule="auto"/>
        <w:ind w:left="900" w:right="360" w:firstLine="480"/>
        <w:rPr>
          <w:rFonts w:ascii="宋体" w:hAnsi="宋体"/>
          <w:sz w:val="24"/>
          <w:u w:val="single"/>
          <w:lang w:val="zh-CN"/>
        </w:rPr>
      </w:pPr>
    </w:p>
    <w:p w14:paraId="23BCC271">
      <w:pPr>
        <w:pStyle w:val="84"/>
        <w:spacing w:line="276" w:lineRule="auto"/>
        <w:ind w:left="900" w:firstLine="480"/>
        <w:rPr>
          <w:rFonts w:ascii="宋体" w:hAnsi="宋体"/>
          <w:sz w:val="24"/>
          <w:szCs w:val="20"/>
        </w:rPr>
      </w:pPr>
      <w:r>
        <w:rPr>
          <w:rFonts w:hint="eastAsia" w:ascii="宋体" w:hAnsi="宋体"/>
          <w:sz w:val="24"/>
          <w:szCs w:val="20"/>
        </w:rPr>
        <w:t>日期：</w:t>
      </w:r>
      <w:r>
        <w:rPr>
          <w:rFonts w:hint="eastAsia" w:ascii="宋体" w:hAnsi="宋体"/>
          <w:sz w:val="24"/>
          <w:u w:val="single"/>
          <w:lang w:val="zh-CN"/>
        </w:rPr>
        <w:t xml:space="preserve">       </w:t>
      </w:r>
      <w:r>
        <w:rPr>
          <w:rFonts w:hint="eastAsia" w:ascii="宋体" w:hAnsi="宋体"/>
          <w:sz w:val="24"/>
          <w:szCs w:val="20"/>
        </w:rPr>
        <w:t>年</w:t>
      </w:r>
      <w:r>
        <w:rPr>
          <w:rFonts w:hint="eastAsia" w:ascii="宋体" w:hAnsi="宋体"/>
          <w:sz w:val="24"/>
          <w:u w:val="single"/>
          <w:lang w:val="zh-CN"/>
        </w:rPr>
        <w:t xml:space="preserve">       </w:t>
      </w:r>
      <w:r>
        <w:rPr>
          <w:rFonts w:hint="eastAsia" w:ascii="宋体" w:hAnsi="宋体"/>
          <w:sz w:val="24"/>
          <w:szCs w:val="20"/>
        </w:rPr>
        <w:t>月</w:t>
      </w:r>
      <w:r>
        <w:rPr>
          <w:rFonts w:hint="eastAsia" w:ascii="宋体" w:hAnsi="宋体"/>
          <w:sz w:val="24"/>
          <w:u w:val="single"/>
          <w:lang w:val="zh-CN"/>
        </w:rPr>
        <w:t xml:space="preserve">       </w:t>
      </w:r>
      <w:r>
        <w:rPr>
          <w:rFonts w:hint="eastAsia" w:ascii="宋体" w:hAnsi="宋体"/>
          <w:sz w:val="24"/>
          <w:szCs w:val="20"/>
        </w:rPr>
        <w:t>日</w:t>
      </w:r>
    </w:p>
    <w:p w14:paraId="672707C3">
      <w:pPr>
        <w:widowControl/>
        <w:jc w:val="left"/>
        <w:rPr>
          <w:rFonts w:ascii="宋体" w:hAnsi="宋体"/>
          <w:sz w:val="24"/>
          <w:szCs w:val="20"/>
        </w:rPr>
      </w:pPr>
      <w:r>
        <w:rPr>
          <w:rFonts w:hint="eastAsia" w:ascii="宋体" w:hAnsi="宋体"/>
          <w:sz w:val="24"/>
          <w:szCs w:val="20"/>
        </w:rPr>
        <w:br w:type="page"/>
      </w:r>
      <w:r>
        <w:rPr>
          <w:rFonts w:hint="eastAsia" w:eastAsiaTheme="minorEastAsia"/>
          <w:sz w:val="24"/>
        </w:rPr>
        <w:t>2</w:t>
      </w:r>
      <w:r>
        <w:rPr>
          <w:rFonts w:eastAsiaTheme="minorEastAsia"/>
          <w:sz w:val="24"/>
        </w:rPr>
        <w:t>0</w:t>
      </w:r>
      <w:r>
        <w:rPr>
          <w:rFonts w:hint="eastAsia" w:eastAsiaTheme="minorEastAsia"/>
          <w:sz w:val="24"/>
        </w:rPr>
        <w:t xml:space="preserve"> 施工组织设计</w:t>
      </w:r>
    </w:p>
    <w:p w14:paraId="5F61C2EB">
      <w:pPr>
        <w:pStyle w:val="84"/>
        <w:autoSpaceDE w:val="0"/>
        <w:autoSpaceDN w:val="0"/>
        <w:spacing w:line="480" w:lineRule="auto"/>
        <w:ind w:left="896" w:firstLine="0" w:firstLineChars="0"/>
        <w:rPr>
          <w:rFonts w:ascii="宋体" w:hAnsi="宋体"/>
          <w:sz w:val="24"/>
          <w:szCs w:val="24"/>
        </w:rPr>
      </w:pPr>
    </w:p>
    <w:p w14:paraId="447F8D9C">
      <w:pPr>
        <w:spacing w:line="480" w:lineRule="auto"/>
        <w:ind w:firstLine="480" w:firstLineChars="200"/>
        <w:rPr>
          <w:rFonts w:ascii="宋体" w:hAnsi="宋体"/>
          <w:sz w:val="24"/>
        </w:rPr>
      </w:pPr>
      <w:r>
        <w:rPr>
          <w:rFonts w:hint="eastAsia" w:ascii="宋体" w:hAnsi="宋体"/>
          <w:sz w:val="24"/>
        </w:rPr>
        <w:t>（1）供应商应根据磋商文件，采用文字并结合图表形式，采用“明标”形式。</w:t>
      </w:r>
    </w:p>
    <w:p w14:paraId="6C686426">
      <w:pPr>
        <w:pStyle w:val="169"/>
        <w:spacing w:line="480" w:lineRule="auto"/>
        <w:ind w:firstLine="480" w:firstLineChars="200"/>
        <w:jc w:val="both"/>
        <w:rPr>
          <w:rFonts w:ascii="宋体" w:hAnsi="宋体" w:cs="宋体"/>
          <w:color w:val="auto"/>
        </w:rPr>
      </w:pPr>
      <w:r>
        <w:rPr>
          <w:rFonts w:hint="eastAsia" w:ascii="宋体" w:hAnsi="宋体"/>
          <w:color w:val="auto"/>
        </w:rPr>
        <w:t>（2）</w:t>
      </w:r>
      <w:r>
        <w:rPr>
          <w:rFonts w:hint="eastAsia" w:ascii="宋体" w:hAnsi="宋体" w:cs="宋体"/>
          <w:color w:val="auto"/>
        </w:rPr>
        <w:t xml:space="preserve">内容包括但不限于： </w:t>
      </w:r>
    </w:p>
    <w:p w14:paraId="7BD6F4C5">
      <w:pPr>
        <w:adjustRightInd w:val="0"/>
        <w:spacing w:line="480" w:lineRule="auto"/>
        <w:ind w:firstLine="720" w:firstLineChars="300"/>
        <w:rPr>
          <w:rFonts w:ascii="宋体" w:hAnsi="宋体"/>
          <w:sz w:val="24"/>
        </w:rPr>
      </w:pPr>
      <w:r>
        <w:rPr>
          <w:rFonts w:hint="eastAsia" w:ascii="宋体" w:hAnsi="宋体"/>
          <w:sz w:val="24"/>
        </w:rPr>
        <w:t xml:space="preserve">A 施工方案与技术措施 </w:t>
      </w:r>
    </w:p>
    <w:p w14:paraId="00792A39">
      <w:pPr>
        <w:adjustRightInd w:val="0"/>
        <w:spacing w:line="480" w:lineRule="auto"/>
        <w:ind w:firstLine="720" w:firstLineChars="300"/>
        <w:rPr>
          <w:rFonts w:ascii="宋体" w:hAnsi="宋体"/>
          <w:sz w:val="24"/>
        </w:rPr>
      </w:pPr>
      <w:r>
        <w:rPr>
          <w:rFonts w:hint="eastAsia" w:ascii="宋体" w:hAnsi="宋体"/>
          <w:sz w:val="24"/>
        </w:rPr>
        <w:t xml:space="preserve">B 质量管理体系与保证措施 </w:t>
      </w:r>
    </w:p>
    <w:p w14:paraId="43557B8A">
      <w:pPr>
        <w:adjustRightInd w:val="0"/>
        <w:spacing w:line="480" w:lineRule="auto"/>
        <w:ind w:firstLine="720" w:firstLineChars="300"/>
        <w:rPr>
          <w:rFonts w:ascii="宋体" w:hAnsi="宋体"/>
          <w:sz w:val="24"/>
        </w:rPr>
      </w:pPr>
      <w:r>
        <w:rPr>
          <w:rFonts w:hint="eastAsia" w:ascii="宋体" w:hAnsi="宋体"/>
          <w:sz w:val="24"/>
        </w:rPr>
        <w:t xml:space="preserve">C 安全和绿色施工保障措施 </w:t>
      </w:r>
    </w:p>
    <w:p w14:paraId="417124C4">
      <w:pPr>
        <w:tabs>
          <w:tab w:val="left" w:pos="720"/>
        </w:tabs>
        <w:spacing w:line="480" w:lineRule="auto"/>
        <w:ind w:firstLine="720" w:firstLineChars="300"/>
        <w:rPr>
          <w:rFonts w:ascii="宋体" w:hAnsi="宋体"/>
          <w:sz w:val="24"/>
        </w:rPr>
      </w:pPr>
      <w:r>
        <w:rPr>
          <w:rFonts w:hint="eastAsia" w:ascii="宋体" w:hAnsi="宋体"/>
          <w:sz w:val="24"/>
        </w:rPr>
        <w:t>D 工程进度计划与保证措施</w:t>
      </w:r>
    </w:p>
    <w:p w14:paraId="2C9C4B05">
      <w:pPr>
        <w:tabs>
          <w:tab w:val="left" w:pos="720"/>
        </w:tabs>
        <w:spacing w:line="480" w:lineRule="auto"/>
        <w:ind w:left="-105" w:leftChars="-50" w:firstLine="720" w:firstLineChars="300"/>
        <w:rPr>
          <w:rFonts w:ascii="宋体" w:hAnsi="宋体"/>
          <w:sz w:val="24"/>
        </w:rPr>
      </w:pPr>
      <w:r>
        <w:rPr>
          <w:rFonts w:hint="eastAsia" w:ascii="宋体" w:hAnsi="宋体"/>
          <w:sz w:val="24"/>
        </w:rPr>
        <w:t xml:space="preserve">(3)施工组织设计除采用文字表述外可附下列图表，图表及格式要求附后。 </w:t>
      </w:r>
    </w:p>
    <w:p w14:paraId="02F6D42A">
      <w:pPr>
        <w:tabs>
          <w:tab w:val="left" w:pos="720"/>
        </w:tabs>
        <w:spacing w:line="480" w:lineRule="auto"/>
        <w:ind w:firstLine="720" w:firstLineChars="300"/>
        <w:rPr>
          <w:rFonts w:ascii="宋体" w:hAnsi="宋体"/>
          <w:sz w:val="24"/>
        </w:rPr>
      </w:pPr>
      <w:r>
        <w:rPr>
          <w:rFonts w:hint="eastAsia" w:ascii="宋体" w:hAnsi="宋体"/>
          <w:sz w:val="24"/>
        </w:rPr>
        <w:t>附表一  拟投入本工程的主要施工设备表</w:t>
      </w:r>
    </w:p>
    <w:p w14:paraId="5235FE76">
      <w:pPr>
        <w:tabs>
          <w:tab w:val="left" w:pos="720"/>
        </w:tabs>
        <w:spacing w:line="480" w:lineRule="auto"/>
        <w:ind w:firstLine="720" w:firstLineChars="300"/>
        <w:rPr>
          <w:rFonts w:ascii="宋体" w:hAnsi="宋体"/>
          <w:sz w:val="24"/>
        </w:rPr>
      </w:pPr>
      <w:r>
        <w:rPr>
          <w:rFonts w:hint="eastAsia" w:ascii="宋体" w:hAnsi="宋体"/>
          <w:sz w:val="24"/>
        </w:rPr>
        <w:t>附表二  拟配备本工程的试验和检测仪器设备表</w:t>
      </w:r>
    </w:p>
    <w:p w14:paraId="7C6FDF57">
      <w:pPr>
        <w:tabs>
          <w:tab w:val="left" w:pos="720"/>
        </w:tabs>
        <w:spacing w:line="480" w:lineRule="auto"/>
        <w:ind w:firstLine="720" w:firstLineChars="300"/>
        <w:rPr>
          <w:rFonts w:ascii="宋体" w:hAnsi="宋体"/>
          <w:sz w:val="24"/>
        </w:rPr>
      </w:pPr>
      <w:r>
        <w:rPr>
          <w:rFonts w:hint="eastAsia" w:ascii="宋体" w:hAnsi="宋体"/>
          <w:sz w:val="24"/>
        </w:rPr>
        <w:t>附表三  劳动力计划表</w:t>
      </w:r>
    </w:p>
    <w:p w14:paraId="6AD801B7">
      <w:pPr>
        <w:spacing w:line="480" w:lineRule="auto"/>
        <w:ind w:firstLine="720" w:firstLineChars="300"/>
        <w:rPr>
          <w:rFonts w:ascii="宋体" w:hAnsi="宋体"/>
          <w:sz w:val="24"/>
        </w:rPr>
      </w:pPr>
      <w:r>
        <w:rPr>
          <w:rFonts w:hint="eastAsia" w:ascii="宋体" w:hAnsi="宋体"/>
          <w:sz w:val="24"/>
        </w:rPr>
        <w:t>附表四  计划开、竣工日期和施工进度网络图</w:t>
      </w:r>
    </w:p>
    <w:p w14:paraId="7BC6C615">
      <w:pPr>
        <w:spacing w:line="276" w:lineRule="auto"/>
        <w:ind w:firstLine="720" w:firstLineChars="300"/>
        <w:rPr>
          <w:rFonts w:ascii="宋体" w:hAnsi="宋体"/>
          <w:sz w:val="24"/>
        </w:rPr>
      </w:pPr>
    </w:p>
    <w:p w14:paraId="13AA1688">
      <w:pPr>
        <w:spacing w:line="276" w:lineRule="auto"/>
        <w:ind w:left="1227" w:leftChars="240" w:hanging="723" w:hangingChars="300"/>
        <w:rPr>
          <w:rFonts w:ascii="宋体" w:hAnsi="宋体"/>
          <w:b/>
          <w:sz w:val="24"/>
        </w:rPr>
      </w:pPr>
      <w:r>
        <w:rPr>
          <w:rFonts w:hint="eastAsia" w:ascii="宋体" w:hAnsi="宋体"/>
          <w:b/>
          <w:sz w:val="24"/>
        </w:rPr>
        <w:t>备注：响应文件的施工组织设计应针对该项目的关键技术、工艺、重点、难点。</w:t>
      </w:r>
    </w:p>
    <w:p w14:paraId="7F2F1F77">
      <w:pPr>
        <w:widowControl/>
        <w:rPr>
          <w:rFonts w:ascii="宋体" w:hAnsi="宋体"/>
          <w:sz w:val="24"/>
        </w:rPr>
      </w:pPr>
    </w:p>
    <w:p w14:paraId="4DD7240C">
      <w:pPr>
        <w:tabs>
          <w:tab w:val="left" w:pos="720"/>
        </w:tabs>
        <w:spacing w:line="276" w:lineRule="auto"/>
        <w:ind w:firstLine="480" w:firstLineChars="200"/>
        <w:rPr>
          <w:rFonts w:ascii="宋体" w:hAnsi="宋体"/>
          <w:sz w:val="24"/>
        </w:rPr>
      </w:pPr>
      <w:bookmarkStart w:id="2698" w:name="_Toc428172994"/>
      <w:bookmarkStart w:id="2699" w:name="_Toc415600093"/>
      <w:bookmarkStart w:id="2700" w:name="_Toc241459824"/>
      <w:bookmarkStart w:id="2701" w:name="_Toc152045797"/>
      <w:bookmarkStart w:id="2702" w:name="_Toc179632817"/>
      <w:bookmarkStart w:id="2703" w:name="_Toc342296581"/>
      <w:bookmarkStart w:id="2704" w:name="_Toc152042586"/>
      <w:bookmarkStart w:id="2705" w:name="_Toc144974865"/>
      <w:bookmarkStart w:id="2706" w:name="_Toc404614329"/>
      <w:r>
        <w:rPr>
          <w:rFonts w:ascii="宋体" w:hAnsi="宋体"/>
          <w:sz w:val="24"/>
        </w:rPr>
        <w:br w:type="page"/>
      </w:r>
      <w:r>
        <w:rPr>
          <w:rFonts w:hint="eastAsia" w:ascii="宋体" w:hAnsi="宋体"/>
          <w:sz w:val="24"/>
        </w:rPr>
        <w:t>附表一：拟投入本工程的主要施工设备表</w:t>
      </w:r>
      <w:bookmarkEnd w:id="2698"/>
      <w:bookmarkEnd w:id="2699"/>
      <w:bookmarkEnd w:id="2700"/>
      <w:bookmarkEnd w:id="2701"/>
      <w:bookmarkEnd w:id="2702"/>
      <w:bookmarkEnd w:id="2703"/>
      <w:bookmarkEnd w:id="2704"/>
      <w:bookmarkEnd w:id="2705"/>
      <w:bookmarkEnd w:id="2706"/>
    </w:p>
    <w:tbl>
      <w:tblPr>
        <w:tblStyle w:val="49"/>
        <w:tblW w:w="87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087"/>
        <w:gridCol w:w="761"/>
        <w:gridCol w:w="991"/>
        <w:gridCol w:w="672"/>
        <w:gridCol w:w="739"/>
        <w:gridCol w:w="1213"/>
        <w:gridCol w:w="875"/>
        <w:gridCol w:w="1055"/>
        <w:gridCol w:w="691"/>
      </w:tblGrid>
      <w:tr w14:paraId="0BC3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666" w:type="dxa"/>
            <w:vAlign w:val="center"/>
          </w:tcPr>
          <w:p w14:paraId="518EB81A">
            <w:pPr>
              <w:spacing w:line="276" w:lineRule="auto"/>
              <w:rPr>
                <w:rFonts w:ascii="宋体" w:hAnsi="宋体"/>
                <w:sz w:val="24"/>
              </w:rPr>
            </w:pPr>
            <w:r>
              <w:rPr>
                <w:rFonts w:hint="eastAsia" w:ascii="宋体" w:hAnsi="宋体"/>
                <w:sz w:val="24"/>
              </w:rPr>
              <w:t>序号</w:t>
            </w:r>
          </w:p>
        </w:tc>
        <w:tc>
          <w:tcPr>
            <w:tcW w:w="1087" w:type="dxa"/>
            <w:vAlign w:val="center"/>
          </w:tcPr>
          <w:p w14:paraId="6B398BD1">
            <w:pPr>
              <w:spacing w:line="276" w:lineRule="auto"/>
              <w:rPr>
                <w:rFonts w:ascii="宋体" w:hAnsi="宋体"/>
                <w:sz w:val="24"/>
              </w:rPr>
            </w:pPr>
            <w:r>
              <w:rPr>
                <w:rFonts w:hint="eastAsia" w:ascii="宋体" w:hAnsi="宋体"/>
                <w:sz w:val="24"/>
              </w:rPr>
              <w:t>设备名称</w:t>
            </w:r>
          </w:p>
        </w:tc>
        <w:tc>
          <w:tcPr>
            <w:tcW w:w="761" w:type="dxa"/>
            <w:vAlign w:val="center"/>
          </w:tcPr>
          <w:p w14:paraId="19B5D0FB">
            <w:pPr>
              <w:spacing w:line="276" w:lineRule="auto"/>
              <w:rPr>
                <w:rFonts w:ascii="宋体" w:hAnsi="宋体"/>
                <w:sz w:val="24"/>
              </w:rPr>
            </w:pPr>
            <w:r>
              <w:rPr>
                <w:rFonts w:hint="eastAsia" w:ascii="宋体" w:hAnsi="宋体"/>
                <w:sz w:val="24"/>
              </w:rPr>
              <w:t>型号</w:t>
            </w:r>
          </w:p>
          <w:p w14:paraId="6F1EF0FE">
            <w:pPr>
              <w:spacing w:line="276" w:lineRule="auto"/>
              <w:rPr>
                <w:rFonts w:ascii="宋体" w:hAnsi="宋体"/>
                <w:sz w:val="24"/>
              </w:rPr>
            </w:pPr>
            <w:r>
              <w:rPr>
                <w:rFonts w:hint="eastAsia" w:ascii="宋体" w:hAnsi="宋体"/>
                <w:sz w:val="24"/>
              </w:rPr>
              <w:t>规格</w:t>
            </w:r>
          </w:p>
        </w:tc>
        <w:tc>
          <w:tcPr>
            <w:tcW w:w="991" w:type="dxa"/>
            <w:vAlign w:val="center"/>
          </w:tcPr>
          <w:p w14:paraId="111028E0">
            <w:pPr>
              <w:spacing w:line="276" w:lineRule="auto"/>
              <w:rPr>
                <w:rFonts w:ascii="宋体" w:hAnsi="宋体"/>
                <w:sz w:val="24"/>
              </w:rPr>
            </w:pPr>
            <w:r>
              <w:rPr>
                <w:rFonts w:hint="eastAsia" w:ascii="宋体" w:hAnsi="宋体"/>
                <w:sz w:val="24"/>
              </w:rPr>
              <w:t>数  量</w:t>
            </w:r>
          </w:p>
        </w:tc>
        <w:tc>
          <w:tcPr>
            <w:tcW w:w="672" w:type="dxa"/>
            <w:vAlign w:val="center"/>
          </w:tcPr>
          <w:p w14:paraId="33FCE2BB">
            <w:pPr>
              <w:spacing w:line="276" w:lineRule="auto"/>
              <w:rPr>
                <w:rFonts w:ascii="宋体" w:hAnsi="宋体"/>
                <w:sz w:val="24"/>
              </w:rPr>
            </w:pPr>
            <w:r>
              <w:rPr>
                <w:rFonts w:hint="eastAsia" w:ascii="宋体" w:hAnsi="宋体"/>
                <w:sz w:val="24"/>
              </w:rPr>
              <w:t>国别</w:t>
            </w:r>
          </w:p>
          <w:p w14:paraId="0792F31C">
            <w:pPr>
              <w:spacing w:line="276" w:lineRule="auto"/>
              <w:rPr>
                <w:rFonts w:ascii="宋体" w:hAnsi="宋体"/>
                <w:sz w:val="24"/>
              </w:rPr>
            </w:pPr>
            <w:r>
              <w:rPr>
                <w:rFonts w:hint="eastAsia" w:ascii="宋体" w:hAnsi="宋体"/>
                <w:sz w:val="24"/>
              </w:rPr>
              <w:t>产地</w:t>
            </w:r>
          </w:p>
        </w:tc>
        <w:tc>
          <w:tcPr>
            <w:tcW w:w="739" w:type="dxa"/>
            <w:vAlign w:val="center"/>
          </w:tcPr>
          <w:p w14:paraId="2B851E1D">
            <w:pPr>
              <w:spacing w:line="276" w:lineRule="auto"/>
              <w:rPr>
                <w:rFonts w:ascii="宋体" w:hAnsi="宋体"/>
                <w:sz w:val="24"/>
              </w:rPr>
            </w:pPr>
            <w:r>
              <w:rPr>
                <w:rFonts w:hint="eastAsia" w:ascii="宋体" w:hAnsi="宋体"/>
                <w:sz w:val="24"/>
              </w:rPr>
              <w:t>制造</w:t>
            </w:r>
          </w:p>
          <w:p w14:paraId="2CE10711">
            <w:pPr>
              <w:spacing w:line="276" w:lineRule="auto"/>
              <w:rPr>
                <w:rFonts w:ascii="宋体" w:hAnsi="宋体"/>
                <w:sz w:val="24"/>
              </w:rPr>
            </w:pPr>
            <w:r>
              <w:rPr>
                <w:rFonts w:hint="eastAsia" w:ascii="宋体" w:hAnsi="宋体"/>
                <w:sz w:val="24"/>
              </w:rPr>
              <w:t>年份</w:t>
            </w:r>
          </w:p>
        </w:tc>
        <w:tc>
          <w:tcPr>
            <w:tcW w:w="1213" w:type="dxa"/>
            <w:vAlign w:val="center"/>
          </w:tcPr>
          <w:p w14:paraId="4FD8EA6C">
            <w:pPr>
              <w:spacing w:line="276" w:lineRule="auto"/>
              <w:rPr>
                <w:rFonts w:ascii="宋体" w:hAnsi="宋体"/>
                <w:sz w:val="24"/>
              </w:rPr>
            </w:pPr>
            <w:r>
              <w:rPr>
                <w:rFonts w:hint="eastAsia" w:ascii="宋体" w:hAnsi="宋体"/>
                <w:sz w:val="24"/>
              </w:rPr>
              <w:t>额定功率（KW）</w:t>
            </w:r>
          </w:p>
        </w:tc>
        <w:tc>
          <w:tcPr>
            <w:tcW w:w="875" w:type="dxa"/>
            <w:vAlign w:val="center"/>
          </w:tcPr>
          <w:p w14:paraId="4FA60381">
            <w:pPr>
              <w:spacing w:line="276" w:lineRule="auto"/>
              <w:rPr>
                <w:rFonts w:ascii="宋体" w:hAnsi="宋体"/>
                <w:sz w:val="24"/>
              </w:rPr>
            </w:pPr>
            <w:r>
              <w:rPr>
                <w:rFonts w:hint="eastAsia" w:ascii="宋体" w:hAnsi="宋体"/>
                <w:sz w:val="24"/>
              </w:rPr>
              <w:t>生产</w:t>
            </w:r>
          </w:p>
          <w:p w14:paraId="2EE156A3">
            <w:pPr>
              <w:spacing w:line="276" w:lineRule="auto"/>
              <w:rPr>
                <w:rFonts w:ascii="宋体" w:hAnsi="宋体"/>
                <w:sz w:val="24"/>
              </w:rPr>
            </w:pPr>
            <w:r>
              <w:rPr>
                <w:rFonts w:hint="eastAsia" w:ascii="宋体" w:hAnsi="宋体"/>
                <w:sz w:val="24"/>
              </w:rPr>
              <w:t>能力</w:t>
            </w:r>
          </w:p>
        </w:tc>
        <w:tc>
          <w:tcPr>
            <w:tcW w:w="1055" w:type="dxa"/>
            <w:vAlign w:val="center"/>
          </w:tcPr>
          <w:p w14:paraId="15C57ED6">
            <w:pPr>
              <w:spacing w:line="276" w:lineRule="auto"/>
              <w:rPr>
                <w:rFonts w:ascii="宋体" w:hAnsi="宋体"/>
                <w:sz w:val="24"/>
              </w:rPr>
            </w:pPr>
            <w:r>
              <w:rPr>
                <w:rFonts w:hint="eastAsia" w:ascii="宋体" w:hAnsi="宋体"/>
                <w:sz w:val="24"/>
              </w:rPr>
              <w:t>用于施工部位</w:t>
            </w:r>
          </w:p>
        </w:tc>
        <w:tc>
          <w:tcPr>
            <w:tcW w:w="691" w:type="dxa"/>
            <w:vAlign w:val="center"/>
          </w:tcPr>
          <w:p w14:paraId="549FA67E">
            <w:pPr>
              <w:spacing w:line="276" w:lineRule="auto"/>
              <w:rPr>
                <w:rFonts w:ascii="宋体" w:hAnsi="宋体"/>
                <w:sz w:val="24"/>
              </w:rPr>
            </w:pPr>
            <w:r>
              <w:rPr>
                <w:rFonts w:hint="eastAsia" w:ascii="宋体" w:hAnsi="宋体"/>
                <w:sz w:val="24"/>
              </w:rPr>
              <w:t>备注</w:t>
            </w:r>
          </w:p>
        </w:tc>
      </w:tr>
      <w:tr w14:paraId="7289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53C7C40B">
            <w:pPr>
              <w:spacing w:line="276" w:lineRule="auto"/>
              <w:rPr>
                <w:rFonts w:ascii="宋体" w:hAnsi="宋体"/>
                <w:sz w:val="24"/>
              </w:rPr>
            </w:pPr>
          </w:p>
        </w:tc>
        <w:tc>
          <w:tcPr>
            <w:tcW w:w="1087" w:type="dxa"/>
            <w:vAlign w:val="center"/>
          </w:tcPr>
          <w:p w14:paraId="31B8BD81">
            <w:pPr>
              <w:spacing w:line="276" w:lineRule="auto"/>
              <w:rPr>
                <w:rFonts w:ascii="宋体" w:hAnsi="宋体"/>
                <w:sz w:val="24"/>
              </w:rPr>
            </w:pPr>
          </w:p>
        </w:tc>
        <w:tc>
          <w:tcPr>
            <w:tcW w:w="761" w:type="dxa"/>
            <w:vAlign w:val="center"/>
          </w:tcPr>
          <w:p w14:paraId="174AB9BC">
            <w:pPr>
              <w:spacing w:line="276" w:lineRule="auto"/>
              <w:rPr>
                <w:rFonts w:ascii="宋体" w:hAnsi="宋体"/>
                <w:sz w:val="24"/>
              </w:rPr>
            </w:pPr>
          </w:p>
        </w:tc>
        <w:tc>
          <w:tcPr>
            <w:tcW w:w="991" w:type="dxa"/>
            <w:vAlign w:val="center"/>
          </w:tcPr>
          <w:p w14:paraId="28C419CB">
            <w:pPr>
              <w:spacing w:line="276" w:lineRule="auto"/>
              <w:rPr>
                <w:rFonts w:ascii="宋体" w:hAnsi="宋体"/>
                <w:sz w:val="24"/>
              </w:rPr>
            </w:pPr>
          </w:p>
        </w:tc>
        <w:tc>
          <w:tcPr>
            <w:tcW w:w="672" w:type="dxa"/>
            <w:vAlign w:val="center"/>
          </w:tcPr>
          <w:p w14:paraId="061E58F1">
            <w:pPr>
              <w:spacing w:line="276" w:lineRule="auto"/>
              <w:rPr>
                <w:rFonts w:ascii="宋体" w:hAnsi="宋体"/>
                <w:sz w:val="24"/>
              </w:rPr>
            </w:pPr>
          </w:p>
        </w:tc>
        <w:tc>
          <w:tcPr>
            <w:tcW w:w="739" w:type="dxa"/>
            <w:vAlign w:val="center"/>
          </w:tcPr>
          <w:p w14:paraId="5546C102">
            <w:pPr>
              <w:spacing w:line="276" w:lineRule="auto"/>
              <w:rPr>
                <w:rFonts w:ascii="宋体" w:hAnsi="宋体"/>
                <w:sz w:val="24"/>
              </w:rPr>
            </w:pPr>
          </w:p>
        </w:tc>
        <w:tc>
          <w:tcPr>
            <w:tcW w:w="1213" w:type="dxa"/>
            <w:vAlign w:val="center"/>
          </w:tcPr>
          <w:p w14:paraId="1667510E">
            <w:pPr>
              <w:spacing w:line="276" w:lineRule="auto"/>
              <w:rPr>
                <w:rFonts w:ascii="宋体" w:hAnsi="宋体"/>
                <w:sz w:val="24"/>
              </w:rPr>
            </w:pPr>
          </w:p>
        </w:tc>
        <w:tc>
          <w:tcPr>
            <w:tcW w:w="875" w:type="dxa"/>
            <w:vAlign w:val="center"/>
          </w:tcPr>
          <w:p w14:paraId="149D4C12">
            <w:pPr>
              <w:spacing w:line="276" w:lineRule="auto"/>
              <w:rPr>
                <w:rFonts w:ascii="宋体" w:hAnsi="宋体"/>
                <w:sz w:val="24"/>
              </w:rPr>
            </w:pPr>
          </w:p>
        </w:tc>
        <w:tc>
          <w:tcPr>
            <w:tcW w:w="1055" w:type="dxa"/>
            <w:vAlign w:val="center"/>
          </w:tcPr>
          <w:p w14:paraId="717C1B0A">
            <w:pPr>
              <w:spacing w:line="276" w:lineRule="auto"/>
              <w:rPr>
                <w:rFonts w:ascii="宋体" w:hAnsi="宋体"/>
                <w:sz w:val="24"/>
              </w:rPr>
            </w:pPr>
          </w:p>
        </w:tc>
        <w:tc>
          <w:tcPr>
            <w:tcW w:w="691" w:type="dxa"/>
            <w:vAlign w:val="center"/>
          </w:tcPr>
          <w:p w14:paraId="412639EE">
            <w:pPr>
              <w:spacing w:line="276" w:lineRule="auto"/>
              <w:rPr>
                <w:rFonts w:ascii="宋体" w:hAnsi="宋体"/>
                <w:sz w:val="24"/>
              </w:rPr>
            </w:pPr>
          </w:p>
        </w:tc>
      </w:tr>
      <w:tr w14:paraId="5CD4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16090968">
            <w:pPr>
              <w:spacing w:line="276" w:lineRule="auto"/>
              <w:rPr>
                <w:rFonts w:ascii="宋体" w:hAnsi="宋体"/>
                <w:sz w:val="24"/>
              </w:rPr>
            </w:pPr>
          </w:p>
        </w:tc>
        <w:tc>
          <w:tcPr>
            <w:tcW w:w="1087" w:type="dxa"/>
            <w:vAlign w:val="center"/>
          </w:tcPr>
          <w:p w14:paraId="73BA8D5B">
            <w:pPr>
              <w:spacing w:line="276" w:lineRule="auto"/>
              <w:rPr>
                <w:rFonts w:ascii="宋体" w:hAnsi="宋体"/>
                <w:sz w:val="24"/>
              </w:rPr>
            </w:pPr>
          </w:p>
        </w:tc>
        <w:tc>
          <w:tcPr>
            <w:tcW w:w="761" w:type="dxa"/>
            <w:vAlign w:val="center"/>
          </w:tcPr>
          <w:p w14:paraId="56CDCD33">
            <w:pPr>
              <w:spacing w:line="276" w:lineRule="auto"/>
              <w:rPr>
                <w:rFonts w:ascii="宋体" w:hAnsi="宋体"/>
                <w:sz w:val="24"/>
              </w:rPr>
            </w:pPr>
          </w:p>
        </w:tc>
        <w:tc>
          <w:tcPr>
            <w:tcW w:w="991" w:type="dxa"/>
            <w:vAlign w:val="center"/>
          </w:tcPr>
          <w:p w14:paraId="30460228">
            <w:pPr>
              <w:spacing w:line="276" w:lineRule="auto"/>
              <w:rPr>
                <w:rFonts w:ascii="宋体" w:hAnsi="宋体"/>
                <w:sz w:val="24"/>
              </w:rPr>
            </w:pPr>
          </w:p>
        </w:tc>
        <w:tc>
          <w:tcPr>
            <w:tcW w:w="672" w:type="dxa"/>
            <w:vAlign w:val="center"/>
          </w:tcPr>
          <w:p w14:paraId="08CD9033">
            <w:pPr>
              <w:spacing w:line="276" w:lineRule="auto"/>
              <w:rPr>
                <w:rFonts w:ascii="宋体" w:hAnsi="宋体"/>
                <w:sz w:val="24"/>
              </w:rPr>
            </w:pPr>
          </w:p>
        </w:tc>
        <w:tc>
          <w:tcPr>
            <w:tcW w:w="739" w:type="dxa"/>
            <w:vAlign w:val="center"/>
          </w:tcPr>
          <w:p w14:paraId="5121BBEF">
            <w:pPr>
              <w:spacing w:line="276" w:lineRule="auto"/>
              <w:rPr>
                <w:rFonts w:ascii="宋体" w:hAnsi="宋体"/>
                <w:sz w:val="24"/>
              </w:rPr>
            </w:pPr>
          </w:p>
        </w:tc>
        <w:tc>
          <w:tcPr>
            <w:tcW w:w="1213" w:type="dxa"/>
            <w:vAlign w:val="center"/>
          </w:tcPr>
          <w:p w14:paraId="16339DA3">
            <w:pPr>
              <w:spacing w:line="276" w:lineRule="auto"/>
              <w:rPr>
                <w:rFonts w:ascii="宋体" w:hAnsi="宋体"/>
                <w:sz w:val="24"/>
              </w:rPr>
            </w:pPr>
          </w:p>
        </w:tc>
        <w:tc>
          <w:tcPr>
            <w:tcW w:w="875" w:type="dxa"/>
            <w:vAlign w:val="center"/>
          </w:tcPr>
          <w:p w14:paraId="55333993">
            <w:pPr>
              <w:spacing w:line="276" w:lineRule="auto"/>
              <w:rPr>
                <w:rFonts w:ascii="宋体" w:hAnsi="宋体"/>
                <w:sz w:val="24"/>
              </w:rPr>
            </w:pPr>
          </w:p>
        </w:tc>
        <w:tc>
          <w:tcPr>
            <w:tcW w:w="1055" w:type="dxa"/>
            <w:vAlign w:val="center"/>
          </w:tcPr>
          <w:p w14:paraId="2934A18F">
            <w:pPr>
              <w:spacing w:line="276" w:lineRule="auto"/>
              <w:rPr>
                <w:rFonts w:ascii="宋体" w:hAnsi="宋体"/>
                <w:sz w:val="24"/>
              </w:rPr>
            </w:pPr>
          </w:p>
        </w:tc>
        <w:tc>
          <w:tcPr>
            <w:tcW w:w="691" w:type="dxa"/>
            <w:vAlign w:val="center"/>
          </w:tcPr>
          <w:p w14:paraId="6326A6AA">
            <w:pPr>
              <w:spacing w:line="276" w:lineRule="auto"/>
              <w:rPr>
                <w:rFonts w:ascii="宋体" w:hAnsi="宋体"/>
                <w:sz w:val="24"/>
              </w:rPr>
            </w:pPr>
          </w:p>
        </w:tc>
      </w:tr>
      <w:tr w14:paraId="1307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8B1E96D">
            <w:pPr>
              <w:spacing w:line="276" w:lineRule="auto"/>
              <w:rPr>
                <w:rFonts w:ascii="宋体" w:hAnsi="宋体"/>
                <w:sz w:val="24"/>
              </w:rPr>
            </w:pPr>
          </w:p>
        </w:tc>
        <w:tc>
          <w:tcPr>
            <w:tcW w:w="1087" w:type="dxa"/>
          </w:tcPr>
          <w:p w14:paraId="0C54F209">
            <w:pPr>
              <w:spacing w:line="276" w:lineRule="auto"/>
              <w:rPr>
                <w:rFonts w:ascii="宋体" w:hAnsi="宋体"/>
                <w:sz w:val="24"/>
              </w:rPr>
            </w:pPr>
          </w:p>
        </w:tc>
        <w:tc>
          <w:tcPr>
            <w:tcW w:w="761" w:type="dxa"/>
          </w:tcPr>
          <w:p w14:paraId="31D60B47">
            <w:pPr>
              <w:spacing w:line="276" w:lineRule="auto"/>
              <w:rPr>
                <w:rFonts w:ascii="宋体" w:hAnsi="宋体"/>
                <w:sz w:val="24"/>
              </w:rPr>
            </w:pPr>
          </w:p>
        </w:tc>
        <w:tc>
          <w:tcPr>
            <w:tcW w:w="991" w:type="dxa"/>
          </w:tcPr>
          <w:p w14:paraId="7B7B6B9F">
            <w:pPr>
              <w:spacing w:line="276" w:lineRule="auto"/>
              <w:rPr>
                <w:rFonts w:ascii="宋体" w:hAnsi="宋体"/>
                <w:sz w:val="24"/>
              </w:rPr>
            </w:pPr>
          </w:p>
        </w:tc>
        <w:tc>
          <w:tcPr>
            <w:tcW w:w="672" w:type="dxa"/>
          </w:tcPr>
          <w:p w14:paraId="48DCA1E1">
            <w:pPr>
              <w:spacing w:line="276" w:lineRule="auto"/>
              <w:rPr>
                <w:rFonts w:ascii="宋体" w:hAnsi="宋体"/>
                <w:sz w:val="24"/>
              </w:rPr>
            </w:pPr>
          </w:p>
        </w:tc>
        <w:tc>
          <w:tcPr>
            <w:tcW w:w="739" w:type="dxa"/>
          </w:tcPr>
          <w:p w14:paraId="533B1CF6">
            <w:pPr>
              <w:spacing w:line="276" w:lineRule="auto"/>
              <w:rPr>
                <w:rFonts w:ascii="宋体" w:hAnsi="宋体"/>
                <w:sz w:val="24"/>
              </w:rPr>
            </w:pPr>
          </w:p>
        </w:tc>
        <w:tc>
          <w:tcPr>
            <w:tcW w:w="1213" w:type="dxa"/>
          </w:tcPr>
          <w:p w14:paraId="1DD2FC9C">
            <w:pPr>
              <w:spacing w:line="276" w:lineRule="auto"/>
              <w:rPr>
                <w:rFonts w:ascii="宋体" w:hAnsi="宋体"/>
                <w:sz w:val="24"/>
              </w:rPr>
            </w:pPr>
          </w:p>
        </w:tc>
        <w:tc>
          <w:tcPr>
            <w:tcW w:w="875" w:type="dxa"/>
          </w:tcPr>
          <w:p w14:paraId="4231AE16">
            <w:pPr>
              <w:spacing w:line="276" w:lineRule="auto"/>
              <w:rPr>
                <w:rFonts w:ascii="宋体" w:hAnsi="宋体"/>
                <w:sz w:val="24"/>
              </w:rPr>
            </w:pPr>
          </w:p>
        </w:tc>
        <w:tc>
          <w:tcPr>
            <w:tcW w:w="1055" w:type="dxa"/>
          </w:tcPr>
          <w:p w14:paraId="06F04B6D">
            <w:pPr>
              <w:spacing w:line="276" w:lineRule="auto"/>
              <w:rPr>
                <w:rFonts w:ascii="宋体" w:hAnsi="宋体"/>
                <w:sz w:val="24"/>
              </w:rPr>
            </w:pPr>
          </w:p>
        </w:tc>
        <w:tc>
          <w:tcPr>
            <w:tcW w:w="691" w:type="dxa"/>
          </w:tcPr>
          <w:p w14:paraId="4B8A485F">
            <w:pPr>
              <w:spacing w:line="276" w:lineRule="auto"/>
              <w:rPr>
                <w:rFonts w:ascii="宋体" w:hAnsi="宋体"/>
                <w:sz w:val="24"/>
              </w:rPr>
            </w:pPr>
          </w:p>
        </w:tc>
      </w:tr>
      <w:tr w14:paraId="76C2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1AE3D25B">
            <w:pPr>
              <w:spacing w:line="276" w:lineRule="auto"/>
              <w:rPr>
                <w:rFonts w:ascii="宋体" w:hAnsi="宋体"/>
                <w:sz w:val="24"/>
              </w:rPr>
            </w:pPr>
          </w:p>
        </w:tc>
        <w:tc>
          <w:tcPr>
            <w:tcW w:w="1087" w:type="dxa"/>
          </w:tcPr>
          <w:p w14:paraId="3109BCC9">
            <w:pPr>
              <w:spacing w:line="276" w:lineRule="auto"/>
              <w:rPr>
                <w:rFonts w:ascii="宋体" w:hAnsi="宋体"/>
                <w:sz w:val="24"/>
              </w:rPr>
            </w:pPr>
          </w:p>
        </w:tc>
        <w:tc>
          <w:tcPr>
            <w:tcW w:w="761" w:type="dxa"/>
          </w:tcPr>
          <w:p w14:paraId="5D9C28AF">
            <w:pPr>
              <w:spacing w:line="276" w:lineRule="auto"/>
              <w:rPr>
                <w:rFonts w:ascii="宋体" w:hAnsi="宋体"/>
                <w:sz w:val="24"/>
              </w:rPr>
            </w:pPr>
          </w:p>
        </w:tc>
        <w:tc>
          <w:tcPr>
            <w:tcW w:w="991" w:type="dxa"/>
          </w:tcPr>
          <w:p w14:paraId="4AD1AE38">
            <w:pPr>
              <w:spacing w:line="276" w:lineRule="auto"/>
              <w:rPr>
                <w:rFonts w:ascii="宋体" w:hAnsi="宋体"/>
                <w:sz w:val="24"/>
              </w:rPr>
            </w:pPr>
          </w:p>
        </w:tc>
        <w:tc>
          <w:tcPr>
            <w:tcW w:w="672" w:type="dxa"/>
          </w:tcPr>
          <w:p w14:paraId="691582B7">
            <w:pPr>
              <w:spacing w:line="276" w:lineRule="auto"/>
              <w:rPr>
                <w:rFonts w:ascii="宋体" w:hAnsi="宋体"/>
                <w:sz w:val="24"/>
              </w:rPr>
            </w:pPr>
          </w:p>
        </w:tc>
        <w:tc>
          <w:tcPr>
            <w:tcW w:w="739" w:type="dxa"/>
          </w:tcPr>
          <w:p w14:paraId="7944A7A7">
            <w:pPr>
              <w:spacing w:line="276" w:lineRule="auto"/>
              <w:rPr>
                <w:rFonts w:ascii="宋体" w:hAnsi="宋体"/>
                <w:sz w:val="24"/>
              </w:rPr>
            </w:pPr>
          </w:p>
        </w:tc>
        <w:tc>
          <w:tcPr>
            <w:tcW w:w="1213" w:type="dxa"/>
          </w:tcPr>
          <w:p w14:paraId="59E0B790">
            <w:pPr>
              <w:spacing w:line="276" w:lineRule="auto"/>
              <w:rPr>
                <w:rFonts w:ascii="宋体" w:hAnsi="宋体"/>
                <w:sz w:val="24"/>
              </w:rPr>
            </w:pPr>
          </w:p>
        </w:tc>
        <w:tc>
          <w:tcPr>
            <w:tcW w:w="875" w:type="dxa"/>
          </w:tcPr>
          <w:p w14:paraId="1CEEFFEF">
            <w:pPr>
              <w:spacing w:line="276" w:lineRule="auto"/>
              <w:rPr>
                <w:rFonts w:ascii="宋体" w:hAnsi="宋体"/>
                <w:sz w:val="24"/>
              </w:rPr>
            </w:pPr>
          </w:p>
        </w:tc>
        <w:tc>
          <w:tcPr>
            <w:tcW w:w="1055" w:type="dxa"/>
          </w:tcPr>
          <w:p w14:paraId="17DD2787">
            <w:pPr>
              <w:spacing w:line="276" w:lineRule="auto"/>
              <w:rPr>
                <w:rFonts w:ascii="宋体" w:hAnsi="宋体"/>
                <w:sz w:val="24"/>
              </w:rPr>
            </w:pPr>
          </w:p>
        </w:tc>
        <w:tc>
          <w:tcPr>
            <w:tcW w:w="691" w:type="dxa"/>
          </w:tcPr>
          <w:p w14:paraId="1A422642">
            <w:pPr>
              <w:spacing w:line="276" w:lineRule="auto"/>
              <w:rPr>
                <w:rFonts w:ascii="宋体" w:hAnsi="宋体"/>
                <w:sz w:val="24"/>
              </w:rPr>
            </w:pPr>
          </w:p>
        </w:tc>
      </w:tr>
      <w:tr w14:paraId="28E2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1E8F18B7">
            <w:pPr>
              <w:spacing w:line="276" w:lineRule="auto"/>
              <w:rPr>
                <w:rFonts w:ascii="宋体" w:hAnsi="宋体"/>
                <w:sz w:val="24"/>
              </w:rPr>
            </w:pPr>
          </w:p>
        </w:tc>
        <w:tc>
          <w:tcPr>
            <w:tcW w:w="1087" w:type="dxa"/>
          </w:tcPr>
          <w:p w14:paraId="72B3E5BE">
            <w:pPr>
              <w:spacing w:line="276" w:lineRule="auto"/>
              <w:rPr>
                <w:rFonts w:ascii="宋体" w:hAnsi="宋体"/>
                <w:sz w:val="24"/>
              </w:rPr>
            </w:pPr>
          </w:p>
        </w:tc>
        <w:tc>
          <w:tcPr>
            <w:tcW w:w="761" w:type="dxa"/>
          </w:tcPr>
          <w:p w14:paraId="7A818BE0">
            <w:pPr>
              <w:spacing w:line="276" w:lineRule="auto"/>
              <w:rPr>
                <w:rFonts w:ascii="宋体" w:hAnsi="宋体"/>
                <w:sz w:val="24"/>
              </w:rPr>
            </w:pPr>
          </w:p>
        </w:tc>
        <w:tc>
          <w:tcPr>
            <w:tcW w:w="991" w:type="dxa"/>
          </w:tcPr>
          <w:p w14:paraId="56E01945">
            <w:pPr>
              <w:spacing w:line="276" w:lineRule="auto"/>
              <w:rPr>
                <w:rFonts w:ascii="宋体" w:hAnsi="宋体"/>
                <w:sz w:val="24"/>
              </w:rPr>
            </w:pPr>
          </w:p>
        </w:tc>
        <w:tc>
          <w:tcPr>
            <w:tcW w:w="672" w:type="dxa"/>
          </w:tcPr>
          <w:p w14:paraId="6E364082">
            <w:pPr>
              <w:spacing w:line="276" w:lineRule="auto"/>
              <w:rPr>
                <w:rFonts w:ascii="宋体" w:hAnsi="宋体"/>
                <w:sz w:val="24"/>
              </w:rPr>
            </w:pPr>
          </w:p>
        </w:tc>
        <w:tc>
          <w:tcPr>
            <w:tcW w:w="739" w:type="dxa"/>
          </w:tcPr>
          <w:p w14:paraId="3255B044">
            <w:pPr>
              <w:spacing w:line="276" w:lineRule="auto"/>
              <w:rPr>
                <w:rFonts w:ascii="宋体" w:hAnsi="宋体"/>
                <w:sz w:val="24"/>
              </w:rPr>
            </w:pPr>
          </w:p>
        </w:tc>
        <w:tc>
          <w:tcPr>
            <w:tcW w:w="1213" w:type="dxa"/>
          </w:tcPr>
          <w:p w14:paraId="1C57F00E">
            <w:pPr>
              <w:spacing w:line="276" w:lineRule="auto"/>
              <w:rPr>
                <w:rFonts w:ascii="宋体" w:hAnsi="宋体"/>
                <w:sz w:val="24"/>
              </w:rPr>
            </w:pPr>
          </w:p>
        </w:tc>
        <w:tc>
          <w:tcPr>
            <w:tcW w:w="875" w:type="dxa"/>
          </w:tcPr>
          <w:p w14:paraId="74A10A45">
            <w:pPr>
              <w:spacing w:line="276" w:lineRule="auto"/>
              <w:rPr>
                <w:rFonts w:ascii="宋体" w:hAnsi="宋体"/>
                <w:sz w:val="24"/>
              </w:rPr>
            </w:pPr>
          </w:p>
        </w:tc>
        <w:tc>
          <w:tcPr>
            <w:tcW w:w="1055" w:type="dxa"/>
          </w:tcPr>
          <w:p w14:paraId="6113FA51">
            <w:pPr>
              <w:spacing w:line="276" w:lineRule="auto"/>
              <w:rPr>
                <w:rFonts w:ascii="宋体" w:hAnsi="宋体"/>
                <w:sz w:val="24"/>
              </w:rPr>
            </w:pPr>
          </w:p>
        </w:tc>
        <w:tc>
          <w:tcPr>
            <w:tcW w:w="691" w:type="dxa"/>
          </w:tcPr>
          <w:p w14:paraId="5676DC00">
            <w:pPr>
              <w:spacing w:line="276" w:lineRule="auto"/>
              <w:rPr>
                <w:rFonts w:ascii="宋体" w:hAnsi="宋体"/>
                <w:sz w:val="24"/>
              </w:rPr>
            </w:pPr>
          </w:p>
        </w:tc>
      </w:tr>
      <w:tr w14:paraId="007F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22A0CEAE">
            <w:pPr>
              <w:spacing w:line="276" w:lineRule="auto"/>
              <w:rPr>
                <w:rFonts w:ascii="宋体" w:hAnsi="宋体"/>
                <w:sz w:val="24"/>
              </w:rPr>
            </w:pPr>
          </w:p>
        </w:tc>
        <w:tc>
          <w:tcPr>
            <w:tcW w:w="1087" w:type="dxa"/>
          </w:tcPr>
          <w:p w14:paraId="0E25AA67">
            <w:pPr>
              <w:spacing w:line="276" w:lineRule="auto"/>
              <w:rPr>
                <w:rFonts w:ascii="宋体" w:hAnsi="宋体"/>
                <w:sz w:val="24"/>
              </w:rPr>
            </w:pPr>
          </w:p>
        </w:tc>
        <w:tc>
          <w:tcPr>
            <w:tcW w:w="761" w:type="dxa"/>
          </w:tcPr>
          <w:p w14:paraId="5606E5F1">
            <w:pPr>
              <w:spacing w:line="276" w:lineRule="auto"/>
              <w:rPr>
                <w:rFonts w:ascii="宋体" w:hAnsi="宋体"/>
                <w:sz w:val="24"/>
              </w:rPr>
            </w:pPr>
          </w:p>
        </w:tc>
        <w:tc>
          <w:tcPr>
            <w:tcW w:w="991" w:type="dxa"/>
          </w:tcPr>
          <w:p w14:paraId="61B0350D">
            <w:pPr>
              <w:spacing w:line="276" w:lineRule="auto"/>
              <w:rPr>
                <w:rFonts w:ascii="宋体" w:hAnsi="宋体"/>
                <w:sz w:val="24"/>
              </w:rPr>
            </w:pPr>
          </w:p>
        </w:tc>
        <w:tc>
          <w:tcPr>
            <w:tcW w:w="672" w:type="dxa"/>
          </w:tcPr>
          <w:p w14:paraId="3FF02025">
            <w:pPr>
              <w:spacing w:line="276" w:lineRule="auto"/>
              <w:rPr>
                <w:rFonts w:ascii="宋体" w:hAnsi="宋体"/>
                <w:sz w:val="24"/>
              </w:rPr>
            </w:pPr>
          </w:p>
        </w:tc>
        <w:tc>
          <w:tcPr>
            <w:tcW w:w="739" w:type="dxa"/>
          </w:tcPr>
          <w:p w14:paraId="7A0DFEE9">
            <w:pPr>
              <w:spacing w:line="276" w:lineRule="auto"/>
              <w:rPr>
                <w:rFonts w:ascii="宋体" w:hAnsi="宋体"/>
                <w:sz w:val="24"/>
              </w:rPr>
            </w:pPr>
          </w:p>
        </w:tc>
        <w:tc>
          <w:tcPr>
            <w:tcW w:w="1213" w:type="dxa"/>
          </w:tcPr>
          <w:p w14:paraId="05F917D3">
            <w:pPr>
              <w:spacing w:line="276" w:lineRule="auto"/>
              <w:rPr>
                <w:rFonts w:ascii="宋体" w:hAnsi="宋体"/>
                <w:sz w:val="24"/>
              </w:rPr>
            </w:pPr>
          </w:p>
        </w:tc>
        <w:tc>
          <w:tcPr>
            <w:tcW w:w="875" w:type="dxa"/>
          </w:tcPr>
          <w:p w14:paraId="4013B1C6">
            <w:pPr>
              <w:spacing w:line="276" w:lineRule="auto"/>
              <w:rPr>
                <w:rFonts w:ascii="宋体" w:hAnsi="宋体"/>
                <w:sz w:val="24"/>
              </w:rPr>
            </w:pPr>
          </w:p>
        </w:tc>
        <w:tc>
          <w:tcPr>
            <w:tcW w:w="1055" w:type="dxa"/>
          </w:tcPr>
          <w:p w14:paraId="4E97D4A4">
            <w:pPr>
              <w:spacing w:line="276" w:lineRule="auto"/>
              <w:rPr>
                <w:rFonts w:ascii="宋体" w:hAnsi="宋体"/>
                <w:sz w:val="24"/>
              </w:rPr>
            </w:pPr>
          </w:p>
        </w:tc>
        <w:tc>
          <w:tcPr>
            <w:tcW w:w="691" w:type="dxa"/>
          </w:tcPr>
          <w:p w14:paraId="31C57E02">
            <w:pPr>
              <w:spacing w:line="276" w:lineRule="auto"/>
              <w:rPr>
                <w:rFonts w:ascii="宋体" w:hAnsi="宋体"/>
                <w:sz w:val="24"/>
              </w:rPr>
            </w:pPr>
          </w:p>
        </w:tc>
      </w:tr>
      <w:tr w14:paraId="617A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2A11684">
            <w:pPr>
              <w:spacing w:line="276" w:lineRule="auto"/>
              <w:rPr>
                <w:rFonts w:ascii="宋体" w:hAnsi="宋体"/>
                <w:sz w:val="24"/>
              </w:rPr>
            </w:pPr>
          </w:p>
        </w:tc>
        <w:tc>
          <w:tcPr>
            <w:tcW w:w="1087" w:type="dxa"/>
          </w:tcPr>
          <w:p w14:paraId="38E9ACC2">
            <w:pPr>
              <w:spacing w:line="276" w:lineRule="auto"/>
              <w:rPr>
                <w:rFonts w:ascii="宋体" w:hAnsi="宋体"/>
                <w:sz w:val="24"/>
              </w:rPr>
            </w:pPr>
          </w:p>
        </w:tc>
        <w:tc>
          <w:tcPr>
            <w:tcW w:w="761" w:type="dxa"/>
          </w:tcPr>
          <w:p w14:paraId="77955581">
            <w:pPr>
              <w:spacing w:line="276" w:lineRule="auto"/>
              <w:rPr>
                <w:rFonts w:ascii="宋体" w:hAnsi="宋体"/>
                <w:sz w:val="24"/>
              </w:rPr>
            </w:pPr>
          </w:p>
        </w:tc>
        <w:tc>
          <w:tcPr>
            <w:tcW w:w="991" w:type="dxa"/>
          </w:tcPr>
          <w:p w14:paraId="36FE3D8F">
            <w:pPr>
              <w:spacing w:line="276" w:lineRule="auto"/>
              <w:rPr>
                <w:rFonts w:ascii="宋体" w:hAnsi="宋体"/>
                <w:sz w:val="24"/>
              </w:rPr>
            </w:pPr>
          </w:p>
        </w:tc>
        <w:tc>
          <w:tcPr>
            <w:tcW w:w="672" w:type="dxa"/>
          </w:tcPr>
          <w:p w14:paraId="528C6EFD">
            <w:pPr>
              <w:spacing w:line="276" w:lineRule="auto"/>
              <w:rPr>
                <w:rFonts w:ascii="宋体" w:hAnsi="宋体"/>
                <w:sz w:val="24"/>
              </w:rPr>
            </w:pPr>
          </w:p>
        </w:tc>
        <w:tc>
          <w:tcPr>
            <w:tcW w:w="739" w:type="dxa"/>
          </w:tcPr>
          <w:p w14:paraId="708ACA28">
            <w:pPr>
              <w:spacing w:line="276" w:lineRule="auto"/>
              <w:rPr>
                <w:rFonts w:ascii="宋体" w:hAnsi="宋体"/>
                <w:sz w:val="24"/>
              </w:rPr>
            </w:pPr>
          </w:p>
        </w:tc>
        <w:tc>
          <w:tcPr>
            <w:tcW w:w="1213" w:type="dxa"/>
          </w:tcPr>
          <w:p w14:paraId="177A501A">
            <w:pPr>
              <w:spacing w:line="276" w:lineRule="auto"/>
              <w:rPr>
                <w:rFonts w:ascii="宋体" w:hAnsi="宋体"/>
                <w:sz w:val="24"/>
              </w:rPr>
            </w:pPr>
          </w:p>
        </w:tc>
        <w:tc>
          <w:tcPr>
            <w:tcW w:w="875" w:type="dxa"/>
          </w:tcPr>
          <w:p w14:paraId="4A5FBAC1">
            <w:pPr>
              <w:spacing w:line="276" w:lineRule="auto"/>
              <w:rPr>
                <w:rFonts w:ascii="宋体" w:hAnsi="宋体"/>
                <w:sz w:val="24"/>
              </w:rPr>
            </w:pPr>
          </w:p>
        </w:tc>
        <w:tc>
          <w:tcPr>
            <w:tcW w:w="1055" w:type="dxa"/>
          </w:tcPr>
          <w:p w14:paraId="558C58A0">
            <w:pPr>
              <w:spacing w:line="276" w:lineRule="auto"/>
              <w:rPr>
                <w:rFonts w:ascii="宋体" w:hAnsi="宋体"/>
                <w:sz w:val="24"/>
              </w:rPr>
            </w:pPr>
          </w:p>
        </w:tc>
        <w:tc>
          <w:tcPr>
            <w:tcW w:w="691" w:type="dxa"/>
          </w:tcPr>
          <w:p w14:paraId="0430DC27">
            <w:pPr>
              <w:spacing w:line="276" w:lineRule="auto"/>
              <w:rPr>
                <w:rFonts w:ascii="宋体" w:hAnsi="宋体"/>
                <w:sz w:val="24"/>
              </w:rPr>
            </w:pPr>
          </w:p>
        </w:tc>
      </w:tr>
      <w:tr w14:paraId="71D4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326C6531">
            <w:pPr>
              <w:spacing w:line="276" w:lineRule="auto"/>
              <w:rPr>
                <w:rFonts w:ascii="宋体" w:hAnsi="宋体"/>
                <w:sz w:val="24"/>
              </w:rPr>
            </w:pPr>
          </w:p>
        </w:tc>
        <w:tc>
          <w:tcPr>
            <w:tcW w:w="1087" w:type="dxa"/>
          </w:tcPr>
          <w:p w14:paraId="0372DB3A">
            <w:pPr>
              <w:spacing w:line="276" w:lineRule="auto"/>
              <w:rPr>
                <w:rFonts w:ascii="宋体" w:hAnsi="宋体"/>
                <w:sz w:val="24"/>
              </w:rPr>
            </w:pPr>
          </w:p>
        </w:tc>
        <w:tc>
          <w:tcPr>
            <w:tcW w:w="761" w:type="dxa"/>
          </w:tcPr>
          <w:p w14:paraId="6850EC0D">
            <w:pPr>
              <w:spacing w:line="276" w:lineRule="auto"/>
              <w:rPr>
                <w:rFonts w:ascii="宋体" w:hAnsi="宋体"/>
                <w:sz w:val="24"/>
              </w:rPr>
            </w:pPr>
          </w:p>
        </w:tc>
        <w:tc>
          <w:tcPr>
            <w:tcW w:w="991" w:type="dxa"/>
          </w:tcPr>
          <w:p w14:paraId="037CA078">
            <w:pPr>
              <w:spacing w:line="276" w:lineRule="auto"/>
              <w:rPr>
                <w:rFonts w:ascii="宋体" w:hAnsi="宋体"/>
                <w:sz w:val="24"/>
              </w:rPr>
            </w:pPr>
          </w:p>
        </w:tc>
        <w:tc>
          <w:tcPr>
            <w:tcW w:w="672" w:type="dxa"/>
          </w:tcPr>
          <w:p w14:paraId="5F24C4BA">
            <w:pPr>
              <w:spacing w:line="276" w:lineRule="auto"/>
              <w:rPr>
                <w:rFonts w:ascii="宋体" w:hAnsi="宋体"/>
                <w:sz w:val="24"/>
              </w:rPr>
            </w:pPr>
          </w:p>
        </w:tc>
        <w:tc>
          <w:tcPr>
            <w:tcW w:w="739" w:type="dxa"/>
          </w:tcPr>
          <w:p w14:paraId="209C090F">
            <w:pPr>
              <w:spacing w:line="276" w:lineRule="auto"/>
              <w:rPr>
                <w:rFonts w:ascii="宋体" w:hAnsi="宋体"/>
                <w:sz w:val="24"/>
              </w:rPr>
            </w:pPr>
          </w:p>
        </w:tc>
        <w:tc>
          <w:tcPr>
            <w:tcW w:w="1213" w:type="dxa"/>
          </w:tcPr>
          <w:p w14:paraId="1D145719">
            <w:pPr>
              <w:spacing w:line="276" w:lineRule="auto"/>
              <w:rPr>
                <w:rFonts w:ascii="宋体" w:hAnsi="宋体"/>
                <w:sz w:val="24"/>
              </w:rPr>
            </w:pPr>
          </w:p>
        </w:tc>
        <w:tc>
          <w:tcPr>
            <w:tcW w:w="875" w:type="dxa"/>
          </w:tcPr>
          <w:p w14:paraId="305E1AF9">
            <w:pPr>
              <w:spacing w:line="276" w:lineRule="auto"/>
              <w:rPr>
                <w:rFonts w:ascii="宋体" w:hAnsi="宋体"/>
                <w:sz w:val="24"/>
              </w:rPr>
            </w:pPr>
          </w:p>
        </w:tc>
        <w:tc>
          <w:tcPr>
            <w:tcW w:w="1055" w:type="dxa"/>
          </w:tcPr>
          <w:p w14:paraId="253D8179">
            <w:pPr>
              <w:spacing w:line="276" w:lineRule="auto"/>
              <w:rPr>
                <w:rFonts w:ascii="宋体" w:hAnsi="宋体"/>
                <w:sz w:val="24"/>
              </w:rPr>
            </w:pPr>
          </w:p>
        </w:tc>
        <w:tc>
          <w:tcPr>
            <w:tcW w:w="691" w:type="dxa"/>
          </w:tcPr>
          <w:p w14:paraId="439CCF94">
            <w:pPr>
              <w:spacing w:line="276" w:lineRule="auto"/>
              <w:rPr>
                <w:rFonts w:ascii="宋体" w:hAnsi="宋体"/>
                <w:sz w:val="24"/>
              </w:rPr>
            </w:pPr>
          </w:p>
        </w:tc>
      </w:tr>
      <w:tr w14:paraId="0707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7868807E">
            <w:pPr>
              <w:spacing w:line="276" w:lineRule="auto"/>
              <w:rPr>
                <w:rFonts w:ascii="宋体" w:hAnsi="宋体"/>
                <w:sz w:val="24"/>
              </w:rPr>
            </w:pPr>
          </w:p>
        </w:tc>
        <w:tc>
          <w:tcPr>
            <w:tcW w:w="1087" w:type="dxa"/>
          </w:tcPr>
          <w:p w14:paraId="5C164ECB">
            <w:pPr>
              <w:spacing w:line="276" w:lineRule="auto"/>
              <w:rPr>
                <w:rFonts w:ascii="宋体" w:hAnsi="宋体"/>
                <w:sz w:val="24"/>
              </w:rPr>
            </w:pPr>
          </w:p>
        </w:tc>
        <w:tc>
          <w:tcPr>
            <w:tcW w:w="761" w:type="dxa"/>
          </w:tcPr>
          <w:p w14:paraId="5ED9A6AC">
            <w:pPr>
              <w:spacing w:line="276" w:lineRule="auto"/>
              <w:rPr>
                <w:rFonts w:ascii="宋体" w:hAnsi="宋体"/>
                <w:sz w:val="24"/>
              </w:rPr>
            </w:pPr>
          </w:p>
        </w:tc>
        <w:tc>
          <w:tcPr>
            <w:tcW w:w="991" w:type="dxa"/>
          </w:tcPr>
          <w:p w14:paraId="5EDC0806">
            <w:pPr>
              <w:spacing w:line="276" w:lineRule="auto"/>
              <w:rPr>
                <w:rFonts w:ascii="宋体" w:hAnsi="宋体"/>
                <w:sz w:val="24"/>
              </w:rPr>
            </w:pPr>
          </w:p>
        </w:tc>
        <w:tc>
          <w:tcPr>
            <w:tcW w:w="672" w:type="dxa"/>
          </w:tcPr>
          <w:p w14:paraId="3A2CAB77">
            <w:pPr>
              <w:spacing w:line="276" w:lineRule="auto"/>
              <w:rPr>
                <w:rFonts w:ascii="宋体" w:hAnsi="宋体"/>
                <w:sz w:val="24"/>
              </w:rPr>
            </w:pPr>
          </w:p>
        </w:tc>
        <w:tc>
          <w:tcPr>
            <w:tcW w:w="739" w:type="dxa"/>
          </w:tcPr>
          <w:p w14:paraId="5EBAD38A">
            <w:pPr>
              <w:spacing w:line="276" w:lineRule="auto"/>
              <w:rPr>
                <w:rFonts w:ascii="宋体" w:hAnsi="宋体"/>
                <w:sz w:val="24"/>
              </w:rPr>
            </w:pPr>
          </w:p>
        </w:tc>
        <w:tc>
          <w:tcPr>
            <w:tcW w:w="1213" w:type="dxa"/>
          </w:tcPr>
          <w:p w14:paraId="405230C5">
            <w:pPr>
              <w:spacing w:line="276" w:lineRule="auto"/>
              <w:rPr>
                <w:rFonts w:ascii="宋体" w:hAnsi="宋体"/>
                <w:sz w:val="24"/>
              </w:rPr>
            </w:pPr>
          </w:p>
        </w:tc>
        <w:tc>
          <w:tcPr>
            <w:tcW w:w="875" w:type="dxa"/>
          </w:tcPr>
          <w:p w14:paraId="2C25D507">
            <w:pPr>
              <w:spacing w:line="276" w:lineRule="auto"/>
              <w:rPr>
                <w:rFonts w:ascii="宋体" w:hAnsi="宋体"/>
                <w:sz w:val="24"/>
              </w:rPr>
            </w:pPr>
          </w:p>
        </w:tc>
        <w:tc>
          <w:tcPr>
            <w:tcW w:w="1055" w:type="dxa"/>
          </w:tcPr>
          <w:p w14:paraId="426A30C1">
            <w:pPr>
              <w:spacing w:line="276" w:lineRule="auto"/>
              <w:rPr>
                <w:rFonts w:ascii="宋体" w:hAnsi="宋体"/>
                <w:sz w:val="24"/>
              </w:rPr>
            </w:pPr>
          </w:p>
        </w:tc>
        <w:tc>
          <w:tcPr>
            <w:tcW w:w="691" w:type="dxa"/>
          </w:tcPr>
          <w:p w14:paraId="7EDD3354">
            <w:pPr>
              <w:spacing w:line="276" w:lineRule="auto"/>
              <w:rPr>
                <w:rFonts w:ascii="宋体" w:hAnsi="宋体"/>
                <w:sz w:val="24"/>
              </w:rPr>
            </w:pPr>
          </w:p>
        </w:tc>
      </w:tr>
      <w:tr w14:paraId="4A09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33C4935B">
            <w:pPr>
              <w:spacing w:line="276" w:lineRule="auto"/>
              <w:rPr>
                <w:rFonts w:ascii="宋体" w:hAnsi="宋体"/>
                <w:sz w:val="24"/>
              </w:rPr>
            </w:pPr>
          </w:p>
        </w:tc>
        <w:tc>
          <w:tcPr>
            <w:tcW w:w="1087" w:type="dxa"/>
          </w:tcPr>
          <w:p w14:paraId="1755D224">
            <w:pPr>
              <w:spacing w:line="276" w:lineRule="auto"/>
              <w:rPr>
                <w:rFonts w:ascii="宋体" w:hAnsi="宋体"/>
                <w:sz w:val="24"/>
              </w:rPr>
            </w:pPr>
          </w:p>
        </w:tc>
        <w:tc>
          <w:tcPr>
            <w:tcW w:w="761" w:type="dxa"/>
          </w:tcPr>
          <w:p w14:paraId="526B7EE0">
            <w:pPr>
              <w:spacing w:line="276" w:lineRule="auto"/>
              <w:rPr>
                <w:rFonts w:ascii="宋体" w:hAnsi="宋体"/>
                <w:sz w:val="24"/>
              </w:rPr>
            </w:pPr>
          </w:p>
        </w:tc>
        <w:tc>
          <w:tcPr>
            <w:tcW w:w="991" w:type="dxa"/>
          </w:tcPr>
          <w:p w14:paraId="00EF4260">
            <w:pPr>
              <w:spacing w:line="276" w:lineRule="auto"/>
              <w:rPr>
                <w:rFonts w:ascii="宋体" w:hAnsi="宋体"/>
                <w:sz w:val="24"/>
              </w:rPr>
            </w:pPr>
          </w:p>
        </w:tc>
        <w:tc>
          <w:tcPr>
            <w:tcW w:w="672" w:type="dxa"/>
          </w:tcPr>
          <w:p w14:paraId="75D21F09">
            <w:pPr>
              <w:spacing w:line="276" w:lineRule="auto"/>
              <w:rPr>
                <w:rFonts w:ascii="宋体" w:hAnsi="宋体"/>
                <w:sz w:val="24"/>
              </w:rPr>
            </w:pPr>
          </w:p>
        </w:tc>
        <w:tc>
          <w:tcPr>
            <w:tcW w:w="739" w:type="dxa"/>
          </w:tcPr>
          <w:p w14:paraId="18FD8506">
            <w:pPr>
              <w:spacing w:line="276" w:lineRule="auto"/>
              <w:rPr>
                <w:rFonts w:ascii="宋体" w:hAnsi="宋体"/>
                <w:sz w:val="24"/>
              </w:rPr>
            </w:pPr>
          </w:p>
        </w:tc>
        <w:tc>
          <w:tcPr>
            <w:tcW w:w="1213" w:type="dxa"/>
          </w:tcPr>
          <w:p w14:paraId="50E4F3A5">
            <w:pPr>
              <w:spacing w:line="276" w:lineRule="auto"/>
              <w:rPr>
                <w:rFonts w:ascii="宋体" w:hAnsi="宋体"/>
                <w:sz w:val="24"/>
              </w:rPr>
            </w:pPr>
          </w:p>
        </w:tc>
        <w:tc>
          <w:tcPr>
            <w:tcW w:w="875" w:type="dxa"/>
          </w:tcPr>
          <w:p w14:paraId="7A63F12E">
            <w:pPr>
              <w:spacing w:line="276" w:lineRule="auto"/>
              <w:rPr>
                <w:rFonts w:ascii="宋体" w:hAnsi="宋体"/>
                <w:sz w:val="24"/>
              </w:rPr>
            </w:pPr>
          </w:p>
        </w:tc>
        <w:tc>
          <w:tcPr>
            <w:tcW w:w="1055" w:type="dxa"/>
          </w:tcPr>
          <w:p w14:paraId="672875A8">
            <w:pPr>
              <w:spacing w:line="276" w:lineRule="auto"/>
              <w:rPr>
                <w:rFonts w:ascii="宋体" w:hAnsi="宋体"/>
                <w:sz w:val="24"/>
              </w:rPr>
            </w:pPr>
          </w:p>
        </w:tc>
        <w:tc>
          <w:tcPr>
            <w:tcW w:w="691" w:type="dxa"/>
          </w:tcPr>
          <w:p w14:paraId="1636A94B">
            <w:pPr>
              <w:spacing w:line="276" w:lineRule="auto"/>
              <w:rPr>
                <w:rFonts w:ascii="宋体" w:hAnsi="宋体"/>
                <w:sz w:val="24"/>
              </w:rPr>
            </w:pPr>
          </w:p>
        </w:tc>
      </w:tr>
      <w:tr w14:paraId="459E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2025933">
            <w:pPr>
              <w:spacing w:line="276" w:lineRule="auto"/>
              <w:rPr>
                <w:rFonts w:ascii="宋体" w:hAnsi="宋体"/>
                <w:szCs w:val="21"/>
              </w:rPr>
            </w:pPr>
          </w:p>
        </w:tc>
        <w:tc>
          <w:tcPr>
            <w:tcW w:w="1087" w:type="dxa"/>
          </w:tcPr>
          <w:p w14:paraId="0F24D565">
            <w:pPr>
              <w:spacing w:line="276" w:lineRule="auto"/>
              <w:rPr>
                <w:rFonts w:ascii="宋体" w:hAnsi="宋体"/>
                <w:szCs w:val="21"/>
              </w:rPr>
            </w:pPr>
          </w:p>
        </w:tc>
        <w:tc>
          <w:tcPr>
            <w:tcW w:w="761" w:type="dxa"/>
          </w:tcPr>
          <w:p w14:paraId="131B2B55">
            <w:pPr>
              <w:spacing w:line="276" w:lineRule="auto"/>
              <w:rPr>
                <w:rFonts w:ascii="宋体" w:hAnsi="宋体"/>
                <w:szCs w:val="21"/>
              </w:rPr>
            </w:pPr>
          </w:p>
        </w:tc>
        <w:tc>
          <w:tcPr>
            <w:tcW w:w="991" w:type="dxa"/>
          </w:tcPr>
          <w:p w14:paraId="145A12BB">
            <w:pPr>
              <w:spacing w:line="276" w:lineRule="auto"/>
              <w:rPr>
                <w:rFonts w:ascii="宋体" w:hAnsi="宋体"/>
                <w:szCs w:val="21"/>
              </w:rPr>
            </w:pPr>
          </w:p>
        </w:tc>
        <w:tc>
          <w:tcPr>
            <w:tcW w:w="672" w:type="dxa"/>
          </w:tcPr>
          <w:p w14:paraId="5E8D41E9">
            <w:pPr>
              <w:spacing w:line="276" w:lineRule="auto"/>
              <w:rPr>
                <w:rFonts w:ascii="宋体" w:hAnsi="宋体"/>
                <w:szCs w:val="21"/>
              </w:rPr>
            </w:pPr>
          </w:p>
        </w:tc>
        <w:tc>
          <w:tcPr>
            <w:tcW w:w="739" w:type="dxa"/>
          </w:tcPr>
          <w:p w14:paraId="6C266767">
            <w:pPr>
              <w:spacing w:line="276" w:lineRule="auto"/>
              <w:rPr>
                <w:rFonts w:ascii="宋体" w:hAnsi="宋体"/>
                <w:szCs w:val="21"/>
              </w:rPr>
            </w:pPr>
          </w:p>
        </w:tc>
        <w:tc>
          <w:tcPr>
            <w:tcW w:w="1213" w:type="dxa"/>
          </w:tcPr>
          <w:p w14:paraId="1859B981">
            <w:pPr>
              <w:spacing w:line="276" w:lineRule="auto"/>
              <w:rPr>
                <w:rFonts w:ascii="宋体" w:hAnsi="宋体"/>
                <w:szCs w:val="21"/>
              </w:rPr>
            </w:pPr>
          </w:p>
        </w:tc>
        <w:tc>
          <w:tcPr>
            <w:tcW w:w="875" w:type="dxa"/>
          </w:tcPr>
          <w:p w14:paraId="452E50AC">
            <w:pPr>
              <w:spacing w:line="276" w:lineRule="auto"/>
              <w:rPr>
                <w:rFonts w:ascii="宋体" w:hAnsi="宋体"/>
                <w:szCs w:val="21"/>
              </w:rPr>
            </w:pPr>
          </w:p>
        </w:tc>
        <w:tc>
          <w:tcPr>
            <w:tcW w:w="1055" w:type="dxa"/>
          </w:tcPr>
          <w:p w14:paraId="1CD9A2EA">
            <w:pPr>
              <w:spacing w:line="276" w:lineRule="auto"/>
              <w:rPr>
                <w:rFonts w:ascii="宋体" w:hAnsi="宋体"/>
                <w:szCs w:val="21"/>
              </w:rPr>
            </w:pPr>
          </w:p>
        </w:tc>
        <w:tc>
          <w:tcPr>
            <w:tcW w:w="691" w:type="dxa"/>
          </w:tcPr>
          <w:p w14:paraId="644BA8F9">
            <w:pPr>
              <w:spacing w:line="276" w:lineRule="auto"/>
              <w:rPr>
                <w:rFonts w:ascii="宋体" w:hAnsi="宋体"/>
                <w:szCs w:val="21"/>
              </w:rPr>
            </w:pPr>
          </w:p>
        </w:tc>
      </w:tr>
      <w:tr w14:paraId="6EDB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23B70ED">
            <w:pPr>
              <w:spacing w:line="276" w:lineRule="auto"/>
              <w:rPr>
                <w:rFonts w:ascii="宋体" w:hAnsi="宋体"/>
                <w:szCs w:val="21"/>
              </w:rPr>
            </w:pPr>
          </w:p>
        </w:tc>
        <w:tc>
          <w:tcPr>
            <w:tcW w:w="1087" w:type="dxa"/>
          </w:tcPr>
          <w:p w14:paraId="1D681069">
            <w:pPr>
              <w:spacing w:line="276" w:lineRule="auto"/>
              <w:rPr>
                <w:rFonts w:ascii="宋体" w:hAnsi="宋体"/>
                <w:szCs w:val="21"/>
              </w:rPr>
            </w:pPr>
          </w:p>
        </w:tc>
        <w:tc>
          <w:tcPr>
            <w:tcW w:w="761" w:type="dxa"/>
          </w:tcPr>
          <w:p w14:paraId="3C4A5D98">
            <w:pPr>
              <w:spacing w:line="276" w:lineRule="auto"/>
              <w:rPr>
                <w:rFonts w:ascii="宋体" w:hAnsi="宋体"/>
                <w:szCs w:val="21"/>
              </w:rPr>
            </w:pPr>
          </w:p>
        </w:tc>
        <w:tc>
          <w:tcPr>
            <w:tcW w:w="991" w:type="dxa"/>
          </w:tcPr>
          <w:p w14:paraId="0BF554B5">
            <w:pPr>
              <w:spacing w:line="276" w:lineRule="auto"/>
              <w:rPr>
                <w:rFonts w:ascii="宋体" w:hAnsi="宋体"/>
                <w:szCs w:val="21"/>
              </w:rPr>
            </w:pPr>
          </w:p>
        </w:tc>
        <w:tc>
          <w:tcPr>
            <w:tcW w:w="672" w:type="dxa"/>
          </w:tcPr>
          <w:p w14:paraId="5DBF57FA">
            <w:pPr>
              <w:spacing w:line="276" w:lineRule="auto"/>
              <w:rPr>
                <w:rFonts w:ascii="宋体" w:hAnsi="宋体"/>
                <w:szCs w:val="21"/>
              </w:rPr>
            </w:pPr>
          </w:p>
        </w:tc>
        <w:tc>
          <w:tcPr>
            <w:tcW w:w="739" w:type="dxa"/>
          </w:tcPr>
          <w:p w14:paraId="109F02D1">
            <w:pPr>
              <w:spacing w:line="276" w:lineRule="auto"/>
              <w:rPr>
                <w:rFonts w:ascii="宋体" w:hAnsi="宋体"/>
                <w:szCs w:val="21"/>
              </w:rPr>
            </w:pPr>
          </w:p>
        </w:tc>
        <w:tc>
          <w:tcPr>
            <w:tcW w:w="1213" w:type="dxa"/>
          </w:tcPr>
          <w:p w14:paraId="3F3BBC1B">
            <w:pPr>
              <w:spacing w:line="276" w:lineRule="auto"/>
              <w:rPr>
                <w:rFonts w:ascii="宋体" w:hAnsi="宋体"/>
                <w:szCs w:val="21"/>
              </w:rPr>
            </w:pPr>
          </w:p>
        </w:tc>
        <w:tc>
          <w:tcPr>
            <w:tcW w:w="875" w:type="dxa"/>
          </w:tcPr>
          <w:p w14:paraId="71AC29C7">
            <w:pPr>
              <w:spacing w:line="276" w:lineRule="auto"/>
              <w:rPr>
                <w:rFonts w:ascii="宋体" w:hAnsi="宋体"/>
                <w:szCs w:val="21"/>
              </w:rPr>
            </w:pPr>
          </w:p>
        </w:tc>
        <w:tc>
          <w:tcPr>
            <w:tcW w:w="1055" w:type="dxa"/>
          </w:tcPr>
          <w:p w14:paraId="74CBAC8E">
            <w:pPr>
              <w:spacing w:line="276" w:lineRule="auto"/>
              <w:rPr>
                <w:rFonts w:ascii="宋体" w:hAnsi="宋体"/>
                <w:szCs w:val="21"/>
              </w:rPr>
            </w:pPr>
          </w:p>
        </w:tc>
        <w:tc>
          <w:tcPr>
            <w:tcW w:w="691" w:type="dxa"/>
          </w:tcPr>
          <w:p w14:paraId="44A7A7C4">
            <w:pPr>
              <w:spacing w:line="276" w:lineRule="auto"/>
              <w:rPr>
                <w:rFonts w:ascii="宋体" w:hAnsi="宋体"/>
                <w:szCs w:val="21"/>
              </w:rPr>
            </w:pPr>
          </w:p>
        </w:tc>
      </w:tr>
      <w:tr w14:paraId="3288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3F3953E">
            <w:pPr>
              <w:spacing w:line="276" w:lineRule="auto"/>
              <w:rPr>
                <w:rFonts w:ascii="宋体" w:hAnsi="宋体"/>
                <w:szCs w:val="21"/>
              </w:rPr>
            </w:pPr>
          </w:p>
        </w:tc>
        <w:tc>
          <w:tcPr>
            <w:tcW w:w="1087" w:type="dxa"/>
          </w:tcPr>
          <w:p w14:paraId="32B11C9A">
            <w:pPr>
              <w:spacing w:line="276" w:lineRule="auto"/>
              <w:rPr>
                <w:rFonts w:ascii="宋体" w:hAnsi="宋体"/>
                <w:szCs w:val="21"/>
              </w:rPr>
            </w:pPr>
          </w:p>
        </w:tc>
        <w:tc>
          <w:tcPr>
            <w:tcW w:w="761" w:type="dxa"/>
          </w:tcPr>
          <w:p w14:paraId="4FA318CF">
            <w:pPr>
              <w:spacing w:line="276" w:lineRule="auto"/>
              <w:rPr>
                <w:rFonts w:ascii="宋体" w:hAnsi="宋体"/>
                <w:szCs w:val="21"/>
              </w:rPr>
            </w:pPr>
          </w:p>
        </w:tc>
        <w:tc>
          <w:tcPr>
            <w:tcW w:w="991" w:type="dxa"/>
          </w:tcPr>
          <w:p w14:paraId="3EFBA75F">
            <w:pPr>
              <w:spacing w:line="276" w:lineRule="auto"/>
              <w:rPr>
                <w:rFonts w:ascii="宋体" w:hAnsi="宋体"/>
                <w:szCs w:val="21"/>
              </w:rPr>
            </w:pPr>
          </w:p>
        </w:tc>
        <w:tc>
          <w:tcPr>
            <w:tcW w:w="672" w:type="dxa"/>
          </w:tcPr>
          <w:p w14:paraId="5750D01C">
            <w:pPr>
              <w:spacing w:line="276" w:lineRule="auto"/>
              <w:rPr>
                <w:rFonts w:ascii="宋体" w:hAnsi="宋体"/>
                <w:szCs w:val="21"/>
              </w:rPr>
            </w:pPr>
          </w:p>
        </w:tc>
        <w:tc>
          <w:tcPr>
            <w:tcW w:w="739" w:type="dxa"/>
          </w:tcPr>
          <w:p w14:paraId="524CB1E4">
            <w:pPr>
              <w:spacing w:line="276" w:lineRule="auto"/>
              <w:rPr>
                <w:rFonts w:ascii="宋体" w:hAnsi="宋体"/>
                <w:szCs w:val="21"/>
              </w:rPr>
            </w:pPr>
          </w:p>
        </w:tc>
        <w:tc>
          <w:tcPr>
            <w:tcW w:w="1213" w:type="dxa"/>
          </w:tcPr>
          <w:p w14:paraId="63514AFF">
            <w:pPr>
              <w:spacing w:line="276" w:lineRule="auto"/>
              <w:rPr>
                <w:rFonts w:ascii="宋体" w:hAnsi="宋体"/>
                <w:szCs w:val="21"/>
              </w:rPr>
            </w:pPr>
          </w:p>
        </w:tc>
        <w:tc>
          <w:tcPr>
            <w:tcW w:w="875" w:type="dxa"/>
          </w:tcPr>
          <w:p w14:paraId="40B70A4E">
            <w:pPr>
              <w:spacing w:line="276" w:lineRule="auto"/>
              <w:rPr>
                <w:rFonts w:ascii="宋体" w:hAnsi="宋体"/>
                <w:szCs w:val="21"/>
              </w:rPr>
            </w:pPr>
          </w:p>
        </w:tc>
        <w:tc>
          <w:tcPr>
            <w:tcW w:w="1055" w:type="dxa"/>
          </w:tcPr>
          <w:p w14:paraId="49131ADE">
            <w:pPr>
              <w:spacing w:line="276" w:lineRule="auto"/>
              <w:rPr>
                <w:rFonts w:ascii="宋体" w:hAnsi="宋体"/>
                <w:szCs w:val="21"/>
              </w:rPr>
            </w:pPr>
          </w:p>
        </w:tc>
        <w:tc>
          <w:tcPr>
            <w:tcW w:w="691" w:type="dxa"/>
          </w:tcPr>
          <w:p w14:paraId="7CFA89E4">
            <w:pPr>
              <w:spacing w:line="276" w:lineRule="auto"/>
              <w:rPr>
                <w:rFonts w:ascii="宋体" w:hAnsi="宋体"/>
                <w:szCs w:val="21"/>
              </w:rPr>
            </w:pPr>
          </w:p>
        </w:tc>
      </w:tr>
      <w:tr w14:paraId="2BEE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94AE1CA">
            <w:pPr>
              <w:spacing w:line="276" w:lineRule="auto"/>
              <w:rPr>
                <w:rFonts w:ascii="宋体" w:hAnsi="宋体"/>
                <w:szCs w:val="21"/>
              </w:rPr>
            </w:pPr>
          </w:p>
        </w:tc>
        <w:tc>
          <w:tcPr>
            <w:tcW w:w="1087" w:type="dxa"/>
          </w:tcPr>
          <w:p w14:paraId="58C4E3F0">
            <w:pPr>
              <w:spacing w:line="276" w:lineRule="auto"/>
              <w:rPr>
                <w:rFonts w:ascii="宋体" w:hAnsi="宋体"/>
                <w:szCs w:val="21"/>
              </w:rPr>
            </w:pPr>
          </w:p>
        </w:tc>
        <w:tc>
          <w:tcPr>
            <w:tcW w:w="761" w:type="dxa"/>
          </w:tcPr>
          <w:p w14:paraId="14695B10">
            <w:pPr>
              <w:spacing w:line="276" w:lineRule="auto"/>
              <w:rPr>
                <w:rFonts w:ascii="宋体" w:hAnsi="宋体"/>
                <w:szCs w:val="21"/>
              </w:rPr>
            </w:pPr>
          </w:p>
        </w:tc>
        <w:tc>
          <w:tcPr>
            <w:tcW w:w="991" w:type="dxa"/>
          </w:tcPr>
          <w:p w14:paraId="28D7255E">
            <w:pPr>
              <w:spacing w:line="276" w:lineRule="auto"/>
              <w:rPr>
                <w:rFonts w:ascii="宋体" w:hAnsi="宋体"/>
                <w:szCs w:val="21"/>
              </w:rPr>
            </w:pPr>
          </w:p>
        </w:tc>
        <w:tc>
          <w:tcPr>
            <w:tcW w:w="672" w:type="dxa"/>
          </w:tcPr>
          <w:p w14:paraId="60C15599">
            <w:pPr>
              <w:spacing w:line="276" w:lineRule="auto"/>
              <w:rPr>
                <w:rFonts w:ascii="宋体" w:hAnsi="宋体"/>
                <w:szCs w:val="21"/>
              </w:rPr>
            </w:pPr>
          </w:p>
        </w:tc>
        <w:tc>
          <w:tcPr>
            <w:tcW w:w="739" w:type="dxa"/>
          </w:tcPr>
          <w:p w14:paraId="73FDAF3D">
            <w:pPr>
              <w:spacing w:line="276" w:lineRule="auto"/>
              <w:rPr>
                <w:rFonts w:ascii="宋体" w:hAnsi="宋体"/>
                <w:szCs w:val="21"/>
              </w:rPr>
            </w:pPr>
          </w:p>
        </w:tc>
        <w:tc>
          <w:tcPr>
            <w:tcW w:w="1213" w:type="dxa"/>
          </w:tcPr>
          <w:p w14:paraId="66389D23">
            <w:pPr>
              <w:spacing w:line="276" w:lineRule="auto"/>
              <w:rPr>
                <w:rFonts w:ascii="宋体" w:hAnsi="宋体"/>
                <w:szCs w:val="21"/>
              </w:rPr>
            </w:pPr>
          </w:p>
        </w:tc>
        <w:tc>
          <w:tcPr>
            <w:tcW w:w="875" w:type="dxa"/>
          </w:tcPr>
          <w:p w14:paraId="24F129CC">
            <w:pPr>
              <w:spacing w:line="276" w:lineRule="auto"/>
              <w:rPr>
                <w:rFonts w:ascii="宋体" w:hAnsi="宋体"/>
                <w:szCs w:val="21"/>
              </w:rPr>
            </w:pPr>
          </w:p>
        </w:tc>
        <w:tc>
          <w:tcPr>
            <w:tcW w:w="1055" w:type="dxa"/>
          </w:tcPr>
          <w:p w14:paraId="52DD4808">
            <w:pPr>
              <w:spacing w:line="276" w:lineRule="auto"/>
              <w:rPr>
                <w:rFonts w:ascii="宋体" w:hAnsi="宋体"/>
                <w:szCs w:val="21"/>
              </w:rPr>
            </w:pPr>
          </w:p>
        </w:tc>
        <w:tc>
          <w:tcPr>
            <w:tcW w:w="691" w:type="dxa"/>
          </w:tcPr>
          <w:p w14:paraId="0E213B58">
            <w:pPr>
              <w:spacing w:line="276" w:lineRule="auto"/>
              <w:rPr>
                <w:rFonts w:ascii="宋体" w:hAnsi="宋体"/>
                <w:szCs w:val="21"/>
              </w:rPr>
            </w:pPr>
          </w:p>
        </w:tc>
      </w:tr>
      <w:tr w14:paraId="71E7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F8D6037">
            <w:pPr>
              <w:spacing w:line="276" w:lineRule="auto"/>
              <w:rPr>
                <w:rFonts w:ascii="宋体" w:hAnsi="宋体"/>
                <w:szCs w:val="21"/>
              </w:rPr>
            </w:pPr>
          </w:p>
        </w:tc>
        <w:tc>
          <w:tcPr>
            <w:tcW w:w="1087" w:type="dxa"/>
          </w:tcPr>
          <w:p w14:paraId="1DB10D2D">
            <w:pPr>
              <w:spacing w:line="276" w:lineRule="auto"/>
              <w:rPr>
                <w:rFonts w:ascii="宋体" w:hAnsi="宋体"/>
                <w:szCs w:val="21"/>
              </w:rPr>
            </w:pPr>
          </w:p>
        </w:tc>
        <w:tc>
          <w:tcPr>
            <w:tcW w:w="761" w:type="dxa"/>
          </w:tcPr>
          <w:p w14:paraId="2C53401B">
            <w:pPr>
              <w:spacing w:line="276" w:lineRule="auto"/>
              <w:rPr>
                <w:rFonts w:ascii="宋体" w:hAnsi="宋体"/>
                <w:szCs w:val="21"/>
              </w:rPr>
            </w:pPr>
          </w:p>
        </w:tc>
        <w:tc>
          <w:tcPr>
            <w:tcW w:w="991" w:type="dxa"/>
          </w:tcPr>
          <w:p w14:paraId="10CF0D99">
            <w:pPr>
              <w:spacing w:line="276" w:lineRule="auto"/>
              <w:rPr>
                <w:rFonts w:ascii="宋体" w:hAnsi="宋体"/>
                <w:szCs w:val="21"/>
              </w:rPr>
            </w:pPr>
          </w:p>
        </w:tc>
        <w:tc>
          <w:tcPr>
            <w:tcW w:w="672" w:type="dxa"/>
          </w:tcPr>
          <w:p w14:paraId="72496C7D">
            <w:pPr>
              <w:spacing w:line="276" w:lineRule="auto"/>
              <w:rPr>
                <w:rFonts w:ascii="宋体" w:hAnsi="宋体"/>
                <w:szCs w:val="21"/>
              </w:rPr>
            </w:pPr>
          </w:p>
        </w:tc>
        <w:tc>
          <w:tcPr>
            <w:tcW w:w="739" w:type="dxa"/>
          </w:tcPr>
          <w:p w14:paraId="05D3E350">
            <w:pPr>
              <w:spacing w:line="276" w:lineRule="auto"/>
              <w:rPr>
                <w:rFonts w:ascii="宋体" w:hAnsi="宋体"/>
                <w:szCs w:val="21"/>
              </w:rPr>
            </w:pPr>
          </w:p>
        </w:tc>
        <w:tc>
          <w:tcPr>
            <w:tcW w:w="1213" w:type="dxa"/>
          </w:tcPr>
          <w:p w14:paraId="2CC416C1">
            <w:pPr>
              <w:spacing w:line="276" w:lineRule="auto"/>
              <w:rPr>
                <w:rFonts w:ascii="宋体" w:hAnsi="宋体"/>
                <w:szCs w:val="21"/>
              </w:rPr>
            </w:pPr>
          </w:p>
        </w:tc>
        <w:tc>
          <w:tcPr>
            <w:tcW w:w="875" w:type="dxa"/>
          </w:tcPr>
          <w:p w14:paraId="79A9C7C5">
            <w:pPr>
              <w:spacing w:line="276" w:lineRule="auto"/>
              <w:rPr>
                <w:rFonts w:ascii="宋体" w:hAnsi="宋体"/>
                <w:szCs w:val="21"/>
              </w:rPr>
            </w:pPr>
          </w:p>
        </w:tc>
        <w:tc>
          <w:tcPr>
            <w:tcW w:w="1055" w:type="dxa"/>
          </w:tcPr>
          <w:p w14:paraId="0161D2B9">
            <w:pPr>
              <w:spacing w:line="276" w:lineRule="auto"/>
              <w:rPr>
                <w:rFonts w:ascii="宋体" w:hAnsi="宋体"/>
                <w:szCs w:val="21"/>
              </w:rPr>
            </w:pPr>
          </w:p>
        </w:tc>
        <w:tc>
          <w:tcPr>
            <w:tcW w:w="691" w:type="dxa"/>
          </w:tcPr>
          <w:p w14:paraId="20DDA3F4">
            <w:pPr>
              <w:spacing w:line="276" w:lineRule="auto"/>
              <w:rPr>
                <w:rFonts w:ascii="宋体" w:hAnsi="宋体"/>
                <w:szCs w:val="21"/>
              </w:rPr>
            </w:pPr>
          </w:p>
        </w:tc>
      </w:tr>
      <w:tr w14:paraId="3F48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5A95D21C">
            <w:pPr>
              <w:spacing w:line="276" w:lineRule="auto"/>
              <w:rPr>
                <w:rFonts w:ascii="宋体" w:hAnsi="宋体"/>
                <w:szCs w:val="21"/>
              </w:rPr>
            </w:pPr>
          </w:p>
        </w:tc>
        <w:tc>
          <w:tcPr>
            <w:tcW w:w="1087" w:type="dxa"/>
          </w:tcPr>
          <w:p w14:paraId="40AA6E96">
            <w:pPr>
              <w:spacing w:line="276" w:lineRule="auto"/>
              <w:rPr>
                <w:rFonts w:ascii="宋体" w:hAnsi="宋体"/>
                <w:szCs w:val="21"/>
              </w:rPr>
            </w:pPr>
          </w:p>
        </w:tc>
        <w:tc>
          <w:tcPr>
            <w:tcW w:w="761" w:type="dxa"/>
          </w:tcPr>
          <w:p w14:paraId="65615857">
            <w:pPr>
              <w:spacing w:line="276" w:lineRule="auto"/>
              <w:rPr>
                <w:rFonts w:ascii="宋体" w:hAnsi="宋体"/>
                <w:szCs w:val="21"/>
              </w:rPr>
            </w:pPr>
          </w:p>
        </w:tc>
        <w:tc>
          <w:tcPr>
            <w:tcW w:w="991" w:type="dxa"/>
          </w:tcPr>
          <w:p w14:paraId="6286F85D">
            <w:pPr>
              <w:spacing w:line="276" w:lineRule="auto"/>
              <w:rPr>
                <w:rFonts w:ascii="宋体" w:hAnsi="宋体"/>
                <w:szCs w:val="21"/>
              </w:rPr>
            </w:pPr>
          </w:p>
        </w:tc>
        <w:tc>
          <w:tcPr>
            <w:tcW w:w="672" w:type="dxa"/>
          </w:tcPr>
          <w:p w14:paraId="6EF3042A">
            <w:pPr>
              <w:spacing w:line="276" w:lineRule="auto"/>
              <w:rPr>
                <w:rFonts w:ascii="宋体" w:hAnsi="宋体"/>
                <w:szCs w:val="21"/>
              </w:rPr>
            </w:pPr>
          </w:p>
        </w:tc>
        <w:tc>
          <w:tcPr>
            <w:tcW w:w="739" w:type="dxa"/>
          </w:tcPr>
          <w:p w14:paraId="7BF3AD2D">
            <w:pPr>
              <w:spacing w:line="276" w:lineRule="auto"/>
              <w:rPr>
                <w:rFonts w:ascii="宋体" w:hAnsi="宋体"/>
                <w:szCs w:val="21"/>
              </w:rPr>
            </w:pPr>
          </w:p>
        </w:tc>
        <w:tc>
          <w:tcPr>
            <w:tcW w:w="1213" w:type="dxa"/>
          </w:tcPr>
          <w:p w14:paraId="4E47832B">
            <w:pPr>
              <w:spacing w:line="276" w:lineRule="auto"/>
              <w:rPr>
                <w:rFonts w:ascii="宋体" w:hAnsi="宋体"/>
                <w:szCs w:val="21"/>
              </w:rPr>
            </w:pPr>
          </w:p>
        </w:tc>
        <w:tc>
          <w:tcPr>
            <w:tcW w:w="875" w:type="dxa"/>
          </w:tcPr>
          <w:p w14:paraId="287FF126">
            <w:pPr>
              <w:spacing w:line="276" w:lineRule="auto"/>
              <w:rPr>
                <w:rFonts w:ascii="宋体" w:hAnsi="宋体"/>
                <w:szCs w:val="21"/>
              </w:rPr>
            </w:pPr>
          </w:p>
        </w:tc>
        <w:tc>
          <w:tcPr>
            <w:tcW w:w="1055" w:type="dxa"/>
          </w:tcPr>
          <w:p w14:paraId="4F530131">
            <w:pPr>
              <w:spacing w:line="276" w:lineRule="auto"/>
              <w:rPr>
                <w:rFonts w:ascii="宋体" w:hAnsi="宋体"/>
                <w:szCs w:val="21"/>
              </w:rPr>
            </w:pPr>
          </w:p>
        </w:tc>
        <w:tc>
          <w:tcPr>
            <w:tcW w:w="691" w:type="dxa"/>
          </w:tcPr>
          <w:p w14:paraId="3E618C18">
            <w:pPr>
              <w:spacing w:line="276" w:lineRule="auto"/>
              <w:rPr>
                <w:rFonts w:ascii="宋体" w:hAnsi="宋体"/>
                <w:szCs w:val="21"/>
              </w:rPr>
            </w:pPr>
          </w:p>
        </w:tc>
      </w:tr>
      <w:tr w14:paraId="7450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51BE8F5B">
            <w:pPr>
              <w:spacing w:line="276" w:lineRule="auto"/>
              <w:rPr>
                <w:rFonts w:ascii="宋体" w:hAnsi="宋体"/>
                <w:szCs w:val="21"/>
              </w:rPr>
            </w:pPr>
          </w:p>
        </w:tc>
        <w:tc>
          <w:tcPr>
            <w:tcW w:w="1087" w:type="dxa"/>
          </w:tcPr>
          <w:p w14:paraId="168E7DE9">
            <w:pPr>
              <w:spacing w:line="276" w:lineRule="auto"/>
              <w:rPr>
                <w:rFonts w:ascii="宋体" w:hAnsi="宋体"/>
                <w:szCs w:val="21"/>
              </w:rPr>
            </w:pPr>
          </w:p>
        </w:tc>
        <w:tc>
          <w:tcPr>
            <w:tcW w:w="761" w:type="dxa"/>
          </w:tcPr>
          <w:p w14:paraId="7381240A">
            <w:pPr>
              <w:spacing w:line="276" w:lineRule="auto"/>
              <w:rPr>
                <w:rFonts w:ascii="宋体" w:hAnsi="宋体"/>
                <w:szCs w:val="21"/>
              </w:rPr>
            </w:pPr>
          </w:p>
        </w:tc>
        <w:tc>
          <w:tcPr>
            <w:tcW w:w="991" w:type="dxa"/>
          </w:tcPr>
          <w:p w14:paraId="3C509004">
            <w:pPr>
              <w:spacing w:line="276" w:lineRule="auto"/>
              <w:rPr>
                <w:rFonts w:ascii="宋体" w:hAnsi="宋体"/>
                <w:szCs w:val="21"/>
              </w:rPr>
            </w:pPr>
          </w:p>
        </w:tc>
        <w:tc>
          <w:tcPr>
            <w:tcW w:w="672" w:type="dxa"/>
          </w:tcPr>
          <w:p w14:paraId="79B1B102">
            <w:pPr>
              <w:spacing w:line="276" w:lineRule="auto"/>
              <w:rPr>
                <w:rFonts w:ascii="宋体" w:hAnsi="宋体"/>
                <w:szCs w:val="21"/>
              </w:rPr>
            </w:pPr>
          </w:p>
        </w:tc>
        <w:tc>
          <w:tcPr>
            <w:tcW w:w="739" w:type="dxa"/>
          </w:tcPr>
          <w:p w14:paraId="30E0857A">
            <w:pPr>
              <w:spacing w:line="276" w:lineRule="auto"/>
              <w:rPr>
                <w:rFonts w:ascii="宋体" w:hAnsi="宋体"/>
                <w:szCs w:val="21"/>
              </w:rPr>
            </w:pPr>
          </w:p>
        </w:tc>
        <w:tc>
          <w:tcPr>
            <w:tcW w:w="1213" w:type="dxa"/>
          </w:tcPr>
          <w:p w14:paraId="306D5497">
            <w:pPr>
              <w:spacing w:line="276" w:lineRule="auto"/>
              <w:rPr>
                <w:rFonts w:ascii="宋体" w:hAnsi="宋体"/>
                <w:szCs w:val="21"/>
              </w:rPr>
            </w:pPr>
          </w:p>
        </w:tc>
        <w:tc>
          <w:tcPr>
            <w:tcW w:w="875" w:type="dxa"/>
          </w:tcPr>
          <w:p w14:paraId="6D52F254">
            <w:pPr>
              <w:spacing w:line="276" w:lineRule="auto"/>
              <w:rPr>
                <w:rFonts w:ascii="宋体" w:hAnsi="宋体"/>
                <w:szCs w:val="21"/>
              </w:rPr>
            </w:pPr>
          </w:p>
        </w:tc>
        <w:tc>
          <w:tcPr>
            <w:tcW w:w="1055" w:type="dxa"/>
          </w:tcPr>
          <w:p w14:paraId="222779AD">
            <w:pPr>
              <w:spacing w:line="276" w:lineRule="auto"/>
              <w:rPr>
                <w:rFonts w:ascii="宋体" w:hAnsi="宋体"/>
                <w:szCs w:val="21"/>
              </w:rPr>
            </w:pPr>
          </w:p>
        </w:tc>
        <w:tc>
          <w:tcPr>
            <w:tcW w:w="691" w:type="dxa"/>
          </w:tcPr>
          <w:p w14:paraId="5F73B0BF">
            <w:pPr>
              <w:spacing w:line="276" w:lineRule="auto"/>
              <w:rPr>
                <w:rFonts w:ascii="宋体" w:hAnsi="宋体"/>
                <w:szCs w:val="21"/>
              </w:rPr>
            </w:pPr>
          </w:p>
        </w:tc>
      </w:tr>
      <w:tr w14:paraId="5D18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D6B7606">
            <w:pPr>
              <w:spacing w:line="276" w:lineRule="auto"/>
              <w:rPr>
                <w:rFonts w:ascii="宋体" w:hAnsi="宋体"/>
                <w:szCs w:val="21"/>
              </w:rPr>
            </w:pPr>
          </w:p>
        </w:tc>
        <w:tc>
          <w:tcPr>
            <w:tcW w:w="1087" w:type="dxa"/>
          </w:tcPr>
          <w:p w14:paraId="2E9BA883">
            <w:pPr>
              <w:spacing w:line="276" w:lineRule="auto"/>
              <w:rPr>
                <w:rFonts w:ascii="宋体" w:hAnsi="宋体"/>
                <w:szCs w:val="21"/>
              </w:rPr>
            </w:pPr>
          </w:p>
        </w:tc>
        <w:tc>
          <w:tcPr>
            <w:tcW w:w="761" w:type="dxa"/>
          </w:tcPr>
          <w:p w14:paraId="249C6562">
            <w:pPr>
              <w:spacing w:line="276" w:lineRule="auto"/>
              <w:rPr>
                <w:rFonts w:ascii="宋体" w:hAnsi="宋体"/>
                <w:szCs w:val="21"/>
              </w:rPr>
            </w:pPr>
          </w:p>
        </w:tc>
        <w:tc>
          <w:tcPr>
            <w:tcW w:w="991" w:type="dxa"/>
          </w:tcPr>
          <w:p w14:paraId="1EEA387F">
            <w:pPr>
              <w:spacing w:line="276" w:lineRule="auto"/>
              <w:rPr>
                <w:rFonts w:ascii="宋体" w:hAnsi="宋体"/>
                <w:szCs w:val="21"/>
              </w:rPr>
            </w:pPr>
          </w:p>
        </w:tc>
        <w:tc>
          <w:tcPr>
            <w:tcW w:w="672" w:type="dxa"/>
          </w:tcPr>
          <w:p w14:paraId="1A861616">
            <w:pPr>
              <w:spacing w:line="276" w:lineRule="auto"/>
              <w:rPr>
                <w:rFonts w:ascii="宋体" w:hAnsi="宋体"/>
                <w:szCs w:val="21"/>
              </w:rPr>
            </w:pPr>
          </w:p>
        </w:tc>
        <w:tc>
          <w:tcPr>
            <w:tcW w:w="739" w:type="dxa"/>
          </w:tcPr>
          <w:p w14:paraId="250A1B71">
            <w:pPr>
              <w:spacing w:line="276" w:lineRule="auto"/>
              <w:rPr>
                <w:rFonts w:ascii="宋体" w:hAnsi="宋体"/>
                <w:szCs w:val="21"/>
              </w:rPr>
            </w:pPr>
          </w:p>
        </w:tc>
        <w:tc>
          <w:tcPr>
            <w:tcW w:w="1213" w:type="dxa"/>
          </w:tcPr>
          <w:p w14:paraId="0FCB828A">
            <w:pPr>
              <w:spacing w:line="276" w:lineRule="auto"/>
              <w:rPr>
                <w:rFonts w:ascii="宋体" w:hAnsi="宋体"/>
                <w:szCs w:val="21"/>
              </w:rPr>
            </w:pPr>
          </w:p>
        </w:tc>
        <w:tc>
          <w:tcPr>
            <w:tcW w:w="875" w:type="dxa"/>
          </w:tcPr>
          <w:p w14:paraId="0D5B9C5C">
            <w:pPr>
              <w:spacing w:line="276" w:lineRule="auto"/>
              <w:rPr>
                <w:rFonts w:ascii="宋体" w:hAnsi="宋体"/>
                <w:szCs w:val="21"/>
              </w:rPr>
            </w:pPr>
          </w:p>
        </w:tc>
        <w:tc>
          <w:tcPr>
            <w:tcW w:w="1055" w:type="dxa"/>
          </w:tcPr>
          <w:p w14:paraId="0E8A400E">
            <w:pPr>
              <w:spacing w:line="276" w:lineRule="auto"/>
              <w:rPr>
                <w:rFonts w:ascii="宋体" w:hAnsi="宋体"/>
                <w:szCs w:val="21"/>
              </w:rPr>
            </w:pPr>
          </w:p>
        </w:tc>
        <w:tc>
          <w:tcPr>
            <w:tcW w:w="691" w:type="dxa"/>
          </w:tcPr>
          <w:p w14:paraId="68C80943">
            <w:pPr>
              <w:spacing w:line="276" w:lineRule="auto"/>
              <w:rPr>
                <w:rFonts w:ascii="宋体" w:hAnsi="宋体"/>
                <w:szCs w:val="21"/>
              </w:rPr>
            </w:pPr>
          </w:p>
        </w:tc>
      </w:tr>
      <w:tr w14:paraId="1F18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78286C0">
            <w:pPr>
              <w:spacing w:line="276" w:lineRule="auto"/>
              <w:rPr>
                <w:rFonts w:ascii="宋体" w:hAnsi="宋体"/>
                <w:szCs w:val="21"/>
              </w:rPr>
            </w:pPr>
          </w:p>
        </w:tc>
        <w:tc>
          <w:tcPr>
            <w:tcW w:w="1087" w:type="dxa"/>
          </w:tcPr>
          <w:p w14:paraId="3578317E">
            <w:pPr>
              <w:spacing w:line="276" w:lineRule="auto"/>
              <w:rPr>
                <w:rFonts w:ascii="宋体" w:hAnsi="宋体"/>
                <w:szCs w:val="21"/>
              </w:rPr>
            </w:pPr>
          </w:p>
        </w:tc>
        <w:tc>
          <w:tcPr>
            <w:tcW w:w="761" w:type="dxa"/>
          </w:tcPr>
          <w:p w14:paraId="5F0F7C06">
            <w:pPr>
              <w:spacing w:line="276" w:lineRule="auto"/>
              <w:rPr>
                <w:rFonts w:ascii="宋体" w:hAnsi="宋体"/>
                <w:szCs w:val="21"/>
              </w:rPr>
            </w:pPr>
          </w:p>
        </w:tc>
        <w:tc>
          <w:tcPr>
            <w:tcW w:w="991" w:type="dxa"/>
          </w:tcPr>
          <w:p w14:paraId="7015D66E">
            <w:pPr>
              <w:spacing w:line="276" w:lineRule="auto"/>
              <w:rPr>
                <w:rFonts w:ascii="宋体" w:hAnsi="宋体"/>
                <w:szCs w:val="21"/>
              </w:rPr>
            </w:pPr>
          </w:p>
        </w:tc>
        <w:tc>
          <w:tcPr>
            <w:tcW w:w="672" w:type="dxa"/>
          </w:tcPr>
          <w:p w14:paraId="10D03B84">
            <w:pPr>
              <w:spacing w:line="276" w:lineRule="auto"/>
              <w:rPr>
                <w:rFonts w:ascii="宋体" w:hAnsi="宋体"/>
                <w:szCs w:val="21"/>
              </w:rPr>
            </w:pPr>
          </w:p>
        </w:tc>
        <w:tc>
          <w:tcPr>
            <w:tcW w:w="739" w:type="dxa"/>
          </w:tcPr>
          <w:p w14:paraId="1F87ECAE">
            <w:pPr>
              <w:spacing w:line="276" w:lineRule="auto"/>
              <w:rPr>
                <w:rFonts w:ascii="宋体" w:hAnsi="宋体"/>
                <w:szCs w:val="21"/>
              </w:rPr>
            </w:pPr>
          </w:p>
        </w:tc>
        <w:tc>
          <w:tcPr>
            <w:tcW w:w="1213" w:type="dxa"/>
          </w:tcPr>
          <w:p w14:paraId="3C8F8BC1">
            <w:pPr>
              <w:spacing w:line="276" w:lineRule="auto"/>
              <w:rPr>
                <w:rFonts w:ascii="宋体" w:hAnsi="宋体"/>
                <w:szCs w:val="21"/>
              </w:rPr>
            </w:pPr>
          </w:p>
        </w:tc>
        <w:tc>
          <w:tcPr>
            <w:tcW w:w="875" w:type="dxa"/>
          </w:tcPr>
          <w:p w14:paraId="69F13BF5">
            <w:pPr>
              <w:spacing w:line="276" w:lineRule="auto"/>
              <w:rPr>
                <w:rFonts w:ascii="宋体" w:hAnsi="宋体"/>
                <w:szCs w:val="21"/>
              </w:rPr>
            </w:pPr>
          </w:p>
        </w:tc>
        <w:tc>
          <w:tcPr>
            <w:tcW w:w="1055" w:type="dxa"/>
          </w:tcPr>
          <w:p w14:paraId="669625D4">
            <w:pPr>
              <w:spacing w:line="276" w:lineRule="auto"/>
              <w:rPr>
                <w:rFonts w:ascii="宋体" w:hAnsi="宋体"/>
                <w:szCs w:val="21"/>
              </w:rPr>
            </w:pPr>
          </w:p>
        </w:tc>
        <w:tc>
          <w:tcPr>
            <w:tcW w:w="691" w:type="dxa"/>
          </w:tcPr>
          <w:p w14:paraId="29363193">
            <w:pPr>
              <w:spacing w:line="276" w:lineRule="auto"/>
              <w:rPr>
                <w:rFonts w:ascii="宋体" w:hAnsi="宋体"/>
                <w:szCs w:val="21"/>
              </w:rPr>
            </w:pPr>
          </w:p>
        </w:tc>
      </w:tr>
      <w:tr w14:paraId="16C4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E26D1A0">
            <w:pPr>
              <w:spacing w:line="276" w:lineRule="auto"/>
              <w:rPr>
                <w:rFonts w:ascii="宋体" w:hAnsi="宋体"/>
                <w:szCs w:val="21"/>
              </w:rPr>
            </w:pPr>
          </w:p>
        </w:tc>
        <w:tc>
          <w:tcPr>
            <w:tcW w:w="1087" w:type="dxa"/>
          </w:tcPr>
          <w:p w14:paraId="02449E20">
            <w:pPr>
              <w:spacing w:line="276" w:lineRule="auto"/>
              <w:rPr>
                <w:rFonts w:ascii="宋体" w:hAnsi="宋体"/>
                <w:szCs w:val="21"/>
              </w:rPr>
            </w:pPr>
          </w:p>
        </w:tc>
        <w:tc>
          <w:tcPr>
            <w:tcW w:w="761" w:type="dxa"/>
          </w:tcPr>
          <w:p w14:paraId="1D72F18B">
            <w:pPr>
              <w:spacing w:line="276" w:lineRule="auto"/>
              <w:rPr>
                <w:rFonts w:ascii="宋体" w:hAnsi="宋体"/>
                <w:szCs w:val="21"/>
              </w:rPr>
            </w:pPr>
          </w:p>
        </w:tc>
        <w:tc>
          <w:tcPr>
            <w:tcW w:w="991" w:type="dxa"/>
          </w:tcPr>
          <w:p w14:paraId="5DA912A6">
            <w:pPr>
              <w:spacing w:line="276" w:lineRule="auto"/>
              <w:rPr>
                <w:rFonts w:ascii="宋体" w:hAnsi="宋体"/>
                <w:szCs w:val="21"/>
              </w:rPr>
            </w:pPr>
          </w:p>
        </w:tc>
        <w:tc>
          <w:tcPr>
            <w:tcW w:w="672" w:type="dxa"/>
          </w:tcPr>
          <w:p w14:paraId="3A3D6124">
            <w:pPr>
              <w:spacing w:line="276" w:lineRule="auto"/>
              <w:rPr>
                <w:rFonts w:ascii="宋体" w:hAnsi="宋体"/>
                <w:szCs w:val="21"/>
              </w:rPr>
            </w:pPr>
          </w:p>
        </w:tc>
        <w:tc>
          <w:tcPr>
            <w:tcW w:w="739" w:type="dxa"/>
          </w:tcPr>
          <w:p w14:paraId="5FC47F10">
            <w:pPr>
              <w:spacing w:line="276" w:lineRule="auto"/>
              <w:rPr>
                <w:rFonts w:ascii="宋体" w:hAnsi="宋体"/>
                <w:szCs w:val="21"/>
              </w:rPr>
            </w:pPr>
          </w:p>
        </w:tc>
        <w:tc>
          <w:tcPr>
            <w:tcW w:w="1213" w:type="dxa"/>
          </w:tcPr>
          <w:p w14:paraId="104B729D">
            <w:pPr>
              <w:spacing w:line="276" w:lineRule="auto"/>
              <w:rPr>
                <w:rFonts w:ascii="宋体" w:hAnsi="宋体"/>
                <w:szCs w:val="21"/>
              </w:rPr>
            </w:pPr>
          </w:p>
        </w:tc>
        <w:tc>
          <w:tcPr>
            <w:tcW w:w="875" w:type="dxa"/>
          </w:tcPr>
          <w:p w14:paraId="3978B6CB">
            <w:pPr>
              <w:spacing w:line="276" w:lineRule="auto"/>
              <w:rPr>
                <w:rFonts w:ascii="宋体" w:hAnsi="宋体"/>
                <w:szCs w:val="21"/>
              </w:rPr>
            </w:pPr>
          </w:p>
        </w:tc>
        <w:tc>
          <w:tcPr>
            <w:tcW w:w="1055" w:type="dxa"/>
          </w:tcPr>
          <w:p w14:paraId="670967B4">
            <w:pPr>
              <w:spacing w:line="276" w:lineRule="auto"/>
              <w:rPr>
                <w:rFonts w:ascii="宋体" w:hAnsi="宋体"/>
                <w:szCs w:val="21"/>
              </w:rPr>
            </w:pPr>
          </w:p>
        </w:tc>
        <w:tc>
          <w:tcPr>
            <w:tcW w:w="691" w:type="dxa"/>
          </w:tcPr>
          <w:p w14:paraId="6EDC5C0C">
            <w:pPr>
              <w:spacing w:line="276" w:lineRule="auto"/>
              <w:rPr>
                <w:rFonts w:ascii="宋体" w:hAnsi="宋体"/>
                <w:szCs w:val="21"/>
              </w:rPr>
            </w:pPr>
          </w:p>
        </w:tc>
      </w:tr>
      <w:tr w14:paraId="0190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13098B0">
            <w:pPr>
              <w:spacing w:line="276" w:lineRule="auto"/>
              <w:rPr>
                <w:rFonts w:ascii="宋体" w:hAnsi="宋体"/>
                <w:szCs w:val="21"/>
              </w:rPr>
            </w:pPr>
          </w:p>
        </w:tc>
        <w:tc>
          <w:tcPr>
            <w:tcW w:w="1087" w:type="dxa"/>
          </w:tcPr>
          <w:p w14:paraId="405E3B74">
            <w:pPr>
              <w:spacing w:line="276" w:lineRule="auto"/>
              <w:rPr>
                <w:rFonts w:ascii="宋体" w:hAnsi="宋体"/>
                <w:szCs w:val="21"/>
              </w:rPr>
            </w:pPr>
          </w:p>
        </w:tc>
        <w:tc>
          <w:tcPr>
            <w:tcW w:w="761" w:type="dxa"/>
          </w:tcPr>
          <w:p w14:paraId="7A1BAEB9">
            <w:pPr>
              <w:spacing w:line="276" w:lineRule="auto"/>
              <w:rPr>
                <w:rFonts w:ascii="宋体" w:hAnsi="宋体"/>
                <w:szCs w:val="21"/>
              </w:rPr>
            </w:pPr>
          </w:p>
        </w:tc>
        <w:tc>
          <w:tcPr>
            <w:tcW w:w="991" w:type="dxa"/>
          </w:tcPr>
          <w:p w14:paraId="130AF5DB">
            <w:pPr>
              <w:spacing w:line="276" w:lineRule="auto"/>
              <w:rPr>
                <w:rFonts w:ascii="宋体" w:hAnsi="宋体"/>
                <w:szCs w:val="21"/>
              </w:rPr>
            </w:pPr>
          </w:p>
        </w:tc>
        <w:tc>
          <w:tcPr>
            <w:tcW w:w="672" w:type="dxa"/>
          </w:tcPr>
          <w:p w14:paraId="268695C5">
            <w:pPr>
              <w:spacing w:line="276" w:lineRule="auto"/>
              <w:rPr>
                <w:rFonts w:ascii="宋体" w:hAnsi="宋体"/>
                <w:szCs w:val="21"/>
              </w:rPr>
            </w:pPr>
          </w:p>
        </w:tc>
        <w:tc>
          <w:tcPr>
            <w:tcW w:w="739" w:type="dxa"/>
          </w:tcPr>
          <w:p w14:paraId="142C7DC9">
            <w:pPr>
              <w:spacing w:line="276" w:lineRule="auto"/>
              <w:rPr>
                <w:rFonts w:ascii="宋体" w:hAnsi="宋体"/>
                <w:szCs w:val="21"/>
              </w:rPr>
            </w:pPr>
          </w:p>
        </w:tc>
        <w:tc>
          <w:tcPr>
            <w:tcW w:w="1213" w:type="dxa"/>
          </w:tcPr>
          <w:p w14:paraId="09E24BFC">
            <w:pPr>
              <w:spacing w:line="276" w:lineRule="auto"/>
              <w:rPr>
                <w:rFonts w:ascii="宋体" w:hAnsi="宋体"/>
                <w:szCs w:val="21"/>
              </w:rPr>
            </w:pPr>
          </w:p>
        </w:tc>
        <w:tc>
          <w:tcPr>
            <w:tcW w:w="875" w:type="dxa"/>
          </w:tcPr>
          <w:p w14:paraId="4989AC5B">
            <w:pPr>
              <w:spacing w:line="276" w:lineRule="auto"/>
              <w:rPr>
                <w:rFonts w:ascii="宋体" w:hAnsi="宋体"/>
                <w:szCs w:val="21"/>
              </w:rPr>
            </w:pPr>
          </w:p>
        </w:tc>
        <w:tc>
          <w:tcPr>
            <w:tcW w:w="1055" w:type="dxa"/>
          </w:tcPr>
          <w:p w14:paraId="41A60689">
            <w:pPr>
              <w:spacing w:line="276" w:lineRule="auto"/>
              <w:rPr>
                <w:rFonts w:ascii="宋体" w:hAnsi="宋体"/>
                <w:szCs w:val="21"/>
              </w:rPr>
            </w:pPr>
          </w:p>
        </w:tc>
        <w:tc>
          <w:tcPr>
            <w:tcW w:w="691" w:type="dxa"/>
          </w:tcPr>
          <w:p w14:paraId="195589B1">
            <w:pPr>
              <w:spacing w:line="276" w:lineRule="auto"/>
              <w:rPr>
                <w:rFonts w:ascii="宋体" w:hAnsi="宋体"/>
                <w:szCs w:val="21"/>
              </w:rPr>
            </w:pPr>
          </w:p>
        </w:tc>
      </w:tr>
      <w:tr w14:paraId="54FC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EB1CD00">
            <w:pPr>
              <w:spacing w:line="276" w:lineRule="auto"/>
              <w:rPr>
                <w:rFonts w:ascii="宋体" w:hAnsi="宋体"/>
                <w:szCs w:val="21"/>
              </w:rPr>
            </w:pPr>
          </w:p>
        </w:tc>
        <w:tc>
          <w:tcPr>
            <w:tcW w:w="1087" w:type="dxa"/>
          </w:tcPr>
          <w:p w14:paraId="561229A1">
            <w:pPr>
              <w:spacing w:line="276" w:lineRule="auto"/>
              <w:rPr>
                <w:rFonts w:ascii="宋体" w:hAnsi="宋体"/>
                <w:szCs w:val="21"/>
              </w:rPr>
            </w:pPr>
          </w:p>
        </w:tc>
        <w:tc>
          <w:tcPr>
            <w:tcW w:w="761" w:type="dxa"/>
          </w:tcPr>
          <w:p w14:paraId="11D3E669">
            <w:pPr>
              <w:spacing w:line="276" w:lineRule="auto"/>
              <w:rPr>
                <w:rFonts w:ascii="宋体" w:hAnsi="宋体"/>
                <w:szCs w:val="21"/>
              </w:rPr>
            </w:pPr>
          </w:p>
        </w:tc>
        <w:tc>
          <w:tcPr>
            <w:tcW w:w="991" w:type="dxa"/>
          </w:tcPr>
          <w:p w14:paraId="093B0EEF">
            <w:pPr>
              <w:spacing w:line="276" w:lineRule="auto"/>
              <w:rPr>
                <w:rFonts w:ascii="宋体" w:hAnsi="宋体"/>
                <w:szCs w:val="21"/>
              </w:rPr>
            </w:pPr>
          </w:p>
        </w:tc>
        <w:tc>
          <w:tcPr>
            <w:tcW w:w="672" w:type="dxa"/>
          </w:tcPr>
          <w:p w14:paraId="39B8908F">
            <w:pPr>
              <w:spacing w:line="276" w:lineRule="auto"/>
              <w:rPr>
                <w:rFonts w:ascii="宋体" w:hAnsi="宋体"/>
                <w:szCs w:val="21"/>
              </w:rPr>
            </w:pPr>
          </w:p>
        </w:tc>
        <w:tc>
          <w:tcPr>
            <w:tcW w:w="739" w:type="dxa"/>
          </w:tcPr>
          <w:p w14:paraId="788E9E74">
            <w:pPr>
              <w:spacing w:line="276" w:lineRule="auto"/>
              <w:rPr>
                <w:rFonts w:ascii="宋体" w:hAnsi="宋体"/>
                <w:szCs w:val="21"/>
              </w:rPr>
            </w:pPr>
          </w:p>
        </w:tc>
        <w:tc>
          <w:tcPr>
            <w:tcW w:w="1213" w:type="dxa"/>
          </w:tcPr>
          <w:p w14:paraId="1261C68C">
            <w:pPr>
              <w:spacing w:line="276" w:lineRule="auto"/>
              <w:rPr>
                <w:rFonts w:ascii="宋体" w:hAnsi="宋体"/>
                <w:szCs w:val="21"/>
              </w:rPr>
            </w:pPr>
          </w:p>
        </w:tc>
        <w:tc>
          <w:tcPr>
            <w:tcW w:w="875" w:type="dxa"/>
          </w:tcPr>
          <w:p w14:paraId="4C0AACD2">
            <w:pPr>
              <w:spacing w:line="276" w:lineRule="auto"/>
              <w:rPr>
                <w:rFonts w:ascii="宋体" w:hAnsi="宋体"/>
                <w:szCs w:val="21"/>
              </w:rPr>
            </w:pPr>
          </w:p>
        </w:tc>
        <w:tc>
          <w:tcPr>
            <w:tcW w:w="1055" w:type="dxa"/>
          </w:tcPr>
          <w:p w14:paraId="5094C476">
            <w:pPr>
              <w:spacing w:line="276" w:lineRule="auto"/>
              <w:rPr>
                <w:rFonts w:ascii="宋体" w:hAnsi="宋体"/>
                <w:szCs w:val="21"/>
              </w:rPr>
            </w:pPr>
          </w:p>
        </w:tc>
        <w:tc>
          <w:tcPr>
            <w:tcW w:w="691" w:type="dxa"/>
          </w:tcPr>
          <w:p w14:paraId="7641CA57">
            <w:pPr>
              <w:spacing w:line="276" w:lineRule="auto"/>
              <w:rPr>
                <w:rFonts w:ascii="宋体" w:hAnsi="宋体"/>
                <w:szCs w:val="21"/>
              </w:rPr>
            </w:pPr>
          </w:p>
        </w:tc>
      </w:tr>
      <w:tr w14:paraId="3584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71DDA016">
            <w:pPr>
              <w:spacing w:line="276" w:lineRule="auto"/>
              <w:rPr>
                <w:rFonts w:ascii="宋体" w:hAnsi="宋体"/>
                <w:szCs w:val="21"/>
              </w:rPr>
            </w:pPr>
          </w:p>
        </w:tc>
        <w:tc>
          <w:tcPr>
            <w:tcW w:w="1087" w:type="dxa"/>
          </w:tcPr>
          <w:p w14:paraId="5E53580A">
            <w:pPr>
              <w:spacing w:line="276" w:lineRule="auto"/>
              <w:rPr>
                <w:rFonts w:ascii="宋体" w:hAnsi="宋体"/>
                <w:szCs w:val="21"/>
              </w:rPr>
            </w:pPr>
          </w:p>
        </w:tc>
        <w:tc>
          <w:tcPr>
            <w:tcW w:w="761" w:type="dxa"/>
          </w:tcPr>
          <w:p w14:paraId="3E654EC6">
            <w:pPr>
              <w:spacing w:line="276" w:lineRule="auto"/>
              <w:rPr>
                <w:rFonts w:ascii="宋体" w:hAnsi="宋体"/>
                <w:szCs w:val="21"/>
              </w:rPr>
            </w:pPr>
          </w:p>
        </w:tc>
        <w:tc>
          <w:tcPr>
            <w:tcW w:w="991" w:type="dxa"/>
          </w:tcPr>
          <w:p w14:paraId="4F8BE549">
            <w:pPr>
              <w:spacing w:line="276" w:lineRule="auto"/>
              <w:rPr>
                <w:rFonts w:ascii="宋体" w:hAnsi="宋体"/>
                <w:szCs w:val="21"/>
              </w:rPr>
            </w:pPr>
          </w:p>
        </w:tc>
        <w:tc>
          <w:tcPr>
            <w:tcW w:w="672" w:type="dxa"/>
          </w:tcPr>
          <w:p w14:paraId="44E7F5D0">
            <w:pPr>
              <w:spacing w:line="276" w:lineRule="auto"/>
              <w:rPr>
                <w:rFonts w:ascii="宋体" w:hAnsi="宋体"/>
                <w:szCs w:val="21"/>
              </w:rPr>
            </w:pPr>
          </w:p>
        </w:tc>
        <w:tc>
          <w:tcPr>
            <w:tcW w:w="739" w:type="dxa"/>
          </w:tcPr>
          <w:p w14:paraId="11CE13AB">
            <w:pPr>
              <w:spacing w:line="276" w:lineRule="auto"/>
              <w:rPr>
                <w:rFonts w:ascii="宋体" w:hAnsi="宋体"/>
                <w:szCs w:val="21"/>
              </w:rPr>
            </w:pPr>
          </w:p>
        </w:tc>
        <w:tc>
          <w:tcPr>
            <w:tcW w:w="1213" w:type="dxa"/>
          </w:tcPr>
          <w:p w14:paraId="29D53833">
            <w:pPr>
              <w:spacing w:line="276" w:lineRule="auto"/>
              <w:rPr>
                <w:rFonts w:ascii="宋体" w:hAnsi="宋体"/>
                <w:szCs w:val="21"/>
              </w:rPr>
            </w:pPr>
          </w:p>
        </w:tc>
        <w:tc>
          <w:tcPr>
            <w:tcW w:w="875" w:type="dxa"/>
          </w:tcPr>
          <w:p w14:paraId="73D9D564">
            <w:pPr>
              <w:spacing w:line="276" w:lineRule="auto"/>
              <w:rPr>
                <w:rFonts w:ascii="宋体" w:hAnsi="宋体"/>
                <w:szCs w:val="21"/>
              </w:rPr>
            </w:pPr>
          </w:p>
        </w:tc>
        <w:tc>
          <w:tcPr>
            <w:tcW w:w="1055" w:type="dxa"/>
          </w:tcPr>
          <w:p w14:paraId="06DC4781">
            <w:pPr>
              <w:spacing w:line="276" w:lineRule="auto"/>
              <w:rPr>
                <w:rFonts w:ascii="宋体" w:hAnsi="宋体"/>
                <w:szCs w:val="21"/>
              </w:rPr>
            </w:pPr>
          </w:p>
        </w:tc>
        <w:tc>
          <w:tcPr>
            <w:tcW w:w="691" w:type="dxa"/>
          </w:tcPr>
          <w:p w14:paraId="4BAFE22D">
            <w:pPr>
              <w:spacing w:line="276" w:lineRule="auto"/>
              <w:rPr>
                <w:rFonts w:ascii="宋体" w:hAnsi="宋体"/>
                <w:szCs w:val="21"/>
              </w:rPr>
            </w:pPr>
          </w:p>
        </w:tc>
      </w:tr>
    </w:tbl>
    <w:p w14:paraId="3D479D89">
      <w:pPr>
        <w:spacing w:line="276" w:lineRule="auto"/>
        <w:rPr>
          <w:rFonts w:ascii="宋体" w:hAnsi="宋体"/>
        </w:rPr>
      </w:pPr>
    </w:p>
    <w:p w14:paraId="7F735C72">
      <w:pPr>
        <w:tabs>
          <w:tab w:val="left" w:pos="720"/>
        </w:tabs>
        <w:spacing w:line="276" w:lineRule="auto"/>
        <w:rPr>
          <w:rFonts w:ascii="宋体" w:hAnsi="宋体"/>
          <w:sz w:val="24"/>
        </w:rPr>
      </w:pPr>
      <w:r>
        <w:rPr>
          <w:rFonts w:hint="eastAsia" w:ascii="宋体" w:hAnsi="宋体"/>
        </w:rPr>
        <w:br w:type="page"/>
      </w:r>
      <w:bookmarkStart w:id="2707" w:name="_Toc144974866"/>
      <w:bookmarkStart w:id="2708" w:name="_Toc404614330"/>
      <w:bookmarkStart w:id="2709" w:name="_Toc415600094"/>
      <w:bookmarkStart w:id="2710" w:name="_Toc152042587"/>
      <w:bookmarkStart w:id="2711" w:name="_Toc152045798"/>
      <w:bookmarkStart w:id="2712" w:name="_Toc428172995"/>
      <w:bookmarkStart w:id="2713" w:name="_Toc179632818"/>
      <w:bookmarkStart w:id="2714" w:name="_Toc342296582"/>
      <w:bookmarkStart w:id="2715" w:name="_Toc241459825"/>
      <w:r>
        <w:rPr>
          <w:rFonts w:hint="eastAsia" w:ascii="宋体" w:hAnsi="宋体"/>
          <w:sz w:val="24"/>
        </w:rPr>
        <w:t>附表二：拟配备本工程的试验和检测仪器设备表</w:t>
      </w:r>
      <w:bookmarkEnd w:id="2707"/>
      <w:bookmarkEnd w:id="2708"/>
      <w:bookmarkEnd w:id="2709"/>
      <w:bookmarkEnd w:id="2710"/>
      <w:bookmarkEnd w:id="2711"/>
      <w:bookmarkEnd w:id="2712"/>
      <w:bookmarkEnd w:id="2713"/>
      <w:bookmarkEnd w:id="2714"/>
      <w:bookmarkEnd w:id="2715"/>
    </w:p>
    <w:tbl>
      <w:tblPr>
        <w:tblStyle w:val="49"/>
        <w:tblW w:w="91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088"/>
        <w:gridCol w:w="730"/>
        <w:gridCol w:w="1022"/>
        <w:gridCol w:w="821"/>
        <w:gridCol w:w="851"/>
        <w:gridCol w:w="1275"/>
        <w:gridCol w:w="1560"/>
        <w:gridCol w:w="1134"/>
      </w:tblGrid>
      <w:tr w14:paraId="62A6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07AE6CCA">
            <w:pPr>
              <w:tabs>
                <w:tab w:val="left" w:pos="720"/>
              </w:tabs>
              <w:spacing w:line="276" w:lineRule="auto"/>
              <w:rPr>
                <w:rFonts w:ascii="宋体" w:hAnsi="宋体"/>
                <w:sz w:val="24"/>
              </w:rPr>
            </w:pPr>
            <w:r>
              <w:rPr>
                <w:rFonts w:hint="eastAsia" w:ascii="宋体" w:hAnsi="宋体"/>
                <w:sz w:val="24"/>
              </w:rPr>
              <w:t>序号</w:t>
            </w:r>
          </w:p>
        </w:tc>
        <w:tc>
          <w:tcPr>
            <w:tcW w:w="1088" w:type="dxa"/>
            <w:vAlign w:val="center"/>
          </w:tcPr>
          <w:p w14:paraId="49904019">
            <w:pPr>
              <w:tabs>
                <w:tab w:val="left" w:pos="720"/>
              </w:tabs>
              <w:spacing w:line="276" w:lineRule="auto"/>
              <w:ind w:right="-124" w:rightChars="-59"/>
              <w:rPr>
                <w:rFonts w:ascii="宋体" w:hAnsi="宋体"/>
                <w:sz w:val="24"/>
              </w:rPr>
            </w:pPr>
            <w:r>
              <w:rPr>
                <w:rFonts w:hint="eastAsia" w:ascii="宋体" w:hAnsi="宋体"/>
                <w:sz w:val="24"/>
              </w:rPr>
              <w:t>仪器设备</w:t>
            </w:r>
          </w:p>
          <w:p w14:paraId="3DF7DA32">
            <w:pPr>
              <w:tabs>
                <w:tab w:val="left" w:pos="720"/>
              </w:tabs>
              <w:spacing w:line="276" w:lineRule="auto"/>
              <w:rPr>
                <w:rFonts w:ascii="宋体" w:hAnsi="宋体"/>
                <w:sz w:val="24"/>
              </w:rPr>
            </w:pPr>
            <w:r>
              <w:rPr>
                <w:rFonts w:hint="eastAsia" w:ascii="宋体" w:hAnsi="宋体"/>
                <w:sz w:val="24"/>
              </w:rPr>
              <w:t>名 称</w:t>
            </w:r>
          </w:p>
        </w:tc>
        <w:tc>
          <w:tcPr>
            <w:tcW w:w="730" w:type="dxa"/>
            <w:vAlign w:val="center"/>
          </w:tcPr>
          <w:p w14:paraId="687A8535">
            <w:pPr>
              <w:tabs>
                <w:tab w:val="left" w:pos="720"/>
              </w:tabs>
              <w:spacing w:line="276" w:lineRule="auto"/>
              <w:rPr>
                <w:rFonts w:ascii="宋体" w:hAnsi="宋体"/>
                <w:sz w:val="24"/>
              </w:rPr>
            </w:pPr>
            <w:r>
              <w:rPr>
                <w:rFonts w:hint="eastAsia" w:ascii="宋体" w:hAnsi="宋体"/>
                <w:sz w:val="24"/>
              </w:rPr>
              <w:t>型号</w:t>
            </w:r>
          </w:p>
          <w:p w14:paraId="3F552250">
            <w:pPr>
              <w:tabs>
                <w:tab w:val="left" w:pos="720"/>
              </w:tabs>
              <w:spacing w:line="276" w:lineRule="auto"/>
              <w:rPr>
                <w:rFonts w:ascii="宋体" w:hAnsi="宋体"/>
                <w:sz w:val="24"/>
              </w:rPr>
            </w:pPr>
            <w:r>
              <w:rPr>
                <w:rFonts w:hint="eastAsia" w:ascii="宋体" w:hAnsi="宋体"/>
                <w:sz w:val="24"/>
              </w:rPr>
              <w:t>规格</w:t>
            </w:r>
          </w:p>
        </w:tc>
        <w:tc>
          <w:tcPr>
            <w:tcW w:w="1022" w:type="dxa"/>
            <w:vAlign w:val="center"/>
          </w:tcPr>
          <w:p w14:paraId="40122BA8">
            <w:pPr>
              <w:tabs>
                <w:tab w:val="left" w:pos="720"/>
              </w:tabs>
              <w:spacing w:line="276" w:lineRule="auto"/>
              <w:rPr>
                <w:rFonts w:ascii="宋体" w:hAnsi="宋体"/>
                <w:sz w:val="24"/>
              </w:rPr>
            </w:pPr>
            <w:r>
              <w:rPr>
                <w:rFonts w:hint="eastAsia" w:ascii="宋体" w:hAnsi="宋体"/>
                <w:sz w:val="24"/>
              </w:rPr>
              <w:t>数  量</w:t>
            </w:r>
          </w:p>
        </w:tc>
        <w:tc>
          <w:tcPr>
            <w:tcW w:w="821" w:type="dxa"/>
            <w:vAlign w:val="center"/>
          </w:tcPr>
          <w:p w14:paraId="1421A8A5">
            <w:pPr>
              <w:tabs>
                <w:tab w:val="left" w:pos="720"/>
              </w:tabs>
              <w:spacing w:line="276" w:lineRule="auto"/>
              <w:rPr>
                <w:rFonts w:ascii="宋体" w:hAnsi="宋体"/>
                <w:sz w:val="24"/>
              </w:rPr>
            </w:pPr>
            <w:r>
              <w:rPr>
                <w:rFonts w:hint="eastAsia" w:ascii="宋体" w:hAnsi="宋体"/>
                <w:sz w:val="24"/>
              </w:rPr>
              <w:t>国别</w:t>
            </w:r>
          </w:p>
          <w:p w14:paraId="6A4F88E5">
            <w:pPr>
              <w:tabs>
                <w:tab w:val="left" w:pos="720"/>
              </w:tabs>
              <w:spacing w:line="276" w:lineRule="auto"/>
              <w:rPr>
                <w:rFonts w:ascii="宋体" w:hAnsi="宋体"/>
                <w:sz w:val="24"/>
              </w:rPr>
            </w:pPr>
            <w:r>
              <w:rPr>
                <w:rFonts w:hint="eastAsia" w:ascii="宋体" w:hAnsi="宋体"/>
                <w:sz w:val="24"/>
              </w:rPr>
              <w:t>产地</w:t>
            </w:r>
          </w:p>
        </w:tc>
        <w:tc>
          <w:tcPr>
            <w:tcW w:w="851" w:type="dxa"/>
            <w:vAlign w:val="center"/>
          </w:tcPr>
          <w:p w14:paraId="0843B9EC">
            <w:pPr>
              <w:tabs>
                <w:tab w:val="left" w:pos="720"/>
              </w:tabs>
              <w:spacing w:line="276" w:lineRule="auto"/>
              <w:rPr>
                <w:rFonts w:ascii="宋体" w:hAnsi="宋体"/>
                <w:sz w:val="24"/>
              </w:rPr>
            </w:pPr>
            <w:r>
              <w:rPr>
                <w:rFonts w:hint="eastAsia" w:ascii="宋体" w:hAnsi="宋体"/>
                <w:sz w:val="24"/>
              </w:rPr>
              <w:t>制造</w:t>
            </w:r>
          </w:p>
          <w:p w14:paraId="29404876">
            <w:pPr>
              <w:tabs>
                <w:tab w:val="left" w:pos="720"/>
              </w:tabs>
              <w:spacing w:line="276" w:lineRule="auto"/>
              <w:rPr>
                <w:rFonts w:ascii="宋体" w:hAnsi="宋体"/>
                <w:sz w:val="24"/>
              </w:rPr>
            </w:pPr>
            <w:r>
              <w:rPr>
                <w:rFonts w:hint="eastAsia" w:ascii="宋体" w:hAnsi="宋体"/>
                <w:sz w:val="24"/>
              </w:rPr>
              <w:t>年份</w:t>
            </w:r>
          </w:p>
        </w:tc>
        <w:tc>
          <w:tcPr>
            <w:tcW w:w="1275" w:type="dxa"/>
            <w:vAlign w:val="center"/>
          </w:tcPr>
          <w:p w14:paraId="22289369">
            <w:pPr>
              <w:tabs>
                <w:tab w:val="left" w:pos="720"/>
              </w:tabs>
              <w:spacing w:line="276" w:lineRule="auto"/>
              <w:rPr>
                <w:rFonts w:ascii="宋体" w:hAnsi="宋体"/>
                <w:sz w:val="24"/>
              </w:rPr>
            </w:pPr>
            <w:r>
              <w:rPr>
                <w:rFonts w:hint="eastAsia" w:ascii="宋体" w:hAnsi="宋体"/>
                <w:sz w:val="24"/>
              </w:rPr>
              <w:t>已使用台时    数</w:t>
            </w:r>
          </w:p>
        </w:tc>
        <w:tc>
          <w:tcPr>
            <w:tcW w:w="1560" w:type="dxa"/>
            <w:vAlign w:val="center"/>
          </w:tcPr>
          <w:p w14:paraId="09ABF3FF">
            <w:pPr>
              <w:tabs>
                <w:tab w:val="left" w:pos="720"/>
              </w:tabs>
              <w:spacing w:line="276" w:lineRule="auto"/>
              <w:rPr>
                <w:rFonts w:ascii="宋体" w:hAnsi="宋体"/>
                <w:sz w:val="24"/>
              </w:rPr>
            </w:pPr>
            <w:r>
              <w:rPr>
                <w:rFonts w:hint="eastAsia" w:ascii="宋体" w:hAnsi="宋体"/>
                <w:sz w:val="24"/>
              </w:rPr>
              <w:t>用  途</w:t>
            </w:r>
          </w:p>
        </w:tc>
        <w:tc>
          <w:tcPr>
            <w:tcW w:w="1134" w:type="dxa"/>
            <w:vAlign w:val="center"/>
          </w:tcPr>
          <w:p w14:paraId="24BC30BD">
            <w:pPr>
              <w:tabs>
                <w:tab w:val="left" w:pos="720"/>
              </w:tabs>
              <w:spacing w:line="276" w:lineRule="auto"/>
              <w:rPr>
                <w:rFonts w:ascii="宋体" w:hAnsi="宋体"/>
                <w:sz w:val="24"/>
              </w:rPr>
            </w:pPr>
            <w:r>
              <w:rPr>
                <w:rFonts w:hint="eastAsia" w:ascii="宋体" w:hAnsi="宋体"/>
                <w:sz w:val="24"/>
              </w:rPr>
              <w:t>备注</w:t>
            </w:r>
          </w:p>
        </w:tc>
      </w:tr>
      <w:tr w14:paraId="671A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2C1C7431">
            <w:pPr>
              <w:spacing w:line="276" w:lineRule="auto"/>
              <w:rPr>
                <w:rFonts w:ascii="宋体" w:hAnsi="宋体"/>
                <w:szCs w:val="21"/>
              </w:rPr>
            </w:pPr>
          </w:p>
        </w:tc>
        <w:tc>
          <w:tcPr>
            <w:tcW w:w="1088" w:type="dxa"/>
            <w:vAlign w:val="center"/>
          </w:tcPr>
          <w:p w14:paraId="5AA24827">
            <w:pPr>
              <w:spacing w:line="276" w:lineRule="auto"/>
              <w:rPr>
                <w:rFonts w:ascii="宋体" w:hAnsi="宋体"/>
                <w:szCs w:val="21"/>
              </w:rPr>
            </w:pPr>
          </w:p>
        </w:tc>
        <w:tc>
          <w:tcPr>
            <w:tcW w:w="730" w:type="dxa"/>
            <w:vAlign w:val="center"/>
          </w:tcPr>
          <w:p w14:paraId="1EB6DD88">
            <w:pPr>
              <w:spacing w:line="276" w:lineRule="auto"/>
              <w:rPr>
                <w:rFonts w:ascii="宋体" w:hAnsi="宋体"/>
                <w:szCs w:val="21"/>
              </w:rPr>
            </w:pPr>
          </w:p>
        </w:tc>
        <w:tc>
          <w:tcPr>
            <w:tcW w:w="1022" w:type="dxa"/>
            <w:vAlign w:val="center"/>
          </w:tcPr>
          <w:p w14:paraId="685D6A51">
            <w:pPr>
              <w:spacing w:line="276" w:lineRule="auto"/>
              <w:rPr>
                <w:rFonts w:ascii="宋体" w:hAnsi="宋体"/>
                <w:szCs w:val="21"/>
              </w:rPr>
            </w:pPr>
          </w:p>
        </w:tc>
        <w:tc>
          <w:tcPr>
            <w:tcW w:w="821" w:type="dxa"/>
            <w:vAlign w:val="center"/>
          </w:tcPr>
          <w:p w14:paraId="62C4A34E">
            <w:pPr>
              <w:spacing w:line="276" w:lineRule="auto"/>
              <w:rPr>
                <w:rFonts w:ascii="宋体" w:hAnsi="宋体"/>
                <w:szCs w:val="21"/>
              </w:rPr>
            </w:pPr>
          </w:p>
        </w:tc>
        <w:tc>
          <w:tcPr>
            <w:tcW w:w="851" w:type="dxa"/>
            <w:vAlign w:val="center"/>
          </w:tcPr>
          <w:p w14:paraId="2CB9C72C">
            <w:pPr>
              <w:spacing w:line="276" w:lineRule="auto"/>
              <w:rPr>
                <w:rFonts w:ascii="宋体" w:hAnsi="宋体"/>
                <w:szCs w:val="21"/>
              </w:rPr>
            </w:pPr>
          </w:p>
        </w:tc>
        <w:tc>
          <w:tcPr>
            <w:tcW w:w="1275" w:type="dxa"/>
            <w:vAlign w:val="center"/>
          </w:tcPr>
          <w:p w14:paraId="6E1AA2AC">
            <w:pPr>
              <w:spacing w:line="276" w:lineRule="auto"/>
              <w:rPr>
                <w:rFonts w:ascii="宋体" w:hAnsi="宋体"/>
                <w:szCs w:val="21"/>
              </w:rPr>
            </w:pPr>
          </w:p>
        </w:tc>
        <w:tc>
          <w:tcPr>
            <w:tcW w:w="1560" w:type="dxa"/>
            <w:vAlign w:val="center"/>
          </w:tcPr>
          <w:p w14:paraId="0EDF8976">
            <w:pPr>
              <w:spacing w:line="276" w:lineRule="auto"/>
              <w:rPr>
                <w:rFonts w:ascii="宋体" w:hAnsi="宋体"/>
                <w:szCs w:val="21"/>
              </w:rPr>
            </w:pPr>
          </w:p>
        </w:tc>
        <w:tc>
          <w:tcPr>
            <w:tcW w:w="1134" w:type="dxa"/>
            <w:vAlign w:val="center"/>
          </w:tcPr>
          <w:p w14:paraId="30A939C7">
            <w:pPr>
              <w:spacing w:line="276" w:lineRule="auto"/>
              <w:rPr>
                <w:rFonts w:ascii="宋体" w:hAnsi="宋体"/>
                <w:szCs w:val="21"/>
              </w:rPr>
            </w:pPr>
          </w:p>
        </w:tc>
      </w:tr>
      <w:tr w14:paraId="2FE2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77022A11">
            <w:pPr>
              <w:spacing w:line="276" w:lineRule="auto"/>
              <w:rPr>
                <w:rFonts w:ascii="宋体" w:hAnsi="宋体"/>
                <w:szCs w:val="21"/>
              </w:rPr>
            </w:pPr>
          </w:p>
        </w:tc>
        <w:tc>
          <w:tcPr>
            <w:tcW w:w="1088" w:type="dxa"/>
            <w:vAlign w:val="center"/>
          </w:tcPr>
          <w:p w14:paraId="2914D233">
            <w:pPr>
              <w:spacing w:line="276" w:lineRule="auto"/>
              <w:rPr>
                <w:rFonts w:ascii="宋体" w:hAnsi="宋体"/>
                <w:szCs w:val="21"/>
              </w:rPr>
            </w:pPr>
          </w:p>
        </w:tc>
        <w:tc>
          <w:tcPr>
            <w:tcW w:w="730" w:type="dxa"/>
            <w:vAlign w:val="center"/>
          </w:tcPr>
          <w:p w14:paraId="1ED0CA77">
            <w:pPr>
              <w:spacing w:line="276" w:lineRule="auto"/>
              <w:rPr>
                <w:rFonts w:ascii="宋体" w:hAnsi="宋体"/>
                <w:szCs w:val="21"/>
              </w:rPr>
            </w:pPr>
          </w:p>
        </w:tc>
        <w:tc>
          <w:tcPr>
            <w:tcW w:w="1022" w:type="dxa"/>
            <w:vAlign w:val="center"/>
          </w:tcPr>
          <w:p w14:paraId="4AF40C33">
            <w:pPr>
              <w:spacing w:line="276" w:lineRule="auto"/>
              <w:rPr>
                <w:rFonts w:ascii="宋体" w:hAnsi="宋体"/>
                <w:szCs w:val="21"/>
              </w:rPr>
            </w:pPr>
          </w:p>
        </w:tc>
        <w:tc>
          <w:tcPr>
            <w:tcW w:w="821" w:type="dxa"/>
            <w:vAlign w:val="center"/>
          </w:tcPr>
          <w:p w14:paraId="0F84D99F">
            <w:pPr>
              <w:spacing w:line="276" w:lineRule="auto"/>
              <w:rPr>
                <w:rFonts w:ascii="宋体" w:hAnsi="宋体"/>
                <w:szCs w:val="21"/>
              </w:rPr>
            </w:pPr>
          </w:p>
        </w:tc>
        <w:tc>
          <w:tcPr>
            <w:tcW w:w="851" w:type="dxa"/>
            <w:vAlign w:val="center"/>
          </w:tcPr>
          <w:p w14:paraId="769D5B1C">
            <w:pPr>
              <w:spacing w:line="276" w:lineRule="auto"/>
              <w:rPr>
                <w:rFonts w:ascii="宋体" w:hAnsi="宋体"/>
                <w:szCs w:val="21"/>
              </w:rPr>
            </w:pPr>
          </w:p>
        </w:tc>
        <w:tc>
          <w:tcPr>
            <w:tcW w:w="1275" w:type="dxa"/>
            <w:vAlign w:val="center"/>
          </w:tcPr>
          <w:p w14:paraId="0DBD43C6">
            <w:pPr>
              <w:spacing w:line="276" w:lineRule="auto"/>
              <w:rPr>
                <w:rFonts w:ascii="宋体" w:hAnsi="宋体"/>
                <w:szCs w:val="21"/>
              </w:rPr>
            </w:pPr>
          </w:p>
        </w:tc>
        <w:tc>
          <w:tcPr>
            <w:tcW w:w="1560" w:type="dxa"/>
            <w:vAlign w:val="center"/>
          </w:tcPr>
          <w:p w14:paraId="30DDCD7C">
            <w:pPr>
              <w:spacing w:line="276" w:lineRule="auto"/>
              <w:rPr>
                <w:rFonts w:ascii="宋体" w:hAnsi="宋体"/>
                <w:szCs w:val="21"/>
              </w:rPr>
            </w:pPr>
          </w:p>
        </w:tc>
        <w:tc>
          <w:tcPr>
            <w:tcW w:w="1134" w:type="dxa"/>
            <w:vAlign w:val="center"/>
          </w:tcPr>
          <w:p w14:paraId="4820DD9F">
            <w:pPr>
              <w:spacing w:line="276" w:lineRule="auto"/>
              <w:rPr>
                <w:rFonts w:ascii="宋体" w:hAnsi="宋体"/>
                <w:szCs w:val="21"/>
              </w:rPr>
            </w:pPr>
          </w:p>
        </w:tc>
      </w:tr>
      <w:tr w14:paraId="43AD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308B8A16">
            <w:pPr>
              <w:spacing w:line="276" w:lineRule="auto"/>
              <w:rPr>
                <w:rFonts w:ascii="宋体" w:hAnsi="宋体"/>
                <w:szCs w:val="21"/>
              </w:rPr>
            </w:pPr>
          </w:p>
        </w:tc>
        <w:tc>
          <w:tcPr>
            <w:tcW w:w="1088" w:type="dxa"/>
          </w:tcPr>
          <w:p w14:paraId="743D2F40">
            <w:pPr>
              <w:spacing w:line="276" w:lineRule="auto"/>
              <w:rPr>
                <w:rFonts w:ascii="宋体" w:hAnsi="宋体"/>
                <w:szCs w:val="21"/>
              </w:rPr>
            </w:pPr>
          </w:p>
        </w:tc>
        <w:tc>
          <w:tcPr>
            <w:tcW w:w="730" w:type="dxa"/>
          </w:tcPr>
          <w:p w14:paraId="6A4AB278">
            <w:pPr>
              <w:spacing w:line="276" w:lineRule="auto"/>
              <w:rPr>
                <w:rFonts w:ascii="宋体" w:hAnsi="宋体"/>
                <w:szCs w:val="21"/>
              </w:rPr>
            </w:pPr>
          </w:p>
        </w:tc>
        <w:tc>
          <w:tcPr>
            <w:tcW w:w="1022" w:type="dxa"/>
          </w:tcPr>
          <w:p w14:paraId="4EAD8820">
            <w:pPr>
              <w:spacing w:line="276" w:lineRule="auto"/>
              <w:rPr>
                <w:rFonts w:ascii="宋体" w:hAnsi="宋体"/>
                <w:szCs w:val="21"/>
              </w:rPr>
            </w:pPr>
          </w:p>
        </w:tc>
        <w:tc>
          <w:tcPr>
            <w:tcW w:w="821" w:type="dxa"/>
          </w:tcPr>
          <w:p w14:paraId="724C07FE">
            <w:pPr>
              <w:spacing w:line="276" w:lineRule="auto"/>
              <w:rPr>
                <w:rFonts w:ascii="宋体" w:hAnsi="宋体"/>
                <w:szCs w:val="21"/>
              </w:rPr>
            </w:pPr>
          </w:p>
        </w:tc>
        <w:tc>
          <w:tcPr>
            <w:tcW w:w="851" w:type="dxa"/>
          </w:tcPr>
          <w:p w14:paraId="69DB8957">
            <w:pPr>
              <w:spacing w:line="276" w:lineRule="auto"/>
              <w:rPr>
                <w:rFonts w:ascii="宋体" w:hAnsi="宋体"/>
                <w:szCs w:val="21"/>
              </w:rPr>
            </w:pPr>
          </w:p>
        </w:tc>
        <w:tc>
          <w:tcPr>
            <w:tcW w:w="1275" w:type="dxa"/>
          </w:tcPr>
          <w:p w14:paraId="2630C85E">
            <w:pPr>
              <w:spacing w:line="276" w:lineRule="auto"/>
              <w:rPr>
                <w:rFonts w:ascii="宋体" w:hAnsi="宋体"/>
                <w:szCs w:val="21"/>
              </w:rPr>
            </w:pPr>
          </w:p>
        </w:tc>
        <w:tc>
          <w:tcPr>
            <w:tcW w:w="1560" w:type="dxa"/>
          </w:tcPr>
          <w:p w14:paraId="388377FE">
            <w:pPr>
              <w:spacing w:line="276" w:lineRule="auto"/>
              <w:rPr>
                <w:rFonts w:ascii="宋体" w:hAnsi="宋体"/>
                <w:szCs w:val="21"/>
              </w:rPr>
            </w:pPr>
          </w:p>
        </w:tc>
        <w:tc>
          <w:tcPr>
            <w:tcW w:w="1134" w:type="dxa"/>
          </w:tcPr>
          <w:p w14:paraId="269F2DCE">
            <w:pPr>
              <w:spacing w:line="276" w:lineRule="auto"/>
              <w:rPr>
                <w:rFonts w:ascii="宋体" w:hAnsi="宋体"/>
                <w:szCs w:val="21"/>
              </w:rPr>
            </w:pPr>
          </w:p>
        </w:tc>
      </w:tr>
      <w:tr w14:paraId="6280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0BA14F5">
            <w:pPr>
              <w:spacing w:line="276" w:lineRule="auto"/>
              <w:rPr>
                <w:rFonts w:ascii="宋体" w:hAnsi="宋体"/>
                <w:szCs w:val="21"/>
              </w:rPr>
            </w:pPr>
          </w:p>
        </w:tc>
        <w:tc>
          <w:tcPr>
            <w:tcW w:w="1088" w:type="dxa"/>
          </w:tcPr>
          <w:p w14:paraId="5DC2F4B0">
            <w:pPr>
              <w:spacing w:line="276" w:lineRule="auto"/>
              <w:rPr>
                <w:rFonts w:ascii="宋体" w:hAnsi="宋体"/>
                <w:szCs w:val="21"/>
              </w:rPr>
            </w:pPr>
          </w:p>
        </w:tc>
        <w:tc>
          <w:tcPr>
            <w:tcW w:w="730" w:type="dxa"/>
          </w:tcPr>
          <w:p w14:paraId="1B31DD2E">
            <w:pPr>
              <w:spacing w:line="276" w:lineRule="auto"/>
              <w:rPr>
                <w:rFonts w:ascii="宋体" w:hAnsi="宋体"/>
                <w:szCs w:val="21"/>
              </w:rPr>
            </w:pPr>
          </w:p>
        </w:tc>
        <w:tc>
          <w:tcPr>
            <w:tcW w:w="1022" w:type="dxa"/>
          </w:tcPr>
          <w:p w14:paraId="62FEEDFF">
            <w:pPr>
              <w:spacing w:line="276" w:lineRule="auto"/>
              <w:rPr>
                <w:rFonts w:ascii="宋体" w:hAnsi="宋体"/>
                <w:szCs w:val="21"/>
              </w:rPr>
            </w:pPr>
          </w:p>
        </w:tc>
        <w:tc>
          <w:tcPr>
            <w:tcW w:w="821" w:type="dxa"/>
          </w:tcPr>
          <w:p w14:paraId="68FD49FE">
            <w:pPr>
              <w:spacing w:line="276" w:lineRule="auto"/>
              <w:rPr>
                <w:rFonts w:ascii="宋体" w:hAnsi="宋体"/>
                <w:szCs w:val="21"/>
              </w:rPr>
            </w:pPr>
          </w:p>
        </w:tc>
        <w:tc>
          <w:tcPr>
            <w:tcW w:w="851" w:type="dxa"/>
          </w:tcPr>
          <w:p w14:paraId="580C86DD">
            <w:pPr>
              <w:spacing w:line="276" w:lineRule="auto"/>
              <w:rPr>
                <w:rFonts w:ascii="宋体" w:hAnsi="宋体"/>
                <w:szCs w:val="21"/>
              </w:rPr>
            </w:pPr>
          </w:p>
        </w:tc>
        <w:tc>
          <w:tcPr>
            <w:tcW w:w="1275" w:type="dxa"/>
          </w:tcPr>
          <w:p w14:paraId="739EB435">
            <w:pPr>
              <w:spacing w:line="276" w:lineRule="auto"/>
              <w:rPr>
                <w:rFonts w:ascii="宋体" w:hAnsi="宋体"/>
                <w:szCs w:val="21"/>
              </w:rPr>
            </w:pPr>
          </w:p>
        </w:tc>
        <w:tc>
          <w:tcPr>
            <w:tcW w:w="1560" w:type="dxa"/>
          </w:tcPr>
          <w:p w14:paraId="2A7452FC">
            <w:pPr>
              <w:spacing w:line="276" w:lineRule="auto"/>
              <w:rPr>
                <w:rFonts w:ascii="宋体" w:hAnsi="宋体"/>
                <w:szCs w:val="21"/>
              </w:rPr>
            </w:pPr>
          </w:p>
        </w:tc>
        <w:tc>
          <w:tcPr>
            <w:tcW w:w="1134" w:type="dxa"/>
          </w:tcPr>
          <w:p w14:paraId="4BA05F98">
            <w:pPr>
              <w:spacing w:line="276" w:lineRule="auto"/>
              <w:rPr>
                <w:rFonts w:ascii="宋体" w:hAnsi="宋体"/>
                <w:szCs w:val="21"/>
              </w:rPr>
            </w:pPr>
          </w:p>
        </w:tc>
      </w:tr>
      <w:tr w14:paraId="69B2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85BCBF9">
            <w:pPr>
              <w:spacing w:line="276" w:lineRule="auto"/>
              <w:rPr>
                <w:rFonts w:ascii="宋体" w:hAnsi="宋体"/>
                <w:szCs w:val="21"/>
              </w:rPr>
            </w:pPr>
          </w:p>
        </w:tc>
        <w:tc>
          <w:tcPr>
            <w:tcW w:w="1088" w:type="dxa"/>
          </w:tcPr>
          <w:p w14:paraId="24AD0373">
            <w:pPr>
              <w:spacing w:line="276" w:lineRule="auto"/>
              <w:rPr>
                <w:rFonts w:ascii="宋体" w:hAnsi="宋体"/>
                <w:szCs w:val="21"/>
              </w:rPr>
            </w:pPr>
          </w:p>
        </w:tc>
        <w:tc>
          <w:tcPr>
            <w:tcW w:w="730" w:type="dxa"/>
          </w:tcPr>
          <w:p w14:paraId="1C6A0D26">
            <w:pPr>
              <w:spacing w:line="276" w:lineRule="auto"/>
              <w:rPr>
                <w:rFonts w:ascii="宋体" w:hAnsi="宋体"/>
                <w:szCs w:val="21"/>
              </w:rPr>
            </w:pPr>
          </w:p>
        </w:tc>
        <w:tc>
          <w:tcPr>
            <w:tcW w:w="1022" w:type="dxa"/>
          </w:tcPr>
          <w:p w14:paraId="2B873164">
            <w:pPr>
              <w:spacing w:line="276" w:lineRule="auto"/>
              <w:rPr>
                <w:rFonts w:ascii="宋体" w:hAnsi="宋体"/>
                <w:szCs w:val="21"/>
              </w:rPr>
            </w:pPr>
          </w:p>
        </w:tc>
        <w:tc>
          <w:tcPr>
            <w:tcW w:w="821" w:type="dxa"/>
          </w:tcPr>
          <w:p w14:paraId="7C7E80D9">
            <w:pPr>
              <w:spacing w:line="276" w:lineRule="auto"/>
              <w:rPr>
                <w:rFonts w:ascii="宋体" w:hAnsi="宋体"/>
                <w:szCs w:val="21"/>
              </w:rPr>
            </w:pPr>
          </w:p>
        </w:tc>
        <w:tc>
          <w:tcPr>
            <w:tcW w:w="851" w:type="dxa"/>
          </w:tcPr>
          <w:p w14:paraId="1C21F587">
            <w:pPr>
              <w:spacing w:line="276" w:lineRule="auto"/>
              <w:rPr>
                <w:rFonts w:ascii="宋体" w:hAnsi="宋体"/>
                <w:szCs w:val="21"/>
              </w:rPr>
            </w:pPr>
          </w:p>
        </w:tc>
        <w:tc>
          <w:tcPr>
            <w:tcW w:w="1275" w:type="dxa"/>
          </w:tcPr>
          <w:p w14:paraId="5DD4F6B6">
            <w:pPr>
              <w:spacing w:line="276" w:lineRule="auto"/>
              <w:rPr>
                <w:rFonts w:ascii="宋体" w:hAnsi="宋体"/>
                <w:szCs w:val="21"/>
              </w:rPr>
            </w:pPr>
          </w:p>
        </w:tc>
        <w:tc>
          <w:tcPr>
            <w:tcW w:w="1560" w:type="dxa"/>
          </w:tcPr>
          <w:p w14:paraId="4E098693">
            <w:pPr>
              <w:spacing w:line="276" w:lineRule="auto"/>
              <w:rPr>
                <w:rFonts w:ascii="宋体" w:hAnsi="宋体"/>
                <w:szCs w:val="21"/>
              </w:rPr>
            </w:pPr>
          </w:p>
        </w:tc>
        <w:tc>
          <w:tcPr>
            <w:tcW w:w="1134" w:type="dxa"/>
          </w:tcPr>
          <w:p w14:paraId="5E7C82CD">
            <w:pPr>
              <w:spacing w:line="276" w:lineRule="auto"/>
              <w:rPr>
                <w:rFonts w:ascii="宋体" w:hAnsi="宋体"/>
                <w:szCs w:val="21"/>
              </w:rPr>
            </w:pPr>
          </w:p>
        </w:tc>
      </w:tr>
      <w:tr w14:paraId="15C9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EFB20B5">
            <w:pPr>
              <w:spacing w:line="276" w:lineRule="auto"/>
              <w:rPr>
                <w:rFonts w:ascii="宋体" w:hAnsi="宋体"/>
                <w:szCs w:val="21"/>
              </w:rPr>
            </w:pPr>
          </w:p>
        </w:tc>
        <w:tc>
          <w:tcPr>
            <w:tcW w:w="1088" w:type="dxa"/>
          </w:tcPr>
          <w:p w14:paraId="53227627">
            <w:pPr>
              <w:spacing w:line="276" w:lineRule="auto"/>
              <w:rPr>
                <w:rFonts w:ascii="宋体" w:hAnsi="宋体"/>
                <w:szCs w:val="21"/>
              </w:rPr>
            </w:pPr>
          </w:p>
        </w:tc>
        <w:tc>
          <w:tcPr>
            <w:tcW w:w="730" w:type="dxa"/>
          </w:tcPr>
          <w:p w14:paraId="6C1B8B0F">
            <w:pPr>
              <w:spacing w:line="276" w:lineRule="auto"/>
              <w:rPr>
                <w:rFonts w:ascii="宋体" w:hAnsi="宋体"/>
                <w:szCs w:val="21"/>
              </w:rPr>
            </w:pPr>
          </w:p>
        </w:tc>
        <w:tc>
          <w:tcPr>
            <w:tcW w:w="1022" w:type="dxa"/>
          </w:tcPr>
          <w:p w14:paraId="77B2B6EE">
            <w:pPr>
              <w:spacing w:line="276" w:lineRule="auto"/>
              <w:rPr>
                <w:rFonts w:ascii="宋体" w:hAnsi="宋体"/>
                <w:szCs w:val="21"/>
              </w:rPr>
            </w:pPr>
          </w:p>
        </w:tc>
        <w:tc>
          <w:tcPr>
            <w:tcW w:w="821" w:type="dxa"/>
          </w:tcPr>
          <w:p w14:paraId="1E20CBAA">
            <w:pPr>
              <w:spacing w:line="276" w:lineRule="auto"/>
              <w:rPr>
                <w:rFonts w:ascii="宋体" w:hAnsi="宋体"/>
                <w:szCs w:val="21"/>
              </w:rPr>
            </w:pPr>
          </w:p>
        </w:tc>
        <w:tc>
          <w:tcPr>
            <w:tcW w:w="851" w:type="dxa"/>
          </w:tcPr>
          <w:p w14:paraId="6B31EE54">
            <w:pPr>
              <w:spacing w:line="276" w:lineRule="auto"/>
              <w:rPr>
                <w:rFonts w:ascii="宋体" w:hAnsi="宋体"/>
                <w:szCs w:val="21"/>
              </w:rPr>
            </w:pPr>
          </w:p>
        </w:tc>
        <w:tc>
          <w:tcPr>
            <w:tcW w:w="1275" w:type="dxa"/>
          </w:tcPr>
          <w:p w14:paraId="759107D8">
            <w:pPr>
              <w:spacing w:line="276" w:lineRule="auto"/>
              <w:rPr>
                <w:rFonts w:ascii="宋体" w:hAnsi="宋体"/>
                <w:szCs w:val="21"/>
              </w:rPr>
            </w:pPr>
          </w:p>
        </w:tc>
        <w:tc>
          <w:tcPr>
            <w:tcW w:w="1560" w:type="dxa"/>
          </w:tcPr>
          <w:p w14:paraId="57E6E912">
            <w:pPr>
              <w:spacing w:line="276" w:lineRule="auto"/>
              <w:rPr>
                <w:rFonts w:ascii="宋体" w:hAnsi="宋体"/>
                <w:szCs w:val="21"/>
              </w:rPr>
            </w:pPr>
          </w:p>
        </w:tc>
        <w:tc>
          <w:tcPr>
            <w:tcW w:w="1134" w:type="dxa"/>
          </w:tcPr>
          <w:p w14:paraId="50883E44">
            <w:pPr>
              <w:spacing w:line="276" w:lineRule="auto"/>
              <w:rPr>
                <w:rFonts w:ascii="宋体" w:hAnsi="宋体"/>
                <w:szCs w:val="21"/>
              </w:rPr>
            </w:pPr>
          </w:p>
        </w:tc>
      </w:tr>
      <w:tr w14:paraId="1C0D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70E6143A">
            <w:pPr>
              <w:spacing w:line="276" w:lineRule="auto"/>
              <w:rPr>
                <w:rFonts w:ascii="宋体" w:hAnsi="宋体"/>
                <w:szCs w:val="21"/>
              </w:rPr>
            </w:pPr>
          </w:p>
        </w:tc>
        <w:tc>
          <w:tcPr>
            <w:tcW w:w="1088" w:type="dxa"/>
          </w:tcPr>
          <w:p w14:paraId="45A2DD5F">
            <w:pPr>
              <w:spacing w:line="276" w:lineRule="auto"/>
              <w:rPr>
                <w:rFonts w:ascii="宋体" w:hAnsi="宋体"/>
                <w:szCs w:val="21"/>
              </w:rPr>
            </w:pPr>
          </w:p>
        </w:tc>
        <w:tc>
          <w:tcPr>
            <w:tcW w:w="730" w:type="dxa"/>
          </w:tcPr>
          <w:p w14:paraId="1413595C">
            <w:pPr>
              <w:spacing w:line="276" w:lineRule="auto"/>
              <w:rPr>
                <w:rFonts w:ascii="宋体" w:hAnsi="宋体"/>
                <w:szCs w:val="21"/>
              </w:rPr>
            </w:pPr>
          </w:p>
        </w:tc>
        <w:tc>
          <w:tcPr>
            <w:tcW w:w="1022" w:type="dxa"/>
          </w:tcPr>
          <w:p w14:paraId="4557DBB7">
            <w:pPr>
              <w:spacing w:line="276" w:lineRule="auto"/>
              <w:rPr>
                <w:rFonts w:ascii="宋体" w:hAnsi="宋体"/>
                <w:szCs w:val="21"/>
              </w:rPr>
            </w:pPr>
          </w:p>
        </w:tc>
        <w:tc>
          <w:tcPr>
            <w:tcW w:w="821" w:type="dxa"/>
          </w:tcPr>
          <w:p w14:paraId="5694C549">
            <w:pPr>
              <w:spacing w:line="276" w:lineRule="auto"/>
              <w:rPr>
                <w:rFonts w:ascii="宋体" w:hAnsi="宋体"/>
                <w:szCs w:val="21"/>
              </w:rPr>
            </w:pPr>
          </w:p>
        </w:tc>
        <w:tc>
          <w:tcPr>
            <w:tcW w:w="851" w:type="dxa"/>
          </w:tcPr>
          <w:p w14:paraId="24615823">
            <w:pPr>
              <w:spacing w:line="276" w:lineRule="auto"/>
              <w:rPr>
                <w:rFonts w:ascii="宋体" w:hAnsi="宋体"/>
                <w:szCs w:val="21"/>
              </w:rPr>
            </w:pPr>
          </w:p>
        </w:tc>
        <w:tc>
          <w:tcPr>
            <w:tcW w:w="1275" w:type="dxa"/>
          </w:tcPr>
          <w:p w14:paraId="457F0FA8">
            <w:pPr>
              <w:spacing w:line="276" w:lineRule="auto"/>
              <w:rPr>
                <w:rFonts w:ascii="宋体" w:hAnsi="宋体"/>
                <w:szCs w:val="21"/>
              </w:rPr>
            </w:pPr>
          </w:p>
        </w:tc>
        <w:tc>
          <w:tcPr>
            <w:tcW w:w="1560" w:type="dxa"/>
          </w:tcPr>
          <w:p w14:paraId="36886AD0">
            <w:pPr>
              <w:spacing w:line="276" w:lineRule="auto"/>
              <w:rPr>
                <w:rFonts w:ascii="宋体" w:hAnsi="宋体"/>
                <w:szCs w:val="21"/>
              </w:rPr>
            </w:pPr>
          </w:p>
        </w:tc>
        <w:tc>
          <w:tcPr>
            <w:tcW w:w="1134" w:type="dxa"/>
          </w:tcPr>
          <w:p w14:paraId="2A766BAE">
            <w:pPr>
              <w:spacing w:line="276" w:lineRule="auto"/>
              <w:rPr>
                <w:rFonts w:ascii="宋体" w:hAnsi="宋体"/>
                <w:szCs w:val="21"/>
              </w:rPr>
            </w:pPr>
          </w:p>
        </w:tc>
      </w:tr>
      <w:tr w14:paraId="78AC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55EFDC33">
            <w:pPr>
              <w:spacing w:line="276" w:lineRule="auto"/>
              <w:rPr>
                <w:rFonts w:ascii="宋体" w:hAnsi="宋体"/>
                <w:szCs w:val="21"/>
              </w:rPr>
            </w:pPr>
          </w:p>
        </w:tc>
        <w:tc>
          <w:tcPr>
            <w:tcW w:w="1088" w:type="dxa"/>
          </w:tcPr>
          <w:p w14:paraId="6DDF6D96">
            <w:pPr>
              <w:spacing w:line="276" w:lineRule="auto"/>
              <w:rPr>
                <w:rFonts w:ascii="宋体" w:hAnsi="宋体"/>
                <w:szCs w:val="21"/>
              </w:rPr>
            </w:pPr>
          </w:p>
        </w:tc>
        <w:tc>
          <w:tcPr>
            <w:tcW w:w="730" w:type="dxa"/>
          </w:tcPr>
          <w:p w14:paraId="2F7C0443">
            <w:pPr>
              <w:spacing w:line="276" w:lineRule="auto"/>
              <w:rPr>
                <w:rFonts w:ascii="宋体" w:hAnsi="宋体"/>
                <w:szCs w:val="21"/>
              </w:rPr>
            </w:pPr>
          </w:p>
        </w:tc>
        <w:tc>
          <w:tcPr>
            <w:tcW w:w="1022" w:type="dxa"/>
          </w:tcPr>
          <w:p w14:paraId="43BC400D">
            <w:pPr>
              <w:spacing w:line="276" w:lineRule="auto"/>
              <w:rPr>
                <w:rFonts w:ascii="宋体" w:hAnsi="宋体"/>
                <w:szCs w:val="21"/>
              </w:rPr>
            </w:pPr>
          </w:p>
        </w:tc>
        <w:tc>
          <w:tcPr>
            <w:tcW w:w="821" w:type="dxa"/>
          </w:tcPr>
          <w:p w14:paraId="27F21807">
            <w:pPr>
              <w:spacing w:line="276" w:lineRule="auto"/>
              <w:rPr>
                <w:rFonts w:ascii="宋体" w:hAnsi="宋体"/>
                <w:szCs w:val="21"/>
              </w:rPr>
            </w:pPr>
          </w:p>
        </w:tc>
        <w:tc>
          <w:tcPr>
            <w:tcW w:w="851" w:type="dxa"/>
          </w:tcPr>
          <w:p w14:paraId="0D908E33">
            <w:pPr>
              <w:spacing w:line="276" w:lineRule="auto"/>
              <w:rPr>
                <w:rFonts w:ascii="宋体" w:hAnsi="宋体"/>
                <w:szCs w:val="21"/>
              </w:rPr>
            </w:pPr>
          </w:p>
        </w:tc>
        <w:tc>
          <w:tcPr>
            <w:tcW w:w="1275" w:type="dxa"/>
          </w:tcPr>
          <w:p w14:paraId="7DAC0334">
            <w:pPr>
              <w:spacing w:line="276" w:lineRule="auto"/>
              <w:rPr>
                <w:rFonts w:ascii="宋体" w:hAnsi="宋体"/>
                <w:szCs w:val="21"/>
              </w:rPr>
            </w:pPr>
          </w:p>
        </w:tc>
        <w:tc>
          <w:tcPr>
            <w:tcW w:w="1560" w:type="dxa"/>
          </w:tcPr>
          <w:p w14:paraId="4B03E970">
            <w:pPr>
              <w:spacing w:line="276" w:lineRule="auto"/>
              <w:rPr>
                <w:rFonts w:ascii="宋体" w:hAnsi="宋体"/>
                <w:szCs w:val="21"/>
              </w:rPr>
            </w:pPr>
          </w:p>
        </w:tc>
        <w:tc>
          <w:tcPr>
            <w:tcW w:w="1134" w:type="dxa"/>
          </w:tcPr>
          <w:p w14:paraId="701F37CA">
            <w:pPr>
              <w:spacing w:line="276" w:lineRule="auto"/>
              <w:rPr>
                <w:rFonts w:ascii="宋体" w:hAnsi="宋体"/>
                <w:szCs w:val="21"/>
              </w:rPr>
            </w:pPr>
          </w:p>
        </w:tc>
      </w:tr>
      <w:tr w14:paraId="10E7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12883D6">
            <w:pPr>
              <w:spacing w:line="276" w:lineRule="auto"/>
              <w:rPr>
                <w:rFonts w:ascii="宋体" w:hAnsi="宋体"/>
                <w:szCs w:val="21"/>
              </w:rPr>
            </w:pPr>
          </w:p>
        </w:tc>
        <w:tc>
          <w:tcPr>
            <w:tcW w:w="1088" w:type="dxa"/>
          </w:tcPr>
          <w:p w14:paraId="0A564EBC">
            <w:pPr>
              <w:spacing w:line="276" w:lineRule="auto"/>
              <w:rPr>
                <w:rFonts w:ascii="宋体" w:hAnsi="宋体"/>
                <w:szCs w:val="21"/>
              </w:rPr>
            </w:pPr>
          </w:p>
        </w:tc>
        <w:tc>
          <w:tcPr>
            <w:tcW w:w="730" w:type="dxa"/>
          </w:tcPr>
          <w:p w14:paraId="2C17394C">
            <w:pPr>
              <w:spacing w:line="276" w:lineRule="auto"/>
              <w:rPr>
                <w:rFonts w:ascii="宋体" w:hAnsi="宋体"/>
                <w:szCs w:val="21"/>
              </w:rPr>
            </w:pPr>
          </w:p>
        </w:tc>
        <w:tc>
          <w:tcPr>
            <w:tcW w:w="1022" w:type="dxa"/>
          </w:tcPr>
          <w:p w14:paraId="11FDE407">
            <w:pPr>
              <w:spacing w:line="276" w:lineRule="auto"/>
              <w:rPr>
                <w:rFonts w:ascii="宋体" w:hAnsi="宋体"/>
                <w:szCs w:val="21"/>
              </w:rPr>
            </w:pPr>
          </w:p>
        </w:tc>
        <w:tc>
          <w:tcPr>
            <w:tcW w:w="821" w:type="dxa"/>
          </w:tcPr>
          <w:p w14:paraId="5421A058">
            <w:pPr>
              <w:spacing w:line="276" w:lineRule="auto"/>
              <w:rPr>
                <w:rFonts w:ascii="宋体" w:hAnsi="宋体"/>
                <w:szCs w:val="21"/>
              </w:rPr>
            </w:pPr>
          </w:p>
        </w:tc>
        <w:tc>
          <w:tcPr>
            <w:tcW w:w="851" w:type="dxa"/>
          </w:tcPr>
          <w:p w14:paraId="29113037">
            <w:pPr>
              <w:spacing w:line="276" w:lineRule="auto"/>
              <w:rPr>
                <w:rFonts w:ascii="宋体" w:hAnsi="宋体"/>
                <w:szCs w:val="21"/>
              </w:rPr>
            </w:pPr>
          </w:p>
        </w:tc>
        <w:tc>
          <w:tcPr>
            <w:tcW w:w="1275" w:type="dxa"/>
          </w:tcPr>
          <w:p w14:paraId="137380DB">
            <w:pPr>
              <w:spacing w:line="276" w:lineRule="auto"/>
              <w:rPr>
                <w:rFonts w:ascii="宋体" w:hAnsi="宋体"/>
                <w:szCs w:val="21"/>
              </w:rPr>
            </w:pPr>
          </w:p>
        </w:tc>
        <w:tc>
          <w:tcPr>
            <w:tcW w:w="1560" w:type="dxa"/>
          </w:tcPr>
          <w:p w14:paraId="512300FD">
            <w:pPr>
              <w:spacing w:line="276" w:lineRule="auto"/>
              <w:rPr>
                <w:rFonts w:ascii="宋体" w:hAnsi="宋体"/>
                <w:szCs w:val="21"/>
              </w:rPr>
            </w:pPr>
          </w:p>
        </w:tc>
        <w:tc>
          <w:tcPr>
            <w:tcW w:w="1134" w:type="dxa"/>
          </w:tcPr>
          <w:p w14:paraId="46E9C2ED">
            <w:pPr>
              <w:spacing w:line="276" w:lineRule="auto"/>
              <w:rPr>
                <w:rFonts w:ascii="宋体" w:hAnsi="宋体"/>
                <w:szCs w:val="21"/>
              </w:rPr>
            </w:pPr>
          </w:p>
        </w:tc>
      </w:tr>
      <w:tr w14:paraId="1DD6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281D71D4">
            <w:pPr>
              <w:spacing w:line="276" w:lineRule="auto"/>
              <w:rPr>
                <w:rFonts w:ascii="宋体" w:hAnsi="宋体"/>
                <w:szCs w:val="21"/>
              </w:rPr>
            </w:pPr>
          </w:p>
        </w:tc>
        <w:tc>
          <w:tcPr>
            <w:tcW w:w="1088" w:type="dxa"/>
          </w:tcPr>
          <w:p w14:paraId="0CA49C20">
            <w:pPr>
              <w:spacing w:line="276" w:lineRule="auto"/>
              <w:rPr>
                <w:rFonts w:ascii="宋体" w:hAnsi="宋体"/>
                <w:szCs w:val="21"/>
              </w:rPr>
            </w:pPr>
          </w:p>
        </w:tc>
        <w:tc>
          <w:tcPr>
            <w:tcW w:w="730" w:type="dxa"/>
          </w:tcPr>
          <w:p w14:paraId="22061D64">
            <w:pPr>
              <w:spacing w:line="276" w:lineRule="auto"/>
              <w:rPr>
                <w:rFonts w:ascii="宋体" w:hAnsi="宋体"/>
                <w:szCs w:val="21"/>
              </w:rPr>
            </w:pPr>
          </w:p>
        </w:tc>
        <w:tc>
          <w:tcPr>
            <w:tcW w:w="1022" w:type="dxa"/>
          </w:tcPr>
          <w:p w14:paraId="5FA24DC8">
            <w:pPr>
              <w:spacing w:line="276" w:lineRule="auto"/>
              <w:rPr>
                <w:rFonts w:ascii="宋体" w:hAnsi="宋体"/>
                <w:szCs w:val="21"/>
              </w:rPr>
            </w:pPr>
          </w:p>
        </w:tc>
        <w:tc>
          <w:tcPr>
            <w:tcW w:w="821" w:type="dxa"/>
          </w:tcPr>
          <w:p w14:paraId="708EE44B">
            <w:pPr>
              <w:spacing w:line="276" w:lineRule="auto"/>
              <w:rPr>
                <w:rFonts w:ascii="宋体" w:hAnsi="宋体"/>
                <w:szCs w:val="21"/>
              </w:rPr>
            </w:pPr>
          </w:p>
        </w:tc>
        <w:tc>
          <w:tcPr>
            <w:tcW w:w="851" w:type="dxa"/>
          </w:tcPr>
          <w:p w14:paraId="34D90E01">
            <w:pPr>
              <w:spacing w:line="276" w:lineRule="auto"/>
              <w:rPr>
                <w:rFonts w:ascii="宋体" w:hAnsi="宋体"/>
                <w:szCs w:val="21"/>
              </w:rPr>
            </w:pPr>
          </w:p>
        </w:tc>
        <w:tc>
          <w:tcPr>
            <w:tcW w:w="1275" w:type="dxa"/>
          </w:tcPr>
          <w:p w14:paraId="05FB007A">
            <w:pPr>
              <w:spacing w:line="276" w:lineRule="auto"/>
              <w:rPr>
                <w:rFonts w:ascii="宋体" w:hAnsi="宋体"/>
                <w:szCs w:val="21"/>
              </w:rPr>
            </w:pPr>
          </w:p>
        </w:tc>
        <w:tc>
          <w:tcPr>
            <w:tcW w:w="1560" w:type="dxa"/>
          </w:tcPr>
          <w:p w14:paraId="094E0012">
            <w:pPr>
              <w:spacing w:line="276" w:lineRule="auto"/>
              <w:rPr>
                <w:rFonts w:ascii="宋体" w:hAnsi="宋体"/>
                <w:szCs w:val="21"/>
              </w:rPr>
            </w:pPr>
          </w:p>
        </w:tc>
        <w:tc>
          <w:tcPr>
            <w:tcW w:w="1134" w:type="dxa"/>
          </w:tcPr>
          <w:p w14:paraId="10656B6A">
            <w:pPr>
              <w:spacing w:line="276" w:lineRule="auto"/>
              <w:rPr>
                <w:rFonts w:ascii="宋体" w:hAnsi="宋体"/>
                <w:szCs w:val="21"/>
              </w:rPr>
            </w:pPr>
          </w:p>
        </w:tc>
      </w:tr>
      <w:tr w14:paraId="336D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68C6224">
            <w:pPr>
              <w:spacing w:line="276" w:lineRule="auto"/>
              <w:rPr>
                <w:rFonts w:ascii="宋体" w:hAnsi="宋体"/>
                <w:szCs w:val="21"/>
              </w:rPr>
            </w:pPr>
          </w:p>
        </w:tc>
        <w:tc>
          <w:tcPr>
            <w:tcW w:w="1088" w:type="dxa"/>
          </w:tcPr>
          <w:p w14:paraId="129DE848">
            <w:pPr>
              <w:spacing w:line="276" w:lineRule="auto"/>
              <w:rPr>
                <w:rFonts w:ascii="宋体" w:hAnsi="宋体"/>
                <w:szCs w:val="21"/>
              </w:rPr>
            </w:pPr>
          </w:p>
        </w:tc>
        <w:tc>
          <w:tcPr>
            <w:tcW w:w="730" w:type="dxa"/>
          </w:tcPr>
          <w:p w14:paraId="4EE4C688">
            <w:pPr>
              <w:spacing w:line="276" w:lineRule="auto"/>
              <w:rPr>
                <w:rFonts w:ascii="宋体" w:hAnsi="宋体"/>
                <w:szCs w:val="21"/>
              </w:rPr>
            </w:pPr>
          </w:p>
        </w:tc>
        <w:tc>
          <w:tcPr>
            <w:tcW w:w="1022" w:type="dxa"/>
          </w:tcPr>
          <w:p w14:paraId="39A127F9">
            <w:pPr>
              <w:spacing w:line="276" w:lineRule="auto"/>
              <w:rPr>
                <w:rFonts w:ascii="宋体" w:hAnsi="宋体"/>
                <w:szCs w:val="21"/>
              </w:rPr>
            </w:pPr>
          </w:p>
        </w:tc>
        <w:tc>
          <w:tcPr>
            <w:tcW w:w="821" w:type="dxa"/>
          </w:tcPr>
          <w:p w14:paraId="768749C1">
            <w:pPr>
              <w:spacing w:line="276" w:lineRule="auto"/>
              <w:rPr>
                <w:rFonts w:ascii="宋体" w:hAnsi="宋体"/>
                <w:szCs w:val="21"/>
              </w:rPr>
            </w:pPr>
          </w:p>
        </w:tc>
        <w:tc>
          <w:tcPr>
            <w:tcW w:w="851" w:type="dxa"/>
          </w:tcPr>
          <w:p w14:paraId="3F256A33">
            <w:pPr>
              <w:spacing w:line="276" w:lineRule="auto"/>
              <w:rPr>
                <w:rFonts w:ascii="宋体" w:hAnsi="宋体"/>
                <w:szCs w:val="21"/>
              </w:rPr>
            </w:pPr>
          </w:p>
        </w:tc>
        <w:tc>
          <w:tcPr>
            <w:tcW w:w="1275" w:type="dxa"/>
          </w:tcPr>
          <w:p w14:paraId="1967EE63">
            <w:pPr>
              <w:spacing w:line="276" w:lineRule="auto"/>
              <w:rPr>
                <w:rFonts w:ascii="宋体" w:hAnsi="宋体"/>
                <w:szCs w:val="21"/>
              </w:rPr>
            </w:pPr>
          </w:p>
        </w:tc>
        <w:tc>
          <w:tcPr>
            <w:tcW w:w="1560" w:type="dxa"/>
          </w:tcPr>
          <w:p w14:paraId="433106DC">
            <w:pPr>
              <w:spacing w:line="276" w:lineRule="auto"/>
              <w:rPr>
                <w:rFonts w:ascii="宋体" w:hAnsi="宋体"/>
                <w:szCs w:val="21"/>
              </w:rPr>
            </w:pPr>
          </w:p>
        </w:tc>
        <w:tc>
          <w:tcPr>
            <w:tcW w:w="1134" w:type="dxa"/>
          </w:tcPr>
          <w:p w14:paraId="4AE0F6EB">
            <w:pPr>
              <w:spacing w:line="276" w:lineRule="auto"/>
              <w:rPr>
                <w:rFonts w:ascii="宋体" w:hAnsi="宋体"/>
                <w:szCs w:val="21"/>
              </w:rPr>
            </w:pPr>
          </w:p>
        </w:tc>
      </w:tr>
      <w:tr w14:paraId="501E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A5884E2">
            <w:pPr>
              <w:spacing w:line="276" w:lineRule="auto"/>
              <w:rPr>
                <w:rFonts w:ascii="宋体" w:hAnsi="宋体"/>
                <w:szCs w:val="21"/>
              </w:rPr>
            </w:pPr>
          </w:p>
        </w:tc>
        <w:tc>
          <w:tcPr>
            <w:tcW w:w="1088" w:type="dxa"/>
          </w:tcPr>
          <w:p w14:paraId="00EE9A7D">
            <w:pPr>
              <w:spacing w:line="276" w:lineRule="auto"/>
              <w:rPr>
                <w:rFonts w:ascii="宋体" w:hAnsi="宋体"/>
                <w:szCs w:val="21"/>
              </w:rPr>
            </w:pPr>
          </w:p>
        </w:tc>
        <w:tc>
          <w:tcPr>
            <w:tcW w:w="730" w:type="dxa"/>
          </w:tcPr>
          <w:p w14:paraId="5CA94C5B">
            <w:pPr>
              <w:spacing w:line="276" w:lineRule="auto"/>
              <w:rPr>
                <w:rFonts w:ascii="宋体" w:hAnsi="宋体"/>
                <w:szCs w:val="21"/>
              </w:rPr>
            </w:pPr>
          </w:p>
        </w:tc>
        <w:tc>
          <w:tcPr>
            <w:tcW w:w="1022" w:type="dxa"/>
          </w:tcPr>
          <w:p w14:paraId="65E31992">
            <w:pPr>
              <w:spacing w:line="276" w:lineRule="auto"/>
              <w:rPr>
                <w:rFonts w:ascii="宋体" w:hAnsi="宋体"/>
                <w:szCs w:val="21"/>
              </w:rPr>
            </w:pPr>
          </w:p>
        </w:tc>
        <w:tc>
          <w:tcPr>
            <w:tcW w:w="821" w:type="dxa"/>
          </w:tcPr>
          <w:p w14:paraId="5458EB87">
            <w:pPr>
              <w:spacing w:line="276" w:lineRule="auto"/>
              <w:rPr>
                <w:rFonts w:ascii="宋体" w:hAnsi="宋体"/>
                <w:szCs w:val="21"/>
              </w:rPr>
            </w:pPr>
          </w:p>
        </w:tc>
        <w:tc>
          <w:tcPr>
            <w:tcW w:w="851" w:type="dxa"/>
          </w:tcPr>
          <w:p w14:paraId="72506CB0">
            <w:pPr>
              <w:spacing w:line="276" w:lineRule="auto"/>
              <w:rPr>
                <w:rFonts w:ascii="宋体" w:hAnsi="宋体"/>
                <w:szCs w:val="21"/>
              </w:rPr>
            </w:pPr>
          </w:p>
        </w:tc>
        <w:tc>
          <w:tcPr>
            <w:tcW w:w="1275" w:type="dxa"/>
          </w:tcPr>
          <w:p w14:paraId="12668331">
            <w:pPr>
              <w:spacing w:line="276" w:lineRule="auto"/>
              <w:rPr>
                <w:rFonts w:ascii="宋体" w:hAnsi="宋体"/>
                <w:szCs w:val="21"/>
              </w:rPr>
            </w:pPr>
          </w:p>
        </w:tc>
        <w:tc>
          <w:tcPr>
            <w:tcW w:w="1560" w:type="dxa"/>
          </w:tcPr>
          <w:p w14:paraId="01C3ADF8">
            <w:pPr>
              <w:spacing w:line="276" w:lineRule="auto"/>
              <w:rPr>
                <w:rFonts w:ascii="宋体" w:hAnsi="宋体"/>
                <w:szCs w:val="21"/>
              </w:rPr>
            </w:pPr>
          </w:p>
        </w:tc>
        <w:tc>
          <w:tcPr>
            <w:tcW w:w="1134" w:type="dxa"/>
          </w:tcPr>
          <w:p w14:paraId="4AF5BB4A">
            <w:pPr>
              <w:spacing w:line="276" w:lineRule="auto"/>
              <w:rPr>
                <w:rFonts w:ascii="宋体" w:hAnsi="宋体"/>
                <w:szCs w:val="21"/>
              </w:rPr>
            </w:pPr>
          </w:p>
        </w:tc>
      </w:tr>
      <w:tr w14:paraId="2EC2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CCCD59F">
            <w:pPr>
              <w:spacing w:line="276" w:lineRule="auto"/>
              <w:rPr>
                <w:rFonts w:ascii="宋体" w:hAnsi="宋体"/>
                <w:szCs w:val="21"/>
              </w:rPr>
            </w:pPr>
          </w:p>
        </w:tc>
        <w:tc>
          <w:tcPr>
            <w:tcW w:w="1088" w:type="dxa"/>
          </w:tcPr>
          <w:p w14:paraId="692C1185">
            <w:pPr>
              <w:spacing w:line="276" w:lineRule="auto"/>
              <w:rPr>
                <w:rFonts w:ascii="宋体" w:hAnsi="宋体"/>
                <w:szCs w:val="21"/>
              </w:rPr>
            </w:pPr>
          </w:p>
        </w:tc>
        <w:tc>
          <w:tcPr>
            <w:tcW w:w="730" w:type="dxa"/>
          </w:tcPr>
          <w:p w14:paraId="5AA91692">
            <w:pPr>
              <w:spacing w:line="276" w:lineRule="auto"/>
              <w:rPr>
                <w:rFonts w:ascii="宋体" w:hAnsi="宋体"/>
                <w:szCs w:val="21"/>
              </w:rPr>
            </w:pPr>
          </w:p>
        </w:tc>
        <w:tc>
          <w:tcPr>
            <w:tcW w:w="1022" w:type="dxa"/>
          </w:tcPr>
          <w:p w14:paraId="23D3D787">
            <w:pPr>
              <w:spacing w:line="276" w:lineRule="auto"/>
              <w:rPr>
                <w:rFonts w:ascii="宋体" w:hAnsi="宋体"/>
                <w:szCs w:val="21"/>
              </w:rPr>
            </w:pPr>
          </w:p>
        </w:tc>
        <w:tc>
          <w:tcPr>
            <w:tcW w:w="821" w:type="dxa"/>
          </w:tcPr>
          <w:p w14:paraId="11000C85">
            <w:pPr>
              <w:spacing w:line="276" w:lineRule="auto"/>
              <w:rPr>
                <w:rFonts w:ascii="宋体" w:hAnsi="宋体"/>
                <w:szCs w:val="21"/>
              </w:rPr>
            </w:pPr>
          </w:p>
        </w:tc>
        <w:tc>
          <w:tcPr>
            <w:tcW w:w="851" w:type="dxa"/>
          </w:tcPr>
          <w:p w14:paraId="49ECFFD1">
            <w:pPr>
              <w:spacing w:line="276" w:lineRule="auto"/>
              <w:rPr>
                <w:rFonts w:ascii="宋体" w:hAnsi="宋体"/>
                <w:szCs w:val="21"/>
              </w:rPr>
            </w:pPr>
          </w:p>
        </w:tc>
        <w:tc>
          <w:tcPr>
            <w:tcW w:w="1275" w:type="dxa"/>
          </w:tcPr>
          <w:p w14:paraId="241EC2EE">
            <w:pPr>
              <w:spacing w:line="276" w:lineRule="auto"/>
              <w:rPr>
                <w:rFonts w:ascii="宋体" w:hAnsi="宋体"/>
                <w:szCs w:val="21"/>
              </w:rPr>
            </w:pPr>
          </w:p>
        </w:tc>
        <w:tc>
          <w:tcPr>
            <w:tcW w:w="1560" w:type="dxa"/>
          </w:tcPr>
          <w:p w14:paraId="4B28DB4F">
            <w:pPr>
              <w:spacing w:line="276" w:lineRule="auto"/>
              <w:rPr>
                <w:rFonts w:ascii="宋体" w:hAnsi="宋体"/>
                <w:szCs w:val="21"/>
              </w:rPr>
            </w:pPr>
          </w:p>
        </w:tc>
        <w:tc>
          <w:tcPr>
            <w:tcW w:w="1134" w:type="dxa"/>
          </w:tcPr>
          <w:p w14:paraId="79723E09">
            <w:pPr>
              <w:spacing w:line="276" w:lineRule="auto"/>
              <w:rPr>
                <w:rFonts w:ascii="宋体" w:hAnsi="宋体"/>
                <w:szCs w:val="21"/>
              </w:rPr>
            </w:pPr>
          </w:p>
        </w:tc>
      </w:tr>
      <w:tr w14:paraId="1418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5E70C91">
            <w:pPr>
              <w:spacing w:line="276" w:lineRule="auto"/>
              <w:rPr>
                <w:rFonts w:ascii="宋体" w:hAnsi="宋体"/>
                <w:szCs w:val="21"/>
              </w:rPr>
            </w:pPr>
          </w:p>
        </w:tc>
        <w:tc>
          <w:tcPr>
            <w:tcW w:w="1088" w:type="dxa"/>
          </w:tcPr>
          <w:p w14:paraId="0BD9C4FC">
            <w:pPr>
              <w:spacing w:line="276" w:lineRule="auto"/>
              <w:rPr>
                <w:rFonts w:ascii="宋体" w:hAnsi="宋体"/>
                <w:szCs w:val="21"/>
              </w:rPr>
            </w:pPr>
          </w:p>
        </w:tc>
        <w:tc>
          <w:tcPr>
            <w:tcW w:w="730" w:type="dxa"/>
          </w:tcPr>
          <w:p w14:paraId="3C66B4C4">
            <w:pPr>
              <w:spacing w:line="276" w:lineRule="auto"/>
              <w:rPr>
                <w:rFonts w:ascii="宋体" w:hAnsi="宋体"/>
                <w:szCs w:val="21"/>
              </w:rPr>
            </w:pPr>
          </w:p>
        </w:tc>
        <w:tc>
          <w:tcPr>
            <w:tcW w:w="1022" w:type="dxa"/>
          </w:tcPr>
          <w:p w14:paraId="4B31860A">
            <w:pPr>
              <w:spacing w:line="276" w:lineRule="auto"/>
              <w:rPr>
                <w:rFonts w:ascii="宋体" w:hAnsi="宋体"/>
                <w:szCs w:val="21"/>
              </w:rPr>
            </w:pPr>
          </w:p>
        </w:tc>
        <w:tc>
          <w:tcPr>
            <w:tcW w:w="821" w:type="dxa"/>
          </w:tcPr>
          <w:p w14:paraId="45F0085F">
            <w:pPr>
              <w:spacing w:line="276" w:lineRule="auto"/>
              <w:rPr>
                <w:rFonts w:ascii="宋体" w:hAnsi="宋体"/>
                <w:szCs w:val="21"/>
              </w:rPr>
            </w:pPr>
          </w:p>
        </w:tc>
        <w:tc>
          <w:tcPr>
            <w:tcW w:w="851" w:type="dxa"/>
          </w:tcPr>
          <w:p w14:paraId="247DFD14">
            <w:pPr>
              <w:spacing w:line="276" w:lineRule="auto"/>
              <w:rPr>
                <w:rFonts w:ascii="宋体" w:hAnsi="宋体"/>
                <w:szCs w:val="21"/>
              </w:rPr>
            </w:pPr>
          </w:p>
        </w:tc>
        <w:tc>
          <w:tcPr>
            <w:tcW w:w="1275" w:type="dxa"/>
          </w:tcPr>
          <w:p w14:paraId="1062B692">
            <w:pPr>
              <w:spacing w:line="276" w:lineRule="auto"/>
              <w:rPr>
                <w:rFonts w:ascii="宋体" w:hAnsi="宋体"/>
                <w:szCs w:val="21"/>
              </w:rPr>
            </w:pPr>
          </w:p>
        </w:tc>
        <w:tc>
          <w:tcPr>
            <w:tcW w:w="1560" w:type="dxa"/>
          </w:tcPr>
          <w:p w14:paraId="3602AB66">
            <w:pPr>
              <w:spacing w:line="276" w:lineRule="auto"/>
              <w:rPr>
                <w:rFonts w:ascii="宋体" w:hAnsi="宋体"/>
                <w:szCs w:val="21"/>
              </w:rPr>
            </w:pPr>
          </w:p>
        </w:tc>
        <w:tc>
          <w:tcPr>
            <w:tcW w:w="1134" w:type="dxa"/>
          </w:tcPr>
          <w:p w14:paraId="1F762FEA">
            <w:pPr>
              <w:spacing w:line="276" w:lineRule="auto"/>
              <w:rPr>
                <w:rFonts w:ascii="宋体" w:hAnsi="宋体"/>
                <w:szCs w:val="21"/>
              </w:rPr>
            </w:pPr>
          </w:p>
        </w:tc>
      </w:tr>
      <w:tr w14:paraId="6DD9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192C14EB">
            <w:pPr>
              <w:spacing w:line="276" w:lineRule="auto"/>
              <w:rPr>
                <w:rFonts w:ascii="宋体" w:hAnsi="宋体"/>
                <w:szCs w:val="21"/>
              </w:rPr>
            </w:pPr>
          </w:p>
        </w:tc>
        <w:tc>
          <w:tcPr>
            <w:tcW w:w="1088" w:type="dxa"/>
          </w:tcPr>
          <w:p w14:paraId="4B2B3C69">
            <w:pPr>
              <w:spacing w:line="276" w:lineRule="auto"/>
              <w:rPr>
                <w:rFonts w:ascii="宋体" w:hAnsi="宋体"/>
                <w:szCs w:val="21"/>
              </w:rPr>
            </w:pPr>
          </w:p>
        </w:tc>
        <w:tc>
          <w:tcPr>
            <w:tcW w:w="730" w:type="dxa"/>
          </w:tcPr>
          <w:p w14:paraId="54B95518">
            <w:pPr>
              <w:spacing w:line="276" w:lineRule="auto"/>
              <w:rPr>
                <w:rFonts w:ascii="宋体" w:hAnsi="宋体"/>
                <w:szCs w:val="21"/>
              </w:rPr>
            </w:pPr>
          </w:p>
        </w:tc>
        <w:tc>
          <w:tcPr>
            <w:tcW w:w="1022" w:type="dxa"/>
          </w:tcPr>
          <w:p w14:paraId="65026876">
            <w:pPr>
              <w:spacing w:line="276" w:lineRule="auto"/>
              <w:rPr>
                <w:rFonts w:ascii="宋体" w:hAnsi="宋体"/>
                <w:szCs w:val="21"/>
              </w:rPr>
            </w:pPr>
          </w:p>
        </w:tc>
        <w:tc>
          <w:tcPr>
            <w:tcW w:w="821" w:type="dxa"/>
          </w:tcPr>
          <w:p w14:paraId="286E628A">
            <w:pPr>
              <w:spacing w:line="276" w:lineRule="auto"/>
              <w:rPr>
                <w:rFonts w:ascii="宋体" w:hAnsi="宋体"/>
                <w:szCs w:val="21"/>
              </w:rPr>
            </w:pPr>
          </w:p>
        </w:tc>
        <w:tc>
          <w:tcPr>
            <w:tcW w:w="851" w:type="dxa"/>
          </w:tcPr>
          <w:p w14:paraId="2DC722A6">
            <w:pPr>
              <w:spacing w:line="276" w:lineRule="auto"/>
              <w:rPr>
                <w:rFonts w:ascii="宋体" w:hAnsi="宋体"/>
                <w:szCs w:val="21"/>
              </w:rPr>
            </w:pPr>
          </w:p>
        </w:tc>
        <w:tc>
          <w:tcPr>
            <w:tcW w:w="1275" w:type="dxa"/>
          </w:tcPr>
          <w:p w14:paraId="4B88FDF7">
            <w:pPr>
              <w:spacing w:line="276" w:lineRule="auto"/>
              <w:rPr>
                <w:rFonts w:ascii="宋体" w:hAnsi="宋体"/>
                <w:szCs w:val="21"/>
              </w:rPr>
            </w:pPr>
          </w:p>
        </w:tc>
        <w:tc>
          <w:tcPr>
            <w:tcW w:w="1560" w:type="dxa"/>
          </w:tcPr>
          <w:p w14:paraId="6183C764">
            <w:pPr>
              <w:spacing w:line="276" w:lineRule="auto"/>
              <w:rPr>
                <w:rFonts w:ascii="宋体" w:hAnsi="宋体"/>
                <w:szCs w:val="21"/>
              </w:rPr>
            </w:pPr>
          </w:p>
        </w:tc>
        <w:tc>
          <w:tcPr>
            <w:tcW w:w="1134" w:type="dxa"/>
          </w:tcPr>
          <w:p w14:paraId="17853F4B">
            <w:pPr>
              <w:spacing w:line="276" w:lineRule="auto"/>
              <w:rPr>
                <w:rFonts w:ascii="宋体" w:hAnsi="宋体"/>
                <w:szCs w:val="21"/>
              </w:rPr>
            </w:pPr>
          </w:p>
        </w:tc>
      </w:tr>
      <w:tr w14:paraId="1699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577F9EAE">
            <w:pPr>
              <w:spacing w:line="276" w:lineRule="auto"/>
              <w:rPr>
                <w:rFonts w:ascii="宋体" w:hAnsi="宋体"/>
                <w:szCs w:val="21"/>
              </w:rPr>
            </w:pPr>
          </w:p>
        </w:tc>
        <w:tc>
          <w:tcPr>
            <w:tcW w:w="1088" w:type="dxa"/>
          </w:tcPr>
          <w:p w14:paraId="55F76B07">
            <w:pPr>
              <w:spacing w:line="276" w:lineRule="auto"/>
              <w:rPr>
                <w:rFonts w:ascii="宋体" w:hAnsi="宋体"/>
                <w:szCs w:val="21"/>
              </w:rPr>
            </w:pPr>
          </w:p>
        </w:tc>
        <w:tc>
          <w:tcPr>
            <w:tcW w:w="730" w:type="dxa"/>
          </w:tcPr>
          <w:p w14:paraId="0FD1C203">
            <w:pPr>
              <w:spacing w:line="276" w:lineRule="auto"/>
              <w:rPr>
                <w:rFonts w:ascii="宋体" w:hAnsi="宋体"/>
                <w:szCs w:val="21"/>
              </w:rPr>
            </w:pPr>
          </w:p>
        </w:tc>
        <w:tc>
          <w:tcPr>
            <w:tcW w:w="1022" w:type="dxa"/>
          </w:tcPr>
          <w:p w14:paraId="7D0CB817">
            <w:pPr>
              <w:spacing w:line="276" w:lineRule="auto"/>
              <w:rPr>
                <w:rFonts w:ascii="宋体" w:hAnsi="宋体"/>
                <w:szCs w:val="21"/>
              </w:rPr>
            </w:pPr>
          </w:p>
        </w:tc>
        <w:tc>
          <w:tcPr>
            <w:tcW w:w="821" w:type="dxa"/>
          </w:tcPr>
          <w:p w14:paraId="6BFF43BD">
            <w:pPr>
              <w:spacing w:line="276" w:lineRule="auto"/>
              <w:rPr>
                <w:rFonts w:ascii="宋体" w:hAnsi="宋体"/>
                <w:szCs w:val="21"/>
              </w:rPr>
            </w:pPr>
          </w:p>
        </w:tc>
        <w:tc>
          <w:tcPr>
            <w:tcW w:w="851" w:type="dxa"/>
          </w:tcPr>
          <w:p w14:paraId="3AD68D64">
            <w:pPr>
              <w:spacing w:line="276" w:lineRule="auto"/>
              <w:rPr>
                <w:rFonts w:ascii="宋体" w:hAnsi="宋体"/>
                <w:szCs w:val="21"/>
              </w:rPr>
            </w:pPr>
          </w:p>
        </w:tc>
        <w:tc>
          <w:tcPr>
            <w:tcW w:w="1275" w:type="dxa"/>
          </w:tcPr>
          <w:p w14:paraId="53FB062D">
            <w:pPr>
              <w:spacing w:line="276" w:lineRule="auto"/>
              <w:rPr>
                <w:rFonts w:ascii="宋体" w:hAnsi="宋体"/>
                <w:szCs w:val="21"/>
              </w:rPr>
            </w:pPr>
          </w:p>
        </w:tc>
        <w:tc>
          <w:tcPr>
            <w:tcW w:w="1560" w:type="dxa"/>
          </w:tcPr>
          <w:p w14:paraId="6028C5CF">
            <w:pPr>
              <w:spacing w:line="276" w:lineRule="auto"/>
              <w:rPr>
                <w:rFonts w:ascii="宋体" w:hAnsi="宋体"/>
                <w:szCs w:val="21"/>
              </w:rPr>
            </w:pPr>
          </w:p>
        </w:tc>
        <w:tc>
          <w:tcPr>
            <w:tcW w:w="1134" w:type="dxa"/>
          </w:tcPr>
          <w:p w14:paraId="173991C2">
            <w:pPr>
              <w:spacing w:line="276" w:lineRule="auto"/>
              <w:rPr>
                <w:rFonts w:ascii="宋体" w:hAnsi="宋体"/>
                <w:szCs w:val="21"/>
              </w:rPr>
            </w:pPr>
          </w:p>
        </w:tc>
      </w:tr>
      <w:tr w14:paraId="20C1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1AE10987">
            <w:pPr>
              <w:spacing w:line="276" w:lineRule="auto"/>
              <w:rPr>
                <w:rFonts w:ascii="宋体" w:hAnsi="宋体"/>
                <w:szCs w:val="21"/>
              </w:rPr>
            </w:pPr>
          </w:p>
        </w:tc>
        <w:tc>
          <w:tcPr>
            <w:tcW w:w="1088" w:type="dxa"/>
          </w:tcPr>
          <w:p w14:paraId="4637370A">
            <w:pPr>
              <w:spacing w:line="276" w:lineRule="auto"/>
              <w:rPr>
                <w:rFonts w:ascii="宋体" w:hAnsi="宋体"/>
                <w:szCs w:val="21"/>
              </w:rPr>
            </w:pPr>
          </w:p>
        </w:tc>
        <w:tc>
          <w:tcPr>
            <w:tcW w:w="730" w:type="dxa"/>
          </w:tcPr>
          <w:p w14:paraId="4F4760E9">
            <w:pPr>
              <w:spacing w:line="276" w:lineRule="auto"/>
              <w:rPr>
                <w:rFonts w:ascii="宋体" w:hAnsi="宋体"/>
                <w:szCs w:val="21"/>
              </w:rPr>
            </w:pPr>
          </w:p>
        </w:tc>
        <w:tc>
          <w:tcPr>
            <w:tcW w:w="1022" w:type="dxa"/>
          </w:tcPr>
          <w:p w14:paraId="005DA22A">
            <w:pPr>
              <w:spacing w:line="276" w:lineRule="auto"/>
              <w:rPr>
                <w:rFonts w:ascii="宋体" w:hAnsi="宋体"/>
                <w:szCs w:val="21"/>
              </w:rPr>
            </w:pPr>
          </w:p>
        </w:tc>
        <w:tc>
          <w:tcPr>
            <w:tcW w:w="821" w:type="dxa"/>
          </w:tcPr>
          <w:p w14:paraId="2322DEBB">
            <w:pPr>
              <w:spacing w:line="276" w:lineRule="auto"/>
              <w:rPr>
                <w:rFonts w:ascii="宋体" w:hAnsi="宋体"/>
                <w:szCs w:val="21"/>
              </w:rPr>
            </w:pPr>
          </w:p>
        </w:tc>
        <w:tc>
          <w:tcPr>
            <w:tcW w:w="851" w:type="dxa"/>
          </w:tcPr>
          <w:p w14:paraId="0BC76BA1">
            <w:pPr>
              <w:spacing w:line="276" w:lineRule="auto"/>
              <w:rPr>
                <w:rFonts w:ascii="宋体" w:hAnsi="宋体"/>
                <w:szCs w:val="21"/>
              </w:rPr>
            </w:pPr>
          </w:p>
        </w:tc>
        <w:tc>
          <w:tcPr>
            <w:tcW w:w="1275" w:type="dxa"/>
          </w:tcPr>
          <w:p w14:paraId="7C78AA1E">
            <w:pPr>
              <w:spacing w:line="276" w:lineRule="auto"/>
              <w:rPr>
                <w:rFonts w:ascii="宋体" w:hAnsi="宋体"/>
                <w:szCs w:val="21"/>
              </w:rPr>
            </w:pPr>
          </w:p>
        </w:tc>
        <w:tc>
          <w:tcPr>
            <w:tcW w:w="1560" w:type="dxa"/>
          </w:tcPr>
          <w:p w14:paraId="3C234EAA">
            <w:pPr>
              <w:spacing w:line="276" w:lineRule="auto"/>
              <w:rPr>
                <w:rFonts w:ascii="宋体" w:hAnsi="宋体"/>
                <w:szCs w:val="21"/>
              </w:rPr>
            </w:pPr>
          </w:p>
        </w:tc>
        <w:tc>
          <w:tcPr>
            <w:tcW w:w="1134" w:type="dxa"/>
          </w:tcPr>
          <w:p w14:paraId="318D9CB6">
            <w:pPr>
              <w:spacing w:line="276" w:lineRule="auto"/>
              <w:rPr>
                <w:rFonts w:ascii="宋体" w:hAnsi="宋体"/>
                <w:szCs w:val="21"/>
              </w:rPr>
            </w:pPr>
          </w:p>
        </w:tc>
      </w:tr>
      <w:tr w14:paraId="6893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431C85CF">
            <w:pPr>
              <w:spacing w:line="276" w:lineRule="auto"/>
              <w:rPr>
                <w:rFonts w:ascii="宋体" w:hAnsi="宋体"/>
                <w:szCs w:val="21"/>
              </w:rPr>
            </w:pPr>
          </w:p>
        </w:tc>
        <w:tc>
          <w:tcPr>
            <w:tcW w:w="1088" w:type="dxa"/>
          </w:tcPr>
          <w:p w14:paraId="384630B7">
            <w:pPr>
              <w:spacing w:line="276" w:lineRule="auto"/>
              <w:rPr>
                <w:rFonts w:ascii="宋体" w:hAnsi="宋体"/>
                <w:szCs w:val="21"/>
              </w:rPr>
            </w:pPr>
          </w:p>
        </w:tc>
        <w:tc>
          <w:tcPr>
            <w:tcW w:w="730" w:type="dxa"/>
          </w:tcPr>
          <w:p w14:paraId="77C7A023">
            <w:pPr>
              <w:spacing w:line="276" w:lineRule="auto"/>
              <w:rPr>
                <w:rFonts w:ascii="宋体" w:hAnsi="宋体"/>
                <w:szCs w:val="21"/>
              </w:rPr>
            </w:pPr>
          </w:p>
        </w:tc>
        <w:tc>
          <w:tcPr>
            <w:tcW w:w="1022" w:type="dxa"/>
          </w:tcPr>
          <w:p w14:paraId="40575FBE">
            <w:pPr>
              <w:spacing w:line="276" w:lineRule="auto"/>
              <w:rPr>
                <w:rFonts w:ascii="宋体" w:hAnsi="宋体"/>
                <w:szCs w:val="21"/>
              </w:rPr>
            </w:pPr>
          </w:p>
        </w:tc>
        <w:tc>
          <w:tcPr>
            <w:tcW w:w="821" w:type="dxa"/>
          </w:tcPr>
          <w:p w14:paraId="7300CDC4">
            <w:pPr>
              <w:spacing w:line="276" w:lineRule="auto"/>
              <w:rPr>
                <w:rFonts w:ascii="宋体" w:hAnsi="宋体"/>
                <w:szCs w:val="21"/>
              </w:rPr>
            </w:pPr>
          </w:p>
        </w:tc>
        <w:tc>
          <w:tcPr>
            <w:tcW w:w="851" w:type="dxa"/>
          </w:tcPr>
          <w:p w14:paraId="00E2DEEE">
            <w:pPr>
              <w:spacing w:line="276" w:lineRule="auto"/>
              <w:rPr>
                <w:rFonts w:ascii="宋体" w:hAnsi="宋体"/>
                <w:szCs w:val="21"/>
              </w:rPr>
            </w:pPr>
          </w:p>
        </w:tc>
        <w:tc>
          <w:tcPr>
            <w:tcW w:w="1275" w:type="dxa"/>
          </w:tcPr>
          <w:p w14:paraId="1A8EF45B">
            <w:pPr>
              <w:spacing w:line="276" w:lineRule="auto"/>
              <w:rPr>
                <w:rFonts w:ascii="宋体" w:hAnsi="宋体"/>
                <w:szCs w:val="21"/>
              </w:rPr>
            </w:pPr>
          </w:p>
        </w:tc>
        <w:tc>
          <w:tcPr>
            <w:tcW w:w="1560" w:type="dxa"/>
          </w:tcPr>
          <w:p w14:paraId="7940FAC2">
            <w:pPr>
              <w:spacing w:line="276" w:lineRule="auto"/>
              <w:rPr>
                <w:rFonts w:ascii="宋体" w:hAnsi="宋体"/>
                <w:szCs w:val="21"/>
              </w:rPr>
            </w:pPr>
          </w:p>
        </w:tc>
        <w:tc>
          <w:tcPr>
            <w:tcW w:w="1134" w:type="dxa"/>
          </w:tcPr>
          <w:p w14:paraId="4CE0D68E">
            <w:pPr>
              <w:spacing w:line="276" w:lineRule="auto"/>
              <w:rPr>
                <w:rFonts w:ascii="宋体" w:hAnsi="宋体"/>
                <w:szCs w:val="21"/>
              </w:rPr>
            </w:pPr>
          </w:p>
        </w:tc>
      </w:tr>
      <w:tr w14:paraId="3AEE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C39E6E9">
            <w:pPr>
              <w:spacing w:line="276" w:lineRule="auto"/>
              <w:rPr>
                <w:rFonts w:ascii="宋体" w:hAnsi="宋体"/>
                <w:szCs w:val="21"/>
              </w:rPr>
            </w:pPr>
          </w:p>
        </w:tc>
        <w:tc>
          <w:tcPr>
            <w:tcW w:w="1088" w:type="dxa"/>
          </w:tcPr>
          <w:p w14:paraId="245C339D">
            <w:pPr>
              <w:spacing w:line="276" w:lineRule="auto"/>
              <w:rPr>
                <w:rFonts w:ascii="宋体" w:hAnsi="宋体"/>
                <w:szCs w:val="21"/>
              </w:rPr>
            </w:pPr>
          </w:p>
        </w:tc>
        <w:tc>
          <w:tcPr>
            <w:tcW w:w="730" w:type="dxa"/>
          </w:tcPr>
          <w:p w14:paraId="0034E601">
            <w:pPr>
              <w:spacing w:line="276" w:lineRule="auto"/>
              <w:rPr>
                <w:rFonts w:ascii="宋体" w:hAnsi="宋体"/>
                <w:szCs w:val="21"/>
              </w:rPr>
            </w:pPr>
          </w:p>
        </w:tc>
        <w:tc>
          <w:tcPr>
            <w:tcW w:w="1022" w:type="dxa"/>
          </w:tcPr>
          <w:p w14:paraId="08687149">
            <w:pPr>
              <w:spacing w:line="276" w:lineRule="auto"/>
              <w:rPr>
                <w:rFonts w:ascii="宋体" w:hAnsi="宋体"/>
                <w:szCs w:val="21"/>
              </w:rPr>
            </w:pPr>
          </w:p>
        </w:tc>
        <w:tc>
          <w:tcPr>
            <w:tcW w:w="821" w:type="dxa"/>
          </w:tcPr>
          <w:p w14:paraId="29CEA47C">
            <w:pPr>
              <w:spacing w:line="276" w:lineRule="auto"/>
              <w:rPr>
                <w:rFonts w:ascii="宋体" w:hAnsi="宋体"/>
                <w:szCs w:val="21"/>
              </w:rPr>
            </w:pPr>
          </w:p>
        </w:tc>
        <w:tc>
          <w:tcPr>
            <w:tcW w:w="851" w:type="dxa"/>
          </w:tcPr>
          <w:p w14:paraId="7788FC48">
            <w:pPr>
              <w:spacing w:line="276" w:lineRule="auto"/>
              <w:rPr>
                <w:rFonts w:ascii="宋体" w:hAnsi="宋体"/>
                <w:szCs w:val="21"/>
              </w:rPr>
            </w:pPr>
          </w:p>
        </w:tc>
        <w:tc>
          <w:tcPr>
            <w:tcW w:w="1275" w:type="dxa"/>
          </w:tcPr>
          <w:p w14:paraId="5D433F8B">
            <w:pPr>
              <w:spacing w:line="276" w:lineRule="auto"/>
              <w:rPr>
                <w:rFonts w:ascii="宋体" w:hAnsi="宋体"/>
                <w:szCs w:val="21"/>
              </w:rPr>
            </w:pPr>
          </w:p>
        </w:tc>
        <w:tc>
          <w:tcPr>
            <w:tcW w:w="1560" w:type="dxa"/>
          </w:tcPr>
          <w:p w14:paraId="77E99095">
            <w:pPr>
              <w:spacing w:line="276" w:lineRule="auto"/>
              <w:rPr>
                <w:rFonts w:ascii="宋体" w:hAnsi="宋体"/>
                <w:szCs w:val="21"/>
              </w:rPr>
            </w:pPr>
          </w:p>
        </w:tc>
        <w:tc>
          <w:tcPr>
            <w:tcW w:w="1134" w:type="dxa"/>
          </w:tcPr>
          <w:p w14:paraId="565CA335">
            <w:pPr>
              <w:spacing w:line="276" w:lineRule="auto"/>
              <w:rPr>
                <w:rFonts w:ascii="宋体" w:hAnsi="宋体"/>
                <w:szCs w:val="21"/>
              </w:rPr>
            </w:pPr>
          </w:p>
        </w:tc>
      </w:tr>
      <w:tr w14:paraId="40EA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582F2040">
            <w:pPr>
              <w:spacing w:line="276" w:lineRule="auto"/>
              <w:rPr>
                <w:rFonts w:ascii="宋体" w:hAnsi="宋体"/>
                <w:szCs w:val="21"/>
              </w:rPr>
            </w:pPr>
          </w:p>
        </w:tc>
        <w:tc>
          <w:tcPr>
            <w:tcW w:w="1088" w:type="dxa"/>
          </w:tcPr>
          <w:p w14:paraId="22F52639">
            <w:pPr>
              <w:spacing w:line="276" w:lineRule="auto"/>
              <w:rPr>
                <w:rFonts w:ascii="宋体" w:hAnsi="宋体"/>
                <w:szCs w:val="21"/>
              </w:rPr>
            </w:pPr>
          </w:p>
        </w:tc>
        <w:tc>
          <w:tcPr>
            <w:tcW w:w="730" w:type="dxa"/>
          </w:tcPr>
          <w:p w14:paraId="31C80C8F">
            <w:pPr>
              <w:spacing w:line="276" w:lineRule="auto"/>
              <w:rPr>
                <w:rFonts w:ascii="宋体" w:hAnsi="宋体"/>
                <w:szCs w:val="21"/>
              </w:rPr>
            </w:pPr>
          </w:p>
        </w:tc>
        <w:tc>
          <w:tcPr>
            <w:tcW w:w="1022" w:type="dxa"/>
          </w:tcPr>
          <w:p w14:paraId="62969819">
            <w:pPr>
              <w:spacing w:line="276" w:lineRule="auto"/>
              <w:rPr>
                <w:rFonts w:ascii="宋体" w:hAnsi="宋体"/>
                <w:szCs w:val="21"/>
              </w:rPr>
            </w:pPr>
          </w:p>
        </w:tc>
        <w:tc>
          <w:tcPr>
            <w:tcW w:w="821" w:type="dxa"/>
          </w:tcPr>
          <w:p w14:paraId="4655E23B">
            <w:pPr>
              <w:spacing w:line="276" w:lineRule="auto"/>
              <w:rPr>
                <w:rFonts w:ascii="宋体" w:hAnsi="宋体"/>
                <w:szCs w:val="21"/>
              </w:rPr>
            </w:pPr>
          </w:p>
        </w:tc>
        <w:tc>
          <w:tcPr>
            <w:tcW w:w="851" w:type="dxa"/>
          </w:tcPr>
          <w:p w14:paraId="67D4C188">
            <w:pPr>
              <w:spacing w:line="276" w:lineRule="auto"/>
              <w:rPr>
                <w:rFonts w:ascii="宋体" w:hAnsi="宋体"/>
                <w:szCs w:val="21"/>
              </w:rPr>
            </w:pPr>
          </w:p>
        </w:tc>
        <w:tc>
          <w:tcPr>
            <w:tcW w:w="1275" w:type="dxa"/>
          </w:tcPr>
          <w:p w14:paraId="68115EE9">
            <w:pPr>
              <w:spacing w:line="276" w:lineRule="auto"/>
              <w:rPr>
                <w:rFonts w:ascii="宋体" w:hAnsi="宋体"/>
                <w:szCs w:val="21"/>
              </w:rPr>
            </w:pPr>
          </w:p>
        </w:tc>
        <w:tc>
          <w:tcPr>
            <w:tcW w:w="1560" w:type="dxa"/>
          </w:tcPr>
          <w:p w14:paraId="7D730F0C">
            <w:pPr>
              <w:spacing w:line="276" w:lineRule="auto"/>
              <w:rPr>
                <w:rFonts w:ascii="宋体" w:hAnsi="宋体"/>
                <w:szCs w:val="21"/>
              </w:rPr>
            </w:pPr>
          </w:p>
        </w:tc>
        <w:tc>
          <w:tcPr>
            <w:tcW w:w="1134" w:type="dxa"/>
          </w:tcPr>
          <w:p w14:paraId="4215299C">
            <w:pPr>
              <w:spacing w:line="276" w:lineRule="auto"/>
              <w:rPr>
                <w:rFonts w:ascii="宋体" w:hAnsi="宋体"/>
                <w:szCs w:val="21"/>
              </w:rPr>
            </w:pPr>
          </w:p>
        </w:tc>
      </w:tr>
    </w:tbl>
    <w:p w14:paraId="6E4F52B6">
      <w:pPr>
        <w:tabs>
          <w:tab w:val="left" w:pos="720"/>
        </w:tabs>
        <w:spacing w:line="276" w:lineRule="auto"/>
        <w:rPr>
          <w:rFonts w:ascii="宋体" w:hAnsi="宋体"/>
          <w:sz w:val="24"/>
        </w:rPr>
      </w:pPr>
      <w:r>
        <w:rPr>
          <w:rFonts w:hint="eastAsia" w:ascii="宋体" w:hAnsi="宋体"/>
        </w:rPr>
        <w:br w:type="page"/>
      </w:r>
      <w:bookmarkStart w:id="2716" w:name="_Toc152045799"/>
      <w:bookmarkStart w:id="2717" w:name="_Toc241459826"/>
      <w:bookmarkStart w:id="2718" w:name="_Toc415600095"/>
      <w:bookmarkStart w:id="2719" w:name="_Toc179632819"/>
      <w:bookmarkStart w:id="2720" w:name="_Toc428172996"/>
      <w:bookmarkStart w:id="2721" w:name="_Toc144974867"/>
      <w:bookmarkStart w:id="2722" w:name="_Toc342296583"/>
      <w:bookmarkStart w:id="2723" w:name="_Toc152042588"/>
      <w:bookmarkStart w:id="2724" w:name="_Toc404614331"/>
      <w:r>
        <w:rPr>
          <w:rFonts w:hint="eastAsia" w:ascii="宋体" w:hAnsi="宋体"/>
          <w:sz w:val="24"/>
        </w:rPr>
        <w:t>附表三：劳动力计划表</w:t>
      </w:r>
      <w:bookmarkEnd w:id="2716"/>
      <w:bookmarkEnd w:id="2717"/>
      <w:bookmarkEnd w:id="2718"/>
      <w:bookmarkEnd w:id="2719"/>
      <w:bookmarkEnd w:id="2720"/>
      <w:bookmarkEnd w:id="2721"/>
      <w:bookmarkEnd w:id="2722"/>
      <w:bookmarkEnd w:id="2723"/>
      <w:bookmarkEnd w:id="2724"/>
    </w:p>
    <w:p w14:paraId="742501C8">
      <w:pPr>
        <w:spacing w:line="276" w:lineRule="auto"/>
        <w:ind w:right="200" w:firstLine="6930" w:firstLineChars="3300"/>
        <w:rPr>
          <w:rFonts w:ascii="宋体" w:hAnsi="宋体"/>
          <w:szCs w:val="21"/>
        </w:rPr>
      </w:pPr>
      <w:r>
        <w:rPr>
          <w:rFonts w:hint="eastAsia" w:ascii="宋体" w:hAnsi="宋体"/>
          <w:szCs w:val="21"/>
        </w:rPr>
        <w:t>单位：人</w:t>
      </w:r>
    </w:p>
    <w:tbl>
      <w:tblPr>
        <w:tblStyle w:val="4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5"/>
        <w:gridCol w:w="1066"/>
        <w:gridCol w:w="1066"/>
        <w:gridCol w:w="1066"/>
        <w:gridCol w:w="1066"/>
        <w:gridCol w:w="1066"/>
        <w:gridCol w:w="1064"/>
      </w:tblGrid>
      <w:tr w14:paraId="49B1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Align w:val="center"/>
          </w:tcPr>
          <w:p w14:paraId="4AC244A0">
            <w:pPr>
              <w:spacing w:line="276" w:lineRule="auto"/>
              <w:rPr>
                <w:rFonts w:ascii="宋体" w:hAnsi="宋体"/>
                <w:szCs w:val="21"/>
              </w:rPr>
            </w:pPr>
            <w:r>
              <w:rPr>
                <w:rFonts w:hint="eastAsia" w:ascii="宋体" w:hAnsi="宋体"/>
                <w:szCs w:val="21"/>
              </w:rPr>
              <w:t>工种</w:t>
            </w:r>
          </w:p>
        </w:tc>
        <w:tc>
          <w:tcPr>
            <w:tcW w:w="7699" w:type="dxa"/>
            <w:gridSpan w:val="7"/>
            <w:vAlign w:val="center"/>
          </w:tcPr>
          <w:p w14:paraId="19CF886B">
            <w:pPr>
              <w:spacing w:line="276" w:lineRule="auto"/>
              <w:rPr>
                <w:rFonts w:ascii="宋体" w:hAnsi="宋体"/>
                <w:szCs w:val="21"/>
              </w:rPr>
            </w:pPr>
            <w:r>
              <w:rPr>
                <w:rFonts w:hint="eastAsia" w:ascii="宋体" w:hAnsi="宋体"/>
                <w:szCs w:val="21"/>
              </w:rPr>
              <w:t>按工程施工阶段投入劳动力情况</w:t>
            </w:r>
          </w:p>
        </w:tc>
      </w:tr>
      <w:tr w14:paraId="2AF9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Align w:val="center"/>
          </w:tcPr>
          <w:p w14:paraId="2B172427">
            <w:pPr>
              <w:spacing w:line="276" w:lineRule="auto"/>
              <w:rPr>
                <w:rFonts w:ascii="宋体" w:hAnsi="宋体"/>
                <w:szCs w:val="21"/>
              </w:rPr>
            </w:pPr>
          </w:p>
        </w:tc>
        <w:tc>
          <w:tcPr>
            <w:tcW w:w="1305" w:type="dxa"/>
            <w:vAlign w:val="center"/>
          </w:tcPr>
          <w:p w14:paraId="31D2BCA4">
            <w:pPr>
              <w:spacing w:line="276" w:lineRule="auto"/>
              <w:rPr>
                <w:rFonts w:ascii="宋体" w:hAnsi="宋体"/>
                <w:szCs w:val="21"/>
              </w:rPr>
            </w:pPr>
          </w:p>
        </w:tc>
        <w:tc>
          <w:tcPr>
            <w:tcW w:w="1066" w:type="dxa"/>
            <w:vAlign w:val="center"/>
          </w:tcPr>
          <w:p w14:paraId="7C9BBC90">
            <w:pPr>
              <w:spacing w:line="276" w:lineRule="auto"/>
              <w:rPr>
                <w:rFonts w:ascii="宋体" w:hAnsi="宋体"/>
                <w:szCs w:val="21"/>
              </w:rPr>
            </w:pPr>
          </w:p>
        </w:tc>
        <w:tc>
          <w:tcPr>
            <w:tcW w:w="1066" w:type="dxa"/>
            <w:vAlign w:val="center"/>
          </w:tcPr>
          <w:p w14:paraId="7D9DCA1C">
            <w:pPr>
              <w:spacing w:line="276" w:lineRule="auto"/>
              <w:rPr>
                <w:rFonts w:ascii="宋体" w:hAnsi="宋体"/>
                <w:szCs w:val="21"/>
              </w:rPr>
            </w:pPr>
          </w:p>
        </w:tc>
        <w:tc>
          <w:tcPr>
            <w:tcW w:w="1066" w:type="dxa"/>
            <w:vAlign w:val="center"/>
          </w:tcPr>
          <w:p w14:paraId="295F804C">
            <w:pPr>
              <w:spacing w:line="276" w:lineRule="auto"/>
              <w:rPr>
                <w:rFonts w:ascii="宋体" w:hAnsi="宋体"/>
                <w:szCs w:val="21"/>
              </w:rPr>
            </w:pPr>
          </w:p>
        </w:tc>
        <w:tc>
          <w:tcPr>
            <w:tcW w:w="1066" w:type="dxa"/>
            <w:vAlign w:val="center"/>
          </w:tcPr>
          <w:p w14:paraId="4FC99B48">
            <w:pPr>
              <w:spacing w:line="276" w:lineRule="auto"/>
              <w:rPr>
                <w:rFonts w:ascii="宋体" w:hAnsi="宋体"/>
                <w:szCs w:val="21"/>
              </w:rPr>
            </w:pPr>
          </w:p>
        </w:tc>
        <w:tc>
          <w:tcPr>
            <w:tcW w:w="1066" w:type="dxa"/>
            <w:vAlign w:val="center"/>
          </w:tcPr>
          <w:p w14:paraId="0456F16D">
            <w:pPr>
              <w:spacing w:line="276" w:lineRule="auto"/>
              <w:rPr>
                <w:rFonts w:ascii="宋体" w:hAnsi="宋体"/>
                <w:szCs w:val="21"/>
              </w:rPr>
            </w:pPr>
          </w:p>
        </w:tc>
        <w:tc>
          <w:tcPr>
            <w:tcW w:w="1064" w:type="dxa"/>
            <w:vAlign w:val="center"/>
          </w:tcPr>
          <w:p w14:paraId="16789507">
            <w:pPr>
              <w:spacing w:line="276" w:lineRule="auto"/>
              <w:rPr>
                <w:rFonts w:ascii="宋体" w:hAnsi="宋体"/>
                <w:szCs w:val="21"/>
              </w:rPr>
            </w:pPr>
          </w:p>
        </w:tc>
      </w:tr>
      <w:tr w14:paraId="1606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Align w:val="center"/>
          </w:tcPr>
          <w:p w14:paraId="50A19E52">
            <w:pPr>
              <w:spacing w:line="276" w:lineRule="auto"/>
              <w:rPr>
                <w:rFonts w:ascii="宋体" w:hAnsi="宋体"/>
                <w:szCs w:val="21"/>
              </w:rPr>
            </w:pPr>
          </w:p>
        </w:tc>
        <w:tc>
          <w:tcPr>
            <w:tcW w:w="1305" w:type="dxa"/>
            <w:vAlign w:val="center"/>
          </w:tcPr>
          <w:p w14:paraId="63439F21">
            <w:pPr>
              <w:spacing w:line="276" w:lineRule="auto"/>
              <w:rPr>
                <w:rFonts w:ascii="宋体" w:hAnsi="宋体"/>
                <w:szCs w:val="21"/>
              </w:rPr>
            </w:pPr>
          </w:p>
        </w:tc>
        <w:tc>
          <w:tcPr>
            <w:tcW w:w="1066" w:type="dxa"/>
            <w:vAlign w:val="center"/>
          </w:tcPr>
          <w:p w14:paraId="343CB20B">
            <w:pPr>
              <w:spacing w:line="276" w:lineRule="auto"/>
              <w:rPr>
                <w:rFonts w:ascii="宋体" w:hAnsi="宋体"/>
                <w:szCs w:val="21"/>
              </w:rPr>
            </w:pPr>
          </w:p>
        </w:tc>
        <w:tc>
          <w:tcPr>
            <w:tcW w:w="1066" w:type="dxa"/>
            <w:vAlign w:val="center"/>
          </w:tcPr>
          <w:p w14:paraId="17872FE8">
            <w:pPr>
              <w:spacing w:line="276" w:lineRule="auto"/>
              <w:rPr>
                <w:rFonts w:ascii="宋体" w:hAnsi="宋体"/>
                <w:szCs w:val="21"/>
              </w:rPr>
            </w:pPr>
          </w:p>
        </w:tc>
        <w:tc>
          <w:tcPr>
            <w:tcW w:w="1066" w:type="dxa"/>
            <w:vAlign w:val="center"/>
          </w:tcPr>
          <w:p w14:paraId="38459DF0">
            <w:pPr>
              <w:spacing w:line="276" w:lineRule="auto"/>
              <w:rPr>
                <w:rFonts w:ascii="宋体" w:hAnsi="宋体"/>
                <w:szCs w:val="21"/>
              </w:rPr>
            </w:pPr>
          </w:p>
        </w:tc>
        <w:tc>
          <w:tcPr>
            <w:tcW w:w="1066" w:type="dxa"/>
            <w:vAlign w:val="center"/>
          </w:tcPr>
          <w:p w14:paraId="61C8E50A">
            <w:pPr>
              <w:spacing w:line="276" w:lineRule="auto"/>
              <w:rPr>
                <w:rFonts w:ascii="宋体" w:hAnsi="宋体"/>
                <w:szCs w:val="21"/>
              </w:rPr>
            </w:pPr>
          </w:p>
        </w:tc>
        <w:tc>
          <w:tcPr>
            <w:tcW w:w="1066" w:type="dxa"/>
            <w:vAlign w:val="center"/>
          </w:tcPr>
          <w:p w14:paraId="73079D33">
            <w:pPr>
              <w:spacing w:line="276" w:lineRule="auto"/>
              <w:rPr>
                <w:rFonts w:ascii="宋体" w:hAnsi="宋体"/>
                <w:szCs w:val="21"/>
              </w:rPr>
            </w:pPr>
          </w:p>
        </w:tc>
        <w:tc>
          <w:tcPr>
            <w:tcW w:w="1064" w:type="dxa"/>
            <w:vAlign w:val="center"/>
          </w:tcPr>
          <w:p w14:paraId="0626B54D">
            <w:pPr>
              <w:spacing w:line="276" w:lineRule="auto"/>
              <w:rPr>
                <w:rFonts w:ascii="宋体" w:hAnsi="宋体"/>
                <w:szCs w:val="21"/>
              </w:rPr>
            </w:pPr>
          </w:p>
        </w:tc>
      </w:tr>
      <w:tr w14:paraId="2ECF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7FC2CAA7">
            <w:pPr>
              <w:spacing w:line="276" w:lineRule="auto"/>
              <w:rPr>
                <w:rFonts w:ascii="宋体" w:hAnsi="宋体"/>
                <w:szCs w:val="21"/>
              </w:rPr>
            </w:pPr>
          </w:p>
        </w:tc>
        <w:tc>
          <w:tcPr>
            <w:tcW w:w="1305" w:type="dxa"/>
          </w:tcPr>
          <w:p w14:paraId="6EE55CBB">
            <w:pPr>
              <w:spacing w:line="276" w:lineRule="auto"/>
              <w:rPr>
                <w:rFonts w:ascii="宋体" w:hAnsi="宋体"/>
                <w:szCs w:val="21"/>
              </w:rPr>
            </w:pPr>
          </w:p>
        </w:tc>
        <w:tc>
          <w:tcPr>
            <w:tcW w:w="1066" w:type="dxa"/>
          </w:tcPr>
          <w:p w14:paraId="702359B5">
            <w:pPr>
              <w:spacing w:line="276" w:lineRule="auto"/>
              <w:rPr>
                <w:rFonts w:ascii="宋体" w:hAnsi="宋体"/>
                <w:szCs w:val="21"/>
              </w:rPr>
            </w:pPr>
          </w:p>
        </w:tc>
        <w:tc>
          <w:tcPr>
            <w:tcW w:w="1066" w:type="dxa"/>
          </w:tcPr>
          <w:p w14:paraId="173564A0">
            <w:pPr>
              <w:spacing w:line="276" w:lineRule="auto"/>
              <w:rPr>
                <w:rFonts w:ascii="宋体" w:hAnsi="宋体"/>
                <w:szCs w:val="21"/>
              </w:rPr>
            </w:pPr>
          </w:p>
        </w:tc>
        <w:tc>
          <w:tcPr>
            <w:tcW w:w="1066" w:type="dxa"/>
          </w:tcPr>
          <w:p w14:paraId="766208F1">
            <w:pPr>
              <w:spacing w:line="276" w:lineRule="auto"/>
              <w:rPr>
                <w:rFonts w:ascii="宋体" w:hAnsi="宋体"/>
                <w:szCs w:val="21"/>
              </w:rPr>
            </w:pPr>
          </w:p>
        </w:tc>
        <w:tc>
          <w:tcPr>
            <w:tcW w:w="1066" w:type="dxa"/>
          </w:tcPr>
          <w:p w14:paraId="29FDF5F2">
            <w:pPr>
              <w:spacing w:line="276" w:lineRule="auto"/>
              <w:rPr>
                <w:rFonts w:ascii="宋体" w:hAnsi="宋体"/>
                <w:szCs w:val="21"/>
              </w:rPr>
            </w:pPr>
          </w:p>
        </w:tc>
        <w:tc>
          <w:tcPr>
            <w:tcW w:w="1066" w:type="dxa"/>
          </w:tcPr>
          <w:p w14:paraId="0ED10A14">
            <w:pPr>
              <w:spacing w:line="276" w:lineRule="auto"/>
              <w:rPr>
                <w:rFonts w:ascii="宋体" w:hAnsi="宋体"/>
                <w:szCs w:val="21"/>
              </w:rPr>
            </w:pPr>
          </w:p>
        </w:tc>
        <w:tc>
          <w:tcPr>
            <w:tcW w:w="1064" w:type="dxa"/>
          </w:tcPr>
          <w:p w14:paraId="047C477C">
            <w:pPr>
              <w:spacing w:line="276" w:lineRule="auto"/>
              <w:rPr>
                <w:rFonts w:ascii="宋体" w:hAnsi="宋体"/>
                <w:szCs w:val="21"/>
              </w:rPr>
            </w:pPr>
          </w:p>
        </w:tc>
      </w:tr>
      <w:tr w14:paraId="2010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57162568">
            <w:pPr>
              <w:spacing w:line="276" w:lineRule="auto"/>
              <w:rPr>
                <w:rFonts w:ascii="宋体" w:hAnsi="宋体"/>
                <w:szCs w:val="21"/>
              </w:rPr>
            </w:pPr>
          </w:p>
        </w:tc>
        <w:tc>
          <w:tcPr>
            <w:tcW w:w="1305" w:type="dxa"/>
          </w:tcPr>
          <w:p w14:paraId="07A5DF6D">
            <w:pPr>
              <w:spacing w:line="276" w:lineRule="auto"/>
              <w:rPr>
                <w:rFonts w:ascii="宋体" w:hAnsi="宋体"/>
                <w:szCs w:val="21"/>
              </w:rPr>
            </w:pPr>
          </w:p>
        </w:tc>
        <w:tc>
          <w:tcPr>
            <w:tcW w:w="1066" w:type="dxa"/>
          </w:tcPr>
          <w:p w14:paraId="01790782">
            <w:pPr>
              <w:spacing w:line="276" w:lineRule="auto"/>
              <w:rPr>
                <w:rFonts w:ascii="宋体" w:hAnsi="宋体"/>
                <w:szCs w:val="21"/>
              </w:rPr>
            </w:pPr>
          </w:p>
        </w:tc>
        <w:tc>
          <w:tcPr>
            <w:tcW w:w="1066" w:type="dxa"/>
          </w:tcPr>
          <w:p w14:paraId="1B21AE77">
            <w:pPr>
              <w:spacing w:line="276" w:lineRule="auto"/>
              <w:rPr>
                <w:rFonts w:ascii="宋体" w:hAnsi="宋体"/>
                <w:szCs w:val="21"/>
              </w:rPr>
            </w:pPr>
          </w:p>
        </w:tc>
        <w:tc>
          <w:tcPr>
            <w:tcW w:w="1066" w:type="dxa"/>
          </w:tcPr>
          <w:p w14:paraId="762ED376">
            <w:pPr>
              <w:spacing w:line="276" w:lineRule="auto"/>
              <w:rPr>
                <w:rFonts w:ascii="宋体" w:hAnsi="宋体"/>
                <w:szCs w:val="21"/>
              </w:rPr>
            </w:pPr>
          </w:p>
        </w:tc>
        <w:tc>
          <w:tcPr>
            <w:tcW w:w="1066" w:type="dxa"/>
          </w:tcPr>
          <w:p w14:paraId="7D733F1A">
            <w:pPr>
              <w:spacing w:line="276" w:lineRule="auto"/>
              <w:rPr>
                <w:rFonts w:ascii="宋体" w:hAnsi="宋体"/>
                <w:szCs w:val="21"/>
              </w:rPr>
            </w:pPr>
          </w:p>
        </w:tc>
        <w:tc>
          <w:tcPr>
            <w:tcW w:w="1066" w:type="dxa"/>
          </w:tcPr>
          <w:p w14:paraId="4948B9F6">
            <w:pPr>
              <w:spacing w:line="276" w:lineRule="auto"/>
              <w:rPr>
                <w:rFonts w:ascii="宋体" w:hAnsi="宋体"/>
                <w:szCs w:val="21"/>
              </w:rPr>
            </w:pPr>
          </w:p>
        </w:tc>
        <w:tc>
          <w:tcPr>
            <w:tcW w:w="1064" w:type="dxa"/>
          </w:tcPr>
          <w:p w14:paraId="0612F367">
            <w:pPr>
              <w:spacing w:line="276" w:lineRule="auto"/>
              <w:rPr>
                <w:rFonts w:ascii="宋体" w:hAnsi="宋体"/>
                <w:szCs w:val="21"/>
              </w:rPr>
            </w:pPr>
          </w:p>
        </w:tc>
      </w:tr>
      <w:tr w14:paraId="2658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205D8FE">
            <w:pPr>
              <w:spacing w:line="276" w:lineRule="auto"/>
              <w:rPr>
                <w:rFonts w:ascii="宋体" w:hAnsi="宋体"/>
                <w:szCs w:val="21"/>
              </w:rPr>
            </w:pPr>
          </w:p>
        </w:tc>
        <w:tc>
          <w:tcPr>
            <w:tcW w:w="1305" w:type="dxa"/>
          </w:tcPr>
          <w:p w14:paraId="2562541A">
            <w:pPr>
              <w:spacing w:line="276" w:lineRule="auto"/>
              <w:rPr>
                <w:rFonts w:ascii="宋体" w:hAnsi="宋体"/>
                <w:szCs w:val="21"/>
              </w:rPr>
            </w:pPr>
          </w:p>
        </w:tc>
        <w:tc>
          <w:tcPr>
            <w:tcW w:w="1066" w:type="dxa"/>
          </w:tcPr>
          <w:p w14:paraId="48413C64">
            <w:pPr>
              <w:spacing w:line="276" w:lineRule="auto"/>
              <w:rPr>
                <w:rFonts w:ascii="宋体" w:hAnsi="宋体"/>
                <w:szCs w:val="21"/>
              </w:rPr>
            </w:pPr>
          </w:p>
        </w:tc>
        <w:tc>
          <w:tcPr>
            <w:tcW w:w="1066" w:type="dxa"/>
          </w:tcPr>
          <w:p w14:paraId="09B6A518">
            <w:pPr>
              <w:spacing w:line="276" w:lineRule="auto"/>
              <w:rPr>
                <w:rFonts w:ascii="宋体" w:hAnsi="宋体"/>
                <w:szCs w:val="21"/>
              </w:rPr>
            </w:pPr>
          </w:p>
        </w:tc>
        <w:tc>
          <w:tcPr>
            <w:tcW w:w="1066" w:type="dxa"/>
          </w:tcPr>
          <w:p w14:paraId="3EE83840">
            <w:pPr>
              <w:spacing w:line="276" w:lineRule="auto"/>
              <w:rPr>
                <w:rFonts w:ascii="宋体" w:hAnsi="宋体"/>
                <w:szCs w:val="21"/>
              </w:rPr>
            </w:pPr>
          </w:p>
        </w:tc>
        <w:tc>
          <w:tcPr>
            <w:tcW w:w="1066" w:type="dxa"/>
          </w:tcPr>
          <w:p w14:paraId="6DC2C15E">
            <w:pPr>
              <w:spacing w:line="276" w:lineRule="auto"/>
              <w:rPr>
                <w:rFonts w:ascii="宋体" w:hAnsi="宋体"/>
                <w:szCs w:val="21"/>
              </w:rPr>
            </w:pPr>
          </w:p>
        </w:tc>
        <w:tc>
          <w:tcPr>
            <w:tcW w:w="1066" w:type="dxa"/>
          </w:tcPr>
          <w:p w14:paraId="63813659">
            <w:pPr>
              <w:spacing w:line="276" w:lineRule="auto"/>
              <w:rPr>
                <w:rFonts w:ascii="宋体" w:hAnsi="宋体"/>
                <w:szCs w:val="21"/>
              </w:rPr>
            </w:pPr>
          </w:p>
        </w:tc>
        <w:tc>
          <w:tcPr>
            <w:tcW w:w="1064" w:type="dxa"/>
          </w:tcPr>
          <w:p w14:paraId="6F0ED044">
            <w:pPr>
              <w:spacing w:line="276" w:lineRule="auto"/>
              <w:rPr>
                <w:rFonts w:ascii="宋体" w:hAnsi="宋体"/>
                <w:szCs w:val="21"/>
              </w:rPr>
            </w:pPr>
          </w:p>
        </w:tc>
      </w:tr>
      <w:tr w14:paraId="1847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5327E83">
            <w:pPr>
              <w:spacing w:line="276" w:lineRule="auto"/>
              <w:rPr>
                <w:rFonts w:ascii="宋体" w:hAnsi="宋体"/>
                <w:szCs w:val="21"/>
              </w:rPr>
            </w:pPr>
          </w:p>
        </w:tc>
        <w:tc>
          <w:tcPr>
            <w:tcW w:w="1305" w:type="dxa"/>
          </w:tcPr>
          <w:p w14:paraId="6D2C27E0">
            <w:pPr>
              <w:spacing w:line="276" w:lineRule="auto"/>
              <w:rPr>
                <w:rFonts w:ascii="宋体" w:hAnsi="宋体"/>
                <w:szCs w:val="21"/>
              </w:rPr>
            </w:pPr>
          </w:p>
        </w:tc>
        <w:tc>
          <w:tcPr>
            <w:tcW w:w="1066" w:type="dxa"/>
          </w:tcPr>
          <w:p w14:paraId="5202B6BB">
            <w:pPr>
              <w:spacing w:line="276" w:lineRule="auto"/>
              <w:rPr>
                <w:rFonts w:ascii="宋体" w:hAnsi="宋体"/>
                <w:szCs w:val="21"/>
              </w:rPr>
            </w:pPr>
          </w:p>
        </w:tc>
        <w:tc>
          <w:tcPr>
            <w:tcW w:w="1066" w:type="dxa"/>
          </w:tcPr>
          <w:p w14:paraId="4D291599">
            <w:pPr>
              <w:spacing w:line="276" w:lineRule="auto"/>
              <w:rPr>
                <w:rFonts w:ascii="宋体" w:hAnsi="宋体"/>
                <w:szCs w:val="21"/>
              </w:rPr>
            </w:pPr>
          </w:p>
        </w:tc>
        <w:tc>
          <w:tcPr>
            <w:tcW w:w="1066" w:type="dxa"/>
          </w:tcPr>
          <w:p w14:paraId="3C2E7D7A">
            <w:pPr>
              <w:spacing w:line="276" w:lineRule="auto"/>
              <w:rPr>
                <w:rFonts w:ascii="宋体" w:hAnsi="宋体"/>
                <w:szCs w:val="21"/>
              </w:rPr>
            </w:pPr>
          </w:p>
        </w:tc>
        <w:tc>
          <w:tcPr>
            <w:tcW w:w="1066" w:type="dxa"/>
          </w:tcPr>
          <w:p w14:paraId="5E908490">
            <w:pPr>
              <w:spacing w:line="276" w:lineRule="auto"/>
              <w:rPr>
                <w:rFonts w:ascii="宋体" w:hAnsi="宋体"/>
                <w:szCs w:val="21"/>
              </w:rPr>
            </w:pPr>
          </w:p>
        </w:tc>
        <w:tc>
          <w:tcPr>
            <w:tcW w:w="1066" w:type="dxa"/>
          </w:tcPr>
          <w:p w14:paraId="693A80F2">
            <w:pPr>
              <w:spacing w:line="276" w:lineRule="auto"/>
              <w:rPr>
                <w:rFonts w:ascii="宋体" w:hAnsi="宋体"/>
                <w:szCs w:val="21"/>
              </w:rPr>
            </w:pPr>
          </w:p>
        </w:tc>
        <w:tc>
          <w:tcPr>
            <w:tcW w:w="1064" w:type="dxa"/>
          </w:tcPr>
          <w:p w14:paraId="0471AEB1">
            <w:pPr>
              <w:spacing w:line="276" w:lineRule="auto"/>
              <w:rPr>
                <w:rFonts w:ascii="宋体" w:hAnsi="宋体"/>
                <w:szCs w:val="21"/>
              </w:rPr>
            </w:pPr>
          </w:p>
        </w:tc>
      </w:tr>
      <w:tr w14:paraId="396B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06A961B4">
            <w:pPr>
              <w:spacing w:line="276" w:lineRule="auto"/>
              <w:rPr>
                <w:rFonts w:ascii="宋体" w:hAnsi="宋体"/>
                <w:szCs w:val="21"/>
              </w:rPr>
            </w:pPr>
          </w:p>
        </w:tc>
        <w:tc>
          <w:tcPr>
            <w:tcW w:w="1305" w:type="dxa"/>
          </w:tcPr>
          <w:p w14:paraId="2B15E632">
            <w:pPr>
              <w:spacing w:line="276" w:lineRule="auto"/>
              <w:rPr>
                <w:rFonts w:ascii="宋体" w:hAnsi="宋体"/>
                <w:szCs w:val="21"/>
              </w:rPr>
            </w:pPr>
          </w:p>
        </w:tc>
        <w:tc>
          <w:tcPr>
            <w:tcW w:w="1066" w:type="dxa"/>
          </w:tcPr>
          <w:p w14:paraId="022CE1A9">
            <w:pPr>
              <w:spacing w:line="276" w:lineRule="auto"/>
              <w:rPr>
                <w:rFonts w:ascii="宋体" w:hAnsi="宋体"/>
                <w:szCs w:val="21"/>
              </w:rPr>
            </w:pPr>
          </w:p>
        </w:tc>
        <w:tc>
          <w:tcPr>
            <w:tcW w:w="1066" w:type="dxa"/>
          </w:tcPr>
          <w:p w14:paraId="0ED9CD8A">
            <w:pPr>
              <w:spacing w:line="276" w:lineRule="auto"/>
              <w:rPr>
                <w:rFonts w:ascii="宋体" w:hAnsi="宋体"/>
                <w:szCs w:val="21"/>
              </w:rPr>
            </w:pPr>
          </w:p>
        </w:tc>
        <w:tc>
          <w:tcPr>
            <w:tcW w:w="1066" w:type="dxa"/>
          </w:tcPr>
          <w:p w14:paraId="54AEE300">
            <w:pPr>
              <w:spacing w:line="276" w:lineRule="auto"/>
              <w:rPr>
                <w:rFonts w:ascii="宋体" w:hAnsi="宋体"/>
                <w:szCs w:val="21"/>
              </w:rPr>
            </w:pPr>
          </w:p>
        </w:tc>
        <w:tc>
          <w:tcPr>
            <w:tcW w:w="1066" w:type="dxa"/>
          </w:tcPr>
          <w:p w14:paraId="54476CDC">
            <w:pPr>
              <w:spacing w:line="276" w:lineRule="auto"/>
              <w:rPr>
                <w:rFonts w:ascii="宋体" w:hAnsi="宋体"/>
                <w:szCs w:val="21"/>
              </w:rPr>
            </w:pPr>
          </w:p>
        </w:tc>
        <w:tc>
          <w:tcPr>
            <w:tcW w:w="1066" w:type="dxa"/>
          </w:tcPr>
          <w:p w14:paraId="53282969">
            <w:pPr>
              <w:spacing w:line="276" w:lineRule="auto"/>
              <w:rPr>
                <w:rFonts w:ascii="宋体" w:hAnsi="宋体"/>
                <w:szCs w:val="21"/>
              </w:rPr>
            </w:pPr>
          </w:p>
        </w:tc>
        <w:tc>
          <w:tcPr>
            <w:tcW w:w="1064" w:type="dxa"/>
          </w:tcPr>
          <w:p w14:paraId="46C973CA">
            <w:pPr>
              <w:spacing w:line="276" w:lineRule="auto"/>
              <w:rPr>
                <w:rFonts w:ascii="宋体" w:hAnsi="宋体"/>
                <w:szCs w:val="21"/>
              </w:rPr>
            </w:pPr>
          </w:p>
        </w:tc>
      </w:tr>
      <w:tr w14:paraId="28A4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7D6E733A">
            <w:pPr>
              <w:spacing w:line="276" w:lineRule="auto"/>
              <w:rPr>
                <w:rFonts w:ascii="宋体" w:hAnsi="宋体"/>
                <w:szCs w:val="21"/>
              </w:rPr>
            </w:pPr>
          </w:p>
        </w:tc>
        <w:tc>
          <w:tcPr>
            <w:tcW w:w="1305" w:type="dxa"/>
          </w:tcPr>
          <w:p w14:paraId="11476F0F">
            <w:pPr>
              <w:spacing w:line="276" w:lineRule="auto"/>
              <w:rPr>
                <w:rFonts w:ascii="宋体" w:hAnsi="宋体"/>
                <w:szCs w:val="21"/>
              </w:rPr>
            </w:pPr>
          </w:p>
        </w:tc>
        <w:tc>
          <w:tcPr>
            <w:tcW w:w="1066" w:type="dxa"/>
          </w:tcPr>
          <w:p w14:paraId="7C7C5701">
            <w:pPr>
              <w:spacing w:line="276" w:lineRule="auto"/>
              <w:rPr>
                <w:rFonts w:ascii="宋体" w:hAnsi="宋体"/>
                <w:szCs w:val="21"/>
              </w:rPr>
            </w:pPr>
          </w:p>
        </w:tc>
        <w:tc>
          <w:tcPr>
            <w:tcW w:w="1066" w:type="dxa"/>
          </w:tcPr>
          <w:p w14:paraId="4922C948">
            <w:pPr>
              <w:spacing w:line="276" w:lineRule="auto"/>
              <w:rPr>
                <w:rFonts w:ascii="宋体" w:hAnsi="宋体"/>
                <w:szCs w:val="21"/>
              </w:rPr>
            </w:pPr>
          </w:p>
        </w:tc>
        <w:tc>
          <w:tcPr>
            <w:tcW w:w="1066" w:type="dxa"/>
          </w:tcPr>
          <w:p w14:paraId="5690BC2D">
            <w:pPr>
              <w:spacing w:line="276" w:lineRule="auto"/>
              <w:rPr>
                <w:rFonts w:ascii="宋体" w:hAnsi="宋体"/>
                <w:szCs w:val="21"/>
              </w:rPr>
            </w:pPr>
          </w:p>
        </w:tc>
        <w:tc>
          <w:tcPr>
            <w:tcW w:w="1066" w:type="dxa"/>
          </w:tcPr>
          <w:p w14:paraId="098FEF34">
            <w:pPr>
              <w:spacing w:line="276" w:lineRule="auto"/>
              <w:rPr>
                <w:rFonts w:ascii="宋体" w:hAnsi="宋体"/>
                <w:szCs w:val="21"/>
              </w:rPr>
            </w:pPr>
          </w:p>
        </w:tc>
        <w:tc>
          <w:tcPr>
            <w:tcW w:w="1066" w:type="dxa"/>
          </w:tcPr>
          <w:p w14:paraId="71D86419">
            <w:pPr>
              <w:spacing w:line="276" w:lineRule="auto"/>
              <w:rPr>
                <w:rFonts w:ascii="宋体" w:hAnsi="宋体"/>
                <w:szCs w:val="21"/>
              </w:rPr>
            </w:pPr>
          </w:p>
        </w:tc>
        <w:tc>
          <w:tcPr>
            <w:tcW w:w="1064" w:type="dxa"/>
          </w:tcPr>
          <w:p w14:paraId="1584F47E">
            <w:pPr>
              <w:spacing w:line="276" w:lineRule="auto"/>
              <w:rPr>
                <w:rFonts w:ascii="宋体" w:hAnsi="宋体"/>
                <w:szCs w:val="21"/>
              </w:rPr>
            </w:pPr>
          </w:p>
        </w:tc>
      </w:tr>
      <w:tr w14:paraId="2CA2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FF89521">
            <w:pPr>
              <w:spacing w:line="276" w:lineRule="auto"/>
              <w:rPr>
                <w:rFonts w:ascii="宋体" w:hAnsi="宋体"/>
                <w:szCs w:val="21"/>
              </w:rPr>
            </w:pPr>
          </w:p>
        </w:tc>
        <w:tc>
          <w:tcPr>
            <w:tcW w:w="1305" w:type="dxa"/>
          </w:tcPr>
          <w:p w14:paraId="3E7DE0B0">
            <w:pPr>
              <w:spacing w:line="276" w:lineRule="auto"/>
              <w:rPr>
                <w:rFonts w:ascii="宋体" w:hAnsi="宋体"/>
                <w:szCs w:val="21"/>
              </w:rPr>
            </w:pPr>
          </w:p>
        </w:tc>
        <w:tc>
          <w:tcPr>
            <w:tcW w:w="1066" w:type="dxa"/>
          </w:tcPr>
          <w:p w14:paraId="7E21A7A3">
            <w:pPr>
              <w:spacing w:line="276" w:lineRule="auto"/>
              <w:rPr>
                <w:rFonts w:ascii="宋体" w:hAnsi="宋体"/>
                <w:szCs w:val="21"/>
              </w:rPr>
            </w:pPr>
          </w:p>
        </w:tc>
        <w:tc>
          <w:tcPr>
            <w:tcW w:w="1066" w:type="dxa"/>
          </w:tcPr>
          <w:p w14:paraId="6C29010A">
            <w:pPr>
              <w:spacing w:line="276" w:lineRule="auto"/>
              <w:rPr>
                <w:rFonts w:ascii="宋体" w:hAnsi="宋体"/>
                <w:szCs w:val="21"/>
              </w:rPr>
            </w:pPr>
          </w:p>
        </w:tc>
        <w:tc>
          <w:tcPr>
            <w:tcW w:w="1066" w:type="dxa"/>
          </w:tcPr>
          <w:p w14:paraId="7C19BAF7">
            <w:pPr>
              <w:spacing w:line="276" w:lineRule="auto"/>
              <w:rPr>
                <w:rFonts w:ascii="宋体" w:hAnsi="宋体"/>
                <w:szCs w:val="21"/>
              </w:rPr>
            </w:pPr>
          </w:p>
        </w:tc>
        <w:tc>
          <w:tcPr>
            <w:tcW w:w="1066" w:type="dxa"/>
          </w:tcPr>
          <w:p w14:paraId="022689F3">
            <w:pPr>
              <w:spacing w:line="276" w:lineRule="auto"/>
              <w:rPr>
                <w:rFonts w:ascii="宋体" w:hAnsi="宋体"/>
                <w:szCs w:val="21"/>
              </w:rPr>
            </w:pPr>
          </w:p>
        </w:tc>
        <w:tc>
          <w:tcPr>
            <w:tcW w:w="1066" w:type="dxa"/>
          </w:tcPr>
          <w:p w14:paraId="1B86D844">
            <w:pPr>
              <w:spacing w:line="276" w:lineRule="auto"/>
              <w:rPr>
                <w:rFonts w:ascii="宋体" w:hAnsi="宋体"/>
                <w:szCs w:val="21"/>
              </w:rPr>
            </w:pPr>
          </w:p>
        </w:tc>
        <w:tc>
          <w:tcPr>
            <w:tcW w:w="1064" w:type="dxa"/>
          </w:tcPr>
          <w:p w14:paraId="1F2369E5">
            <w:pPr>
              <w:spacing w:line="276" w:lineRule="auto"/>
              <w:rPr>
                <w:rFonts w:ascii="宋体" w:hAnsi="宋体"/>
                <w:szCs w:val="21"/>
              </w:rPr>
            </w:pPr>
          </w:p>
        </w:tc>
      </w:tr>
      <w:tr w14:paraId="563E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67C00D47">
            <w:pPr>
              <w:spacing w:line="276" w:lineRule="auto"/>
              <w:rPr>
                <w:rFonts w:ascii="宋体" w:hAnsi="宋体"/>
                <w:szCs w:val="21"/>
              </w:rPr>
            </w:pPr>
          </w:p>
        </w:tc>
        <w:tc>
          <w:tcPr>
            <w:tcW w:w="1305" w:type="dxa"/>
          </w:tcPr>
          <w:p w14:paraId="4DCA4A0A">
            <w:pPr>
              <w:spacing w:line="276" w:lineRule="auto"/>
              <w:rPr>
                <w:rFonts w:ascii="宋体" w:hAnsi="宋体"/>
                <w:szCs w:val="21"/>
              </w:rPr>
            </w:pPr>
          </w:p>
        </w:tc>
        <w:tc>
          <w:tcPr>
            <w:tcW w:w="1066" w:type="dxa"/>
          </w:tcPr>
          <w:p w14:paraId="64873507">
            <w:pPr>
              <w:spacing w:line="276" w:lineRule="auto"/>
              <w:rPr>
                <w:rFonts w:ascii="宋体" w:hAnsi="宋体"/>
                <w:szCs w:val="21"/>
              </w:rPr>
            </w:pPr>
          </w:p>
        </w:tc>
        <w:tc>
          <w:tcPr>
            <w:tcW w:w="1066" w:type="dxa"/>
          </w:tcPr>
          <w:p w14:paraId="320A2DC1">
            <w:pPr>
              <w:spacing w:line="276" w:lineRule="auto"/>
              <w:rPr>
                <w:rFonts w:ascii="宋体" w:hAnsi="宋体"/>
                <w:szCs w:val="21"/>
              </w:rPr>
            </w:pPr>
          </w:p>
        </w:tc>
        <w:tc>
          <w:tcPr>
            <w:tcW w:w="1066" w:type="dxa"/>
          </w:tcPr>
          <w:p w14:paraId="4B8A0148">
            <w:pPr>
              <w:spacing w:line="276" w:lineRule="auto"/>
              <w:rPr>
                <w:rFonts w:ascii="宋体" w:hAnsi="宋体"/>
                <w:szCs w:val="21"/>
              </w:rPr>
            </w:pPr>
          </w:p>
        </w:tc>
        <w:tc>
          <w:tcPr>
            <w:tcW w:w="1066" w:type="dxa"/>
          </w:tcPr>
          <w:p w14:paraId="085FFB87">
            <w:pPr>
              <w:spacing w:line="276" w:lineRule="auto"/>
              <w:rPr>
                <w:rFonts w:ascii="宋体" w:hAnsi="宋体"/>
                <w:szCs w:val="21"/>
              </w:rPr>
            </w:pPr>
          </w:p>
        </w:tc>
        <w:tc>
          <w:tcPr>
            <w:tcW w:w="1066" w:type="dxa"/>
          </w:tcPr>
          <w:p w14:paraId="654131BF">
            <w:pPr>
              <w:spacing w:line="276" w:lineRule="auto"/>
              <w:rPr>
                <w:rFonts w:ascii="宋体" w:hAnsi="宋体"/>
                <w:szCs w:val="21"/>
              </w:rPr>
            </w:pPr>
          </w:p>
        </w:tc>
        <w:tc>
          <w:tcPr>
            <w:tcW w:w="1064" w:type="dxa"/>
          </w:tcPr>
          <w:p w14:paraId="111E6613">
            <w:pPr>
              <w:spacing w:line="276" w:lineRule="auto"/>
              <w:rPr>
                <w:rFonts w:ascii="宋体" w:hAnsi="宋体"/>
                <w:szCs w:val="21"/>
              </w:rPr>
            </w:pPr>
          </w:p>
        </w:tc>
      </w:tr>
      <w:tr w14:paraId="49AC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A9E4DF2">
            <w:pPr>
              <w:spacing w:line="276" w:lineRule="auto"/>
              <w:rPr>
                <w:rFonts w:ascii="宋体" w:hAnsi="宋体"/>
                <w:szCs w:val="21"/>
              </w:rPr>
            </w:pPr>
          </w:p>
        </w:tc>
        <w:tc>
          <w:tcPr>
            <w:tcW w:w="1305" w:type="dxa"/>
          </w:tcPr>
          <w:p w14:paraId="662110E8">
            <w:pPr>
              <w:spacing w:line="276" w:lineRule="auto"/>
              <w:rPr>
                <w:rFonts w:ascii="宋体" w:hAnsi="宋体"/>
                <w:szCs w:val="21"/>
              </w:rPr>
            </w:pPr>
          </w:p>
        </w:tc>
        <w:tc>
          <w:tcPr>
            <w:tcW w:w="1066" w:type="dxa"/>
          </w:tcPr>
          <w:p w14:paraId="1D9285E0">
            <w:pPr>
              <w:spacing w:line="276" w:lineRule="auto"/>
              <w:rPr>
                <w:rFonts w:ascii="宋体" w:hAnsi="宋体"/>
                <w:szCs w:val="21"/>
              </w:rPr>
            </w:pPr>
          </w:p>
        </w:tc>
        <w:tc>
          <w:tcPr>
            <w:tcW w:w="1066" w:type="dxa"/>
          </w:tcPr>
          <w:p w14:paraId="1926A3F1">
            <w:pPr>
              <w:spacing w:line="276" w:lineRule="auto"/>
              <w:rPr>
                <w:rFonts w:ascii="宋体" w:hAnsi="宋体"/>
                <w:szCs w:val="21"/>
              </w:rPr>
            </w:pPr>
          </w:p>
        </w:tc>
        <w:tc>
          <w:tcPr>
            <w:tcW w:w="1066" w:type="dxa"/>
          </w:tcPr>
          <w:p w14:paraId="7A6C058D">
            <w:pPr>
              <w:spacing w:line="276" w:lineRule="auto"/>
              <w:rPr>
                <w:rFonts w:ascii="宋体" w:hAnsi="宋体"/>
                <w:szCs w:val="21"/>
              </w:rPr>
            </w:pPr>
          </w:p>
        </w:tc>
        <w:tc>
          <w:tcPr>
            <w:tcW w:w="1066" w:type="dxa"/>
          </w:tcPr>
          <w:p w14:paraId="1D1DEA7C">
            <w:pPr>
              <w:spacing w:line="276" w:lineRule="auto"/>
              <w:rPr>
                <w:rFonts w:ascii="宋体" w:hAnsi="宋体"/>
                <w:szCs w:val="21"/>
              </w:rPr>
            </w:pPr>
          </w:p>
        </w:tc>
        <w:tc>
          <w:tcPr>
            <w:tcW w:w="1066" w:type="dxa"/>
          </w:tcPr>
          <w:p w14:paraId="1FB95F0E">
            <w:pPr>
              <w:spacing w:line="276" w:lineRule="auto"/>
              <w:rPr>
                <w:rFonts w:ascii="宋体" w:hAnsi="宋体"/>
                <w:szCs w:val="21"/>
              </w:rPr>
            </w:pPr>
          </w:p>
        </w:tc>
        <w:tc>
          <w:tcPr>
            <w:tcW w:w="1064" w:type="dxa"/>
          </w:tcPr>
          <w:p w14:paraId="258064EB">
            <w:pPr>
              <w:spacing w:line="276" w:lineRule="auto"/>
              <w:rPr>
                <w:rFonts w:ascii="宋体" w:hAnsi="宋体"/>
                <w:szCs w:val="21"/>
              </w:rPr>
            </w:pPr>
          </w:p>
        </w:tc>
      </w:tr>
      <w:tr w14:paraId="568B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732437C6">
            <w:pPr>
              <w:spacing w:line="276" w:lineRule="auto"/>
              <w:rPr>
                <w:rFonts w:ascii="宋体" w:hAnsi="宋体"/>
                <w:szCs w:val="21"/>
              </w:rPr>
            </w:pPr>
          </w:p>
        </w:tc>
        <w:tc>
          <w:tcPr>
            <w:tcW w:w="1305" w:type="dxa"/>
          </w:tcPr>
          <w:p w14:paraId="4F7C9333">
            <w:pPr>
              <w:spacing w:line="276" w:lineRule="auto"/>
              <w:rPr>
                <w:rFonts w:ascii="宋体" w:hAnsi="宋体"/>
                <w:szCs w:val="21"/>
              </w:rPr>
            </w:pPr>
          </w:p>
        </w:tc>
        <w:tc>
          <w:tcPr>
            <w:tcW w:w="1066" w:type="dxa"/>
          </w:tcPr>
          <w:p w14:paraId="7927F77F">
            <w:pPr>
              <w:spacing w:line="276" w:lineRule="auto"/>
              <w:rPr>
                <w:rFonts w:ascii="宋体" w:hAnsi="宋体"/>
                <w:szCs w:val="21"/>
              </w:rPr>
            </w:pPr>
          </w:p>
        </w:tc>
        <w:tc>
          <w:tcPr>
            <w:tcW w:w="1066" w:type="dxa"/>
          </w:tcPr>
          <w:p w14:paraId="0D4EB987">
            <w:pPr>
              <w:spacing w:line="276" w:lineRule="auto"/>
              <w:rPr>
                <w:rFonts w:ascii="宋体" w:hAnsi="宋体"/>
                <w:szCs w:val="21"/>
              </w:rPr>
            </w:pPr>
          </w:p>
        </w:tc>
        <w:tc>
          <w:tcPr>
            <w:tcW w:w="1066" w:type="dxa"/>
          </w:tcPr>
          <w:p w14:paraId="20302339">
            <w:pPr>
              <w:spacing w:line="276" w:lineRule="auto"/>
              <w:rPr>
                <w:rFonts w:ascii="宋体" w:hAnsi="宋体"/>
                <w:szCs w:val="21"/>
              </w:rPr>
            </w:pPr>
          </w:p>
        </w:tc>
        <w:tc>
          <w:tcPr>
            <w:tcW w:w="1066" w:type="dxa"/>
          </w:tcPr>
          <w:p w14:paraId="71C3F781">
            <w:pPr>
              <w:spacing w:line="276" w:lineRule="auto"/>
              <w:rPr>
                <w:rFonts w:ascii="宋体" w:hAnsi="宋体"/>
                <w:szCs w:val="21"/>
              </w:rPr>
            </w:pPr>
          </w:p>
        </w:tc>
        <w:tc>
          <w:tcPr>
            <w:tcW w:w="1066" w:type="dxa"/>
          </w:tcPr>
          <w:p w14:paraId="05FAF9BE">
            <w:pPr>
              <w:spacing w:line="276" w:lineRule="auto"/>
              <w:rPr>
                <w:rFonts w:ascii="宋体" w:hAnsi="宋体"/>
                <w:szCs w:val="21"/>
              </w:rPr>
            </w:pPr>
          </w:p>
        </w:tc>
        <w:tc>
          <w:tcPr>
            <w:tcW w:w="1064" w:type="dxa"/>
          </w:tcPr>
          <w:p w14:paraId="084B9477">
            <w:pPr>
              <w:spacing w:line="276" w:lineRule="auto"/>
              <w:rPr>
                <w:rFonts w:ascii="宋体" w:hAnsi="宋体"/>
                <w:szCs w:val="21"/>
              </w:rPr>
            </w:pPr>
          </w:p>
        </w:tc>
      </w:tr>
      <w:tr w14:paraId="1574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A15E166">
            <w:pPr>
              <w:spacing w:line="276" w:lineRule="auto"/>
              <w:rPr>
                <w:rFonts w:ascii="宋体" w:hAnsi="宋体"/>
                <w:szCs w:val="21"/>
              </w:rPr>
            </w:pPr>
          </w:p>
        </w:tc>
        <w:tc>
          <w:tcPr>
            <w:tcW w:w="1305" w:type="dxa"/>
          </w:tcPr>
          <w:p w14:paraId="7474DFD1">
            <w:pPr>
              <w:spacing w:line="276" w:lineRule="auto"/>
              <w:rPr>
                <w:rFonts w:ascii="宋体" w:hAnsi="宋体"/>
                <w:szCs w:val="21"/>
              </w:rPr>
            </w:pPr>
          </w:p>
        </w:tc>
        <w:tc>
          <w:tcPr>
            <w:tcW w:w="1066" w:type="dxa"/>
          </w:tcPr>
          <w:p w14:paraId="42BB45FE">
            <w:pPr>
              <w:spacing w:line="276" w:lineRule="auto"/>
              <w:rPr>
                <w:rFonts w:ascii="宋体" w:hAnsi="宋体"/>
                <w:szCs w:val="21"/>
              </w:rPr>
            </w:pPr>
          </w:p>
        </w:tc>
        <w:tc>
          <w:tcPr>
            <w:tcW w:w="1066" w:type="dxa"/>
          </w:tcPr>
          <w:p w14:paraId="2578FEDC">
            <w:pPr>
              <w:spacing w:line="276" w:lineRule="auto"/>
              <w:rPr>
                <w:rFonts w:ascii="宋体" w:hAnsi="宋体"/>
                <w:szCs w:val="21"/>
              </w:rPr>
            </w:pPr>
          </w:p>
        </w:tc>
        <w:tc>
          <w:tcPr>
            <w:tcW w:w="1066" w:type="dxa"/>
          </w:tcPr>
          <w:p w14:paraId="2DD612BE">
            <w:pPr>
              <w:spacing w:line="276" w:lineRule="auto"/>
              <w:rPr>
                <w:rFonts w:ascii="宋体" w:hAnsi="宋体"/>
                <w:szCs w:val="21"/>
              </w:rPr>
            </w:pPr>
          </w:p>
        </w:tc>
        <w:tc>
          <w:tcPr>
            <w:tcW w:w="1066" w:type="dxa"/>
          </w:tcPr>
          <w:p w14:paraId="0899CE2E">
            <w:pPr>
              <w:spacing w:line="276" w:lineRule="auto"/>
              <w:rPr>
                <w:rFonts w:ascii="宋体" w:hAnsi="宋体"/>
                <w:szCs w:val="21"/>
              </w:rPr>
            </w:pPr>
          </w:p>
        </w:tc>
        <w:tc>
          <w:tcPr>
            <w:tcW w:w="1066" w:type="dxa"/>
          </w:tcPr>
          <w:p w14:paraId="0F87754F">
            <w:pPr>
              <w:spacing w:line="276" w:lineRule="auto"/>
              <w:rPr>
                <w:rFonts w:ascii="宋体" w:hAnsi="宋体"/>
                <w:szCs w:val="21"/>
              </w:rPr>
            </w:pPr>
          </w:p>
        </w:tc>
        <w:tc>
          <w:tcPr>
            <w:tcW w:w="1064" w:type="dxa"/>
          </w:tcPr>
          <w:p w14:paraId="5AAC0CD2">
            <w:pPr>
              <w:spacing w:line="276" w:lineRule="auto"/>
              <w:rPr>
                <w:rFonts w:ascii="宋体" w:hAnsi="宋体"/>
                <w:szCs w:val="21"/>
              </w:rPr>
            </w:pPr>
          </w:p>
        </w:tc>
      </w:tr>
      <w:tr w14:paraId="07F1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CC9A5CD">
            <w:pPr>
              <w:spacing w:line="276" w:lineRule="auto"/>
              <w:rPr>
                <w:rFonts w:ascii="宋体" w:hAnsi="宋体"/>
                <w:szCs w:val="21"/>
              </w:rPr>
            </w:pPr>
          </w:p>
        </w:tc>
        <w:tc>
          <w:tcPr>
            <w:tcW w:w="1305" w:type="dxa"/>
          </w:tcPr>
          <w:p w14:paraId="1EEA7FF1">
            <w:pPr>
              <w:spacing w:line="276" w:lineRule="auto"/>
              <w:rPr>
                <w:rFonts w:ascii="宋体" w:hAnsi="宋体"/>
                <w:szCs w:val="21"/>
              </w:rPr>
            </w:pPr>
          </w:p>
        </w:tc>
        <w:tc>
          <w:tcPr>
            <w:tcW w:w="1066" w:type="dxa"/>
          </w:tcPr>
          <w:p w14:paraId="253B0B8E">
            <w:pPr>
              <w:spacing w:line="276" w:lineRule="auto"/>
              <w:rPr>
                <w:rFonts w:ascii="宋体" w:hAnsi="宋体"/>
                <w:szCs w:val="21"/>
              </w:rPr>
            </w:pPr>
          </w:p>
        </w:tc>
        <w:tc>
          <w:tcPr>
            <w:tcW w:w="1066" w:type="dxa"/>
          </w:tcPr>
          <w:p w14:paraId="6537199B">
            <w:pPr>
              <w:spacing w:line="276" w:lineRule="auto"/>
              <w:rPr>
                <w:rFonts w:ascii="宋体" w:hAnsi="宋体"/>
                <w:szCs w:val="21"/>
              </w:rPr>
            </w:pPr>
          </w:p>
        </w:tc>
        <w:tc>
          <w:tcPr>
            <w:tcW w:w="1066" w:type="dxa"/>
          </w:tcPr>
          <w:p w14:paraId="0DDE330B">
            <w:pPr>
              <w:spacing w:line="276" w:lineRule="auto"/>
              <w:rPr>
                <w:rFonts w:ascii="宋体" w:hAnsi="宋体"/>
                <w:szCs w:val="21"/>
              </w:rPr>
            </w:pPr>
          </w:p>
        </w:tc>
        <w:tc>
          <w:tcPr>
            <w:tcW w:w="1066" w:type="dxa"/>
          </w:tcPr>
          <w:p w14:paraId="2058D768">
            <w:pPr>
              <w:spacing w:line="276" w:lineRule="auto"/>
              <w:rPr>
                <w:rFonts w:ascii="宋体" w:hAnsi="宋体"/>
                <w:szCs w:val="21"/>
              </w:rPr>
            </w:pPr>
          </w:p>
        </w:tc>
        <w:tc>
          <w:tcPr>
            <w:tcW w:w="1066" w:type="dxa"/>
          </w:tcPr>
          <w:p w14:paraId="0B4C8348">
            <w:pPr>
              <w:spacing w:line="276" w:lineRule="auto"/>
              <w:rPr>
                <w:rFonts w:ascii="宋体" w:hAnsi="宋体"/>
                <w:szCs w:val="21"/>
              </w:rPr>
            </w:pPr>
          </w:p>
        </w:tc>
        <w:tc>
          <w:tcPr>
            <w:tcW w:w="1064" w:type="dxa"/>
          </w:tcPr>
          <w:p w14:paraId="1155141C">
            <w:pPr>
              <w:spacing w:line="276" w:lineRule="auto"/>
              <w:rPr>
                <w:rFonts w:ascii="宋体" w:hAnsi="宋体"/>
                <w:szCs w:val="21"/>
              </w:rPr>
            </w:pPr>
          </w:p>
        </w:tc>
      </w:tr>
      <w:tr w14:paraId="252D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4CCE74D6">
            <w:pPr>
              <w:spacing w:line="276" w:lineRule="auto"/>
              <w:rPr>
                <w:rFonts w:ascii="宋体" w:hAnsi="宋体"/>
                <w:szCs w:val="21"/>
              </w:rPr>
            </w:pPr>
          </w:p>
        </w:tc>
        <w:tc>
          <w:tcPr>
            <w:tcW w:w="1305" w:type="dxa"/>
          </w:tcPr>
          <w:p w14:paraId="27650159">
            <w:pPr>
              <w:spacing w:line="276" w:lineRule="auto"/>
              <w:rPr>
                <w:rFonts w:ascii="宋体" w:hAnsi="宋体"/>
                <w:szCs w:val="21"/>
              </w:rPr>
            </w:pPr>
          </w:p>
        </w:tc>
        <w:tc>
          <w:tcPr>
            <w:tcW w:w="1066" w:type="dxa"/>
          </w:tcPr>
          <w:p w14:paraId="68F1715F">
            <w:pPr>
              <w:spacing w:line="276" w:lineRule="auto"/>
              <w:rPr>
                <w:rFonts w:ascii="宋体" w:hAnsi="宋体"/>
                <w:szCs w:val="21"/>
              </w:rPr>
            </w:pPr>
          </w:p>
        </w:tc>
        <w:tc>
          <w:tcPr>
            <w:tcW w:w="1066" w:type="dxa"/>
          </w:tcPr>
          <w:p w14:paraId="119732A4">
            <w:pPr>
              <w:spacing w:line="276" w:lineRule="auto"/>
              <w:rPr>
                <w:rFonts w:ascii="宋体" w:hAnsi="宋体"/>
                <w:szCs w:val="21"/>
              </w:rPr>
            </w:pPr>
          </w:p>
        </w:tc>
        <w:tc>
          <w:tcPr>
            <w:tcW w:w="1066" w:type="dxa"/>
          </w:tcPr>
          <w:p w14:paraId="707E6AFB">
            <w:pPr>
              <w:spacing w:line="276" w:lineRule="auto"/>
              <w:rPr>
                <w:rFonts w:ascii="宋体" w:hAnsi="宋体"/>
                <w:szCs w:val="21"/>
              </w:rPr>
            </w:pPr>
          </w:p>
        </w:tc>
        <w:tc>
          <w:tcPr>
            <w:tcW w:w="1066" w:type="dxa"/>
          </w:tcPr>
          <w:p w14:paraId="3CDB223C">
            <w:pPr>
              <w:spacing w:line="276" w:lineRule="auto"/>
              <w:rPr>
                <w:rFonts w:ascii="宋体" w:hAnsi="宋体"/>
                <w:szCs w:val="21"/>
              </w:rPr>
            </w:pPr>
          </w:p>
        </w:tc>
        <w:tc>
          <w:tcPr>
            <w:tcW w:w="1066" w:type="dxa"/>
          </w:tcPr>
          <w:p w14:paraId="3DBD25CC">
            <w:pPr>
              <w:spacing w:line="276" w:lineRule="auto"/>
              <w:rPr>
                <w:rFonts w:ascii="宋体" w:hAnsi="宋体"/>
                <w:szCs w:val="21"/>
              </w:rPr>
            </w:pPr>
          </w:p>
        </w:tc>
        <w:tc>
          <w:tcPr>
            <w:tcW w:w="1064" w:type="dxa"/>
          </w:tcPr>
          <w:p w14:paraId="1C5FE053">
            <w:pPr>
              <w:spacing w:line="276" w:lineRule="auto"/>
              <w:rPr>
                <w:rFonts w:ascii="宋体" w:hAnsi="宋体"/>
                <w:szCs w:val="21"/>
              </w:rPr>
            </w:pPr>
          </w:p>
        </w:tc>
      </w:tr>
      <w:tr w14:paraId="47FE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5DE60BBF">
            <w:pPr>
              <w:spacing w:line="276" w:lineRule="auto"/>
              <w:rPr>
                <w:rFonts w:ascii="宋体" w:hAnsi="宋体"/>
                <w:szCs w:val="21"/>
              </w:rPr>
            </w:pPr>
          </w:p>
        </w:tc>
        <w:tc>
          <w:tcPr>
            <w:tcW w:w="1305" w:type="dxa"/>
          </w:tcPr>
          <w:p w14:paraId="5D5D7D78">
            <w:pPr>
              <w:spacing w:line="276" w:lineRule="auto"/>
              <w:rPr>
                <w:rFonts w:ascii="宋体" w:hAnsi="宋体"/>
                <w:szCs w:val="21"/>
              </w:rPr>
            </w:pPr>
          </w:p>
        </w:tc>
        <w:tc>
          <w:tcPr>
            <w:tcW w:w="1066" w:type="dxa"/>
          </w:tcPr>
          <w:p w14:paraId="66A351B0">
            <w:pPr>
              <w:spacing w:line="276" w:lineRule="auto"/>
              <w:rPr>
                <w:rFonts w:ascii="宋体" w:hAnsi="宋体"/>
                <w:szCs w:val="21"/>
              </w:rPr>
            </w:pPr>
          </w:p>
        </w:tc>
        <w:tc>
          <w:tcPr>
            <w:tcW w:w="1066" w:type="dxa"/>
          </w:tcPr>
          <w:p w14:paraId="2281B8C3">
            <w:pPr>
              <w:spacing w:line="276" w:lineRule="auto"/>
              <w:rPr>
                <w:rFonts w:ascii="宋体" w:hAnsi="宋体"/>
                <w:szCs w:val="21"/>
              </w:rPr>
            </w:pPr>
          </w:p>
        </w:tc>
        <w:tc>
          <w:tcPr>
            <w:tcW w:w="1066" w:type="dxa"/>
          </w:tcPr>
          <w:p w14:paraId="6599D2ED">
            <w:pPr>
              <w:spacing w:line="276" w:lineRule="auto"/>
              <w:rPr>
                <w:rFonts w:ascii="宋体" w:hAnsi="宋体"/>
                <w:szCs w:val="21"/>
              </w:rPr>
            </w:pPr>
          </w:p>
        </w:tc>
        <w:tc>
          <w:tcPr>
            <w:tcW w:w="1066" w:type="dxa"/>
          </w:tcPr>
          <w:p w14:paraId="593DAFE1">
            <w:pPr>
              <w:spacing w:line="276" w:lineRule="auto"/>
              <w:rPr>
                <w:rFonts w:ascii="宋体" w:hAnsi="宋体"/>
                <w:szCs w:val="21"/>
              </w:rPr>
            </w:pPr>
          </w:p>
        </w:tc>
        <w:tc>
          <w:tcPr>
            <w:tcW w:w="1066" w:type="dxa"/>
          </w:tcPr>
          <w:p w14:paraId="2E912627">
            <w:pPr>
              <w:spacing w:line="276" w:lineRule="auto"/>
              <w:rPr>
                <w:rFonts w:ascii="宋体" w:hAnsi="宋体"/>
                <w:szCs w:val="21"/>
              </w:rPr>
            </w:pPr>
          </w:p>
        </w:tc>
        <w:tc>
          <w:tcPr>
            <w:tcW w:w="1064" w:type="dxa"/>
          </w:tcPr>
          <w:p w14:paraId="117170BA">
            <w:pPr>
              <w:spacing w:line="276" w:lineRule="auto"/>
              <w:rPr>
                <w:rFonts w:ascii="宋体" w:hAnsi="宋体"/>
                <w:szCs w:val="21"/>
              </w:rPr>
            </w:pPr>
          </w:p>
        </w:tc>
      </w:tr>
      <w:tr w14:paraId="0039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7ED526BF">
            <w:pPr>
              <w:spacing w:line="276" w:lineRule="auto"/>
              <w:rPr>
                <w:rFonts w:ascii="宋体" w:hAnsi="宋体"/>
                <w:szCs w:val="21"/>
              </w:rPr>
            </w:pPr>
          </w:p>
        </w:tc>
        <w:tc>
          <w:tcPr>
            <w:tcW w:w="1305" w:type="dxa"/>
          </w:tcPr>
          <w:p w14:paraId="523C6246">
            <w:pPr>
              <w:spacing w:line="276" w:lineRule="auto"/>
              <w:rPr>
                <w:rFonts w:ascii="宋体" w:hAnsi="宋体"/>
                <w:szCs w:val="21"/>
              </w:rPr>
            </w:pPr>
          </w:p>
        </w:tc>
        <w:tc>
          <w:tcPr>
            <w:tcW w:w="1066" w:type="dxa"/>
          </w:tcPr>
          <w:p w14:paraId="7192FF0E">
            <w:pPr>
              <w:spacing w:line="276" w:lineRule="auto"/>
              <w:rPr>
                <w:rFonts w:ascii="宋体" w:hAnsi="宋体"/>
                <w:szCs w:val="21"/>
              </w:rPr>
            </w:pPr>
          </w:p>
        </w:tc>
        <w:tc>
          <w:tcPr>
            <w:tcW w:w="1066" w:type="dxa"/>
          </w:tcPr>
          <w:p w14:paraId="2F4F9DF2">
            <w:pPr>
              <w:spacing w:line="276" w:lineRule="auto"/>
              <w:rPr>
                <w:rFonts w:ascii="宋体" w:hAnsi="宋体"/>
                <w:szCs w:val="21"/>
              </w:rPr>
            </w:pPr>
          </w:p>
        </w:tc>
        <w:tc>
          <w:tcPr>
            <w:tcW w:w="1066" w:type="dxa"/>
          </w:tcPr>
          <w:p w14:paraId="1C6B0915">
            <w:pPr>
              <w:spacing w:line="276" w:lineRule="auto"/>
              <w:rPr>
                <w:rFonts w:ascii="宋体" w:hAnsi="宋体"/>
                <w:szCs w:val="21"/>
              </w:rPr>
            </w:pPr>
          </w:p>
        </w:tc>
        <w:tc>
          <w:tcPr>
            <w:tcW w:w="1066" w:type="dxa"/>
          </w:tcPr>
          <w:p w14:paraId="51483EFF">
            <w:pPr>
              <w:spacing w:line="276" w:lineRule="auto"/>
              <w:rPr>
                <w:rFonts w:ascii="宋体" w:hAnsi="宋体"/>
                <w:szCs w:val="21"/>
              </w:rPr>
            </w:pPr>
          </w:p>
        </w:tc>
        <w:tc>
          <w:tcPr>
            <w:tcW w:w="1066" w:type="dxa"/>
          </w:tcPr>
          <w:p w14:paraId="5BA5AAB4">
            <w:pPr>
              <w:spacing w:line="276" w:lineRule="auto"/>
              <w:rPr>
                <w:rFonts w:ascii="宋体" w:hAnsi="宋体"/>
                <w:szCs w:val="21"/>
              </w:rPr>
            </w:pPr>
          </w:p>
        </w:tc>
        <w:tc>
          <w:tcPr>
            <w:tcW w:w="1064" w:type="dxa"/>
          </w:tcPr>
          <w:p w14:paraId="7D92B512">
            <w:pPr>
              <w:spacing w:line="276" w:lineRule="auto"/>
              <w:rPr>
                <w:rFonts w:ascii="宋体" w:hAnsi="宋体"/>
                <w:szCs w:val="21"/>
              </w:rPr>
            </w:pPr>
          </w:p>
        </w:tc>
      </w:tr>
      <w:tr w14:paraId="459D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14:paraId="370312CE">
            <w:pPr>
              <w:spacing w:line="276" w:lineRule="auto"/>
              <w:rPr>
                <w:rFonts w:ascii="宋体" w:hAnsi="宋体"/>
                <w:szCs w:val="21"/>
              </w:rPr>
            </w:pPr>
          </w:p>
        </w:tc>
        <w:tc>
          <w:tcPr>
            <w:tcW w:w="1305" w:type="dxa"/>
          </w:tcPr>
          <w:p w14:paraId="0BF543CE">
            <w:pPr>
              <w:spacing w:line="276" w:lineRule="auto"/>
              <w:rPr>
                <w:rFonts w:ascii="宋体" w:hAnsi="宋体"/>
                <w:szCs w:val="21"/>
              </w:rPr>
            </w:pPr>
          </w:p>
        </w:tc>
        <w:tc>
          <w:tcPr>
            <w:tcW w:w="1066" w:type="dxa"/>
          </w:tcPr>
          <w:p w14:paraId="5B36E4F7">
            <w:pPr>
              <w:spacing w:line="276" w:lineRule="auto"/>
              <w:rPr>
                <w:rFonts w:ascii="宋体" w:hAnsi="宋体"/>
                <w:szCs w:val="21"/>
              </w:rPr>
            </w:pPr>
          </w:p>
        </w:tc>
        <w:tc>
          <w:tcPr>
            <w:tcW w:w="1066" w:type="dxa"/>
          </w:tcPr>
          <w:p w14:paraId="63FABB3C">
            <w:pPr>
              <w:spacing w:line="276" w:lineRule="auto"/>
              <w:rPr>
                <w:rFonts w:ascii="宋体" w:hAnsi="宋体"/>
                <w:szCs w:val="21"/>
              </w:rPr>
            </w:pPr>
          </w:p>
        </w:tc>
        <w:tc>
          <w:tcPr>
            <w:tcW w:w="1066" w:type="dxa"/>
          </w:tcPr>
          <w:p w14:paraId="24EDCF08">
            <w:pPr>
              <w:spacing w:line="276" w:lineRule="auto"/>
              <w:rPr>
                <w:rFonts w:ascii="宋体" w:hAnsi="宋体"/>
                <w:szCs w:val="21"/>
              </w:rPr>
            </w:pPr>
          </w:p>
        </w:tc>
        <w:tc>
          <w:tcPr>
            <w:tcW w:w="1066" w:type="dxa"/>
          </w:tcPr>
          <w:p w14:paraId="522C1E67">
            <w:pPr>
              <w:spacing w:line="276" w:lineRule="auto"/>
              <w:rPr>
                <w:rFonts w:ascii="宋体" w:hAnsi="宋体"/>
                <w:szCs w:val="21"/>
              </w:rPr>
            </w:pPr>
          </w:p>
        </w:tc>
        <w:tc>
          <w:tcPr>
            <w:tcW w:w="1066" w:type="dxa"/>
          </w:tcPr>
          <w:p w14:paraId="01972D9D">
            <w:pPr>
              <w:spacing w:line="276" w:lineRule="auto"/>
              <w:rPr>
                <w:rFonts w:ascii="宋体" w:hAnsi="宋体"/>
                <w:szCs w:val="21"/>
              </w:rPr>
            </w:pPr>
          </w:p>
        </w:tc>
        <w:tc>
          <w:tcPr>
            <w:tcW w:w="1064" w:type="dxa"/>
          </w:tcPr>
          <w:p w14:paraId="1FBD8B7F">
            <w:pPr>
              <w:spacing w:line="276" w:lineRule="auto"/>
              <w:rPr>
                <w:rFonts w:ascii="宋体" w:hAnsi="宋体"/>
                <w:szCs w:val="21"/>
              </w:rPr>
            </w:pPr>
          </w:p>
        </w:tc>
      </w:tr>
    </w:tbl>
    <w:p w14:paraId="3DE3DEEE">
      <w:pPr>
        <w:tabs>
          <w:tab w:val="left" w:pos="720"/>
        </w:tabs>
        <w:spacing w:line="276" w:lineRule="auto"/>
        <w:ind w:firstLine="756" w:firstLineChars="360"/>
        <w:rPr>
          <w:rFonts w:ascii="宋体" w:hAnsi="宋体"/>
          <w:szCs w:val="21"/>
        </w:rPr>
      </w:pPr>
    </w:p>
    <w:p w14:paraId="69EC2B92">
      <w:pPr>
        <w:spacing w:line="276" w:lineRule="auto"/>
        <w:ind w:left="315" w:hanging="315" w:hangingChars="150"/>
        <w:rPr>
          <w:rFonts w:ascii="宋体" w:hAnsi="宋体"/>
          <w:szCs w:val="21"/>
        </w:rPr>
        <w:sectPr>
          <w:headerReference r:id="rId26" w:type="default"/>
          <w:pgSz w:w="11906" w:h="16838"/>
          <w:pgMar w:top="1701" w:right="1418" w:bottom="1701" w:left="1418" w:header="851" w:footer="992" w:gutter="0"/>
          <w:cols w:space="720" w:num="1"/>
          <w:docGrid w:linePitch="312" w:charSpace="0"/>
        </w:sectPr>
      </w:pPr>
    </w:p>
    <w:p w14:paraId="24507B73">
      <w:pPr>
        <w:tabs>
          <w:tab w:val="left" w:pos="720"/>
        </w:tabs>
        <w:spacing w:line="360" w:lineRule="auto"/>
        <w:rPr>
          <w:rFonts w:ascii="宋体" w:hAnsi="宋体"/>
          <w:sz w:val="24"/>
        </w:rPr>
      </w:pPr>
      <w:bookmarkStart w:id="2725" w:name="_Toc179632820"/>
      <w:bookmarkStart w:id="2726" w:name="_Toc241459827"/>
      <w:bookmarkStart w:id="2727" w:name="_Toc428172997"/>
      <w:bookmarkStart w:id="2728" w:name="_Toc404614332"/>
      <w:bookmarkStart w:id="2729" w:name="_Toc342296584"/>
      <w:bookmarkStart w:id="2730" w:name="_Toc415600096"/>
      <w:bookmarkStart w:id="2731" w:name="_Toc144974868"/>
      <w:bookmarkStart w:id="2732" w:name="_Toc152042589"/>
      <w:bookmarkStart w:id="2733" w:name="_Toc152045800"/>
      <w:r>
        <w:rPr>
          <w:rFonts w:hint="eastAsia" w:ascii="宋体" w:hAnsi="宋体"/>
          <w:sz w:val="24"/>
        </w:rPr>
        <w:t>附表四：计划开、竣工日期和施工进度网络图</w:t>
      </w:r>
      <w:bookmarkEnd w:id="2725"/>
      <w:bookmarkEnd w:id="2726"/>
      <w:bookmarkEnd w:id="2727"/>
      <w:bookmarkEnd w:id="2728"/>
      <w:bookmarkEnd w:id="2729"/>
      <w:bookmarkEnd w:id="2730"/>
      <w:bookmarkEnd w:id="2731"/>
      <w:bookmarkEnd w:id="2732"/>
      <w:bookmarkEnd w:id="2733"/>
    </w:p>
    <w:p w14:paraId="3E9CA479">
      <w:pPr>
        <w:spacing w:line="360" w:lineRule="auto"/>
        <w:ind w:firstLine="480" w:firstLineChars="200"/>
        <w:rPr>
          <w:rFonts w:ascii="宋体" w:hAnsi="宋体"/>
          <w:sz w:val="24"/>
        </w:rPr>
      </w:pPr>
      <w:r>
        <w:rPr>
          <w:rFonts w:hint="eastAsia" w:ascii="宋体" w:hAnsi="宋体"/>
          <w:sz w:val="24"/>
        </w:rPr>
        <w:t>1. 供应商应递交施工进度网络图或施工进度表，说明按磋商文件要求的计划工期进行施工的各个关键日期。</w:t>
      </w:r>
    </w:p>
    <w:p w14:paraId="1A5E8A8E">
      <w:pPr>
        <w:tabs>
          <w:tab w:val="left" w:pos="720"/>
        </w:tabs>
        <w:spacing w:line="360" w:lineRule="auto"/>
        <w:ind w:firstLine="480" w:firstLineChars="200"/>
        <w:rPr>
          <w:rFonts w:ascii="宋体" w:hAnsi="宋体"/>
          <w:sz w:val="24"/>
        </w:rPr>
      </w:pPr>
      <w:r>
        <w:rPr>
          <w:rFonts w:hint="eastAsia" w:ascii="宋体" w:hAnsi="宋体"/>
          <w:sz w:val="24"/>
        </w:rPr>
        <w:t>2. 施工进度表可采用网络图和（或）横道图表示。</w:t>
      </w:r>
    </w:p>
    <w:p w14:paraId="37F61FD6">
      <w:pPr>
        <w:tabs>
          <w:tab w:val="left" w:pos="360"/>
        </w:tabs>
        <w:snapToGrid w:val="0"/>
        <w:spacing w:line="360" w:lineRule="auto"/>
        <w:outlineLvl w:val="1"/>
        <w:rPr>
          <w:rFonts w:eastAsiaTheme="minorEastAsia"/>
          <w:sz w:val="24"/>
        </w:rPr>
      </w:pPr>
      <w:r>
        <w:rPr>
          <w:rFonts w:hint="eastAsia" w:ascii="宋体" w:hAnsi="宋体"/>
          <w:sz w:val="24"/>
        </w:rPr>
        <w:br w:type="page"/>
      </w:r>
      <w:bookmarkEnd w:id="2696"/>
      <w:bookmarkEnd w:id="2697"/>
      <w:r>
        <w:rPr>
          <w:rFonts w:eastAsiaTheme="minorEastAsia"/>
          <w:sz w:val="24"/>
        </w:rPr>
        <w:t xml:space="preserve">21 </w:t>
      </w:r>
      <w:r>
        <w:rPr>
          <w:rFonts w:hint="eastAsia" w:eastAsiaTheme="minorEastAsia"/>
          <w:sz w:val="24"/>
        </w:rPr>
        <w:t>竞争性磋商文件要求提供或供应商认为应附的其他材料。</w:t>
      </w:r>
    </w:p>
    <w:p w14:paraId="78301BB2">
      <w:pPr>
        <w:tabs>
          <w:tab w:val="right" w:leader="dot" w:pos="8400"/>
        </w:tabs>
        <w:spacing w:line="276" w:lineRule="auto"/>
        <w:rPr>
          <w:rFonts w:ascii="宋体" w:hAnsi="宋体"/>
          <w:sz w:val="24"/>
        </w:rPr>
      </w:pPr>
    </w:p>
    <w:p w14:paraId="68A37C64">
      <w:pPr>
        <w:spacing w:line="276" w:lineRule="auto"/>
        <w:rPr>
          <w:rFonts w:ascii="宋体" w:hAnsi="宋体"/>
          <w:bCs/>
          <w:sz w:val="24"/>
          <w:lang w:val="zh-CN"/>
        </w:rPr>
      </w:pPr>
    </w:p>
    <w:p w14:paraId="62E7E490">
      <w:pPr>
        <w:spacing w:line="276" w:lineRule="auto"/>
        <w:rPr>
          <w:rFonts w:ascii="宋体" w:hAnsi="宋体"/>
          <w:sz w:val="24"/>
        </w:rPr>
      </w:pPr>
    </w:p>
    <w:p w14:paraId="75385927">
      <w:pPr>
        <w:widowControl/>
        <w:spacing w:line="276" w:lineRule="auto"/>
        <w:rPr>
          <w:rFonts w:ascii="宋体" w:hAnsi="宋体"/>
          <w:sz w:val="24"/>
        </w:rPr>
      </w:pPr>
    </w:p>
    <w:p w14:paraId="0DC11C24">
      <w:pPr>
        <w:tabs>
          <w:tab w:val="left" w:pos="360"/>
        </w:tabs>
        <w:snapToGrid w:val="0"/>
        <w:spacing w:line="360" w:lineRule="auto"/>
        <w:outlineLvl w:val="1"/>
        <w:rPr>
          <w:rFonts w:eastAsiaTheme="minorEastAsia"/>
          <w:sz w:val="24"/>
        </w:rPr>
      </w:pPr>
      <w:bookmarkStart w:id="2734" w:name="_Hlk198303840"/>
      <w:r>
        <w:rPr>
          <w:rFonts w:ascii="宋体" w:hAnsi="宋体"/>
          <w:sz w:val="24"/>
        </w:rPr>
        <w:br w:type="page"/>
      </w:r>
      <w:r>
        <w:rPr>
          <w:rFonts w:hint="eastAsia" w:eastAsiaTheme="minorEastAsia"/>
          <w:sz w:val="24"/>
        </w:rPr>
        <w:t>2</w:t>
      </w:r>
      <w:r>
        <w:rPr>
          <w:rFonts w:eastAsiaTheme="minorEastAsia"/>
          <w:sz w:val="24"/>
        </w:rPr>
        <w:t>2</w:t>
      </w:r>
      <w:r>
        <w:rPr>
          <w:rFonts w:hint="eastAsia" w:eastAsiaTheme="minorEastAsia"/>
          <w:sz w:val="24"/>
        </w:rPr>
        <w:t>最后报价</w:t>
      </w:r>
      <w:bookmarkEnd w:id="2734"/>
    </w:p>
    <w:p w14:paraId="44614501">
      <w:pPr>
        <w:spacing w:line="276" w:lineRule="auto"/>
        <w:rPr>
          <w:rFonts w:ascii="宋体" w:hAnsi="宋体"/>
          <w:sz w:val="24"/>
        </w:rPr>
      </w:pPr>
      <w:r>
        <w:rPr>
          <w:rFonts w:ascii="宋体" w:hAnsi="宋体"/>
          <w:sz w:val="24"/>
        </w:rPr>
        <w:t xml:space="preserve"> </w:t>
      </w:r>
      <w:r>
        <w:rPr>
          <w:rFonts w:hint="eastAsia" w:ascii="宋体" w:hAnsi="宋体"/>
          <w:sz w:val="24"/>
        </w:rPr>
        <w:t>注：本项目为全流程电子化供应商在开标结束后需根据系统提示进行二次（最终）报价环节。</w:t>
      </w:r>
    </w:p>
    <w:bookmarkEnd w:id="2585"/>
    <w:bookmarkEnd w:id="2586"/>
    <w:p w14:paraId="62A10C7B">
      <w:pPr>
        <w:widowControl/>
        <w:spacing w:line="276" w:lineRule="auto"/>
        <w:rPr>
          <w:rFonts w:ascii="宋体" w:hAnsi="宋体"/>
        </w:rPr>
      </w:pPr>
    </w:p>
    <w:p w14:paraId="5768B1B5">
      <w:pPr>
        <w:tabs>
          <w:tab w:val="left" w:pos="360"/>
        </w:tabs>
        <w:snapToGrid w:val="0"/>
        <w:spacing w:line="360" w:lineRule="auto"/>
        <w:outlineLvl w:val="1"/>
        <w:rPr>
          <w:rFonts w:eastAsiaTheme="minorEastAsia"/>
          <w:sz w:val="24"/>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0000009F" w:csb1="00000000"/>
  </w:font>
  <w:font w:name="Yu Gothic UI">
    <w:panose1 w:val="020B0500000000000000"/>
    <w:charset w:val="80"/>
    <w:family w:val="auto"/>
    <w:pitch w:val="default"/>
    <w:sig w:usb0="E00002FF" w:usb1="2AC7FDFF" w:usb2="00000016" w:usb3="00000000" w:csb0="2002009F" w:csb1="00000000"/>
  </w:font>
  <w:font w:name="等线 Light">
    <w:panose1 w:val="02010600030101010101"/>
    <w:charset w:val="86"/>
    <w:family w:val="auto"/>
    <w:pitch w:val="default"/>
    <w:sig w:usb0="A00002BF" w:usb1="38CF7CFA" w:usb2="00000016" w:usb3="00000000" w:csb0="0004000F" w:csb1="00000000"/>
  </w:font>
  <w:font w:name="Candara">
    <w:panose1 w:val="020E0502030303020204"/>
    <w:charset w:val="00"/>
    <w:family w:val="swiss"/>
    <w:pitch w:val="default"/>
    <w:sig w:usb0="A00002EF" w:usb1="4000A44B" w:usb2="00000000" w:usb3="00000000" w:csb0="2000019F" w:csb1="00000000"/>
  </w:font>
  <w:font w:name="华文细黑">
    <w:altName w:val="微软雅黑"/>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方正小标宋简体">
    <w:altName w:val="Malgun Gothic Semilight"/>
    <w:panose1 w:val="00000000000000000000"/>
    <w:charset w:val="86"/>
    <w:family w:val="auto"/>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B9951">
    <w:pPr>
      <w:pStyle w:val="30"/>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1A85E">
    <w:pPr>
      <w:pStyle w:val="3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7D888">
    <w:pPr>
      <w:pStyle w:val="30"/>
      <w:framePr w:wrap="around" w:vAnchor="text" w:hAnchor="margin" w:xAlign="right" w:y="1"/>
      <w:rPr>
        <w:rStyle w:val="58"/>
      </w:rPr>
    </w:pPr>
    <w:r>
      <w:rPr>
        <w:rStyle w:val="58"/>
      </w:rPr>
      <w:fldChar w:fldCharType="begin"/>
    </w:r>
    <w:r>
      <w:rPr>
        <w:rStyle w:val="58"/>
      </w:rPr>
      <w:instrText xml:space="preserve">PAGE  </w:instrText>
    </w:r>
    <w:r>
      <w:rPr>
        <w:rStyle w:val="58"/>
      </w:rPr>
      <w:fldChar w:fldCharType="end"/>
    </w:r>
  </w:p>
  <w:p w14:paraId="638ABEDB">
    <w:pPr>
      <w:pStyle w:val="30"/>
      <w:ind w:right="360"/>
    </w:pPr>
  </w:p>
  <w:p w14:paraId="5CC8D583"/>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2ACD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0ACAB">
    <w:pPr>
      <w:pStyle w:val="30"/>
      <w:framePr w:wrap="around" w:vAnchor="text" w:hAnchor="margin" w:xAlign="center" w:y="1"/>
      <w:rPr>
        <w:rStyle w:val="58"/>
      </w:rPr>
    </w:pPr>
    <w:r>
      <w:fldChar w:fldCharType="begin"/>
    </w:r>
    <w:r>
      <w:rPr>
        <w:rStyle w:val="58"/>
      </w:rPr>
      <w:instrText xml:space="preserve">PAGE  </w:instrText>
    </w:r>
    <w:r>
      <w:fldChar w:fldCharType="end"/>
    </w:r>
  </w:p>
  <w:p w14:paraId="1A9CF464">
    <w:pPr>
      <w:pStyle w:val="3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EE9C5">
    <w:pPr>
      <w:pStyle w:val="3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9740931"/>
    </w:sdtPr>
    <w:sdtEndPr>
      <w:rPr>
        <w:rFonts w:ascii="Times New Roman"/>
      </w:rPr>
    </w:sdtEndPr>
    <w:sdtContent>
      <w:p w14:paraId="6DCE8A86">
        <w:pPr>
          <w:pStyle w:val="30"/>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3</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8440998"/>
    </w:sdtPr>
    <w:sdtContent>
      <w:p w14:paraId="08BB87E7">
        <w:pPr>
          <w:pStyle w:val="30"/>
          <w:jc w:val="center"/>
        </w:pPr>
        <w:r>
          <w:fldChar w:fldCharType="begin"/>
        </w:r>
        <w:r>
          <w:instrText xml:space="preserve">PAGE   \* MERGEFORMAT</w:instrText>
        </w:r>
        <w:r>
          <w:fldChar w:fldCharType="separate"/>
        </w:r>
        <w:r>
          <w:rPr>
            <w:lang w:val="zh-CN"/>
          </w:rPr>
          <w:t>1</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994D">
    <w:pPr>
      <w:spacing w:line="14" w:lineRule="auto"/>
      <w:rPr>
        <w:rFonts w:ascii="Arial"/>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7DD9E">
    <w:pPr>
      <w:pStyle w:val="30"/>
      <w:framePr w:wrap="around" w:vAnchor="text" w:hAnchor="margin" w:xAlign="right" w:y="1"/>
      <w:rPr>
        <w:rStyle w:val="58"/>
      </w:rPr>
    </w:pPr>
    <w:r>
      <w:rPr>
        <w:rStyle w:val="58"/>
      </w:rPr>
      <w:fldChar w:fldCharType="begin"/>
    </w:r>
    <w:r>
      <w:rPr>
        <w:rStyle w:val="58"/>
      </w:rPr>
      <w:instrText xml:space="preserve">PAGE  </w:instrText>
    </w:r>
    <w:r>
      <w:rPr>
        <w:rStyle w:val="58"/>
      </w:rPr>
      <w:fldChar w:fldCharType="end"/>
    </w:r>
  </w:p>
  <w:p w14:paraId="326DBCFB">
    <w:pPr>
      <w:pStyle w:val="30"/>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BA5AB">
    <w:pPr>
      <w:pStyle w:val="3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7F448">
    <w:pPr>
      <w:pStyle w:val="30"/>
      <w:framePr w:wrap="around" w:vAnchor="text" w:hAnchor="margin" w:xAlign="right" w:y="1"/>
      <w:rPr>
        <w:rStyle w:val="58"/>
      </w:rPr>
    </w:pPr>
    <w:r>
      <w:rPr>
        <w:rStyle w:val="58"/>
      </w:rPr>
      <w:fldChar w:fldCharType="begin"/>
    </w:r>
    <w:r>
      <w:rPr>
        <w:rStyle w:val="58"/>
      </w:rPr>
      <w:instrText xml:space="preserve">PAGE  </w:instrText>
    </w:r>
    <w:r>
      <w:rPr>
        <w:rStyle w:val="58"/>
      </w:rPr>
      <w:fldChar w:fldCharType="end"/>
    </w:r>
  </w:p>
  <w:p w14:paraId="2D034047">
    <w:pPr>
      <w:pStyle w:val="30"/>
      <w:ind w:right="360"/>
    </w:pPr>
  </w:p>
  <w:p w14:paraId="70C5C0A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66397">
    <w:pPr>
      <w:pStyle w:val="3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1F1ED">
    <w:pPr>
      <w:pStyle w:val="31"/>
    </w:pPr>
  </w:p>
  <w:p w14:paraId="111AEF96"/>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D8342">
    <w:pPr>
      <w:pStyle w:val="3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F05A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A45E7">
    <w:pPr>
      <w:pStyle w:val="31"/>
      <w:jc w:val="right"/>
    </w:pPr>
    <w:r>
      <w:rPr>
        <w:rFonts w:hint="eastAsia"/>
      </w:rPr>
      <w:t>北京市政府采购项目竞争性磋商文件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D6BC9">
    <w:pPr>
      <w:pStyle w:val="31"/>
      <w:pBdr>
        <w:bottom w:val="single" w:color="auto" w:sz="4" w:space="1"/>
      </w:pBdr>
      <w:jc w:val="right"/>
    </w:pPr>
    <w:r>
      <w:rPr>
        <w:rFonts w:hint="eastAsia"/>
      </w:rPr>
      <w:t>北京市政府采购项目竞争性磋商文件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AB13C">
    <w:pPr>
      <w:tabs>
        <w:tab w:val="left" w:pos="567"/>
      </w:tabs>
      <w:spacing w:before="64" w:line="172" w:lineRule="auto"/>
      <w:ind w:left="4"/>
      <w:rPr>
        <w:rFonts w:ascii="宋体" w:hAnsi="宋体"/>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33E90">
    <w:pPr>
      <w:pStyle w:val="31"/>
      <w:pBdr>
        <w:bottom w:val="none" w:color="auto" w:sz="0" w:space="1"/>
      </w:pBdr>
      <w:ind w:left="16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1F4B3">
    <w:pPr>
      <w:pStyle w:val="3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CC7DE">
    <w:pPr>
      <w:pStyle w:val="3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A0683">
    <w:pPr>
      <w:pStyle w:val="31"/>
    </w:pPr>
  </w:p>
  <w:p w14:paraId="68F87C2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596D9">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9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74"/>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44"/>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9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9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9"/>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28"/>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37"/>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50"/>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13"/>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31"/>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98"/>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202"/>
      <w:lvlText w:val="%1"/>
      <w:lvlJc w:val="left"/>
      <w:pPr>
        <w:ind w:left="680" w:hanging="680"/>
      </w:pPr>
      <w:rPr>
        <w:rFonts w:hint="eastAsia" w:ascii="宋体" w:hAnsi="宋体" w:eastAsia="宋体"/>
      </w:rPr>
    </w:lvl>
    <w:lvl w:ilvl="1" w:tentative="0">
      <w:start w:val="1"/>
      <w:numFmt w:val="decimal"/>
      <w:pStyle w:val="203"/>
      <w:lvlText w:val="%1.%2"/>
      <w:lvlJc w:val="left"/>
      <w:pPr>
        <w:ind w:left="851" w:hanging="851"/>
      </w:pPr>
      <w:rPr>
        <w:rFonts w:hint="eastAsia" w:ascii="宋体" w:hAnsi="宋体" w:eastAsia="宋体"/>
        <w:color w:val="auto"/>
      </w:rPr>
    </w:lvl>
    <w:lvl w:ilvl="2" w:tentative="0">
      <w:start w:val="1"/>
      <w:numFmt w:val="decimal"/>
      <w:pStyle w:val="204"/>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1D563041"/>
    <w:multiLevelType w:val="multilevel"/>
    <w:tmpl w:val="1D563041"/>
    <w:lvl w:ilvl="0" w:tentative="0">
      <w:start w:val="1"/>
      <w:numFmt w:val="decimal"/>
      <w:lvlText w:val="（%1）"/>
      <w:lvlJc w:val="left"/>
      <w:pPr>
        <w:ind w:left="1583" w:hanging="720"/>
      </w:pPr>
      <w:rPr>
        <w:rFonts w:hint="default"/>
      </w:rPr>
    </w:lvl>
    <w:lvl w:ilvl="1" w:tentative="0">
      <w:start w:val="1"/>
      <w:numFmt w:val="lowerLetter"/>
      <w:lvlText w:val="%2)"/>
      <w:lvlJc w:val="left"/>
      <w:pPr>
        <w:ind w:left="1703" w:hanging="420"/>
      </w:pPr>
    </w:lvl>
    <w:lvl w:ilvl="2" w:tentative="0">
      <w:start w:val="1"/>
      <w:numFmt w:val="lowerRoman"/>
      <w:lvlText w:val="%3."/>
      <w:lvlJc w:val="right"/>
      <w:pPr>
        <w:ind w:left="2123" w:hanging="420"/>
      </w:pPr>
    </w:lvl>
    <w:lvl w:ilvl="3" w:tentative="0">
      <w:start w:val="1"/>
      <w:numFmt w:val="decimal"/>
      <w:lvlText w:val="%4."/>
      <w:lvlJc w:val="left"/>
      <w:pPr>
        <w:ind w:left="2543" w:hanging="420"/>
      </w:pPr>
    </w:lvl>
    <w:lvl w:ilvl="4" w:tentative="0">
      <w:start w:val="1"/>
      <w:numFmt w:val="lowerLetter"/>
      <w:lvlText w:val="%5)"/>
      <w:lvlJc w:val="left"/>
      <w:pPr>
        <w:ind w:left="2963" w:hanging="420"/>
      </w:pPr>
    </w:lvl>
    <w:lvl w:ilvl="5" w:tentative="0">
      <w:start w:val="1"/>
      <w:numFmt w:val="lowerRoman"/>
      <w:lvlText w:val="%6."/>
      <w:lvlJc w:val="right"/>
      <w:pPr>
        <w:ind w:left="3383" w:hanging="420"/>
      </w:pPr>
    </w:lvl>
    <w:lvl w:ilvl="6" w:tentative="0">
      <w:start w:val="1"/>
      <w:numFmt w:val="decimal"/>
      <w:lvlText w:val="%7."/>
      <w:lvlJc w:val="left"/>
      <w:pPr>
        <w:ind w:left="3803" w:hanging="420"/>
      </w:pPr>
    </w:lvl>
    <w:lvl w:ilvl="7" w:tentative="0">
      <w:start w:val="1"/>
      <w:numFmt w:val="lowerLetter"/>
      <w:lvlText w:val="%8)"/>
      <w:lvlJc w:val="left"/>
      <w:pPr>
        <w:ind w:left="4223" w:hanging="420"/>
      </w:pPr>
    </w:lvl>
    <w:lvl w:ilvl="8" w:tentative="0">
      <w:start w:val="1"/>
      <w:numFmt w:val="lowerRoman"/>
      <w:lvlText w:val="%9."/>
      <w:lvlJc w:val="right"/>
      <w:pPr>
        <w:ind w:left="4643" w:hanging="420"/>
      </w:pPr>
    </w:lvl>
  </w:abstractNum>
  <w:abstractNum w:abstractNumId="12">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3">
    <w:nsid w:val="36DC43A7"/>
    <w:multiLevelType w:val="multilevel"/>
    <w:tmpl w:val="36DC43A7"/>
    <w:lvl w:ilvl="0" w:tentative="0">
      <w:start w:val="1"/>
      <w:numFmt w:val="decimal"/>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4552"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4">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5">
    <w:nsid w:val="7D6E178C"/>
    <w:multiLevelType w:val="singleLevel"/>
    <w:tmpl w:val="7D6E178C"/>
    <w:lvl w:ilvl="0" w:tentative="0">
      <w:start w:val="1"/>
      <w:numFmt w:val="chineseCounting"/>
      <w:suff w:val="nothing"/>
      <w:lvlText w:val="%1、"/>
      <w:lvlJc w:val="left"/>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8"/>
  </w:num>
  <w:num w:numId="8">
    <w:abstractNumId w:val="6"/>
  </w:num>
  <w:num w:numId="9">
    <w:abstractNumId w:val="10"/>
  </w:num>
  <w:num w:numId="10">
    <w:abstractNumId w:val="0"/>
  </w:num>
  <w:num w:numId="11">
    <w:abstractNumId w:val="9"/>
  </w:num>
  <w:num w:numId="12">
    <w:abstractNumId w:val="13"/>
  </w:num>
  <w:num w:numId="13">
    <w:abstractNumId w:val="15"/>
  </w:num>
  <w:num w:numId="14">
    <w:abstractNumId w:val="12"/>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03"/>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973"/>
    <w:rsid w:val="00015C1D"/>
    <w:rsid w:val="00015D20"/>
    <w:rsid w:val="00015D38"/>
    <w:rsid w:val="0001606B"/>
    <w:rsid w:val="000160FB"/>
    <w:rsid w:val="000163AA"/>
    <w:rsid w:val="00016607"/>
    <w:rsid w:val="00016644"/>
    <w:rsid w:val="000168D9"/>
    <w:rsid w:val="000169A7"/>
    <w:rsid w:val="00016E72"/>
    <w:rsid w:val="000173B8"/>
    <w:rsid w:val="0001740C"/>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9D9"/>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1C5"/>
    <w:rsid w:val="00026353"/>
    <w:rsid w:val="000265E5"/>
    <w:rsid w:val="00026693"/>
    <w:rsid w:val="000267C8"/>
    <w:rsid w:val="00026845"/>
    <w:rsid w:val="00026AAC"/>
    <w:rsid w:val="00026D3D"/>
    <w:rsid w:val="00026F4A"/>
    <w:rsid w:val="00026FD1"/>
    <w:rsid w:val="000272EC"/>
    <w:rsid w:val="00027416"/>
    <w:rsid w:val="000274ED"/>
    <w:rsid w:val="0002751F"/>
    <w:rsid w:val="00027819"/>
    <w:rsid w:val="000279DE"/>
    <w:rsid w:val="00027F39"/>
    <w:rsid w:val="0003010B"/>
    <w:rsid w:val="000301C2"/>
    <w:rsid w:val="00030373"/>
    <w:rsid w:val="000304E9"/>
    <w:rsid w:val="00030640"/>
    <w:rsid w:val="0003072E"/>
    <w:rsid w:val="000307A8"/>
    <w:rsid w:val="00030887"/>
    <w:rsid w:val="00030993"/>
    <w:rsid w:val="00030D81"/>
    <w:rsid w:val="00030EDC"/>
    <w:rsid w:val="00031069"/>
    <w:rsid w:val="00031170"/>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5FA"/>
    <w:rsid w:val="00034786"/>
    <w:rsid w:val="00034820"/>
    <w:rsid w:val="0003491D"/>
    <w:rsid w:val="00034C3F"/>
    <w:rsid w:val="00034F4A"/>
    <w:rsid w:val="000352D3"/>
    <w:rsid w:val="0003536A"/>
    <w:rsid w:val="000357FF"/>
    <w:rsid w:val="00035B0F"/>
    <w:rsid w:val="00035C34"/>
    <w:rsid w:val="00035DDC"/>
    <w:rsid w:val="00035FEF"/>
    <w:rsid w:val="00036158"/>
    <w:rsid w:val="00036226"/>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2"/>
    <w:rsid w:val="000370CE"/>
    <w:rsid w:val="000371CF"/>
    <w:rsid w:val="00037376"/>
    <w:rsid w:val="000375F9"/>
    <w:rsid w:val="00037AF2"/>
    <w:rsid w:val="00037EE3"/>
    <w:rsid w:val="00040091"/>
    <w:rsid w:val="000403CA"/>
    <w:rsid w:val="0004042F"/>
    <w:rsid w:val="0004060C"/>
    <w:rsid w:val="0004073A"/>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3DD"/>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AF1"/>
    <w:rsid w:val="00063C49"/>
    <w:rsid w:val="000640A5"/>
    <w:rsid w:val="000642E6"/>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6D6"/>
    <w:rsid w:val="00074764"/>
    <w:rsid w:val="00074780"/>
    <w:rsid w:val="00074786"/>
    <w:rsid w:val="00074C28"/>
    <w:rsid w:val="00074D7A"/>
    <w:rsid w:val="00074E0A"/>
    <w:rsid w:val="00074FC7"/>
    <w:rsid w:val="000752FF"/>
    <w:rsid w:val="000756AC"/>
    <w:rsid w:val="00075879"/>
    <w:rsid w:val="00075941"/>
    <w:rsid w:val="00075AFF"/>
    <w:rsid w:val="00075BC6"/>
    <w:rsid w:val="00075BD0"/>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8D9"/>
    <w:rsid w:val="00081948"/>
    <w:rsid w:val="00081E8C"/>
    <w:rsid w:val="00082322"/>
    <w:rsid w:val="0008234E"/>
    <w:rsid w:val="00082377"/>
    <w:rsid w:val="0008271B"/>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87F87"/>
    <w:rsid w:val="000902F4"/>
    <w:rsid w:val="000903AA"/>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89F"/>
    <w:rsid w:val="00093B6D"/>
    <w:rsid w:val="00093DF7"/>
    <w:rsid w:val="00093EE8"/>
    <w:rsid w:val="00093F6E"/>
    <w:rsid w:val="0009426B"/>
    <w:rsid w:val="0009438B"/>
    <w:rsid w:val="000944DB"/>
    <w:rsid w:val="000945AA"/>
    <w:rsid w:val="00094A82"/>
    <w:rsid w:val="00094A8A"/>
    <w:rsid w:val="00094BE8"/>
    <w:rsid w:val="00094C51"/>
    <w:rsid w:val="00094C99"/>
    <w:rsid w:val="00094CC8"/>
    <w:rsid w:val="00094CE8"/>
    <w:rsid w:val="000950F5"/>
    <w:rsid w:val="000951E8"/>
    <w:rsid w:val="00095312"/>
    <w:rsid w:val="00095435"/>
    <w:rsid w:val="0009559F"/>
    <w:rsid w:val="000956AB"/>
    <w:rsid w:val="00095B18"/>
    <w:rsid w:val="00095B23"/>
    <w:rsid w:val="00095BE5"/>
    <w:rsid w:val="00095D63"/>
    <w:rsid w:val="00096012"/>
    <w:rsid w:val="00096244"/>
    <w:rsid w:val="00096251"/>
    <w:rsid w:val="0009648C"/>
    <w:rsid w:val="0009672F"/>
    <w:rsid w:val="000967EC"/>
    <w:rsid w:val="00096822"/>
    <w:rsid w:val="00096835"/>
    <w:rsid w:val="00096BFF"/>
    <w:rsid w:val="00096C99"/>
    <w:rsid w:val="00096CA2"/>
    <w:rsid w:val="00096CBB"/>
    <w:rsid w:val="00096CE7"/>
    <w:rsid w:val="00096F57"/>
    <w:rsid w:val="000972A5"/>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35"/>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CCB"/>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B91"/>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CCC"/>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53A"/>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70"/>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79"/>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901"/>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DDA"/>
    <w:rsid w:val="000E7EFD"/>
    <w:rsid w:val="000F0028"/>
    <w:rsid w:val="000F01E6"/>
    <w:rsid w:val="000F0397"/>
    <w:rsid w:val="000F0873"/>
    <w:rsid w:val="000F0979"/>
    <w:rsid w:val="000F0B3B"/>
    <w:rsid w:val="000F0C34"/>
    <w:rsid w:val="000F0C76"/>
    <w:rsid w:val="000F0D7A"/>
    <w:rsid w:val="000F0E42"/>
    <w:rsid w:val="000F147E"/>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C6C"/>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9EE"/>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1C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55"/>
    <w:rsid w:val="001051DA"/>
    <w:rsid w:val="0010534D"/>
    <w:rsid w:val="00105422"/>
    <w:rsid w:val="00105502"/>
    <w:rsid w:val="00106284"/>
    <w:rsid w:val="0010635B"/>
    <w:rsid w:val="00106636"/>
    <w:rsid w:val="00106A5A"/>
    <w:rsid w:val="00106D64"/>
    <w:rsid w:val="00106E02"/>
    <w:rsid w:val="00106F3C"/>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8F"/>
    <w:rsid w:val="001310F1"/>
    <w:rsid w:val="00131197"/>
    <w:rsid w:val="001314B9"/>
    <w:rsid w:val="001316FA"/>
    <w:rsid w:val="0013186F"/>
    <w:rsid w:val="001319A0"/>
    <w:rsid w:val="00131D11"/>
    <w:rsid w:val="00131FFF"/>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DF8"/>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BC"/>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C2F"/>
    <w:rsid w:val="00142EA5"/>
    <w:rsid w:val="00142F2B"/>
    <w:rsid w:val="00143045"/>
    <w:rsid w:val="0014316B"/>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CAA"/>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BE7"/>
    <w:rsid w:val="00152FE4"/>
    <w:rsid w:val="0015310F"/>
    <w:rsid w:val="001532A4"/>
    <w:rsid w:val="00153671"/>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729"/>
    <w:rsid w:val="00155982"/>
    <w:rsid w:val="001559A8"/>
    <w:rsid w:val="001560E5"/>
    <w:rsid w:val="001564FC"/>
    <w:rsid w:val="00156D28"/>
    <w:rsid w:val="00156D64"/>
    <w:rsid w:val="00156EF9"/>
    <w:rsid w:val="001570D9"/>
    <w:rsid w:val="00157375"/>
    <w:rsid w:val="00157500"/>
    <w:rsid w:val="00157721"/>
    <w:rsid w:val="00157952"/>
    <w:rsid w:val="00157A47"/>
    <w:rsid w:val="00157C91"/>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30A"/>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563"/>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4EAD"/>
    <w:rsid w:val="00175843"/>
    <w:rsid w:val="001759C5"/>
    <w:rsid w:val="00175AFE"/>
    <w:rsid w:val="00175BBF"/>
    <w:rsid w:val="00176149"/>
    <w:rsid w:val="0017622F"/>
    <w:rsid w:val="0017623A"/>
    <w:rsid w:val="00176250"/>
    <w:rsid w:val="00176399"/>
    <w:rsid w:val="001766F5"/>
    <w:rsid w:val="00176768"/>
    <w:rsid w:val="00176794"/>
    <w:rsid w:val="001767CB"/>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50"/>
    <w:rsid w:val="00186BD5"/>
    <w:rsid w:val="00186C6E"/>
    <w:rsid w:val="00186CE3"/>
    <w:rsid w:val="00187162"/>
    <w:rsid w:val="0018723C"/>
    <w:rsid w:val="001872B3"/>
    <w:rsid w:val="00187350"/>
    <w:rsid w:val="001874D5"/>
    <w:rsid w:val="00187BD3"/>
    <w:rsid w:val="00187D09"/>
    <w:rsid w:val="00187D47"/>
    <w:rsid w:val="00187D8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06"/>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6B0"/>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39E"/>
    <w:rsid w:val="001C0850"/>
    <w:rsid w:val="001C0AB3"/>
    <w:rsid w:val="001C0D48"/>
    <w:rsid w:val="001C1461"/>
    <w:rsid w:val="001C167B"/>
    <w:rsid w:val="001C172A"/>
    <w:rsid w:val="001C1A12"/>
    <w:rsid w:val="001C1A17"/>
    <w:rsid w:val="001C1AE9"/>
    <w:rsid w:val="001C1B8B"/>
    <w:rsid w:val="001C1E53"/>
    <w:rsid w:val="001C2123"/>
    <w:rsid w:val="001C2145"/>
    <w:rsid w:val="001C24D9"/>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A3"/>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D1"/>
    <w:rsid w:val="001C5BED"/>
    <w:rsid w:val="001C5D25"/>
    <w:rsid w:val="001C6251"/>
    <w:rsid w:val="001C6412"/>
    <w:rsid w:val="001C660A"/>
    <w:rsid w:val="001C6732"/>
    <w:rsid w:val="001C6AAB"/>
    <w:rsid w:val="001C6AE0"/>
    <w:rsid w:val="001C6B50"/>
    <w:rsid w:val="001C6C55"/>
    <w:rsid w:val="001C70EB"/>
    <w:rsid w:val="001C7330"/>
    <w:rsid w:val="001C7368"/>
    <w:rsid w:val="001C74D4"/>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0C4"/>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378"/>
    <w:rsid w:val="001E141A"/>
    <w:rsid w:val="001E184D"/>
    <w:rsid w:val="001E19E2"/>
    <w:rsid w:val="001E1D1A"/>
    <w:rsid w:val="001E1D45"/>
    <w:rsid w:val="001E1E94"/>
    <w:rsid w:val="001E226B"/>
    <w:rsid w:val="001E226D"/>
    <w:rsid w:val="001E2280"/>
    <w:rsid w:val="001E2310"/>
    <w:rsid w:val="001E27F3"/>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C69"/>
    <w:rsid w:val="001E3D80"/>
    <w:rsid w:val="001E3D86"/>
    <w:rsid w:val="001E3DFC"/>
    <w:rsid w:val="001E4118"/>
    <w:rsid w:val="001E437E"/>
    <w:rsid w:val="001E447D"/>
    <w:rsid w:val="001E4ED1"/>
    <w:rsid w:val="001E5167"/>
    <w:rsid w:val="001E5295"/>
    <w:rsid w:val="001E54DC"/>
    <w:rsid w:val="001E5B08"/>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34"/>
    <w:rsid w:val="001E78E7"/>
    <w:rsid w:val="001E7962"/>
    <w:rsid w:val="001E798A"/>
    <w:rsid w:val="001E7ABB"/>
    <w:rsid w:val="001E7ACA"/>
    <w:rsid w:val="001E7CB2"/>
    <w:rsid w:val="001E7CBF"/>
    <w:rsid w:val="001E7CFD"/>
    <w:rsid w:val="001F00CF"/>
    <w:rsid w:val="001F0106"/>
    <w:rsid w:val="001F02AC"/>
    <w:rsid w:val="001F03BC"/>
    <w:rsid w:val="001F0615"/>
    <w:rsid w:val="001F07D6"/>
    <w:rsid w:val="001F07F7"/>
    <w:rsid w:val="001F08D7"/>
    <w:rsid w:val="001F0958"/>
    <w:rsid w:val="001F0C50"/>
    <w:rsid w:val="001F0D10"/>
    <w:rsid w:val="001F126A"/>
    <w:rsid w:val="001F137C"/>
    <w:rsid w:val="001F1715"/>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A70"/>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C7"/>
    <w:rsid w:val="001F7C02"/>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CD4"/>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0A1"/>
    <w:rsid w:val="00214137"/>
    <w:rsid w:val="002141E2"/>
    <w:rsid w:val="00214368"/>
    <w:rsid w:val="00214B2B"/>
    <w:rsid w:val="00214D0B"/>
    <w:rsid w:val="00214F86"/>
    <w:rsid w:val="00214FA6"/>
    <w:rsid w:val="0021509C"/>
    <w:rsid w:val="002152AD"/>
    <w:rsid w:val="00215476"/>
    <w:rsid w:val="0021554A"/>
    <w:rsid w:val="00215EF8"/>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AD8"/>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452"/>
    <w:rsid w:val="0022472F"/>
    <w:rsid w:val="002247A9"/>
    <w:rsid w:val="002248DA"/>
    <w:rsid w:val="0022490C"/>
    <w:rsid w:val="00224943"/>
    <w:rsid w:val="002249DA"/>
    <w:rsid w:val="00224B15"/>
    <w:rsid w:val="00224B7D"/>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31D"/>
    <w:rsid w:val="0022656B"/>
    <w:rsid w:val="00226831"/>
    <w:rsid w:val="00226BA4"/>
    <w:rsid w:val="00226F38"/>
    <w:rsid w:val="00226FD1"/>
    <w:rsid w:val="0022737E"/>
    <w:rsid w:val="002273F1"/>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1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4CA"/>
    <w:rsid w:val="00245564"/>
    <w:rsid w:val="002455C7"/>
    <w:rsid w:val="002457B8"/>
    <w:rsid w:val="00245972"/>
    <w:rsid w:val="002460FE"/>
    <w:rsid w:val="00246133"/>
    <w:rsid w:val="0024623F"/>
    <w:rsid w:val="0024660A"/>
    <w:rsid w:val="00246812"/>
    <w:rsid w:val="002469F5"/>
    <w:rsid w:val="00246BC6"/>
    <w:rsid w:val="00246C6D"/>
    <w:rsid w:val="00246D51"/>
    <w:rsid w:val="00246DFE"/>
    <w:rsid w:val="00246E3E"/>
    <w:rsid w:val="00246FBC"/>
    <w:rsid w:val="0024701C"/>
    <w:rsid w:val="0024706D"/>
    <w:rsid w:val="00247A52"/>
    <w:rsid w:val="00247C47"/>
    <w:rsid w:val="00247CBF"/>
    <w:rsid w:val="00247ED7"/>
    <w:rsid w:val="00250042"/>
    <w:rsid w:val="00250065"/>
    <w:rsid w:val="00250104"/>
    <w:rsid w:val="00250124"/>
    <w:rsid w:val="00250150"/>
    <w:rsid w:val="00250224"/>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C84"/>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BFA"/>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8A"/>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6BC"/>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13"/>
    <w:rsid w:val="00283E2E"/>
    <w:rsid w:val="00283ED2"/>
    <w:rsid w:val="00283FC0"/>
    <w:rsid w:val="002846A1"/>
    <w:rsid w:val="00284859"/>
    <w:rsid w:val="00284905"/>
    <w:rsid w:val="00284C10"/>
    <w:rsid w:val="00284D86"/>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62E"/>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3D"/>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4E3"/>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2C"/>
    <w:rsid w:val="002A6032"/>
    <w:rsid w:val="002A6068"/>
    <w:rsid w:val="002A60AE"/>
    <w:rsid w:val="002A6366"/>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A0C"/>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67B"/>
    <w:rsid w:val="002C191E"/>
    <w:rsid w:val="002C234D"/>
    <w:rsid w:val="002C26A1"/>
    <w:rsid w:val="002C28A2"/>
    <w:rsid w:val="002C29BA"/>
    <w:rsid w:val="002C2E58"/>
    <w:rsid w:val="002C2F33"/>
    <w:rsid w:val="002C30C3"/>
    <w:rsid w:val="002C3113"/>
    <w:rsid w:val="002C3127"/>
    <w:rsid w:val="002C330C"/>
    <w:rsid w:val="002C34FA"/>
    <w:rsid w:val="002C354D"/>
    <w:rsid w:val="002C36A2"/>
    <w:rsid w:val="002C38AA"/>
    <w:rsid w:val="002C3A0B"/>
    <w:rsid w:val="002C3B26"/>
    <w:rsid w:val="002C3CFE"/>
    <w:rsid w:val="002C407B"/>
    <w:rsid w:val="002C4310"/>
    <w:rsid w:val="002C43B0"/>
    <w:rsid w:val="002C4B7F"/>
    <w:rsid w:val="002C4ECA"/>
    <w:rsid w:val="002C4F7D"/>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D80"/>
    <w:rsid w:val="002C5F25"/>
    <w:rsid w:val="002C5F4A"/>
    <w:rsid w:val="002C62F5"/>
    <w:rsid w:val="002C6396"/>
    <w:rsid w:val="002C6639"/>
    <w:rsid w:val="002C6A70"/>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00C"/>
    <w:rsid w:val="002D556A"/>
    <w:rsid w:val="002D5656"/>
    <w:rsid w:val="002D5B33"/>
    <w:rsid w:val="002D5B5C"/>
    <w:rsid w:val="002D5E24"/>
    <w:rsid w:val="002D6234"/>
    <w:rsid w:val="002D6392"/>
    <w:rsid w:val="002D6402"/>
    <w:rsid w:val="002D6554"/>
    <w:rsid w:val="002D66E1"/>
    <w:rsid w:val="002D67DB"/>
    <w:rsid w:val="002D6A80"/>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6A2"/>
    <w:rsid w:val="002E1797"/>
    <w:rsid w:val="002E1A4D"/>
    <w:rsid w:val="002E1AC7"/>
    <w:rsid w:val="002E1AE9"/>
    <w:rsid w:val="002E1BAB"/>
    <w:rsid w:val="002E1BEB"/>
    <w:rsid w:val="002E1F4A"/>
    <w:rsid w:val="002E229A"/>
    <w:rsid w:val="002E2303"/>
    <w:rsid w:val="002E2587"/>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9F8"/>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01F"/>
    <w:rsid w:val="002F53B9"/>
    <w:rsid w:val="002F5704"/>
    <w:rsid w:val="002F571E"/>
    <w:rsid w:val="002F5B36"/>
    <w:rsid w:val="002F5C02"/>
    <w:rsid w:val="002F5CD4"/>
    <w:rsid w:val="002F5E41"/>
    <w:rsid w:val="002F5E52"/>
    <w:rsid w:val="002F5F34"/>
    <w:rsid w:val="002F5FDE"/>
    <w:rsid w:val="002F608B"/>
    <w:rsid w:val="002F621F"/>
    <w:rsid w:val="002F633C"/>
    <w:rsid w:val="002F636A"/>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6E1"/>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7A"/>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29A"/>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3F7A"/>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7E3"/>
    <w:rsid w:val="00320028"/>
    <w:rsid w:val="00320187"/>
    <w:rsid w:val="00320305"/>
    <w:rsid w:val="003203EF"/>
    <w:rsid w:val="003204B2"/>
    <w:rsid w:val="00320658"/>
    <w:rsid w:val="003207F3"/>
    <w:rsid w:val="0032088E"/>
    <w:rsid w:val="00320E72"/>
    <w:rsid w:val="00320E87"/>
    <w:rsid w:val="003213AC"/>
    <w:rsid w:val="0032187C"/>
    <w:rsid w:val="00321898"/>
    <w:rsid w:val="003219FA"/>
    <w:rsid w:val="00321F04"/>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9AF"/>
    <w:rsid w:val="00323AA8"/>
    <w:rsid w:val="00323D5D"/>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42A"/>
    <w:rsid w:val="003275CB"/>
    <w:rsid w:val="003278B6"/>
    <w:rsid w:val="00327C96"/>
    <w:rsid w:val="00327F45"/>
    <w:rsid w:val="00327FE1"/>
    <w:rsid w:val="0033004E"/>
    <w:rsid w:val="0033016A"/>
    <w:rsid w:val="003301B9"/>
    <w:rsid w:val="003301C3"/>
    <w:rsid w:val="00330B18"/>
    <w:rsid w:val="00330D71"/>
    <w:rsid w:val="003315DC"/>
    <w:rsid w:val="00331758"/>
    <w:rsid w:val="00331921"/>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39"/>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7EB"/>
    <w:rsid w:val="003428E8"/>
    <w:rsid w:val="00342B67"/>
    <w:rsid w:val="00342C1D"/>
    <w:rsid w:val="00342EC3"/>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89D"/>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BCF"/>
    <w:rsid w:val="00351F38"/>
    <w:rsid w:val="003520C4"/>
    <w:rsid w:val="00352375"/>
    <w:rsid w:val="003523C1"/>
    <w:rsid w:val="003527E0"/>
    <w:rsid w:val="003527F0"/>
    <w:rsid w:val="0035280A"/>
    <w:rsid w:val="003528AC"/>
    <w:rsid w:val="00352999"/>
    <w:rsid w:val="003529AB"/>
    <w:rsid w:val="003529B8"/>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5CC3"/>
    <w:rsid w:val="003561DF"/>
    <w:rsid w:val="0035651B"/>
    <w:rsid w:val="00356734"/>
    <w:rsid w:val="00356765"/>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A4E"/>
    <w:rsid w:val="00365B24"/>
    <w:rsid w:val="00365B55"/>
    <w:rsid w:val="00365B63"/>
    <w:rsid w:val="00365C15"/>
    <w:rsid w:val="00366029"/>
    <w:rsid w:val="0036658D"/>
    <w:rsid w:val="00366613"/>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4FDE"/>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265"/>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283"/>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90D"/>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86A"/>
    <w:rsid w:val="00396ADA"/>
    <w:rsid w:val="00396EB5"/>
    <w:rsid w:val="003970A7"/>
    <w:rsid w:val="0039735D"/>
    <w:rsid w:val="00397502"/>
    <w:rsid w:val="00397515"/>
    <w:rsid w:val="00397608"/>
    <w:rsid w:val="00397999"/>
    <w:rsid w:val="00397BFE"/>
    <w:rsid w:val="003A0019"/>
    <w:rsid w:val="003A00FB"/>
    <w:rsid w:val="003A03C1"/>
    <w:rsid w:val="003A0486"/>
    <w:rsid w:val="003A0557"/>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2C0E"/>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602"/>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50A"/>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BA"/>
    <w:rsid w:val="003B60FB"/>
    <w:rsid w:val="003B67B1"/>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1D01"/>
    <w:rsid w:val="003C23D6"/>
    <w:rsid w:val="003C23E4"/>
    <w:rsid w:val="003C2415"/>
    <w:rsid w:val="003C248A"/>
    <w:rsid w:val="003C264D"/>
    <w:rsid w:val="003C2A7B"/>
    <w:rsid w:val="003C2B3C"/>
    <w:rsid w:val="003C3149"/>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A50"/>
    <w:rsid w:val="003C5C29"/>
    <w:rsid w:val="003C5E34"/>
    <w:rsid w:val="003C5FC9"/>
    <w:rsid w:val="003C6594"/>
    <w:rsid w:val="003C66FA"/>
    <w:rsid w:val="003C67CC"/>
    <w:rsid w:val="003C6A20"/>
    <w:rsid w:val="003C6A89"/>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57A"/>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612"/>
    <w:rsid w:val="003D575F"/>
    <w:rsid w:val="003D5875"/>
    <w:rsid w:val="003D58D6"/>
    <w:rsid w:val="003D59FB"/>
    <w:rsid w:val="003D5AE6"/>
    <w:rsid w:val="003D5DEC"/>
    <w:rsid w:val="003D5FE3"/>
    <w:rsid w:val="003D63C0"/>
    <w:rsid w:val="003D6498"/>
    <w:rsid w:val="003D6899"/>
    <w:rsid w:val="003D6B8C"/>
    <w:rsid w:val="003D6C7D"/>
    <w:rsid w:val="003D6CA4"/>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1DE"/>
    <w:rsid w:val="003E723A"/>
    <w:rsid w:val="003E7263"/>
    <w:rsid w:val="003E738E"/>
    <w:rsid w:val="003E744C"/>
    <w:rsid w:val="003E7552"/>
    <w:rsid w:val="003E778B"/>
    <w:rsid w:val="003E77E1"/>
    <w:rsid w:val="003E792A"/>
    <w:rsid w:val="003E7BD4"/>
    <w:rsid w:val="003E7DFC"/>
    <w:rsid w:val="003E7FAF"/>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700"/>
    <w:rsid w:val="003F6817"/>
    <w:rsid w:val="003F6A80"/>
    <w:rsid w:val="003F6D84"/>
    <w:rsid w:val="003F6E46"/>
    <w:rsid w:val="003F6E64"/>
    <w:rsid w:val="003F6E8E"/>
    <w:rsid w:val="003F6EC1"/>
    <w:rsid w:val="003F73F7"/>
    <w:rsid w:val="003F7435"/>
    <w:rsid w:val="003F7450"/>
    <w:rsid w:val="003F7536"/>
    <w:rsid w:val="003F78D1"/>
    <w:rsid w:val="003F7AB6"/>
    <w:rsid w:val="003F7AC0"/>
    <w:rsid w:val="003F7D52"/>
    <w:rsid w:val="003F7EAC"/>
    <w:rsid w:val="003F7F50"/>
    <w:rsid w:val="00400054"/>
    <w:rsid w:val="0040014D"/>
    <w:rsid w:val="0040015A"/>
    <w:rsid w:val="004001A6"/>
    <w:rsid w:val="0040035C"/>
    <w:rsid w:val="004003FA"/>
    <w:rsid w:val="004004FE"/>
    <w:rsid w:val="004005F9"/>
    <w:rsid w:val="0040061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B35"/>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420"/>
    <w:rsid w:val="00410544"/>
    <w:rsid w:val="0041090A"/>
    <w:rsid w:val="00410B05"/>
    <w:rsid w:val="00410C20"/>
    <w:rsid w:val="00410E28"/>
    <w:rsid w:val="004111AB"/>
    <w:rsid w:val="004112C2"/>
    <w:rsid w:val="004112CA"/>
    <w:rsid w:val="0041152A"/>
    <w:rsid w:val="004117C1"/>
    <w:rsid w:val="004117CB"/>
    <w:rsid w:val="00411897"/>
    <w:rsid w:val="004118CE"/>
    <w:rsid w:val="004119DC"/>
    <w:rsid w:val="004119FE"/>
    <w:rsid w:val="00411C38"/>
    <w:rsid w:val="00411E61"/>
    <w:rsid w:val="00411EE0"/>
    <w:rsid w:val="00411F0E"/>
    <w:rsid w:val="004120D5"/>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BB9"/>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63A"/>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4F1B"/>
    <w:rsid w:val="004250B7"/>
    <w:rsid w:val="0042512C"/>
    <w:rsid w:val="00425318"/>
    <w:rsid w:val="0042563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6FC3"/>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4AB"/>
    <w:rsid w:val="004335E9"/>
    <w:rsid w:val="00433602"/>
    <w:rsid w:val="004336C1"/>
    <w:rsid w:val="004336DF"/>
    <w:rsid w:val="00433978"/>
    <w:rsid w:val="00433B4F"/>
    <w:rsid w:val="00433CDD"/>
    <w:rsid w:val="00433CFA"/>
    <w:rsid w:val="00433E0B"/>
    <w:rsid w:val="0043405B"/>
    <w:rsid w:val="004340E0"/>
    <w:rsid w:val="004344B7"/>
    <w:rsid w:val="00434517"/>
    <w:rsid w:val="0043462A"/>
    <w:rsid w:val="00434840"/>
    <w:rsid w:val="004348A3"/>
    <w:rsid w:val="0043498E"/>
    <w:rsid w:val="004349BF"/>
    <w:rsid w:val="00434D74"/>
    <w:rsid w:val="00434F95"/>
    <w:rsid w:val="0043505E"/>
    <w:rsid w:val="00435337"/>
    <w:rsid w:val="004353C7"/>
    <w:rsid w:val="00435519"/>
    <w:rsid w:val="00435536"/>
    <w:rsid w:val="00435549"/>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46"/>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2B4"/>
    <w:rsid w:val="00445422"/>
    <w:rsid w:val="00445560"/>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A75"/>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3EE"/>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29"/>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51F"/>
    <w:rsid w:val="00476816"/>
    <w:rsid w:val="00476822"/>
    <w:rsid w:val="004768A1"/>
    <w:rsid w:val="004769D3"/>
    <w:rsid w:val="004769D5"/>
    <w:rsid w:val="00477802"/>
    <w:rsid w:val="00477938"/>
    <w:rsid w:val="00477B54"/>
    <w:rsid w:val="00477B57"/>
    <w:rsid w:val="00477B91"/>
    <w:rsid w:val="00480096"/>
    <w:rsid w:val="004802F4"/>
    <w:rsid w:val="004807A8"/>
    <w:rsid w:val="0048093B"/>
    <w:rsid w:val="004809A3"/>
    <w:rsid w:val="00480D37"/>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5F5F"/>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03"/>
    <w:rsid w:val="00491443"/>
    <w:rsid w:val="004915BF"/>
    <w:rsid w:val="00491711"/>
    <w:rsid w:val="00491735"/>
    <w:rsid w:val="004919B7"/>
    <w:rsid w:val="00491A90"/>
    <w:rsid w:val="00491AB9"/>
    <w:rsid w:val="00491BAB"/>
    <w:rsid w:val="00491BD0"/>
    <w:rsid w:val="00491CCC"/>
    <w:rsid w:val="00491D30"/>
    <w:rsid w:val="00491F97"/>
    <w:rsid w:val="00491FAE"/>
    <w:rsid w:val="00491FB7"/>
    <w:rsid w:val="00492055"/>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0F4"/>
    <w:rsid w:val="00495188"/>
    <w:rsid w:val="0049534C"/>
    <w:rsid w:val="00495397"/>
    <w:rsid w:val="004958F4"/>
    <w:rsid w:val="00495930"/>
    <w:rsid w:val="00495A40"/>
    <w:rsid w:val="00495A52"/>
    <w:rsid w:val="00495AA9"/>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32D"/>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66"/>
    <w:rsid w:val="004A48BB"/>
    <w:rsid w:val="004A4CB1"/>
    <w:rsid w:val="004A4F52"/>
    <w:rsid w:val="004A4F88"/>
    <w:rsid w:val="004A4FB8"/>
    <w:rsid w:val="004A5161"/>
    <w:rsid w:val="004A525E"/>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4C4"/>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08CC"/>
    <w:rsid w:val="004C0C60"/>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19B"/>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9B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13C"/>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192"/>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896"/>
    <w:rsid w:val="004D49B1"/>
    <w:rsid w:val="004D4C89"/>
    <w:rsid w:val="004D4EFA"/>
    <w:rsid w:val="004D4F45"/>
    <w:rsid w:val="004D5082"/>
    <w:rsid w:val="004D526C"/>
    <w:rsid w:val="004D52F3"/>
    <w:rsid w:val="004D543A"/>
    <w:rsid w:val="004D5539"/>
    <w:rsid w:val="004D5590"/>
    <w:rsid w:val="004D55D0"/>
    <w:rsid w:val="004D5633"/>
    <w:rsid w:val="004D57ED"/>
    <w:rsid w:val="004D598D"/>
    <w:rsid w:val="004D5BC2"/>
    <w:rsid w:val="004D5BE8"/>
    <w:rsid w:val="004D5E46"/>
    <w:rsid w:val="004D64B2"/>
    <w:rsid w:val="004D66C9"/>
    <w:rsid w:val="004D66D9"/>
    <w:rsid w:val="004D6765"/>
    <w:rsid w:val="004D69E1"/>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24D"/>
    <w:rsid w:val="004E2740"/>
    <w:rsid w:val="004E2772"/>
    <w:rsid w:val="004E2DF0"/>
    <w:rsid w:val="004E2EAE"/>
    <w:rsid w:val="004E31D9"/>
    <w:rsid w:val="004E3204"/>
    <w:rsid w:val="004E33EE"/>
    <w:rsid w:val="004E3521"/>
    <w:rsid w:val="004E35AA"/>
    <w:rsid w:val="004E37D4"/>
    <w:rsid w:val="004E382C"/>
    <w:rsid w:val="004E39D3"/>
    <w:rsid w:val="004E3BFC"/>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01"/>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6EC"/>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367"/>
    <w:rsid w:val="005034A0"/>
    <w:rsid w:val="005035D6"/>
    <w:rsid w:val="00503948"/>
    <w:rsid w:val="005039CC"/>
    <w:rsid w:val="00503B29"/>
    <w:rsid w:val="00503C1F"/>
    <w:rsid w:val="00503EEF"/>
    <w:rsid w:val="00504367"/>
    <w:rsid w:val="00504877"/>
    <w:rsid w:val="00504B11"/>
    <w:rsid w:val="00504E78"/>
    <w:rsid w:val="00504F60"/>
    <w:rsid w:val="00505297"/>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E52"/>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482"/>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6B"/>
    <w:rsid w:val="0051618D"/>
    <w:rsid w:val="005161C1"/>
    <w:rsid w:val="0051662C"/>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0F3B"/>
    <w:rsid w:val="00520FAA"/>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9C0"/>
    <w:rsid w:val="00524CBD"/>
    <w:rsid w:val="00524FD9"/>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4D4"/>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A1"/>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06"/>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89B"/>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B1"/>
    <w:rsid w:val="00563AD0"/>
    <w:rsid w:val="00563B27"/>
    <w:rsid w:val="00563D54"/>
    <w:rsid w:val="00563FCF"/>
    <w:rsid w:val="005640FA"/>
    <w:rsid w:val="00564116"/>
    <w:rsid w:val="005645FC"/>
    <w:rsid w:val="0056462B"/>
    <w:rsid w:val="005648DA"/>
    <w:rsid w:val="00564A39"/>
    <w:rsid w:val="00564A67"/>
    <w:rsid w:val="00564A93"/>
    <w:rsid w:val="00564D95"/>
    <w:rsid w:val="0056501B"/>
    <w:rsid w:val="0056505B"/>
    <w:rsid w:val="005650B5"/>
    <w:rsid w:val="00565359"/>
    <w:rsid w:val="00565577"/>
    <w:rsid w:val="00565781"/>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186"/>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361"/>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EF7"/>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077"/>
    <w:rsid w:val="0058342B"/>
    <w:rsid w:val="0058361D"/>
    <w:rsid w:val="005839EF"/>
    <w:rsid w:val="00583E24"/>
    <w:rsid w:val="00584267"/>
    <w:rsid w:val="00584368"/>
    <w:rsid w:val="005845B8"/>
    <w:rsid w:val="005845EF"/>
    <w:rsid w:val="00584860"/>
    <w:rsid w:val="00584865"/>
    <w:rsid w:val="00584950"/>
    <w:rsid w:val="00584D9D"/>
    <w:rsid w:val="00584EAC"/>
    <w:rsid w:val="00585427"/>
    <w:rsid w:val="0058555E"/>
    <w:rsid w:val="0058561C"/>
    <w:rsid w:val="00585846"/>
    <w:rsid w:val="00585CE1"/>
    <w:rsid w:val="00585D4C"/>
    <w:rsid w:val="00585D87"/>
    <w:rsid w:val="00585DE7"/>
    <w:rsid w:val="00585ECD"/>
    <w:rsid w:val="00585EDC"/>
    <w:rsid w:val="0058604A"/>
    <w:rsid w:val="005863A7"/>
    <w:rsid w:val="005864DF"/>
    <w:rsid w:val="00586571"/>
    <w:rsid w:val="005865DE"/>
    <w:rsid w:val="005865EA"/>
    <w:rsid w:val="005866D5"/>
    <w:rsid w:val="00586D23"/>
    <w:rsid w:val="00586D58"/>
    <w:rsid w:val="00586D72"/>
    <w:rsid w:val="00586F1B"/>
    <w:rsid w:val="0058716D"/>
    <w:rsid w:val="0058773E"/>
    <w:rsid w:val="00587A6C"/>
    <w:rsid w:val="00587D86"/>
    <w:rsid w:val="005900BF"/>
    <w:rsid w:val="005902D0"/>
    <w:rsid w:val="00590778"/>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0B8"/>
    <w:rsid w:val="0059329B"/>
    <w:rsid w:val="00593350"/>
    <w:rsid w:val="005935D0"/>
    <w:rsid w:val="0059389C"/>
    <w:rsid w:val="0059399D"/>
    <w:rsid w:val="00593C7C"/>
    <w:rsid w:val="00593CDA"/>
    <w:rsid w:val="00593D33"/>
    <w:rsid w:val="0059405A"/>
    <w:rsid w:val="00594208"/>
    <w:rsid w:val="00594506"/>
    <w:rsid w:val="00594523"/>
    <w:rsid w:val="005947B9"/>
    <w:rsid w:val="00594B0A"/>
    <w:rsid w:val="00594DAE"/>
    <w:rsid w:val="00594F05"/>
    <w:rsid w:val="00595335"/>
    <w:rsid w:val="00595416"/>
    <w:rsid w:val="00595436"/>
    <w:rsid w:val="0059548B"/>
    <w:rsid w:val="00595597"/>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B49"/>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1C3"/>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A7FA1"/>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6D"/>
    <w:rsid w:val="005B3598"/>
    <w:rsid w:val="005B3761"/>
    <w:rsid w:val="005B3823"/>
    <w:rsid w:val="005B39E2"/>
    <w:rsid w:val="005B3AC6"/>
    <w:rsid w:val="005B3C99"/>
    <w:rsid w:val="005B3E7B"/>
    <w:rsid w:val="005B3EAD"/>
    <w:rsid w:val="005B3EFF"/>
    <w:rsid w:val="005B404D"/>
    <w:rsid w:val="005B40C9"/>
    <w:rsid w:val="005B4888"/>
    <w:rsid w:val="005B49B4"/>
    <w:rsid w:val="005B4B6C"/>
    <w:rsid w:val="005B4D05"/>
    <w:rsid w:val="005B5189"/>
    <w:rsid w:val="005B53E5"/>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A06"/>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C3"/>
    <w:rsid w:val="005D48E9"/>
    <w:rsid w:val="005D4B6E"/>
    <w:rsid w:val="005D4C8B"/>
    <w:rsid w:val="005D5032"/>
    <w:rsid w:val="005D520D"/>
    <w:rsid w:val="005D5407"/>
    <w:rsid w:val="005D5436"/>
    <w:rsid w:val="005D55D2"/>
    <w:rsid w:val="005D5667"/>
    <w:rsid w:val="005D56B2"/>
    <w:rsid w:val="005D585B"/>
    <w:rsid w:val="005D5925"/>
    <w:rsid w:val="005D5A5F"/>
    <w:rsid w:val="005D5B2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181"/>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5C5"/>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77B"/>
    <w:rsid w:val="005F0801"/>
    <w:rsid w:val="005F0BFE"/>
    <w:rsid w:val="005F0F57"/>
    <w:rsid w:val="005F0FC1"/>
    <w:rsid w:val="005F0FD2"/>
    <w:rsid w:val="005F173C"/>
    <w:rsid w:val="005F18D0"/>
    <w:rsid w:val="005F1AED"/>
    <w:rsid w:val="005F1B54"/>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2AE"/>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B22"/>
    <w:rsid w:val="00604D09"/>
    <w:rsid w:val="00604EDD"/>
    <w:rsid w:val="00604FBF"/>
    <w:rsid w:val="0060537C"/>
    <w:rsid w:val="0060559C"/>
    <w:rsid w:val="006055A9"/>
    <w:rsid w:val="00605641"/>
    <w:rsid w:val="00605732"/>
    <w:rsid w:val="006057E4"/>
    <w:rsid w:val="0060596E"/>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3D2"/>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8D5"/>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2A"/>
    <w:rsid w:val="006259FA"/>
    <w:rsid w:val="00625AED"/>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0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86B"/>
    <w:rsid w:val="00632A0D"/>
    <w:rsid w:val="00632A99"/>
    <w:rsid w:val="00632DC9"/>
    <w:rsid w:val="00632FB8"/>
    <w:rsid w:val="006330FD"/>
    <w:rsid w:val="0063330C"/>
    <w:rsid w:val="00633334"/>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A4F"/>
    <w:rsid w:val="00635F69"/>
    <w:rsid w:val="00636142"/>
    <w:rsid w:val="006362B2"/>
    <w:rsid w:val="00636440"/>
    <w:rsid w:val="00636482"/>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0F"/>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1FA6"/>
    <w:rsid w:val="006621EF"/>
    <w:rsid w:val="0066247E"/>
    <w:rsid w:val="00662533"/>
    <w:rsid w:val="00662727"/>
    <w:rsid w:val="00662898"/>
    <w:rsid w:val="00662A95"/>
    <w:rsid w:val="00662E68"/>
    <w:rsid w:val="00662EB7"/>
    <w:rsid w:val="00662EE5"/>
    <w:rsid w:val="006630CB"/>
    <w:rsid w:val="0066327C"/>
    <w:rsid w:val="0066354E"/>
    <w:rsid w:val="006635CB"/>
    <w:rsid w:val="0066364E"/>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3A"/>
    <w:rsid w:val="00676FD4"/>
    <w:rsid w:val="00677018"/>
    <w:rsid w:val="00677178"/>
    <w:rsid w:val="0067737E"/>
    <w:rsid w:val="0067759C"/>
    <w:rsid w:val="00677761"/>
    <w:rsid w:val="00677785"/>
    <w:rsid w:val="00677B63"/>
    <w:rsid w:val="00677BA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6F8E"/>
    <w:rsid w:val="00687145"/>
    <w:rsid w:val="006873E0"/>
    <w:rsid w:val="0068752A"/>
    <w:rsid w:val="006875FB"/>
    <w:rsid w:val="0068768A"/>
    <w:rsid w:val="00687AFD"/>
    <w:rsid w:val="00687C7A"/>
    <w:rsid w:val="00687D9F"/>
    <w:rsid w:val="006901A5"/>
    <w:rsid w:val="006902AC"/>
    <w:rsid w:val="0069030C"/>
    <w:rsid w:val="0069032C"/>
    <w:rsid w:val="00690509"/>
    <w:rsid w:val="00690666"/>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A51"/>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15"/>
    <w:rsid w:val="00695ACD"/>
    <w:rsid w:val="00695B6F"/>
    <w:rsid w:val="00695BA3"/>
    <w:rsid w:val="00695C6A"/>
    <w:rsid w:val="00695DB7"/>
    <w:rsid w:val="00695E83"/>
    <w:rsid w:val="0069619F"/>
    <w:rsid w:val="00696822"/>
    <w:rsid w:val="006969A3"/>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31"/>
    <w:rsid w:val="006B5575"/>
    <w:rsid w:val="006B5619"/>
    <w:rsid w:val="006B5624"/>
    <w:rsid w:val="006B58D8"/>
    <w:rsid w:val="006B5A24"/>
    <w:rsid w:val="006B6020"/>
    <w:rsid w:val="006B6074"/>
    <w:rsid w:val="006B6079"/>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418"/>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14"/>
    <w:rsid w:val="006D1130"/>
    <w:rsid w:val="006D15BE"/>
    <w:rsid w:val="006D1725"/>
    <w:rsid w:val="006D191A"/>
    <w:rsid w:val="006D1935"/>
    <w:rsid w:val="006D19C7"/>
    <w:rsid w:val="006D19FF"/>
    <w:rsid w:val="006D1AE9"/>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D63"/>
    <w:rsid w:val="006E1F38"/>
    <w:rsid w:val="006E202F"/>
    <w:rsid w:val="006E209F"/>
    <w:rsid w:val="006E233C"/>
    <w:rsid w:val="006E24AB"/>
    <w:rsid w:val="006E2649"/>
    <w:rsid w:val="006E27AC"/>
    <w:rsid w:val="006E2B6F"/>
    <w:rsid w:val="006E2D25"/>
    <w:rsid w:val="006E3029"/>
    <w:rsid w:val="006E30DA"/>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D3F"/>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2F"/>
    <w:rsid w:val="00703C88"/>
    <w:rsid w:val="00703D1C"/>
    <w:rsid w:val="00703FA5"/>
    <w:rsid w:val="00704004"/>
    <w:rsid w:val="007040DA"/>
    <w:rsid w:val="00704330"/>
    <w:rsid w:val="0070435F"/>
    <w:rsid w:val="00704407"/>
    <w:rsid w:val="007049F8"/>
    <w:rsid w:val="00704A5A"/>
    <w:rsid w:val="00704BE0"/>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0AC"/>
    <w:rsid w:val="00711167"/>
    <w:rsid w:val="0071144C"/>
    <w:rsid w:val="0071164F"/>
    <w:rsid w:val="007117E0"/>
    <w:rsid w:val="0071185C"/>
    <w:rsid w:val="00711DE3"/>
    <w:rsid w:val="00712067"/>
    <w:rsid w:val="00712139"/>
    <w:rsid w:val="007123E6"/>
    <w:rsid w:val="00712646"/>
    <w:rsid w:val="0071286D"/>
    <w:rsid w:val="00712958"/>
    <w:rsid w:val="00712B26"/>
    <w:rsid w:val="00712BFD"/>
    <w:rsid w:val="00712C92"/>
    <w:rsid w:val="00712D21"/>
    <w:rsid w:val="00712ECA"/>
    <w:rsid w:val="00712EDE"/>
    <w:rsid w:val="00713063"/>
    <w:rsid w:val="0071356C"/>
    <w:rsid w:val="00713704"/>
    <w:rsid w:val="007137A2"/>
    <w:rsid w:val="00713962"/>
    <w:rsid w:val="0071398F"/>
    <w:rsid w:val="00713D24"/>
    <w:rsid w:val="00713DC1"/>
    <w:rsid w:val="00713DEE"/>
    <w:rsid w:val="00713FD4"/>
    <w:rsid w:val="007140F3"/>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AC7"/>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73E"/>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19E"/>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D47"/>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508"/>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9C7"/>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4B"/>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96C"/>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6F3"/>
    <w:rsid w:val="007677FF"/>
    <w:rsid w:val="00767818"/>
    <w:rsid w:val="00767B17"/>
    <w:rsid w:val="00767C00"/>
    <w:rsid w:val="00767C58"/>
    <w:rsid w:val="00767CCF"/>
    <w:rsid w:val="0077016F"/>
    <w:rsid w:val="00770319"/>
    <w:rsid w:val="007705C5"/>
    <w:rsid w:val="00770725"/>
    <w:rsid w:val="0077084B"/>
    <w:rsid w:val="007708BE"/>
    <w:rsid w:val="007708D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77EC7"/>
    <w:rsid w:val="00780169"/>
    <w:rsid w:val="0078019A"/>
    <w:rsid w:val="0078023B"/>
    <w:rsid w:val="007802FB"/>
    <w:rsid w:val="00780322"/>
    <w:rsid w:val="00780548"/>
    <w:rsid w:val="007805E1"/>
    <w:rsid w:val="00780A17"/>
    <w:rsid w:val="00780A86"/>
    <w:rsid w:val="00780DC2"/>
    <w:rsid w:val="00780E2D"/>
    <w:rsid w:val="00780EDD"/>
    <w:rsid w:val="00781132"/>
    <w:rsid w:val="00781160"/>
    <w:rsid w:val="0078131D"/>
    <w:rsid w:val="007813C8"/>
    <w:rsid w:val="00781582"/>
    <w:rsid w:val="0078183F"/>
    <w:rsid w:val="00781860"/>
    <w:rsid w:val="00781942"/>
    <w:rsid w:val="00781AEB"/>
    <w:rsid w:val="00781CF8"/>
    <w:rsid w:val="00781DDE"/>
    <w:rsid w:val="00782139"/>
    <w:rsid w:val="00782443"/>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3F0"/>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620"/>
    <w:rsid w:val="007877A9"/>
    <w:rsid w:val="00787886"/>
    <w:rsid w:val="00787BBF"/>
    <w:rsid w:val="00787BD0"/>
    <w:rsid w:val="00787E5B"/>
    <w:rsid w:val="00790089"/>
    <w:rsid w:val="00790124"/>
    <w:rsid w:val="007901A4"/>
    <w:rsid w:val="007901B0"/>
    <w:rsid w:val="0079038E"/>
    <w:rsid w:val="00790393"/>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2A85"/>
    <w:rsid w:val="00793436"/>
    <w:rsid w:val="00793493"/>
    <w:rsid w:val="0079367E"/>
    <w:rsid w:val="0079376A"/>
    <w:rsid w:val="007939D8"/>
    <w:rsid w:val="00793CAB"/>
    <w:rsid w:val="00793CD1"/>
    <w:rsid w:val="00793CE3"/>
    <w:rsid w:val="00793F4C"/>
    <w:rsid w:val="00794010"/>
    <w:rsid w:val="0079405E"/>
    <w:rsid w:val="0079410D"/>
    <w:rsid w:val="00794716"/>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D13"/>
    <w:rsid w:val="00796E3D"/>
    <w:rsid w:val="0079766C"/>
    <w:rsid w:val="007976C5"/>
    <w:rsid w:val="00797773"/>
    <w:rsid w:val="00797A33"/>
    <w:rsid w:val="00797C4B"/>
    <w:rsid w:val="00797DF7"/>
    <w:rsid w:val="007A019B"/>
    <w:rsid w:val="007A0367"/>
    <w:rsid w:val="007A04BC"/>
    <w:rsid w:val="007A0599"/>
    <w:rsid w:val="007A082D"/>
    <w:rsid w:val="007A08DE"/>
    <w:rsid w:val="007A0C23"/>
    <w:rsid w:val="007A0D87"/>
    <w:rsid w:val="007A0DC0"/>
    <w:rsid w:val="007A0FD5"/>
    <w:rsid w:val="007A155E"/>
    <w:rsid w:val="007A157D"/>
    <w:rsid w:val="007A163F"/>
    <w:rsid w:val="007A167F"/>
    <w:rsid w:val="007A193C"/>
    <w:rsid w:val="007A19AB"/>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4F9"/>
    <w:rsid w:val="007A3986"/>
    <w:rsid w:val="007A3A19"/>
    <w:rsid w:val="007A3AC9"/>
    <w:rsid w:val="007A3ACB"/>
    <w:rsid w:val="007A3DE6"/>
    <w:rsid w:val="007A3E69"/>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5FE7"/>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0C2D"/>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0F"/>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30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CDF"/>
    <w:rsid w:val="007C4D9C"/>
    <w:rsid w:val="007C4DFD"/>
    <w:rsid w:val="007C50A8"/>
    <w:rsid w:val="007C51A4"/>
    <w:rsid w:val="007C51FA"/>
    <w:rsid w:val="007C5514"/>
    <w:rsid w:val="007C55C2"/>
    <w:rsid w:val="007C59E7"/>
    <w:rsid w:val="007C5B04"/>
    <w:rsid w:val="007C5D1D"/>
    <w:rsid w:val="007C5D3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A29"/>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227"/>
    <w:rsid w:val="007E0381"/>
    <w:rsid w:val="007E048F"/>
    <w:rsid w:val="007E0603"/>
    <w:rsid w:val="007E0645"/>
    <w:rsid w:val="007E082F"/>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12"/>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D85"/>
    <w:rsid w:val="00804F05"/>
    <w:rsid w:val="008052FD"/>
    <w:rsid w:val="00805538"/>
    <w:rsid w:val="00805763"/>
    <w:rsid w:val="00805C03"/>
    <w:rsid w:val="00805D99"/>
    <w:rsid w:val="0080611C"/>
    <w:rsid w:val="008061FF"/>
    <w:rsid w:val="0080631D"/>
    <w:rsid w:val="0080668A"/>
    <w:rsid w:val="00806957"/>
    <w:rsid w:val="008069EC"/>
    <w:rsid w:val="00806C11"/>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5F7"/>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40F"/>
    <w:rsid w:val="00830623"/>
    <w:rsid w:val="0083090B"/>
    <w:rsid w:val="00830A8F"/>
    <w:rsid w:val="00830C2B"/>
    <w:rsid w:val="0083123C"/>
    <w:rsid w:val="008312B0"/>
    <w:rsid w:val="008313E5"/>
    <w:rsid w:val="00831774"/>
    <w:rsid w:val="0083183F"/>
    <w:rsid w:val="00831A3C"/>
    <w:rsid w:val="00831B3D"/>
    <w:rsid w:val="00831BD9"/>
    <w:rsid w:val="00831C76"/>
    <w:rsid w:val="00831CCE"/>
    <w:rsid w:val="00831D99"/>
    <w:rsid w:val="00831FA9"/>
    <w:rsid w:val="008323B0"/>
    <w:rsid w:val="008324E0"/>
    <w:rsid w:val="0083256F"/>
    <w:rsid w:val="008326FC"/>
    <w:rsid w:val="00832890"/>
    <w:rsid w:val="0083290A"/>
    <w:rsid w:val="00832F7A"/>
    <w:rsid w:val="00833677"/>
    <w:rsid w:val="008337A3"/>
    <w:rsid w:val="0083395D"/>
    <w:rsid w:val="00833C8C"/>
    <w:rsid w:val="00834EE2"/>
    <w:rsid w:val="00834F3A"/>
    <w:rsid w:val="0083530C"/>
    <w:rsid w:val="00835420"/>
    <w:rsid w:val="00835645"/>
    <w:rsid w:val="0083566F"/>
    <w:rsid w:val="00835753"/>
    <w:rsid w:val="00835901"/>
    <w:rsid w:val="00835A5F"/>
    <w:rsid w:val="00835B7E"/>
    <w:rsid w:val="00835BE3"/>
    <w:rsid w:val="00835D22"/>
    <w:rsid w:val="00835ECD"/>
    <w:rsid w:val="00835F94"/>
    <w:rsid w:val="008366A2"/>
    <w:rsid w:val="00836851"/>
    <w:rsid w:val="00836A60"/>
    <w:rsid w:val="00836CC0"/>
    <w:rsid w:val="00836CCD"/>
    <w:rsid w:val="008371DF"/>
    <w:rsid w:val="00837357"/>
    <w:rsid w:val="00837811"/>
    <w:rsid w:val="00837AA8"/>
    <w:rsid w:val="00837AC1"/>
    <w:rsid w:val="00837AD4"/>
    <w:rsid w:val="00837B3D"/>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A42"/>
    <w:rsid w:val="00845C18"/>
    <w:rsid w:val="00845D0E"/>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4C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4EFF"/>
    <w:rsid w:val="00865414"/>
    <w:rsid w:val="0086582E"/>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6F1"/>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342"/>
    <w:rsid w:val="0087348E"/>
    <w:rsid w:val="008735D9"/>
    <w:rsid w:val="0087363C"/>
    <w:rsid w:val="0087393E"/>
    <w:rsid w:val="00873AF2"/>
    <w:rsid w:val="00873B8E"/>
    <w:rsid w:val="00873E87"/>
    <w:rsid w:val="00874044"/>
    <w:rsid w:val="0087444B"/>
    <w:rsid w:val="008745D8"/>
    <w:rsid w:val="00874CC2"/>
    <w:rsid w:val="00874E0E"/>
    <w:rsid w:val="00874E70"/>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A9B"/>
    <w:rsid w:val="00876C5A"/>
    <w:rsid w:val="00876C89"/>
    <w:rsid w:val="00876D44"/>
    <w:rsid w:val="00876F45"/>
    <w:rsid w:val="00876F7C"/>
    <w:rsid w:val="00877072"/>
    <w:rsid w:val="00877145"/>
    <w:rsid w:val="00877240"/>
    <w:rsid w:val="00877441"/>
    <w:rsid w:val="00877604"/>
    <w:rsid w:val="00877672"/>
    <w:rsid w:val="0087787B"/>
    <w:rsid w:val="00877BA3"/>
    <w:rsid w:val="00877E6F"/>
    <w:rsid w:val="00877FAC"/>
    <w:rsid w:val="00880053"/>
    <w:rsid w:val="00880195"/>
    <w:rsid w:val="008802CD"/>
    <w:rsid w:val="008804DA"/>
    <w:rsid w:val="00880527"/>
    <w:rsid w:val="008806CA"/>
    <w:rsid w:val="008807C5"/>
    <w:rsid w:val="00880D8B"/>
    <w:rsid w:val="00880DE5"/>
    <w:rsid w:val="0088111C"/>
    <w:rsid w:val="00881261"/>
    <w:rsid w:val="00881275"/>
    <w:rsid w:val="008813D4"/>
    <w:rsid w:val="008814B9"/>
    <w:rsid w:val="00881536"/>
    <w:rsid w:val="00881C0F"/>
    <w:rsid w:val="00881F98"/>
    <w:rsid w:val="008823A4"/>
    <w:rsid w:val="00882694"/>
    <w:rsid w:val="008826EF"/>
    <w:rsid w:val="00882BF9"/>
    <w:rsid w:val="00882CDE"/>
    <w:rsid w:val="00882D11"/>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07"/>
    <w:rsid w:val="00887849"/>
    <w:rsid w:val="008878C7"/>
    <w:rsid w:val="00887A73"/>
    <w:rsid w:val="00887ABA"/>
    <w:rsid w:val="00887AD4"/>
    <w:rsid w:val="00887B3A"/>
    <w:rsid w:val="00887C8C"/>
    <w:rsid w:val="00887D69"/>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232"/>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4E6"/>
    <w:rsid w:val="008968C2"/>
    <w:rsid w:val="00896964"/>
    <w:rsid w:val="00896BFE"/>
    <w:rsid w:val="00896C9E"/>
    <w:rsid w:val="00896D12"/>
    <w:rsid w:val="008972B0"/>
    <w:rsid w:val="0089762D"/>
    <w:rsid w:val="008978F0"/>
    <w:rsid w:val="008979A2"/>
    <w:rsid w:val="00897CD7"/>
    <w:rsid w:val="00897DE1"/>
    <w:rsid w:val="008A0463"/>
    <w:rsid w:val="008A05AF"/>
    <w:rsid w:val="008A069D"/>
    <w:rsid w:val="008A0767"/>
    <w:rsid w:val="008A0B3C"/>
    <w:rsid w:val="008A0F40"/>
    <w:rsid w:val="008A198E"/>
    <w:rsid w:val="008A1BAB"/>
    <w:rsid w:val="008A1CC1"/>
    <w:rsid w:val="008A1E23"/>
    <w:rsid w:val="008A22FE"/>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170"/>
    <w:rsid w:val="008A7407"/>
    <w:rsid w:val="008A7410"/>
    <w:rsid w:val="008A7567"/>
    <w:rsid w:val="008A75EE"/>
    <w:rsid w:val="008A7819"/>
    <w:rsid w:val="008A7AA3"/>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BED"/>
    <w:rsid w:val="008B1D0A"/>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09"/>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6FCD"/>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E01"/>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44"/>
    <w:rsid w:val="008C6275"/>
    <w:rsid w:val="008C634F"/>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57A"/>
    <w:rsid w:val="008D1AA5"/>
    <w:rsid w:val="008D1B24"/>
    <w:rsid w:val="008D1B57"/>
    <w:rsid w:val="008D1B8D"/>
    <w:rsid w:val="008D1BF7"/>
    <w:rsid w:val="008D1C7B"/>
    <w:rsid w:val="008D1DAE"/>
    <w:rsid w:val="008D1F24"/>
    <w:rsid w:val="008D208D"/>
    <w:rsid w:val="008D216F"/>
    <w:rsid w:val="008D242A"/>
    <w:rsid w:val="008D27C0"/>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75E"/>
    <w:rsid w:val="008E4DFB"/>
    <w:rsid w:val="008E4E24"/>
    <w:rsid w:val="008E5011"/>
    <w:rsid w:val="008E5217"/>
    <w:rsid w:val="008E54E6"/>
    <w:rsid w:val="008E565E"/>
    <w:rsid w:val="008E5841"/>
    <w:rsid w:val="008E5933"/>
    <w:rsid w:val="008E5ACF"/>
    <w:rsid w:val="008E5C0B"/>
    <w:rsid w:val="008E5C6F"/>
    <w:rsid w:val="008E5EE3"/>
    <w:rsid w:val="008E5EFF"/>
    <w:rsid w:val="008E63F7"/>
    <w:rsid w:val="008E645E"/>
    <w:rsid w:val="008E6638"/>
    <w:rsid w:val="008E6698"/>
    <w:rsid w:val="008E66F0"/>
    <w:rsid w:val="008E69A1"/>
    <w:rsid w:val="008E6A88"/>
    <w:rsid w:val="008E6ACE"/>
    <w:rsid w:val="008E6AF8"/>
    <w:rsid w:val="008E6DA9"/>
    <w:rsid w:val="008E7545"/>
    <w:rsid w:val="008E7F29"/>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4FF0"/>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69"/>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069"/>
    <w:rsid w:val="0090517C"/>
    <w:rsid w:val="0090539C"/>
    <w:rsid w:val="009053FA"/>
    <w:rsid w:val="009057AC"/>
    <w:rsid w:val="00905823"/>
    <w:rsid w:val="009058CC"/>
    <w:rsid w:val="009059A6"/>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DE9"/>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313"/>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D2E"/>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239"/>
    <w:rsid w:val="009225AB"/>
    <w:rsid w:val="0092263B"/>
    <w:rsid w:val="009226DE"/>
    <w:rsid w:val="009227DC"/>
    <w:rsid w:val="009228FA"/>
    <w:rsid w:val="00922A06"/>
    <w:rsid w:val="00922A94"/>
    <w:rsid w:val="00922AA6"/>
    <w:rsid w:val="00922BE5"/>
    <w:rsid w:val="00922C9F"/>
    <w:rsid w:val="00922CC6"/>
    <w:rsid w:val="00923034"/>
    <w:rsid w:val="009231DA"/>
    <w:rsid w:val="00923234"/>
    <w:rsid w:val="00923842"/>
    <w:rsid w:val="009238E8"/>
    <w:rsid w:val="009239EC"/>
    <w:rsid w:val="00923C0D"/>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18B"/>
    <w:rsid w:val="00926339"/>
    <w:rsid w:val="0092642B"/>
    <w:rsid w:val="00926670"/>
    <w:rsid w:val="00926964"/>
    <w:rsid w:val="0092697A"/>
    <w:rsid w:val="00926A92"/>
    <w:rsid w:val="00926C4E"/>
    <w:rsid w:val="00926C6C"/>
    <w:rsid w:val="00926D57"/>
    <w:rsid w:val="00926F9E"/>
    <w:rsid w:val="0092715F"/>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800"/>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5DD"/>
    <w:rsid w:val="009426FB"/>
    <w:rsid w:val="009427D6"/>
    <w:rsid w:val="00942A0D"/>
    <w:rsid w:val="00943170"/>
    <w:rsid w:val="009431E8"/>
    <w:rsid w:val="00943325"/>
    <w:rsid w:val="009436D4"/>
    <w:rsid w:val="0094371D"/>
    <w:rsid w:val="00943A66"/>
    <w:rsid w:val="00944482"/>
    <w:rsid w:val="0094449E"/>
    <w:rsid w:val="009445FA"/>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D08"/>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6F0"/>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31D"/>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493"/>
    <w:rsid w:val="00964877"/>
    <w:rsid w:val="00964A34"/>
    <w:rsid w:val="00964A43"/>
    <w:rsid w:val="00964B95"/>
    <w:rsid w:val="00964C01"/>
    <w:rsid w:val="00964C61"/>
    <w:rsid w:val="00964C79"/>
    <w:rsid w:val="00964CEF"/>
    <w:rsid w:val="00964DC8"/>
    <w:rsid w:val="00964F8C"/>
    <w:rsid w:val="0096555E"/>
    <w:rsid w:val="00965642"/>
    <w:rsid w:val="009656EB"/>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082"/>
    <w:rsid w:val="009745EE"/>
    <w:rsid w:val="0097476F"/>
    <w:rsid w:val="0097481B"/>
    <w:rsid w:val="00974CA4"/>
    <w:rsid w:val="00974D42"/>
    <w:rsid w:val="00975051"/>
    <w:rsid w:val="0097511F"/>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5D8"/>
    <w:rsid w:val="00977668"/>
    <w:rsid w:val="00977C73"/>
    <w:rsid w:val="00977DA2"/>
    <w:rsid w:val="00977DEC"/>
    <w:rsid w:val="00977E80"/>
    <w:rsid w:val="00980202"/>
    <w:rsid w:val="00980522"/>
    <w:rsid w:val="0098057B"/>
    <w:rsid w:val="0098059E"/>
    <w:rsid w:val="009805BA"/>
    <w:rsid w:val="00980649"/>
    <w:rsid w:val="009808AF"/>
    <w:rsid w:val="009809EA"/>
    <w:rsid w:val="00980A0B"/>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3E"/>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6EC"/>
    <w:rsid w:val="00991789"/>
    <w:rsid w:val="009917E4"/>
    <w:rsid w:val="00991D6A"/>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79E"/>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C74"/>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17"/>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5FB"/>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225"/>
    <w:rsid w:val="009C2579"/>
    <w:rsid w:val="009C25D7"/>
    <w:rsid w:val="009C2819"/>
    <w:rsid w:val="009C2AD3"/>
    <w:rsid w:val="009C2AEC"/>
    <w:rsid w:val="009C2E42"/>
    <w:rsid w:val="009C3097"/>
    <w:rsid w:val="009C32A3"/>
    <w:rsid w:val="009C3486"/>
    <w:rsid w:val="009C3875"/>
    <w:rsid w:val="009C3B78"/>
    <w:rsid w:val="009C3CF4"/>
    <w:rsid w:val="009C3CFE"/>
    <w:rsid w:val="009C3EA4"/>
    <w:rsid w:val="009C406A"/>
    <w:rsid w:val="009C4282"/>
    <w:rsid w:val="009C42EE"/>
    <w:rsid w:val="009C44CD"/>
    <w:rsid w:val="009C45C5"/>
    <w:rsid w:val="009C45EF"/>
    <w:rsid w:val="009C496A"/>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9D"/>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4F6"/>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465"/>
    <w:rsid w:val="009E2533"/>
    <w:rsid w:val="009E25AA"/>
    <w:rsid w:val="009E267A"/>
    <w:rsid w:val="009E2709"/>
    <w:rsid w:val="009E271E"/>
    <w:rsid w:val="009E27CF"/>
    <w:rsid w:val="009E28FB"/>
    <w:rsid w:val="009E302B"/>
    <w:rsid w:val="009E3533"/>
    <w:rsid w:val="009E3786"/>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5F"/>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C73"/>
    <w:rsid w:val="009F6DF8"/>
    <w:rsid w:val="009F6E76"/>
    <w:rsid w:val="009F706D"/>
    <w:rsid w:val="009F7088"/>
    <w:rsid w:val="009F727D"/>
    <w:rsid w:val="009F736A"/>
    <w:rsid w:val="009F761D"/>
    <w:rsid w:val="009F7866"/>
    <w:rsid w:val="009F7902"/>
    <w:rsid w:val="009F7E16"/>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1FA8"/>
    <w:rsid w:val="00A02405"/>
    <w:rsid w:val="00A024C9"/>
    <w:rsid w:val="00A025CB"/>
    <w:rsid w:val="00A02805"/>
    <w:rsid w:val="00A02874"/>
    <w:rsid w:val="00A02B56"/>
    <w:rsid w:val="00A02C0C"/>
    <w:rsid w:val="00A02EE1"/>
    <w:rsid w:val="00A02F96"/>
    <w:rsid w:val="00A035AA"/>
    <w:rsid w:val="00A03877"/>
    <w:rsid w:val="00A038AF"/>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26"/>
    <w:rsid w:val="00A070DD"/>
    <w:rsid w:val="00A07365"/>
    <w:rsid w:val="00A07514"/>
    <w:rsid w:val="00A07558"/>
    <w:rsid w:val="00A078AB"/>
    <w:rsid w:val="00A1008A"/>
    <w:rsid w:val="00A102D1"/>
    <w:rsid w:val="00A1031F"/>
    <w:rsid w:val="00A108F7"/>
    <w:rsid w:val="00A10914"/>
    <w:rsid w:val="00A10A9E"/>
    <w:rsid w:val="00A10CD3"/>
    <w:rsid w:val="00A10D24"/>
    <w:rsid w:val="00A10E48"/>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40F"/>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6D3E"/>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056"/>
    <w:rsid w:val="00A212E5"/>
    <w:rsid w:val="00A21376"/>
    <w:rsid w:val="00A2150A"/>
    <w:rsid w:val="00A2180C"/>
    <w:rsid w:val="00A21940"/>
    <w:rsid w:val="00A219A3"/>
    <w:rsid w:val="00A21B27"/>
    <w:rsid w:val="00A21CAE"/>
    <w:rsid w:val="00A21E42"/>
    <w:rsid w:val="00A21E7F"/>
    <w:rsid w:val="00A2236B"/>
    <w:rsid w:val="00A2280E"/>
    <w:rsid w:val="00A22866"/>
    <w:rsid w:val="00A22DDE"/>
    <w:rsid w:val="00A23076"/>
    <w:rsid w:val="00A238DC"/>
    <w:rsid w:val="00A239B8"/>
    <w:rsid w:val="00A23B56"/>
    <w:rsid w:val="00A23CA3"/>
    <w:rsid w:val="00A23D26"/>
    <w:rsid w:val="00A23E58"/>
    <w:rsid w:val="00A23E66"/>
    <w:rsid w:val="00A2429F"/>
    <w:rsid w:val="00A2433D"/>
    <w:rsid w:val="00A2433E"/>
    <w:rsid w:val="00A24445"/>
    <w:rsid w:val="00A24549"/>
    <w:rsid w:val="00A2467C"/>
    <w:rsid w:val="00A24820"/>
    <w:rsid w:val="00A2491F"/>
    <w:rsid w:val="00A24B92"/>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BAF"/>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B9"/>
    <w:rsid w:val="00A305DD"/>
    <w:rsid w:val="00A30B0B"/>
    <w:rsid w:val="00A30C76"/>
    <w:rsid w:val="00A30CDF"/>
    <w:rsid w:val="00A30DB6"/>
    <w:rsid w:val="00A31059"/>
    <w:rsid w:val="00A31395"/>
    <w:rsid w:val="00A31572"/>
    <w:rsid w:val="00A317A5"/>
    <w:rsid w:val="00A3190D"/>
    <w:rsid w:val="00A319E6"/>
    <w:rsid w:val="00A31B12"/>
    <w:rsid w:val="00A31BBD"/>
    <w:rsid w:val="00A31C94"/>
    <w:rsid w:val="00A31CB4"/>
    <w:rsid w:val="00A31D41"/>
    <w:rsid w:val="00A31E8A"/>
    <w:rsid w:val="00A3208A"/>
    <w:rsid w:val="00A3231E"/>
    <w:rsid w:val="00A325BC"/>
    <w:rsid w:val="00A3267E"/>
    <w:rsid w:val="00A3268D"/>
    <w:rsid w:val="00A3288C"/>
    <w:rsid w:val="00A3291E"/>
    <w:rsid w:val="00A32A41"/>
    <w:rsid w:val="00A32ACF"/>
    <w:rsid w:val="00A32E3A"/>
    <w:rsid w:val="00A32EEF"/>
    <w:rsid w:val="00A332CE"/>
    <w:rsid w:val="00A334A2"/>
    <w:rsid w:val="00A3368C"/>
    <w:rsid w:val="00A33866"/>
    <w:rsid w:val="00A339E7"/>
    <w:rsid w:val="00A340AA"/>
    <w:rsid w:val="00A341B5"/>
    <w:rsid w:val="00A341DB"/>
    <w:rsid w:val="00A343EF"/>
    <w:rsid w:val="00A3445C"/>
    <w:rsid w:val="00A345DF"/>
    <w:rsid w:val="00A3463A"/>
    <w:rsid w:val="00A347D1"/>
    <w:rsid w:val="00A34A2A"/>
    <w:rsid w:val="00A34A69"/>
    <w:rsid w:val="00A34B79"/>
    <w:rsid w:val="00A34F3B"/>
    <w:rsid w:val="00A34FE4"/>
    <w:rsid w:val="00A353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8F"/>
    <w:rsid w:val="00A373C2"/>
    <w:rsid w:val="00A3758E"/>
    <w:rsid w:val="00A375F3"/>
    <w:rsid w:val="00A37608"/>
    <w:rsid w:val="00A37636"/>
    <w:rsid w:val="00A37707"/>
    <w:rsid w:val="00A37A89"/>
    <w:rsid w:val="00A37E45"/>
    <w:rsid w:val="00A40110"/>
    <w:rsid w:val="00A40405"/>
    <w:rsid w:val="00A40430"/>
    <w:rsid w:val="00A404E3"/>
    <w:rsid w:val="00A40558"/>
    <w:rsid w:val="00A40A1B"/>
    <w:rsid w:val="00A40AB2"/>
    <w:rsid w:val="00A40AED"/>
    <w:rsid w:val="00A40B5C"/>
    <w:rsid w:val="00A40BE8"/>
    <w:rsid w:val="00A40C65"/>
    <w:rsid w:val="00A40DFC"/>
    <w:rsid w:val="00A41273"/>
    <w:rsid w:val="00A415E6"/>
    <w:rsid w:val="00A41676"/>
    <w:rsid w:val="00A416DB"/>
    <w:rsid w:val="00A4189F"/>
    <w:rsid w:val="00A41AB4"/>
    <w:rsid w:val="00A41D6D"/>
    <w:rsid w:val="00A41EFA"/>
    <w:rsid w:val="00A420B1"/>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B8"/>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C18"/>
    <w:rsid w:val="00A46E9B"/>
    <w:rsid w:val="00A46EDD"/>
    <w:rsid w:val="00A47495"/>
    <w:rsid w:val="00A474D3"/>
    <w:rsid w:val="00A47686"/>
    <w:rsid w:val="00A476AE"/>
    <w:rsid w:val="00A47813"/>
    <w:rsid w:val="00A47905"/>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B91"/>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1C"/>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3AB"/>
    <w:rsid w:val="00A61ACE"/>
    <w:rsid w:val="00A61D2A"/>
    <w:rsid w:val="00A61E85"/>
    <w:rsid w:val="00A6211A"/>
    <w:rsid w:val="00A621A1"/>
    <w:rsid w:val="00A6223A"/>
    <w:rsid w:val="00A623EF"/>
    <w:rsid w:val="00A62533"/>
    <w:rsid w:val="00A62684"/>
    <w:rsid w:val="00A62695"/>
    <w:rsid w:val="00A627CD"/>
    <w:rsid w:val="00A6281D"/>
    <w:rsid w:val="00A628D9"/>
    <w:rsid w:val="00A62ACB"/>
    <w:rsid w:val="00A631A9"/>
    <w:rsid w:val="00A633A4"/>
    <w:rsid w:val="00A63428"/>
    <w:rsid w:val="00A6374D"/>
    <w:rsid w:val="00A637DE"/>
    <w:rsid w:val="00A63897"/>
    <w:rsid w:val="00A638C5"/>
    <w:rsid w:val="00A638DD"/>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5F8D"/>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4939"/>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777"/>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42A"/>
    <w:rsid w:val="00A83679"/>
    <w:rsid w:val="00A83CF5"/>
    <w:rsid w:val="00A83EC4"/>
    <w:rsid w:val="00A83F88"/>
    <w:rsid w:val="00A83F94"/>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ABF"/>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09"/>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5F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558"/>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11"/>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3B"/>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9F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6EE3"/>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A99"/>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C7EBE"/>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DD3"/>
    <w:rsid w:val="00AD7EB0"/>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429"/>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28"/>
    <w:rsid w:val="00AF276D"/>
    <w:rsid w:val="00AF284F"/>
    <w:rsid w:val="00AF2B8E"/>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81B"/>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1B"/>
    <w:rsid w:val="00AF7535"/>
    <w:rsid w:val="00AF799C"/>
    <w:rsid w:val="00AF7E22"/>
    <w:rsid w:val="00B00000"/>
    <w:rsid w:val="00B00959"/>
    <w:rsid w:val="00B00B19"/>
    <w:rsid w:val="00B00B7E"/>
    <w:rsid w:val="00B00D80"/>
    <w:rsid w:val="00B00F03"/>
    <w:rsid w:val="00B012CC"/>
    <w:rsid w:val="00B01732"/>
    <w:rsid w:val="00B0177D"/>
    <w:rsid w:val="00B01887"/>
    <w:rsid w:val="00B01E07"/>
    <w:rsid w:val="00B02052"/>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09D"/>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09C5"/>
    <w:rsid w:val="00B110A1"/>
    <w:rsid w:val="00B111CE"/>
    <w:rsid w:val="00B11204"/>
    <w:rsid w:val="00B1128E"/>
    <w:rsid w:val="00B112A0"/>
    <w:rsid w:val="00B11476"/>
    <w:rsid w:val="00B114BC"/>
    <w:rsid w:val="00B1153A"/>
    <w:rsid w:val="00B1169E"/>
    <w:rsid w:val="00B119E6"/>
    <w:rsid w:val="00B11A38"/>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14E"/>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652"/>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64F"/>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6B2"/>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0D"/>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3C25"/>
    <w:rsid w:val="00B34035"/>
    <w:rsid w:val="00B34158"/>
    <w:rsid w:val="00B341E3"/>
    <w:rsid w:val="00B3449D"/>
    <w:rsid w:val="00B34511"/>
    <w:rsid w:val="00B34544"/>
    <w:rsid w:val="00B34768"/>
    <w:rsid w:val="00B34929"/>
    <w:rsid w:val="00B34A9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BED"/>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C25"/>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3F5"/>
    <w:rsid w:val="00B4761E"/>
    <w:rsid w:val="00B47A9B"/>
    <w:rsid w:val="00B47E82"/>
    <w:rsid w:val="00B47EAF"/>
    <w:rsid w:val="00B47EF4"/>
    <w:rsid w:val="00B47F59"/>
    <w:rsid w:val="00B5005D"/>
    <w:rsid w:val="00B501AD"/>
    <w:rsid w:val="00B502E7"/>
    <w:rsid w:val="00B50454"/>
    <w:rsid w:val="00B5048E"/>
    <w:rsid w:val="00B504D4"/>
    <w:rsid w:val="00B50566"/>
    <w:rsid w:val="00B505B7"/>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086"/>
    <w:rsid w:val="00B53165"/>
    <w:rsid w:val="00B53566"/>
    <w:rsid w:val="00B5362D"/>
    <w:rsid w:val="00B536F5"/>
    <w:rsid w:val="00B53981"/>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CCB"/>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457"/>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D80"/>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183"/>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CF"/>
    <w:rsid w:val="00B819DA"/>
    <w:rsid w:val="00B81AED"/>
    <w:rsid w:val="00B81DB6"/>
    <w:rsid w:val="00B81F3E"/>
    <w:rsid w:val="00B81F79"/>
    <w:rsid w:val="00B81FBD"/>
    <w:rsid w:val="00B81FDE"/>
    <w:rsid w:val="00B8224B"/>
    <w:rsid w:val="00B8252D"/>
    <w:rsid w:val="00B8275D"/>
    <w:rsid w:val="00B8278C"/>
    <w:rsid w:val="00B827B3"/>
    <w:rsid w:val="00B827BF"/>
    <w:rsid w:val="00B82949"/>
    <w:rsid w:val="00B8298E"/>
    <w:rsid w:val="00B82A42"/>
    <w:rsid w:val="00B82D59"/>
    <w:rsid w:val="00B82DCD"/>
    <w:rsid w:val="00B82E6C"/>
    <w:rsid w:val="00B831ED"/>
    <w:rsid w:val="00B83334"/>
    <w:rsid w:val="00B83433"/>
    <w:rsid w:val="00B8349C"/>
    <w:rsid w:val="00B834D2"/>
    <w:rsid w:val="00B8357B"/>
    <w:rsid w:val="00B83696"/>
    <w:rsid w:val="00B83B64"/>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4D2B"/>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083"/>
    <w:rsid w:val="00B9123E"/>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73E"/>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2A1"/>
    <w:rsid w:val="00B9765B"/>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24"/>
    <w:rsid w:val="00BA1AD6"/>
    <w:rsid w:val="00BA1C33"/>
    <w:rsid w:val="00BA1DA0"/>
    <w:rsid w:val="00BA1DF1"/>
    <w:rsid w:val="00BA1F19"/>
    <w:rsid w:val="00BA1FBE"/>
    <w:rsid w:val="00BA20CC"/>
    <w:rsid w:val="00BA23F6"/>
    <w:rsid w:val="00BA242D"/>
    <w:rsid w:val="00BA246A"/>
    <w:rsid w:val="00BA27FC"/>
    <w:rsid w:val="00BA3271"/>
    <w:rsid w:val="00BA3A40"/>
    <w:rsid w:val="00BA3EE1"/>
    <w:rsid w:val="00BA3FED"/>
    <w:rsid w:val="00BA401F"/>
    <w:rsid w:val="00BA424C"/>
    <w:rsid w:val="00BA43C9"/>
    <w:rsid w:val="00BA467F"/>
    <w:rsid w:val="00BA48DE"/>
    <w:rsid w:val="00BA4931"/>
    <w:rsid w:val="00BA4950"/>
    <w:rsid w:val="00BA4A43"/>
    <w:rsid w:val="00BA4AC6"/>
    <w:rsid w:val="00BA4CD6"/>
    <w:rsid w:val="00BA4CFB"/>
    <w:rsid w:val="00BA4D1B"/>
    <w:rsid w:val="00BA50AE"/>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3BD"/>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726"/>
    <w:rsid w:val="00BB1907"/>
    <w:rsid w:val="00BB19A9"/>
    <w:rsid w:val="00BB1B4D"/>
    <w:rsid w:val="00BB2156"/>
    <w:rsid w:val="00BB2193"/>
    <w:rsid w:val="00BB2283"/>
    <w:rsid w:val="00BB22CB"/>
    <w:rsid w:val="00BB239D"/>
    <w:rsid w:val="00BB24FC"/>
    <w:rsid w:val="00BB2559"/>
    <w:rsid w:val="00BB26A0"/>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792"/>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CE6"/>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1A0"/>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5F5C"/>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DCD"/>
    <w:rsid w:val="00BD5E45"/>
    <w:rsid w:val="00BD5FDF"/>
    <w:rsid w:val="00BD64AF"/>
    <w:rsid w:val="00BD6552"/>
    <w:rsid w:val="00BD65DA"/>
    <w:rsid w:val="00BD66D6"/>
    <w:rsid w:val="00BD68EA"/>
    <w:rsid w:val="00BD6962"/>
    <w:rsid w:val="00BD6CD9"/>
    <w:rsid w:val="00BD6CF2"/>
    <w:rsid w:val="00BD6D6D"/>
    <w:rsid w:val="00BD6E16"/>
    <w:rsid w:val="00BD7023"/>
    <w:rsid w:val="00BD720C"/>
    <w:rsid w:val="00BD7317"/>
    <w:rsid w:val="00BD732A"/>
    <w:rsid w:val="00BD7A23"/>
    <w:rsid w:val="00BD7F8E"/>
    <w:rsid w:val="00BE02B3"/>
    <w:rsid w:val="00BE050B"/>
    <w:rsid w:val="00BE0590"/>
    <w:rsid w:val="00BE080D"/>
    <w:rsid w:val="00BE0AB8"/>
    <w:rsid w:val="00BE0BF2"/>
    <w:rsid w:val="00BE0E8B"/>
    <w:rsid w:val="00BE0FB8"/>
    <w:rsid w:val="00BE13D8"/>
    <w:rsid w:val="00BE14A0"/>
    <w:rsid w:val="00BE1866"/>
    <w:rsid w:val="00BE18CA"/>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5D9"/>
    <w:rsid w:val="00BE3990"/>
    <w:rsid w:val="00BE3AE6"/>
    <w:rsid w:val="00BE3B2C"/>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87"/>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3EA"/>
    <w:rsid w:val="00BF1401"/>
    <w:rsid w:val="00BF1480"/>
    <w:rsid w:val="00BF1651"/>
    <w:rsid w:val="00BF19AC"/>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AD4"/>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492"/>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CE8"/>
    <w:rsid w:val="00C03DA6"/>
    <w:rsid w:val="00C03EA6"/>
    <w:rsid w:val="00C043A9"/>
    <w:rsid w:val="00C0450D"/>
    <w:rsid w:val="00C0457A"/>
    <w:rsid w:val="00C045AB"/>
    <w:rsid w:val="00C04615"/>
    <w:rsid w:val="00C0469C"/>
    <w:rsid w:val="00C04834"/>
    <w:rsid w:val="00C0497A"/>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0C"/>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4F8"/>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5D8"/>
    <w:rsid w:val="00C176E9"/>
    <w:rsid w:val="00C178E6"/>
    <w:rsid w:val="00C179EB"/>
    <w:rsid w:val="00C17DC3"/>
    <w:rsid w:val="00C17EA5"/>
    <w:rsid w:val="00C17FC3"/>
    <w:rsid w:val="00C20038"/>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2E4"/>
    <w:rsid w:val="00C224D9"/>
    <w:rsid w:val="00C2254D"/>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7E3"/>
    <w:rsid w:val="00C248A8"/>
    <w:rsid w:val="00C24FF6"/>
    <w:rsid w:val="00C250CC"/>
    <w:rsid w:val="00C253D2"/>
    <w:rsid w:val="00C25A07"/>
    <w:rsid w:val="00C25A2D"/>
    <w:rsid w:val="00C25A38"/>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49B"/>
    <w:rsid w:val="00C36550"/>
    <w:rsid w:val="00C367C7"/>
    <w:rsid w:val="00C367EC"/>
    <w:rsid w:val="00C36886"/>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4FD1"/>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178"/>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0"/>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188"/>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6F3"/>
    <w:rsid w:val="00C667C4"/>
    <w:rsid w:val="00C6681D"/>
    <w:rsid w:val="00C66B29"/>
    <w:rsid w:val="00C6703C"/>
    <w:rsid w:val="00C6742F"/>
    <w:rsid w:val="00C676EE"/>
    <w:rsid w:val="00C67874"/>
    <w:rsid w:val="00C678F6"/>
    <w:rsid w:val="00C67E1C"/>
    <w:rsid w:val="00C67E40"/>
    <w:rsid w:val="00C67F10"/>
    <w:rsid w:val="00C70084"/>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4F8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426"/>
    <w:rsid w:val="00C7764B"/>
    <w:rsid w:val="00C7765D"/>
    <w:rsid w:val="00C77763"/>
    <w:rsid w:val="00C77AA1"/>
    <w:rsid w:val="00C77CA0"/>
    <w:rsid w:val="00C77EAA"/>
    <w:rsid w:val="00C80530"/>
    <w:rsid w:val="00C8053D"/>
    <w:rsid w:val="00C805B9"/>
    <w:rsid w:val="00C80612"/>
    <w:rsid w:val="00C80766"/>
    <w:rsid w:val="00C8077A"/>
    <w:rsid w:val="00C80A18"/>
    <w:rsid w:val="00C80A98"/>
    <w:rsid w:val="00C80DE5"/>
    <w:rsid w:val="00C8116B"/>
    <w:rsid w:val="00C81354"/>
    <w:rsid w:val="00C813CD"/>
    <w:rsid w:val="00C81487"/>
    <w:rsid w:val="00C81B85"/>
    <w:rsid w:val="00C81CC0"/>
    <w:rsid w:val="00C81E70"/>
    <w:rsid w:val="00C8207F"/>
    <w:rsid w:val="00C826C5"/>
    <w:rsid w:val="00C8272D"/>
    <w:rsid w:val="00C82922"/>
    <w:rsid w:val="00C82968"/>
    <w:rsid w:val="00C82CCB"/>
    <w:rsid w:val="00C82ECE"/>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6DA6"/>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888"/>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70"/>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9BB"/>
    <w:rsid w:val="00CC1DBF"/>
    <w:rsid w:val="00CC1DCC"/>
    <w:rsid w:val="00CC1E69"/>
    <w:rsid w:val="00CC1EC6"/>
    <w:rsid w:val="00CC1EF8"/>
    <w:rsid w:val="00CC212F"/>
    <w:rsid w:val="00CC2382"/>
    <w:rsid w:val="00CC250B"/>
    <w:rsid w:val="00CC259B"/>
    <w:rsid w:val="00CC2701"/>
    <w:rsid w:val="00CC293A"/>
    <w:rsid w:val="00CC2A27"/>
    <w:rsid w:val="00CC2A3A"/>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0FC"/>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3DB"/>
    <w:rsid w:val="00CD5520"/>
    <w:rsid w:val="00CD5713"/>
    <w:rsid w:val="00CD5908"/>
    <w:rsid w:val="00CD5A5C"/>
    <w:rsid w:val="00CD5B99"/>
    <w:rsid w:val="00CD5C88"/>
    <w:rsid w:val="00CD5FE8"/>
    <w:rsid w:val="00CD620A"/>
    <w:rsid w:val="00CD69E7"/>
    <w:rsid w:val="00CD6A76"/>
    <w:rsid w:val="00CD6D39"/>
    <w:rsid w:val="00CD6EAC"/>
    <w:rsid w:val="00CD6F01"/>
    <w:rsid w:val="00CD73DB"/>
    <w:rsid w:val="00CD7575"/>
    <w:rsid w:val="00CD767C"/>
    <w:rsid w:val="00CD7F16"/>
    <w:rsid w:val="00CE0296"/>
    <w:rsid w:val="00CE0318"/>
    <w:rsid w:val="00CE03D2"/>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6"/>
    <w:rsid w:val="00CF304C"/>
    <w:rsid w:val="00CF3670"/>
    <w:rsid w:val="00CF393C"/>
    <w:rsid w:val="00CF3C43"/>
    <w:rsid w:val="00CF3C57"/>
    <w:rsid w:val="00CF404F"/>
    <w:rsid w:val="00CF414C"/>
    <w:rsid w:val="00CF4219"/>
    <w:rsid w:val="00CF44C8"/>
    <w:rsid w:val="00CF4656"/>
    <w:rsid w:val="00CF4F85"/>
    <w:rsid w:val="00CF4FA6"/>
    <w:rsid w:val="00CF5018"/>
    <w:rsid w:val="00CF5257"/>
    <w:rsid w:val="00CF52CF"/>
    <w:rsid w:val="00CF53CD"/>
    <w:rsid w:val="00CF5502"/>
    <w:rsid w:val="00CF55E0"/>
    <w:rsid w:val="00CF56F9"/>
    <w:rsid w:val="00CF5739"/>
    <w:rsid w:val="00CF5772"/>
    <w:rsid w:val="00CF59FB"/>
    <w:rsid w:val="00CF5DBF"/>
    <w:rsid w:val="00CF5E7D"/>
    <w:rsid w:val="00CF5EEA"/>
    <w:rsid w:val="00CF60CE"/>
    <w:rsid w:val="00CF62E7"/>
    <w:rsid w:val="00CF635E"/>
    <w:rsid w:val="00CF63C0"/>
    <w:rsid w:val="00CF65AA"/>
    <w:rsid w:val="00CF660A"/>
    <w:rsid w:val="00CF669A"/>
    <w:rsid w:val="00CF66A1"/>
    <w:rsid w:val="00CF7036"/>
    <w:rsid w:val="00CF7137"/>
    <w:rsid w:val="00CF74E3"/>
    <w:rsid w:val="00CF766A"/>
    <w:rsid w:val="00CF76C2"/>
    <w:rsid w:val="00CF7AFF"/>
    <w:rsid w:val="00CF7CDC"/>
    <w:rsid w:val="00CF7E65"/>
    <w:rsid w:val="00D0041B"/>
    <w:rsid w:val="00D00C21"/>
    <w:rsid w:val="00D00FD7"/>
    <w:rsid w:val="00D012CB"/>
    <w:rsid w:val="00D0137F"/>
    <w:rsid w:val="00D01726"/>
    <w:rsid w:val="00D01B3A"/>
    <w:rsid w:val="00D01BC3"/>
    <w:rsid w:val="00D01C47"/>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4ED3"/>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8E6"/>
    <w:rsid w:val="00D07D23"/>
    <w:rsid w:val="00D07EB3"/>
    <w:rsid w:val="00D1008B"/>
    <w:rsid w:val="00D10096"/>
    <w:rsid w:val="00D10632"/>
    <w:rsid w:val="00D106A0"/>
    <w:rsid w:val="00D10784"/>
    <w:rsid w:val="00D1090B"/>
    <w:rsid w:val="00D109BF"/>
    <w:rsid w:val="00D10D36"/>
    <w:rsid w:val="00D10D3B"/>
    <w:rsid w:val="00D10DD2"/>
    <w:rsid w:val="00D10EEB"/>
    <w:rsid w:val="00D10FBC"/>
    <w:rsid w:val="00D111D2"/>
    <w:rsid w:val="00D11424"/>
    <w:rsid w:val="00D11B4C"/>
    <w:rsid w:val="00D11BA8"/>
    <w:rsid w:val="00D11D3E"/>
    <w:rsid w:val="00D11DF8"/>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A30"/>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57"/>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7F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C7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6E9"/>
    <w:rsid w:val="00D627DA"/>
    <w:rsid w:val="00D62858"/>
    <w:rsid w:val="00D6287C"/>
    <w:rsid w:val="00D629F4"/>
    <w:rsid w:val="00D62B65"/>
    <w:rsid w:val="00D62BF2"/>
    <w:rsid w:val="00D62E02"/>
    <w:rsid w:val="00D63089"/>
    <w:rsid w:val="00D6318E"/>
    <w:rsid w:val="00D631D4"/>
    <w:rsid w:val="00D6331E"/>
    <w:rsid w:val="00D63324"/>
    <w:rsid w:val="00D63329"/>
    <w:rsid w:val="00D6357D"/>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CF"/>
    <w:rsid w:val="00D65CD5"/>
    <w:rsid w:val="00D65D22"/>
    <w:rsid w:val="00D65DBB"/>
    <w:rsid w:val="00D65E0A"/>
    <w:rsid w:val="00D65F79"/>
    <w:rsid w:val="00D66259"/>
    <w:rsid w:val="00D662F5"/>
    <w:rsid w:val="00D66DFE"/>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724"/>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6C"/>
    <w:rsid w:val="00D80DA2"/>
    <w:rsid w:val="00D80E22"/>
    <w:rsid w:val="00D81231"/>
    <w:rsid w:val="00D8183C"/>
    <w:rsid w:val="00D818A4"/>
    <w:rsid w:val="00D8242C"/>
    <w:rsid w:val="00D827D1"/>
    <w:rsid w:val="00D827F2"/>
    <w:rsid w:val="00D828A6"/>
    <w:rsid w:val="00D82CD6"/>
    <w:rsid w:val="00D832B9"/>
    <w:rsid w:val="00D83398"/>
    <w:rsid w:val="00D83410"/>
    <w:rsid w:val="00D8348E"/>
    <w:rsid w:val="00D83660"/>
    <w:rsid w:val="00D836EF"/>
    <w:rsid w:val="00D8389F"/>
    <w:rsid w:val="00D8398B"/>
    <w:rsid w:val="00D839EE"/>
    <w:rsid w:val="00D83AE2"/>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6CE"/>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90"/>
    <w:rsid w:val="00D92BEF"/>
    <w:rsid w:val="00D92CCF"/>
    <w:rsid w:val="00D92F56"/>
    <w:rsid w:val="00D931E2"/>
    <w:rsid w:val="00D93719"/>
    <w:rsid w:val="00D939FD"/>
    <w:rsid w:val="00D93A3A"/>
    <w:rsid w:val="00D93B11"/>
    <w:rsid w:val="00D93B53"/>
    <w:rsid w:val="00D93C24"/>
    <w:rsid w:val="00D94234"/>
    <w:rsid w:val="00D94689"/>
    <w:rsid w:val="00D948A7"/>
    <w:rsid w:val="00D9496E"/>
    <w:rsid w:val="00D94B94"/>
    <w:rsid w:val="00D94DE7"/>
    <w:rsid w:val="00D950A6"/>
    <w:rsid w:val="00D952DD"/>
    <w:rsid w:val="00D956C3"/>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5FA"/>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C94"/>
    <w:rsid w:val="00DA3FD4"/>
    <w:rsid w:val="00DA4506"/>
    <w:rsid w:val="00DA4620"/>
    <w:rsid w:val="00DA4784"/>
    <w:rsid w:val="00DA48A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6DD8"/>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0FE4"/>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3FE"/>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A29"/>
    <w:rsid w:val="00DD1B0D"/>
    <w:rsid w:val="00DD1B30"/>
    <w:rsid w:val="00DD1CF4"/>
    <w:rsid w:val="00DD1ECF"/>
    <w:rsid w:val="00DD1FDF"/>
    <w:rsid w:val="00DD2007"/>
    <w:rsid w:val="00DD2405"/>
    <w:rsid w:val="00DD242E"/>
    <w:rsid w:val="00DD2574"/>
    <w:rsid w:val="00DD25D2"/>
    <w:rsid w:val="00DD2608"/>
    <w:rsid w:val="00DD2791"/>
    <w:rsid w:val="00DD27DA"/>
    <w:rsid w:val="00DD2922"/>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5D"/>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B8F"/>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B2"/>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063"/>
    <w:rsid w:val="00E045C3"/>
    <w:rsid w:val="00E048FF"/>
    <w:rsid w:val="00E04AB7"/>
    <w:rsid w:val="00E05064"/>
    <w:rsid w:val="00E050EF"/>
    <w:rsid w:val="00E05400"/>
    <w:rsid w:val="00E054E7"/>
    <w:rsid w:val="00E0556C"/>
    <w:rsid w:val="00E055B0"/>
    <w:rsid w:val="00E05789"/>
    <w:rsid w:val="00E0591A"/>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92B"/>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B8A"/>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085"/>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38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8B0"/>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26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3BE"/>
    <w:rsid w:val="00E556E9"/>
    <w:rsid w:val="00E557A0"/>
    <w:rsid w:val="00E557B2"/>
    <w:rsid w:val="00E5589A"/>
    <w:rsid w:val="00E55AA5"/>
    <w:rsid w:val="00E562E2"/>
    <w:rsid w:val="00E564EC"/>
    <w:rsid w:val="00E5659C"/>
    <w:rsid w:val="00E568D0"/>
    <w:rsid w:val="00E56965"/>
    <w:rsid w:val="00E56C80"/>
    <w:rsid w:val="00E56D16"/>
    <w:rsid w:val="00E56F67"/>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2B8"/>
    <w:rsid w:val="00E62336"/>
    <w:rsid w:val="00E6236B"/>
    <w:rsid w:val="00E624C5"/>
    <w:rsid w:val="00E624C9"/>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963"/>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4B8"/>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2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38"/>
    <w:rsid w:val="00EA25D3"/>
    <w:rsid w:val="00EA2618"/>
    <w:rsid w:val="00EA2665"/>
    <w:rsid w:val="00EA2893"/>
    <w:rsid w:val="00EA2A3E"/>
    <w:rsid w:val="00EA2B7F"/>
    <w:rsid w:val="00EA2E51"/>
    <w:rsid w:val="00EA2F8C"/>
    <w:rsid w:val="00EA3110"/>
    <w:rsid w:val="00EA32C4"/>
    <w:rsid w:val="00EA342F"/>
    <w:rsid w:val="00EA3D1F"/>
    <w:rsid w:val="00EA3F83"/>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8E5"/>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36A"/>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3F"/>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68E"/>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85D"/>
    <w:rsid w:val="00EC5909"/>
    <w:rsid w:val="00EC5959"/>
    <w:rsid w:val="00EC5ABE"/>
    <w:rsid w:val="00EC5C1D"/>
    <w:rsid w:val="00EC5E5B"/>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39"/>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040"/>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345"/>
    <w:rsid w:val="00EF3821"/>
    <w:rsid w:val="00EF3AFF"/>
    <w:rsid w:val="00EF3C24"/>
    <w:rsid w:val="00EF3F75"/>
    <w:rsid w:val="00EF3FAA"/>
    <w:rsid w:val="00EF409D"/>
    <w:rsid w:val="00EF4185"/>
    <w:rsid w:val="00EF421E"/>
    <w:rsid w:val="00EF4329"/>
    <w:rsid w:val="00EF4717"/>
    <w:rsid w:val="00EF4A02"/>
    <w:rsid w:val="00EF4C3E"/>
    <w:rsid w:val="00EF4CD2"/>
    <w:rsid w:val="00EF4E7D"/>
    <w:rsid w:val="00EF4FE3"/>
    <w:rsid w:val="00EF5016"/>
    <w:rsid w:val="00EF51F9"/>
    <w:rsid w:val="00EF5211"/>
    <w:rsid w:val="00EF52A4"/>
    <w:rsid w:val="00EF548C"/>
    <w:rsid w:val="00EF565C"/>
    <w:rsid w:val="00EF58B7"/>
    <w:rsid w:val="00EF5AD7"/>
    <w:rsid w:val="00EF5BE3"/>
    <w:rsid w:val="00EF5C38"/>
    <w:rsid w:val="00EF60FC"/>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310"/>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5E2F"/>
    <w:rsid w:val="00F06199"/>
    <w:rsid w:val="00F06919"/>
    <w:rsid w:val="00F06A1D"/>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8A5"/>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5D3"/>
    <w:rsid w:val="00F176A5"/>
    <w:rsid w:val="00F177AF"/>
    <w:rsid w:val="00F17AB4"/>
    <w:rsid w:val="00F17DD5"/>
    <w:rsid w:val="00F17DD9"/>
    <w:rsid w:val="00F20577"/>
    <w:rsid w:val="00F205EC"/>
    <w:rsid w:val="00F20B8E"/>
    <w:rsid w:val="00F20D0A"/>
    <w:rsid w:val="00F20E19"/>
    <w:rsid w:val="00F20F6E"/>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BB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0F85"/>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93A"/>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903"/>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3BA3"/>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48D"/>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17DA"/>
    <w:rsid w:val="00F71BE2"/>
    <w:rsid w:val="00F72086"/>
    <w:rsid w:val="00F721FA"/>
    <w:rsid w:val="00F7226B"/>
    <w:rsid w:val="00F7257C"/>
    <w:rsid w:val="00F728DC"/>
    <w:rsid w:val="00F72A45"/>
    <w:rsid w:val="00F72C7E"/>
    <w:rsid w:val="00F72E31"/>
    <w:rsid w:val="00F73078"/>
    <w:rsid w:val="00F730C5"/>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87A"/>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1F92"/>
    <w:rsid w:val="00F82160"/>
    <w:rsid w:val="00F826F3"/>
    <w:rsid w:val="00F82788"/>
    <w:rsid w:val="00F82807"/>
    <w:rsid w:val="00F82980"/>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57D"/>
    <w:rsid w:val="00F9274A"/>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4A6"/>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1FBB"/>
    <w:rsid w:val="00FA2056"/>
    <w:rsid w:val="00FA214F"/>
    <w:rsid w:val="00FA2254"/>
    <w:rsid w:val="00FA2333"/>
    <w:rsid w:val="00FA265D"/>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3F63"/>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798"/>
    <w:rsid w:val="00FA6A01"/>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1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2F52"/>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5F52"/>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3A1"/>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2"/>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094"/>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088"/>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5C4"/>
    <w:rsid w:val="00FE068E"/>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282"/>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109"/>
    <w:rsid w:val="00FE522F"/>
    <w:rsid w:val="00FE5980"/>
    <w:rsid w:val="00FE5C69"/>
    <w:rsid w:val="00FE609C"/>
    <w:rsid w:val="00FE6230"/>
    <w:rsid w:val="00FE6468"/>
    <w:rsid w:val="00FE6646"/>
    <w:rsid w:val="00FE669B"/>
    <w:rsid w:val="00FE6CD3"/>
    <w:rsid w:val="00FE714D"/>
    <w:rsid w:val="00FE7352"/>
    <w:rsid w:val="00FE78CE"/>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2E0"/>
    <w:rsid w:val="00FF34C8"/>
    <w:rsid w:val="00FF36BD"/>
    <w:rsid w:val="00FF381C"/>
    <w:rsid w:val="00FF3A8F"/>
    <w:rsid w:val="00FF3B13"/>
    <w:rsid w:val="00FF3B76"/>
    <w:rsid w:val="00FF3CCA"/>
    <w:rsid w:val="00FF4083"/>
    <w:rsid w:val="00FF41EC"/>
    <w:rsid w:val="00FF43EE"/>
    <w:rsid w:val="00FF44D7"/>
    <w:rsid w:val="00FF45ED"/>
    <w:rsid w:val="00FF48E6"/>
    <w:rsid w:val="00FF4ACE"/>
    <w:rsid w:val="00FF4AD0"/>
    <w:rsid w:val="00FF4B29"/>
    <w:rsid w:val="00FF4B4F"/>
    <w:rsid w:val="00FF4D99"/>
    <w:rsid w:val="00FF4DA1"/>
    <w:rsid w:val="00FF5225"/>
    <w:rsid w:val="00FF5450"/>
    <w:rsid w:val="00FF547C"/>
    <w:rsid w:val="00FF55A3"/>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6140F64"/>
    <w:rsid w:val="07493B36"/>
    <w:rsid w:val="08AF3439"/>
    <w:rsid w:val="090B318D"/>
    <w:rsid w:val="0B660C1A"/>
    <w:rsid w:val="133B434D"/>
    <w:rsid w:val="14361A0C"/>
    <w:rsid w:val="1478306A"/>
    <w:rsid w:val="147A532B"/>
    <w:rsid w:val="17F93E0B"/>
    <w:rsid w:val="1C455CA5"/>
    <w:rsid w:val="1D2C69D2"/>
    <w:rsid w:val="1F44415E"/>
    <w:rsid w:val="20586E69"/>
    <w:rsid w:val="239E00B4"/>
    <w:rsid w:val="24721AF3"/>
    <w:rsid w:val="251E74A4"/>
    <w:rsid w:val="26747E2C"/>
    <w:rsid w:val="26834513"/>
    <w:rsid w:val="27843CE5"/>
    <w:rsid w:val="28A157E6"/>
    <w:rsid w:val="2913389D"/>
    <w:rsid w:val="2CB226D2"/>
    <w:rsid w:val="2DB33C26"/>
    <w:rsid w:val="31E47498"/>
    <w:rsid w:val="32EB653A"/>
    <w:rsid w:val="3665732F"/>
    <w:rsid w:val="36CB0B0B"/>
    <w:rsid w:val="38F828E9"/>
    <w:rsid w:val="3BCB6780"/>
    <w:rsid w:val="3F9651BD"/>
    <w:rsid w:val="413022F2"/>
    <w:rsid w:val="42CD0A98"/>
    <w:rsid w:val="431A0C09"/>
    <w:rsid w:val="480E2158"/>
    <w:rsid w:val="4A6D20DB"/>
    <w:rsid w:val="4AD5141A"/>
    <w:rsid w:val="4B65373A"/>
    <w:rsid w:val="4CE27CEC"/>
    <w:rsid w:val="4D00163A"/>
    <w:rsid w:val="4F0F5BE3"/>
    <w:rsid w:val="52422029"/>
    <w:rsid w:val="52D26DBE"/>
    <w:rsid w:val="55040901"/>
    <w:rsid w:val="55134FAA"/>
    <w:rsid w:val="56C87ADD"/>
    <w:rsid w:val="56DF05DE"/>
    <w:rsid w:val="579119BE"/>
    <w:rsid w:val="57FC6189"/>
    <w:rsid w:val="58D24B62"/>
    <w:rsid w:val="59AB3E29"/>
    <w:rsid w:val="5A0352CE"/>
    <w:rsid w:val="5F073306"/>
    <w:rsid w:val="5F5F73B9"/>
    <w:rsid w:val="63D376CF"/>
    <w:rsid w:val="6582360D"/>
    <w:rsid w:val="6838144E"/>
    <w:rsid w:val="68AA7398"/>
    <w:rsid w:val="6A283551"/>
    <w:rsid w:val="6AAD0963"/>
    <w:rsid w:val="6D9A6A85"/>
    <w:rsid w:val="71B9677C"/>
    <w:rsid w:val="73462AA4"/>
    <w:rsid w:val="73D613BC"/>
    <w:rsid w:val="742C597A"/>
    <w:rsid w:val="7A9E2EB4"/>
    <w:rsid w:val="7DFF22A6"/>
    <w:rsid w:val="7EE60843"/>
    <w:rsid w:val="BE9B761B"/>
    <w:rsid w:val="EFC7E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0"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29" w:semiHidden="0" w:name="Medium Shading 1 Accent 3"/>
    <w:lsdException w:qFormat="1" w:unhideWhenUsed="0" w:uiPriority="30"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29" w:semiHidden="0" w:name="Colorful List Accent 3"/>
    <w:lsdException w:qFormat="1" w:unhideWhenUsed="0" w:uiPriority="30"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0"/>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65"/>
    <w:qFormat/>
    <w:uiPriority w:val="9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66"/>
    <w:qFormat/>
    <w:uiPriority w:val="99"/>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41"/>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242"/>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43"/>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44"/>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45"/>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46"/>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6">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73"/>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index 5"/>
    <w:basedOn w:val="1"/>
    <w:next w:val="1"/>
    <w:qFormat/>
    <w:uiPriority w:val="99"/>
    <w:pPr>
      <w:ind w:left="800" w:leftChars="800"/>
    </w:pPr>
  </w:style>
  <w:style w:type="paragraph" w:styleId="15">
    <w:name w:val="Document Map"/>
    <w:basedOn w:val="1"/>
    <w:link w:val="247"/>
    <w:qFormat/>
    <w:uiPriority w:val="99"/>
    <w:pPr>
      <w:shd w:val="clear" w:color="auto" w:fill="000080"/>
    </w:pPr>
  </w:style>
  <w:style w:type="paragraph" w:styleId="16">
    <w:name w:val="toa heading"/>
    <w:basedOn w:val="1"/>
    <w:next w:val="1"/>
    <w:qFormat/>
    <w:uiPriority w:val="0"/>
    <w:pPr>
      <w:spacing w:before="120"/>
    </w:pPr>
    <w:rPr>
      <w:rFonts w:ascii="Arial" w:hAnsi="Arial" w:cs="Arial"/>
      <w:sz w:val="24"/>
    </w:rPr>
  </w:style>
  <w:style w:type="paragraph" w:styleId="17">
    <w:name w:val="annotation text"/>
    <w:basedOn w:val="1"/>
    <w:link w:val="193"/>
    <w:qFormat/>
    <w:uiPriority w:val="99"/>
    <w:pPr>
      <w:jc w:val="left"/>
    </w:pPr>
  </w:style>
  <w:style w:type="paragraph" w:styleId="18">
    <w:name w:val="Body Text 3"/>
    <w:basedOn w:val="1"/>
    <w:link w:val="248"/>
    <w:qFormat/>
    <w:uiPriority w:val="99"/>
    <w:pPr>
      <w:spacing w:after="120"/>
    </w:pPr>
    <w:rPr>
      <w:sz w:val="16"/>
      <w:szCs w:val="16"/>
    </w:rPr>
  </w:style>
  <w:style w:type="paragraph" w:styleId="19">
    <w:name w:val="Body Text"/>
    <w:basedOn w:val="1"/>
    <w:link w:val="249"/>
    <w:qFormat/>
    <w:uiPriority w:val="99"/>
    <w:pPr>
      <w:tabs>
        <w:tab w:val="left" w:pos="567"/>
      </w:tabs>
      <w:spacing w:before="120" w:line="22" w:lineRule="atLeast"/>
    </w:pPr>
    <w:rPr>
      <w:rFonts w:ascii="宋体" w:hAnsi="宋体"/>
      <w:sz w:val="24"/>
    </w:rPr>
  </w:style>
  <w:style w:type="paragraph" w:styleId="20">
    <w:name w:val="Body Text Indent"/>
    <w:basedOn w:val="1"/>
    <w:link w:val="78"/>
    <w:qFormat/>
    <w:uiPriority w:val="0"/>
    <w:pPr>
      <w:spacing w:line="360" w:lineRule="auto"/>
      <w:ind w:firstLine="570"/>
    </w:pPr>
    <w:rPr>
      <w:sz w:val="24"/>
    </w:rPr>
  </w:style>
  <w:style w:type="paragraph" w:styleId="21">
    <w:name w:val="List 2"/>
    <w:basedOn w:val="1"/>
    <w:qFormat/>
    <w:uiPriority w:val="0"/>
    <w:pPr>
      <w:ind w:left="100" w:leftChars="200" w:hanging="200" w:hangingChars="200"/>
    </w:pPr>
  </w:style>
  <w:style w:type="paragraph" w:styleId="22">
    <w:name w:val="Block Text"/>
    <w:basedOn w:val="1"/>
    <w:qFormat/>
    <w:uiPriority w:val="99"/>
    <w:pPr>
      <w:widowControl/>
      <w:ind w:left="480" w:right="-341" w:firstLine="513"/>
    </w:pPr>
    <w:rPr>
      <w:kern w:val="0"/>
      <w:sz w:val="24"/>
      <w:szCs w:val="20"/>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213"/>
    <w:qFormat/>
    <w:uiPriority w:val="99"/>
    <w:rPr>
      <w:rFonts w:hint="eastAsia" w:ascii="宋体" w:hAnsi="Courier New"/>
      <w:szCs w:val="20"/>
    </w:rPr>
  </w:style>
  <w:style w:type="paragraph" w:styleId="26">
    <w:name w:val="toc 8"/>
    <w:basedOn w:val="1"/>
    <w:next w:val="1"/>
    <w:qFormat/>
    <w:uiPriority w:val="0"/>
    <w:pPr>
      <w:ind w:left="2940" w:leftChars="1400"/>
    </w:pPr>
  </w:style>
  <w:style w:type="paragraph" w:styleId="27">
    <w:name w:val="Date"/>
    <w:basedOn w:val="1"/>
    <w:next w:val="1"/>
    <w:link w:val="250"/>
    <w:qFormat/>
    <w:uiPriority w:val="99"/>
    <w:pPr>
      <w:ind w:left="100" w:leftChars="2500"/>
    </w:pPr>
    <w:rPr>
      <w:rFonts w:ascii="仿宋_GB2312" w:hAnsi="宋体" w:eastAsia="仿宋_GB2312"/>
      <w:color w:val="000000"/>
      <w:sz w:val="24"/>
    </w:rPr>
  </w:style>
  <w:style w:type="paragraph" w:styleId="28">
    <w:name w:val="Body Text Indent 2"/>
    <w:basedOn w:val="1"/>
    <w:link w:val="251"/>
    <w:qFormat/>
    <w:uiPriority w:val="0"/>
    <w:pPr>
      <w:ind w:firstLine="480" w:firstLineChars="200"/>
    </w:pPr>
    <w:rPr>
      <w:rFonts w:ascii="仿宋_GB2312" w:eastAsia="仿宋_GB2312"/>
      <w:sz w:val="24"/>
    </w:rPr>
  </w:style>
  <w:style w:type="paragraph" w:styleId="29">
    <w:name w:val="Balloon Text"/>
    <w:basedOn w:val="1"/>
    <w:link w:val="252"/>
    <w:qFormat/>
    <w:uiPriority w:val="99"/>
    <w:rPr>
      <w:sz w:val="18"/>
      <w:szCs w:val="18"/>
    </w:rPr>
  </w:style>
  <w:style w:type="paragraph" w:styleId="30">
    <w:name w:val="footer"/>
    <w:basedOn w:val="1"/>
    <w:link w:val="180"/>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31">
    <w:name w:val="header"/>
    <w:basedOn w:val="1"/>
    <w:link w:val="87"/>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qFormat/>
    <w:uiPriority w:val="0"/>
    <w:pPr>
      <w:ind w:left="1260" w:leftChars="600"/>
    </w:pPr>
  </w:style>
  <w:style w:type="paragraph" w:styleId="34">
    <w:name w:val="index heading"/>
    <w:basedOn w:val="1"/>
    <w:next w:val="35"/>
    <w:qFormat/>
    <w:uiPriority w:val="0"/>
    <w:rPr>
      <w:rFonts w:ascii="Calibri" w:hAnsi="Calibri"/>
    </w:rPr>
  </w:style>
  <w:style w:type="paragraph" w:styleId="35">
    <w:name w:val="index 1"/>
    <w:basedOn w:val="1"/>
    <w:next w:val="1"/>
    <w:qFormat/>
    <w:uiPriority w:val="99"/>
    <w:rPr>
      <w:szCs w:val="20"/>
    </w:rPr>
  </w:style>
  <w:style w:type="paragraph" w:styleId="36">
    <w:name w:val="Subtitle"/>
    <w:basedOn w:val="1"/>
    <w:next w:val="1"/>
    <w:link w:val="264"/>
    <w:qFormat/>
    <w:uiPriority w:val="11"/>
    <w:pPr>
      <w:widowControl/>
      <w:adjustRightInd w:val="0"/>
      <w:snapToGrid w:val="0"/>
      <w:spacing w:before="240" w:after="60" w:line="312" w:lineRule="auto"/>
      <w:jc w:val="center"/>
      <w:outlineLvl w:val="1"/>
    </w:pPr>
    <w:rPr>
      <w:rFonts w:ascii="Cambria" w:hAnsi="Cambria"/>
      <w:b/>
      <w:bCs/>
      <w:kern w:val="28"/>
      <w:sz w:val="32"/>
      <w:szCs w:val="32"/>
    </w:rPr>
  </w:style>
  <w:style w:type="paragraph" w:styleId="37">
    <w:name w:val="List"/>
    <w:basedOn w:val="1"/>
    <w:qFormat/>
    <w:uiPriority w:val="99"/>
    <w:pPr>
      <w:widowControl/>
      <w:adjustRightInd w:val="0"/>
      <w:spacing w:after="120" w:line="360" w:lineRule="atLeast"/>
      <w:ind w:left="420" w:hanging="420"/>
      <w:jc w:val="left"/>
    </w:pPr>
    <w:rPr>
      <w:rFonts w:hint="eastAsia" w:ascii="宋体" w:hAnsi="Calibri"/>
      <w:kern w:val="0"/>
      <w:sz w:val="24"/>
      <w:szCs w:val="20"/>
    </w:rPr>
  </w:style>
  <w:style w:type="paragraph" w:styleId="38">
    <w:name w:val="footnote text"/>
    <w:basedOn w:val="1"/>
    <w:link w:val="265"/>
    <w:qFormat/>
    <w:uiPriority w:val="0"/>
    <w:pPr>
      <w:widowControl/>
      <w:adjustRightInd w:val="0"/>
      <w:snapToGrid w:val="0"/>
      <w:spacing w:after="200"/>
      <w:jc w:val="left"/>
    </w:pPr>
    <w:rPr>
      <w:sz w:val="18"/>
      <w:szCs w:val="18"/>
    </w:rPr>
  </w:style>
  <w:style w:type="paragraph" w:styleId="39">
    <w:name w:val="toc 6"/>
    <w:basedOn w:val="1"/>
    <w:next w:val="1"/>
    <w:qFormat/>
    <w:uiPriority w:val="0"/>
    <w:pPr>
      <w:ind w:left="2100" w:leftChars="1000"/>
    </w:pPr>
  </w:style>
  <w:style w:type="paragraph" w:styleId="40">
    <w:name w:val="Body Text Indent 3"/>
    <w:basedOn w:val="1"/>
    <w:link w:val="253"/>
    <w:qFormat/>
    <w:uiPriority w:val="99"/>
    <w:pPr>
      <w:autoSpaceDE w:val="0"/>
      <w:autoSpaceDN w:val="0"/>
      <w:adjustRightInd w:val="0"/>
      <w:spacing w:before="120" w:line="22" w:lineRule="atLeast"/>
      <w:ind w:left="720" w:firstLine="480"/>
      <w:jc w:val="left"/>
    </w:pPr>
    <w:rPr>
      <w:rFonts w:ascii="宋体"/>
      <w:kern w:val="0"/>
      <w:sz w:val="24"/>
      <w:szCs w:val="20"/>
    </w:rPr>
  </w:style>
  <w:style w:type="paragraph" w:styleId="41">
    <w:name w:val="toc 2"/>
    <w:basedOn w:val="1"/>
    <w:next w:val="1"/>
    <w:qFormat/>
    <w:uiPriority w:val="39"/>
    <w:pPr>
      <w:tabs>
        <w:tab w:val="right" w:leader="dot" w:pos="8937"/>
      </w:tabs>
      <w:spacing w:line="312" w:lineRule="auto"/>
      <w:ind w:left="420" w:leftChars="200"/>
    </w:pPr>
  </w:style>
  <w:style w:type="paragraph" w:styleId="42">
    <w:name w:val="toc 9"/>
    <w:basedOn w:val="1"/>
    <w:next w:val="1"/>
    <w:qFormat/>
    <w:uiPriority w:val="0"/>
    <w:pPr>
      <w:ind w:left="3360" w:leftChars="1600"/>
    </w:pPr>
  </w:style>
  <w:style w:type="paragraph" w:styleId="43">
    <w:name w:val="Body Text 2"/>
    <w:basedOn w:val="1"/>
    <w:link w:val="263"/>
    <w:qFormat/>
    <w:uiPriority w:val="99"/>
    <w:pPr>
      <w:widowControl/>
      <w:adjustRightInd w:val="0"/>
      <w:snapToGrid w:val="0"/>
      <w:spacing w:after="120" w:line="480" w:lineRule="auto"/>
      <w:jc w:val="left"/>
    </w:pPr>
    <w:rPr>
      <w:rFonts w:ascii="Tahoma" w:hAnsi="Tahoma"/>
      <w:kern w:val="0"/>
      <w:sz w:val="22"/>
      <w:szCs w:val="22"/>
    </w:rPr>
  </w:style>
  <w:style w:type="paragraph" w:styleId="44">
    <w:name w:val="HTML Preformatted"/>
    <w:basedOn w:val="1"/>
    <w:link w:val="25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6">
    <w:name w:val="Title"/>
    <w:basedOn w:val="1"/>
    <w:link w:val="199"/>
    <w:qFormat/>
    <w:uiPriority w:val="0"/>
    <w:pPr>
      <w:jc w:val="center"/>
      <w:outlineLvl w:val="0"/>
    </w:pPr>
    <w:rPr>
      <w:b/>
      <w:sz w:val="32"/>
      <w:szCs w:val="20"/>
    </w:rPr>
  </w:style>
  <w:style w:type="paragraph" w:styleId="47">
    <w:name w:val="annotation subject"/>
    <w:basedOn w:val="17"/>
    <w:next w:val="17"/>
    <w:link w:val="255"/>
    <w:qFormat/>
    <w:uiPriority w:val="99"/>
    <w:rPr>
      <w:b/>
      <w:bCs/>
    </w:rPr>
  </w:style>
  <w:style w:type="paragraph" w:styleId="48">
    <w:name w:val="Body Text First Indent 2"/>
    <w:basedOn w:val="20"/>
    <w:link w:val="256"/>
    <w:qFormat/>
    <w:uiPriority w:val="0"/>
    <w:pPr>
      <w:spacing w:after="120" w:line="480" w:lineRule="exact"/>
      <w:ind w:left="420" w:leftChars="200" w:firstLine="420" w:firstLineChars="200"/>
    </w:pPr>
    <w:rPr>
      <w:szCs w:val="20"/>
    </w:rPr>
  </w:style>
  <w:style w:type="table" w:styleId="50">
    <w:name w:val="Table Grid"/>
    <w:basedOn w:val="4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1">
    <w:name w:val="Medium Shading 1 Accent 3"/>
    <w:basedOn w:val="49"/>
    <w:qFormat/>
    <w:uiPriority w:val="29"/>
    <w:rPr>
      <w:i/>
      <w:iCs/>
      <w:color w:val="404040"/>
    </w:rPr>
    <w:tblPr>
      <w:tblBorders>
        <w:top w:val="single" w:color="BBBBBB" w:sz="8" w:space="0"/>
        <w:left w:val="single" w:color="BBBBBB" w:sz="8" w:space="0"/>
        <w:bottom w:val="single" w:color="BBBBBB" w:sz="8" w:space="0"/>
        <w:right w:val="single" w:color="BBBBBB" w:sz="8" w:space="0"/>
        <w:insideH w:val="single" w:color="BBBBBB" w:sz="8" w:space="0"/>
      </w:tblBorders>
    </w:tblPr>
    <w:tblStylePr w:type="firstRow">
      <w:pPr>
        <w:spacing w:before="0" w:after="0" w:line="240" w:lineRule="auto"/>
      </w:pPr>
      <w:rPr>
        <w:b/>
        <w:bCs/>
        <w:color w:val="FFFFFF"/>
      </w:rPr>
      <w:tblPr/>
      <w:tcPr>
        <w:tcBorders>
          <w:top w:val="single" w:color="BBBBBB" w:sz="8" w:space="0"/>
          <w:left w:val="single" w:color="BBBBBB" w:sz="8" w:space="0"/>
          <w:bottom w:val="single" w:color="BBBBBB" w:sz="8" w:space="0"/>
          <w:right w:val="single" w:color="BBBBBB" w:sz="8" w:space="0"/>
          <w:insideH w:val="nil"/>
          <w:insideV w:val="nil"/>
          <w:tl2br w:val="nil"/>
          <w:tr2bl w:val="nil"/>
        </w:tcBorders>
        <w:shd w:val="clear" w:color="auto" w:fill="A5A5A5"/>
      </w:tcPr>
    </w:tblStylePr>
    <w:tblStylePr w:type="lastRow">
      <w:pPr>
        <w:spacing w:before="0" w:after="0" w:line="240" w:lineRule="auto"/>
      </w:pPr>
      <w:rPr>
        <w:b/>
        <w:bCs/>
      </w:rPr>
      <w:tblPr/>
      <w:tcPr>
        <w:tcBorders>
          <w:top w:val="double" w:color="BBBBBB" w:sz="6" w:space="0"/>
          <w:left w:val="single" w:color="BBBBBB" w:sz="8" w:space="0"/>
          <w:bottom w:val="single" w:color="BBBBBB" w:sz="8" w:space="0"/>
          <w:right w:val="single" w:color="BBBBBB"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tblStylePr w:type="band2Horz">
      <w:tblPr/>
      <w:tcPr>
        <w:tcBorders>
          <w:top w:val="nil"/>
          <w:left w:val="nil"/>
          <w:bottom w:val="nil"/>
          <w:right w:val="nil"/>
          <w:insideH w:val="nil"/>
          <w:insideV w:val="nil"/>
          <w:tl2br w:val="nil"/>
          <w:tr2bl w:val="nil"/>
        </w:tcBorders>
      </w:tcPr>
    </w:tblStylePr>
  </w:style>
  <w:style w:type="table" w:styleId="52">
    <w:name w:val="Medium Shading 2 Accent 3"/>
    <w:basedOn w:val="49"/>
    <w:qFormat/>
    <w:uiPriority w:val="30"/>
    <w:rPr>
      <w:rFonts w:ascii="Calibri Light" w:hAnsi="Calibri Light"/>
      <w:color w:val="5B9BD5"/>
      <w:sz w:val="28"/>
      <w:szCs w:val="28"/>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l2br w:val="nil"/>
          <w:tr2bl w:val="nil"/>
        </w:tcBorders>
        <w:shd w:val="clear" w:color="auto" w:fill="A5A5A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l2br w:val="nil"/>
          <w:tr2bl w:val="nil"/>
        </w:tcBorders>
        <w:shd w:val="clear" w:color="auto" w:fill="A5A5A5"/>
      </w:tcPr>
    </w:tblStylePr>
    <w:tblStylePr w:type="lastCol">
      <w:rPr>
        <w:b/>
        <w:bCs/>
        <w:color w:val="FFFFFF"/>
      </w:rPr>
      <w:tblPr/>
      <w:tcPr>
        <w:tcBorders>
          <w:top w:val="nil"/>
          <w:left w:val="nil"/>
          <w:bottom w:val="nil"/>
          <w:right w:val="nil"/>
          <w:insideH w:val="nil"/>
          <w:insideV w:val="nil"/>
          <w:tl2br w:val="nil"/>
          <w:tr2bl w:val="nil"/>
        </w:tcBorders>
        <w:shd w:val="clear" w:color="auto" w:fill="A5A5A5"/>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l2br w:val="nil"/>
          <w:tr2bl w:val="nil"/>
        </w:tcBorders>
      </w:tcPr>
    </w:tblStylePr>
    <w:tblStylePr w:type="nwCell">
      <w:rPr>
        <w:color w:val="FFFFFF"/>
      </w:rPr>
      <w:tblPr/>
      <w:tcPr>
        <w:tcBorders>
          <w:top w:val="single" w:color="auto" w:sz="18" w:space="0"/>
          <w:left w:val="nil"/>
          <w:bottom w:val="single" w:color="auto" w:sz="18" w:space="0"/>
          <w:right w:val="nil"/>
          <w:insideH w:val="nil"/>
          <w:insideV w:val="nil"/>
          <w:tl2br w:val="nil"/>
          <w:tr2bl w:val="nil"/>
        </w:tcBorders>
      </w:tcPr>
    </w:tblStylePr>
  </w:style>
  <w:style w:type="table" w:styleId="53">
    <w:name w:val="Medium Grid 1 Accent 2"/>
    <w:basedOn w:val="49"/>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54">
    <w:name w:val="Colorful List Accent 3"/>
    <w:basedOn w:val="49"/>
    <w:qFormat/>
    <w:uiPriority w:val="29"/>
    <w:rPr>
      <w:i/>
      <w:iCs/>
      <w:color w:val="404040"/>
    </w:rPr>
    <w:tblPr>
      <w:tblStyleRowBandSize w:val="1"/>
      <w:tblStyleColBandSize w:val="1"/>
    </w:tblPr>
    <w:tcPr>
      <w:shd w:val="clear" w:color="auto" w:fill="F6F6F6"/>
    </w:tcPr>
    <w:tblStylePr w:type="firstRow">
      <w:rPr>
        <w:b/>
        <w:bCs/>
        <w:color w:val="FFFFFF"/>
      </w:rPr>
      <w:tblPr/>
      <w:tcPr>
        <w:tcBorders>
          <w:top w:val="nil"/>
          <w:left w:val="nil"/>
          <w:bottom w:val="single" w:color="FFFFFF" w:sz="12" w:space="0"/>
          <w:right w:val="nil"/>
          <w:insideH w:val="nil"/>
          <w:insideV w:val="nil"/>
          <w:tl2br w:val="nil"/>
          <w:tr2bl w:val="nil"/>
        </w:tcBorders>
        <w:shd w:val="clear" w:color="auto" w:fill="CC9900"/>
      </w:tcPr>
    </w:tblStylePr>
    <w:tblStylePr w:type="lastRow">
      <w:rPr>
        <w:b/>
        <w:bCs/>
        <w:color w:val="664E82"/>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shd w:val="clear" w:color="auto" w:fill="EDEDED"/>
      </w:tcPr>
    </w:tblStylePr>
  </w:style>
  <w:style w:type="table" w:styleId="55">
    <w:name w:val="Colorful Grid Accent 3"/>
    <w:basedOn w:val="49"/>
    <w:qFormat/>
    <w:uiPriority w:val="30"/>
    <w:rPr>
      <w:rFonts w:ascii="Calibri Light" w:hAnsi="Calibri Light"/>
      <w:color w:val="5B9BD5"/>
      <w:sz w:val="28"/>
      <w:szCs w:val="28"/>
    </w:rPr>
    <w:tblPr>
      <w:tblBorders>
        <w:insideH w:val="single" w:color="FFFFFF" w:sz="4" w:space="0"/>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character" w:styleId="57">
    <w:name w:val="Strong"/>
    <w:qFormat/>
    <w:uiPriority w:val="22"/>
    <w:rPr>
      <w:b/>
      <w:bCs/>
    </w:rPr>
  </w:style>
  <w:style w:type="character" w:styleId="58">
    <w:name w:val="page number"/>
    <w:basedOn w:val="56"/>
    <w:qFormat/>
    <w:uiPriority w:val="99"/>
  </w:style>
  <w:style w:type="character" w:styleId="59">
    <w:name w:val="FollowedHyperlink"/>
    <w:qFormat/>
    <w:uiPriority w:val="0"/>
    <w:rPr>
      <w:color w:val="800080"/>
      <w:u w:val="single"/>
    </w:rPr>
  </w:style>
  <w:style w:type="character" w:styleId="60">
    <w:name w:val="Emphasis"/>
    <w:qFormat/>
    <w:uiPriority w:val="20"/>
    <w:rPr>
      <w:color w:val="CC0033"/>
    </w:rPr>
  </w:style>
  <w:style w:type="character" w:styleId="61">
    <w:name w:val="Hyperlink"/>
    <w:qFormat/>
    <w:uiPriority w:val="99"/>
    <w:rPr>
      <w:color w:val="0000FF"/>
      <w:u w:val="single"/>
    </w:rPr>
  </w:style>
  <w:style w:type="character" w:styleId="62">
    <w:name w:val="annotation reference"/>
    <w:qFormat/>
    <w:uiPriority w:val="99"/>
    <w:rPr>
      <w:sz w:val="21"/>
      <w:szCs w:val="21"/>
    </w:rPr>
  </w:style>
  <w:style w:type="character" w:styleId="63">
    <w:name w:val="HTML Cite"/>
    <w:qFormat/>
    <w:uiPriority w:val="0"/>
    <w:rPr>
      <w:i/>
      <w:iCs/>
    </w:rPr>
  </w:style>
  <w:style w:type="character" w:styleId="64">
    <w:name w:val="footnote reference"/>
    <w:qFormat/>
    <w:uiPriority w:val="0"/>
    <w:rPr>
      <w:vertAlign w:val="superscript"/>
    </w:rPr>
  </w:style>
  <w:style w:type="character" w:customStyle="1" w:styleId="65">
    <w:name w:val="标题 2 字符1"/>
    <w:link w:val="3"/>
    <w:qFormat/>
    <w:uiPriority w:val="0"/>
    <w:rPr>
      <w:rFonts w:ascii="Arial" w:hAnsi="Arial" w:eastAsia="黑体"/>
      <w:b/>
      <w:sz w:val="30"/>
      <w:lang w:val="en-US" w:eastAsia="zh-CN" w:bidi="ar-SA"/>
    </w:rPr>
  </w:style>
  <w:style w:type="character" w:customStyle="1" w:styleId="66">
    <w:name w:val="标题 3 字符1"/>
    <w:link w:val="5"/>
    <w:qFormat/>
    <w:uiPriority w:val="0"/>
    <w:rPr>
      <w:rFonts w:ascii="宋体" w:eastAsia="宋体"/>
      <w:b/>
      <w:sz w:val="24"/>
      <w:u w:val="single"/>
      <w:lang w:val="en-US" w:eastAsia="zh-CN" w:bidi="ar-SA"/>
    </w:rPr>
  </w:style>
  <w:style w:type="character" w:customStyle="1" w:styleId="67">
    <w:name w:val="c21"/>
    <w:qFormat/>
    <w:uiPriority w:val="0"/>
    <w:rPr>
      <w:rFonts w:hint="default" w:ascii="ˎ̥" w:hAnsi="ˎ̥"/>
      <w:color w:val="000000"/>
      <w:sz w:val="20"/>
      <w:szCs w:val="20"/>
      <w:u w:val="none"/>
    </w:rPr>
  </w:style>
  <w:style w:type="character" w:customStyle="1" w:styleId="68">
    <w:name w:val="title4"/>
    <w:qFormat/>
    <w:uiPriority w:val="0"/>
    <w:rPr>
      <w:b/>
      <w:bCs/>
      <w:color w:val="1D87B3"/>
      <w:sz w:val="15"/>
      <w:szCs w:val="15"/>
    </w:rPr>
  </w:style>
  <w:style w:type="character" w:customStyle="1" w:styleId="69">
    <w:name w:val="标题 2 Char Char"/>
    <w:qFormat/>
    <w:uiPriority w:val="0"/>
    <w:rPr>
      <w:rFonts w:ascii="Arial" w:hAnsi="Arial" w:eastAsia="黑体"/>
      <w:b/>
      <w:bCs/>
      <w:kern w:val="2"/>
      <w:sz w:val="32"/>
      <w:szCs w:val="32"/>
      <w:lang w:val="en-US" w:eastAsia="zh-CN" w:bidi="ar-SA"/>
    </w:rPr>
  </w:style>
  <w:style w:type="character" w:customStyle="1" w:styleId="70">
    <w:name w:val="black1"/>
    <w:qFormat/>
    <w:uiPriority w:val="0"/>
    <w:rPr>
      <w:color w:val="000000"/>
    </w:rPr>
  </w:style>
  <w:style w:type="character" w:customStyle="1" w:styleId="71">
    <w:name w:val="street-address"/>
    <w:basedOn w:val="56"/>
    <w:qFormat/>
    <w:uiPriority w:val="0"/>
  </w:style>
  <w:style w:type="character" w:customStyle="1" w:styleId="72">
    <w:name w:val="locality"/>
    <w:basedOn w:val="56"/>
    <w:qFormat/>
    <w:uiPriority w:val="0"/>
  </w:style>
  <w:style w:type="character" w:customStyle="1" w:styleId="73">
    <w:name w:val="正文缩进 字符1"/>
    <w:link w:val="4"/>
    <w:qFormat/>
    <w:uiPriority w:val="0"/>
    <w:rPr>
      <w:rFonts w:ascii="宋体" w:eastAsia="宋体"/>
      <w:kern w:val="2"/>
      <w:sz w:val="24"/>
      <w:szCs w:val="24"/>
      <w:lang w:val="en-US" w:eastAsia="zh-CN" w:bidi="ar-SA"/>
    </w:rPr>
  </w:style>
  <w:style w:type="character" w:customStyle="1" w:styleId="74">
    <w:name w:val="正文文本缩进 Char1"/>
    <w:link w:val="75"/>
    <w:qFormat/>
    <w:uiPriority w:val="99"/>
    <w:rPr>
      <w:rFonts w:ascii="宋体" w:hAnsi="宋体" w:eastAsia="宋体"/>
      <w:sz w:val="24"/>
      <w:szCs w:val="24"/>
      <w:lang w:bidi="ar-SA"/>
    </w:rPr>
  </w:style>
  <w:style w:type="paragraph" w:customStyle="1" w:styleId="75">
    <w:name w:val="正文文本缩进1"/>
    <w:basedOn w:val="1"/>
    <w:link w:val="74"/>
    <w:qFormat/>
    <w:uiPriority w:val="99"/>
    <w:pPr>
      <w:spacing w:line="480" w:lineRule="exact"/>
      <w:ind w:firstLine="480" w:firstLineChars="200"/>
    </w:pPr>
    <w:rPr>
      <w:rFonts w:ascii="宋体" w:hAnsi="宋体"/>
      <w:kern w:val="0"/>
      <w:sz w:val="24"/>
    </w:rPr>
  </w:style>
  <w:style w:type="character" w:customStyle="1" w:styleId="76">
    <w:name w:val="Char Char11"/>
    <w:qFormat/>
    <w:uiPriority w:val="99"/>
    <w:rPr>
      <w:rFonts w:ascii="宋体" w:eastAsia="宋体"/>
      <w:b/>
      <w:sz w:val="24"/>
      <w:u w:val="single"/>
      <w:lang w:val="en-US" w:eastAsia="zh-CN" w:bidi="ar-SA"/>
    </w:rPr>
  </w:style>
  <w:style w:type="character" w:customStyle="1" w:styleId="77">
    <w:name w:val="txt"/>
    <w:basedOn w:val="56"/>
    <w:qFormat/>
    <w:uiPriority w:val="0"/>
  </w:style>
  <w:style w:type="character" w:customStyle="1" w:styleId="78">
    <w:name w:val="正文文本缩进 字符1"/>
    <w:link w:val="20"/>
    <w:qFormat/>
    <w:uiPriority w:val="0"/>
    <w:rPr>
      <w:rFonts w:eastAsia="宋体"/>
      <w:kern w:val="2"/>
      <w:sz w:val="24"/>
      <w:szCs w:val="24"/>
      <w:lang w:val="en-US" w:eastAsia="zh-CN" w:bidi="ar-SA"/>
    </w:rPr>
  </w:style>
  <w:style w:type="character" w:customStyle="1" w:styleId="79">
    <w:name w:val="正文缩进 Char Char"/>
    <w:link w:val="80"/>
    <w:qFormat/>
    <w:uiPriority w:val="0"/>
    <w:rPr>
      <w:rFonts w:ascii="宋体" w:eastAsia="宋体"/>
      <w:snapToGrid w:val="0"/>
      <w:color w:val="000000"/>
      <w:kern w:val="28"/>
      <w:sz w:val="28"/>
      <w:lang w:bidi="ar-SA"/>
    </w:rPr>
  </w:style>
  <w:style w:type="paragraph" w:customStyle="1" w:styleId="80">
    <w:name w:val="正文缩进1"/>
    <w:basedOn w:val="1"/>
    <w:link w:val="79"/>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81">
    <w:name w:val="普通文字1 Char1"/>
    <w:qFormat/>
    <w:uiPriority w:val="0"/>
    <w:rPr>
      <w:rFonts w:ascii="宋体" w:hAnsi="Courier New" w:eastAsia="宋体"/>
      <w:kern w:val="2"/>
      <w:sz w:val="21"/>
      <w:lang w:val="en-US" w:eastAsia="zh-CN" w:bidi="ar-SA"/>
    </w:rPr>
  </w:style>
  <w:style w:type="character" w:customStyle="1" w:styleId="82">
    <w:name w:val="chanpin1"/>
    <w:qFormat/>
    <w:uiPriority w:val="0"/>
    <w:rPr>
      <w:rFonts w:hint="default" w:ascii="ˎ̥" w:hAnsi="ˎ̥"/>
      <w:color w:val="000000"/>
      <w:sz w:val="20"/>
      <w:szCs w:val="20"/>
      <w:u w:val="none"/>
    </w:rPr>
  </w:style>
  <w:style w:type="character" w:customStyle="1" w:styleId="83">
    <w:name w:val="列出段落 字符"/>
    <w:link w:val="84"/>
    <w:qFormat/>
    <w:uiPriority w:val="34"/>
    <w:rPr>
      <w:rFonts w:ascii="Calibri" w:hAnsi="Calibri" w:eastAsia="宋体"/>
      <w:kern w:val="2"/>
      <w:sz w:val="21"/>
      <w:szCs w:val="22"/>
      <w:lang w:val="en-US" w:eastAsia="zh-CN" w:bidi="ar-SA"/>
    </w:rPr>
  </w:style>
  <w:style w:type="paragraph" w:styleId="84">
    <w:name w:val="List Paragraph"/>
    <w:basedOn w:val="1"/>
    <w:link w:val="83"/>
    <w:qFormat/>
    <w:uiPriority w:val="34"/>
    <w:pPr>
      <w:ind w:firstLine="420" w:firstLineChars="200"/>
    </w:pPr>
    <w:rPr>
      <w:rFonts w:ascii="Calibri" w:hAnsi="Calibri"/>
      <w:szCs w:val="22"/>
    </w:rPr>
  </w:style>
  <w:style w:type="character" w:customStyle="1" w:styleId="85">
    <w:name w:val="标题 3 Char Char"/>
    <w:qFormat/>
    <w:uiPriority w:val="0"/>
    <w:rPr>
      <w:rFonts w:eastAsia="宋体"/>
      <w:b/>
      <w:bCs/>
      <w:kern w:val="2"/>
      <w:sz w:val="32"/>
      <w:szCs w:val="32"/>
      <w:lang w:val="en-US" w:eastAsia="zh-CN" w:bidi="ar-SA"/>
    </w:rPr>
  </w:style>
  <w:style w:type="character" w:customStyle="1" w:styleId="86">
    <w:name w:val="段1 Char"/>
    <w:qFormat/>
    <w:uiPriority w:val="0"/>
    <w:rPr>
      <w:rFonts w:ascii="宋体" w:eastAsia="宋体"/>
      <w:sz w:val="24"/>
      <w:lang w:val="en-US" w:eastAsia="zh-CN" w:bidi="ar-SA"/>
    </w:rPr>
  </w:style>
  <w:style w:type="character" w:customStyle="1" w:styleId="87">
    <w:name w:val="页眉 字符1"/>
    <w:link w:val="31"/>
    <w:qFormat/>
    <w:uiPriority w:val="99"/>
    <w:rPr>
      <w:rFonts w:eastAsia="宋体"/>
      <w:kern w:val="2"/>
      <w:sz w:val="18"/>
      <w:szCs w:val="18"/>
      <w:lang w:val="en-US" w:eastAsia="zh-CN" w:bidi="ar-SA"/>
    </w:rPr>
  </w:style>
  <w:style w:type="character" w:customStyle="1" w:styleId="88">
    <w:name w:val="chanpin拷贝"/>
    <w:basedOn w:val="56"/>
    <w:qFormat/>
    <w:uiPriority w:val="0"/>
  </w:style>
  <w:style w:type="character" w:customStyle="1" w:styleId="89">
    <w:name w:val="纯文本 Char1"/>
    <w:qFormat/>
    <w:uiPriority w:val="0"/>
    <w:rPr>
      <w:rFonts w:ascii="宋体" w:hAnsi="Courier New" w:eastAsia="宋体"/>
      <w:kern w:val="2"/>
      <w:sz w:val="21"/>
      <w:lang w:val="en-US" w:eastAsia="zh-CN" w:bidi="ar-SA"/>
    </w:rPr>
  </w:style>
  <w:style w:type="character" w:customStyle="1" w:styleId="90">
    <w:name w:val="apple-style-span"/>
    <w:qFormat/>
    <w:uiPriority w:val="0"/>
    <w:rPr>
      <w:rFonts w:cs="Times New Roman"/>
    </w:rPr>
  </w:style>
  <w:style w:type="paragraph" w:customStyle="1" w:styleId="91">
    <w:name w:val="二级条标题"/>
    <w:basedOn w:val="92"/>
    <w:next w:val="1"/>
    <w:qFormat/>
    <w:uiPriority w:val="0"/>
    <w:pPr>
      <w:numPr>
        <w:numId w:val="0"/>
      </w:numPr>
      <w:tabs>
        <w:tab w:val="left" w:pos="360"/>
        <w:tab w:val="left" w:pos="840"/>
      </w:tabs>
      <w:ind w:hanging="840"/>
      <w:outlineLvl w:val="2"/>
    </w:pPr>
    <w:rPr>
      <w:rFonts w:ascii="宋体" w:eastAsia="宋体"/>
      <w:b w:val="0"/>
    </w:rPr>
  </w:style>
  <w:style w:type="paragraph" w:customStyle="1" w:styleId="92">
    <w:name w:val="一级条标题"/>
    <w:basedOn w:val="93"/>
    <w:next w:val="1"/>
    <w:qFormat/>
    <w:uiPriority w:val="0"/>
    <w:pPr>
      <w:numPr>
        <w:ilvl w:val="1"/>
      </w:numPr>
      <w:tabs>
        <w:tab w:val="left" w:pos="360"/>
        <w:tab w:val="left" w:pos="840"/>
      </w:tabs>
      <w:ind w:left="0" w:hanging="840"/>
      <w:outlineLvl w:val="1"/>
    </w:pPr>
  </w:style>
  <w:style w:type="paragraph" w:customStyle="1" w:styleId="9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94">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95">
    <w:name w:val="字元 字元"/>
    <w:basedOn w:val="1"/>
    <w:qFormat/>
    <w:uiPriority w:val="0"/>
    <w:rPr>
      <w:rFonts w:ascii="Tahoma" w:hAnsi="Tahoma"/>
      <w:sz w:val="24"/>
      <w:szCs w:val="20"/>
    </w:rPr>
  </w:style>
  <w:style w:type="paragraph" w:customStyle="1" w:styleId="96">
    <w:name w:val="Char3 Char Char Char"/>
    <w:basedOn w:val="1"/>
    <w:qFormat/>
    <w:uiPriority w:val="0"/>
    <w:rPr>
      <w:rFonts w:ascii="Tahoma" w:hAnsi="Tahoma"/>
      <w:sz w:val="24"/>
      <w:szCs w:val="20"/>
    </w:rPr>
  </w:style>
  <w:style w:type="paragraph" w:customStyle="1" w:styleId="97">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98">
    <w:name w:val="项目编号2"/>
    <w:basedOn w:val="99"/>
    <w:qFormat/>
    <w:uiPriority w:val="0"/>
    <w:pPr>
      <w:numPr>
        <w:numId w:val="2"/>
      </w:numPr>
    </w:pPr>
  </w:style>
  <w:style w:type="paragraph" w:customStyle="1" w:styleId="9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00">
    <w:name w:val="图中文字"/>
    <w:basedOn w:val="1"/>
    <w:qFormat/>
    <w:uiPriority w:val="0"/>
    <w:pPr>
      <w:adjustRightInd w:val="0"/>
      <w:snapToGrid w:val="0"/>
      <w:spacing w:line="0" w:lineRule="atLeast"/>
      <w:jc w:val="center"/>
    </w:pPr>
    <w:rPr>
      <w:sz w:val="24"/>
      <w:szCs w:val="20"/>
    </w:rPr>
  </w:style>
  <w:style w:type="paragraph" w:customStyle="1" w:styleId="101">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0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03">
    <w:name w:val="Char2"/>
    <w:basedOn w:val="1"/>
    <w:qFormat/>
    <w:uiPriority w:val="0"/>
    <w:rPr>
      <w:rFonts w:ascii="Tahoma" w:hAnsi="Tahoma"/>
      <w:sz w:val="24"/>
      <w:szCs w:val="20"/>
    </w:rPr>
  </w:style>
  <w:style w:type="paragraph" w:customStyle="1" w:styleId="104">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6">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07">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8">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1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11">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2">
    <w:name w:val="正文 + 宋体"/>
    <w:basedOn w:val="1"/>
    <w:link w:val="266"/>
    <w:qFormat/>
    <w:uiPriority w:val="0"/>
    <w:pPr>
      <w:widowControl/>
      <w:ind w:left="360" w:hanging="360"/>
      <w:jc w:val="left"/>
    </w:pPr>
    <w:rPr>
      <w:rFonts w:ascii="宋体" w:hAnsi="宋体" w:cs="宋体"/>
      <w:b/>
      <w:bCs/>
      <w:color w:val="000000"/>
      <w:kern w:val="0"/>
      <w:sz w:val="18"/>
      <w:szCs w:val="18"/>
    </w:rPr>
  </w:style>
  <w:style w:type="paragraph" w:customStyle="1" w:styleId="113">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1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5">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17">
    <w:name w:val="font8"/>
    <w:basedOn w:val="1"/>
    <w:qFormat/>
    <w:uiPriority w:val="0"/>
    <w:pPr>
      <w:widowControl/>
      <w:spacing w:before="100" w:beforeAutospacing="1" w:after="100" w:afterAutospacing="1"/>
      <w:jc w:val="left"/>
    </w:pPr>
    <w:rPr>
      <w:kern w:val="0"/>
      <w:sz w:val="36"/>
      <w:szCs w:val="36"/>
    </w:rPr>
  </w:style>
  <w:style w:type="paragraph" w:customStyle="1" w:styleId="118">
    <w:name w:val="Char"/>
    <w:basedOn w:val="1"/>
    <w:qFormat/>
    <w:uiPriority w:val="0"/>
    <w:pPr>
      <w:tabs>
        <w:tab w:val="left" w:pos="360"/>
      </w:tabs>
    </w:pPr>
    <w:rPr>
      <w:sz w:val="24"/>
    </w:rPr>
  </w:style>
  <w:style w:type="paragraph" w:customStyle="1" w:styleId="119">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20">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21">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2">
    <w:name w:val="Char Char1"/>
    <w:basedOn w:val="15"/>
    <w:qFormat/>
    <w:uiPriority w:val="0"/>
    <w:rPr>
      <w:rFonts w:ascii="Tahoma" w:hAnsi="Tahoma"/>
      <w:sz w:val="24"/>
    </w:rPr>
  </w:style>
  <w:style w:type="paragraph" w:customStyle="1" w:styleId="12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2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5">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6">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27">
    <w:name w:val="Char1 Char Char Char1"/>
    <w:basedOn w:val="1"/>
    <w:qFormat/>
    <w:uiPriority w:val="0"/>
    <w:rPr>
      <w:rFonts w:ascii="Tahoma" w:hAnsi="Tahoma" w:cs="仿宋_GB2312"/>
      <w:sz w:val="24"/>
      <w:szCs w:val="28"/>
    </w:rPr>
  </w:style>
  <w:style w:type="paragraph" w:customStyle="1" w:styleId="128">
    <w:name w:val="四级条标题"/>
    <w:basedOn w:val="129"/>
    <w:next w:val="1"/>
    <w:qFormat/>
    <w:uiPriority w:val="0"/>
    <w:pPr>
      <w:numPr>
        <w:ilvl w:val="4"/>
      </w:numPr>
      <w:tabs>
        <w:tab w:val="left" w:pos="360"/>
        <w:tab w:val="left" w:pos="840"/>
      </w:tabs>
      <w:ind w:left="0" w:hanging="840"/>
      <w:outlineLvl w:val="4"/>
    </w:pPr>
  </w:style>
  <w:style w:type="paragraph" w:customStyle="1" w:styleId="129">
    <w:name w:val="三级条标题"/>
    <w:basedOn w:val="91"/>
    <w:next w:val="1"/>
    <w:qFormat/>
    <w:uiPriority w:val="0"/>
    <w:pPr>
      <w:numPr>
        <w:ilvl w:val="3"/>
        <w:numId w:val="1"/>
      </w:numPr>
      <w:ind w:left="0" w:hanging="840"/>
      <w:outlineLvl w:val="3"/>
    </w:pPr>
  </w:style>
  <w:style w:type="paragraph" w:customStyle="1" w:styleId="130">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31">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32">
    <w:name w:val="List Paragraph1"/>
    <w:basedOn w:val="1"/>
    <w:qFormat/>
    <w:uiPriority w:val="0"/>
    <w:pPr>
      <w:ind w:firstLine="420" w:firstLineChars="200"/>
    </w:pPr>
    <w:rPr>
      <w:rFonts w:ascii="Calibri" w:hAnsi="Calibri"/>
      <w:szCs w:val="22"/>
    </w:rPr>
  </w:style>
  <w:style w:type="paragraph" w:customStyle="1" w:styleId="133">
    <w:name w:val="项目符号1"/>
    <w:basedOn w:val="134"/>
    <w:qFormat/>
    <w:uiPriority w:val="0"/>
    <w:pPr>
      <w:ind w:left="-25" w:firstLine="0"/>
    </w:pPr>
  </w:style>
  <w:style w:type="paragraph" w:customStyle="1" w:styleId="134">
    <w:name w:val="正文文本样式"/>
    <w:basedOn w:val="1"/>
    <w:qFormat/>
    <w:uiPriority w:val="0"/>
    <w:pPr>
      <w:spacing w:line="360" w:lineRule="auto"/>
      <w:ind w:firstLine="482"/>
    </w:pPr>
    <w:rPr>
      <w:rFonts w:cs="宋体"/>
      <w:sz w:val="24"/>
      <w:szCs w:val="20"/>
    </w:rPr>
  </w:style>
  <w:style w:type="paragraph" w:customStyle="1" w:styleId="13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五级条标题"/>
    <w:basedOn w:val="128"/>
    <w:next w:val="1"/>
    <w:qFormat/>
    <w:uiPriority w:val="0"/>
    <w:pPr>
      <w:numPr>
        <w:ilvl w:val="5"/>
      </w:numPr>
      <w:ind w:left="0" w:hanging="840"/>
      <w:outlineLvl w:val="5"/>
    </w:pPr>
  </w:style>
  <w:style w:type="paragraph" w:customStyle="1" w:styleId="13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9">
    <w:name w:val="文档正文"/>
    <w:basedOn w:val="1"/>
    <w:qFormat/>
    <w:uiPriority w:val="0"/>
    <w:pPr>
      <w:snapToGrid w:val="0"/>
      <w:spacing w:before="120" w:after="120" w:line="180" w:lineRule="auto"/>
    </w:pPr>
    <w:rPr>
      <w:rFonts w:ascii="Arial" w:hAnsi="Arial"/>
      <w:szCs w:val="20"/>
    </w:rPr>
  </w:style>
  <w:style w:type="paragraph" w:customStyle="1" w:styleId="14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4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42">
    <w:name w:val="Char Char Char1 Char"/>
    <w:basedOn w:val="1"/>
    <w:qFormat/>
    <w:uiPriority w:val="0"/>
    <w:rPr>
      <w:rFonts w:ascii="Tahoma" w:hAnsi="Tahoma"/>
      <w:sz w:val="24"/>
      <w:szCs w:val="20"/>
    </w:rPr>
  </w:style>
  <w:style w:type="paragraph" w:customStyle="1" w:styleId="14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44">
    <w:name w:val="1名"/>
    <w:basedOn w:val="1"/>
    <w:qFormat/>
    <w:uiPriority w:val="0"/>
    <w:pPr>
      <w:numPr>
        <w:ilvl w:val="0"/>
        <w:numId w:val="5"/>
      </w:numPr>
      <w:spacing w:before="120"/>
    </w:pPr>
    <w:rPr>
      <w:rFonts w:ascii="宋体"/>
      <w:sz w:val="28"/>
      <w:szCs w:val="20"/>
    </w:rPr>
  </w:style>
  <w:style w:type="paragraph" w:customStyle="1" w:styleId="14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46">
    <w:name w:val="Char Char Char1 Char1"/>
    <w:basedOn w:val="1"/>
    <w:qFormat/>
    <w:uiPriority w:val="0"/>
    <w:rPr>
      <w:rFonts w:ascii="Tahoma" w:hAnsi="Tahoma"/>
      <w:sz w:val="24"/>
      <w:szCs w:val="20"/>
    </w:rPr>
  </w:style>
  <w:style w:type="paragraph" w:customStyle="1" w:styleId="147">
    <w:name w:val="Char Char Char Char Char Char Char Char Char Char"/>
    <w:basedOn w:val="1"/>
    <w:qFormat/>
    <w:uiPriority w:val="0"/>
  </w:style>
  <w:style w:type="paragraph" w:customStyle="1" w:styleId="148">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9">
    <w:name w:val="Char1"/>
    <w:basedOn w:val="1"/>
    <w:qFormat/>
    <w:uiPriority w:val="99"/>
    <w:pPr>
      <w:tabs>
        <w:tab w:val="left" w:pos="360"/>
      </w:tabs>
    </w:pPr>
    <w:rPr>
      <w:sz w:val="24"/>
    </w:rPr>
  </w:style>
  <w:style w:type="paragraph" w:customStyle="1" w:styleId="150">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5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2">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3">
    <w:name w:val="默认段落字体 Para Char Char Char Char"/>
    <w:basedOn w:val="1"/>
    <w:qFormat/>
    <w:uiPriority w:val="0"/>
    <w:rPr>
      <w:rFonts w:ascii="Arial" w:hAnsi="Arial" w:cs="Arial"/>
      <w:szCs w:val="21"/>
    </w:rPr>
  </w:style>
  <w:style w:type="paragraph" w:customStyle="1" w:styleId="154">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5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56">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57">
    <w:name w:val="Char Char Char"/>
    <w:basedOn w:val="1"/>
    <w:qFormat/>
    <w:uiPriority w:val="0"/>
    <w:rPr>
      <w:rFonts w:ascii="Tahoma" w:hAnsi="Tahoma"/>
      <w:sz w:val="24"/>
      <w:szCs w:val="20"/>
    </w:rPr>
  </w:style>
  <w:style w:type="paragraph" w:customStyle="1" w:styleId="15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9">
    <w:name w:val="缺省文本"/>
    <w:basedOn w:val="1"/>
    <w:qFormat/>
    <w:uiPriority w:val="0"/>
    <w:pPr>
      <w:autoSpaceDE w:val="0"/>
      <w:autoSpaceDN w:val="0"/>
      <w:adjustRightInd w:val="0"/>
      <w:jc w:val="left"/>
    </w:pPr>
    <w:rPr>
      <w:kern w:val="0"/>
      <w:sz w:val="24"/>
    </w:rPr>
  </w:style>
  <w:style w:type="paragraph" w:customStyle="1" w:styleId="160">
    <w:name w:val="Char Char Char1"/>
    <w:basedOn w:val="1"/>
    <w:qFormat/>
    <w:uiPriority w:val="0"/>
    <w:rPr>
      <w:rFonts w:ascii="Tahoma" w:hAnsi="Tahoma"/>
      <w:sz w:val="24"/>
      <w:szCs w:val="20"/>
    </w:rPr>
  </w:style>
  <w:style w:type="paragraph" w:customStyle="1" w:styleId="161">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62">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63">
    <w:name w:val="样式2"/>
    <w:basedOn w:val="35"/>
    <w:qFormat/>
    <w:uiPriority w:val="0"/>
    <w:pPr>
      <w:spacing w:line="360" w:lineRule="auto"/>
      <w:jc w:val="center"/>
    </w:pPr>
    <w:rPr>
      <w:sz w:val="24"/>
    </w:rPr>
  </w:style>
  <w:style w:type="paragraph" w:customStyle="1" w:styleId="164">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66">
    <w:name w:val="正文 + 楷体_GB2312"/>
    <w:basedOn w:val="1"/>
    <w:qFormat/>
    <w:uiPriority w:val="0"/>
    <w:pPr>
      <w:widowControl/>
      <w:jc w:val="left"/>
    </w:pPr>
    <w:rPr>
      <w:rFonts w:ascii="楷体_GB2312" w:eastAsia="楷体_GB2312" w:cs="Arial"/>
      <w:kern w:val="0"/>
      <w:sz w:val="24"/>
    </w:rPr>
  </w:style>
  <w:style w:type="paragraph" w:customStyle="1" w:styleId="16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68">
    <w:name w:val="1 Char Char Char Char"/>
    <w:basedOn w:val="1"/>
    <w:qFormat/>
    <w:uiPriority w:val="0"/>
    <w:rPr>
      <w:rFonts w:ascii="Tahoma" w:hAnsi="Tahoma"/>
      <w:sz w:val="24"/>
      <w:szCs w:val="20"/>
    </w:rPr>
  </w:style>
  <w:style w:type="paragraph" w:customStyle="1" w:styleId="169">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70">
    <w:name w:val="列出段落1"/>
    <w:basedOn w:val="1"/>
    <w:qFormat/>
    <w:uiPriority w:val="1"/>
    <w:pPr>
      <w:ind w:firstLine="420" w:firstLineChars="200"/>
    </w:pPr>
    <w:rPr>
      <w:rFonts w:ascii="Calibri" w:hAnsi="Calibri"/>
      <w:szCs w:val="22"/>
    </w:rPr>
  </w:style>
  <w:style w:type="paragraph" w:customStyle="1" w:styleId="171">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2">
    <w:name w:val="字元 字元1"/>
    <w:basedOn w:val="1"/>
    <w:qFormat/>
    <w:uiPriority w:val="0"/>
    <w:rPr>
      <w:rFonts w:ascii="Tahoma" w:hAnsi="Tahoma"/>
      <w:sz w:val="24"/>
      <w:szCs w:val="20"/>
    </w:rPr>
  </w:style>
  <w:style w:type="paragraph" w:customStyle="1" w:styleId="173">
    <w:name w:val="_Style 160"/>
    <w:qFormat/>
    <w:uiPriority w:val="0"/>
    <w:rPr>
      <w:rFonts w:ascii="Times New Roman" w:hAnsi="Times New Roman" w:eastAsia="宋体" w:cs="Times New Roman"/>
      <w:kern w:val="2"/>
      <w:sz w:val="21"/>
      <w:szCs w:val="24"/>
      <w:lang w:val="en-US" w:eastAsia="zh-CN" w:bidi="ar-SA"/>
    </w:rPr>
  </w:style>
  <w:style w:type="paragraph" w:customStyle="1" w:styleId="174">
    <w:name w:val="项目编号3"/>
    <w:basedOn w:val="134"/>
    <w:qFormat/>
    <w:uiPriority w:val="0"/>
    <w:pPr>
      <w:numPr>
        <w:ilvl w:val="0"/>
        <w:numId w:val="6"/>
      </w:numPr>
    </w:pPr>
  </w:style>
  <w:style w:type="paragraph" w:customStyle="1" w:styleId="175">
    <w:name w:val="Char21"/>
    <w:basedOn w:val="1"/>
    <w:qFormat/>
    <w:uiPriority w:val="0"/>
    <w:rPr>
      <w:rFonts w:ascii="Tahoma" w:hAnsi="Tahoma"/>
      <w:sz w:val="24"/>
      <w:szCs w:val="20"/>
    </w:rPr>
  </w:style>
  <w:style w:type="paragraph" w:customStyle="1" w:styleId="176">
    <w:name w:val="表格文字"/>
    <w:basedOn w:val="20"/>
    <w:qFormat/>
    <w:uiPriority w:val="99"/>
    <w:pPr>
      <w:spacing w:before="20" w:after="20" w:line="240" w:lineRule="auto"/>
      <w:ind w:firstLine="0"/>
    </w:pPr>
    <w:rPr>
      <w:rFonts w:ascii="Century Gothic" w:hAnsi="Century Gothic"/>
      <w:sz w:val="20"/>
      <w:szCs w:val="20"/>
    </w:rPr>
  </w:style>
  <w:style w:type="paragraph" w:customStyle="1" w:styleId="177">
    <w:name w:val="Char Char Char Char Char Char Char Char Char Char1"/>
    <w:basedOn w:val="1"/>
    <w:qFormat/>
    <w:uiPriority w:val="0"/>
    <w:rPr>
      <w:rFonts w:ascii="宋体" w:hAnsi="宋体" w:cs="Courier New"/>
      <w:sz w:val="32"/>
      <w:szCs w:val="32"/>
    </w:rPr>
  </w:style>
  <w:style w:type="paragraph" w:customStyle="1" w:styleId="178">
    <w:name w:val="正文文本样式 加粗"/>
    <w:basedOn w:val="134"/>
    <w:qFormat/>
    <w:uiPriority w:val="0"/>
    <w:rPr>
      <w:b/>
    </w:rPr>
  </w:style>
  <w:style w:type="paragraph" w:customStyle="1" w:styleId="179">
    <w:name w:val="Char2 Char Char Char Char Char Char"/>
    <w:basedOn w:val="1"/>
    <w:qFormat/>
    <w:uiPriority w:val="0"/>
    <w:pPr>
      <w:widowControl/>
      <w:spacing w:line="400" w:lineRule="exact"/>
      <w:jc w:val="center"/>
    </w:pPr>
  </w:style>
  <w:style w:type="character" w:customStyle="1" w:styleId="180">
    <w:name w:val="页脚 字符2"/>
    <w:link w:val="30"/>
    <w:qFormat/>
    <w:uiPriority w:val="99"/>
    <w:rPr>
      <w:rFonts w:ascii="宋体" w:eastAsia="宋体"/>
      <w:sz w:val="18"/>
      <w:lang w:val="en-US" w:eastAsia="zh-CN" w:bidi="ar-SA"/>
    </w:rPr>
  </w:style>
  <w:style w:type="paragraph" w:customStyle="1" w:styleId="181">
    <w:name w:val="Char Char4"/>
    <w:basedOn w:val="1"/>
    <w:qFormat/>
    <w:uiPriority w:val="0"/>
    <w:pPr>
      <w:widowControl/>
      <w:spacing w:line="400" w:lineRule="exact"/>
      <w:jc w:val="center"/>
    </w:pPr>
  </w:style>
  <w:style w:type="paragraph" w:customStyle="1" w:styleId="182">
    <w:name w:val="Char3 Char Char Char1"/>
    <w:basedOn w:val="1"/>
    <w:qFormat/>
    <w:uiPriority w:val="0"/>
    <w:rPr>
      <w:rFonts w:ascii="Tahoma" w:hAnsi="Tahoma"/>
      <w:sz w:val="24"/>
      <w:szCs w:val="20"/>
    </w:rPr>
  </w:style>
  <w:style w:type="paragraph" w:styleId="18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85">
    <w:name w:val="中等深浅网格 1 - 强调文字颜色 2 Char"/>
    <w:link w:val="186"/>
    <w:qFormat/>
    <w:uiPriority w:val="99"/>
    <w:rPr>
      <w:kern w:val="2"/>
      <w:sz w:val="21"/>
      <w:szCs w:val="24"/>
      <w:lang w:val="zh-CN" w:eastAsia="zh-CN"/>
    </w:rPr>
  </w:style>
  <w:style w:type="paragraph" w:customStyle="1" w:styleId="186">
    <w:name w:val="1"/>
    <w:link w:val="185"/>
    <w:qFormat/>
    <w:uiPriority w:val="99"/>
    <w:rPr>
      <w:rFonts w:ascii="Times New Roman" w:hAnsi="Times New Roman" w:eastAsia="宋体" w:cs="Times New Roman"/>
      <w:kern w:val="2"/>
      <w:sz w:val="21"/>
      <w:szCs w:val="24"/>
      <w:lang w:val="zh-CN" w:eastAsia="zh-CN" w:bidi="ar-SA"/>
    </w:rPr>
  </w:style>
  <w:style w:type="paragraph" w:customStyle="1" w:styleId="187">
    <w:name w:val="图文"/>
    <w:basedOn w:val="1"/>
    <w:qFormat/>
    <w:uiPriority w:val="0"/>
    <w:pPr>
      <w:adjustRightInd w:val="0"/>
      <w:snapToGrid w:val="0"/>
      <w:spacing w:after="50" w:line="360" w:lineRule="auto"/>
    </w:pPr>
    <w:rPr>
      <w:sz w:val="24"/>
    </w:rPr>
  </w:style>
  <w:style w:type="paragraph" w:customStyle="1" w:styleId="18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9">
    <w:name w:val="正文表格"/>
    <w:basedOn w:val="1"/>
    <w:link w:val="190"/>
    <w:qFormat/>
    <w:uiPriority w:val="0"/>
    <w:pPr>
      <w:adjustRightInd w:val="0"/>
      <w:snapToGrid w:val="0"/>
      <w:jc w:val="left"/>
    </w:pPr>
    <w:rPr>
      <w:rFonts w:ascii="宋体" w:hAnsi="宋体"/>
      <w:color w:val="000000"/>
      <w:szCs w:val="21"/>
    </w:rPr>
  </w:style>
  <w:style w:type="character" w:customStyle="1" w:styleId="190">
    <w:name w:val="正文表格 Char"/>
    <w:link w:val="189"/>
    <w:qFormat/>
    <w:uiPriority w:val="0"/>
    <w:rPr>
      <w:rFonts w:ascii="宋体" w:hAnsi="宋体"/>
      <w:color w:val="000000"/>
      <w:kern w:val="2"/>
      <w:sz w:val="21"/>
      <w:szCs w:val="21"/>
    </w:rPr>
  </w:style>
  <w:style w:type="paragraph" w:customStyle="1" w:styleId="191">
    <w:name w:val="正文重点"/>
    <w:basedOn w:val="1"/>
    <w:link w:val="192"/>
    <w:qFormat/>
    <w:uiPriority w:val="0"/>
    <w:pPr>
      <w:adjustRightInd w:val="0"/>
      <w:spacing w:line="360" w:lineRule="auto"/>
      <w:ind w:firstLine="482" w:firstLineChars="200"/>
      <w:jc w:val="left"/>
      <w:textAlignment w:val="baseline"/>
    </w:pPr>
    <w:rPr>
      <w:b/>
      <w:kern w:val="0"/>
      <w:sz w:val="24"/>
      <w:szCs w:val="20"/>
    </w:rPr>
  </w:style>
  <w:style w:type="character" w:customStyle="1" w:styleId="192">
    <w:name w:val="正文重点 Char"/>
    <w:link w:val="191"/>
    <w:qFormat/>
    <w:uiPriority w:val="0"/>
    <w:rPr>
      <w:b/>
      <w:sz w:val="24"/>
    </w:rPr>
  </w:style>
  <w:style w:type="character" w:customStyle="1" w:styleId="193">
    <w:name w:val="批注文字 字符1"/>
    <w:link w:val="17"/>
    <w:qFormat/>
    <w:uiPriority w:val="0"/>
    <w:rPr>
      <w:kern w:val="2"/>
      <w:sz w:val="21"/>
      <w:szCs w:val="24"/>
    </w:rPr>
  </w:style>
  <w:style w:type="paragraph" w:customStyle="1" w:styleId="194">
    <w:name w:val="标题1-附件"/>
    <w:basedOn w:val="2"/>
    <w:qFormat/>
    <w:uiPriority w:val="0"/>
    <w:pPr>
      <w:jc w:val="left"/>
    </w:pPr>
    <w:rPr>
      <w:sz w:val="24"/>
      <w:szCs w:val="24"/>
    </w:rPr>
  </w:style>
  <w:style w:type="paragraph" w:customStyle="1" w:styleId="195">
    <w:name w:val="正文小标题"/>
    <w:basedOn w:val="1"/>
    <w:next w:val="4"/>
    <w:link w:val="196"/>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96">
    <w:name w:val="正文小标题 Char"/>
    <w:link w:val="195"/>
    <w:qFormat/>
    <w:uiPriority w:val="0"/>
    <w:rPr>
      <w:rFonts w:ascii="宋体" w:hAnsi="宋体"/>
      <w:b/>
      <w:i/>
      <w:color w:val="FF0000"/>
      <w:kern w:val="2"/>
      <w:sz w:val="24"/>
    </w:rPr>
  </w:style>
  <w:style w:type="paragraph" w:customStyle="1" w:styleId="197">
    <w:name w:val="正文大标题"/>
    <w:basedOn w:val="195"/>
    <w:next w:val="4"/>
    <w:link w:val="198"/>
    <w:qFormat/>
    <w:uiPriority w:val="0"/>
    <w:pPr>
      <w:jc w:val="center"/>
    </w:pPr>
    <w:rPr>
      <w:i w:val="0"/>
      <w:color w:val="000000"/>
      <w:sz w:val="28"/>
      <w:szCs w:val="21"/>
    </w:rPr>
  </w:style>
  <w:style w:type="character" w:customStyle="1" w:styleId="198">
    <w:name w:val="正文大标题 Char"/>
    <w:link w:val="197"/>
    <w:qFormat/>
    <w:uiPriority w:val="0"/>
    <w:rPr>
      <w:rFonts w:ascii="宋体" w:hAnsi="宋体"/>
      <w:b/>
      <w:color w:val="000000"/>
      <w:kern w:val="2"/>
      <w:sz w:val="28"/>
      <w:szCs w:val="21"/>
    </w:rPr>
  </w:style>
  <w:style w:type="character" w:customStyle="1" w:styleId="199">
    <w:name w:val="标题 字符1"/>
    <w:link w:val="46"/>
    <w:qFormat/>
    <w:uiPriority w:val="0"/>
    <w:rPr>
      <w:b/>
      <w:kern w:val="2"/>
      <w:sz w:val="32"/>
    </w:rPr>
  </w:style>
  <w:style w:type="paragraph" w:customStyle="1" w:styleId="200">
    <w:name w:val="注释"/>
    <w:basedOn w:val="1"/>
    <w:link w:val="201"/>
    <w:qFormat/>
    <w:uiPriority w:val="0"/>
    <w:pPr>
      <w:adjustRightInd w:val="0"/>
      <w:snapToGrid w:val="0"/>
      <w:ind w:left="420" w:hanging="420" w:hangingChars="200"/>
      <w:jc w:val="left"/>
    </w:pPr>
    <w:rPr>
      <w:rFonts w:ascii="宋体" w:hAnsi="宋体"/>
      <w:szCs w:val="21"/>
    </w:rPr>
  </w:style>
  <w:style w:type="character" w:customStyle="1" w:styleId="201">
    <w:name w:val="注释 Char"/>
    <w:link w:val="200"/>
    <w:qFormat/>
    <w:uiPriority w:val="0"/>
    <w:rPr>
      <w:rFonts w:ascii="宋体" w:hAnsi="宋体"/>
      <w:kern w:val="2"/>
      <w:sz w:val="21"/>
      <w:szCs w:val="21"/>
    </w:rPr>
  </w:style>
  <w:style w:type="paragraph" w:customStyle="1" w:styleId="202">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03">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04">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05">
    <w:name w:val="批注文字 字符"/>
    <w:qFormat/>
    <w:uiPriority w:val="99"/>
    <w:rPr>
      <w:rFonts w:ascii="Times New Roman" w:hAnsi="Times New Roman" w:eastAsia="宋体" w:cs="Times New Roman"/>
      <w:sz w:val="24"/>
      <w:lang w:val="en-US" w:eastAsia="zh-CN" w:bidi="ar-SA"/>
    </w:rPr>
  </w:style>
  <w:style w:type="character" w:customStyle="1" w:styleId="206">
    <w:name w:val="纯文本 字符"/>
    <w:qFormat/>
    <w:uiPriority w:val="0"/>
    <w:rPr>
      <w:rFonts w:ascii="宋体" w:hAnsi="Courier New" w:eastAsia="宋体" w:cs="Times New Roman"/>
      <w:kern w:val="2"/>
      <w:sz w:val="21"/>
      <w:szCs w:val="21"/>
      <w:lang w:val="en-US" w:eastAsia="zh-CN" w:bidi="ar-SA"/>
    </w:rPr>
  </w:style>
  <w:style w:type="paragraph" w:customStyle="1" w:styleId="207">
    <w:name w:val="表格1"/>
    <w:basedOn w:val="1"/>
    <w:qFormat/>
    <w:uiPriority w:val="0"/>
    <w:pPr>
      <w:ind w:firstLine="480" w:firstLineChars="200"/>
      <w:jc w:val="center"/>
    </w:pPr>
    <w:rPr>
      <w:sz w:val="24"/>
      <w:szCs w:val="20"/>
    </w:rPr>
  </w:style>
  <w:style w:type="character" w:customStyle="1" w:styleId="208">
    <w:name w:val="纯文本 字符1"/>
    <w:qFormat/>
    <w:uiPriority w:val="0"/>
    <w:rPr>
      <w:rFonts w:ascii="宋体" w:hAnsi="Courier New"/>
    </w:rPr>
  </w:style>
  <w:style w:type="character" w:customStyle="1" w:styleId="209">
    <w:name w:val="bjh-p"/>
    <w:qFormat/>
    <w:uiPriority w:val="0"/>
  </w:style>
  <w:style w:type="paragraph" w:customStyle="1" w:styleId="21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11">
    <w:name w:val="正文格式 Char"/>
    <w:link w:val="212"/>
    <w:qFormat/>
    <w:locked/>
    <w:uiPriority w:val="0"/>
    <w:rPr>
      <w:rFonts w:ascii="宋体" w:hAnsi="宋体"/>
      <w:sz w:val="24"/>
      <w:szCs w:val="24"/>
      <w:lang w:val="en-GB"/>
    </w:rPr>
  </w:style>
  <w:style w:type="paragraph" w:customStyle="1" w:styleId="212">
    <w:name w:val="正文格式"/>
    <w:basedOn w:val="1"/>
    <w:link w:val="211"/>
    <w:qFormat/>
    <w:uiPriority w:val="0"/>
    <w:pPr>
      <w:spacing w:beforeLines="50" w:line="360" w:lineRule="auto"/>
      <w:ind w:firstLine="480" w:firstLineChars="200"/>
    </w:pPr>
    <w:rPr>
      <w:rFonts w:ascii="宋体" w:hAnsi="宋体"/>
      <w:kern w:val="0"/>
      <w:sz w:val="24"/>
      <w:lang w:val="en-GB"/>
    </w:rPr>
  </w:style>
  <w:style w:type="character" w:customStyle="1" w:styleId="213">
    <w:name w:val="纯文本 字符3"/>
    <w:basedOn w:val="56"/>
    <w:link w:val="25"/>
    <w:qFormat/>
    <w:uiPriority w:val="0"/>
    <w:rPr>
      <w:rFonts w:hint="eastAsia" w:ascii="宋体" w:hAnsi="Courier New" w:eastAsia="宋体" w:cs="宋体"/>
      <w:kern w:val="2"/>
      <w:sz w:val="21"/>
    </w:rPr>
  </w:style>
  <w:style w:type="character" w:customStyle="1" w:styleId="214">
    <w:name w:val="标题 3 Char"/>
    <w:qFormat/>
    <w:uiPriority w:val="0"/>
    <w:rPr>
      <w:rFonts w:ascii="宋体" w:eastAsia="宋体"/>
      <w:b/>
      <w:sz w:val="24"/>
      <w:u w:val="single"/>
      <w:lang w:val="en-US" w:eastAsia="zh-CN" w:bidi="ar-SA"/>
    </w:rPr>
  </w:style>
  <w:style w:type="character" w:customStyle="1" w:styleId="215">
    <w:name w:val="正文缩进 Char"/>
    <w:qFormat/>
    <w:uiPriority w:val="0"/>
    <w:rPr>
      <w:rFonts w:ascii="宋体" w:eastAsia="宋体"/>
      <w:kern w:val="2"/>
      <w:sz w:val="24"/>
      <w:szCs w:val="24"/>
      <w:lang w:val="en-US" w:eastAsia="zh-CN" w:bidi="ar-SA"/>
    </w:rPr>
  </w:style>
  <w:style w:type="character" w:customStyle="1" w:styleId="216">
    <w:name w:val="Char Char111"/>
    <w:qFormat/>
    <w:uiPriority w:val="0"/>
    <w:rPr>
      <w:rFonts w:ascii="宋体" w:eastAsia="宋体"/>
      <w:b/>
      <w:sz w:val="24"/>
      <w:u w:val="single"/>
      <w:lang w:val="en-US" w:eastAsia="zh-CN" w:bidi="ar-SA"/>
    </w:rPr>
  </w:style>
  <w:style w:type="character" w:customStyle="1" w:styleId="217">
    <w:name w:val="正文文本缩进 Char"/>
    <w:qFormat/>
    <w:uiPriority w:val="99"/>
    <w:rPr>
      <w:rFonts w:eastAsia="宋体"/>
      <w:kern w:val="2"/>
      <w:sz w:val="24"/>
      <w:szCs w:val="24"/>
      <w:lang w:val="en-US" w:eastAsia="zh-CN" w:bidi="ar-SA"/>
    </w:rPr>
  </w:style>
  <w:style w:type="character" w:customStyle="1" w:styleId="218">
    <w:name w:val="列出段落 Char"/>
    <w:qFormat/>
    <w:uiPriority w:val="34"/>
    <w:rPr>
      <w:rFonts w:ascii="Calibri" w:hAnsi="Calibri" w:eastAsia="宋体"/>
      <w:kern w:val="2"/>
      <w:sz w:val="21"/>
      <w:szCs w:val="22"/>
      <w:lang w:val="en-US" w:eastAsia="zh-CN" w:bidi="ar-SA"/>
    </w:rPr>
  </w:style>
  <w:style w:type="character" w:customStyle="1" w:styleId="219">
    <w:name w:val="页眉 Char"/>
    <w:qFormat/>
    <w:uiPriority w:val="99"/>
    <w:rPr>
      <w:rFonts w:eastAsia="宋体"/>
      <w:kern w:val="2"/>
      <w:sz w:val="18"/>
      <w:szCs w:val="18"/>
      <w:lang w:val="en-US" w:eastAsia="zh-CN" w:bidi="ar-SA"/>
    </w:rPr>
  </w:style>
  <w:style w:type="character" w:customStyle="1" w:styleId="220">
    <w:name w:val="标题 2 Char"/>
    <w:qFormat/>
    <w:uiPriority w:val="0"/>
    <w:rPr>
      <w:rFonts w:ascii="Arial" w:hAnsi="Arial" w:eastAsia="黑体"/>
      <w:b/>
      <w:sz w:val="30"/>
      <w:lang w:val="en-US" w:eastAsia="zh-CN" w:bidi="ar-SA"/>
    </w:rPr>
  </w:style>
  <w:style w:type="paragraph" w:customStyle="1" w:styleId="221">
    <w:name w:val="字元 字元2"/>
    <w:basedOn w:val="1"/>
    <w:qFormat/>
    <w:uiPriority w:val="0"/>
    <w:rPr>
      <w:rFonts w:ascii="Tahoma" w:hAnsi="Tahoma"/>
      <w:sz w:val="24"/>
      <w:szCs w:val="20"/>
    </w:rPr>
  </w:style>
  <w:style w:type="paragraph" w:customStyle="1" w:styleId="222">
    <w:name w:val="Char3 Char Char Char2"/>
    <w:basedOn w:val="1"/>
    <w:qFormat/>
    <w:uiPriority w:val="0"/>
    <w:rPr>
      <w:rFonts w:ascii="Tahoma" w:hAnsi="Tahoma"/>
      <w:sz w:val="24"/>
      <w:szCs w:val="20"/>
    </w:rPr>
  </w:style>
  <w:style w:type="paragraph" w:customStyle="1" w:styleId="223">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24">
    <w:name w:val="Char3"/>
    <w:basedOn w:val="1"/>
    <w:qFormat/>
    <w:uiPriority w:val="0"/>
    <w:pPr>
      <w:tabs>
        <w:tab w:val="left" w:pos="360"/>
      </w:tabs>
    </w:pPr>
    <w:rPr>
      <w:sz w:val="24"/>
    </w:rPr>
  </w:style>
  <w:style w:type="paragraph" w:customStyle="1" w:styleId="225">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27">
    <w:name w:val="列出段落2"/>
    <w:basedOn w:val="1"/>
    <w:qFormat/>
    <w:uiPriority w:val="0"/>
    <w:pPr>
      <w:ind w:firstLine="420" w:firstLineChars="200"/>
    </w:pPr>
    <w:rPr>
      <w:rFonts w:ascii="Calibri" w:hAnsi="Calibri"/>
      <w:szCs w:val="22"/>
    </w:rPr>
  </w:style>
  <w:style w:type="paragraph" w:customStyle="1" w:styleId="228">
    <w:name w:val="Char Char Char1 Char2"/>
    <w:basedOn w:val="1"/>
    <w:qFormat/>
    <w:uiPriority w:val="0"/>
    <w:rPr>
      <w:rFonts w:ascii="Tahoma" w:hAnsi="Tahoma"/>
      <w:sz w:val="24"/>
      <w:szCs w:val="20"/>
    </w:rPr>
  </w:style>
  <w:style w:type="paragraph" w:customStyle="1" w:styleId="229">
    <w:name w:val="Char Char Char2"/>
    <w:basedOn w:val="1"/>
    <w:qFormat/>
    <w:uiPriority w:val="0"/>
    <w:rPr>
      <w:rFonts w:ascii="Tahoma" w:hAnsi="Tahoma"/>
      <w:sz w:val="24"/>
      <w:szCs w:val="20"/>
    </w:rPr>
  </w:style>
  <w:style w:type="paragraph" w:customStyle="1" w:styleId="230">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31">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32">
    <w:name w:val="修订1"/>
    <w:qFormat/>
    <w:uiPriority w:val="99"/>
    <w:rPr>
      <w:rFonts w:ascii="Times New Roman" w:hAnsi="Times New Roman" w:eastAsia="宋体" w:cs="Times New Roman"/>
      <w:kern w:val="2"/>
      <w:sz w:val="21"/>
      <w:szCs w:val="24"/>
      <w:lang w:val="en-US" w:eastAsia="zh-CN" w:bidi="ar-SA"/>
    </w:rPr>
  </w:style>
  <w:style w:type="paragraph" w:customStyle="1" w:styleId="233">
    <w:name w:val="Char22"/>
    <w:basedOn w:val="1"/>
    <w:qFormat/>
    <w:uiPriority w:val="0"/>
    <w:rPr>
      <w:rFonts w:ascii="Tahoma" w:hAnsi="Tahoma"/>
      <w:sz w:val="24"/>
      <w:szCs w:val="20"/>
    </w:rPr>
  </w:style>
  <w:style w:type="paragraph" w:customStyle="1" w:styleId="234">
    <w:name w:val="Char Char Char Char Char Char Char Char Char Char2"/>
    <w:basedOn w:val="1"/>
    <w:qFormat/>
    <w:uiPriority w:val="0"/>
    <w:rPr>
      <w:rFonts w:ascii="宋体" w:hAnsi="宋体" w:cs="Courier New"/>
      <w:sz w:val="32"/>
      <w:szCs w:val="32"/>
    </w:rPr>
  </w:style>
  <w:style w:type="paragraph" w:customStyle="1" w:styleId="235">
    <w:name w:val="Char2 Char Char Char Char Char Char1"/>
    <w:basedOn w:val="1"/>
    <w:qFormat/>
    <w:uiPriority w:val="0"/>
    <w:pPr>
      <w:widowControl/>
      <w:spacing w:line="400" w:lineRule="exact"/>
      <w:jc w:val="center"/>
    </w:pPr>
  </w:style>
  <w:style w:type="character" w:customStyle="1" w:styleId="236">
    <w:name w:val="页脚 Char"/>
    <w:qFormat/>
    <w:uiPriority w:val="99"/>
    <w:rPr>
      <w:rFonts w:ascii="宋体" w:eastAsia="宋体"/>
      <w:sz w:val="18"/>
      <w:lang w:val="en-US" w:eastAsia="zh-CN" w:bidi="ar-SA"/>
    </w:rPr>
  </w:style>
  <w:style w:type="paragraph" w:customStyle="1" w:styleId="237">
    <w:name w:val="Char Char41"/>
    <w:basedOn w:val="1"/>
    <w:qFormat/>
    <w:uiPriority w:val="0"/>
    <w:pPr>
      <w:widowControl/>
      <w:spacing w:line="400" w:lineRule="exact"/>
      <w:jc w:val="center"/>
    </w:pPr>
  </w:style>
  <w:style w:type="character" w:customStyle="1" w:styleId="238">
    <w:name w:val="批注文字 Char"/>
    <w:qFormat/>
    <w:uiPriority w:val="99"/>
    <w:rPr>
      <w:kern w:val="2"/>
      <w:sz w:val="21"/>
      <w:szCs w:val="24"/>
    </w:rPr>
  </w:style>
  <w:style w:type="character" w:customStyle="1" w:styleId="239">
    <w:name w:val="标题 Char"/>
    <w:qFormat/>
    <w:uiPriority w:val="0"/>
    <w:rPr>
      <w:b/>
      <w:kern w:val="2"/>
      <w:sz w:val="32"/>
    </w:rPr>
  </w:style>
  <w:style w:type="character" w:customStyle="1" w:styleId="240">
    <w:name w:val="标题 1 字符2"/>
    <w:basedOn w:val="56"/>
    <w:link w:val="2"/>
    <w:qFormat/>
    <w:uiPriority w:val="0"/>
    <w:rPr>
      <w:rFonts w:ascii="宋体"/>
      <w:b/>
      <w:kern w:val="44"/>
      <w:sz w:val="32"/>
    </w:rPr>
  </w:style>
  <w:style w:type="character" w:customStyle="1" w:styleId="241">
    <w:name w:val="标题 4 字符1"/>
    <w:basedOn w:val="56"/>
    <w:link w:val="6"/>
    <w:qFormat/>
    <w:uiPriority w:val="0"/>
    <w:rPr>
      <w:rFonts w:ascii="Arial" w:hAnsi="Arial" w:eastAsia="黑体"/>
      <w:b/>
      <w:sz w:val="28"/>
    </w:rPr>
  </w:style>
  <w:style w:type="character" w:customStyle="1" w:styleId="242">
    <w:name w:val="标题 5 字符1"/>
    <w:basedOn w:val="56"/>
    <w:link w:val="7"/>
    <w:qFormat/>
    <w:uiPriority w:val="0"/>
    <w:rPr>
      <w:b/>
      <w:sz w:val="28"/>
    </w:rPr>
  </w:style>
  <w:style w:type="character" w:customStyle="1" w:styleId="243">
    <w:name w:val="标题 6 字符1"/>
    <w:basedOn w:val="56"/>
    <w:link w:val="8"/>
    <w:qFormat/>
    <w:uiPriority w:val="0"/>
    <w:rPr>
      <w:rFonts w:ascii="Arial" w:hAnsi="Arial" w:eastAsia="黑体"/>
      <w:b/>
      <w:sz w:val="24"/>
    </w:rPr>
  </w:style>
  <w:style w:type="character" w:customStyle="1" w:styleId="244">
    <w:name w:val="标题 7 字符"/>
    <w:basedOn w:val="56"/>
    <w:link w:val="9"/>
    <w:qFormat/>
    <w:uiPriority w:val="0"/>
    <w:rPr>
      <w:b/>
      <w:sz w:val="24"/>
    </w:rPr>
  </w:style>
  <w:style w:type="character" w:customStyle="1" w:styleId="245">
    <w:name w:val="标题 8 字符1"/>
    <w:basedOn w:val="56"/>
    <w:link w:val="10"/>
    <w:qFormat/>
    <w:uiPriority w:val="0"/>
    <w:rPr>
      <w:rFonts w:ascii="Arial" w:hAnsi="Arial" w:eastAsia="黑体"/>
      <w:sz w:val="24"/>
    </w:rPr>
  </w:style>
  <w:style w:type="character" w:customStyle="1" w:styleId="246">
    <w:name w:val="标题 9 字符1"/>
    <w:basedOn w:val="56"/>
    <w:link w:val="11"/>
    <w:qFormat/>
    <w:uiPriority w:val="0"/>
    <w:rPr>
      <w:rFonts w:ascii="Arial" w:hAnsi="Arial" w:eastAsia="黑体"/>
      <w:sz w:val="21"/>
    </w:rPr>
  </w:style>
  <w:style w:type="character" w:customStyle="1" w:styleId="247">
    <w:name w:val="文档结构图 字符"/>
    <w:basedOn w:val="56"/>
    <w:link w:val="15"/>
    <w:qFormat/>
    <w:uiPriority w:val="99"/>
    <w:rPr>
      <w:kern w:val="2"/>
      <w:sz w:val="21"/>
      <w:szCs w:val="24"/>
      <w:shd w:val="clear" w:color="auto" w:fill="000080"/>
    </w:rPr>
  </w:style>
  <w:style w:type="character" w:customStyle="1" w:styleId="248">
    <w:name w:val="正文文本 3 字符1"/>
    <w:basedOn w:val="56"/>
    <w:link w:val="18"/>
    <w:qFormat/>
    <w:uiPriority w:val="99"/>
    <w:rPr>
      <w:kern w:val="2"/>
      <w:sz w:val="16"/>
      <w:szCs w:val="16"/>
    </w:rPr>
  </w:style>
  <w:style w:type="character" w:customStyle="1" w:styleId="249">
    <w:name w:val="正文文本 字符1"/>
    <w:basedOn w:val="56"/>
    <w:link w:val="19"/>
    <w:qFormat/>
    <w:uiPriority w:val="1"/>
    <w:rPr>
      <w:rFonts w:ascii="宋体" w:hAnsi="宋体"/>
      <w:kern w:val="2"/>
      <w:sz w:val="24"/>
      <w:szCs w:val="24"/>
    </w:rPr>
  </w:style>
  <w:style w:type="character" w:customStyle="1" w:styleId="250">
    <w:name w:val="日期 字符"/>
    <w:basedOn w:val="56"/>
    <w:link w:val="27"/>
    <w:qFormat/>
    <w:uiPriority w:val="99"/>
    <w:rPr>
      <w:rFonts w:ascii="仿宋_GB2312" w:hAnsi="宋体" w:eastAsia="仿宋_GB2312"/>
      <w:color w:val="000000"/>
      <w:kern w:val="2"/>
      <w:sz w:val="24"/>
      <w:szCs w:val="24"/>
    </w:rPr>
  </w:style>
  <w:style w:type="character" w:customStyle="1" w:styleId="251">
    <w:name w:val="正文文本缩进 2 字符1"/>
    <w:basedOn w:val="56"/>
    <w:link w:val="28"/>
    <w:qFormat/>
    <w:uiPriority w:val="0"/>
    <w:rPr>
      <w:rFonts w:ascii="仿宋_GB2312" w:eastAsia="仿宋_GB2312"/>
      <w:kern w:val="2"/>
      <w:sz w:val="24"/>
      <w:szCs w:val="24"/>
    </w:rPr>
  </w:style>
  <w:style w:type="character" w:customStyle="1" w:styleId="252">
    <w:name w:val="批注框文本 字符1"/>
    <w:basedOn w:val="56"/>
    <w:link w:val="29"/>
    <w:qFormat/>
    <w:uiPriority w:val="99"/>
    <w:rPr>
      <w:kern w:val="2"/>
      <w:sz w:val="18"/>
      <w:szCs w:val="18"/>
    </w:rPr>
  </w:style>
  <w:style w:type="character" w:customStyle="1" w:styleId="253">
    <w:name w:val="正文文本缩进 3 字符1"/>
    <w:basedOn w:val="56"/>
    <w:link w:val="40"/>
    <w:qFormat/>
    <w:uiPriority w:val="99"/>
    <w:rPr>
      <w:rFonts w:ascii="宋体"/>
      <w:sz w:val="24"/>
    </w:rPr>
  </w:style>
  <w:style w:type="character" w:customStyle="1" w:styleId="254">
    <w:name w:val="HTML 预设格式 字符"/>
    <w:basedOn w:val="56"/>
    <w:link w:val="44"/>
    <w:qFormat/>
    <w:uiPriority w:val="99"/>
    <w:rPr>
      <w:rFonts w:ascii="宋体" w:hAnsi="宋体" w:cs="宋体"/>
      <w:sz w:val="24"/>
      <w:szCs w:val="24"/>
    </w:rPr>
  </w:style>
  <w:style w:type="character" w:customStyle="1" w:styleId="255">
    <w:name w:val="批注主题 字符1"/>
    <w:basedOn w:val="205"/>
    <w:link w:val="47"/>
    <w:qFormat/>
    <w:uiPriority w:val="99"/>
    <w:rPr>
      <w:rFonts w:ascii="Times New Roman" w:hAnsi="Times New Roman" w:eastAsia="宋体" w:cs="Times New Roman"/>
      <w:b/>
      <w:bCs/>
      <w:kern w:val="2"/>
      <w:sz w:val="21"/>
      <w:szCs w:val="24"/>
      <w:lang w:val="en-US" w:eastAsia="zh-CN" w:bidi="ar-SA"/>
    </w:rPr>
  </w:style>
  <w:style w:type="character" w:customStyle="1" w:styleId="256">
    <w:name w:val="正文首行缩进 2 字符"/>
    <w:basedOn w:val="78"/>
    <w:link w:val="48"/>
    <w:qFormat/>
    <w:uiPriority w:val="0"/>
    <w:rPr>
      <w:rFonts w:eastAsia="宋体"/>
      <w:kern w:val="2"/>
      <w:sz w:val="24"/>
      <w:szCs w:val="24"/>
      <w:lang w:val="en-US" w:eastAsia="zh-CN" w:bidi="ar-SA"/>
    </w:rPr>
  </w:style>
  <w:style w:type="paragraph" w:customStyle="1" w:styleId="257">
    <w:name w:val="图例"/>
    <w:basedOn w:val="1"/>
    <w:qFormat/>
    <w:uiPriority w:val="0"/>
    <w:pPr>
      <w:spacing w:before="120" w:after="120" w:line="360" w:lineRule="auto"/>
      <w:jc w:val="center"/>
    </w:pPr>
    <w:rPr>
      <w:rFonts w:eastAsia="仿宋_GB2312"/>
      <w:b/>
      <w:sz w:val="24"/>
      <w:szCs w:val="20"/>
    </w:rPr>
  </w:style>
  <w:style w:type="paragraph" w:customStyle="1" w:styleId="258">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59">
    <w:name w:val="Table Normal"/>
    <w:qFormat/>
    <w:uiPriority w:val="0"/>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60">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61">
    <w:name w:val="副标题 Char"/>
    <w:basedOn w:val="56"/>
    <w:qFormat/>
    <w:uiPriority w:val="11"/>
    <w:rPr>
      <w:rFonts w:asciiTheme="majorHAnsi" w:hAnsiTheme="majorHAnsi" w:cstheme="majorBidi"/>
      <w:b/>
      <w:bCs/>
      <w:kern w:val="28"/>
      <w:sz w:val="32"/>
      <w:szCs w:val="32"/>
    </w:rPr>
  </w:style>
  <w:style w:type="character" w:customStyle="1" w:styleId="262">
    <w:name w:val="脚注文本 Char"/>
    <w:basedOn w:val="56"/>
    <w:qFormat/>
    <w:uiPriority w:val="0"/>
    <w:rPr>
      <w:kern w:val="2"/>
      <w:sz w:val="18"/>
      <w:szCs w:val="18"/>
    </w:rPr>
  </w:style>
  <w:style w:type="character" w:customStyle="1" w:styleId="263">
    <w:name w:val="正文文本 2 字符1"/>
    <w:basedOn w:val="56"/>
    <w:link w:val="43"/>
    <w:qFormat/>
    <w:uiPriority w:val="99"/>
    <w:rPr>
      <w:rFonts w:ascii="Tahoma" w:hAnsi="Tahoma"/>
      <w:sz w:val="22"/>
      <w:szCs w:val="22"/>
    </w:rPr>
  </w:style>
  <w:style w:type="character" w:customStyle="1" w:styleId="264">
    <w:name w:val="副标题 字符"/>
    <w:link w:val="36"/>
    <w:qFormat/>
    <w:uiPriority w:val="11"/>
    <w:rPr>
      <w:rFonts w:ascii="Cambria" w:hAnsi="Cambria"/>
      <w:b/>
      <w:bCs/>
      <w:kern w:val="28"/>
      <w:sz w:val="32"/>
      <w:szCs w:val="32"/>
    </w:rPr>
  </w:style>
  <w:style w:type="character" w:customStyle="1" w:styleId="265">
    <w:name w:val="脚注文本 字符"/>
    <w:link w:val="38"/>
    <w:qFormat/>
    <w:uiPriority w:val="0"/>
    <w:rPr>
      <w:kern w:val="2"/>
      <w:sz w:val="18"/>
      <w:szCs w:val="18"/>
    </w:rPr>
  </w:style>
  <w:style w:type="character" w:customStyle="1" w:styleId="266">
    <w:name w:val="正文 + 宋体 Char"/>
    <w:link w:val="112"/>
    <w:qFormat/>
    <w:uiPriority w:val="0"/>
    <w:rPr>
      <w:rFonts w:ascii="宋体" w:hAnsi="宋体" w:cs="宋体"/>
      <w:b/>
      <w:bCs/>
      <w:color w:val="000000"/>
      <w:sz w:val="18"/>
      <w:szCs w:val="18"/>
    </w:rPr>
  </w:style>
  <w:style w:type="paragraph" w:customStyle="1" w:styleId="267">
    <w:name w:val="4"/>
    <w:unhideWhenUsed/>
    <w:qFormat/>
    <w:uiPriority w:val="99"/>
    <w:pPr>
      <w:adjustRightInd w:val="0"/>
      <w:snapToGrid w:val="0"/>
      <w:spacing w:after="200"/>
    </w:pPr>
    <w:rPr>
      <w:rFonts w:ascii="Tahoma" w:hAnsi="Tahoma" w:eastAsia="宋体" w:cs="Times New Roman"/>
      <w:sz w:val="22"/>
      <w:szCs w:val="22"/>
      <w:lang w:val="en-US" w:eastAsia="zh-CN" w:bidi="ar-SA"/>
    </w:rPr>
  </w:style>
  <w:style w:type="character" w:customStyle="1" w:styleId="268">
    <w:name w:val="正文文本缩进 2 字符"/>
    <w:qFormat/>
    <w:locked/>
    <w:uiPriority w:val="0"/>
    <w:rPr>
      <w:rFonts w:ascii="Times New Roman" w:hAnsi="Times New Roman" w:eastAsia="宋体" w:cs="Times New Roman"/>
      <w:kern w:val="0"/>
      <w:sz w:val="24"/>
      <w:szCs w:val="24"/>
    </w:rPr>
  </w:style>
  <w:style w:type="character" w:customStyle="1" w:styleId="269">
    <w:name w:val="标题 8 字符"/>
    <w:qFormat/>
    <w:uiPriority w:val="99"/>
    <w:rPr>
      <w:rFonts w:ascii="等线 Light" w:hAnsi="等线 Light" w:eastAsia="等线 Light" w:cs="Times New Roman"/>
      <w:sz w:val="24"/>
      <w:szCs w:val="24"/>
    </w:rPr>
  </w:style>
  <w:style w:type="character" w:customStyle="1" w:styleId="270">
    <w:name w:val="Char Char12"/>
    <w:qFormat/>
    <w:uiPriority w:val="99"/>
    <w:rPr>
      <w:rFonts w:eastAsia="宋体"/>
      <w:kern w:val="2"/>
      <w:sz w:val="24"/>
      <w:lang w:val="en-US" w:eastAsia="zh-CN"/>
    </w:rPr>
  </w:style>
  <w:style w:type="character" w:customStyle="1" w:styleId="271">
    <w:name w:val="标题 5 字符"/>
    <w:qFormat/>
    <w:uiPriority w:val="99"/>
    <w:rPr>
      <w:rFonts w:ascii="Tahoma" w:hAnsi="Tahoma"/>
      <w:b/>
      <w:bCs/>
      <w:sz w:val="28"/>
      <w:szCs w:val="28"/>
    </w:rPr>
  </w:style>
  <w:style w:type="character" w:customStyle="1" w:styleId="272">
    <w:name w:val="网格表 5 深色 - 着色 21"/>
    <w:qFormat/>
    <w:uiPriority w:val="33"/>
    <w:rPr>
      <w:b/>
      <w:bCs/>
      <w:smallCaps/>
    </w:rPr>
  </w:style>
  <w:style w:type="character" w:customStyle="1" w:styleId="273">
    <w:name w:val="Char Char2"/>
    <w:qFormat/>
    <w:uiPriority w:val="99"/>
    <w:rPr>
      <w:rFonts w:ascii="Arial" w:hAnsi="Arial" w:eastAsia="黑体"/>
      <w:b/>
      <w:kern w:val="2"/>
      <w:sz w:val="32"/>
      <w:lang w:val="en-US" w:eastAsia="zh-CN"/>
    </w:rPr>
  </w:style>
  <w:style w:type="character" w:customStyle="1" w:styleId="274">
    <w:name w:val="中等深浅底纹 2 - 着色 3 Char"/>
    <w:qFormat/>
    <w:uiPriority w:val="30"/>
    <w:rPr>
      <w:rFonts w:ascii="Calibri Light" w:hAnsi="Calibri Light"/>
      <w:color w:val="5B9BD5"/>
      <w:sz w:val="28"/>
      <w:szCs w:val="28"/>
    </w:rPr>
  </w:style>
  <w:style w:type="character" w:customStyle="1" w:styleId="275">
    <w:name w:val="网格表 2 - 着色 21"/>
    <w:qFormat/>
    <w:uiPriority w:val="21"/>
    <w:rPr>
      <w:b/>
      <w:bCs/>
      <w:i/>
      <w:iCs/>
    </w:rPr>
  </w:style>
  <w:style w:type="character" w:customStyle="1" w:styleId="276">
    <w:name w:val="页眉 字符"/>
    <w:qFormat/>
    <w:locked/>
    <w:uiPriority w:val="0"/>
    <w:rPr>
      <w:rFonts w:ascii="Times New Roman" w:hAnsi="Times New Roman" w:eastAsia="宋体" w:cs="Times New Roman"/>
      <w:sz w:val="18"/>
      <w:szCs w:val="18"/>
    </w:rPr>
  </w:style>
  <w:style w:type="character" w:customStyle="1" w:styleId="277">
    <w:name w:val="标题 6 字符"/>
    <w:qFormat/>
    <w:uiPriority w:val="99"/>
    <w:rPr>
      <w:rFonts w:ascii="等线 Light" w:hAnsi="等线 Light" w:eastAsia="等线 Light" w:cs="Times New Roman"/>
      <w:b/>
      <w:bCs/>
      <w:sz w:val="24"/>
      <w:szCs w:val="24"/>
    </w:rPr>
  </w:style>
  <w:style w:type="character" w:customStyle="1" w:styleId="278">
    <w:name w:val="文档结构图 Char1"/>
    <w:qFormat/>
    <w:uiPriority w:val="99"/>
    <w:rPr>
      <w:rFonts w:ascii="宋体"/>
      <w:kern w:val="2"/>
      <w:sz w:val="18"/>
      <w:szCs w:val="18"/>
    </w:rPr>
  </w:style>
  <w:style w:type="character" w:customStyle="1" w:styleId="279">
    <w:name w:val="正文文本 3 字符"/>
    <w:qFormat/>
    <w:locked/>
    <w:uiPriority w:val="99"/>
    <w:rPr>
      <w:rFonts w:ascii="Times New Roman" w:hAnsi="Times New Roman" w:eastAsia="宋体" w:cs="Times New Roman"/>
      <w:kern w:val="0"/>
      <w:sz w:val="16"/>
      <w:szCs w:val="16"/>
    </w:rPr>
  </w:style>
  <w:style w:type="character" w:customStyle="1" w:styleId="280">
    <w:name w:val="彩色列表 - 着色 3 Char"/>
    <w:qFormat/>
    <w:uiPriority w:val="29"/>
    <w:rPr>
      <w:i/>
      <w:iCs/>
      <w:color w:val="404040"/>
    </w:rPr>
  </w:style>
  <w:style w:type="character" w:customStyle="1" w:styleId="281">
    <w:name w:val="标题 2 字符"/>
    <w:qFormat/>
    <w:locked/>
    <w:uiPriority w:val="0"/>
    <w:rPr>
      <w:rFonts w:ascii="Cambria" w:hAnsi="Cambria" w:eastAsia="宋体" w:cs="Times New Roman"/>
      <w:b/>
      <w:bCs/>
      <w:sz w:val="32"/>
      <w:szCs w:val="32"/>
    </w:rPr>
  </w:style>
  <w:style w:type="character" w:customStyle="1" w:styleId="282">
    <w:name w:val="正文文本 2 字符"/>
    <w:qFormat/>
    <w:locked/>
    <w:uiPriority w:val="99"/>
    <w:rPr>
      <w:rFonts w:ascii="Times New Roman" w:hAnsi="Times New Roman" w:eastAsia="黑体" w:cs="Times New Roman"/>
      <w:bCs/>
      <w:kern w:val="0"/>
      <w:sz w:val="24"/>
      <w:szCs w:val="24"/>
    </w:rPr>
  </w:style>
  <w:style w:type="character" w:customStyle="1" w:styleId="283">
    <w:name w:val="彩色网格 - 着色 3 Char"/>
    <w:qFormat/>
    <w:uiPriority w:val="30"/>
    <w:rPr>
      <w:rFonts w:ascii="Calibri Light" w:hAnsi="Calibri Light"/>
      <w:color w:val="5B9BD5"/>
      <w:sz w:val="28"/>
      <w:szCs w:val="28"/>
    </w:rPr>
  </w:style>
  <w:style w:type="character" w:customStyle="1" w:styleId="284">
    <w:name w:val="productbalk1"/>
    <w:qFormat/>
    <w:uiPriority w:val="0"/>
    <w:rPr>
      <w:color w:val="333333"/>
    </w:rPr>
  </w:style>
  <w:style w:type="character" w:customStyle="1" w:styleId="285">
    <w:name w:val="Font Style11"/>
    <w:qFormat/>
    <w:uiPriority w:val="99"/>
    <w:rPr>
      <w:rFonts w:ascii="宋体" w:eastAsia="宋体" w:cs="宋体"/>
      <w:sz w:val="22"/>
      <w:szCs w:val="22"/>
    </w:rPr>
  </w:style>
  <w:style w:type="character" w:customStyle="1" w:styleId="286">
    <w:name w:val="font161"/>
    <w:qFormat/>
    <w:uiPriority w:val="99"/>
    <w:rPr>
      <w:b/>
      <w:bCs/>
      <w:sz w:val="32"/>
      <w:szCs w:val="32"/>
    </w:rPr>
  </w:style>
  <w:style w:type="character" w:customStyle="1" w:styleId="287">
    <w:name w:val="批注文字 Char2"/>
    <w:qFormat/>
    <w:uiPriority w:val="0"/>
    <w:rPr>
      <w:kern w:val="2"/>
      <w:sz w:val="21"/>
      <w:szCs w:val="24"/>
    </w:rPr>
  </w:style>
  <w:style w:type="character" w:customStyle="1" w:styleId="288">
    <w:name w:val="标题 3 字符"/>
    <w:qFormat/>
    <w:locked/>
    <w:uiPriority w:val="99"/>
    <w:rPr>
      <w:rFonts w:ascii="Times New Roman" w:hAnsi="Times New Roman" w:eastAsia="宋体" w:cs="Times New Roman"/>
      <w:b/>
      <w:bCs/>
      <w:kern w:val="0"/>
      <w:sz w:val="32"/>
      <w:szCs w:val="32"/>
    </w:rPr>
  </w:style>
  <w:style w:type="character" w:customStyle="1" w:styleId="289">
    <w:name w:val="2.C2阶梯教室 Char"/>
    <w:link w:val="290"/>
    <w:qFormat/>
    <w:uiPriority w:val="0"/>
    <w:rPr>
      <w:rFonts w:ascii="宋体" w:hAnsi="宋体"/>
      <w:sz w:val="24"/>
      <w:szCs w:val="24"/>
    </w:rPr>
  </w:style>
  <w:style w:type="paragraph" w:customStyle="1" w:styleId="290">
    <w:name w:val="2.C2阶梯教室"/>
    <w:basedOn w:val="1"/>
    <w:link w:val="289"/>
    <w:qFormat/>
    <w:uiPriority w:val="0"/>
    <w:pPr>
      <w:widowControl/>
      <w:tabs>
        <w:tab w:val="left" w:pos="420"/>
        <w:tab w:val="left" w:pos="673"/>
      </w:tabs>
      <w:spacing w:line="440" w:lineRule="exact"/>
      <w:ind w:left="-25"/>
    </w:pPr>
    <w:rPr>
      <w:rFonts w:ascii="宋体" w:hAnsi="宋体"/>
      <w:kern w:val="0"/>
      <w:sz w:val="24"/>
    </w:rPr>
  </w:style>
  <w:style w:type="character" w:customStyle="1" w:styleId="291">
    <w:name w:val="网格表 1 浅色 - 着色 21"/>
    <w:qFormat/>
    <w:uiPriority w:val="19"/>
    <w:rPr>
      <w:i/>
      <w:iCs/>
      <w:color w:val="404040"/>
    </w:rPr>
  </w:style>
  <w:style w:type="character" w:customStyle="1" w:styleId="292">
    <w:name w:val="批注主题 字符"/>
    <w:semiHidden/>
    <w:qFormat/>
    <w:locked/>
    <w:uiPriority w:val="0"/>
    <w:rPr>
      <w:rFonts w:ascii="Times New Roman" w:hAnsi="Times New Roman" w:eastAsia="宋体" w:cs="Times New Roman"/>
      <w:b/>
      <w:bCs/>
      <w:kern w:val="0"/>
      <w:sz w:val="24"/>
      <w:szCs w:val="24"/>
    </w:rPr>
  </w:style>
  <w:style w:type="character" w:customStyle="1" w:styleId="293">
    <w:name w:val="标题 1 Char1"/>
    <w:qFormat/>
    <w:uiPriority w:val="99"/>
    <w:rPr>
      <w:rFonts w:ascii="Tahoma" w:hAnsi="Tahoma"/>
      <w:b/>
      <w:bCs/>
      <w:kern w:val="44"/>
      <w:sz w:val="44"/>
      <w:szCs w:val="44"/>
    </w:rPr>
  </w:style>
  <w:style w:type="character" w:customStyle="1" w:styleId="294">
    <w:name w:val="中等深浅底纹 1 - 着色 3 Char"/>
    <w:qFormat/>
    <w:uiPriority w:val="29"/>
    <w:rPr>
      <w:i/>
      <w:iCs/>
      <w:color w:val="404040"/>
    </w:rPr>
  </w:style>
  <w:style w:type="character" w:customStyle="1" w:styleId="295">
    <w:name w:val="Font Style16"/>
    <w:qFormat/>
    <w:uiPriority w:val="99"/>
    <w:rPr>
      <w:rFonts w:ascii="Times New Roman" w:hAnsi="Times New Roman" w:cs="Times New Roman"/>
      <w:sz w:val="22"/>
      <w:szCs w:val="22"/>
    </w:rPr>
  </w:style>
  <w:style w:type="character" w:customStyle="1" w:styleId="296">
    <w:name w:val="网格表 4 - 着色 31"/>
    <w:qFormat/>
    <w:uiPriority w:val="21"/>
    <w:rPr>
      <w:b/>
      <w:bCs/>
      <w:i/>
      <w:iCs/>
    </w:rPr>
  </w:style>
  <w:style w:type="character" w:customStyle="1" w:styleId="297">
    <w:name w:val="标题 4 字符"/>
    <w:qFormat/>
    <w:uiPriority w:val="99"/>
    <w:rPr>
      <w:rFonts w:ascii="等线 Light" w:hAnsi="等线 Light" w:eastAsia="等线 Light" w:cs="Times New Roman"/>
      <w:b/>
      <w:bCs/>
      <w:sz w:val="28"/>
      <w:szCs w:val="28"/>
    </w:rPr>
  </w:style>
  <w:style w:type="character" w:customStyle="1" w:styleId="298">
    <w:name w:val="网格表 7 彩色 - 着色 31"/>
    <w:qFormat/>
    <w:uiPriority w:val="33"/>
    <w:rPr>
      <w:b/>
      <w:bCs/>
      <w:smallCaps/>
    </w:rPr>
  </w:style>
  <w:style w:type="character" w:customStyle="1" w:styleId="299">
    <w:name w:val="日期 Char1"/>
    <w:qFormat/>
    <w:uiPriority w:val="99"/>
    <w:rPr>
      <w:rFonts w:ascii="Tahoma" w:hAnsi="Tahoma"/>
      <w:sz w:val="22"/>
      <w:szCs w:val="22"/>
    </w:rPr>
  </w:style>
  <w:style w:type="character" w:customStyle="1" w:styleId="300">
    <w:name w:val="网格表 5 深色 - 着色 31"/>
    <w:qFormat/>
    <w:uiPriority w:val="31"/>
    <w:rPr>
      <w:smallCaps/>
      <w:color w:val="404040"/>
      <w:u w:val="single" w:color="7F7F7F"/>
    </w:rPr>
  </w:style>
  <w:style w:type="character" w:customStyle="1" w:styleId="301">
    <w:name w:val="Font Style14"/>
    <w:qFormat/>
    <w:uiPriority w:val="99"/>
    <w:rPr>
      <w:rFonts w:ascii="宋体" w:eastAsia="宋体" w:cs="宋体"/>
      <w:sz w:val="22"/>
      <w:szCs w:val="22"/>
    </w:rPr>
  </w:style>
  <w:style w:type="character" w:customStyle="1" w:styleId="302">
    <w:name w:val="apple-converted-space"/>
    <w:qFormat/>
    <w:uiPriority w:val="0"/>
  </w:style>
  <w:style w:type="character" w:customStyle="1" w:styleId="303">
    <w:name w:val="正文正 Char"/>
    <w:link w:val="304"/>
    <w:qFormat/>
    <w:uiPriority w:val="0"/>
    <w:rPr>
      <w:rFonts w:ascii="宋体" w:hAnsi="宋体"/>
      <w:sz w:val="24"/>
    </w:rPr>
  </w:style>
  <w:style w:type="paragraph" w:customStyle="1" w:styleId="304">
    <w:name w:val="正文正"/>
    <w:basedOn w:val="1"/>
    <w:link w:val="303"/>
    <w:qFormat/>
    <w:uiPriority w:val="0"/>
    <w:pPr>
      <w:widowControl/>
      <w:spacing w:line="500" w:lineRule="exact"/>
      <w:ind w:firstLine="480" w:firstLineChars="200"/>
    </w:pPr>
    <w:rPr>
      <w:rFonts w:ascii="宋体" w:hAnsi="宋体"/>
      <w:kern w:val="0"/>
      <w:sz w:val="24"/>
      <w:szCs w:val="20"/>
    </w:rPr>
  </w:style>
  <w:style w:type="character" w:customStyle="1" w:styleId="305">
    <w:name w:val="页脚 字符"/>
    <w:qFormat/>
    <w:locked/>
    <w:uiPriority w:val="99"/>
    <w:rPr>
      <w:rFonts w:ascii="Times New Roman" w:hAnsi="Times New Roman" w:eastAsia="宋体" w:cs="Times New Roman"/>
      <w:sz w:val="18"/>
      <w:szCs w:val="18"/>
    </w:rPr>
  </w:style>
  <w:style w:type="character" w:customStyle="1" w:styleId="306">
    <w:name w:val="网格表 3 - 着色 21"/>
    <w:qFormat/>
    <w:uiPriority w:val="31"/>
    <w:rPr>
      <w:smallCaps/>
      <w:color w:val="404040"/>
      <w:u w:val="single" w:color="7F7F7F"/>
    </w:rPr>
  </w:style>
  <w:style w:type="character" w:customStyle="1" w:styleId="307">
    <w:name w:val="标题 7 Char1"/>
    <w:qFormat/>
    <w:uiPriority w:val="99"/>
    <w:rPr>
      <w:rFonts w:ascii="Tahoma" w:hAnsi="Tahoma"/>
      <w:b/>
      <w:bCs/>
      <w:sz w:val="24"/>
      <w:szCs w:val="24"/>
    </w:rPr>
  </w:style>
  <w:style w:type="character" w:customStyle="1" w:styleId="308">
    <w:name w:val="Font Style18"/>
    <w:qFormat/>
    <w:uiPriority w:val="99"/>
    <w:rPr>
      <w:rFonts w:ascii="Candara" w:hAnsi="Candara" w:cs="Candara"/>
      <w:spacing w:val="-20"/>
      <w:sz w:val="20"/>
      <w:szCs w:val="20"/>
    </w:rPr>
  </w:style>
  <w:style w:type="character" w:customStyle="1" w:styleId="309">
    <w:name w:val="网格表 6 彩色 - 着色 31"/>
    <w:qFormat/>
    <w:uiPriority w:val="32"/>
    <w:rPr>
      <w:b/>
      <w:bCs/>
      <w:smallCaps/>
      <w:spacing w:val="5"/>
      <w:u w:val="single"/>
    </w:rPr>
  </w:style>
  <w:style w:type="character" w:customStyle="1" w:styleId="310">
    <w:name w:val="批注主题 Char1"/>
    <w:semiHidden/>
    <w:qFormat/>
    <w:uiPriority w:val="99"/>
    <w:rPr>
      <w:rFonts w:ascii="Times New Roman" w:hAnsi="Times New Roman" w:eastAsia="仿宋_GB2312" w:cs="Times New Roman"/>
      <w:b/>
      <w:bCs/>
      <w:sz w:val="32"/>
      <w:szCs w:val="32"/>
    </w:rPr>
  </w:style>
  <w:style w:type="character" w:customStyle="1" w:styleId="311">
    <w:name w:val="正文文本缩进 3 字符"/>
    <w:qFormat/>
    <w:locked/>
    <w:uiPriority w:val="99"/>
    <w:rPr>
      <w:rFonts w:ascii="Times New Roman" w:hAnsi="Times New Roman" w:eastAsia="宋体" w:cs="Times New Roman"/>
      <w:kern w:val="0"/>
      <w:sz w:val="16"/>
      <w:szCs w:val="16"/>
    </w:rPr>
  </w:style>
  <w:style w:type="character" w:customStyle="1" w:styleId="312">
    <w:name w:val="网格表 4 - 着色 21"/>
    <w:qFormat/>
    <w:uiPriority w:val="32"/>
    <w:rPr>
      <w:b/>
      <w:bCs/>
      <w:smallCaps/>
      <w:spacing w:val="5"/>
      <w:u w:val="single"/>
    </w:rPr>
  </w:style>
  <w:style w:type="character" w:customStyle="1" w:styleId="313">
    <w:name w:val="样式 粉红"/>
    <w:qFormat/>
    <w:uiPriority w:val="99"/>
    <w:rPr>
      <w:color w:val="auto"/>
      <w:u w:val="none"/>
    </w:rPr>
  </w:style>
  <w:style w:type="character" w:customStyle="1" w:styleId="314">
    <w:name w:val="网格表 3 - 着色 31"/>
    <w:qFormat/>
    <w:uiPriority w:val="19"/>
    <w:rPr>
      <w:i/>
      <w:iCs/>
      <w:color w:val="404040"/>
    </w:rPr>
  </w:style>
  <w:style w:type="character" w:customStyle="1" w:styleId="315">
    <w:name w:val="Char Char13"/>
    <w:qFormat/>
    <w:uiPriority w:val="0"/>
    <w:rPr>
      <w:rFonts w:eastAsia="宋体"/>
      <w:kern w:val="2"/>
      <w:sz w:val="24"/>
      <w:lang w:val="en-US" w:eastAsia="zh-CN" w:bidi="ar-SA"/>
    </w:rPr>
  </w:style>
  <w:style w:type="character" w:customStyle="1" w:styleId="316">
    <w:name w:val="脚注文本 Char1"/>
    <w:semiHidden/>
    <w:qFormat/>
    <w:uiPriority w:val="99"/>
    <w:rPr>
      <w:rFonts w:ascii="Times New Roman" w:hAnsi="Times New Roman" w:eastAsia="仿宋_GB2312" w:cs="Times New Roman"/>
      <w:sz w:val="18"/>
      <w:szCs w:val="18"/>
    </w:rPr>
  </w:style>
  <w:style w:type="character" w:customStyle="1" w:styleId="317">
    <w:name w:val="正文文本 字符"/>
    <w:qFormat/>
    <w:locked/>
    <w:uiPriority w:val="99"/>
    <w:rPr>
      <w:rFonts w:ascii="Times New Roman" w:hAnsi="Times New Roman" w:eastAsia="黑体" w:cs="Times New Roman"/>
      <w:kern w:val="0"/>
      <w:sz w:val="24"/>
      <w:szCs w:val="24"/>
    </w:rPr>
  </w:style>
  <w:style w:type="character" w:customStyle="1" w:styleId="318">
    <w:name w:val="Char Char"/>
    <w:qFormat/>
    <w:uiPriority w:val="0"/>
    <w:rPr>
      <w:rFonts w:ascii="Arial" w:hAnsi="Arial" w:eastAsia="黑体"/>
      <w:b/>
      <w:bCs/>
      <w:kern w:val="2"/>
      <w:sz w:val="32"/>
      <w:szCs w:val="32"/>
      <w:lang w:val="en-US" w:eastAsia="zh-CN" w:bidi="ar-SA"/>
    </w:rPr>
  </w:style>
  <w:style w:type="character" w:customStyle="1" w:styleId="319">
    <w:name w:val="producttext1"/>
    <w:qFormat/>
    <w:uiPriority w:val="0"/>
    <w:rPr>
      <w:color w:val="999999"/>
    </w:rPr>
  </w:style>
  <w:style w:type="character" w:customStyle="1" w:styleId="320">
    <w:name w:val="info1"/>
    <w:qFormat/>
    <w:uiPriority w:val="0"/>
    <w:rPr>
      <w:color w:val="000000"/>
      <w:spacing w:val="15"/>
      <w:sz w:val="24"/>
      <w:szCs w:val="24"/>
    </w:rPr>
  </w:style>
  <w:style w:type="character" w:customStyle="1" w:styleId="321">
    <w:name w:val="Font Style15"/>
    <w:qFormat/>
    <w:uiPriority w:val="99"/>
    <w:rPr>
      <w:rFonts w:ascii="宋体" w:eastAsia="宋体" w:cs="宋体"/>
      <w:b/>
      <w:bCs/>
      <w:sz w:val="20"/>
      <w:szCs w:val="20"/>
    </w:rPr>
  </w:style>
  <w:style w:type="character" w:customStyle="1" w:styleId="322">
    <w:name w:val="正文文本缩进 字符"/>
    <w:qFormat/>
    <w:locked/>
    <w:uiPriority w:val="0"/>
    <w:rPr>
      <w:rFonts w:ascii="Times New Roman" w:hAnsi="Times New Roman" w:eastAsia="宋体" w:cs="Times New Roman"/>
      <w:kern w:val="0"/>
      <w:sz w:val="24"/>
      <w:szCs w:val="24"/>
    </w:rPr>
  </w:style>
  <w:style w:type="character" w:customStyle="1" w:styleId="323">
    <w:name w:val="标题 9 字符"/>
    <w:qFormat/>
    <w:uiPriority w:val="99"/>
    <w:rPr>
      <w:rFonts w:ascii="等线 Light" w:hAnsi="等线 Light" w:eastAsia="等线 Light" w:cs="Times New Roman"/>
      <w:sz w:val="21"/>
      <w:szCs w:val="21"/>
    </w:rPr>
  </w:style>
  <w:style w:type="character" w:customStyle="1" w:styleId="324">
    <w:name w:val="批注框文本 字符"/>
    <w:qFormat/>
    <w:locked/>
    <w:uiPriority w:val="0"/>
    <w:rPr>
      <w:rFonts w:ascii="Times New Roman" w:hAnsi="Times New Roman" w:eastAsia="宋体" w:cs="Times New Roman"/>
      <w:sz w:val="18"/>
      <w:szCs w:val="18"/>
    </w:rPr>
  </w:style>
  <w:style w:type="character" w:customStyle="1" w:styleId="325">
    <w:name w:val="正文文本 3 Char1"/>
    <w:semiHidden/>
    <w:qFormat/>
    <w:uiPriority w:val="99"/>
    <w:rPr>
      <w:rFonts w:ascii="Tahoma" w:hAnsi="Tahoma"/>
      <w:sz w:val="16"/>
      <w:szCs w:val="16"/>
    </w:rPr>
  </w:style>
  <w:style w:type="character" w:customStyle="1" w:styleId="326">
    <w:name w:val="批注文字 Char3"/>
    <w:semiHidden/>
    <w:qFormat/>
    <w:uiPriority w:val="99"/>
    <w:rPr>
      <w:rFonts w:ascii="Tahoma" w:hAnsi="Tahoma"/>
      <w:sz w:val="22"/>
      <w:szCs w:val="22"/>
    </w:rPr>
  </w:style>
  <w:style w:type="character" w:customStyle="1" w:styleId="327">
    <w:name w:val="批注主题 Char2"/>
    <w:semiHidden/>
    <w:qFormat/>
    <w:uiPriority w:val="99"/>
    <w:rPr>
      <w:rFonts w:ascii="Tahoma" w:hAnsi="Tahoma"/>
      <w:b/>
      <w:bCs/>
      <w:sz w:val="22"/>
      <w:szCs w:val="22"/>
    </w:rPr>
  </w:style>
  <w:style w:type="character" w:customStyle="1" w:styleId="328">
    <w:name w:val="正文文本 2 Char1"/>
    <w:qFormat/>
    <w:uiPriority w:val="99"/>
    <w:rPr>
      <w:kern w:val="2"/>
      <w:sz w:val="21"/>
      <w:szCs w:val="24"/>
    </w:rPr>
  </w:style>
  <w:style w:type="character" w:customStyle="1" w:styleId="329">
    <w:name w:val="日期 Char2"/>
    <w:semiHidden/>
    <w:qFormat/>
    <w:uiPriority w:val="99"/>
    <w:rPr>
      <w:rFonts w:ascii="Tahoma" w:hAnsi="Tahoma"/>
      <w:sz w:val="22"/>
      <w:szCs w:val="22"/>
    </w:rPr>
  </w:style>
  <w:style w:type="character" w:customStyle="1" w:styleId="330">
    <w:name w:val="副标题 Char2"/>
    <w:qFormat/>
    <w:uiPriority w:val="11"/>
    <w:rPr>
      <w:rFonts w:ascii="Cambria" w:hAnsi="Cambria" w:cs="Times New Roman"/>
      <w:b/>
      <w:bCs/>
      <w:kern w:val="28"/>
      <w:sz w:val="32"/>
      <w:szCs w:val="32"/>
    </w:rPr>
  </w:style>
  <w:style w:type="character" w:customStyle="1" w:styleId="331">
    <w:name w:val="HTML 预设格式 Char1"/>
    <w:semiHidden/>
    <w:qFormat/>
    <w:uiPriority w:val="99"/>
    <w:rPr>
      <w:rFonts w:ascii="Courier New" w:hAnsi="Courier New" w:cs="Courier New"/>
    </w:rPr>
  </w:style>
  <w:style w:type="character" w:customStyle="1" w:styleId="332">
    <w:name w:val="正文文本 Char1"/>
    <w:semiHidden/>
    <w:qFormat/>
    <w:uiPriority w:val="99"/>
    <w:rPr>
      <w:rFonts w:ascii="Tahoma" w:hAnsi="Tahoma"/>
      <w:sz w:val="22"/>
      <w:szCs w:val="22"/>
    </w:rPr>
  </w:style>
  <w:style w:type="character" w:customStyle="1" w:styleId="333">
    <w:name w:val="文档结构图 Char2"/>
    <w:semiHidden/>
    <w:qFormat/>
    <w:uiPriority w:val="99"/>
    <w:rPr>
      <w:rFonts w:ascii="宋体" w:hAnsi="Tahoma"/>
      <w:sz w:val="18"/>
      <w:szCs w:val="18"/>
    </w:rPr>
  </w:style>
  <w:style w:type="character" w:customStyle="1" w:styleId="334">
    <w:name w:val="批注框文本 Char1"/>
    <w:semiHidden/>
    <w:qFormat/>
    <w:uiPriority w:val="99"/>
    <w:rPr>
      <w:rFonts w:ascii="Tahoma" w:hAnsi="Tahoma"/>
      <w:sz w:val="18"/>
      <w:szCs w:val="18"/>
    </w:rPr>
  </w:style>
  <w:style w:type="character" w:customStyle="1" w:styleId="335">
    <w:name w:val="正文文本缩进 3 Char1"/>
    <w:semiHidden/>
    <w:qFormat/>
    <w:uiPriority w:val="99"/>
    <w:rPr>
      <w:rFonts w:ascii="Tahoma" w:hAnsi="Tahoma"/>
      <w:sz w:val="16"/>
      <w:szCs w:val="16"/>
    </w:rPr>
  </w:style>
  <w:style w:type="character" w:customStyle="1" w:styleId="336">
    <w:name w:val="脚注文本 Char3"/>
    <w:qFormat/>
    <w:uiPriority w:val="99"/>
    <w:rPr>
      <w:kern w:val="2"/>
      <w:sz w:val="18"/>
      <w:szCs w:val="18"/>
    </w:rPr>
  </w:style>
  <w:style w:type="character" w:customStyle="1" w:styleId="337">
    <w:name w:val="正文文本缩进 2 Char1"/>
    <w:semiHidden/>
    <w:qFormat/>
    <w:uiPriority w:val="99"/>
    <w:rPr>
      <w:rFonts w:ascii="Tahoma" w:hAnsi="Tahoma"/>
      <w:sz w:val="22"/>
      <w:szCs w:val="22"/>
    </w:rPr>
  </w:style>
  <w:style w:type="character" w:customStyle="1" w:styleId="338">
    <w:name w:val="标题 Char2"/>
    <w:qFormat/>
    <w:uiPriority w:val="10"/>
    <w:rPr>
      <w:rFonts w:ascii="Cambria" w:hAnsi="Cambria" w:cs="Times New Roman"/>
      <w:b/>
      <w:bCs/>
      <w:sz w:val="32"/>
      <w:szCs w:val="32"/>
    </w:rPr>
  </w:style>
  <w:style w:type="character" w:customStyle="1" w:styleId="339">
    <w:name w:val="纯文本 Char2"/>
    <w:semiHidden/>
    <w:qFormat/>
    <w:uiPriority w:val="99"/>
    <w:rPr>
      <w:rFonts w:ascii="宋体" w:hAnsi="Courier New" w:cs="Courier New"/>
      <w:sz w:val="21"/>
      <w:szCs w:val="21"/>
    </w:rPr>
  </w:style>
  <w:style w:type="paragraph" w:customStyle="1" w:styleId="340">
    <w:name w:val="标题4"/>
    <w:basedOn w:val="1"/>
    <w:next w:val="1"/>
    <w:qFormat/>
    <w:uiPriority w:val="0"/>
    <w:pPr>
      <w:widowControl/>
      <w:adjustRightInd w:val="0"/>
      <w:snapToGrid w:val="0"/>
      <w:spacing w:after="200" w:line="300" w:lineRule="auto"/>
      <w:ind w:firstLine="200" w:firstLineChars="200"/>
      <w:jc w:val="left"/>
    </w:pPr>
    <w:rPr>
      <w:rFonts w:ascii="Tahoma" w:hAnsi="Tahoma"/>
      <w:bCs/>
      <w:kern w:val="0"/>
      <w:sz w:val="28"/>
      <w:szCs w:val="22"/>
    </w:rPr>
  </w:style>
  <w:style w:type="paragraph" w:customStyle="1" w:styleId="341">
    <w:name w:val="xl65"/>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42">
    <w:name w:val="xl70"/>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43">
    <w:name w:val="图"/>
    <w:basedOn w:val="1"/>
    <w:qFormat/>
    <w:uiPriority w:val="0"/>
    <w:pPr>
      <w:keepNext/>
      <w:adjustRightInd w:val="0"/>
      <w:snapToGrid w:val="0"/>
      <w:spacing w:before="60" w:after="60" w:line="300" w:lineRule="auto"/>
      <w:jc w:val="center"/>
    </w:pPr>
    <w:rPr>
      <w:rFonts w:ascii="Calibri" w:hAnsi="Calibri"/>
      <w:spacing w:val="20"/>
      <w:kern w:val="0"/>
      <w:sz w:val="24"/>
      <w:szCs w:val="20"/>
    </w:rPr>
  </w:style>
  <w:style w:type="paragraph" w:customStyle="1" w:styleId="344">
    <w:name w:val="Char Char Char Char"/>
    <w:basedOn w:val="1"/>
    <w:qFormat/>
    <w:uiPriority w:val="0"/>
    <w:pPr>
      <w:widowControl/>
      <w:adjustRightInd w:val="0"/>
      <w:snapToGrid w:val="0"/>
      <w:spacing w:after="200"/>
      <w:jc w:val="left"/>
    </w:pPr>
    <w:rPr>
      <w:rFonts w:ascii="楷体_GB2312" w:hAnsi="Tahoma" w:eastAsia="楷体_GB2312"/>
      <w:kern w:val="0"/>
      <w:sz w:val="28"/>
      <w:szCs w:val="20"/>
    </w:rPr>
  </w:style>
  <w:style w:type="paragraph" w:customStyle="1" w:styleId="345">
    <w:name w:val="Char Char Char Char1"/>
    <w:basedOn w:val="1"/>
    <w:qFormat/>
    <w:uiPriority w:val="99"/>
    <w:pPr>
      <w:widowControl/>
      <w:spacing w:after="160" w:line="240" w:lineRule="exact"/>
      <w:jc w:val="left"/>
    </w:pPr>
    <w:rPr>
      <w:szCs w:val="20"/>
    </w:rPr>
  </w:style>
  <w:style w:type="paragraph" w:customStyle="1" w:styleId="346">
    <w:name w:val="Char Char Char Char21"/>
    <w:basedOn w:val="1"/>
    <w:qFormat/>
    <w:uiPriority w:val="99"/>
    <w:pPr>
      <w:widowControl/>
      <w:spacing w:after="160" w:line="240" w:lineRule="exact"/>
      <w:jc w:val="left"/>
    </w:pPr>
    <w:rPr>
      <w:szCs w:val="20"/>
    </w:rPr>
  </w:style>
  <w:style w:type="paragraph" w:customStyle="1" w:styleId="347">
    <w:name w:val="xl72"/>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48">
    <w:name w:val="xl83"/>
    <w:basedOn w:val="1"/>
    <w:qFormat/>
    <w:uiPriority w:val="0"/>
    <w:pPr>
      <w:widowControl/>
      <w:pBdr>
        <w:top w:val="single" w:color="000000" w:sz="4"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49">
    <w:name w:val="正文空2格  1."/>
    <w:basedOn w:val="1"/>
    <w:qFormat/>
    <w:uiPriority w:val="0"/>
    <w:pPr>
      <w:widowControl/>
      <w:adjustRightInd w:val="0"/>
      <w:snapToGrid w:val="0"/>
      <w:spacing w:after="200"/>
      <w:ind w:firstLine="480" w:firstLineChars="200"/>
      <w:jc w:val="left"/>
    </w:pPr>
    <w:rPr>
      <w:rFonts w:ascii="Tahoma" w:hAnsi="Tahoma" w:cs="宋体"/>
      <w:kern w:val="0"/>
      <w:sz w:val="28"/>
      <w:szCs w:val="20"/>
    </w:rPr>
  </w:style>
  <w:style w:type="paragraph" w:customStyle="1" w:styleId="350">
    <w:name w:val="Char111"/>
    <w:basedOn w:val="1"/>
    <w:qFormat/>
    <w:uiPriority w:val="0"/>
    <w:pPr>
      <w:widowControl/>
      <w:spacing w:after="120" w:line="264" w:lineRule="auto"/>
      <w:jc w:val="left"/>
    </w:pPr>
    <w:rPr>
      <w:rFonts w:ascii="Tahoma" w:hAnsi="Tahoma"/>
      <w:kern w:val="0"/>
      <w:sz w:val="24"/>
      <w:szCs w:val="20"/>
    </w:rPr>
  </w:style>
  <w:style w:type="paragraph" w:customStyle="1" w:styleId="351">
    <w:name w:val="样式 标题 2 + Times New Roman 四号 非加粗 段前: 5 磅 段后: 0 磅 行距: 固定值 20..."/>
    <w:basedOn w:val="3"/>
    <w:qFormat/>
    <w:uiPriority w:val="99"/>
    <w:pPr>
      <w:autoSpaceDE/>
      <w:autoSpaceDN/>
      <w:adjustRightInd/>
      <w:spacing w:before="100" w:line="400" w:lineRule="exact"/>
      <w:jc w:val="both"/>
    </w:pPr>
    <w:rPr>
      <w:rFonts w:ascii="Times New Roman" w:hAnsi="Times New Roman" w:cs="宋体"/>
      <w:b w:val="0"/>
      <w:kern w:val="2"/>
      <w:sz w:val="28"/>
    </w:rPr>
  </w:style>
  <w:style w:type="paragraph" w:customStyle="1" w:styleId="352">
    <w:name w:val="Char Char1 Char Char Char Char Char Char2"/>
    <w:basedOn w:val="1"/>
    <w:qFormat/>
    <w:uiPriority w:val="0"/>
    <w:pPr>
      <w:widowControl/>
      <w:adjustRightInd w:val="0"/>
      <w:snapToGrid w:val="0"/>
      <w:spacing w:after="160" w:line="240" w:lineRule="exact"/>
      <w:jc w:val="left"/>
    </w:pPr>
    <w:rPr>
      <w:rFonts w:ascii="Verdana" w:hAnsi="Verdana" w:eastAsia="仿宋_GB2312"/>
      <w:kern w:val="0"/>
      <w:sz w:val="24"/>
      <w:szCs w:val="20"/>
      <w:lang w:eastAsia="en-US"/>
    </w:rPr>
  </w:style>
  <w:style w:type="paragraph" w:customStyle="1" w:styleId="353">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354">
    <w:name w:val="网格表 7 彩色 - 着色 21"/>
    <w:basedOn w:val="2"/>
    <w:next w:val="1"/>
    <w:qFormat/>
    <w:uiPriority w:val="99"/>
    <w:pPr>
      <w:widowControl/>
      <w:autoSpaceDE/>
      <w:autoSpaceDN/>
      <w:adjustRightInd/>
      <w:spacing w:before="480" w:after="0" w:line="276" w:lineRule="auto"/>
      <w:jc w:val="left"/>
      <w:outlineLvl w:val="9"/>
    </w:pPr>
    <w:rPr>
      <w:rFonts w:ascii="Cambria" w:hAnsi="Cambria" w:cs="Cambria"/>
      <w:bCs/>
      <w:color w:val="365F91"/>
      <w:kern w:val="0"/>
      <w:sz w:val="28"/>
      <w:szCs w:val="28"/>
    </w:rPr>
  </w:style>
  <w:style w:type="paragraph" w:customStyle="1" w:styleId="355">
    <w:name w:val="表格"/>
    <w:basedOn w:val="1"/>
    <w:qFormat/>
    <w:uiPriority w:val="99"/>
    <w:pPr>
      <w:widowControl/>
      <w:spacing w:after="120" w:line="264" w:lineRule="auto"/>
      <w:jc w:val="center"/>
      <w:textAlignment w:val="center"/>
    </w:pPr>
    <w:rPr>
      <w:rFonts w:ascii="华文细黑" w:hAnsi="华文细黑"/>
      <w:kern w:val="0"/>
      <w:sz w:val="20"/>
      <w:szCs w:val="20"/>
    </w:rPr>
  </w:style>
  <w:style w:type="paragraph" w:customStyle="1" w:styleId="356">
    <w:name w:val="3"/>
    <w:basedOn w:val="1"/>
    <w:next w:val="18"/>
    <w:qFormat/>
    <w:uiPriority w:val="99"/>
    <w:pPr>
      <w:widowControl/>
      <w:spacing w:after="120" w:line="264" w:lineRule="auto"/>
      <w:jc w:val="left"/>
    </w:pPr>
    <w:rPr>
      <w:rFonts w:ascii="宋体" w:hAnsi="Calibri"/>
      <w:kern w:val="0"/>
      <w:sz w:val="24"/>
      <w:szCs w:val="20"/>
    </w:rPr>
  </w:style>
  <w:style w:type="paragraph" w:customStyle="1" w:styleId="357">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58">
    <w:name w:val="样式 楷体_GB2312 小四 首行缩进:  0.8 厘米 行距: 固定值 28 磅"/>
    <w:basedOn w:val="1"/>
    <w:qFormat/>
    <w:uiPriority w:val="0"/>
    <w:pPr>
      <w:jc w:val="center"/>
    </w:pPr>
    <w:rPr>
      <w:b/>
      <w:bCs/>
      <w:sz w:val="30"/>
      <w:szCs w:val="21"/>
    </w:rPr>
  </w:style>
  <w:style w:type="paragraph" w:customStyle="1" w:styleId="359">
    <w:name w:val="XW正文"/>
    <w:basedOn w:val="20"/>
    <w:qFormat/>
    <w:uiPriority w:val="99"/>
    <w:pPr>
      <w:widowControl/>
      <w:adjustRightInd w:val="0"/>
      <w:snapToGrid w:val="0"/>
      <w:spacing w:line="300" w:lineRule="auto"/>
      <w:ind w:firstLine="520" w:firstLineChars="200"/>
      <w:jc w:val="left"/>
    </w:pPr>
    <w:rPr>
      <w:rFonts w:ascii="Calibri" w:hAnsi="Calibri"/>
      <w:kern w:val="0"/>
      <w:sz w:val="20"/>
      <w:szCs w:val="20"/>
      <w:lang w:val="en-GB"/>
    </w:rPr>
  </w:style>
  <w:style w:type="paragraph" w:customStyle="1" w:styleId="360">
    <w:name w:val="样式 样式 行距: 多倍行距 1.25 字行 + 首行缩进:  2 字符"/>
    <w:basedOn w:val="1"/>
    <w:qFormat/>
    <w:uiPriority w:val="0"/>
    <w:pPr>
      <w:snapToGrid w:val="0"/>
      <w:spacing w:after="156" w:afterLines="50" w:line="300" w:lineRule="auto"/>
      <w:ind w:firstLine="200" w:firstLineChars="200"/>
    </w:pPr>
    <w:rPr>
      <w:rFonts w:ascii="Calibri" w:hAnsi="Calibri" w:eastAsia="华文细黑" w:cs="宋体"/>
      <w:sz w:val="24"/>
      <w:szCs w:val="20"/>
    </w:rPr>
  </w:style>
  <w:style w:type="paragraph" w:customStyle="1" w:styleId="361">
    <w:name w:val="样式4"/>
    <w:basedOn w:val="1"/>
    <w:qFormat/>
    <w:uiPriority w:val="0"/>
    <w:pPr>
      <w:jc w:val="center"/>
    </w:pPr>
    <w:rPr>
      <w:szCs w:val="20"/>
    </w:rPr>
  </w:style>
  <w:style w:type="paragraph" w:customStyle="1" w:styleId="362">
    <w:name w:val="xl88"/>
    <w:basedOn w:val="1"/>
    <w:qFormat/>
    <w:uiPriority w:val="0"/>
    <w:pPr>
      <w:widowControl/>
      <w:pBdr>
        <w:top w:val="single" w:color="000000" w:sz="8"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63">
    <w:name w:val="样式 标题 3 + (中文) 黑体 小四 非加粗 段前: 7.8 磅 段后: 0 磅 行距: 固定值 20 磅"/>
    <w:basedOn w:val="5"/>
    <w:link w:val="412"/>
    <w:qFormat/>
    <w:uiPriority w:val="0"/>
    <w:pPr>
      <w:widowControl/>
      <w:autoSpaceDE/>
      <w:autoSpaceDN/>
      <w:adjustRightInd/>
      <w:spacing w:before="0" w:after="0" w:line="400" w:lineRule="exact"/>
    </w:pPr>
    <w:rPr>
      <w:rFonts w:ascii="Calibri Light" w:hAnsi="Calibri Light" w:eastAsia="黑体"/>
      <w:bCs/>
      <w:color w:val="44546A"/>
      <w:u w:val="none"/>
    </w:rPr>
  </w:style>
  <w:style w:type="paragraph" w:customStyle="1" w:styleId="364">
    <w:name w:val="样式"/>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65">
    <w:name w:val="xl85"/>
    <w:basedOn w:val="1"/>
    <w:qFormat/>
    <w:uiPriority w:val="0"/>
    <w:pPr>
      <w:widowControl/>
      <w:pBdr>
        <w:top w:val="single" w:color="000000" w:sz="8"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66">
    <w:name w:val="xl87"/>
    <w:basedOn w:val="1"/>
    <w:qFormat/>
    <w:uiPriority w:val="0"/>
    <w:pPr>
      <w:widowControl/>
      <w:pBdr>
        <w:top w:val="single" w:color="000000" w:sz="8"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67">
    <w:name w:val="xl66"/>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368">
    <w:name w:val="图内文字5号居中"/>
    <w:qFormat/>
    <w:uiPriority w:val="0"/>
    <w:pPr>
      <w:spacing w:after="200" w:line="276" w:lineRule="auto"/>
      <w:jc w:val="center"/>
    </w:pPr>
    <w:rPr>
      <w:rFonts w:ascii="Times New Roman" w:hAnsi="Times New Roman" w:eastAsia="宋体" w:cs="Times New Roman"/>
      <w:kern w:val="2"/>
      <w:sz w:val="21"/>
      <w:szCs w:val="24"/>
      <w:lang w:val="en-US" w:eastAsia="zh-CN" w:bidi="ar-SA"/>
    </w:rPr>
  </w:style>
  <w:style w:type="paragraph" w:customStyle="1" w:styleId="369">
    <w:name w:val="p17"/>
    <w:basedOn w:val="1"/>
    <w:qFormat/>
    <w:uiPriority w:val="99"/>
    <w:pPr>
      <w:widowControl/>
      <w:spacing w:after="120" w:line="264" w:lineRule="auto"/>
      <w:jc w:val="left"/>
    </w:pPr>
    <w:rPr>
      <w:rFonts w:ascii="Calibri" w:hAnsi="Calibri"/>
      <w:kern w:val="0"/>
      <w:sz w:val="20"/>
      <w:szCs w:val="21"/>
    </w:rPr>
  </w:style>
  <w:style w:type="paragraph" w:customStyle="1" w:styleId="370">
    <w:name w:val="xl75"/>
    <w:basedOn w:val="1"/>
    <w:qFormat/>
    <w:uiPriority w:val="0"/>
    <w:pPr>
      <w:widowControl/>
      <w:pBdr>
        <w:top w:val="single" w:color="000000" w:sz="8" w:space="0"/>
        <w:left w:val="single" w:color="000000" w:sz="4" w:space="0"/>
        <w:bottom w:val="single" w:color="000000" w:sz="8"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71">
    <w:name w:val="样式1"/>
    <w:basedOn w:val="1"/>
    <w:qFormat/>
    <w:uiPriority w:val="99"/>
    <w:pPr>
      <w:widowControl/>
      <w:adjustRightInd w:val="0"/>
      <w:snapToGrid w:val="0"/>
      <w:spacing w:before="120" w:after="120" w:line="300" w:lineRule="auto"/>
      <w:jc w:val="left"/>
    </w:pPr>
    <w:rPr>
      <w:rFonts w:ascii="宋体" w:hAnsi="宋体"/>
      <w:b/>
      <w:kern w:val="0"/>
      <w:sz w:val="24"/>
      <w:szCs w:val="20"/>
    </w:rPr>
  </w:style>
  <w:style w:type="paragraph" w:customStyle="1" w:styleId="372">
    <w:name w:val="Normal_0"/>
    <w:qFormat/>
    <w:uiPriority w:val="99"/>
    <w:pPr>
      <w:spacing w:before="120" w:after="240" w:line="360" w:lineRule="auto"/>
      <w:jc w:val="both"/>
    </w:pPr>
    <w:rPr>
      <w:rFonts w:ascii="Calibri" w:hAnsi="Calibri" w:eastAsia="Calibri" w:cs="Times New Roman"/>
      <w:sz w:val="22"/>
      <w:szCs w:val="22"/>
      <w:lang w:val="ru-RU" w:eastAsia="en-US" w:bidi="ar-SA"/>
    </w:rPr>
  </w:style>
  <w:style w:type="paragraph" w:customStyle="1" w:styleId="373">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74">
    <w:name w:val="xl77"/>
    <w:basedOn w:val="1"/>
    <w:qFormat/>
    <w:uiPriority w:val="0"/>
    <w:pPr>
      <w:widowControl/>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37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76">
    <w:name w:val="_Style 10"/>
    <w:basedOn w:val="1"/>
    <w:qFormat/>
    <w:uiPriority w:val="0"/>
    <w:pPr>
      <w:ind w:firstLine="420" w:firstLineChars="200"/>
    </w:pPr>
  </w:style>
  <w:style w:type="paragraph" w:customStyle="1" w:styleId="377">
    <w:name w:val="xl84"/>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78">
    <w:name w:val="样式 标题 1 + 黑体 三号 非加粗 居中 段前: 6 磅 段后: 6 磅 行距: 固定值 20 磅"/>
    <w:basedOn w:val="2"/>
    <w:qFormat/>
    <w:uiPriority w:val="99"/>
    <w:pPr>
      <w:widowControl/>
      <w:autoSpaceDE/>
      <w:autoSpaceDN/>
      <w:adjustRightInd/>
      <w:spacing w:before="120" w:line="400" w:lineRule="exact"/>
    </w:pPr>
    <w:rPr>
      <w:rFonts w:ascii="黑体" w:hAnsi="黑体" w:eastAsia="黑体" w:cs="宋体"/>
      <w:bCs/>
      <w:color w:val="2E74B5"/>
      <w:kern w:val="0"/>
    </w:rPr>
  </w:style>
  <w:style w:type="paragraph" w:customStyle="1" w:styleId="379">
    <w:name w:val="xl80"/>
    <w:basedOn w:val="1"/>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80">
    <w:name w:val="xl76"/>
    <w:basedOn w:val="1"/>
    <w:qFormat/>
    <w:uiPriority w:val="0"/>
    <w:pPr>
      <w:widowControl/>
      <w:pBdr>
        <w:top w:val="single" w:color="000000" w:sz="8"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81">
    <w:name w:val="Char12"/>
    <w:basedOn w:val="1"/>
    <w:qFormat/>
    <w:uiPriority w:val="99"/>
    <w:rPr>
      <w:rFonts w:ascii="Tahoma" w:hAnsi="Tahoma"/>
      <w:sz w:val="24"/>
      <w:szCs w:val="20"/>
    </w:rPr>
  </w:style>
  <w:style w:type="paragraph" w:customStyle="1" w:styleId="382">
    <w:name w:val="列出段落3"/>
    <w:basedOn w:val="1"/>
    <w:qFormat/>
    <w:uiPriority w:val="34"/>
    <w:pPr>
      <w:widowControl/>
      <w:adjustRightInd w:val="0"/>
      <w:snapToGrid w:val="0"/>
      <w:spacing w:after="200"/>
      <w:ind w:firstLine="420" w:firstLineChars="200"/>
      <w:jc w:val="left"/>
    </w:pPr>
    <w:rPr>
      <w:rFonts w:ascii="Tahoma" w:hAnsi="Tahoma"/>
      <w:kern w:val="0"/>
      <w:sz w:val="22"/>
      <w:szCs w:val="22"/>
    </w:rPr>
  </w:style>
  <w:style w:type="paragraph" w:customStyle="1" w:styleId="383">
    <w:name w:val="xl64"/>
    <w:basedOn w:val="1"/>
    <w:qFormat/>
    <w:uiPriority w:val="0"/>
    <w:pPr>
      <w:widowControl/>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384">
    <w:name w:val="网格表 2 - 着色 41"/>
    <w:basedOn w:val="2"/>
    <w:next w:val="1"/>
    <w:qFormat/>
    <w:uiPriority w:val="39"/>
    <w:pPr>
      <w:widowControl/>
      <w:autoSpaceDE/>
      <w:autoSpaceDN/>
      <w:adjustRightInd/>
      <w:spacing w:before="480" w:after="0" w:line="276" w:lineRule="auto"/>
      <w:jc w:val="left"/>
      <w:outlineLvl w:val="9"/>
    </w:pPr>
    <w:rPr>
      <w:rFonts w:ascii="Cambria" w:hAnsi="Cambria" w:cs="Cambria"/>
      <w:bCs/>
      <w:color w:val="365F91"/>
      <w:kern w:val="0"/>
      <w:sz w:val="28"/>
      <w:szCs w:val="28"/>
    </w:rPr>
  </w:style>
  <w:style w:type="paragraph" w:customStyle="1" w:styleId="385">
    <w:name w:val="xl82"/>
    <w:basedOn w:val="1"/>
    <w:qFormat/>
    <w:uiPriority w:val="0"/>
    <w:pPr>
      <w:widowControl/>
      <w:pBdr>
        <w:top w:val="single" w:color="000000" w:sz="8"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86">
    <w:name w:val="xl74"/>
    <w:basedOn w:val="1"/>
    <w:qFormat/>
    <w:uiPriority w:val="0"/>
    <w:pPr>
      <w:widowControl/>
      <w:shd w:val="clear" w:color="FFFFFF" w:fill="FFFFFF"/>
      <w:spacing w:before="100" w:beforeAutospacing="1" w:after="100" w:afterAutospacing="1"/>
      <w:jc w:val="left"/>
    </w:pPr>
    <w:rPr>
      <w:rFonts w:ascii="宋体" w:hAnsi="宋体" w:cs="宋体"/>
      <w:kern w:val="0"/>
      <w:sz w:val="24"/>
    </w:rPr>
  </w:style>
  <w:style w:type="paragraph" w:customStyle="1" w:styleId="387">
    <w:name w:val="Style4"/>
    <w:basedOn w:val="1"/>
    <w:qFormat/>
    <w:uiPriority w:val="99"/>
    <w:pPr>
      <w:widowControl/>
      <w:adjustRightInd w:val="0"/>
      <w:snapToGrid w:val="0"/>
      <w:spacing w:after="200"/>
      <w:jc w:val="left"/>
    </w:pPr>
    <w:rPr>
      <w:rFonts w:ascii="宋体" w:hAnsi="Calibri"/>
      <w:kern w:val="0"/>
      <w:sz w:val="24"/>
      <w:szCs w:val="22"/>
    </w:rPr>
  </w:style>
  <w:style w:type="paragraph" w:customStyle="1" w:styleId="388">
    <w:name w:val="金安桥正文"/>
    <w:basedOn w:val="20"/>
    <w:qFormat/>
    <w:uiPriority w:val="99"/>
    <w:pPr>
      <w:widowControl/>
      <w:adjustRightInd w:val="0"/>
      <w:spacing w:line="300" w:lineRule="auto"/>
      <w:ind w:firstLine="200" w:firstLineChars="200"/>
      <w:jc w:val="left"/>
    </w:pPr>
    <w:rPr>
      <w:rFonts w:ascii="Calibri" w:hAnsi="Calibri"/>
      <w:kern w:val="0"/>
      <w:szCs w:val="20"/>
      <w:lang w:val="en-GB"/>
    </w:rPr>
  </w:style>
  <w:style w:type="paragraph" w:customStyle="1" w:styleId="389">
    <w:name w:val="Style3"/>
    <w:basedOn w:val="1"/>
    <w:qFormat/>
    <w:uiPriority w:val="99"/>
    <w:pPr>
      <w:widowControl/>
      <w:adjustRightInd w:val="0"/>
      <w:snapToGrid w:val="0"/>
      <w:spacing w:after="200" w:line="550" w:lineRule="exact"/>
      <w:ind w:firstLine="571"/>
      <w:jc w:val="left"/>
    </w:pPr>
    <w:rPr>
      <w:rFonts w:ascii="宋体" w:hAnsi="Calibri"/>
      <w:kern w:val="0"/>
      <w:sz w:val="24"/>
      <w:szCs w:val="22"/>
    </w:rPr>
  </w:style>
  <w:style w:type="paragraph" w:customStyle="1" w:styleId="390">
    <w:name w:val="6'"/>
    <w:basedOn w:val="1"/>
    <w:qFormat/>
    <w:uiPriority w:val="99"/>
    <w:pPr>
      <w:widowControl/>
      <w:autoSpaceDE w:val="0"/>
      <w:autoSpaceDN w:val="0"/>
      <w:adjustRightInd w:val="0"/>
      <w:snapToGrid w:val="0"/>
      <w:spacing w:after="120" w:line="320" w:lineRule="exact"/>
      <w:jc w:val="center"/>
      <w:textAlignment w:val="baseline"/>
    </w:pPr>
    <w:rPr>
      <w:rFonts w:ascii="Calibri" w:hAnsi="Calibri"/>
      <w:spacing w:val="20"/>
      <w:kern w:val="28"/>
      <w:sz w:val="20"/>
      <w:szCs w:val="20"/>
    </w:rPr>
  </w:style>
  <w:style w:type="paragraph" w:customStyle="1" w:styleId="391">
    <w:name w:val="xl73"/>
    <w:basedOn w:val="1"/>
    <w:qFormat/>
    <w:uiPriority w:val="0"/>
    <w:pPr>
      <w:widowControl/>
      <w:pBdr>
        <w:top w:val="single" w:color="000000" w:sz="4"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392">
    <w:name w:val="xl79"/>
    <w:basedOn w:val="1"/>
    <w:qFormat/>
    <w:uiPriority w:val="0"/>
    <w:pPr>
      <w:widowControl/>
      <w:shd w:val="clear" w:color="FFFFFF" w:fill="FFFFFF"/>
      <w:spacing w:before="100" w:beforeAutospacing="1" w:after="100" w:afterAutospacing="1"/>
      <w:jc w:val="center"/>
      <w:textAlignment w:val="center"/>
    </w:pPr>
    <w:rPr>
      <w:rFonts w:ascii="宋体" w:hAnsi="宋体" w:cs="宋体"/>
      <w:b/>
      <w:bCs/>
      <w:kern w:val="0"/>
      <w:sz w:val="40"/>
      <w:szCs w:val="40"/>
    </w:rPr>
  </w:style>
  <w:style w:type="paragraph" w:customStyle="1" w:styleId="393">
    <w:name w:val="Char Char Char Char2"/>
    <w:basedOn w:val="1"/>
    <w:qFormat/>
    <w:uiPriority w:val="99"/>
    <w:pPr>
      <w:widowControl/>
      <w:spacing w:after="160" w:line="240" w:lineRule="exact"/>
      <w:jc w:val="left"/>
    </w:pPr>
    <w:rPr>
      <w:szCs w:val="20"/>
    </w:rPr>
  </w:style>
  <w:style w:type="paragraph" w:customStyle="1" w:styleId="394">
    <w:name w:val="样式一"/>
    <w:basedOn w:val="1"/>
    <w:qFormat/>
    <w:uiPriority w:val="0"/>
    <w:pPr>
      <w:autoSpaceDE w:val="0"/>
      <w:autoSpaceDN w:val="0"/>
      <w:adjustRightInd w:val="0"/>
      <w:spacing w:line="360" w:lineRule="auto"/>
      <w:textAlignment w:val="baseline"/>
    </w:pPr>
    <w:rPr>
      <w:rFonts w:ascii="宋体" w:hAnsi="宋体"/>
      <w:kern w:val="0"/>
      <w:sz w:val="24"/>
      <w:szCs w:val="20"/>
      <w:lang w:val="en-GB"/>
    </w:rPr>
  </w:style>
  <w:style w:type="paragraph" w:customStyle="1" w:styleId="395">
    <w:name w:val="Style1"/>
    <w:basedOn w:val="1"/>
    <w:qFormat/>
    <w:uiPriority w:val="99"/>
    <w:pPr>
      <w:widowControl/>
      <w:adjustRightInd w:val="0"/>
      <w:snapToGrid w:val="0"/>
      <w:spacing w:after="200"/>
      <w:jc w:val="left"/>
    </w:pPr>
    <w:rPr>
      <w:rFonts w:ascii="宋体" w:hAnsi="Calibri"/>
      <w:kern w:val="0"/>
      <w:sz w:val="24"/>
      <w:szCs w:val="22"/>
    </w:rPr>
  </w:style>
  <w:style w:type="paragraph" w:customStyle="1" w:styleId="396">
    <w:name w:val="_Style 24"/>
    <w:basedOn w:val="1"/>
    <w:next w:val="25"/>
    <w:qFormat/>
    <w:uiPriority w:val="0"/>
    <w:rPr>
      <w:rFonts w:ascii="宋体" w:hAnsi="Courier New" w:cs="Courier New"/>
      <w:szCs w:val="21"/>
    </w:rPr>
  </w:style>
  <w:style w:type="paragraph" w:customStyle="1" w:styleId="397">
    <w:name w:val="xl81"/>
    <w:basedOn w:val="1"/>
    <w:qFormat/>
    <w:uiPriority w:val="0"/>
    <w:pPr>
      <w:widowControl/>
      <w:pBdr>
        <w:top w:val="single" w:color="000000" w:sz="8"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98">
    <w:name w:val="xl86"/>
    <w:basedOn w:val="1"/>
    <w:qFormat/>
    <w:uiPriority w:val="0"/>
    <w:pPr>
      <w:widowControl/>
      <w:pBdr>
        <w:top w:val="single" w:color="000000" w:sz="8"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399">
    <w:name w:val="样式5"/>
    <w:basedOn w:val="361"/>
    <w:qFormat/>
    <w:uiPriority w:val="0"/>
    <w:pPr>
      <w:jc w:val="left"/>
    </w:pPr>
  </w:style>
  <w:style w:type="paragraph" w:customStyle="1" w:styleId="400">
    <w:name w:val="xl71"/>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401">
    <w:name w:val="Char Char2 Char Char Char Char"/>
    <w:basedOn w:val="1"/>
    <w:qFormat/>
    <w:uiPriority w:val="0"/>
    <w:rPr>
      <w:rFonts w:ascii="Calibri" w:hAnsi="Calibri"/>
      <w:szCs w:val="21"/>
    </w:rPr>
  </w:style>
  <w:style w:type="paragraph" w:customStyle="1" w:styleId="402">
    <w:name w:val="xl78"/>
    <w:basedOn w:val="1"/>
    <w:qFormat/>
    <w:uiPriority w:val="0"/>
    <w:pPr>
      <w:widowControl/>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403">
    <w:name w:val="2"/>
    <w:basedOn w:val="1"/>
    <w:next w:val="20"/>
    <w:qFormat/>
    <w:uiPriority w:val="99"/>
    <w:pPr>
      <w:widowControl/>
      <w:spacing w:after="120" w:line="264" w:lineRule="auto"/>
      <w:ind w:left="432"/>
      <w:jc w:val="left"/>
    </w:pPr>
    <w:rPr>
      <w:rFonts w:ascii="Calibri" w:hAnsi="Calibri"/>
      <w:kern w:val="0"/>
      <w:sz w:val="20"/>
      <w:szCs w:val="20"/>
    </w:rPr>
  </w:style>
  <w:style w:type="paragraph" w:customStyle="1" w:styleId="404">
    <w:name w:val="Style2"/>
    <w:basedOn w:val="1"/>
    <w:qFormat/>
    <w:uiPriority w:val="99"/>
    <w:pPr>
      <w:widowControl/>
      <w:adjustRightInd w:val="0"/>
      <w:snapToGrid w:val="0"/>
      <w:spacing w:after="200" w:line="533" w:lineRule="exact"/>
      <w:jc w:val="left"/>
    </w:pPr>
    <w:rPr>
      <w:rFonts w:ascii="宋体" w:hAnsi="Calibri"/>
      <w:kern w:val="0"/>
      <w:sz w:val="24"/>
      <w:szCs w:val="22"/>
    </w:rPr>
  </w:style>
  <w:style w:type="paragraph" w:customStyle="1" w:styleId="405">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406">
    <w:name w:val="_Style 78"/>
    <w:basedOn w:val="1"/>
    <w:next w:val="1"/>
    <w:qFormat/>
    <w:uiPriority w:val="39"/>
    <w:pPr>
      <w:ind w:left="3360" w:leftChars="1600"/>
    </w:pPr>
  </w:style>
  <w:style w:type="paragraph" w:customStyle="1" w:styleId="407">
    <w:name w:val="访问过的超链接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08">
    <w:name w:val="Char11"/>
    <w:basedOn w:val="1"/>
    <w:qFormat/>
    <w:uiPriority w:val="99"/>
    <w:rPr>
      <w:rFonts w:ascii="Tahoma" w:hAnsi="Tahoma"/>
      <w:sz w:val="24"/>
      <w:szCs w:val="20"/>
    </w:rPr>
  </w:style>
  <w:style w:type="table" w:customStyle="1" w:styleId="409">
    <w:name w:val="网格型1"/>
    <w:basedOn w:val="4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10">
    <w:name w:val="纯文本 字符2"/>
    <w:qFormat/>
    <w:uiPriority w:val="99"/>
    <w:rPr>
      <w:rFonts w:hint="eastAsia" w:ascii="宋体" w:hAnsi="Courier New" w:eastAsia="宋体" w:cs="宋体"/>
      <w:kern w:val="2"/>
      <w:sz w:val="21"/>
    </w:rPr>
  </w:style>
  <w:style w:type="paragraph" w:customStyle="1" w:styleId="411">
    <w:name w:val="_Style 412"/>
    <w:basedOn w:val="1"/>
    <w:next w:val="1"/>
    <w:qFormat/>
    <w:uiPriority w:val="0"/>
    <w:pPr>
      <w:ind w:left="2940" w:leftChars="1400"/>
    </w:pPr>
  </w:style>
  <w:style w:type="character" w:customStyle="1" w:styleId="412">
    <w:name w:val="样式 标题 3 + (中文) 黑体 小四 非加粗 段前: 7.8 磅 段后: 0 磅 行距: 固定值 20 磅 Char"/>
    <w:link w:val="363"/>
    <w:qFormat/>
    <w:uiPriority w:val="0"/>
    <w:rPr>
      <w:rFonts w:ascii="Calibri Light" w:hAnsi="Calibri Light" w:eastAsia="黑体"/>
      <w:b/>
      <w:bCs/>
      <w:color w:val="44546A"/>
      <w:sz w:val="24"/>
    </w:rPr>
  </w:style>
  <w:style w:type="paragraph" w:customStyle="1" w:styleId="413">
    <w:name w:val="修订2"/>
    <w:hidden/>
    <w:unhideWhenUsed/>
    <w:qFormat/>
    <w:uiPriority w:val="99"/>
    <w:rPr>
      <w:rFonts w:ascii="等线" w:hAnsi="等线" w:eastAsia="宋体" w:cs="Times New Roman"/>
      <w:kern w:val="2"/>
      <w:sz w:val="21"/>
      <w:szCs w:val="22"/>
      <w:lang w:val="en-US" w:eastAsia="zh-CN" w:bidi="ar-SA"/>
    </w:rPr>
  </w:style>
  <w:style w:type="paragraph" w:customStyle="1" w:styleId="414">
    <w:name w:val="TOC 标题1"/>
    <w:basedOn w:val="2"/>
    <w:next w:val="1"/>
    <w:unhideWhenUsed/>
    <w:qFormat/>
    <w:uiPriority w:val="39"/>
    <w:pPr>
      <w:widowControl/>
      <w:autoSpaceDE/>
      <w:autoSpaceDN/>
      <w:adjustRightInd/>
      <w:spacing w:after="0" w:line="259" w:lineRule="auto"/>
      <w:jc w:val="left"/>
      <w:outlineLvl w:val="9"/>
    </w:pPr>
    <w:rPr>
      <w:rFonts w:ascii="Calibri" w:hAnsi="Calibri"/>
      <w:b w:val="0"/>
      <w:color w:val="365F91"/>
      <w:kern w:val="0"/>
      <w:szCs w:val="32"/>
    </w:rPr>
  </w:style>
  <w:style w:type="character" w:customStyle="1" w:styleId="415">
    <w:name w:val="页脚 字符1"/>
    <w:qFormat/>
    <w:uiPriority w:val="99"/>
    <w:rPr>
      <w:rFonts w:ascii="宋体" w:hAnsi="宋体" w:eastAsia="宋体" w:cs="宋体"/>
      <w:sz w:val="18"/>
      <w:szCs w:val="18"/>
      <w:lang w:eastAsia="en-US"/>
    </w:rPr>
  </w:style>
  <w:style w:type="character" w:customStyle="1" w:styleId="416">
    <w:name w:val="标题 1 字符1"/>
    <w:qFormat/>
    <w:uiPriority w:val="0"/>
    <w:rPr>
      <w:rFonts w:ascii="宋体" w:hAnsi="宋体" w:eastAsia="宋体" w:cs="宋体"/>
      <w:b/>
      <w:bCs/>
      <w:kern w:val="44"/>
      <w:sz w:val="44"/>
      <w:szCs w:val="44"/>
      <w:lang w:eastAsia="en-US"/>
    </w:rPr>
  </w:style>
  <w:style w:type="character" w:customStyle="1" w:styleId="417">
    <w:name w:val="标题 字符"/>
    <w:qFormat/>
    <w:uiPriority w:val="0"/>
    <w:rPr>
      <w:rFonts w:ascii="Calibri" w:hAnsi="Calibri" w:eastAsia="宋体" w:cs="Times New Roman"/>
      <w:b/>
      <w:bCs/>
      <w:sz w:val="32"/>
      <w:szCs w:val="32"/>
      <w:lang w:eastAsia="en-US"/>
    </w:rPr>
  </w:style>
  <w:style w:type="paragraph" w:customStyle="1" w:styleId="418">
    <w:name w:val="Table Text"/>
    <w:basedOn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character" w:customStyle="1" w:styleId="419">
    <w:name w:val="正文缩进 字符"/>
    <w:qFormat/>
    <w:uiPriority w:val="0"/>
    <w:rPr>
      <w:rFonts w:ascii="宋体" w:hAnsi="Times New Roman" w:eastAsia="宋体" w:cs="Times New Roman"/>
      <w:sz w:val="24"/>
    </w:rPr>
  </w:style>
  <w:style w:type="character" w:customStyle="1" w:styleId="420">
    <w:name w:val="标题 1 字符"/>
    <w:qFormat/>
    <w:uiPriority w:val="99"/>
    <w:rPr>
      <w:rFonts w:ascii="宋体"/>
      <w:b/>
      <w:kern w:val="44"/>
      <w:sz w:val="32"/>
    </w:rPr>
  </w:style>
  <w:style w:type="paragraph" w:styleId="421">
    <w:name w:val="Quote"/>
    <w:basedOn w:val="1"/>
    <w:next w:val="1"/>
    <w:link w:val="42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22">
    <w:name w:val="引用 字符"/>
    <w:basedOn w:val="56"/>
    <w:link w:val="421"/>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customStyle="1" w:styleId="423">
    <w:name w:val="明显强调1"/>
    <w:basedOn w:val="56"/>
    <w:qFormat/>
    <w:uiPriority w:val="21"/>
    <w:rPr>
      <w:i/>
      <w:iCs/>
      <w:color w:val="376092" w:themeColor="accent1" w:themeShade="BF"/>
    </w:rPr>
  </w:style>
  <w:style w:type="paragraph" w:styleId="424">
    <w:name w:val="Intense Quote"/>
    <w:basedOn w:val="1"/>
    <w:next w:val="1"/>
    <w:link w:val="425"/>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425">
    <w:name w:val="明显引用 字符"/>
    <w:basedOn w:val="56"/>
    <w:link w:val="424"/>
    <w:qFormat/>
    <w:uiPriority w:val="30"/>
    <w:rPr>
      <w:i/>
      <w:iCs/>
      <w:color w:val="376092" w:themeColor="accent1" w:themeShade="BF"/>
      <w:kern w:val="2"/>
      <w:sz w:val="21"/>
      <w:szCs w:val="24"/>
    </w:rPr>
  </w:style>
  <w:style w:type="character" w:customStyle="1" w:styleId="426">
    <w:name w:val="明显参考1"/>
    <w:basedOn w:val="56"/>
    <w:qFormat/>
    <w:uiPriority w:val="32"/>
    <w:rPr>
      <w:b/>
      <w:bCs/>
      <w:smallCaps/>
      <w:color w:val="376092" w:themeColor="accent1" w:themeShade="BF"/>
      <w:spacing w:val="5"/>
    </w:rPr>
  </w:style>
  <w:style w:type="paragraph" w:customStyle="1" w:styleId="427">
    <w:name w:val="正文_4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8">
    <w:name w:val="未处理的提及1"/>
    <w:basedOn w:val="56"/>
    <w:semiHidden/>
    <w:unhideWhenUsed/>
    <w:qFormat/>
    <w:uiPriority w:val="99"/>
    <w:rPr>
      <w:color w:val="605E5C"/>
      <w:shd w:val="clear" w:color="auto" w:fill="E1DFDD"/>
    </w:rPr>
  </w:style>
  <w:style w:type="paragraph" w:customStyle="1" w:styleId="429">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30">
    <w:name w:val="afffff5"/>
    <w:basedOn w:val="1"/>
    <w:next w:val="84"/>
    <w:qFormat/>
    <w:uiPriority w:val="1"/>
    <w:pPr>
      <w:ind w:firstLine="420" w:firstLineChars="200"/>
    </w:pPr>
    <w:rPr>
      <w:rFonts w:ascii="Calibri" w:hAnsi="Calibri"/>
      <w:szCs w:val="22"/>
    </w:rPr>
  </w:style>
  <w:style w:type="paragraph" w:customStyle="1" w:styleId="43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wmf"/><Relationship Id="rId28" Type="http://schemas.openxmlformats.org/officeDocument/2006/relationships/oleObject" Target="embeddings/oleObject1.bin"/><Relationship Id="rId27" Type="http://schemas.openxmlformats.org/officeDocument/2006/relationships/theme" Target="theme/theme1.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header" Target="header10.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9B76CC-78F6-41D7-A915-170D6BFD7FD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185</Pages>
  <Words>19826</Words>
  <Characters>20717</Characters>
  <Lines>817</Lines>
  <Paragraphs>230</Paragraphs>
  <TotalTime>0</TotalTime>
  <ScaleCrop>false</ScaleCrop>
  <LinksUpToDate>false</LinksUpToDate>
  <CharactersWithSpaces>20900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2024-06-05T14:21:00Z</dcterms:created>
  <dc:creator>Yin Hao</dc:creator>
  <cp:lastModifiedBy>张梓琳</cp:lastModifiedBy>
  <cp:lastPrinted>2026-03-30T06:21:00Z</cp:lastPrinted>
  <dcterms:modified xsi:type="dcterms:W3CDTF">2026-08-11T05:52:25Z</dcterms:modified>
  <dc:title>政府采购示范文本（2023）</dc:title>
  <cp:revision>775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3A1EA4ED8F1649F7AA21F9B985D8B7AE_13</vt:lpwstr>
  </property>
  <property fmtid="{D5CDD505-2E9C-101B-9397-08002B2CF9AE}" pid="4" name="KSOTemplateDocerSaveRecord">
    <vt:lpwstr>eyJoZGlkIjoiMGRkNWZmM2EwYTI2MTc5NGMxMmIwMjg4ZGRlZWQwNmMiLCJ1c2VySWQiOiI5MDk3MTc1NDcifQ==</vt:lpwstr>
  </property>
</Properties>
</file>