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C6294">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8"/>
          <w:szCs w:val="28"/>
          <w:highlight w:val="none"/>
        </w:rPr>
      </w:pPr>
    </w:p>
    <w:p w14:paraId="788ACCDE">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8"/>
          <w:szCs w:val="28"/>
          <w:highlight w:val="none"/>
        </w:rPr>
      </w:pPr>
    </w:p>
    <w:p w14:paraId="5810C9FF">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8"/>
          <w:szCs w:val="28"/>
          <w:highlight w:val="none"/>
        </w:rPr>
      </w:pPr>
    </w:p>
    <w:p w14:paraId="78E39002">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8"/>
          <w:szCs w:val="28"/>
          <w:highlight w:val="none"/>
        </w:rPr>
      </w:pPr>
    </w:p>
    <w:p w14:paraId="1BD8555C">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8"/>
          <w:szCs w:val="28"/>
          <w:highlight w:val="none"/>
        </w:rPr>
      </w:pPr>
    </w:p>
    <w:p w14:paraId="4AE544FD">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8"/>
          <w:szCs w:val="28"/>
          <w:highlight w:val="none"/>
        </w:rPr>
      </w:pPr>
    </w:p>
    <w:p w14:paraId="16C85E4F">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40"/>
          <w:szCs w:val="40"/>
          <w:highlight w:val="none"/>
        </w:rPr>
      </w:pPr>
      <w:r>
        <w:rPr>
          <w:rFonts w:hint="eastAsia" w:asciiTheme="minorEastAsia" w:hAnsiTheme="minorEastAsia" w:eastAsiaTheme="minorEastAsia" w:cstheme="minorEastAsia"/>
          <w:b w:val="0"/>
          <w:bCs w:val="0"/>
          <w:snapToGrid/>
          <w:spacing w:val="0"/>
          <w:kern w:val="21"/>
          <w:sz w:val="40"/>
          <w:szCs w:val="40"/>
          <w:highlight w:val="none"/>
        </w:rPr>
        <w:t>竞争性磋商文件</w:t>
      </w:r>
    </w:p>
    <w:p w14:paraId="38F22C70">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67BA9127">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5CF4E193">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623216C3">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0E93AF4F">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197538EF">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27D33FEB">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02DE4061">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1EA3E4CD">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15B7BA69">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39000B1B">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p>
    <w:p w14:paraId="31106597">
      <w:pPr>
        <w:keepNext w:val="0"/>
        <w:keepLines w:val="0"/>
        <w:pageBreakBefore w:val="0"/>
        <w:widowControl w:val="0"/>
        <w:tabs>
          <w:tab w:val="left" w:pos="5609"/>
        </w:tabs>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8"/>
          <w:szCs w:val="28"/>
          <w:highlight w:val="none"/>
          <w:lang w:val="en-US" w:eastAsia="zh-CN"/>
        </w:rPr>
      </w:pPr>
      <w:r>
        <w:rPr>
          <w:rFonts w:hint="eastAsia" w:asciiTheme="minorEastAsia" w:hAnsiTheme="minorEastAsia" w:eastAsiaTheme="minorEastAsia" w:cstheme="minorEastAsia"/>
          <w:b w:val="0"/>
          <w:bCs w:val="0"/>
          <w:snapToGrid/>
          <w:spacing w:val="0"/>
          <w:kern w:val="21"/>
          <w:sz w:val="28"/>
          <w:szCs w:val="28"/>
          <w:highlight w:val="none"/>
        </w:rPr>
        <w:t>项目名称：</w:t>
      </w:r>
      <w:r>
        <w:rPr>
          <w:rFonts w:hint="eastAsia" w:asciiTheme="minorEastAsia" w:hAnsiTheme="minorEastAsia" w:eastAsiaTheme="minorEastAsia" w:cstheme="minorEastAsia"/>
          <w:b w:val="0"/>
          <w:bCs w:val="0"/>
          <w:snapToGrid/>
          <w:spacing w:val="0"/>
          <w:kern w:val="21"/>
          <w:sz w:val="28"/>
          <w:szCs w:val="28"/>
          <w:highlight w:val="none"/>
          <w:lang w:eastAsia="zh-CN"/>
        </w:rPr>
        <w:t>2026年牛栏山镇大气精细化治理项目</w:t>
      </w:r>
    </w:p>
    <w:p w14:paraId="5F827F25">
      <w:pPr>
        <w:keepNext w:val="0"/>
        <w:keepLines w:val="0"/>
        <w:pageBreakBefore w:val="0"/>
        <w:widowControl w:val="0"/>
        <w:tabs>
          <w:tab w:val="left" w:pos="2320"/>
          <w:tab w:val="left" w:pos="294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8"/>
          <w:szCs w:val="28"/>
          <w:highlight w:val="none"/>
          <w:lang w:val="en-US" w:eastAsia="zh-CN"/>
        </w:rPr>
      </w:pPr>
      <w:r>
        <w:rPr>
          <w:rFonts w:hint="eastAsia" w:asciiTheme="minorEastAsia" w:hAnsiTheme="minorEastAsia" w:eastAsiaTheme="minorEastAsia" w:cstheme="minorEastAsia"/>
          <w:b w:val="0"/>
          <w:bCs w:val="0"/>
          <w:snapToGrid/>
          <w:spacing w:val="0"/>
          <w:kern w:val="21"/>
          <w:sz w:val="28"/>
          <w:szCs w:val="28"/>
          <w:highlight w:val="none"/>
        </w:rPr>
        <w:t>项目编号：</w:t>
      </w:r>
      <w:r>
        <w:rPr>
          <w:rFonts w:hint="eastAsia" w:asciiTheme="minorEastAsia" w:hAnsiTheme="minorEastAsia" w:eastAsiaTheme="minorEastAsia" w:cstheme="minorEastAsia"/>
          <w:b w:val="0"/>
          <w:bCs w:val="0"/>
          <w:snapToGrid/>
          <w:spacing w:val="0"/>
          <w:kern w:val="21"/>
          <w:sz w:val="28"/>
          <w:szCs w:val="28"/>
          <w:highlight w:val="none"/>
          <w:lang w:val="en-US" w:eastAsia="zh-CN"/>
        </w:rPr>
        <w:t>1</w:t>
      </w:r>
      <w:r>
        <w:rPr>
          <w:rFonts w:hint="eastAsia" w:asciiTheme="minorEastAsia" w:hAnsiTheme="minorEastAsia" w:eastAsiaTheme="minorEastAsia" w:cstheme="minorEastAsia"/>
          <w:b w:val="0"/>
          <w:bCs w:val="0"/>
          <w:snapToGrid/>
          <w:spacing w:val="0"/>
          <w:kern w:val="21"/>
          <w:sz w:val="28"/>
          <w:szCs w:val="28"/>
          <w:highlight w:val="none"/>
        </w:rPr>
        <w:t>1011326210200027367-XM001</w:t>
      </w:r>
    </w:p>
    <w:p w14:paraId="1984FEB0">
      <w:pPr>
        <w:keepNext w:val="0"/>
        <w:keepLines w:val="0"/>
        <w:pageBreakBefore w:val="0"/>
        <w:widowControl w:val="0"/>
        <w:tabs>
          <w:tab w:val="left" w:pos="2100"/>
          <w:tab w:val="left" w:pos="294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8"/>
          <w:szCs w:val="28"/>
          <w:highlight w:val="none"/>
          <w:lang w:eastAsia="zh-CN"/>
        </w:rPr>
      </w:pPr>
      <w:r>
        <w:rPr>
          <w:rFonts w:hint="eastAsia" w:asciiTheme="minorEastAsia" w:hAnsiTheme="minorEastAsia" w:eastAsiaTheme="minorEastAsia" w:cstheme="minorEastAsia"/>
          <w:b w:val="0"/>
          <w:bCs w:val="0"/>
          <w:snapToGrid/>
          <w:spacing w:val="0"/>
          <w:kern w:val="21"/>
          <w:sz w:val="28"/>
          <w:szCs w:val="28"/>
          <w:highlight w:val="none"/>
        </w:rPr>
        <w:t>采 购 人：</w:t>
      </w:r>
      <w:r>
        <w:rPr>
          <w:rFonts w:hint="eastAsia" w:asciiTheme="minorEastAsia" w:hAnsiTheme="minorEastAsia" w:eastAsiaTheme="minorEastAsia" w:cstheme="minorEastAsia"/>
          <w:b w:val="0"/>
          <w:bCs w:val="0"/>
          <w:snapToGrid/>
          <w:spacing w:val="0"/>
          <w:kern w:val="21"/>
          <w:sz w:val="28"/>
          <w:szCs w:val="28"/>
          <w:highlight w:val="none"/>
          <w:lang w:eastAsia="zh-CN"/>
        </w:rPr>
        <w:t>北京市顺义区牛栏山镇人民政府</w:t>
      </w:r>
    </w:p>
    <w:p w14:paraId="24D23002">
      <w:pPr>
        <w:keepNext w:val="0"/>
        <w:keepLines w:val="0"/>
        <w:pageBreakBefore w:val="0"/>
        <w:widowControl w:val="0"/>
        <w:tabs>
          <w:tab w:val="left" w:pos="2320"/>
          <w:tab w:val="left" w:pos="294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8"/>
          <w:szCs w:val="28"/>
          <w:highlight w:val="none"/>
        </w:rPr>
      </w:pPr>
      <w:r>
        <w:rPr>
          <w:rFonts w:hint="eastAsia" w:asciiTheme="minorEastAsia" w:hAnsiTheme="minorEastAsia" w:eastAsiaTheme="minorEastAsia" w:cstheme="minorEastAsia"/>
          <w:b w:val="0"/>
          <w:bCs w:val="0"/>
          <w:snapToGrid/>
          <w:spacing w:val="0"/>
          <w:kern w:val="21"/>
          <w:sz w:val="28"/>
          <w:szCs w:val="28"/>
          <w:highlight w:val="none"/>
        </w:rPr>
        <w:t>采购代理机构：北京中盛宇工程管理有限公司</w:t>
      </w:r>
    </w:p>
    <w:p w14:paraId="407981F8">
      <w:pPr>
        <w:keepNext w:val="0"/>
        <w:keepLines w:val="0"/>
        <w:pageBreakBefore w:val="0"/>
        <w:widowControl w:val="0"/>
        <w:tabs>
          <w:tab w:val="left" w:pos="3240"/>
          <w:tab w:val="left" w:pos="3420"/>
        </w:tabs>
        <w:kinsoku/>
        <w:wordWrap w:val="0"/>
        <w:overflowPunct/>
        <w:topLinePunct/>
        <w:autoSpaceDE/>
        <w:autoSpaceDN/>
        <w:bidi w:val="0"/>
        <w:spacing w:line="360" w:lineRule="auto"/>
        <w:ind w:left="2826" w:hanging="1884" w:hangingChars="785"/>
        <w:jc w:val="left"/>
        <w:outlineLvl w:val="9"/>
        <w:rPr>
          <w:rFonts w:hint="eastAsia" w:asciiTheme="minorEastAsia" w:hAnsiTheme="minorEastAsia" w:eastAsiaTheme="minorEastAsia" w:cstheme="minorEastAsia"/>
          <w:b w:val="0"/>
          <w:bCs w:val="0"/>
          <w:snapToGrid/>
          <w:spacing w:val="0"/>
          <w:kern w:val="21"/>
          <w:sz w:val="24"/>
          <w:szCs w:val="24"/>
          <w:highlight w:val="none"/>
        </w:rPr>
      </w:pPr>
    </w:p>
    <w:p w14:paraId="36330ADD">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sectPr>
          <w:headerReference r:id="rId3" w:type="default"/>
          <w:headerReference r:id="rId4" w:type="even"/>
          <w:pgSz w:w="11906" w:h="16838"/>
          <w:pgMar w:top="1440" w:right="1080" w:bottom="1440" w:left="1080" w:header="851" w:footer="850" w:gutter="0"/>
          <w:pgNumType w:fmt="decimal"/>
          <w:cols w:space="720" w:num="1"/>
          <w:docGrid w:linePitch="312" w:charSpace="0"/>
        </w:sectPr>
      </w:pPr>
    </w:p>
    <w:p w14:paraId="65871850">
      <w:pPr>
        <w:rPr>
          <w:rFonts w:hint="eastAsia" w:asciiTheme="minorEastAsia" w:hAnsiTheme="minorEastAsia" w:eastAsiaTheme="minorEastAsia" w:cstheme="minorEastAsia"/>
          <w:b w:val="0"/>
          <w:bCs w:val="0"/>
          <w:snapToGrid/>
          <w:spacing w:val="0"/>
          <w:kern w:val="21"/>
          <w:sz w:val="24"/>
          <w:szCs w:val="24"/>
          <w:highlight w:val="none"/>
        </w:rPr>
      </w:pPr>
      <w:bookmarkStart w:id="0" w:name="_Toc12015"/>
      <w:bookmarkStart w:id="1" w:name="_Toc16724"/>
      <w:r>
        <w:rPr>
          <w:rFonts w:hint="eastAsia" w:asciiTheme="minorEastAsia" w:hAnsiTheme="minorEastAsia" w:eastAsiaTheme="minorEastAsia" w:cstheme="minorEastAsia"/>
          <w:b w:val="0"/>
          <w:bCs w:val="0"/>
          <w:snapToGrid/>
          <w:spacing w:val="0"/>
          <w:kern w:val="21"/>
          <w:sz w:val="24"/>
          <w:szCs w:val="24"/>
          <w:highlight w:val="none"/>
        </w:rPr>
        <w:br w:type="page"/>
      </w:r>
    </w:p>
    <w:p w14:paraId="2CA12740">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目      录</w:t>
      </w:r>
      <w:bookmarkEnd w:id="0"/>
      <w:bookmarkEnd w:id="1"/>
    </w:p>
    <w:p w14:paraId="03403A73">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p w14:paraId="2847AB10">
      <w:pPr>
        <w:pStyle w:val="17"/>
        <w:keepNext w:val="0"/>
        <w:keepLines w:val="0"/>
        <w:pageBreakBefore w:val="0"/>
        <w:widowControl w:val="0"/>
        <w:tabs>
          <w:tab w:val="right" w:leader="dot" w:pos="9745"/>
          <w:tab w:val="clear" w:pos="1050"/>
          <w:tab w:val="clear" w:pos="8937"/>
        </w:tabs>
        <w:kinsoku/>
        <w:wordWrap w:val="0"/>
        <w:overflowPunct/>
        <w:topLinePunct/>
        <w:autoSpaceDE/>
        <w:autoSpaceDN/>
        <w:bidi w:val="0"/>
        <w:spacing w:line="360" w:lineRule="auto"/>
        <w:rPr>
          <w:rFonts w:hint="eastAsia" w:asciiTheme="minorEastAsia" w:hAnsiTheme="minorEastAsia" w:eastAsiaTheme="minorEastAsia" w:cstheme="minorEastAsia"/>
          <w:b w:val="0"/>
          <w:bCs w:val="0"/>
          <w:kern w:val="21"/>
          <w:sz w:val="24"/>
          <w:szCs w:val="24"/>
        </w:rPr>
      </w:pPr>
      <w:r>
        <w:rPr>
          <w:rFonts w:hint="eastAsia" w:asciiTheme="minorEastAsia" w:hAnsiTheme="minorEastAsia" w:eastAsiaTheme="minorEastAsia" w:cstheme="minorEastAsia"/>
          <w:b w:val="0"/>
          <w:bCs w:val="0"/>
          <w:snapToGrid/>
          <w:spacing w:val="0"/>
          <w:kern w:val="21"/>
          <w:sz w:val="24"/>
          <w:szCs w:val="24"/>
          <w:highlight w:val="none"/>
        </w:rPr>
        <w:fldChar w:fldCharType="begin"/>
      </w:r>
      <w:r>
        <w:rPr>
          <w:rFonts w:hint="eastAsia" w:asciiTheme="minorEastAsia" w:hAnsiTheme="minorEastAsia" w:eastAsiaTheme="minorEastAsia" w:cstheme="minorEastAsia"/>
          <w:b w:val="0"/>
          <w:bCs w:val="0"/>
          <w:snapToGrid/>
          <w:spacing w:val="0"/>
          <w:kern w:val="21"/>
          <w:sz w:val="24"/>
          <w:szCs w:val="24"/>
          <w:highlight w:val="none"/>
        </w:rPr>
        <w:instrText xml:space="preserve"> TOC \o "1-1" \h \z \u </w:instrText>
      </w:r>
      <w:r>
        <w:rPr>
          <w:rFonts w:hint="eastAsia" w:asciiTheme="minorEastAsia" w:hAnsiTheme="minorEastAsia" w:eastAsiaTheme="minorEastAsia" w:cstheme="minorEastAsia"/>
          <w:b w:val="0"/>
          <w:bCs w:val="0"/>
          <w:snapToGrid/>
          <w:spacing w:val="0"/>
          <w:kern w:val="21"/>
          <w:sz w:val="24"/>
          <w:szCs w:val="24"/>
          <w:highlight w:val="none"/>
        </w:rPr>
        <w:fldChar w:fldCharType="separate"/>
      </w:r>
      <w:r>
        <w:rPr>
          <w:rFonts w:hint="eastAsia" w:asciiTheme="minorEastAsia" w:hAnsiTheme="minorEastAsia" w:eastAsiaTheme="minorEastAsia" w:cstheme="minorEastAsia"/>
          <w:b w:val="0"/>
          <w:bCs w:val="0"/>
          <w:snapToGrid/>
          <w:spacing w:val="0"/>
          <w:kern w:val="21"/>
          <w:sz w:val="24"/>
          <w:szCs w:val="24"/>
          <w:highlight w:val="none"/>
        </w:rPr>
        <w:fldChar w:fldCharType="begin"/>
      </w:r>
      <w:r>
        <w:rPr>
          <w:rFonts w:hint="eastAsia" w:asciiTheme="minorEastAsia" w:hAnsiTheme="minorEastAsia" w:eastAsiaTheme="minorEastAsia" w:cstheme="minorEastAsia"/>
          <w:b w:val="0"/>
          <w:bCs w:val="0"/>
          <w:snapToGrid/>
          <w:spacing w:val="0"/>
          <w:kern w:val="21"/>
          <w:sz w:val="24"/>
          <w:szCs w:val="24"/>
          <w:highlight w:val="none"/>
        </w:rPr>
        <w:instrText xml:space="preserve"> HYPERLINK \l _Toc24016 </w:instrText>
      </w:r>
      <w:r>
        <w:rPr>
          <w:rFonts w:hint="eastAsia" w:asciiTheme="minorEastAsia" w:hAnsiTheme="minorEastAsia" w:eastAsiaTheme="minorEastAsia" w:cstheme="minorEastAsia"/>
          <w:b w:val="0"/>
          <w:bCs w:val="0"/>
          <w:snapToGrid/>
          <w:spacing w:val="0"/>
          <w:kern w:val="21"/>
          <w:sz w:val="24"/>
          <w:szCs w:val="24"/>
          <w:highlight w:val="none"/>
        </w:rPr>
        <w:fldChar w:fldCharType="separate"/>
      </w:r>
      <w:r>
        <w:rPr>
          <w:rFonts w:hint="eastAsia" w:asciiTheme="minorEastAsia" w:hAnsiTheme="minorEastAsia" w:eastAsiaTheme="minorEastAsia" w:cstheme="minorEastAsia"/>
          <w:b w:val="0"/>
          <w:bCs w:val="0"/>
          <w:snapToGrid/>
          <w:spacing w:val="0"/>
          <w:kern w:val="21"/>
          <w:sz w:val="24"/>
          <w:szCs w:val="24"/>
          <w:highlight w:val="none"/>
        </w:rPr>
        <w:t>第一章   采购邀请</w:t>
      </w:r>
      <w:r>
        <w:rPr>
          <w:rFonts w:hint="eastAsia" w:asciiTheme="minorEastAsia" w:hAnsiTheme="minorEastAsia" w:eastAsiaTheme="minorEastAsia" w:cstheme="minorEastAsia"/>
          <w:b w:val="0"/>
          <w:bCs w:val="0"/>
          <w:kern w:val="21"/>
          <w:sz w:val="24"/>
          <w:szCs w:val="24"/>
        </w:rPr>
        <w:tab/>
      </w:r>
      <w:r>
        <w:rPr>
          <w:rFonts w:hint="eastAsia" w:asciiTheme="minorEastAsia" w:hAnsiTheme="minorEastAsia" w:eastAsiaTheme="minorEastAsia" w:cstheme="minorEastAsia"/>
          <w:b w:val="0"/>
          <w:bCs w:val="0"/>
          <w:kern w:val="21"/>
          <w:sz w:val="24"/>
          <w:szCs w:val="24"/>
        </w:rPr>
        <w:fldChar w:fldCharType="begin"/>
      </w:r>
      <w:r>
        <w:rPr>
          <w:rFonts w:hint="eastAsia" w:asciiTheme="minorEastAsia" w:hAnsiTheme="minorEastAsia" w:eastAsiaTheme="minorEastAsia" w:cstheme="minorEastAsia"/>
          <w:b w:val="0"/>
          <w:bCs w:val="0"/>
          <w:kern w:val="21"/>
          <w:sz w:val="24"/>
          <w:szCs w:val="24"/>
        </w:rPr>
        <w:instrText xml:space="preserve"> PAGEREF _Toc24016 \h </w:instrText>
      </w:r>
      <w:r>
        <w:rPr>
          <w:rFonts w:hint="eastAsia" w:asciiTheme="minorEastAsia" w:hAnsiTheme="minorEastAsia" w:eastAsiaTheme="minorEastAsia" w:cstheme="minorEastAsia"/>
          <w:b w:val="0"/>
          <w:bCs w:val="0"/>
          <w:kern w:val="21"/>
          <w:sz w:val="24"/>
          <w:szCs w:val="24"/>
        </w:rPr>
        <w:fldChar w:fldCharType="separate"/>
      </w:r>
      <w:r>
        <w:rPr>
          <w:rFonts w:hint="eastAsia" w:asciiTheme="minorEastAsia" w:hAnsiTheme="minorEastAsia" w:eastAsiaTheme="minorEastAsia" w:cstheme="minorEastAsia"/>
          <w:b w:val="0"/>
          <w:bCs w:val="0"/>
          <w:kern w:val="21"/>
          <w:sz w:val="24"/>
          <w:szCs w:val="24"/>
        </w:rPr>
        <w:t>1</w:t>
      </w:r>
      <w:r>
        <w:rPr>
          <w:rFonts w:hint="eastAsia" w:asciiTheme="minorEastAsia" w:hAnsiTheme="minorEastAsia" w:eastAsiaTheme="minorEastAsia" w:cstheme="minorEastAsia"/>
          <w:b w:val="0"/>
          <w:bCs w:val="0"/>
          <w:kern w:val="21"/>
          <w:sz w:val="24"/>
          <w:szCs w:val="24"/>
        </w:rPr>
        <w:fldChar w:fldCharType="end"/>
      </w:r>
      <w:r>
        <w:rPr>
          <w:rFonts w:hint="eastAsia" w:asciiTheme="minorEastAsia" w:hAnsiTheme="minorEastAsia" w:eastAsiaTheme="minorEastAsia" w:cstheme="minorEastAsia"/>
          <w:b w:val="0"/>
          <w:bCs w:val="0"/>
          <w:snapToGrid/>
          <w:spacing w:val="0"/>
          <w:kern w:val="21"/>
          <w:sz w:val="24"/>
          <w:szCs w:val="24"/>
          <w:highlight w:val="none"/>
        </w:rPr>
        <w:fldChar w:fldCharType="end"/>
      </w:r>
    </w:p>
    <w:p w14:paraId="0711EFCE">
      <w:pPr>
        <w:pStyle w:val="17"/>
        <w:keepNext w:val="0"/>
        <w:keepLines w:val="0"/>
        <w:pageBreakBefore w:val="0"/>
        <w:widowControl w:val="0"/>
        <w:tabs>
          <w:tab w:val="right" w:leader="dot" w:pos="9745"/>
          <w:tab w:val="clear" w:pos="1050"/>
          <w:tab w:val="clear" w:pos="8937"/>
        </w:tabs>
        <w:kinsoku/>
        <w:wordWrap w:val="0"/>
        <w:overflowPunct/>
        <w:topLinePunct/>
        <w:autoSpaceDE/>
        <w:autoSpaceDN/>
        <w:bidi w:val="0"/>
        <w:spacing w:line="360" w:lineRule="auto"/>
        <w:rPr>
          <w:rFonts w:hint="eastAsia" w:asciiTheme="minorEastAsia" w:hAnsiTheme="minorEastAsia" w:eastAsiaTheme="minorEastAsia" w:cstheme="minorEastAsia"/>
          <w:b w:val="0"/>
          <w:bCs w:val="0"/>
          <w:kern w:val="21"/>
          <w:sz w:val="24"/>
          <w:szCs w:val="24"/>
        </w:rPr>
      </w:pPr>
      <w:r>
        <w:rPr>
          <w:rFonts w:hint="eastAsia" w:asciiTheme="minorEastAsia" w:hAnsiTheme="minorEastAsia" w:eastAsiaTheme="minorEastAsia" w:cstheme="minorEastAsia"/>
          <w:b w:val="0"/>
          <w:bCs w:val="0"/>
          <w:snapToGrid/>
          <w:spacing w:val="0"/>
          <w:kern w:val="21"/>
          <w:sz w:val="24"/>
          <w:szCs w:val="24"/>
          <w:highlight w:val="none"/>
        </w:rPr>
        <w:fldChar w:fldCharType="begin"/>
      </w:r>
      <w:r>
        <w:rPr>
          <w:rFonts w:hint="eastAsia" w:asciiTheme="minorEastAsia" w:hAnsiTheme="minorEastAsia" w:eastAsiaTheme="minorEastAsia" w:cstheme="minorEastAsia"/>
          <w:b w:val="0"/>
          <w:bCs w:val="0"/>
          <w:snapToGrid/>
          <w:spacing w:val="0"/>
          <w:kern w:val="21"/>
          <w:sz w:val="24"/>
          <w:szCs w:val="24"/>
          <w:highlight w:val="none"/>
        </w:rPr>
        <w:instrText xml:space="preserve"> HYPERLINK \l _Toc18744 </w:instrText>
      </w:r>
      <w:r>
        <w:rPr>
          <w:rFonts w:hint="eastAsia" w:asciiTheme="minorEastAsia" w:hAnsiTheme="minorEastAsia" w:eastAsiaTheme="minorEastAsia" w:cstheme="minorEastAsia"/>
          <w:b w:val="0"/>
          <w:bCs w:val="0"/>
          <w:snapToGrid/>
          <w:spacing w:val="0"/>
          <w:kern w:val="21"/>
          <w:sz w:val="24"/>
          <w:szCs w:val="24"/>
          <w:highlight w:val="none"/>
        </w:rPr>
        <w:fldChar w:fldCharType="separate"/>
      </w:r>
      <w:r>
        <w:rPr>
          <w:rFonts w:hint="eastAsia" w:asciiTheme="minorEastAsia" w:hAnsiTheme="minorEastAsia" w:eastAsiaTheme="minorEastAsia" w:cstheme="minorEastAsia"/>
          <w:b w:val="0"/>
          <w:bCs w:val="0"/>
          <w:snapToGrid/>
          <w:spacing w:val="0"/>
          <w:kern w:val="21"/>
          <w:sz w:val="24"/>
          <w:szCs w:val="24"/>
          <w:highlight w:val="none"/>
        </w:rPr>
        <w:t>第二章   供应商须知</w:t>
      </w:r>
      <w:r>
        <w:rPr>
          <w:rFonts w:hint="eastAsia" w:asciiTheme="minorEastAsia" w:hAnsiTheme="minorEastAsia" w:eastAsiaTheme="minorEastAsia" w:cstheme="minorEastAsia"/>
          <w:b w:val="0"/>
          <w:bCs w:val="0"/>
          <w:kern w:val="21"/>
          <w:sz w:val="24"/>
          <w:szCs w:val="24"/>
        </w:rPr>
        <w:tab/>
      </w:r>
      <w:r>
        <w:rPr>
          <w:rFonts w:hint="eastAsia" w:asciiTheme="minorEastAsia" w:hAnsiTheme="minorEastAsia" w:eastAsiaTheme="minorEastAsia" w:cstheme="minorEastAsia"/>
          <w:b w:val="0"/>
          <w:bCs w:val="0"/>
          <w:kern w:val="21"/>
          <w:sz w:val="24"/>
          <w:szCs w:val="24"/>
        </w:rPr>
        <w:fldChar w:fldCharType="begin"/>
      </w:r>
      <w:r>
        <w:rPr>
          <w:rFonts w:hint="eastAsia" w:asciiTheme="minorEastAsia" w:hAnsiTheme="minorEastAsia" w:eastAsiaTheme="minorEastAsia" w:cstheme="minorEastAsia"/>
          <w:b w:val="0"/>
          <w:bCs w:val="0"/>
          <w:kern w:val="21"/>
          <w:sz w:val="24"/>
          <w:szCs w:val="24"/>
        </w:rPr>
        <w:instrText xml:space="preserve"> PAGEREF _Toc18744 \h </w:instrText>
      </w:r>
      <w:r>
        <w:rPr>
          <w:rFonts w:hint="eastAsia" w:asciiTheme="minorEastAsia" w:hAnsiTheme="minorEastAsia" w:eastAsiaTheme="minorEastAsia" w:cstheme="minorEastAsia"/>
          <w:b w:val="0"/>
          <w:bCs w:val="0"/>
          <w:kern w:val="21"/>
          <w:sz w:val="24"/>
          <w:szCs w:val="24"/>
        </w:rPr>
        <w:fldChar w:fldCharType="separate"/>
      </w:r>
      <w:r>
        <w:rPr>
          <w:rFonts w:hint="eastAsia" w:asciiTheme="minorEastAsia" w:hAnsiTheme="minorEastAsia" w:eastAsiaTheme="minorEastAsia" w:cstheme="minorEastAsia"/>
          <w:b w:val="0"/>
          <w:bCs w:val="0"/>
          <w:kern w:val="21"/>
          <w:sz w:val="24"/>
          <w:szCs w:val="24"/>
        </w:rPr>
        <w:t>6</w:t>
      </w:r>
      <w:r>
        <w:rPr>
          <w:rFonts w:hint="eastAsia" w:asciiTheme="minorEastAsia" w:hAnsiTheme="minorEastAsia" w:eastAsiaTheme="minorEastAsia" w:cstheme="minorEastAsia"/>
          <w:b w:val="0"/>
          <w:bCs w:val="0"/>
          <w:kern w:val="21"/>
          <w:sz w:val="24"/>
          <w:szCs w:val="24"/>
        </w:rPr>
        <w:fldChar w:fldCharType="end"/>
      </w:r>
      <w:r>
        <w:rPr>
          <w:rFonts w:hint="eastAsia" w:asciiTheme="minorEastAsia" w:hAnsiTheme="minorEastAsia" w:eastAsiaTheme="minorEastAsia" w:cstheme="minorEastAsia"/>
          <w:b w:val="0"/>
          <w:bCs w:val="0"/>
          <w:snapToGrid/>
          <w:spacing w:val="0"/>
          <w:kern w:val="21"/>
          <w:sz w:val="24"/>
          <w:szCs w:val="24"/>
          <w:highlight w:val="none"/>
        </w:rPr>
        <w:fldChar w:fldCharType="end"/>
      </w:r>
    </w:p>
    <w:p w14:paraId="0BE8453C">
      <w:pPr>
        <w:pStyle w:val="17"/>
        <w:keepNext w:val="0"/>
        <w:keepLines w:val="0"/>
        <w:pageBreakBefore w:val="0"/>
        <w:widowControl w:val="0"/>
        <w:tabs>
          <w:tab w:val="right" w:leader="dot" w:pos="9745"/>
          <w:tab w:val="clear" w:pos="1050"/>
          <w:tab w:val="clear" w:pos="8937"/>
        </w:tabs>
        <w:kinsoku/>
        <w:wordWrap w:val="0"/>
        <w:overflowPunct/>
        <w:topLinePunct/>
        <w:autoSpaceDE/>
        <w:autoSpaceDN/>
        <w:bidi w:val="0"/>
        <w:spacing w:line="360" w:lineRule="auto"/>
        <w:rPr>
          <w:rFonts w:hint="eastAsia" w:asciiTheme="minorEastAsia" w:hAnsiTheme="minorEastAsia" w:eastAsiaTheme="minorEastAsia" w:cstheme="minorEastAsia"/>
          <w:b w:val="0"/>
          <w:bCs w:val="0"/>
          <w:kern w:val="21"/>
          <w:sz w:val="24"/>
          <w:szCs w:val="24"/>
        </w:rPr>
      </w:pPr>
      <w:r>
        <w:rPr>
          <w:rFonts w:hint="eastAsia" w:asciiTheme="minorEastAsia" w:hAnsiTheme="minorEastAsia" w:eastAsiaTheme="minorEastAsia" w:cstheme="minorEastAsia"/>
          <w:b w:val="0"/>
          <w:bCs w:val="0"/>
          <w:snapToGrid/>
          <w:spacing w:val="0"/>
          <w:kern w:val="21"/>
          <w:sz w:val="24"/>
          <w:szCs w:val="24"/>
          <w:highlight w:val="none"/>
        </w:rPr>
        <w:fldChar w:fldCharType="begin"/>
      </w:r>
      <w:r>
        <w:rPr>
          <w:rFonts w:hint="eastAsia" w:asciiTheme="minorEastAsia" w:hAnsiTheme="minorEastAsia" w:eastAsiaTheme="minorEastAsia" w:cstheme="minorEastAsia"/>
          <w:b w:val="0"/>
          <w:bCs w:val="0"/>
          <w:snapToGrid/>
          <w:spacing w:val="0"/>
          <w:kern w:val="21"/>
          <w:sz w:val="24"/>
          <w:szCs w:val="24"/>
          <w:highlight w:val="none"/>
        </w:rPr>
        <w:instrText xml:space="preserve"> HYPERLINK \l _Toc9780 </w:instrText>
      </w:r>
      <w:r>
        <w:rPr>
          <w:rFonts w:hint="eastAsia" w:asciiTheme="minorEastAsia" w:hAnsiTheme="minorEastAsia" w:eastAsiaTheme="minorEastAsia" w:cstheme="minorEastAsia"/>
          <w:b w:val="0"/>
          <w:bCs w:val="0"/>
          <w:snapToGrid/>
          <w:spacing w:val="0"/>
          <w:kern w:val="21"/>
          <w:sz w:val="24"/>
          <w:szCs w:val="24"/>
          <w:highlight w:val="none"/>
        </w:rPr>
        <w:fldChar w:fldCharType="separate"/>
      </w:r>
      <w:r>
        <w:rPr>
          <w:rFonts w:hint="eastAsia" w:asciiTheme="minorEastAsia" w:hAnsiTheme="minorEastAsia" w:eastAsiaTheme="minorEastAsia" w:cstheme="minorEastAsia"/>
          <w:b w:val="0"/>
          <w:bCs w:val="0"/>
          <w:snapToGrid/>
          <w:spacing w:val="0"/>
          <w:kern w:val="21"/>
          <w:sz w:val="24"/>
          <w:szCs w:val="24"/>
          <w:highlight w:val="none"/>
        </w:rPr>
        <w:t>第三章   评审方法和评审标准</w:t>
      </w:r>
      <w:r>
        <w:rPr>
          <w:rFonts w:hint="eastAsia" w:asciiTheme="minorEastAsia" w:hAnsiTheme="minorEastAsia" w:eastAsiaTheme="minorEastAsia" w:cstheme="minorEastAsia"/>
          <w:b w:val="0"/>
          <w:bCs w:val="0"/>
          <w:kern w:val="21"/>
          <w:sz w:val="24"/>
          <w:szCs w:val="24"/>
        </w:rPr>
        <w:tab/>
      </w:r>
      <w:r>
        <w:rPr>
          <w:rFonts w:hint="eastAsia" w:asciiTheme="minorEastAsia" w:hAnsiTheme="minorEastAsia" w:eastAsiaTheme="minorEastAsia" w:cstheme="minorEastAsia"/>
          <w:b w:val="0"/>
          <w:bCs w:val="0"/>
          <w:kern w:val="21"/>
          <w:sz w:val="24"/>
          <w:szCs w:val="24"/>
        </w:rPr>
        <w:fldChar w:fldCharType="begin"/>
      </w:r>
      <w:r>
        <w:rPr>
          <w:rFonts w:hint="eastAsia" w:asciiTheme="minorEastAsia" w:hAnsiTheme="minorEastAsia" w:eastAsiaTheme="minorEastAsia" w:cstheme="minorEastAsia"/>
          <w:b w:val="0"/>
          <w:bCs w:val="0"/>
          <w:kern w:val="21"/>
          <w:sz w:val="24"/>
          <w:szCs w:val="24"/>
        </w:rPr>
        <w:instrText xml:space="preserve"> PAGEREF _Toc9780 \h </w:instrText>
      </w:r>
      <w:r>
        <w:rPr>
          <w:rFonts w:hint="eastAsia" w:asciiTheme="minorEastAsia" w:hAnsiTheme="minorEastAsia" w:eastAsiaTheme="minorEastAsia" w:cstheme="minorEastAsia"/>
          <w:b w:val="0"/>
          <w:bCs w:val="0"/>
          <w:kern w:val="21"/>
          <w:sz w:val="24"/>
          <w:szCs w:val="24"/>
        </w:rPr>
        <w:fldChar w:fldCharType="separate"/>
      </w:r>
      <w:r>
        <w:rPr>
          <w:rFonts w:hint="eastAsia" w:asciiTheme="minorEastAsia" w:hAnsiTheme="minorEastAsia" w:eastAsiaTheme="minorEastAsia" w:cstheme="minorEastAsia"/>
          <w:b w:val="0"/>
          <w:bCs w:val="0"/>
          <w:kern w:val="21"/>
          <w:sz w:val="24"/>
          <w:szCs w:val="24"/>
        </w:rPr>
        <w:t>21</w:t>
      </w:r>
      <w:r>
        <w:rPr>
          <w:rFonts w:hint="eastAsia" w:asciiTheme="minorEastAsia" w:hAnsiTheme="minorEastAsia" w:eastAsiaTheme="minorEastAsia" w:cstheme="minorEastAsia"/>
          <w:b w:val="0"/>
          <w:bCs w:val="0"/>
          <w:kern w:val="21"/>
          <w:sz w:val="24"/>
          <w:szCs w:val="24"/>
        </w:rPr>
        <w:fldChar w:fldCharType="end"/>
      </w:r>
      <w:r>
        <w:rPr>
          <w:rFonts w:hint="eastAsia" w:asciiTheme="minorEastAsia" w:hAnsiTheme="minorEastAsia" w:eastAsiaTheme="minorEastAsia" w:cstheme="minorEastAsia"/>
          <w:b w:val="0"/>
          <w:bCs w:val="0"/>
          <w:snapToGrid/>
          <w:spacing w:val="0"/>
          <w:kern w:val="21"/>
          <w:sz w:val="24"/>
          <w:szCs w:val="24"/>
          <w:highlight w:val="none"/>
        </w:rPr>
        <w:fldChar w:fldCharType="end"/>
      </w:r>
    </w:p>
    <w:p w14:paraId="506A4843">
      <w:pPr>
        <w:pStyle w:val="17"/>
        <w:keepNext w:val="0"/>
        <w:keepLines w:val="0"/>
        <w:pageBreakBefore w:val="0"/>
        <w:widowControl w:val="0"/>
        <w:tabs>
          <w:tab w:val="right" w:leader="dot" w:pos="9745"/>
          <w:tab w:val="clear" w:pos="1050"/>
          <w:tab w:val="clear" w:pos="8937"/>
        </w:tabs>
        <w:kinsoku/>
        <w:wordWrap w:val="0"/>
        <w:overflowPunct/>
        <w:topLinePunct/>
        <w:autoSpaceDE/>
        <w:autoSpaceDN/>
        <w:bidi w:val="0"/>
        <w:spacing w:line="360" w:lineRule="auto"/>
        <w:rPr>
          <w:rFonts w:hint="eastAsia" w:asciiTheme="minorEastAsia" w:hAnsiTheme="minorEastAsia" w:eastAsiaTheme="minorEastAsia" w:cstheme="minorEastAsia"/>
          <w:b w:val="0"/>
          <w:bCs w:val="0"/>
          <w:kern w:val="21"/>
          <w:sz w:val="24"/>
          <w:szCs w:val="24"/>
        </w:rPr>
      </w:pPr>
      <w:r>
        <w:rPr>
          <w:rFonts w:hint="eastAsia" w:asciiTheme="minorEastAsia" w:hAnsiTheme="minorEastAsia" w:eastAsiaTheme="minorEastAsia" w:cstheme="minorEastAsia"/>
          <w:b w:val="0"/>
          <w:bCs w:val="0"/>
          <w:snapToGrid/>
          <w:spacing w:val="0"/>
          <w:kern w:val="21"/>
          <w:sz w:val="24"/>
          <w:szCs w:val="24"/>
          <w:highlight w:val="none"/>
        </w:rPr>
        <w:fldChar w:fldCharType="begin"/>
      </w:r>
      <w:r>
        <w:rPr>
          <w:rFonts w:hint="eastAsia" w:asciiTheme="minorEastAsia" w:hAnsiTheme="minorEastAsia" w:eastAsiaTheme="minorEastAsia" w:cstheme="minorEastAsia"/>
          <w:b w:val="0"/>
          <w:bCs w:val="0"/>
          <w:snapToGrid/>
          <w:spacing w:val="0"/>
          <w:kern w:val="21"/>
          <w:sz w:val="24"/>
          <w:szCs w:val="24"/>
          <w:highlight w:val="none"/>
        </w:rPr>
        <w:instrText xml:space="preserve"> HYPERLINK \l _Toc12440 </w:instrText>
      </w:r>
      <w:r>
        <w:rPr>
          <w:rFonts w:hint="eastAsia" w:asciiTheme="minorEastAsia" w:hAnsiTheme="minorEastAsia" w:eastAsiaTheme="minorEastAsia" w:cstheme="minorEastAsia"/>
          <w:b w:val="0"/>
          <w:bCs w:val="0"/>
          <w:snapToGrid/>
          <w:spacing w:val="0"/>
          <w:kern w:val="21"/>
          <w:sz w:val="24"/>
          <w:szCs w:val="24"/>
          <w:highlight w:val="none"/>
        </w:rPr>
        <w:fldChar w:fldCharType="separate"/>
      </w:r>
      <w:r>
        <w:rPr>
          <w:rFonts w:hint="eastAsia" w:asciiTheme="minorEastAsia" w:hAnsiTheme="minorEastAsia" w:eastAsiaTheme="minorEastAsia" w:cstheme="minorEastAsia"/>
          <w:b w:val="0"/>
          <w:bCs w:val="0"/>
          <w:snapToGrid/>
          <w:spacing w:val="0"/>
          <w:kern w:val="21"/>
          <w:sz w:val="24"/>
          <w:szCs w:val="24"/>
          <w:highlight w:val="none"/>
        </w:rPr>
        <w:t>第四章   采购需求</w:t>
      </w:r>
      <w:r>
        <w:rPr>
          <w:rFonts w:hint="eastAsia" w:asciiTheme="minorEastAsia" w:hAnsiTheme="minorEastAsia" w:eastAsiaTheme="minorEastAsia" w:cstheme="minorEastAsia"/>
          <w:b w:val="0"/>
          <w:bCs w:val="0"/>
          <w:kern w:val="21"/>
          <w:sz w:val="24"/>
          <w:szCs w:val="24"/>
        </w:rPr>
        <w:tab/>
      </w:r>
      <w:r>
        <w:rPr>
          <w:rFonts w:hint="eastAsia" w:asciiTheme="minorEastAsia" w:hAnsiTheme="minorEastAsia" w:eastAsiaTheme="minorEastAsia" w:cstheme="minorEastAsia"/>
          <w:b w:val="0"/>
          <w:bCs w:val="0"/>
          <w:kern w:val="21"/>
          <w:sz w:val="24"/>
          <w:szCs w:val="24"/>
        </w:rPr>
        <w:fldChar w:fldCharType="begin"/>
      </w:r>
      <w:r>
        <w:rPr>
          <w:rFonts w:hint="eastAsia" w:asciiTheme="minorEastAsia" w:hAnsiTheme="minorEastAsia" w:eastAsiaTheme="minorEastAsia" w:cstheme="minorEastAsia"/>
          <w:b w:val="0"/>
          <w:bCs w:val="0"/>
          <w:kern w:val="21"/>
          <w:sz w:val="24"/>
          <w:szCs w:val="24"/>
        </w:rPr>
        <w:instrText xml:space="preserve"> PAGEREF _Toc12440 \h </w:instrText>
      </w:r>
      <w:r>
        <w:rPr>
          <w:rFonts w:hint="eastAsia" w:asciiTheme="minorEastAsia" w:hAnsiTheme="minorEastAsia" w:eastAsiaTheme="minorEastAsia" w:cstheme="minorEastAsia"/>
          <w:b w:val="0"/>
          <w:bCs w:val="0"/>
          <w:kern w:val="21"/>
          <w:sz w:val="24"/>
          <w:szCs w:val="24"/>
        </w:rPr>
        <w:fldChar w:fldCharType="separate"/>
      </w:r>
      <w:r>
        <w:rPr>
          <w:rFonts w:hint="eastAsia" w:asciiTheme="minorEastAsia" w:hAnsiTheme="minorEastAsia" w:eastAsiaTheme="minorEastAsia" w:cstheme="minorEastAsia"/>
          <w:b w:val="0"/>
          <w:bCs w:val="0"/>
          <w:kern w:val="21"/>
          <w:sz w:val="24"/>
          <w:szCs w:val="24"/>
        </w:rPr>
        <w:t>35</w:t>
      </w:r>
      <w:r>
        <w:rPr>
          <w:rFonts w:hint="eastAsia" w:asciiTheme="minorEastAsia" w:hAnsiTheme="minorEastAsia" w:eastAsiaTheme="minorEastAsia" w:cstheme="minorEastAsia"/>
          <w:b w:val="0"/>
          <w:bCs w:val="0"/>
          <w:kern w:val="21"/>
          <w:sz w:val="24"/>
          <w:szCs w:val="24"/>
        </w:rPr>
        <w:fldChar w:fldCharType="end"/>
      </w:r>
      <w:r>
        <w:rPr>
          <w:rFonts w:hint="eastAsia" w:asciiTheme="minorEastAsia" w:hAnsiTheme="minorEastAsia" w:eastAsiaTheme="minorEastAsia" w:cstheme="minorEastAsia"/>
          <w:b w:val="0"/>
          <w:bCs w:val="0"/>
          <w:snapToGrid/>
          <w:spacing w:val="0"/>
          <w:kern w:val="21"/>
          <w:sz w:val="24"/>
          <w:szCs w:val="24"/>
          <w:highlight w:val="none"/>
        </w:rPr>
        <w:fldChar w:fldCharType="end"/>
      </w:r>
    </w:p>
    <w:p w14:paraId="06EDE4B9">
      <w:pPr>
        <w:pStyle w:val="17"/>
        <w:keepNext w:val="0"/>
        <w:keepLines w:val="0"/>
        <w:pageBreakBefore w:val="0"/>
        <w:widowControl w:val="0"/>
        <w:tabs>
          <w:tab w:val="right" w:leader="dot" w:pos="9745"/>
          <w:tab w:val="clear" w:pos="1050"/>
          <w:tab w:val="clear" w:pos="8937"/>
        </w:tabs>
        <w:kinsoku/>
        <w:wordWrap w:val="0"/>
        <w:overflowPunct/>
        <w:topLinePunct/>
        <w:autoSpaceDE/>
        <w:autoSpaceDN/>
        <w:bidi w:val="0"/>
        <w:spacing w:line="360" w:lineRule="auto"/>
        <w:rPr>
          <w:rFonts w:hint="eastAsia" w:asciiTheme="minorEastAsia" w:hAnsiTheme="minorEastAsia" w:eastAsiaTheme="minorEastAsia" w:cstheme="minorEastAsia"/>
          <w:b w:val="0"/>
          <w:bCs w:val="0"/>
          <w:kern w:val="21"/>
          <w:sz w:val="24"/>
          <w:szCs w:val="24"/>
        </w:rPr>
      </w:pPr>
      <w:r>
        <w:rPr>
          <w:rFonts w:hint="eastAsia" w:asciiTheme="minorEastAsia" w:hAnsiTheme="minorEastAsia" w:eastAsiaTheme="minorEastAsia" w:cstheme="minorEastAsia"/>
          <w:b w:val="0"/>
          <w:bCs w:val="0"/>
          <w:snapToGrid/>
          <w:spacing w:val="0"/>
          <w:kern w:val="21"/>
          <w:sz w:val="24"/>
          <w:szCs w:val="24"/>
          <w:highlight w:val="none"/>
        </w:rPr>
        <w:fldChar w:fldCharType="begin"/>
      </w:r>
      <w:r>
        <w:rPr>
          <w:rFonts w:hint="eastAsia" w:asciiTheme="minorEastAsia" w:hAnsiTheme="minorEastAsia" w:eastAsiaTheme="minorEastAsia" w:cstheme="minorEastAsia"/>
          <w:b w:val="0"/>
          <w:bCs w:val="0"/>
          <w:snapToGrid/>
          <w:spacing w:val="0"/>
          <w:kern w:val="21"/>
          <w:sz w:val="24"/>
          <w:szCs w:val="24"/>
          <w:highlight w:val="none"/>
        </w:rPr>
        <w:instrText xml:space="preserve"> HYPERLINK \l _Toc28821 </w:instrText>
      </w:r>
      <w:r>
        <w:rPr>
          <w:rFonts w:hint="eastAsia" w:asciiTheme="minorEastAsia" w:hAnsiTheme="minorEastAsia" w:eastAsiaTheme="minorEastAsia" w:cstheme="minorEastAsia"/>
          <w:b w:val="0"/>
          <w:bCs w:val="0"/>
          <w:snapToGrid/>
          <w:spacing w:val="0"/>
          <w:kern w:val="21"/>
          <w:sz w:val="24"/>
          <w:szCs w:val="24"/>
          <w:highlight w:val="none"/>
        </w:rPr>
        <w:fldChar w:fldCharType="separate"/>
      </w:r>
      <w:r>
        <w:rPr>
          <w:rFonts w:hint="eastAsia" w:asciiTheme="minorEastAsia" w:hAnsiTheme="minorEastAsia" w:eastAsiaTheme="minorEastAsia" w:cstheme="minorEastAsia"/>
          <w:b w:val="0"/>
          <w:bCs w:val="0"/>
          <w:snapToGrid/>
          <w:spacing w:val="0"/>
          <w:kern w:val="21"/>
          <w:sz w:val="24"/>
          <w:szCs w:val="24"/>
          <w:highlight w:val="none"/>
        </w:rPr>
        <w:t>第五章   合同草案条款</w:t>
      </w:r>
      <w:r>
        <w:rPr>
          <w:rFonts w:hint="eastAsia" w:asciiTheme="minorEastAsia" w:hAnsiTheme="minorEastAsia" w:eastAsiaTheme="minorEastAsia" w:cstheme="minorEastAsia"/>
          <w:b w:val="0"/>
          <w:bCs w:val="0"/>
          <w:kern w:val="21"/>
          <w:sz w:val="24"/>
          <w:szCs w:val="24"/>
        </w:rPr>
        <w:tab/>
      </w:r>
      <w:r>
        <w:rPr>
          <w:rFonts w:hint="eastAsia" w:asciiTheme="minorEastAsia" w:hAnsiTheme="minorEastAsia" w:eastAsiaTheme="minorEastAsia" w:cstheme="minorEastAsia"/>
          <w:b w:val="0"/>
          <w:bCs w:val="0"/>
          <w:kern w:val="21"/>
          <w:sz w:val="24"/>
          <w:szCs w:val="24"/>
        </w:rPr>
        <w:fldChar w:fldCharType="begin"/>
      </w:r>
      <w:r>
        <w:rPr>
          <w:rFonts w:hint="eastAsia" w:asciiTheme="minorEastAsia" w:hAnsiTheme="minorEastAsia" w:eastAsiaTheme="minorEastAsia" w:cstheme="minorEastAsia"/>
          <w:b w:val="0"/>
          <w:bCs w:val="0"/>
          <w:kern w:val="21"/>
          <w:sz w:val="24"/>
          <w:szCs w:val="24"/>
        </w:rPr>
        <w:instrText xml:space="preserve"> PAGEREF _Toc28821 \h </w:instrText>
      </w:r>
      <w:r>
        <w:rPr>
          <w:rFonts w:hint="eastAsia" w:asciiTheme="minorEastAsia" w:hAnsiTheme="minorEastAsia" w:eastAsiaTheme="minorEastAsia" w:cstheme="minorEastAsia"/>
          <w:b w:val="0"/>
          <w:bCs w:val="0"/>
          <w:kern w:val="21"/>
          <w:sz w:val="24"/>
          <w:szCs w:val="24"/>
        </w:rPr>
        <w:fldChar w:fldCharType="separate"/>
      </w:r>
      <w:r>
        <w:rPr>
          <w:rFonts w:hint="eastAsia" w:asciiTheme="minorEastAsia" w:hAnsiTheme="minorEastAsia" w:eastAsiaTheme="minorEastAsia" w:cstheme="minorEastAsia"/>
          <w:b w:val="0"/>
          <w:bCs w:val="0"/>
          <w:kern w:val="21"/>
          <w:sz w:val="24"/>
          <w:szCs w:val="24"/>
        </w:rPr>
        <w:t>39</w:t>
      </w:r>
      <w:r>
        <w:rPr>
          <w:rFonts w:hint="eastAsia" w:asciiTheme="minorEastAsia" w:hAnsiTheme="minorEastAsia" w:eastAsiaTheme="minorEastAsia" w:cstheme="minorEastAsia"/>
          <w:b w:val="0"/>
          <w:bCs w:val="0"/>
          <w:kern w:val="21"/>
          <w:sz w:val="24"/>
          <w:szCs w:val="24"/>
        </w:rPr>
        <w:fldChar w:fldCharType="end"/>
      </w:r>
      <w:r>
        <w:rPr>
          <w:rFonts w:hint="eastAsia" w:asciiTheme="minorEastAsia" w:hAnsiTheme="minorEastAsia" w:eastAsiaTheme="minorEastAsia" w:cstheme="minorEastAsia"/>
          <w:b w:val="0"/>
          <w:bCs w:val="0"/>
          <w:snapToGrid/>
          <w:spacing w:val="0"/>
          <w:kern w:val="21"/>
          <w:sz w:val="24"/>
          <w:szCs w:val="24"/>
          <w:highlight w:val="none"/>
        </w:rPr>
        <w:fldChar w:fldCharType="end"/>
      </w:r>
    </w:p>
    <w:p w14:paraId="11C54918">
      <w:pPr>
        <w:pStyle w:val="17"/>
        <w:keepNext w:val="0"/>
        <w:keepLines w:val="0"/>
        <w:pageBreakBefore w:val="0"/>
        <w:widowControl w:val="0"/>
        <w:tabs>
          <w:tab w:val="right" w:leader="dot" w:pos="9745"/>
          <w:tab w:val="clear" w:pos="1050"/>
          <w:tab w:val="clear" w:pos="8937"/>
        </w:tabs>
        <w:kinsoku/>
        <w:wordWrap w:val="0"/>
        <w:overflowPunct/>
        <w:topLinePunct/>
        <w:autoSpaceDE/>
        <w:autoSpaceDN/>
        <w:bidi w:val="0"/>
        <w:spacing w:line="360" w:lineRule="auto"/>
        <w:rPr>
          <w:rFonts w:hint="eastAsia" w:asciiTheme="minorEastAsia" w:hAnsiTheme="minorEastAsia" w:eastAsiaTheme="minorEastAsia" w:cstheme="minorEastAsia"/>
          <w:b w:val="0"/>
          <w:bCs w:val="0"/>
          <w:kern w:val="21"/>
          <w:sz w:val="24"/>
          <w:szCs w:val="24"/>
        </w:rPr>
      </w:pPr>
      <w:r>
        <w:rPr>
          <w:rFonts w:hint="eastAsia" w:asciiTheme="minorEastAsia" w:hAnsiTheme="minorEastAsia" w:eastAsiaTheme="minorEastAsia" w:cstheme="minorEastAsia"/>
          <w:b w:val="0"/>
          <w:bCs w:val="0"/>
          <w:snapToGrid/>
          <w:spacing w:val="0"/>
          <w:kern w:val="21"/>
          <w:sz w:val="24"/>
          <w:szCs w:val="24"/>
          <w:highlight w:val="none"/>
        </w:rPr>
        <w:fldChar w:fldCharType="begin"/>
      </w:r>
      <w:r>
        <w:rPr>
          <w:rFonts w:hint="eastAsia" w:asciiTheme="minorEastAsia" w:hAnsiTheme="minorEastAsia" w:eastAsiaTheme="minorEastAsia" w:cstheme="minorEastAsia"/>
          <w:b w:val="0"/>
          <w:bCs w:val="0"/>
          <w:snapToGrid/>
          <w:spacing w:val="0"/>
          <w:kern w:val="21"/>
          <w:sz w:val="24"/>
          <w:szCs w:val="24"/>
          <w:highlight w:val="none"/>
        </w:rPr>
        <w:instrText xml:space="preserve"> HYPERLINK \l _Toc2446 </w:instrText>
      </w:r>
      <w:r>
        <w:rPr>
          <w:rFonts w:hint="eastAsia" w:asciiTheme="minorEastAsia" w:hAnsiTheme="minorEastAsia" w:eastAsiaTheme="minorEastAsia" w:cstheme="minorEastAsia"/>
          <w:b w:val="0"/>
          <w:bCs w:val="0"/>
          <w:snapToGrid/>
          <w:spacing w:val="0"/>
          <w:kern w:val="21"/>
          <w:sz w:val="24"/>
          <w:szCs w:val="24"/>
          <w:highlight w:val="none"/>
        </w:rPr>
        <w:fldChar w:fldCharType="separate"/>
      </w:r>
      <w:r>
        <w:rPr>
          <w:rFonts w:hint="eastAsia" w:asciiTheme="minorEastAsia" w:hAnsiTheme="minorEastAsia" w:eastAsiaTheme="minorEastAsia" w:cstheme="minorEastAsia"/>
          <w:b w:val="0"/>
          <w:bCs w:val="0"/>
          <w:snapToGrid/>
          <w:spacing w:val="0"/>
          <w:kern w:val="21"/>
          <w:sz w:val="24"/>
          <w:szCs w:val="24"/>
          <w:highlight w:val="none"/>
        </w:rPr>
        <w:t>第六章   响应文件格式</w:t>
      </w:r>
      <w:r>
        <w:rPr>
          <w:rFonts w:hint="eastAsia" w:asciiTheme="minorEastAsia" w:hAnsiTheme="minorEastAsia" w:eastAsiaTheme="minorEastAsia" w:cstheme="minorEastAsia"/>
          <w:b w:val="0"/>
          <w:bCs w:val="0"/>
          <w:kern w:val="21"/>
          <w:sz w:val="24"/>
          <w:szCs w:val="24"/>
        </w:rPr>
        <w:tab/>
      </w:r>
      <w:r>
        <w:rPr>
          <w:rFonts w:hint="eastAsia" w:asciiTheme="minorEastAsia" w:hAnsiTheme="minorEastAsia" w:eastAsiaTheme="minorEastAsia" w:cstheme="minorEastAsia"/>
          <w:b w:val="0"/>
          <w:bCs w:val="0"/>
          <w:kern w:val="21"/>
          <w:sz w:val="24"/>
          <w:szCs w:val="24"/>
        </w:rPr>
        <w:fldChar w:fldCharType="begin"/>
      </w:r>
      <w:r>
        <w:rPr>
          <w:rFonts w:hint="eastAsia" w:asciiTheme="minorEastAsia" w:hAnsiTheme="minorEastAsia" w:eastAsiaTheme="minorEastAsia" w:cstheme="minorEastAsia"/>
          <w:b w:val="0"/>
          <w:bCs w:val="0"/>
          <w:kern w:val="21"/>
          <w:sz w:val="24"/>
          <w:szCs w:val="24"/>
        </w:rPr>
        <w:instrText xml:space="preserve"> PAGEREF _Toc2446 \h </w:instrText>
      </w:r>
      <w:r>
        <w:rPr>
          <w:rFonts w:hint="eastAsia" w:asciiTheme="minorEastAsia" w:hAnsiTheme="minorEastAsia" w:eastAsiaTheme="minorEastAsia" w:cstheme="minorEastAsia"/>
          <w:b w:val="0"/>
          <w:bCs w:val="0"/>
          <w:kern w:val="21"/>
          <w:sz w:val="24"/>
          <w:szCs w:val="24"/>
        </w:rPr>
        <w:fldChar w:fldCharType="separate"/>
      </w:r>
      <w:r>
        <w:rPr>
          <w:rFonts w:hint="eastAsia" w:asciiTheme="minorEastAsia" w:hAnsiTheme="minorEastAsia" w:eastAsiaTheme="minorEastAsia" w:cstheme="minorEastAsia"/>
          <w:b w:val="0"/>
          <w:bCs w:val="0"/>
          <w:kern w:val="21"/>
          <w:sz w:val="24"/>
          <w:szCs w:val="24"/>
        </w:rPr>
        <w:t>53</w:t>
      </w:r>
      <w:r>
        <w:rPr>
          <w:rFonts w:hint="eastAsia" w:asciiTheme="minorEastAsia" w:hAnsiTheme="minorEastAsia" w:eastAsiaTheme="minorEastAsia" w:cstheme="minorEastAsia"/>
          <w:b w:val="0"/>
          <w:bCs w:val="0"/>
          <w:kern w:val="21"/>
          <w:sz w:val="24"/>
          <w:szCs w:val="24"/>
        </w:rPr>
        <w:fldChar w:fldCharType="end"/>
      </w:r>
      <w:r>
        <w:rPr>
          <w:rFonts w:hint="eastAsia" w:asciiTheme="minorEastAsia" w:hAnsiTheme="minorEastAsia" w:eastAsiaTheme="minorEastAsia" w:cstheme="minorEastAsia"/>
          <w:b w:val="0"/>
          <w:bCs w:val="0"/>
          <w:snapToGrid/>
          <w:spacing w:val="0"/>
          <w:kern w:val="21"/>
          <w:sz w:val="24"/>
          <w:szCs w:val="24"/>
          <w:highlight w:val="none"/>
        </w:rPr>
        <w:fldChar w:fldCharType="end"/>
      </w:r>
    </w:p>
    <w:p w14:paraId="5BB7977D">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highlight w:val="none"/>
        </w:rPr>
        <w:fldChar w:fldCharType="end"/>
      </w:r>
    </w:p>
    <w:p w14:paraId="554842F2">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rPr>
        <w:t>注：采购文件条款中以“■”形式标记的内容适用于本项目，以“□”形式标记的内容不适用于本项目。</w:t>
      </w:r>
    </w:p>
    <w:p w14:paraId="79DD48DA">
      <w:pPr>
        <w:pStyle w:val="17"/>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7B78585E">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sectPr>
          <w:headerReference r:id="rId6" w:type="first"/>
          <w:footerReference r:id="rId8" w:type="first"/>
          <w:headerReference r:id="rId5" w:type="default"/>
          <w:footerReference r:id="rId7" w:type="default"/>
          <w:pgSz w:w="11905" w:h="16838"/>
          <w:pgMar w:top="1440" w:right="1080" w:bottom="1440" w:left="1080" w:header="851" w:footer="850" w:gutter="0"/>
          <w:pgNumType w:fmt="decimal" w:start="1"/>
          <w:cols w:space="0" w:num="1"/>
          <w:rtlGutter w:val="0"/>
          <w:docGrid w:linePitch="462" w:charSpace="0"/>
        </w:sectPr>
      </w:pPr>
    </w:p>
    <w:p w14:paraId="7FABA6D7">
      <w:pPr>
        <w:keepNext w:val="0"/>
        <w:keepLines w:val="0"/>
        <w:pageBreakBefore w:val="0"/>
        <w:widowControl w:val="0"/>
        <w:kinsoku/>
        <w:wordWrap w:val="0"/>
        <w:overflowPunct/>
        <w:topLinePunct/>
        <w:autoSpaceDE/>
        <w:autoSpaceDN/>
        <w:bidi w:val="0"/>
        <w:spacing w:line="360" w:lineRule="auto"/>
        <w:jc w:val="center"/>
        <w:outlineLvl w:val="0"/>
        <w:rPr>
          <w:rFonts w:hint="eastAsia" w:asciiTheme="minorEastAsia" w:hAnsiTheme="minorEastAsia" w:eastAsiaTheme="minorEastAsia" w:cstheme="minorEastAsia"/>
          <w:b/>
          <w:bCs/>
          <w:snapToGrid/>
          <w:spacing w:val="0"/>
          <w:kern w:val="21"/>
          <w:sz w:val="24"/>
          <w:szCs w:val="24"/>
          <w:highlight w:val="none"/>
        </w:rPr>
      </w:pPr>
      <w:bookmarkStart w:id="2" w:name="_Toc24016"/>
      <w:r>
        <w:rPr>
          <w:rFonts w:hint="eastAsia" w:asciiTheme="minorEastAsia" w:hAnsiTheme="minorEastAsia" w:eastAsiaTheme="minorEastAsia" w:cstheme="minorEastAsia"/>
          <w:b/>
          <w:bCs/>
          <w:snapToGrid/>
          <w:spacing w:val="0"/>
          <w:kern w:val="21"/>
          <w:sz w:val="24"/>
          <w:szCs w:val="24"/>
          <w:highlight w:val="none"/>
        </w:rPr>
        <w:t>第一章   采购邀请</w:t>
      </w:r>
      <w:bookmarkEnd w:id="2"/>
      <w:bookmarkStart w:id="3" w:name="_Toc35393790"/>
      <w:bookmarkStart w:id="4" w:name="_Toc28359002"/>
      <w:bookmarkStart w:id="5" w:name="_Toc35393621"/>
      <w:bookmarkStart w:id="6" w:name="_Toc28359079"/>
      <w:bookmarkStart w:id="7" w:name="_Hlk24379207"/>
    </w:p>
    <w:p w14:paraId="1C8BE80E">
      <w:pPr>
        <w:keepNext w:val="0"/>
        <w:keepLines w:val="0"/>
        <w:pageBreakBefore w:val="0"/>
        <w:widowControl w:val="0"/>
        <w:kinsoku/>
        <w:wordWrap w:val="0"/>
        <w:overflowPunct/>
        <w:topLinePunct/>
        <w:autoSpaceDE/>
        <w:autoSpaceDN/>
        <w:bidi w:val="0"/>
        <w:spacing w:before="0"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一、项目基本情况</w:t>
      </w:r>
      <w:bookmarkEnd w:id="3"/>
      <w:bookmarkEnd w:id="4"/>
      <w:bookmarkEnd w:id="5"/>
      <w:bookmarkEnd w:id="6"/>
    </w:p>
    <w:p w14:paraId="0BF08CAA">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rPr>
        <w:t>1.项目编号：</w:t>
      </w:r>
      <w:r>
        <w:rPr>
          <w:rFonts w:hint="eastAsia" w:asciiTheme="minorEastAsia" w:hAnsiTheme="minorEastAsia" w:eastAsiaTheme="minorEastAsia" w:cstheme="minorEastAsia"/>
          <w:b w:val="0"/>
          <w:bCs w:val="0"/>
          <w:snapToGrid/>
          <w:spacing w:val="0"/>
          <w:kern w:val="21"/>
          <w:sz w:val="24"/>
          <w:szCs w:val="24"/>
          <w:highlight w:val="none"/>
          <w:lang w:val="en-US" w:eastAsia="zh-CN"/>
        </w:rPr>
        <w:t>1</w:t>
      </w:r>
      <w:r>
        <w:rPr>
          <w:rFonts w:hint="eastAsia" w:asciiTheme="minorEastAsia" w:hAnsiTheme="minorEastAsia" w:eastAsiaTheme="minorEastAsia" w:cstheme="minorEastAsia"/>
          <w:b w:val="0"/>
          <w:bCs w:val="0"/>
          <w:snapToGrid/>
          <w:spacing w:val="0"/>
          <w:kern w:val="21"/>
          <w:sz w:val="24"/>
          <w:szCs w:val="24"/>
          <w:highlight w:val="none"/>
        </w:rPr>
        <w:t>1011326210200027367-XM001</w:t>
      </w:r>
    </w:p>
    <w:p w14:paraId="196DE2AC">
      <w:pPr>
        <w:keepNext w:val="0"/>
        <w:keepLines w:val="0"/>
        <w:pageBreakBefore w:val="0"/>
        <w:widowControl w:val="0"/>
        <w:shd w:val="clear"/>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rPr>
        <w:t>2.项目名称：</w:t>
      </w:r>
      <w:r>
        <w:rPr>
          <w:rFonts w:hint="eastAsia" w:asciiTheme="minorEastAsia" w:hAnsiTheme="minorEastAsia" w:eastAsiaTheme="minorEastAsia" w:cstheme="minorEastAsia"/>
          <w:b w:val="0"/>
          <w:bCs w:val="0"/>
          <w:snapToGrid/>
          <w:spacing w:val="0"/>
          <w:kern w:val="21"/>
          <w:sz w:val="24"/>
          <w:szCs w:val="24"/>
          <w:highlight w:val="none"/>
          <w:lang w:eastAsia="zh-CN"/>
        </w:rPr>
        <w:t>2026年牛栏山镇大气精细化治理项目</w:t>
      </w:r>
    </w:p>
    <w:p w14:paraId="0ADB651D">
      <w:pPr>
        <w:keepNext w:val="0"/>
        <w:keepLines w:val="0"/>
        <w:pageBreakBefore w:val="0"/>
        <w:widowControl w:val="0"/>
        <w:shd w:val="clear"/>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3.采购方式：竞争性磋商</w:t>
      </w:r>
    </w:p>
    <w:bookmarkEnd w:id="7"/>
    <w:p w14:paraId="730BA425">
      <w:pPr>
        <w:keepNext w:val="0"/>
        <w:keepLines w:val="0"/>
        <w:pageBreakBefore w:val="0"/>
        <w:widowControl w:val="0"/>
        <w:shd w:val="clear"/>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4.项目预算金额：</w:t>
      </w:r>
      <w:r>
        <w:rPr>
          <w:rFonts w:hint="eastAsia" w:asciiTheme="minorEastAsia" w:hAnsiTheme="minorEastAsia" w:eastAsiaTheme="minorEastAsia" w:cstheme="minorEastAsia"/>
          <w:b w:val="0"/>
          <w:bCs w:val="0"/>
          <w:snapToGrid/>
          <w:spacing w:val="0"/>
          <w:kern w:val="21"/>
          <w:sz w:val="24"/>
          <w:szCs w:val="24"/>
          <w:highlight w:val="none"/>
          <w:u w:val="single"/>
        </w:rPr>
        <w:t>235.823018</w:t>
      </w:r>
      <w:r>
        <w:rPr>
          <w:rFonts w:hint="eastAsia" w:asciiTheme="minorEastAsia" w:hAnsiTheme="minorEastAsia" w:eastAsiaTheme="minorEastAsia" w:cstheme="minorEastAsia"/>
          <w:b w:val="0"/>
          <w:bCs w:val="0"/>
          <w:snapToGrid/>
          <w:spacing w:val="0"/>
          <w:kern w:val="21"/>
          <w:sz w:val="24"/>
          <w:szCs w:val="24"/>
          <w:highlight w:val="none"/>
        </w:rPr>
        <w:t>万元、项目最高限价（如有）：</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235.663018</w:t>
      </w:r>
      <w:r>
        <w:rPr>
          <w:rFonts w:hint="eastAsia" w:asciiTheme="minorEastAsia" w:hAnsiTheme="minorEastAsia" w:eastAsiaTheme="minorEastAsia" w:cstheme="minorEastAsia"/>
          <w:b w:val="0"/>
          <w:bCs w:val="0"/>
          <w:snapToGrid/>
          <w:spacing w:val="0"/>
          <w:kern w:val="21"/>
          <w:sz w:val="24"/>
          <w:szCs w:val="24"/>
          <w:highlight w:val="none"/>
        </w:rPr>
        <w:t>万元</w:t>
      </w:r>
    </w:p>
    <w:p w14:paraId="250D56A6">
      <w:pPr>
        <w:keepNext w:val="0"/>
        <w:keepLines w:val="0"/>
        <w:pageBreakBefore w:val="0"/>
        <w:widowControl w:val="0"/>
        <w:shd w:val="clear"/>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5.采购需求：</w:t>
      </w:r>
    </w:p>
    <w:tbl>
      <w:tblPr>
        <w:tblStyle w:val="24"/>
        <w:tblW w:w="10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417"/>
        <w:gridCol w:w="1628"/>
        <w:gridCol w:w="1447"/>
        <w:gridCol w:w="1447"/>
        <w:gridCol w:w="4078"/>
      </w:tblGrid>
      <w:tr w14:paraId="03AC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14:paraId="103952B2">
            <w:pPr>
              <w:pStyle w:val="30"/>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2"/>
                <w:szCs w:val="22"/>
                <w:highlight w:val="none"/>
                <w:u w:val="none"/>
                <w:lang w:val="en-US" w:eastAsia="zh-CN"/>
              </w:rPr>
            </w:pPr>
            <w:r>
              <w:rPr>
                <w:rFonts w:hint="eastAsia" w:asciiTheme="minorEastAsia" w:hAnsiTheme="minorEastAsia" w:eastAsiaTheme="minorEastAsia" w:cstheme="minorEastAsia"/>
                <w:b w:val="0"/>
                <w:bCs w:val="0"/>
                <w:snapToGrid/>
                <w:spacing w:val="0"/>
                <w:kern w:val="21"/>
                <w:sz w:val="22"/>
                <w:szCs w:val="22"/>
                <w:highlight w:val="none"/>
                <w:u w:val="none"/>
                <w:lang w:val="en-US" w:eastAsia="zh-CN"/>
              </w:rPr>
              <w:t>包号</w:t>
            </w:r>
          </w:p>
        </w:tc>
        <w:tc>
          <w:tcPr>
            <w:tcW w:w="1417" w:type="dxa"/>
            <w:vAlign w:val="center"/>
          </w:tcPr>
          <w:p w14:paraId="6938E77E">
            <w:pPr>
              <w:pStyle w:val="30"/>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2"/>
                <w:szCs w:val="22"/>
                <w:highlight w:val="none"/>
                <w:lang w:eastAsia="zh-CN"/>
              </w:rPr>
            </w:pPr>
            <w:r>
              <w:rPr>
                <w:rFonts w:hint="eastAsia" w:asciiTheme="minorEastAsia" w:hAnsiTheme="minorEastAsia" w:eastAsiaTheme="minorEastAsia" w:cstheme="minorEastAsia"/>
                <w:b w:val="0"/>
                <w:bCs w:val="0"/>
                <w:snapToGrid/>
                <w:spacing w:val="0"/>
                <w:kern w:val="21"/>
                <w:sz w:val="22"/>
                <w:szCs w:val="22"/>
                <w:highlight w:val="none"/>
                <w:u w:val="none"/>
                <w:lang w:val="en-US" w:eastAsia="zh-CN"/>
              </w:rPr>
              <w:t>标的名称</w:t>
            </w:r>
          </w:p>
        </w:tc>
        <w:tc>
          <w:tcPr>
            <w:tcW w:w="1628" w:type="dxa"/>
            <w:vAlign w:val="center"/>
          </w:tcPr>
          <w:p w14:paraId="7BC11295">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val="0"/>
                <w:bCs w:val="0"/>
                <w:snapToGrid/>
                <w:spacing w:val="0"/>
                <w:kern w:val="21"/>
                <w:sz w:val="22"/>
                <w:szCs w:val="22"/>
                <w:highlight w:val="none"/>
                <w:u w:val="none"/>
                <w:lang w:val="en-US" w:eastAsia="zh-CN"/>
              </w:rPr>
            </w:pPr>
            <w:r>
              <w:rPr>
                <w:rFonts w:hint="eastAsia" w:asciiTheme="minorEastAsia" w:hAnsiTheme="minorEastAsia" w:eastAsiaTheme="minorEastAsia" w:cstheme="minorEastAsia"/>
                <w:b w:val="0"/>
                <w:bCs w:val="0"/>
                <w:snapToGrid/>
                <w:spacing w:val="0"/>
                <w:kern w:val="21"/>
                <w:sz w:val="22"/>
                <w:szCs w:val="22"/>
                <w:highlight w:val="none"/>
                <w:u w:val="none"/>
              </w:rPr>
              <w:t>预算金额</w:t>
            </w:r>
            <w:r>
              <w:rPr>
                <w:rFonts w:hint="eastAsia" w:asciiTheme="minorEastAsia" w:hAnsiTheme="minorEastAsia" w:eastAsiaTheme="minorEastAsia" w:cstheme="minorEastAsia"/>
                <w:b w:val="0"/>
                <w:bCs w:val="0"/>
                <w:snapToGrid/>
                <w:spacing w:val="0"/>
                <w:kern w:val="21"/>
                <w:sz w:val="22"/>
                <w:szCs w:val="22"/>
                <w:highlight w:val="none"/>
                <w:u w:val="none"/>
                <w:lang w:val="en-US" w:eastAsia="zh-CN"/>
              </w:rPr>
              <w:t>（万元）</w:t>
            </w:r>
          </w:p>
        </w:tc>
        <w:tc>
          <w:tcPr>
            <w:tcW w:w="1447" w:type="dxa"/>
            <w:vAlign w:val="center"/>
          </w:tcPr>
          <w:p w14:paraId="4DBC6C0F">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val="0"/>
                <w:bCs w:val="0"/>
                <w:snapToGrid/>
                <w:spacing w:val="0"/>
                <w:kern w:val="21"/>
                <w:sz w:val="22"/>
                <w:szCs w:val="22"/>
                <w:highlight w:val="none"/>
                <w:u w:val="none"/>
                <w:lang w:val="en-US" w:eastAsia="zh-CN"/>
              </w:rPr>
            </w:pPr>
            <w:r>
              <w:rPr>
                <w:rFonts w:hint="eastAsia" w:asciiTheme="minorEastAsia" w:hAnsiTheme="minorEastAsia" w:eastAsiaTheme="minorEastAsia" w:cstheme="minorEastAsia"/>
                <w:b w:val="0"/>
                <w:bCs w:val="0"/>
                <w:snapToGrid/>
                <w:spacing w:val="0"/>
                <w:kern w:val="21"/>
                <w:sz w:val="22"/>
                <w:szCs w:val="22"/>
                <w:highlight w:val="none"/>
                <w:u w:val="none"/>
                <w:lang w:val="en-US" w:eastAsia="zh-CN"/>
              </w:rPr>
              <w:t>最高限价（万元）</w:t>
            </w:r>
          </w:p>
        </w:tc>
        <w:tc>
          <w:tcPr>
            <w:tcW w:w="1447" w:type="dxa"/>
            <w:vAlign w:val="center"/>
          </w:tcPr>
          <w:p w14:paraId="3EFCC0D1">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val="0"/>
                <w:bCs w:val="0"/>
                <w:snapToGrid/>
                <w:spacing w:val="0"/>
                <w:kern w:val="21"/>
                <w:sz w:val="22"/>
                <w:szCs w:val="22"/>
                <w:highlight w:val="none"/>
                <w:u w:val="none"/>
              </w:rPr>
            </w:pPr>
            <w:r>
              <w:rPr>
                <w:rFonts w:hint="eastAsia" w:asciiTheme="minorEastAsia" w:hAnsiTheme="minorEastAsia" w:eastAsiaTheme="minorEastAsia" w:cstheme="minorEastAsia"/>
                <w:b w:val="0"/>
                <w:bCs w:val="0"/>
                <w:snapToGrid/>
                <w:spacing w:val="0"/>
                <w:kern w:val="21"/>
                <w:sz w:val="22"/>
                <w:szCs w:val="22"/>
                <w:highlight w:val="none"/>
                <w:u w:val="none"/>
              </w:rPr>
              <w:t>服务地点</w:t>
            </w:r>
          </w:p>
        </w:tc>
        <w:tc>
          <w:tcPr>
            <w:tcW w:w="4078" w:type="dxa"/>
            <w:shd w:val="clear" w:color="auto" w:fill="auto"/>
            <w:vAlign w:val="center"/>
          </w:tcPr>
          <w:p w14:paraId="68FEBB9B">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val="0"/>
                <w:bCs w:val="0"/>
                <w:snapToGrid/>
                <w:spacing w:val="0"/>
                <w:kern w:val="21"/>
                <w:sz w:val="22"/>
                <w:szCs w:val="22"/>
                <w:highlight w:val="none"/>
                <w:u w:val="none"/>
              </w:rPr>
            </w:pPr>
            <w:r>
              <w:rPr>
                <w:rFonts w:hint="eastAsia" w:asciiTheme="minorEastAsia" w:hAnsiTheme="minorEastAsia" w:eastAsiaTheme="minorEastAsia" w:cstheme="minorEastAsia"/>
                <w:b w:val="0"/>
                <w:bCs w:val="0"/>
                <w:snapToGrid/>
                <w:spacing w:val="0"/>
                <w:kern w:val="21"/>
                <w:sz w:val="22"/>
                <w:szCs w:val="22"/>
                <w:highlight w:val="none"/>
                <w:u w:val="none"/>
              </w:rPr>
              <w:t>简要技术需求或服务要求</w:t>
            </w:r>
          </w:p>
        </w:tc>
      </w:tr>
      <w:tr w14:paraId="2990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14:paraId="7193C740">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val="0"/>
                <w:bCs w:val="0"/>
                <w:snapToGrid/>
                <w:spacing w:val="0"/>
                <w:kern w:val="21"/>
                <w:sz w:val="22"/>
                <w:szCs w:val="22"/>
                <w:highlight w:val="none"/>
                <w:u w:val="none"/>
                <w:lang w:val="en-US" w:eastAsia="zh-CN"/>
              </w:rPr>
            </w:pPr>
            <w:r>
              <w:rPr>
                <w:rFonts w:hint="eastAsia" w:asciiTheme="minorEastAsia" w:hAnsiTheme="minorEastAsia" w:eastAsiaTheme="minorEastAsia" w:cstheme="minorEastAsia"/>
                <w:b w:val="0"/>
                <w:bCs w:val="0"/>
                <w:snapToGrid/>
                <w:spacing w:val="0"/>
                <w:kern w:val="21"/>
                <w:sz w:val="22"/>
                <w:szCs w:val="22"/>
                <w:highlight w:val="none"/>
                <w:u w:val="none"/>
                <w:lang w:val="en-US" w:eastAsia="zh-CN"/>
              </w:rPr>
              <w:t>01</w:t>
            </w:r>
          </w:p>
        </w:tc>
        <w:tc>
          <w:tcPr>
            <w:tcW w:w="1417" w:type="dxa"/>
            <w:vAlign w:val="center"/>
          </w:tcPr>
          <w:p w14:paraId="2CF4A3B4">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val="0"/>
                <w:bCs w:val="0"/>
                <w:snapToGrid/>
                <w:spacing w:val="0"/>
                <w:kern w:val="21"/>
                <w:sz w:val="22"/>
                <w:szCs w:val="22"/>
                <w:highlight w:val="none"/>
                <w:u w:val="none"/>
                <w:lang w:eastAsia="zh-CN"/>
              </w:rPr>
            </w:pPr>
            <w:r>
              <w:rPr>
                <w:rFonts w:hint="eastAsia" w:asciiTheme="minorEastAsia" w:hAnsiTheme="minorEastAsia" w:eastAsiaTheme="minorEastAsia" w:cstheme="minorEastAsia"/>
                <w:b w:val="0"/>
                <w:bCs w:val="0"/>
                <w:snapToGrid/>
                <w:spacing w:val="0"/>
                <w:kern w:val="21"/>
                <w:sz w:val="22"/>
                <w:szCs w:val="22"/>
                <w:highlight w:val="none"/>
                <w:u w:val="none"/>
                <w:lang w:eastAsia="zh-CN"/>
              </w:rPr>
              <w:t>2026年牛栏山镇大气精细化治理项目</w:t>
            </w:r>
          </w:p>
        </w:tc>
        <w:tc>
          <w:tcPr>
            <w:tcW w:w="1628" w:type="dxa"/>
            <w:vAlign w:val="center"/>
          </w:tcPr>
          <w:p w14:paraId="7C174A69">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val="0"/>
                <w:bCs w:val="0"/>
                <w:snapToGrid/>
                <w:spacing w:val="0"/>
                <w:kern w:val="21"/>
                <w:sz w:val="22"/>
                <w:szCs w:val="22"/>
                <w:highlight w:val="none"/>
                <w:u w:val="none"/>
              </w:rPr>
            </w:pPr>
            <w:r>
              <w:rPr>
                <w:rFonts w:hint="eastAsia" w:asciiTheme="minorEastAsia" w:hAnsiTheme="minorEastAsia" w:eastAsiaTheme="minorEastAsia" w:cstheme="minorEastAsia"/>
                <w:b w:val="0"/>
                <w:bCs w:val="0"/>
                <w:snapToGrid/>
                <w:spacing w:val="0"/>
                <w:kern w:val="21"/>
                <w:sz w:val="24"/>
                <w:szCs w:val="24"/>
                <w:highlight w:val="none"/>
              </w:rPr>
              <w:t>235.823018</w:t>
            </w:r>
          </w:p>
        </w:tc>
        <w:tc>
          <w:tcPr>
            <w:tcW w:w="1447" w:type="dxa"/>
            <w:vAlign w:val="center"/>
          </w:tcPr>
          <w:p w14:paraId="0516C143">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lang w:eastAsia="zh-CN"/>
              </w:rPr>
              <w:t>235.663018</w:t>
            </w:r>
          </w:p>
        </w:tc>
        <w:tc>
          <w:tcPr>
            <w:tcW w:w="1447" w:type="dxa"/>
            <w:vAlign w:val="center"/>
          </w:tcPr>
          <w:p w14:paraId="57AE0F24">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val="0"/>
                <w:bCs w:val="0"/>
                <w:snapToGrid/>
                <w:spacing w:val="0"/>
                <w:kern w:val="21"/>
                <w:sz w:val="22"/>
                <w:szCs w:val="22"/>
                <w:highlight w:val="none"/>
                <w:u w:val="none"/>
                <w:lang w:eastAsia="zh-CN"/>
              </w:rPr>
            </w:pPr>
            <w:r>
              <w:rPr>
                <w:rFonts w:hint="eastAsia" w:asciiTheme="minorEastAsia" w:hAnsiTheme="minorEastAsia" w:eastAsiaTheme="minorEastAsia" w:cstheme="minorEastAsia"/>
                <w:b w:val="0"/>
                <w:bCs w:val="0"/>
                <w:snapToGrid/>
                <w:spacing w:val="0"/>
                <w:kern w:val="21"/>
                <w:sz w:val="22"/>
                <w:szCs w:val="22"/>
                <w:highlight w:val="none"/>
                <w:u w:val="none"/>
                <w:lang w:eastAsia="zh-CN"/>
              </w:rPr>
              <w:t>北京市顺义区牛栏山镇全域</w:t>
            </w:r>
          </w:p>
        </w:tc>
        <w:tc>
          <w:tcPr>
            <w:tcW w:w="4078" w:type="dxa"/>
            <w:shd w:val="clear" w:color="auto" w:fill="auto"/>
            <w:vAlign w:val="center"/>
          </w:tcPr>
          <w:p w14:paraId="057BAE94">
            <w:pPr>
              <w:keepNext w:val="0"/>
              <w:keepLines w:val="0"/>
              <w:pageBreakBefore w:val="0"/>
              <w:widowControl w:val="0"/>
              <w:kinsoku/>
              <w:wordWrap w:val="0"/>
              <w:overflowPunct/>
              <w:topLinePunct/>
              <w:autoSpaceDE/>
              <w:autoSpaceDN/>
              <w:bidi w:val="0"/>
              <w:adjustRightInd/>
              <w:snapToGrid/>
              <w:spacing w:line="360" w:lineRule="auto"/>
              <w:jc w:val="left"/>
              <w:textAlignment w:val="auto"/>
              <w:outlineLvl w:val="9"/>
              <w:rPr>
                <w:rFonts w:hint="eastAsia" w:asciiTheme="minorEastAsia" w:hAnsiTheme="minorEastAsia" w:eastAsiaTheme="minorEastAsia" w:cstheme="minorEastAsia"/>
                <w:b w:val="0"/>
                <w:bCs w:val="0"/>
                <w:snapToGrid/>
                <w:spacing w:val="0"/>
                <w:kern w:val="21"/>
                <w:sz w:val="22"/>
                <w:szCs w:val="22"/>
                <w:highlight w:val="none"/>
                <w:u w:val="none"/>
              </w:rPr>
            </w:pPr>
            <w:r>
              <w:rPr>
                <w:rFonts w:hint="eastAsia" w:asciiTheme="minorEastAsia" w:hAnsiTheme="minorEastAsia" w:eastAsiaTheme="minorEastAsia" w:cstheme="minorEastAsia"/>
                <w:sz w:val="22"/>
                <w:szCs w:val="22"/>
                <w:highlight w:val="none"/>
                <w:lang w:val="en-US" w:eastAsia="zh-CN"/>
              </w:rPr>
              <w:t>为解决牛栏山镇大气污染重点问题。通过竞争性磋商方式选定一家服务单位提供大气精细化治理服务，项目内容主要包括：重点道路扬尘治理、重点区域周边道路精细化治理、裸地扬尘综合治理工作。在镇现有环卫作业基础上，新增机械化洗扫、降尘、裸地治理、生态养护等专项服务</w:t>
            </w:r>
          </w:p>
        </w:tc>
      </w:tr>
    </w:tbl>
    <w:p w14:paraId="21DF0927">
      <w:pPr>
        <w:keepNext w:val="0"/>
        <w:keepLines w:val="0"/>
        <w:pageBreakBefore w:val="0"/>
        <w:widowControl w:val="0"/>
        <w:shd w:val="clear"/>
        <w:tabs>
          <w:tab w:val="left" w:pos="3150"/>
        </w:tabs>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val="zh-CN" w:eastAsia="zh-CN"/>
        </w:rPr>
      </w:pPr>
      <w:r>
        <w:rPr>
          <w:rFonts w:hint="eastAsia" w:asciiTheme="minorEastAsia" w:hAnsiTheme="minorEastAsia" w:eastAsiaTheme="minorEastAsia" w:cstheme="minorEastAsia"/>
          <w:b w:val="0"/>
          <w:bCs w:val="0"/>
          <w:snapToGrid/>
          <w:spacing w:val="0"/>
          <w:kern w:val="21"/>
          <w:sz w:val="24"/>
          <w:szCs w:val="24"/>
          <w:highlight w:val="none"/>
        </w:rPr>
        <w:t>6.合同履行期限：</w:t>
      </w:r>
      <w:r>
        <w:rPr>
          <w:rFonts w:hint="eastAsia" w:asciiTheme="minorEastAsia" w:hAnsiTheme="minorEastAsia" w:eastAsiaTheme="minorEastAsia" w:cstheme="minorEastAsia"/>
          <w:b w:val="0"/>
          <w:bCs w:val="0"/>
          <w:snapToGrid/>
          <w:spacing w:val="0"/>
          <w:kern w:val="21"/>
          <w:sz w:val="24"/>
          <w:szCs w:val="24"/>
          <w:highlight w:val="none"/>
          <w:lang w:eastAsia="zh-CN"/>
        </w:rPr>
        <w:t>1年（具体以合同签订日期为准）</w:t>
      </w:r>
    </w:p>
    <w:p w14:paraId="1A4F9B07">
      <w:pPr>
        <w:keepNext w:val="0"/>
        <w:keepLines w:val="0"/>
        <w:pageBreakBefore w:val="0"/>
        <w:widowControl w:val="0"/>
        <w:shd w:val="clear"/>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7.本项目是否接受联合体：</w:t>
      </w: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 xml:space="preserve">是  </w:t>
      </w: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否。</w:t>
      </w:r>
    </w:p>
    <w:p w14:paraId="32C5CFC5">
      <w:pPr>
        <w:keepNext w:val="0"/>
        <w:keepLines w:val="0"/>
        <w:pageBreakBefore w:val="0"/>
        <w:widowControl w:val="0"/>
        <w:kinsoku/>
        <w:wordWrap w:val="0"/>
        <w:overflowPunct/>
        <w:topLinePunct/>
        <w:autoSpaceDE/>
        <w:autoSpaceDN/>
        <w:bidi w:val="0"/>
        <w:spacing w:before="0"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bookmarkStart w:id="8" w:name="_Toc28359003"/>
      <w:bookmarkStart w:id="9" w:name="_Toc28359080"/>
      <w:bookmarkStart w:id="10" w:name="_Toc35393791"/>
      <w:bookmarkStart w:id="11" w:name="_Toc35393622"/>
      <w:r>
        <w:rPr>
          <w:rFonts w:hint="eastAsia" w:asciiTheme="minorEastAsia" w:hAnsiTheme="minorEastAsia" w:eastAsiaTheme="minorEastAsia" w:cstheme="minorEastAsia"/>
          <w:b w:val="0"/>
          <w:bCs w:val="0"/>
          <w:snapToGrid/>
          <w:spacing w:val="0"/>
          <w:kern w:val="21"/>
          <w:sz w:val="24"/>
          <w:szCs w:val="24"/>
          <w:highlight w:val="none"/>
        </w:rPr>
        <w:t>二、申请人的资格要求（须同时满足）</w:t>
      </w:r>
      <w:bookmarkEnd w:id="8"/>
      <w:bookmarkEnd w:id="9"/>
      <w:bookmarkEnd w:id="10"/>
      <w:bookmarkEnd w:id="11"/>
    </w:p>
    <w:p w14:paraId="64F7C5CF">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1.满足《中华人民共和国政府采购法》第二十二条规定；</w:t>
      </w:r>
    </w:p>
    <w:p w14:paraId="656D489C">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bookmarkStart w:id="12" w:name="_Toc28359081"/>
      <w:bookmarkStart w:id="13" w:name="_Toc28359004"/>
      <w:r>
        <w:rPr>
          <w:rFonts w:hint="eastAsia" w:asciiTheme="minorEastAsia" w:hAnsiTheme="minorEastAsia" w:eastAsiaTheme="minorEastAsia" w:cstheme="minorEastAsia"/>
          <w:b w:val="0"/>
          <w:bCs w:val="0"/>
          <w:snapToGrid/>
          <w:spacing w:val="0"/>
          <w:kern w:val="21"/>
          <w:sz w:val="24"/>
          <w:szCs w:val="24"/>
          <w:highlight w:val="none"/>
        </w:rPr>
        <w:t>2.落实政府采购政策需满足的资格要求：</w:t>
      </w:r>
    </w:p>
    <w:p w14:paraId="13FD33A9">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2.1中小企业政策</w:t>
      </w:r>
    </w:p>
    <w:p w14:paraId="2563C092">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本项目不专门面向中小企业预留采购份额。</w:t>
      </w:r>
    </w:p>
    <w:p w14:paraId="4939818A">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 xml:space="preserve">本项目专门面向  </w:t>
      </w: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中</w:t>
      </w:r>
      <w:r>
        <w:rPr>
          <w:rFonts w:hint="eastAsia" w:asciiTheme="minorEastAsia" w:hAnsiTheme="minorEastAsia" w:eastAsiaTheme="minorEastAsia" w:cstheme="minorEastAsia"/>
          <w:b w:val="0"/>
          <w:bCs w:val="0"/>
          <w:snapToGrid/>
          <w:color w:val="auto"/>
          <w:spacing w:val="0"/>
          <w:kern w:val="21"/>
          <w:sz w:val="24"/>
          <w:szCs w:val="24"/>
          <w:highlight w:val="none"/>
        </w:rPr>
        <w:t>小</w:t>
      </w: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 xml:space="preserve"> </w:t>
      </w:r>
      <w:r>
        <w:rPr>
          <w:rFonts w:hint="eastAsia" w:asciiTheme="minorEastAsia" w:hAnsiTheme="minorEastAsia" w:eastAsiaTheme="minorEastAsia" w:cstheme="minorEastAsia"/>
          <w:b w:val="0"/>
          <w:bCs w:val="0"/>
          <w:snapToGrid/>
          <w:color w:val="auto"/>
          <w:spacing w:val="0"/>
          <w:kern w:val="21"/>
          <w:sz w:val="24"/>
          <w:szCs w:val="24"/>
          <w:highlight w:val="none"/>
        </w:rPr>
        <w:t xml:space="preserve"> </w:t>
      </w: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color w:val="auto"/>
          <w:spacing w:val="0"/>
          <w:kern w:val="21"/>
          <w:sz w:val="24"/>
          <w:szCs w:val="24"/>
          <w:highlight w:val="none"/>
        </w:rPr>
        <w:t>小微企业  采</w:t>
      </w:r>
      <w:r>
        <w:rPr>
          <w:rFonts w:hint="eastAsia" w:asciiTheme="minorEastAsia" w:hAnsiTheme="minorEastAsia" w:eastAsiaTheme="minorEastAsia" w:cstheme="minorEastAsia"/>
          <w:b w:val="0"/>
          <w:bCs w:val="0"/>
          <w:snapToGrid/>
          <w:spacing w:val="0"/>
          <w:kern w:val="21"/>
          <w:sz w:val="24"/>
          <w:szCs w:val="24"/>
          <w:highlight w:val="none"/>
        </w:rPr>
        <w:t>购。即：提供的货物全部由符合政策要求的中小/小微企业制造、服务全部由符合政策要求的中小/小微企业承接。</w:t>
      </w:r>
    </w:p>
    <w:p w14:paraId="7342AF93">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rPr>
        <w:t>。</w:t>
      </w:r>
    </w:p>
    <w:p w14:paraId="37A0DA27">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2.2其它落实政府采购政策的资格要求（如有）：</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rPr>
        <w:t>。</w:t>
      </w:r>
    </w:p>
    <w:p w14:paraId="4E7C9CF4">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i/>
          <w:iCs/>
          <w:snapToGrid/>
          <w:spacing w:val="0"/>
          <w:kern w:val="21"/>
          <w:sz w:val="24"/>
          <w:szCs w:val="24"/>
          <w:highlight w:val="none"/>
          <w:u w:val="single"/>
        </w:rPr>
      </w:pPr>
      <w:r>
        <w:rPr>
          <w:rFonts w:hint="eastAsia" w:asciiTheme="minorEastAsia" w:hAnsiTheme="minorEastAsia" w:eastAsiaTheme="minorEastAsia" w:cstheme="minorEastAsia"/>
          <w:b w:val="0"/>
          <w:bCs w:val="0"/>
          <w:snapToGrid/>
          <w:spacing w:val="0"/>
          <w:kern w:val="21"/>
          <w:sz w:val="24"/>
          <w:szCs w:val="24"/>
          <w:highlight w:val="none"/>
        </w:rPr>
        <w:t>3.本项目的特定资格要求：</w:t>
      </w:r>
    </w:p>
    <w:p w14:paraId="7F8124A1">
      <w:pPr>
        <w:keepNext w:val="0"/>
        <w:keepLines w:val="0"/>
        <w:pageBreakBefore w:val="0"/>
        <w:widowControl w:val="0"/>
        <w:tabs>
          <w:tab w:val="left" w:pos="900"/>
          <w:tab w:val="left" w:pos="1134"/>
          <w:tab w:val="left" w:pos="1589"/>
          <w:tab w:val="left" w:pos="5521"/>
        </w:tabs>
        <w:kinsoku/>
        <w:wordWrap w:val="0"/>
        <w:overflowPunct/>
        <w:topLinePunct/>
        <w:autoSpaceDE/>
        <w:autoSpaceDN/>
        <w:bidi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3.1本项目是否属于政府购买服务：</w:t>
      </w:r>
    </w:p>
    <w:p w14:paraId="0F7E3947">
      <w:pPr>
        <w:keepNext w:val="0"/>
        <w:keepLines w:val="0"/>
        <w:pageBreakBefore w:val="0"/>
        <w:widowControl w:val="0"/>
        <w:tabs>
          <w:tab w:val="left" w:pos="900"/>
          <w:tab w:val="left" w:pos="1134"/>
          <w:tab w:val="left" w:pos="1589"/>
          <w:tab w:val="left" w:pos="5521"/>
        </w:tabs>
        <w:kinsoku/>
        <w:wordWrap w:val="0"/>
        <w:overflowPunct/>
        <w:topLinePunct/>
        <w:autoSpaceDE/>
        <w:autoSpaceDN/>
        <w:bidi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否</w:t>
      </w:r>
    </w:p>
    <w:p w14:paraId="4DC6491F">
      <w:pPr>
        <w:keepNext w:val="0"/>
        <w:keepLines w:val="0"/>
        <w:pageBreakBefore w:val="0"/>
        <w:widowControl w:val="0"/>
        <w:tabs>
          <w:tab w:val="left" w:pos="900"/>
          <w:tab w:val="left" w:pos="1134"/>
          <w:tab w:val="left" w:pos="1589"/>
          <w:tab w:val="left" w:pos="5521"/>
        </w:tabs>
        <w:kinsoku/>
        <w:wordWrap w:val="0"/>
        <w:overflowPunct/>
        <w:topLinePunct/>
        <w:autoSpaceDE/>
        <w:autoSpaceDN/>
        <w:bidi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是，公益一类事业单位、使用事业编制且由财政拨款保障的群团组织，不得作为承接主体；</w:t>
      </w:r>
    </w:p>
    <w:p w14:paraId="08015070">
      <w:pPr>
        <w:keepNext w:val="0"/>
        <w:keepLines w:val="0"/>
        <w:pageBreakBefore w:val="0"/>
        <w:widowControl w:val="0"/>
        <w:tabs>
          <w:tab w:val="left" w:pos="900"/>
          <w:tab w:val="left" w:pos="1134"/>
          <w:tab w:val="left" w:pos="1589"/>
          <w:tab w:val="left" w:pos="5521"/>
        </w:tabs>
        <w:kinsoku/>
        <w:wordWrap w:val="0"/>
        <w:overflowPunct/>
        <w:topLinePunct/>
        <w:autoSpaceDE/>
        <w:autoSpaceDN/>
        <w:bidi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rPr>
        <w:t>3.2其他特定资格要求：</w:t>
      </w:r>
      <w:bookmarkEnd w:id="12"/>
      <w:bookmarkEnd w:id="13"/>
      <w:bookmarkStart w:id="14" w:name="_Toc35393792"/>
      <w:bookmarkStart w:id="15" w:name="_Toc35393623"/>
      <w:r>
        <w:rPr>
          <w:rFonts w:hint="eastAsia" w:asciiTheme="minorEastAsia" w:hAnsiTheme="minorEastAsia" w:eastAsiaTheme="minorEastAsia" w:cstheme="minorEastAsia"/>
          <w:b w:val="0"/>
          <w:bCs w:val="0"/>
          <w:snapToGrid/>
          <w:spacing w:val="0"/>
          <w:kern w:val="21"/>
          <w:sz w:val="24"/>
          <w:szCs w:val="24"/>
          <w:highlight w:val="none"/>
          <w:lang w:val="en-US" w:eastAsia="zh-CN"/>
        </w:rPr>
        <w:t>/</w:t>
      </w:r>
    </w:p>
    <w:p w14:paraId="1F903B6F">
      <w:pPr>
        <w:pStyle w:val="35"/>
        <w:keepNext w:val="0"/>
        <w:keepLines w:val="0"/>
        <w:pageBreakBefore w:val="0"/>
        <w:widowControl w:val="0"/>
        <w:kinsoku/>
        <w:wordWrap w:val="0"/>
        <w:overflowPunct/>
        <w:topLinePunct/>
        <w:autoSpaceDE/>
        <w:autoSpaceDN/>
        <w:bidi w:val="0"/>
        <w:spacing w:line="360" w:lineRule="auto"/>
        <w:ind w:left="410" w:hanging="41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三、获取采购文件</w:t>
      </w:r>
      <w:bookmarkEnd w:id="14"/>
      <w:bookmarkEnd w:id="15"/>
    </w:p>
    <w:p w14:paraId="121F3FC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1.时间：</w:t>
      </w:r>
      <w:r>
        <w:rPr>
          <w:rFonts w:hint="eastAsia" w:asciiTheme="minorEastAsia" w:hAnsiTheme="minorEastAsia" w:eastAsiaTheme="minorEastAsia" w:cstheme="minorEastAsia"/>
          <w:b w:val="0"/>
          <w:bCs w:val="0"/>
          <w:snapToGrid/>
          <w:spacing w:val="0"/>
          <w:kern w:val="21"/>
          <w:sz w:val="24"/>
          <w:szCs w:val="24"/>
          <w:highlight w:val="none"/>
          <w:u w:val="single"/>
        </w:rPr>
        <w:t>202</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6</w:t>
      </w:r>
      <w:r>
        <w:rPr>
          <w:rFonts w:hint="eastAsia" w:asciiTheme="minorEastAsia" w:hAnsiTheme="minorEastAsia" w:eastAsiaTheme="minorEastAsia" w:cstheme="minorEastAsia"/>
          <w:b w:val="0"/>
          <w:bCs w:val="0"/>
          <w:snapToGrid/>
          <w:spacing w:val="0"/>
          <w:kern w:val="21"/>
          <w:sz w:val="24"/>
          <w:szCs w:val="24"/>
          <w:highlight w:val="none"/>
          <w:lang w:bidi="ar"/>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bidi="ar"/>
        </w:rPr>
        <w:t xml:space="preserve"> 8 </w:t>
      </w:r>
      <w:r>
        <w:rPr>
          <w:rFonts w:hint="eastAsia" w:asciiTheme="minorEastAsia" w:hAnsiTheme="minorEastAsia" w:eastAsiaTheme="minorEastAsia" w:cstheme="minorEastAsia"/>
          <w:b w:val="0"/>
          <w:bCs w:val="0"/>
          <w:snapToGrid/>
          <w:spacing w:val="0"/>
          <w:kern w:val="21"/>
          <w:sz w:val="24"/>
          <w:szCs w:val="24"/>
          <w:highlight w:val="none"/>
          <w:lang w:bidi="ar"/>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bidi="ar"/>
        </w:rPr>
        <w:t xml:space="preserve"> 5 </w:t>
      </w:r>
      <w:r>
        <w:rPr>
          <w:rFonts w:hint="eastAsia" w:asciiTheme="minorEastAsia" w:hAnsiTheme="minorEastAsia" w:eastAsiaTheme="minorEastAsia" w:cstheme="minorEastAsia"/>
          <w:b w:val="0"/>
          <w:bCs w:val="0"/>
          <w:snapToGrid/>
          <w:spacing w:val="0"/>
          <w:kern w:val="21"/>
          <w:sz w:val="24"/>
          <w:szCs w:val="24"/>
          <w:highlight w:val="none"/>
          <w:lang w:bidi="ar"/>
        </w:rPr>
        <w:t>日至</w:t>
      </w:r>
      <w:r>
        <w:rPr>
          <w:rFonts w:hint="eastAsia" w:asciiTheme="minorEastAsia" w:hAnsiTheme="minorEastAsia" w:eastAsiaTheme="minorEastAsia" w:cstheme="minorEastAsia"/>
          <w:b w:val="0"/>
          <w:bCs w:val="0"/>
          <w:snapToGrid/>
          <w:spacing w:val="0"/>
          <w:kern w:val="21"/>
          <w:sz w:val="24"/>
          <w:szCs w:val="24"/>
          <w:highlight w:val="none"/>
          <w:u w:val="single"/>
        </w:rPr>
        <w:t>202</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6</w:t>
      </w:r>
      <w:r>
        <w:rPr>
          <w:rFonts w:hint="eastAsia" w:asciiTheme="minorEastAsia" w:hAnsiTheme="minorEastAsia" w:eastAsiaTheme="minorEastAsia" w:cstheme="minorEastAsia"/>
          <w:b w:val="0"/>
          <w:bCs w:val="0"/>
          <w:snapToGrid/>
          <w:spacing w:val="0"/>
          <w:kern w:val="21"/>
          <w:sz w:val="24"/>
          <w:szCs w:val="24"/>
          <w:highlight w:val="none"/>
          <w:lang w:bidi="ar"/>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bidi="ar"/>
        </w:rPr>
        <w:t xml:space="preserve"> 8 </w:t>
      </w:r>
      <w:r>
        <w:rPr>
          <w:rFonts w:hint="eastAsia" w:asciiTheme="minorEastAsia" w:hAnsiTheme="minorEastAsia" w:eastAsiaTheme="minorEastAsia" w:cstheme="minorEastAsia"/>
          <w:b w:val="0"/>
          <w:bCs w:val="0"/>
          <w:snapToGrid/>
          <w:spacing w:val="0"/>
          <w:kern w:val="21"/>
          <w:sz w:val="24"/>
          <w:szCs w:val="24"/>
          <w:highlight w:val="none"/>
          <w:lang w:bidi="ar"/>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bidi="ar"/>
        </w:rPr>
        <w:t xml:space="preserve"> 11 </w:t>
      </w:r>
      <w:r>
        <w:rPr>
          <w:rFonts w:hint="eastAsia" w:asciiTheme="minorEastAsia" w:hAnsiTheme="minorEastAsia" w:eastAsiaTheme="minorEastAsia" w:cstheme="minorEastAsia"/>
          <w:b w:val="0"/>
          <w:bCs w:val="0"/>
          <w:snapToGrid/>
          <w:spacing w:val="0"/>
          <w:kern w:val="21"/>
          <w:sz w:val="24"/>
          <w:szCs w:val="24"/>
          <w:highlight w:val="none"/>
          <w:lang w:bidi="ar"/>
        </w:rPr>
        <w:t>日，每天上午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09</w:t>
      </w:r>
      <w:r>
        <w:rPr>
          <w:rFonts w:hint="eastAsia" w:asciiTheme="minorEastAsia" w:hAnsiTheme="minorEastAsia" w:eastAsiaTheme="minorEastAsia" w:cstheme="minorEastAsia"/>
          <w:b w:val="0"/>
          <w:bCs w:val="0"/>
          <w:snapToGrid/>
          <w:spacing w:val="0"/>
          <w:kern w:val="21"/>
          <w:sz w:val="24"/>
          <w:szCs w:val="24"/>
          <w:highlight w:val="none"/>
          <w:u w:val="single"/>
          <w:lang w:eastAsia="zh-CN"/>
        </w:rPr>
        <w:t>：</w:t>
      </w:r>
      <w:r>
        <w:rPr>
          <w:rFonts w:hint="eastAsia" w:asciiTheme="minorEastAsia" w:hAnsiTheme="minorEastAsia" w:eastAsiaTheme="minorEastAsia" w:cstheme="minorEastAsia"/>
          <w:b w:val="0"/>
          <w:bCs w:val="0"/>
          <w:snapToGrid/>
          <w:spacing w:val="0"/>
          <w:kern w:val="21"/>
          <w:sz w:val="24"/>
          <w:szCs w:val="24"/>
          <w:highlight w:val="none"/>
          <w:u w:val="single"/>
        </w:rPr>
        <w:t>00</w:t>
      </w:r>
      <w:r>
        <w:rPr>
          <w:rFonts w:hint="eastAsia" w:asciiTheme="minorEastAsia" w:hAnsiTheme="minorEastAsia" w:eastAsiaTheme="minorEastAsia" w:cstheme="minorEastAsia"/>
          <w:b w:val="0"/>
          <w:bCs w:val="0"/>
          <w:snapToGrid/>
          <w:spacing w:val="0"/>
          <w:kern w:val="21"/>
          <w:sz w:val="24"/>
          <w:szCs w:val="24"/>
          <w:highlight w:val="none"/>
          <w:lang w:bidi="ar"/>
        </w:rPr>
        <w:t>至</w:t>
      </w:r>
      <w:r>
        <w:rPr>
          <w:rFonts w:hint="eastAsia" w:asciiTheme="minorEastAsia" w:hAnsiTheme="minorEastAsia" w:eastAsiaTheme="minorEastAsia" w:cstheme="minorEastAsia"/>
          <w:b w:val="0"/>
          <w:bCs w:val="0"/>
          <w:snapToGrid/>
          <w:spacing w:val="0"/>
          <w:kern w:val="21"/>
          <w:sz w:val="24"/>
          <w:szCs w:val="24"/>
          <w:highlight w:val="none"/>
          <w:u w:val="single"/>
        </w:rPr>
        <w:t>12</w:t>
      </w:r>
      <w:r>
        <w:rPr>
          <w:rFonts w:hint="eastAsia" w:asciiTheme="minorEastAsia" w:hAnsiTheme="minorEastAsia" w:eastAsiaTheme="minorEastAsia" w:cstheme="minorEastAsia"/>
          <w:b w:val="0"/>
          <w:bCs w:val="0"/>
          <w:snapToGrid/>
          <w:spacing w:val="0"/>
          <w:kern w:val="21"/>
          <w:sz w:val="24"/>
          <w:szCs w:val="24"/>
          <w:highlight w:val="none"/>
          <w:u w:val="single"/>
          <w:lang w:eastAsia="zh-CN"/>
        </w:rPr>
        <w:t>：</w:t>
      </w:r>
      <w:r>
        <w:rPr>
          <w:rFonts w:hint="eastAsia" w:asciiTheme="minorEastAsia" w:hAnsiTheme="minorEastAsia" w:eastAsiaTheme="minorEastAsia" w:cstheme="minorEastAsia"/>
          <w:b w:val="0"/>
          <w:bCs w:val="0"/>
          <w:snapToGrid/>
          <w:spacing w:val="0"/>
          <w:kern w:val="21"/>
          <w:sz w:val="24"/>
          <w:szCs w:val="24"/>
          <w:highlight w:val="none"/>
          <w:u w:val="single"/>
        </w:rPr>
        <w:t>00</w:t>
      </w:r>
      <w:r>
        <w:rPr>
          <w:rFonts w:hint="eastAsia" w:asciiTheme="minorEastAsia" w:hAnsiTheme="minorEastAsia" w:eastAsiaTheme="minorEastAsia" w:cstheme="minorEastAsia"/>
          <w:b w:val="0"/>
          <w:bCs w:val="0"/>
          <w:snapToGrid/>
          <w:spacing w:val="0"/>
          <w:kern w:val="21"/>
          <w:sz w:val="24"/>
          <w:szCs w:val="24"/>
          <w:highlight w:val="none"/>
          <w:lang w:bidi="ar"/>
        </w:rPr>
        <w:t>，下午</w:t>
      </w:r>
      <w:r>
        <w:rPr>
          <w:rFonts w:hint="eastAsia" w:asciiTheme="minorEastAsia" w:hAnsiTheme="minorEastAsia" w:eastAsiaTheme="minorEastAsia" w:cstheme="minorEastAsia"/>
          <w:b w:val="0"/>
          <w:bCs w:val="0"/>
          <w:snapToGrid/>
          <w:spacing w:val="0"/>
          <w:kern w:val="21"/>
          <w:sz w:val="24"/>
          <w:szCs w:val="24"/>
          <w:highlight w:val="none"/>
          <w:u w:val="single"/>
        </w:rPr>
        <w:t>12</w:t>
      </w:r>
      <w:r>
        <w:rPr>
          <w:rFonts w:hint="eastAsia" w:asciiTheme="minorEastAsia" w:hAnsiTheme="minorEastAsia" w:eastAsiaTheme="minorEastAsia" w:cstheme="minorEastAsia"/>
          <w:b w:val="0"/>
          <w:bCs w:val="0"/>
          <w:snapToGrid/>
          <w:spacing w:val="0"/>
          <w:kern w:val="21"/>
          <w:sz w:val="24"/>
          <w:szCs w:val="24"/>
          <w:highlight w:val="none"/>
          <w:u w:val="single"/>
          <w:lang w:eastAsia="zh-CN"/>
        </w:rPr>
        <w:t>：</w:t>
      </w:r>
      <w:r>
        <w:rPr>
          <w:rFonts w:hint="eastAsia" w:asciiTheme="minorEastAsia" w:hAnsiTheme="minorEastAsia" w:eastAsiaTheme="minorEastAsia" w:cstheme="minorEastAsia"/>
          <w:b w:val="0"/>
          <w:bCs w:val="0"/>
          <w:snapToGrid/>
          <w:spacing w:val="0"/>
          <w:kern w:val="21"/>
          <w:sz w:val="24"/>
          <w:szCs w:val="24"/>
          <w:highlight w:val="none"/>
          <w:u w:val="single"/>
        </w:rPr>
        <w:t>00</w:t>
      </w:r>
      <w:r>
        <w:rPr>
          <w:rFonts w:hint="eastAsia" w:asciiTheme="minorEastAsia" w:hAnsiTheme="minorEastAsia" w:eastAsiaTheme="minorEastAsia" w:cstheme="minorEastAsia"/>
          <w:b w:val="0"/>
          <w:bCs w:val="0"/>
          <w:snapToGrid/>
          <w:spacing w:val="0"/>
          <w:kern w:val="21"/>
          <w:sz w:val="24"/>
          <w:szCs w:val="24"/>
          <w:highlight w:val="none"/>
          <w:lang w:bidi="ar"/>
        </w:rPr>
        <w:t>至</w:t>
      </w:r>
      <w:r>
        <w:rPr>
          <w:rFonts w:hint="eastAsia" w:asciiTheme="minorEastAsia" w:hAnsiTheme="minorEastAsia" w:eastAsiaTheme="minorEastAsia" w:cstheme="minorEastAsia"/>
          <w:b w:val="0"/>
          <w:bCs w:val="0"/>
          <w:snapToGrid/>
          <w:spacing w:val="0"/>
          <w:kern w:val="21"/>
          <w:sz w:val="24"/>
          <w:szCs w:val="24"/>
          <w:highlight w:val="none"/>
          <w:u w:val="single"/>
        </w:rPr>
        <w:t>17</w:t>
      </w:r>
      <w:r>
        <w:rPr>
          <w:rFonts w:hint="eastAsia" w:asciiTheme="minorEastAsia" w:hAnsiTheme="minorEastAsia" w:eastAsiaTheme="minorEastAsia" w:cstheme="minorEastAsia"/>
          <w:b w:val="0"/>
          <w:bCs w:val="0"/>
          <w:snapToGrid/>
          <w:spacing w:val="0"/>
          <w:kern w:val="21"/>
          <w:sz w:val="24"/>
          <w:szCs w:val="24"/>
          <w:highlight w:val="none"/>
          <w:u w:val="single"/>
          <w:lang w:eastAsia="zh-CN"/>
        </w:rPr>
        <w:t>：</w:t>
      </w:r>
      <w:r>
        <w:rPr>
          <w:rFonts w:hint="eastAsia" w:asciiTheme="minorEastAsia" w:hAnsiTheme="minorEastAsia" w:eastAsiaTheme="minorEastAsia" w:cstheme="minorEastAsia"/>
          <w:b w:val="0"/>
          <w:bCs w:val="0"/>
          <w:snapToGrid/>
          <w:spacing w:val="0"/>
          <w:kern w:val="21"/>
          <w:sz w:val="24"/>
          <w:szCs w:val="24"/>
          <w:highlight w:val="none"/>
          <w:u w:val="single"/>
        </w:rPr>
        <w:t>00</w:t>
      </w:r>
      <w:r>
        <w:rPr>
          <w:rFonts w:hint="eastAsia" w:asciiTheme="minorEastAsia" w:hAnsiTheme="minorEastAsia" w:eastAsiaTheme="minorEastAsia" w:cstheme="minorEastAsia"/>
          <w:b w:val="0"/>
          <w:bCs w:val="0"/>
          <w:snapToGrid/>
          <w:spacing w:val="0"/>
          <w:kern w:val="21"/>
          <w:sz w:val="24"/>
          <w:szCs w:val="24"/>
          <w:highlight w:val="none"/>
          <w:lang w:bidi="ar"/>
        </w:rPr>
        <w:t>（北京时间）。</w:t>
      </w:r>
    </w:p>
    <w:p w14:paraId="00594C8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bidi="ar"/>
        </w:rPr>
        <w:t>2.地点：北京市政府采购电子交易平台（http</w:t>
      </w:r>
      <w:r>
        <w:rPr>
          <w:rFonts w:hint="eastAsia" w:asciiTheme="minorEastAsia" w:hAnsiTheme="minorEastAsia" w:eastAsiaTheme="minorEastAsia" w:cstheme="minorEastAsia"/>
          <w:b w:val="0"/>
          <w:bCs w:val="0"/>
          <w:snapToGrid/>
          <w:spacing w:val="0"/>
          <w:kern w:val="21"/>
          <w:sz w:val="24"/>
          <w:szCs w:val="24"/>
          <w:highlight w:val="none"/>
          <w:lang w:eastAsia="zh-CN" w:bidi="ar"/>
        </w:rPr>
        <w:t>：</w:t>
      </w:r>
      <w:r>
        <w:rPr>
          <w:rFonts w:hint="eastAsia" w:asciiTheme="minorEastAsia" w:hAnsiTheme="minorEastAsia" w:eastAsiaTheme="minorEastAsia" w:cstheme="minorEastAsia"/>
          <w:b w:val="0"/>
          <w:bCs w:val="0"/>
          <w:snapToGrid/>
          <w:spacing w:val="0"/>
          <w:kern w:val="21"/>
          <w:sz w:val="24"/>
          <w:szCs w:val="24"/>
          <w:highlight w:val="none"/>
          <w:lang w:bidi="ar"/>
        </w:rPr>
        <w:t>//zbcg-bjzc.zhongcy.com/bjczj-portal-site/index.html#/home）</w:t>
      </w:r>
    </w:p>
    <w:p w14:paraId="1347960E">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3.方式：供应商使用CA数字证书或电子营业执照登录北京市政府采购电子交易平</w:t>
      </w:r>
    </w:p>
    <w:p w14:paraId="6478C21E">
      <w:pPr>
        <w:keepNext w:val="0"/>
        <w:keepLines w:val="0"/>
        <w:pageBreakBefore w:val="0"/>
        <w:widowControl w:val="0"/>
        <w:kinsoku/>
        <w:wordWrap w:val="0"/>
        <w:overflowPunct/>
        <w:topLinePunct/>
        <w:autoSpaceDE/>
        <w:autoSpaceDN/>
        <w:bidi w:val="0"/>
        <w:adjustRightInd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台（http</w:t>
      </w:r>
      <w:r>
        <w:rPr>
          <w:rFonts w:hint="eastAsia" w:asciiTheme="minorEastAsia" w:hAnsiTheme="minorEastAsia" w:eastAsiaTheme="minorEastAsia" w:cstheme="minorEastAsia"/>
          <w:b w:val="0"/>
          <w:bCs w:val="0"/>
          <w:snapToGrid/>
          <w:spacing w:val="0"/>
          <w:kern w:val="21"/>
          <w:sz w:val="24"/>
          <w:szCs w:val="24"/>
          <w:highlight w:val="none"/>
          <w:lang w:eastAsia="zh-CN" w:bidi="ar"/>
        </w:rPr>
        <w:t>：</w:t>
      </w:r>
      <w:r>
        <w:rPr>
          <w:rFonts w:hint="eastAsia" w:asciiTheme="minorEastAsia" w:hAnsiTheme="minorEastAsia" w:eastAsiaTheme="minorEastAsia" w:cstheme="minorEastAsia"/>
          <w:b w:val="0"/>
          <w:bCs w:val="0"/>
          <w:snapToGrid/>
          <w:spacing w:val="0"/>
          <w:kern w:val="21"/>
          <w:sz w:val="24"/>
          <w:szCs w:val="24"/>
          <w:highlight w:val="none"/>
          <w:lang w:bidi="ar"/>
        </w:rPr>
        <w:t>//zbcg-bjzc.zhongcy.com/bjczj-portal-site/index.html#/home）获取电子版竞争性磋商文件。</w:t>
      </w:r>
    </w:p>
    <w:p w14:paraId="0CB9B81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bidi="ar"/>
        </w:rPr>
        <w:t>4.售价：0元。</w:t>
      </w:r>
    </w:p>
    <w:p w14:paraId="60C28414">
      <w:pPr>
        <w:keepNext w:val="0"/>
        <w:keepLines w:val="0"/>
        <w:pageBreakBefore w:val="0"/>
        <w:widowControl w:val="0"/>
        <w:kinsoku/>
        <w:wordWrap w:val="0"/>
        <w:overflowPunct/>
        <w:topLinePunct/>
        <w:autoSpaceDE/>
        <w:autoSpaceDN/>
        <w:bidi w:val="0"/>
        <w:spacing w:before="0"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bookmarkStart w:id="16" w:name="_Toc35393624"/>
      <w:bookmarkStart w:id="17" w:name="_Toc28359005"/>
      <w:bookmarkStart w:id="18" w:name="_Toc35393793"/>
      <w:bookmarkStart w:id="19" w:name="_Toc28359082"/>
      <w:r>
        <w:rPr>
          <w:rFonts w:hint="eastAsia" w:asciiTheme="minorEastAsia" w:hAnsiTheme="minorEastAsia" w:eastAsiaTheme="minorEastAsia" w:cstheme="minorEastAsia"/>
          <w:b w:val="0"/>
          <w:bCs w:val="0"/>
          <w:snapToGrid/>
          <w:spacing w:val="0"/>
          <w:kern w:val="21"/>
          <w:sz w:val="24"/>
          <w:szCs w:val="24"/>
          <w:highlight w:val="none"/>
        </w:rPr>
        <w:t>四、</w:t>
      </w:r>
      <w:bookmarkEnd w:id="16"/>
      <w:bookmarkEnd w:id="17"/>
      <w:bookmarkEnd w:id="18"/>
      <w:bookmarkEnd w:id="19"/>
      <w:r>
        <w:rPr>
          <w:rFonts w:hint="eastAsia" w:asciiTheme="minorEastAsia" w:hAnsiTheme="minorEastAsia" w:eastAsiaTheme="minorEastAsia" w:cstheme="minorEastAsia"/>
          <w:b w:val="0"/>
          <w:bCs w:val="0"/>
          <w:snapToGrid/>
          <w:spacing w:val="0"/>
          <w:kern w:val="21"/>
          <w:sz w:val="24"/>
          <w:szCs w:val="24"/>
          <w:highlight w:val="none"/>
        </w:rPr>
        <w:t>响应文件提交</w:t>
      </w:r>
    </w:p>
    <w:p w14:paraId="6CC58485">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u w:val="single"/>
        </w:rPr>
      </w:pPr>
      <w:r>
        <w:rPr>
          <w:rFonts w:hint="eastAsia" w:asciiTheme="minorEastAsia" w:hAnsiTheme="minorEastAsia" w:eastAsiaTheme="minorEastAsia" w:cstheme="minorEastAsia"/>
          <w:b w:val="0"/>
          <w:bCs w:val="0"/>
          <w:snapToGrid/>
          <w:spacing w:val="0"/>
          <w:kern w:val="21"/>
          <w:sz w:val="24"/>
          <w:szCs w:val="24"/>
          <w:highlight w:val="none"/>
          <w:lang w:bidi="ar"/>
        </w:rPr>
        <w:t>截止时间：</w:t>
      </w:r>
      <w:r>
        <w:rPr>
          <w:rFonts w:hint="eastAsia" w:asciiTheme="minorEastAsia" w:hAnsiTheme="minorEastAsia" w:eastAsiaTheme="minorEastAsia" w:cstheme="minorEastAsia"/>
          <w:b w:val="0"/>
          <w:bCs w:val="0"/>
          <w:snapToGrid/>
          <w:spacing w:val="0"/>
          <w:kern w:val="21"/>
          <w:sz w:val="24"/>
          <w:szCs w:val="24"/>
          <w:highlight w:val="none"/>
          <w:u w:val="single"/>
        </w:rPr>
        <w:t>202</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6</w:t>
      </w:r>
      <w:r>
        <w:rPr>
          <w:rFonts w:hint="eastAsia" w:asciiTheme="minorEastAsia" w:hAnsiTheme="minorEastAsia" w:eastAsiaTheme="minorEastAsia" w:cstheme="minorEastAsia"/>
          <w:b w:val="0"/>
          <w:bCs w:val="0"/>
          <w:snapToGrid/>
          <w:spacing w:val="0"/>
          <w:kern w:val="21"/>
          <w:sz w:val="24"/>
          <w:szCs w:val="24"/>
          <w:highlight w:val="none"/>
          <w:lang w:bidi="ar"/>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bidi="ar"/>
        </w:rPr>
        <w:t xml:space="preserve"> 8 </w:t>
      </w:r>
      <w:r>
        <w:rPr>
          <w:rFonts w:hint="eastAsia" w:asciiTheme="minorEastAsia" w:hAnsiTheme="minorEastAsia" w:eastAsiaTheme="minorEastAsia" w:cstheme="minorEastAsia"/>
          <w:b w:val="0"/>
          <w:bCs w:val="0"/>
          <w:snapToGrid/>
          <w:spacing w:val="0"/>
          <w:kern w:val="21"/>
          <w:sz w:val="24"/>
          <w:szCs w:val="24"/>
          <w:highlight w:val="none"/>
          <w:lang w:bidi="ar"/>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bidi="ar"/>
        </w:rPr>
        <w:t xml:space="preserve"> 20 </w:t>
      </w:r>
      <w:r>
        <w:rPr>
          <w:rFonts w:hint="eastAsia" w:asciiTheme="minorEastAsia" w:hAnsiTheme="minorEastAsia" w:eastAsiaTheme="minorEastAsia" w:cstheme="minorEastAsia"/>
          <w:b w:val="0"/>
          <w:bCs w:val="0"/>
          <w:snapToGrid/>
          <w:spacing w:val="0"/>
          <w:kern w:val="21"/>
          <w:sz w:val="24"/>
          <w:szCs w:val="24"/>
          <w:highlight w:val="none"/>
          <w:lang w:bidi="ar"/>
        </w:rPr>
        <w:t>日</w:t>
      </w:r>
      <w:r>
        <w:rPr>
          <w:rFonts w:hint="eastAsia" w:asciiTheme="minorEastAsia" w:hAnsiTheme="minorEastAsia" w:eastAsiaTheme="minorEastAsia" w:cstheme="minorEastAsia"/>
          <w:b w:val="0"/>
          <w:bCs w:val="0"/>
          <w:snapToGrid/>
          <w:spacing w:val="0"/>
          <w:kern w:val="21"/>
          <w:sz w:val="24"/>
          <w:szCs w:val="24"/>
          <w:highlight w:val="none"/>
          <w:u w:val="single"/>
          <w:lang w:bidi="ar"/>
        </w:rPr>
        <w:t>09</w:t>
      </w:r>
      <w:r>
        <w:rPr>
          <w:rFonts w:hint="eastAsia" w:asciiTheme="minorEastAsia" w:hAnsiTheme="minorEastAsia" w:eastAsiaTheme="minorEastAsia" w:cstheme="minorEastAsia"/>
          <w:b w:val="0"/>
          <w:bCs w:val="0"/>
          <w:snapToGrid/>
          <w:spacing w:val="0"/>
          <w:kern w:val="21"/>
          <w:sz w:val="24"/>
          <w:szCs w:val="24"/>
          <w:highlight w:val="none"/>
          <w:lang w:bidi="ar"/>
        </w:rPr>
        <w:t>点</w:t>
      </w:r>
      <w:r>
        <w:rPr>
          <w:rFonts w:hint="eastAsia" w:asciiTheme="minorEastAsia" w:hAnsiTheme="minorEastAsia" w:eastAsiaTheme="minorEastAsia" w:cstheme="minorEastAsia"/>
          <w:b w:val="0"/>
          <w:bCs w:val="0"/>
          <w:snapToGrid/>
          <w:spacing w:val="0"/>
          <w:kern w:val="21"/>
          <w:sz w:val="24"/>
          <w:szCs w:val="24"/>
          <w:highlight w:val="none"/>
          <w:u w:val="single"/>
          <w:lang w:bidi="ar"/>
        </w:rPr>
        <w:t>30</w:t>
      </w:r>
      <w:r>
        <w:rPr>
          <w:rFonts w:hint="eastAsia" w:asciiTheme="minorEastAsia" w:hAnsiTheme="minorEastAsia" w:eastAsiaTheme="minorEastAsia" w:cstheme="minorEastAsia"/>
          <w:b w:val="0"/>
          <w:bCs w:val="0"/>
          <w:snapToGrid/>
          <w:spacing w:val="0"/>
          <w:kern w:val="21"/>
          <w:sz w:val="24"/>
          <w:szCs w:val="24"/>
          <w:highlight w:val="none"/>
          <w:lang w:bidi="ar"/>
        </w:rPr>
        <w:t>分（北京时间）</w:t>
      </w:r>
      <w:r>
        <w:rPr>
          <w:rFonts w:hint="eastAsia" w:asciiTheme="minorEastAsia" w:hAnsiTheme="minorEastAsia" w:eastAsiaTheme="minorEastAsia" w:cstheme="minorEastAsia"/>
          <w:b w:val="0"/>
          <w:bCs w:val="0"/>
          <w:iCs/>
          <w:snapToGrid/>
          <w:spacing w:val="0"/>
          <w:kern w:val="21"/>
          <w:sz w:val="24"/>
          <w:szCs w:val="24"/>
          <w:highlight w:val="none"/>
          <w:lang w:bidi="ar"/>
        </w:rPr>
        <w:t>。</w:t>
      </w:r>
    </w:p>
    <w:p w14:paraId="57E8DE48">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地点：北京市政府采购电子交易平台（http</w:t>
      </w:r>
      <w:r>
        <w:rPr>
          <w:rFonts w:hint="eastAsia" w:asciiTheme="minorEastAsia" w:hAnsiTheme="minorEastAsia" w:eastAsiaTheme="minorEastAsia" w:cstheme="minorEastAsia"/>
          <w:b w:val="0"/>
          <w:bCs w:val="0"/>
          <w:snapToGrid/>
          <w:spacing w:val="0"/>
          <w:kern w:val="21"/>
          <w:sz w:val="24"/>
          <w:szCs w:val="24"/>
          <w:highlight w:val="none"/>
          <w:lang w:eastAsia="zh-CN" w:bidi="ar"/>
        </w:rPr>
        <w:t>：</w:t>
      </w:r>
      <w:r>
        <w:rPr>
          <w:rFonts w:hint="eastAsia" w:asciiTheme="minorEastAsia" w:hAnsiTheme="minorEastAsia" w:eastAsiaTheme="minorEastAsia" w:cstheme="minorEastAsia"/>
          <w:b w:val="0"/>
          <w:bCs w:val="0"/>
          <w:snapToGrid/>
          <w:spacing w:val="0"/>
          <w:kern w:val="21"/>
          <w:sz w:val="24"/>
          <w:szCs w:val="24"/>
          <w:highlight w:val="none"/>
          <w:lang w:bidi="ar"/>
        </w:rPr>
        <w:t>//zbcg-bjzc.zhongcy.com/bjczj-portal-site/#/home）</w:t>
      </w:r>
    </w:p>
    <w:p w14:paraId="19D60BE4">
      <w:pPr>
        <w:keepNext w:val="0"/>
        <w:keepLines w:val="0"/>
        <w:pageBreakBefore w:val="0"/>
        <w:widowControl w:val="0"/>
        <w:kinsoku/>
        <w:wordWrap w:val="0"/>
        <w:overflowPunct/>
        <w:topLinePunct/>
        <w:autoSpaceDE/>
        <w:autoSpaceDN/>
        <w:bidi w:val="0"/>
        <w:spacing w:before="0"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五、开启</w:t>
      </w:r>
    </w:p>
    <w:p w14:paraId="209DEE57">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u w:val="single"/>
        </w:rPr>
      </w:pPr>
      <w:r>
        <w:rPr>
          <w:rFonts w:hint="eastAsia" w:asciiTheme="minorEastAsia" w:hAnsiTheme="minorEastAsia" w:eastAsiaTheme="minorEastAsia" w:cstheme="minorEastAsia"/>
          <w:b w:val="0"/>
          <w:bCs w:val="0"/>
          <w:snapToGrid/>
          <w:spacing w:val="0"/>
          <w:kern w:val="21"/>
          <w:sz w:val="24"/>
          <w:szCs w:val="24"/>
          <w:highlight w:val="none"/>
          <w:lang w:bidi="ar"/>
        </w:rPr>
        <w:t>时间：</w:t>
      </w:r>
      <w:r>
        <w:rPr>
          <w:rFonts w:hint="eastAsia" w:asciiTheme="minorEastAsia" w:hAnsiTheme="minorEastAsia" w:eastAsiaTheme="minorEastAsia" w:cstheme="minorEastAsia"/>
          <w:b w:val="0"/>
          <w:bCs w:val="0"/>
          <w:snapToGrid/>
          <w:spacing w:val="0"/>
          <w:kern w:val="21"/>
          <w:sz w:val="24"/>
          <w:szCs w:val="24"/>
          <w:highlight w:val="none"/>
          <w:u w:val="single"/>
        </w:rPr>
        <w:t>202</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6</w:t>
      </w:r>
      <w:r>
        <w:rPr>
          <w:rFonts w:hint="eastAsia" w:asciiTheme="minorEastAsia" w:hAnsiTheme="minorEastAsia" w:eastAsiaTheme="minorEastAsia" w:cstheme="minorEastAsia"/>
          <w:b w:val="0"/>
          <w:bCs w:val="0"/>
          <w:snapToGrid/>
          <w:spacing w:val="0"/>
          <w:kern w:val="21"/>
          <w:sz w:val="24"/>
          <w:szCs w:val="24"/>
          <w:highlight w:val="none"/>
          <w:lang w:bidi="ar"/>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bidi="ar"/>
        </w:rPr>
        <w:t xml:space="preserve"> 8 </w:t>
      </w:r>
      <w:r>
        <w:rPr>
          <w:rFonts w:hint="eastAsia" w:asciiTheme="minorEastAsia" w:hAnsiTheme="minorEastAsia" w:eastAsiaTheme="minorEastAsia" w:cstheme="minorEastAsia"/>
          <w:b w:val="0"/>
          <w:bCs w:val="0"/>
          <w:snapToGrid/>
          <w:spacing w:val="0"/>
          <w:kern w:val="21"/>
          <w:sz w:val="24"/>
          <w:szCs w:val="24"/>
          <w:highlight w:val="none"/>
          <w:lang w:bidi="ar"/>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bidi="ar"/>
        </w:rPr>
        <w:t xml:space="preserve"> 20 </w:t>
      </w:r>
      <w:r>
        <w:rPr>
          <w:rFonts w:hint="eastAsia" w:asciiTheme="minorEastAsia" w:hAnsiTheme="minorEastAsia" w:eastAsiaTheme="minorEastAsia" w:cstheme="minorEastAsia"/>
          <w:b w:val="0"/>
          <w:bCs w:val="0"/>
          <w:snapToGrid/>
          <w:spacing w:val="0"/>
          <w:kern w:val="21"/>
          <w:sz w:val="24"/>
          <w:szCs w:val="24"/>
          <w:highlight w:val="none"/>
          <w:lang w:bidi="ar"/>
        </w:rPr>
        <w:t>日</w:t>
      </w:r>
      <w:r>
        <w:rPr>
          <w:rFonts w:hint="eastAsia" w:asciiTheme="minorEastAsia" w:hAnsiTheme="minorEastAsia" w:eastAsiaTheme="minorEastAsia" w:cstheme="minorEastAsia"/>
          <w:b w:val="0"/>
          <w:bCs w:val="0"/>
          <w:snapToGrid/>
          <w:spacing w:val="0"/>
          <w:kern w:val="21"/>
          <w:sz w:val="24"/>
          <w:szCs w:val="24"/>
          <w:highlight w:val="none"/>
          <w:u w:val="single"/>
          <w:lang w:bidi="ar"/>
        </w:rPr>
        <w:t>09</w:t>
      </w:r>
      <w:r>
        <w:rPr>
          <w:rFonts w:hint="eastAsia" w:asciiTheme="minorEastAsia" w:hAnsiTheme="minorEastAsia" w:eastAsiaTheme="minorEastAsia" w:cstheme="minorEastAsia"/>
          <w:b w:val="0"/>
          <w:bCs w:val="0"/>
          <w:snapToGrid/>
          <w:spacing w:val="0"/>
          <w:kern w:val="21"/>
          <w:sz w:val="24"/>
          <w:szCs w:val="24"/>
          <w:highlight w:val="none"/>
          <w:lang w:bidi="ar"/>
        </w:rPr>
        <w:t>点</w:t>
      </w:r>
      <w:r>
        <w:rPr>
          <w:rFonts w:hint="eastAsia" w:asciiTheme="minorEastAsia" w:hAnsiTheme="minorEastAsia" w:eastAsiaTheme="minorEastAsia" w:cstheme="minorEastAsia"/>
          <w:b w:val="0"/>
          <w:bCs w:val="0"/>
          <w:snapToGrid/>
          <w:spacing w:val="0"/>
          <w:kern w:val="21"/>
          <w:sz w:val="24"/>
          <w:szCs w:val="24"/>
          <w:highlight w:val="none"/>
          <w:u w:val="single"/>
          <w:lang w:bidi="ar"/>
        </w:rPr>
        <w:t>30</w:t>
      </w:r>
      <w:r>
        <w:rPr>
          <w:rFonts w:hint="eastAsia" w:asciiTheme="minorEastAsia" w:hAnsiTheme="minorEastAsia" w:eastAsiaTheme="minorEastAsia" w:cstheme="minorEastAsia"/>
          <w:b w:val="0"/>
          <w:bCs w:val="0"/>
          <w:snapToGrid/>
          <w:spacing w:val="0"/>
          <w:kern w:val="21"/>
          <w:sz w:val="24"/>
          <w:szCs w:val="24"/>
          <w:highlight w:val="none"/>
          <w:lang w:bidi="ar"/>
        </w:rPr>
        <w:t>分（北京时间）</w:t>
      </w:r>
      <w:r>
        <w:rPr>
          <w:rFonts w:hint="eastAsia" w:asciiTheme="minorEastAsia" w:hAnsiTheme="minorEastAsia" w:eastAsiaTheme="minorEastAsia" w:cstheme="minorEastAsia"/>
          <w:b w:val="0"/>
          <w:bCs w:val="0"/>
          <w:iCs/>
          <w:snapToGrid/>
          <w:spacing w:val="0"/>
          <w:kern w:val="21"/>
          <w:sz w:val="24"/>
          <w:szCs w:val="24"/>
          <w:highlight w:val="none"/>
          <w:lang w:bidi="ar"/>
        </w:rPr>
        <w:t>。</w:t>
      </w:r>
    </w:p>
    <w:p w14:paraId="76505143">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地点：北京市政府采购电子交易平台（http</w:t>
      </w:r>
      <w:r>
        <w:rPr>
          <w:rFonts w:hint="eastAsia" w:asciiTheme="minorEastAsia" w:hAnsiTheme="minorEastAsia" w:eastAsiaTheme="minorEastAsia" w:cstheme="minorEastAsia"/>
          <w:b w:val="0"/>
          <w:bCs w:val="0"/>
          <w:snapToGrid/>
          <w:spacing w:val="0"/>
          <w:kern w:val="21"/>
          <w:sz w:val="24"/>
          <w:szCs w:val="24"/>
          <w:highlight w:val="none"/>
          <w:lang w:eastAsia="zh-CN" w:bidi="ar"/>
        </w:rPr>
        <w:t>：</w:t>
      </w:r>
      <w:r>
        <w:rPr>
          <w:rFonts w:hint="eastAsia" w:asciiTheme="minorEastAsia" w:hAnsiTheme="minorEastAsia" w:eastAsiaTheme="minorEastAsia" w:cstheme="minorEastAsia"/>
          <w:b w:val="0"/>
          <w:bCs w:val="0"/>
          <w:snapToGrid/>
          <w:spacing w:val="0"/>
          <w:kern w:val="21"/>
          <w:sz w:val="24"/>
          <w:szCs w:val="24"/>
          <w:highlight w:val="none"/>
          <w:lang w:bidi="ar"/>
        </w:rPr>
        <w:t>//zbcg-bjzc.zhongcy.com/bjczj-portal-site/#/home）</w:t>
      </w:r>
    </w:p>
    <w:p w14:paraId="06D72B7E">
      <w:pPr>
        <w:keepNext w:val="0"/>
        <w:keepLines w:val="0"/>
        <w:pageBreakBefore w:val="0"/>
        <w:widowControl w:val="0"/>
        <w:kinsoku/>
        <w:wordWrap w:val="0"/>
        <w:overflowPunct/>
        <w:topLinePunct/>
        <w:autoSpaceDE/>
        <w:autoSpaceDN/>
        <w:bidi w:val="0"/>
        <w:spacing w:before="0"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bookmarkStart w:id="20" w:name="_Toc28359007"/>
      <w:bookmarkStart w:id="21" w:name="_Toc35393625"/>
      <w:bookmarkStart w:id="22" w:name="_Toc35393794"/>
      <w:bookmarkStart w:id="23" w:name="_Toc28359084"/>
      <w:r>
        <w:rPr>
          <w:rFonts w:hint="eastAsia" w:asciiTheme="minorEastAsia" w:hAnsiTheme="minorEastAsia" w:eastAsiaTheme="minorEastAsia" w:cstheme="minorEastAsia"/>
          <w:b w:val="0"/>
          <w:bCs w:val="0"/>
          <w:snapToGrid/>
          <w:spacing w:val="0"/>
          <w:kern w:val="21"/>
          <w:sz w:val="24"/>
          <w:szCs w:val="24"/>
          <w:highlight w:val="none"/>
        </w:rPr>
        <w:t>六、公告期限</w:t>
      </w:r>
      <w:bookmarkEnd w:id="20"/>
      <w:bookmarkEnd w:id="21"/>
      <w:bookmarkEnd w:id="22"/>
      <w:bookmarkEnd w:id="23"/>
    </w:p>
    <w:p w14:paraId="72D55943">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自本公告发布之日起</w:t>
      </w:r>
      <w:r>
        <w:rPr>
          <w:rFonts w:hint="eastAsia" w:asciiTheme="minorEastAsia" w:hAnsiTheme="minorEastAsia" w:eastAsiaTheme="minorEastAsia" w:cstheme="minorEastAsia"/>
          <w:b w:val="0"/>
          <w:bCs w:val="0"/>
          <w:snapToGrid/>
          <w:spacing w:val="0"/>
          <w:kern w:val="21"/>
          <w:sz w:val="24"/>
          <w:szCs w:val="24"/>
          <w:highlight w:val="none"/>
          <w:lang w:val="en-US" w:eastAsia="zh-CN"/>
        </w:rPr>
        <w:t>3</w:t>
      </w:r>
      <w:r>
        <w:rPr>
          <w:rFonts w:hint="eastAsia" w:asciiTheme="minorEastAsia" w:hAnsiTheme="minorEastAsia" w:eastAsiaTheme="minorEastAsia" w:cstheme="minorEastAsia"/>
          <w:b w:val="0"/>
          <w:bCs w:val="0"/>
          <w:snapToGrid/>
          <w:spacing w:val="0"/>
          <w:kern w:val="21"/>
          <w:sz w:val="24"/>
          <w:szCs w:val="24"/>
          <w:highlight w:val="none"/>
        </w:rPr>
        <w:t>个工作日。</w:t>
      </w:r>
    </w:p>
    <w:p w14:paraId="4FD99C75">
      <w:pPr>
        <w:keepNext w:val="0"/>
        <w:keepLines w:val="0"/>
        <w:pageBreakBefore w:val="0"/>
        <w:widowControl w:val="0"/>
        <w:kinsoku/>
        <w:wordWrap w:val="0"/>
        <w:overflowPunct/>
        <w:topLinePunct/>
        <w:autoSpaceDE/>
        <w:autoSpaceDN/>
        <w:bidi w:val="0"/>
        <w:spacing w:before="0"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bookmarkStart w:id="24" w:name="_Toc35393626"/>
      <w:bookmarkStart w:id="25" w:name="_Toc35393795"/>
      <w:r>
        <w:rPr>
          <w:rFonts w:hint="eastAsia" w:asciiTheme="minorEastAsia" w:hAnsiTheme="minorEastAsia" w:eastAsiaTheme="minorEastAsia" w:cstheme="minorEastAsia"/>
          <w:b w:val="0"/>
          <w:bCs w:val="0"/>
          <w:snapToGrid/>
          <w:spacing w:val="0"/>
          <w:kern w:val="21"/>
          <w:sz w:val="24"/>
          <w:szCs w:val="24"/>
          <w:highlight w:val="none"/>
        </w:rPr>
        <w:t>七、其他补充事宜</w:t>
      </w:r>
      <w:bookmarkEnd w:id="24"/>
      <w:bookmarkEnd w:id="25"/>
    </w:p>
    <w:p w14:paraId="76BBEE26">
      <w:pPr>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p>
    <w:p w14:paraId="1DB85B0B">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1.本项目需要落实的政府采购政策：</w:t>
      </w:r>
    </w:p>
    <w:p w14:paraId="31E199FB">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1）执行《财政部发展改革委关于印发《节能产品政府采购品目清单》的通知》（财库[2019]19号）；</w:t>
      </w:r>
    </w:p>
    <w:p w14:paraId="3342F72D">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2）执行《财政部生态环境部关于印发《环境标志产品政府采购品目清单》的通知（财库[2019]18号）；</w:t>
      </w:r>
    </w:p>
    <w:p w14:paraId="54642F7A">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3）执行财政部、工业和信息化部关于印发《政府采购促进中小企业发展管理办法》的通知财库〔2020〕46号；</w:t>
      </w:r>
    </w:p>
    <w:p w14:paraId="28CB3875">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4）执行《财政部、司法部关于政府采购支持监狱企业发展有关问题的通知》（财库[2014]68号）；</w:t>
      </w:r>
    </w:p>
    <w:p w14:paraId="6941185D">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5</w:t>
      </w:r>
      <w:r>
        <w:rPr>
          <w:rFonts w:hint="eastAsia" w:asciiTheme="minorEastAsia" w:hAnsiTheme="minorEastAsia" w:eastAsiaTheme="minorEastAsia" w:cstheme="minorEastAsia"/>
          <w:b w:val="0"/>
          <w:bCs w:val="0"/>
          <w:snapToGrid/>
          <w:spacing w:val="0"/>
          <w:kern w:val="21"/>
          <w:sz w:val="24"/>
          <w:szCs w:val="24"/>
          <w:highlight w:val="none"/>
        </w:rPr>
        <w:t>）执行《关于促进残疾人就业政府采购政策的通知》（财库〔2017〕141号）；</w:t>
      </w:r>
    </w:p>
    <w:p w14:paraId="78E2C6A4">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6</w:t>
      </w:r>
      <w:r>
        <w:rPr>
          <w:rFonts w:hint="eastAsia" w:asciiTheme="minorEastAsia" w:hAnsiTheme="minorEastAsia" w:eastAsiaTheme="minorEastAsia" w:cstheme="minorEastAsia"/>
          <w:b w:val="0"/>
          <w:bCs w:val="0"/>
          <w:snapToGrid/>
          <w:spacing w:val="0"/>
          <w:kern w:val="21"/>
          <w:sz w:val="24"/>
          <w:szCs w:val="24"/>
          <w:highlight w:val="none"/>
        </w:rPr>
        <w:t>）执行《财政部关于在政府采购活动中查询及使用信用记录有关问题的通知》（财库[2016]125号）等相关政策。</w:t>
      </w:r>
    </w:p>
    <w:p w14:paraId="28C17427">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7</w:t>
      </w:r>
      <w:r>
        <w:rPr>
          <w:rFonts w:hint="eastAsia" w:asciiTheme="minorEastAsia" w:hAnsiTheme="minorEastAsia" w:eastAsiaTheme="minorEastAsia" w:cstheme="minorEastAsia"/>
          <w:b w:val="0"/>
          <w:bCs w:val="0"/>
          <w:snapToGrid/>
          <w:spacing w:val="0"/>
          <w:kern w:val="21"/>
          <w:sz w:val="24"/>
          <w:szCs w:val="24"/>
          <w:highlight w:val="none"/>
        </w:rPr>
        <w:t>）执行《北京市财政局关于落实好政府采购支持中小企业发展的通知》（京财〔2022〕1143号）。</w:t>
      </w:r>
    </w:p>
    <w:p w14:paraId="5B3D104E">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8</w:t>
      </w:r>
      <w:r>
        <w:rPr>
          <w:rFonts w:hint="eastAsia" w:asciiTheme="minorEastAsia" w:hAnsiTheme="minorEastAsia" w:eastAsiaTheme="minorEastAsia" w:cstheme="minorEastAsia"/>
          <w:b w:val="0"/>
          <w:bCs w:val="0"/>
          <w:snapToGrid/>
          <w:spacing w:val="0"/>
          <w:kern w:val="21"/>
          <w:sz w:val="24"/>
          <w:szCs w:val="24"/>
          <w:highlight w:val="none"/>
        </w:rPr>
        <w:t>）执行《关于进一步加大政府采购支持中小企业力度的通知》（财库〔2022〕19号）。</w:t>
      </w:r>
    </w:p>
    <w:p w14:paraId="3F7DCA3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22735544">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bidi="ar"/>
        </w:rPr>
        <w:t>CA数字证书服务热线</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bidi="ar"/>
        </w:rPr>
        <w:t>010-58511086</w:t>
      </w:r>
    </w:p>
    <w:p w14:paraId="41D09F7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电子营业执照服务热线</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bidi="ar"/>
        </w:rPr>
        <w:t>400-699-7000</w:t>
      </w:r>
    </w:p>
    <w:p w14:paraId="74EE8CF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bidi="ar"/>
        </w:rPr>
        <w:t xml:space="preserve">技术支持服务热线  </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bidi="ar"/>
        </w:rPr>
        <w:t xml:space="preserve"> 010-86483801</w:t>
      </w:r>
    </w:p>
    <w:p w14:paraId="43BDD7A5">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2.1办理 CA 数字证书或电子营业执照</w:t>
      </w:r>
    </w:p>
    <w:p w14:paraId="4DCC0D4B">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bidi="ar"/>
        </w:rPr>
        <w:t>供应商登录北京市政府采购电子交易平台查阅 “用户指南”—“操作指南”—“市场主体CA办理操作流程指引”/“电子营业执照使用指南”，按照程序要求办理。</w:t>
      </w:r>
    </w:p>
    <w:p w14:paraId="246B0A4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2.2注册</w:t>
      </w:r>
    </w:p>
    <w:p w14:paraId="3230E09D">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bidi="ar"/>
        </w:rPr>
        <w:t>供应商登录北京市政府采购电子交易平台“用户指南”—“操作指南”—“市场主体注册入库操作流程指引”进行自助注册绑定。</w:t>
      </w:r>
    </w:p>
    <w:p w14:paraId="2ACD9E4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2.3驱动、客户端下载</w:t>
      </w:r>
    </w:p>
    <w:p w14:paraId="2CA1E06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bidi="ar"/>
        </w:rPr>
        <w:t>供应商登录北京市政府采购电子交易平台“用户指南”—“工具下载”—“招标采购系统文件驱动安装包”下载相关驱动。</w:t>
      </w:r>
    </w:p>
    <w:p w14:paraId="7A46C060">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供应商登录北京市政府采购电子交易平台“用户指南”—“工具下载”—“投标文件编制工具”下载相关客户端。</w:t>
      </w:r>
    </w:p>
    <w:p w14:paraId="4E26DBB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2.4获取电子竞争性磋商文件</w:t>
      </w:r>
    </w:p>
    <w:p w14:paraId="598A14D6">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供应商使用CA数字证书或电子营业执照登录北京市政府采购电子交易平台获取电子竞争性磋商文件。</w:t>
      </w:r>
    </w:p>
    <w:p w14:paraId="6F03E248">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66BE5EE8">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2.5编制电子响应文件</w:t>
      </w:r>
    </w:p>
    <w:p w14:paraId="4A01C64B">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036CC1EB">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val="zh-TW" w:bidi="ar"/>
        </w:rPr>
      </w:pPr>
      <w:r>
        <w:rPr>
          <w:rFonts w:hint="eastAsia" w:asciiTheme="minorEastAsia" w:hAnsiTheme="minorEastAsia" w:eastAsiaTheme="minorEastAsia" w:cstheme="minorEastAsia"/>
          <w:b w:val="0"/>
          <w:bCs w:val="0"/>
          <w:snapToGrid/>
          <w:spacing w:val="0"/>
          <w:kern w:val="21"/>
          <w:sz w:val="24"/>
          <w:szCs w:val="24"/>
          <w:highlight w:val="none"/>
          <w:lang w:bidi="ar"/>
        </w:rPr>
        <w:t>2</w:t>
      </w:r>
      <w:r>
        <w:rPr>
          <w:rFonts w:hint="eastAsia" w:asciiTheme="minorEastAsia" w:hAnsiTheme="minorEastAsia" w:eastAsiaTheme="minorEastAsia" w:cstheme="minorEastAsia"/>
          <w:b w:val="0"/>
          <w:bCs w:val="0"/>
          <w:snapToGrid/>
          <w:spacing w:val="0"/>
          <w:kern w:val="21"/>
          <w:sz w:val="24"/>
          <w:szCs w:val="24"/>
          <w:highlight w:val="none"/>
          <w:lang w:val="zh-TW" w:eastAsia="zh-TW" w:bidi="ar"/>
        </w:rPr>
        <w:t>.6</w:t>
      </w:r>
      <w:r>
        <w:rPr>
          <w:rFonts w:hint="eastAsia" w:asciiTheme="minorEastAsia" w:hAnsiTheme="minorEastAsia" w:eastAsiaTheme="minorEastAsia" w:cstheme="minorEastAsia"/>
          <w:b w:val="0"/>
          <w:bCs w:val="0"/>
          <w:snapToGrid/>
          <w:spacing w:val="0"/>
          <w:kern w:val="21"/>
          <w:sz w:val="24"/>
          <w:szCs w:val="24"/>
          <w:highlight w:val="none"/>
          <w:lang w:val="zh-TW" w:bidi="ar"/>
        </w:rPr>
        <w:t>递交电子响应文件</w:t>
      </w:r>
    </w:p>
    <w:p w14:paraId="054462E4">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供应商应于</w:t>
      </w:r>
      <w:r>
        <w:rPr>
          <w:rFonts w:hint="eastAsia" w:asciiTheme="minorEastAsia" w:hAnsiTheme="minorEastAsia" w:eastAsiaTheme="minorEastAsia" w:cstheme="minorEastAsia"/>
          <w:b w:val="0"/>
          <w:bCs w:val="0"/>
          <w:snapToGrid/>
          <w:spacing w:val="0"/>
          <w:kern w:val="21"/>
          <w:sz w:val="24"/>
          <w:szCs w:val="24"/>
          <w:highlight w:val="none"/>
        </w:rPr>
        <w:t>响应文件提交</w:t>
      </w:r>
      <w:r>
        <w:rPr>
          <w:rFonts w:hint="eastAsia" w:asciiTheme="minorEastAsia" w:hAnsiTheme="minorEastAsia" w:eastAsiaTheme="minorEastAsia" w:cstheme="minorEastAsia"/>
          <w:b w:val="0"/>
          <w:bCs w:val="0"/>
          <w:snapToGrid/>
          <w:spacing w:val="0"/>
          <w:kern w:val="21"/>
          <w:sz w:val="24"/>
          <w:szCs w:val="24"/>
          <w:highlight w:val="none"/>
          <w:lang w:bidi="ar"/>
        </w:rPr>
        <w:t>截止时间前在平台提交电子响应文件，上传电子响应文件过程中请保持与互联网的连接畅通。</w:t>
      </w:r>
    </w:p>
    <w:p w14:paraId="1EE0A9DA">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eastAsia="zh-TW"/>
        </w:rPr>
      </w:pPr>
      <w:r>
        <w:rPr>
          <w:rFonts w:hint="eastAsia" w:asciiTheme="minorEastAsia" w:hAnsiTheme="minorEastAsia" w:eastAsiaTheme="minorEastAsia" w:cstheme="minorEastAsia"/>
          <w:b w:val="0"/>
          <w:bCs w:val="0"/>
          <w:snapToGrid/>
          <w:spacing w:val="0"/>
          <w:kern w:val="21"/>
          <w:sz w:val="24"/>
          <w:szCs w:val="24"/>
          <w:highlight w:val="none"/>
          <w:lang w:bidi="ar"/>
        </w:rPr>
        <w:t>2</w:t>
      </w:r>
      <w:r>
        <w:rPr>
          <w:rFonts w:hint="eastAsia" w:asciiTheme="minorEastAsia" w:hAnsiTheme="minorEastAsia" w:eastAsiaTheme="minorEastAsia" w:cstheme="minorEastAsia"/>
          <w:b w:val="0"/>
          <w:bCs w:val="0"/>
          <w:snapToGrid/>
          <w:spacing w:val="0"/>
          <w:kern w:val="21"/>
          <w:sz w:val="24"/>
          <w:szCs w:val="24"/>
          <w:highlight w:val="none"/>
          <w:lang w:val="zh-TW" w:bidi="ar"/>
        </w:rPr>
        <w:t>.</w:t>
      </w:r>
      <w:r>
        <w:rPr>
          <w:rFonts w:hint="eastAsia" w:asciiTheme="minorEastAsia" w:hAnsiTheme="minorEastAsia" w:eastAsiaTheme="minorEastAsia" w:cstheme="minorEastAsia"/>
          <w:b w:val="0"/>
          <w:bCs w:val="0"/>
          <w:snapToGrid/>
          <w:spacing w:val="0"/>
          <w:kern w:val="21"/>
          <w:sz w:val="24"/>
          <w:szCs w:val="24"/>
          <w:highlight w:val="none"/>
          <w:lang w:val="zh-TW" w:eastAsia="zh-TW" w:bidi="ar"/>
        </w:rPr>
        <w:t>7</w:t>
      </w:r>
      <w:r>
        <w:rPr>
          <w:rFonts w:hint="eastAsia" w:asciiTheme="minorEastAsia" w:hAnsiTheme="minorEastAsia" w:eastAsiaTheme="minorEastAsia" w:cstheme="minorEastAsia"/>
          <w:b w:val="0"/>
          <w:bCs w:val="0"/>
          <w:snapToGrid/>
          <w:spacing w:val="0"/>
          <w:kern w:val="21"/>
          <w:sz w:val="24"/>
          <w:szCs w:val="24"/>
          <w:highlight w:val="none"/>
          <w:lang w:val="zh-TW" w:bidi="ar"/>
        </w:rPr>
        <w:t>开启响应文件</w:t>
      </w:r>
    </w:p>
    <w:p w14:paraId="1438CC8C">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rPr>
        <w:t>供应商于</w:t>
      </w:r>
      <w:r>
        <w:rPr>
          <w:rFonts w:hint="eastAsia" w:asciiTheme="minorEastAsia" w:hAnsiTheme="minorEastAsia" w:eastAsiaTheme="minorEastAsia" w:cstheme="minorEastAsia"/>
          <w:b w:val="0"/>
          <w:bCs w:val="0"/>
          <w:snapToGrid/>
          <w:spacing w:val="0"/>
          <w:kern w:val="21"/>
          <w:sz w:val="24"/>
          <w:szCs w:val="24"/>
          <w:highlight w:val="none"/>
          <w:lang w:val="zh-TW" w:eastAsia="zh-CN" w:bidi="ar"/>
        </w:rPr>
        <w:t>竞争性磋商</w:t>
      </w:r>
      <w:r>
        <w:rPr>
          <w:rFonts w:hint="eastAsia" w:asciiTheme="minorEastAsia" w:hAnsiTheme="minorEastAsia" w:eastAsiaTheme="minorEastAsia" w:cstheme="minorEastAsia"/>
          <w:b w:val="0"/>
          <w:bCs w:val="0"/>
          <w:snapToGrid/>
          <w:spacing w:val="0"/>
          <w:kern w:val="21"/>
          <w:sz w:val="24"/>
          <w:szCs w:val="24"/>
          <w:highlight w:val="none"/>
          <w:lang w:val="zh-TW" w:bidi="ar"/>
        </w:rPr>
        <w:t>规定的开启时间、在开启地点使用</w:t>
      </w:r>
      <w:r>
        <w:rPr>
          <w:rFonts w:hint="eastAsia" w:asciiTheme="minorEastAsia" w:hAnsiTheme="minorEastAsia" w:eastAsiaTheme="minorEastAsia" w:cstheme="minorEastAsia"/>
          <w:b w:val="0"/>
          <w:bCs w:val="0"/>
          <w:snapToGrid/>
          <w:spacing w:val="0"/>
          <w:kern w:val="21"/>
          <w:sz w:val="24"/>
          <w:szCs w:val="24"/>
          <w:highlight w:val="none"/>
          <w:lang w:bidi="ar"/>
        </w:rPr>
        <w:t>CA数字证书或电子营业执照</w:t>
      </w:r>
      <w:r>
        <w:rPr>
          <w:rFonts w:hint="eastAsia" w:asciiTheme="minorEastAsia" w:hAnsiTheme="minorEastAsia" w:eastAsiaTheme="minorEastAsia" w:cstheme="minorEastAsia"/>
          <w:b w:val="0"/>
          <w:bCs w:val="0"/>
          <w:snapToGrid/>
          <w:spacing w:val="0"/>
          <w:kern w:val="21"/>
          <w:sz w:val="24"/>
          <w:szCs w:val="24"/>
          <w:highlight w:val="none"/>
          <w:lang w:val="zh-TW" w:bidi="ar"/>
        </w:rPr>
        <w:t>登录</w:t>
      </w:r>
      <w:r>
        <w:rPr>
          <w:rFonts w:hint="eastAsia" w:asciiTheme="minorEastAsia" w:hAnsiTheme="minorEastAsia" w:eastAsiaTheme="minorEastAsia" w:cstheme="minorEastAsia"/>
          <w:b w:val="0"/>
          <w:bCs w:val="0"/>
          <w:snapToGrid/>
          <w:spacing w:val="0"/>
          <w:kern w:val="21"/>
          <w:sz w:val="24"/>
          <w:szCs w:val="24"/>
          <w:highlight w:val="none"/>
          <w:lang w:bidi="ar"/>
        </w:rPr>
        <w:t>北京市政府采购电子交易平台解密并开启响应文件。如因供应商问题，解密不成功，则响应无效。</w:t>
      </w:r>
    </w:p>
    <w:p w14:paraId="0D7B1BC8">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bookmarkStart w:id="26" w:name="_Toc28359008"/>
      <w:bookmarkStart w:id="27" w:name="_Toc35393796"/>
      <w:bookmarkStart w:id="28" w:name="_Toc35393627"/>
      <w:bookmarkStart w:id="29" w:name="_Toc28359085"/>
      <w:r>
        <w:rPr>
          <w:rFonts w:hint="eastAsia" w:asciiTheme="minorEastAsia" w:hAnsiTheme="minorEastAsia" w:eastAsiaTheme="minorEastAsia" w:cstheme="minorEastAsia"/>
          <w:b w:val="0"/>
          <w:bCs w:val="0"/>
          <w:snapToGrid/>
          <w:spacing w:val="0"/>
          <w:kern w:val="21"/>
          <w:sz w:val="24"/>
          <w:szCs w:val="24"/>
          <w:highlight w:val="none"/>
        </w:rPr>
        <w:t>3</w:t>
      </w: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评</w:t>
      </w:r>
      <w:r>
        <w:rPr>
          <w:rFonts w:hint="eastAsia" w:asciiTheme="minorEastAsia" w:hAnsiTheme="minorEastAsia" w:eastAsiaTheme="minorEastAsia" w:cstheme="minorEastAsia"/>
          <w:b w:val="0"/>
          <w:bCs w:val="0"/>
          <w:snapToGrid/>
          <w:spacing w:val="0"/>
          <w:kern w:val="21"/>
          <w:sz w:val="24"/>
          <w:szCs w:val="24"/>
          <w:highlight w:val="none"/>
          <w:lang w:val="en-US" w:eastAsia="zh-CN"/>
        </w:rPr>
        <w:t>审</w:t>
      </w:r>
      <w:r>
        <w:rPr>
          <w:rFonts w:hint="eastAsia" w:asciiTheme="minorEastAsia" w:hAnsiTheme="minorEastAsia" w:eastAsiaTheme="minorEastAsia" w:cstheme="minorEastAsia"/>
          <w:b w:val="0"/>
          <w:bCs w:val="0"/>
          <w:snapToGrid/>
          <w:spacing w:val="0"/>
          <w:kern w:val="21"/>
          <w:sz w:val="24"/>
          <w:szCs w:val="24"/>
          <w:highlight w:val="none"/>
        </w:rPr>
        <w:t>方法：综合评分法，具体详见</w:t>
      </w:r>
      <w:r>
        <w:rPr>
          <w:rFonts w:hint="eastAsia" w:asciiTheme="minorEastAsia" w:hAnsiTheme="minorEastAsia" w:eastAsiaTheme="minorEastAsia" w:cstheme="minorEastAsia"/>
          <w:b w:val="0"/>
          <w:bCs w:val="0"/>
          <w:snapToGrid/>
          <w:spacing w:val="0"/>
          <w:kern w:val="21"/>
          <w:sz w:val="24"/>
          <w:szCs w:val="24"/>
          <w:highlight w:val="none"/>
          <w:lang w:eastAsia="zh-CN"/>
        </w:rPr>
        <w:t>竞争性磋商</w:t>
      </w:r>
      <w:r>
        <w:rPr>
          <w:rFonts w:hint="eastAsia" w:asciiTheme="minorEastAsia" w:hAnsiTheme="minorEastAsia" w:eastAsiaTheme="minorEastAsia" w:cstheme="minorEastAsia"/>
          <w:b w:val="0"/>
          <w:bCs w:val="0"/>
          <w:snapToGrid/>
          <w:spacing w:val="0"/>
          <w:kern w:val="21"/>
          <w:sz w:val="24"/>
          <w:szCs w:val="24"/>
          <w:highlight w:val="none"/>
        </w:rPr>
        <w:t>。</w:t>
      </w:r>
    </w:p>
    <w:p w14:paraId="4685770C">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4</w:t>
      </w: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公告媒体：本公告在中国政府采购网、北京市政府采购网上发布。</w:t>
      </w:r>
    </w:p>
    <w:p w14:paraId="5DF428DC">
      <w:pPr>
        <w:keepNext w:val="0"/>
        <w:keepLines w:val="0"/>
        <w:pageBreakBefore w:val="0"/>
        <w:widowControl w:val="0"/>
        <w:kinsoku/>
        <w:wordWrap w:val="0"/>
        <w:overflowPunct/>
        <w:topLinePunct/>
        <w:autoSpaceDE/>
        <w:autoSpaceDN/>
        <w:bidi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5</w:t>
      </w: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成交</w:t>
      </w:r>
      <w:r>
        <w:rPr>
          <w:rFonts w:hint="eastAsia" w:asciiTheme="minorEastAsia" w:hAnsiTheme="minorEastAsia" w:eastAsiaTheme="minorEastAsia" w:cstheme="minorEastAsia"/>
          <w:b w:val="0"/>
          <w:bCs w:val="0"/>
          <w:snapToGrid/>
          <w:spacing w:val="0"/>
          <w:kern w:val="21"/>
          <w:sz w:val="24"/>
          <w:szCs w:val="24"/>
          <w:highlight w:val="none"/>
          <w:lang w:val="en-US" w:eastAsia="zh-CN"/>
        </w:rPr>
        <w:t>供应商</w:t>
      </w:r>
      <w:r>
        <w:rPr>
          <w:rFonts w:hint="eastAsia" w:asciiTheme="minorEastAsia" w:hAnsiTheme="minorEastAsia" w:eastAsiaTheme="minorEastAsia" w:cstheme="minorEastAsia"/>
          <w:b w:val="0"/>
          <w:bCs w:val="0"/>
          <w:snapToGrid/>
          <w:spacing w:val="0"/>
          <w:kern w:val="21"/>
          <w:sz w:val="24"/>
          <w:szCs w:val="24"/>
          <w:highlight w:val="none"/>
        </w:rPr>
        <w:t>在领取成交通知书的当日，需提供加盖单位公章的纸质版响应文件2份及2份最后报价一览表和最后分项报价表。（响应文件必须与上传电子交易平台的电子文件内容保持一致）</w:t>
      </w:r>
    </w:p>
    <w:p w14:paraId="583A0773">
      <w:pPr>
        <w:keepNext w:val="0"/>
        <w:keepLines w:val="0"/>
        <w:pageBreakBefore w:val="0"/>
        <w:widowControl w:val="0"/>
        <w:kinsoku/>
        <w:wordWrap w:val="0"/>
        <w:overflowPunct/>
        <w:topLinePunct/>
        <w:autoSpaceDE/>
        <w:autoSpaceDN/>
        <w:bidi w:val="0"/>
        <w:spacing w:before="0"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八、对本项目提出询问，请按以下方式联系。</w:t>
      </w:r>
      <w:bookmarkEnd w:id="26"/>
      <w:bookmarkEnd w:id="27"/>
      <w:bookmarkEnd w:id="28"/>
      <w:bookmarkEnd w:id="29"/>
    </w:p>
    <w:p w14:paraId="20731433">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1.采购人信息</w:t>
      </w:r>
    </w:p>
    <w:p w14:paraId="0862184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eastAsia="zh-CN" w:bidi="ar"/>
        </w:rPr>
      </w:pPr>
      <w:bookmarkStart w:id="30" w:name="_Toc28359086"/>
      <w:bookmarkStart w:id="31" w:name="_Toc28359009"/>
      <w:r>
        <w:rPr>
          <w:rFonts w:hint="eastAsia" w:asciiTheme="minorEastAsia" w:hAnsiTheme="minorEastAsia" w:eastAsiaTheme="minorEastAsia" w:cstheme="minorEastAsia"/>
          <w:b w:val="0"/>
          <w:bCs w:val="0"/>
          <w:snapToGrid/>
          <w:spacing w:val="0"/>
          <w:kern w:val="21"/>
          <w:sz w:val="24"/>
          <w:szCs w:val="24"/>
          <w:highlight w:val="none"/>
          <w:lang w:bidi="ar"/>
        </w:rPr>
        <w:t>名    称：</w:t>
      </w:r>
      <w:r>
        <w:rPr>
          <w:rFonts w:hint="eastAsia" w:asciiTheme="minorEastAsia" w:hAnsiTheme="minorEastAsia" w:eastAsiaTheme="minorEastAsia" w:cstheme="minorEastAsia"/>
          <w:b w:val="0"/>
          <w:bCs w:val="0"/>
          <w:snapToGrid/>
          <w:spacing w:val="0"/>
          <w:kern w:val="21"/>
          <w:sz w:val="24"/>
          <w:szCs w:val="24"/>
          <w:highlight w:val="none"/>
          <w:lang w:eastAsia="zh-CN" w:bidi="ar"/>
        </w:rPr>
        <w:t>北京市顺义区牛栏山镇人民政府</w:t>
      </w:r>
    </w:p>
    <w:p w14:paraId="73FBD2B3">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yellow"/>
          <w:lang w:val="en-US" w:eastAsia="zh-CN" w:bidi="ar"/>
        </w:rPr>
      </w:pPr>
      <w:r>
        <w:rPr>
          <w:rFonts w:hint="eastAsia" w:asciiTheme="minorEastAsia" w:hAnsiTheme="minorEastAsia" w:eastAsiaTheme="minorEastAsia" w:cstheme="minorEastAsia"/>
          <w:b w:val="0"/>
          <w:bCs w:val="0"/>
          <w:snapToGrid/>
          <w:spacing w:val="0"/>
          <w:kern w:val="21"/>
          <w:sz w:val="24"/>
          <w:szCs w:val="24"/>
          <w:highlight w:val="none"/>
          <w:lang w:eastAsia="zh-CN" w:bidi="ar"/>
        </w:rPr>
        <w:t xml:space="preserve">地 </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 xml:space="preserve">   </w:t>
      </w:r>
      <w:r>
        <w:rPr>
          <w:rFonts w:hint="eastAsia" w:asciiTheme="minorEastAsia" w:hAnsiTheme="minorEastAsia" w:eastAsiaTheme="minorEastAsia" w:cstheme="minorEastAsia"/>
          <w:b w:val="0"/>
          <w:bCs w:val="0"/>
          <w:snapToGrid/>
          <w:spacing w:val="0"/>
          <w:kern w:val="21"/>
          <w:sz w:val="24"/>
          <w:szCs w:val="24"/>
          <w:highlight w:val="none"/>
          <w:lang w:eastAsia="zh-CN" w:bidi="ar"/>
        </w:rPr>
        <w:t>址：</w:t>
      </w:r>
      <w:r>
        <w:rPr>
          <w:rFonts w:hint="eastAsia" w:asciiTheme="minorEastAsia" w:hAnsiTheme="minorEastAsia" w:eastAsiaTheme="minorEastAsia" w:cstheme="minorEastAsia"/>
          <w:sz w:val="24"/>
          <w:szCs w:val="24"/>
          <w:highlight w:val="none"/>
          <w:lang w:eastAsia="zh-CN"/>
        </w:rPr>
        <w:t>北京市顺义区牛栏山镇府前街9号</w:t>
      </w:r>
    </w:p>
    <w:p w14:paraId="67B7C28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default" w:asciiTheme="minorEastAsia" w:hAnsiTheme="minorEastAsia" w:eastAsiaTheme="minorEastAsia" w:cstheme="minorEastAsia"/>
          <w:b w:val="0"/>
          <w:bCs w:val="0"/>
          <w:snapToGrid/>
          <w:spacing w:val="0"/>
          <w:kern w:val="21"/>
          <w:sz w:val="24"/>
          <w:szCs w:val="24"/>
          <w:highlight w:val="yellow"/>
          <w:lang w:val="en-US" w:eastAsia="zh-CN" w:bidi="ar"/>
        </w:rPr>
      </w:pPr>
      <w:r>
        <w:rPr>
          <w:rFonts w:hint="eastAsia" w:asciiTheme="minorEastAsia" w:hAnsiTheme="minorEastAsia" w:eastAsiaTheme="minorEastAsia" w:cstheme="minorEastAsia"/>
          <w:sz w:val="24"/>
          <w:szCs w:val="24"/>
          <w:highlight w:val="none"/>
          <w:lang w:eastAsia="zh-CN"/>
        </w:rPr>
        <w:t>联系方式：</w:t>
      </w:r>
      <w:r>
        <w:rPr>
          <w:rFonts w:hint="eastAsia" w:asciiTheme="minorEastAsia" w:hAnsiTheme="minorEastAsia" w:eastAsiaTheme="minorEastAsia" w:cstheme="minorEastAsia"/>
          <w:sz w:val="24"/>
          <w:szCs w:val="24"/>
          <w:highlight w:val="none"/>
          <w:lang w:val="en-US" w:eastAsia="zh-CN"/>
        </w:rPr>
        <w:t>岳峥/694141</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51</w:t>
      </w:r>
    </w:p>
    <w:p w14:paraId="59D0DDC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2.采购代理机构信息</w:t>
      </w:r>
      <w:bookmarkEnd w:id="30"/>
      <w:bookmarkEnd w:id="31"/>
    </w:p>
    <w:p w14:paraId="65FF5500">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bookmarkStart w:id="32" w:name="_Toc28359087"/>
      <w:bookmarkStart w:id="33" w:name="_Toc28359010"/>
      <w:r>
        <w:rPr>
          <w:rFonts w:hint="eastAsia" w:asciiTheme="minorEastAsia" w:hAnsiTheme="minorEastAsia" w:eastAsiaTheme="minorEastAsia" w:cstheme="minorEastAsia"/>
          <w:b w:val="0"/>
          <w:bCs w:val="0"/>
          <w:snapToGrid/>
          <w:spacing w:val="0"/>
          <w:kern w:val="21"/>
          <w:sz w:val="24"/>
          <w:szCs w:val="24"/>
          <w:highlight w:val="none"/>
          <w:lang w:bidi="ar"/>
        </w:rPr>
        <w:t>名    称：北京中盛宇工程管理有限公司</w:t>
      </w:r>
    </w:p>
    <w:p w14:paraId="69941C4B">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地    址：北京市顺义区双丰街道顺安南路12号一区26号楼北侧三层</w:t>
      </w:r>
    </w:p>
    <w:p w14:paraId="282B9811">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联系方式：</w:t>
      </w:r>
      <w:r>
        <w:rPr>
          <w:rFonts w:hint="eastAsia" w:asciiTheme="minorEastAsia" w:hAnsiTheme="minorEastAsia" w:eastAsiaTheme="minorEastAsia" w:cstheme="minorEastAsia"/>
          <w:b w:val="0"/>
          <w:bCs w:val="0"/>
          <w:snapToGrid/>
          <w:spacing w:val="0"/>
          <w:kern w:val="21"/>
          <w:sz w:val="24"/>
          <w:szCs w:val="24"/>
          <w:highlight w:val="none"/>
          <w:lang w:eastAsia="zh-CN" w:bidi="ar"/>
        </w:rPr>
        <w:t>王欣艳</w:t>
      </w:r>
      <w:r>
        <w:rPr>
          <w:rFonts w:hint="eastAsia" w:asciiTheme="minorEastAsia" w:hAnsiTheme="minorEastAsia" w:eastAsiaTheme="minorEastAsia" w:cstheme="minorEastAsia"/>
          <w:b w:val="0"/>
          <w:bCs w:val="0"/>
          <w:snapToGrid/>
          <w:spacing w:val="0"/>
          <w:kern w:val="21"/>
          <w:sz w:val="24"/>
          <w:szCs w:val="24"/>
          <w:highlight w:val="none"/>
          <w:lang w:bidi="ar"/>
        </w:rPr>
        <w:t>/</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010-</w:t>
      </w:r>
      <w:r>
        <w:rPr>
          <w:rFonts w:hint="eastAsia" w:asciiTheme="minorEastAsia" w:hAnsiTheme="minorEastAsia" w:eastAsiaTheme="minorEastAsia" w:cstheme="minorEastAsia"/>
          <w:b w:val="0"/>
          <w:bCs w:val="0"/>
          <w:snapToGrid/>
          <w:spacing w:val="0"/>
          <w:kern w:val="21"/>
          <w:sz w:val="24"/>
          <w:szCs w:val="24"/>
          <w:highlight w:val="none"/>
          <w:lang w:bidi="ar"/>
        </w:rPr>
        <w:t>69415773</w:t>
      </w:r>
    </w:p>
    <w:p w14:paraId="0FA88B7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lang w:bidi="ar"/>
        </w:rPr>
        <w:t>3.项目联系方式</w:t>
      </w:r>
      <w:bookmarkEnd w:id="32"/>
      <w:bookmarkEnd w:id="33"/>
    </w:p>
    <w:p w14:paraId="381F717F">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lang w:eastAsia="zh-CN" w:bidi="ar"/>
        </w:rPr>
      </w:pPr>
      <w:r>
        <w:rPr>
          <w:rFonts w:hint="eastAsia" w:asciiTheme="minorEastAsia" w:hAnsiTheme="minorEastAsia" w:eastAsiaTheme="minorEastAsia" w:cstheme="minorEastAsia"/>
          <w:b w:val="0"/>
          <w:bCs w:val="0"/>
          <w:snapToGrid/>
          <w:spacing w:val="0"/>
          <w:kern w:val="21"/>
          <w:sz w:val="24"/>
          <w:szCs w:val="24"/>
          <w:highlight w:val="none"/>
          <w:lang w:bidi="ar"/>
        </w:rPr>
        <w:t>项目联系人：</w:t>
      </w:r>
      <w:r>
        <w:rPr>
          <w:rFonts w:hint="eastAsia" w:asciiTheme="minorEastAsia" w:hAnsiTheme="minorEastAsia" w:eastAsiaTheme="minorEastAsia" w:cstheme="minorEastAsia"/>
          <w:b w:val="0"/>
          <w:bCs w:val="0"/>
          <w:snapToGrid/>
          <w:spacing w:val="0"/>
          <w:kern w:val="21"/>
          <w:sz w:val="24"/>
          <w:szCs w:val="24"/>
          <w:highlight w:val="none"/>
          <w:lang w:eastAsia="zh-CN" w:bidi="ar"/>
        </w:rPr>
        <w:t>王欣艳</w:t>
      </w:r>
    </w:p>
    <w:p w14:paraId="17230EF3">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bidi="ar"/>
        </w:rPr>
        <w:t>电      话：</w:t>
      </w:r>
      <w:r>
        <w:rPr>
          <w:rFonts w:hint="eastAsia" w:asciiTheme="minorEastAsia" w:hAnsiTheme="minorEastAsia" w:eastAsiaTheme="minorEastAsia" w:cstheme="minorEastAsia"/>
          <w:b w:val="0"/>
          <w:bCs w:val="0"/>
          <w:snapToGrid/>
          <w:spacing w:val="0"/>
          <w:kern w:val="21"/>
          <w:sz w:val="24"/>
          <w:szCs w:val="24"/>
          <w:highlight w:val="none"/>
          <w:lang w:val="en-US" w:eastAsia="zh-CN" w:bidi="ar"/>
        </w:rPr>
        <w:t>010-</w:t>
      </w:r>
      <w:r>
        <w:rPr>
          <w:rFonts w:hint="eastAsia" w:asciiTheme="minorEastAsia" w:hAnsiTheme="minorEastAsia" w:eastAsiaTheme="minorEastAsia" w:cstheme="minorEastAsia"/>
          <w:b w:val="0"/>
          <w:bCs w:val="0"/>
          <w:snapToGrid/>
          <w:spacing w:val="0"/>
          <w:kern w:val="21"/>
          <w:sz w:val="24"/>
          <w:szCs w:val="24"/>
          <w:highlight w:val="none"/>
          <w:lang w:bidi="ar"/>
        </w:rPr>
        <w:t>69415773</w:t>
      </w:r>
    </w:p>
    <w:p w14:paraId="40E83AA3">
      <w:pPr>
        <w:keepNext w:val="0"/>
        <w:keepLines w:val="0"/>
        <w:pageBreakBefore w:val="0"/>
        <w:widowControl w:val="0"/>
        <w:kinsoku/>
        <w:wordWrap w:val="0"/>
        <w:overflowPunct/>
        <w:topLinePunct/>
        <w:autoSpaceDE/>
        <w:autoSpaceDN/>
        <w:bidi w:val="0"/>
        <w:spacing w:line="360" w:lineRule="auto"/>
        <w:jc w:val="center"/>
        <w:outlineLvl w:val="0"/>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bookmarkStart w:id="34" w:name="_Toc127161488"/>
      <w:bookmarkStart w:id="35" w:name="_Toc512937850"/>
      <w:bookmarkStart w:id="36" w:name="_Toc127151777"/>
      <w:bookmarkStart w:id="37" w:name="_Toc353873938"/>
      <w:bookmarkStart w:id="38" w:name="_Toc305158854"/>
      <w:bookmarkStart w:id="39" w:name="_Toc305158928"/>
      <w:bookmarkStart w:id="40" w:name="_Toc195842950"/>
      <w:bookmarkStart w:id="41" w:name="_Toc353825548"/>
      <w:bookmarkStart w:id="42" w:name="_Toc226965856"/>
      <w:bookmarkStart w:id="43" w:name="_Toc265228423"/>
      <w:bookmarkStart w:id="44" w:name="_Toc150774783"/>
      <w:bookmarkStart w:id="45" w:name="_Toc18744"/>
      <w:bookmarkStart w:id="46" w:name="_Toc264969275"/>
      <w:r>
        <w:rPr>
          <w:rFonts w:hint="eastAsia" w:asciiTheme="minorEastAsia" w:hAnsiTheme="minorEastAsia" w:eastAsiaTheme="minorEastAsia" w:cstheme="minorEastAsia"/>
          <w:b/>
          <w:bCs/>
          <w:snapToGrid/>
          <w:spacing w:val="0"/>
          <w:kern w:val="21"/>
          <w:sz w:val="24"/>
          <w:szCs w:val="24"/>
          <w:highlight w:val="none"/>
        </w:rPr>
        <w:t>第二章   供应商须知</w:t>
      </w:r>
      <w:bookmarkEnd w:id="34"/>
      <w:bookmarkEnd w:id="35"/>
      <w:bookmarkEnd w:id="36"/>
      <w:bookmarkEnd w:id="37"/>
      <w:bookmarkEnd w:id="38"/>
      <w:bookmarkEnd w:id="39"/>
      <w:bookmarkEnd w:id="40"/>
      <w:bookmarkEnd w:id="41"/>
      <w:bookmarkEnd w:id="42"/>
      <w:bookmarkEnd w:id="43"/>
      <w:bookmarkEnd w:id="44"/>
      <w:bookmarkEnd w:id="45"/>
      <w:bookmarkEnd w:id="46"/>
    </w:p>
    <w:p w14:paraId="3DC36023">
      <w:pPr>
        <w:keepNext w:val="0"/>
        <w:keepLines w:val="0"/>
        <w:pageBreakBefore w:val="0"/>
        <w:widowControl w:val="0"/>
        <w:tabs>
          <w:tab w:val="center" w:pos="4592"/>
          <w:tab w:val="left" w:pos="7860"/>
        </w:tabs>
        <w:kinsoku/>
        <w:wordWrap w:val="0"/>
        <w:overflowPunct/>
        <w:topLinePunct/>
        <w:autoSpaceDE/>
        <w:autoSpaceDN/>
        <w:bidi w:val="0"/>
        <w:spacing w:before="0"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bookmarkStart w:id="47" w:name="_Toc127151720"/>
      <w:bookmarkStart w:id="48" w:name="_Toc149720812"/>
      <w:bookmarkStart w:id="49" w:name="_Toc150480757"/>
      <w:bookmarkStart w:id="50" w:name="_Toc150774619"/>
      <w:bookmarkStart w:id="51" w:name="_Toc226965792"/>
      <w:bookmarkStart w:id="52" w:name="_Toc151193833"/>
      <w:bookmarkStart w:id="53" w:name="_Toc226965709"/>
      <w:bookmarkStart w:id="54" w:name="_Toc151193689"/>
      <w:bookmarkStart w:id="55" w:name="_Toc151193907"/>
      <w:bookmarkStart w:id="56" w:name="_Toc150509270"/>
      <w:bookmarkStart w:id="57" w:name="_Toc127161433"/>
      <w:bookmarkStart w:id="58" w:name="_Toc142311021"/>
      <w:bookmarkStart w:id="59" w:name="_Toc127151519"/>
      <w:bookmarkStart w:id="60" w:name="_Toc520356144"/>
      <w:bookmarkStart w:id="61" w:name="_Toc164229214"/>
      <w:bookmarkStart w:id="62" w:name="_Toc150774724"/>
      <w:bookmarkStart w:id="63" w:name="_Toc226337215"/>
      <w:bookmarkStart w:id="64" w:name="_Toc226309763"/>
      <w:bookmarkStart w:id="65" w:name="_Toc151193617"/>
      <w:bookmarkStart w:id="66" w:name="_Toc164229360"/>
      <w:bookmarkStart w:id="67" w:name="_Toc164608788"/>
      <w:bookmarkStart w:id="68" w:name="_Toc164351613"/>
      <w:bookmarkStart w:id="69" w:name="_Toc195842884"/>
      <w:bookmarkStart w:id="70" w:name="_Toc164608633"/>
      <w:bookmarkStart w:id="71" w:name="_Toc151193761"/>
      <w:bookmarkStart w:id="72" w:name="_Toc151190146"/>
      <w:r>
        <w:rPr>
          <w:rFonts w:hint="eastAsia" w:asciiTheme="minorEastAsia" w:hAnsiTheme="minorEastAsia" w:eastAsiaTheme="minorEastAsia" w:cstheme="minorEastAsia"/>
          <w:b w:val="0"/>
          <w:bCs w:val="0"/>
          <w:snapToGrid/>
          <w:spacing w:val="0"/>
          <w:kern w:val="21"/>
          <w:sz w:val="24"/>
          <w:szCs w:val="24"/>
          <w:highlight w:val="none"/>
        </w:rPr>
        <w:t>供应商须知资料表</w:t>
      </w:r>
    </w:p>
    <w:p w14:paraId="40D43E3E">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本表是对供应商须知的具体补充和修改，如有矛盾，均以本资料表为准。</w:t>
      </w:r>
    </w:p>
    <w:tbl>
      <w:tblPr>
        <w:tblStyle w:val="23"/>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51"/>
        <w:gridCol w:w="7341"/>
      </w:tblGrid>
      <w:tr w14:paraId="4C6A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988" w:type="dxa"/>
            <w:vAlign w:val="center"/>
          </w:tcPr>
          <w:p w14:paraId="6DD4266D">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条款号</w:t>
            </w:r>
          </w:p>
        </w:tc>
        <w:tc>
          <w:tcPr>
            <w:tcW w:w="1451" w:type="dxa"/>
            <w:vAlign w:val="center"/>
          </w:tcPr>
          <w:p w14:paraId="459E24CC">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条目</w:t>
            </w:r>
          </w:p>
        </w:tc>
        <w:tc>
          <w:tcPr>
            <w:tcW w:w="7341" w:type="dxa"/>
            <w:vAlign w:val="center"/>
          </w:tcPr>
          <w:p w14:paraId="5F227884">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内容</w:t>
            </w:r>
          </w:p>
        </w:tc>
      </w:tr>
      <w:tr w14:paraId="202A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4952966B">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2.2</w:t>
            </w:r>
          </w:p>
        </w:tc>
        <w:tc>
          <w:tcPr>
            <w:tcW w:w="1451" w:type="dxa"/>
            <w:vAlign w:val="center"/>
          </w:tcPr>
          <w:p w14:paraId="67681594">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项目属性</w:t>
            </w:r>
          </w:p>
        </w:tc>
        <w:tc>
          <w:tcPr>
            <w:tcW w:w="7341" w:type="dxa"/>
            <w:vAlign w:val="center"/>
          </w:tcPr>
          <w:p w14:paraId="0377D4CA">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项目属性：</w:t>
            </w:r>
          </w:p>
          <w:p w14:paraId="66B399B2">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服务</w:t>
            </w:r>
          </w:p>
          <w:p w14:paraId="258EAD66">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□货物</w:t>
            </w:r>
          </w:p>
          <w:p w14:paraId="2427C484">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u w:val="single"/>
              </w:rPr>
            </w:pPr>
            <w:r>
              <w:rPr>
                <w:rFonts w:hint="eastAsia" w:asciiTheme="minorEastAsia" w:hAnsiTheme="minorEastAsia" w:eastAsiaTheme="minorEastAsia" w:cstheme="minorEastAsia"/>
                <w:b w:val="0"/>
                <w:bCs w:val="0"/>
                <w:snapToGrid/>
                <w:spacing w:val="0"/>
                <w:kern w:val="21"/>
                <w:sz w:val="24"/>
                <w:szCs w:val="24"/>
                <w:highlight w:val="none"/>
              </w:rPr>
              <w:t>□工程</w:t>
            </w:r>
          </w:p>
        </w:tc>
      </w:tr>
      <w:tr w14:paraId="1AAA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4EF32BAA">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2.3</w:t>
            </w:r>
          </w:p>
        </w:tc>
        <w:tc>
          <w:tcPr>
            <w:tcW w:w="1451" w:type="dxa"/>
            <w:vAlign w:val="center"/>
          </w:tcPr>
          <w:p w14:paraId="0076CD13">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科研仪器设备</w:t>
            </w:r>
          </w:p>
        </w:tc>
        <w:tc>
          <w:tcPr>
            <w:tcW w:w="7341" w:type="dxa"/>
            <w:vAlign w:val="center"/>
          </w:tcPr>
          <w:p w14:paraId="19F37565">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是否属于科研仪器设备采购项目：</w:t>
            </w:r>
          </w:p>
          <w:p w14:paraId="0C1BA717">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□是</w:t>
            </w:r>
          </w:p>
          <w:p w14:paraId="3899A14A">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否</w:t>
            </w:r>
          </w:p>
        </w:tc>
      </w:tr>
      <w:tr w14:paraId="19BB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Merge w:val="restart"/>
            <w:vAlign w:val="center"/>
          </w:tcPr>
          <w:p w14:paraId="3F809666">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3.1</w:t>
            </w:r>
          </w:p>
        </w:tc>
        <w:tc>
          <w:tcPr>
            <w:tcW w:w="1451" w:type="dxa"/>
            <w:vAlign w:val="center"/>
          </w:tcPr>
          <w:p w14:paraId="62760E1B">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现场考察</w:t>
            </w:r>
          </w:p>
        </w:tc>
        <w:tc>
          <w:tcPr>
            <w:tcW w:w="7341" w:type="dxa"/>
            <w:vAlign w:val="center"/>
          </w:tcPr>
          <w:p w14:paraId="0B69D242">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不组织</w:t>
            </w:r>
          </w:p>
          <w:p w14:paraId="586511B3">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□组织，考察时间：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日</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点</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分</w:t>
            </w:r>
          </w:p>
          <w:p w14:paraId="32019DE5">
            <w:pPr>
              <w:pStyle w:val="14"/>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考察地点：</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rPr>
              <w:t>。</w:t>
            </w:r>
          </w:p>
        </w:tc>
      </w:tr>
      <w:tr w14:paraId="4F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Merge w:val="continue"/>
            <w:vAlign w:val="center"/>
          </w:tcPr>
          <w:p w14:paraId="2B027335">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451" w:type="dxa"/>
            <w:vAlign w:val="center"/>
          </w:tcPr>
          <w:p w14:paraId="7D13135B">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磋商前答疑会</w:t>
            </w:r>
          </w:p>
        </w:tc>
        <w:tc>
          <w:tcPr>
            <w:tcW w:w="7341" w:type="dxa"/>
            <w:vAlign w:val="center"/>
          </w:tcPr>
          <w:p w14:paraId="3E3A702E">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不召开</w:t>
            </w:r>
          </w:p>
          <w:p w14:paraId="2722C51C">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□召开，召开时间：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日</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点</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bidi="ar"/>
              </w:rPr>
              <w:t>分</w:t>
            </w:r>
          </w:p>
          <w:p w14:paraId="26E89AA4">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召开地点：</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rPr>
              <w:t>。</w:t>
            </w:r>
          </w:p>
        </w:tc>
      </w:tr>
      <w:tr w14:paraId="35E7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44ACF9E4">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4.</w:t>
            </w:r>
            <w:r>
              <w:rPr>
                <w:rFonts w:hint="eastAsia" w:asciiTheme="minorEastAsia" w:hAnsiTheme="minorEastAsia" w:eastAsiaTheme="minorEastAsia" w:cstheme="minorEastAsia"/>
                <w:b w:val="0"/>
                <w:bCs w:val="0"/>
                <w:snapToGrid/>
                <w:spacing w:val="0"/>
                <w:kern w:val="21"/>
                <w:sz w:val="24"/>
                <w:szCs w:val="24"/>
                <w:highlight w:val="none"/>
                <w:lang w:val="en-US" w:eastAsia="zh-CN"/>
              </w:rPr>
              <w:t>3</w:t>
            </w:r>
            <w:r>
              <w:rPr>
                <w:rFonts w:hint="eastAsia" w:asciiTheme="minorEastAsia" w:hAnsiTheme="minorEastAsia" w:eastAsiaTheme="minorEastAsia" w:cstheme="minorEastAsia"/>
                <w:b w:val="0"/>
                <w:bCs w:val="0"/>
                <w:snapToGrid/>
                <w:spacing w:val="0"/>
                <w:kern w:val="21"/>
                <w:sz w:val="24"/>
                <w:szCs w:val="24"/>
                <w:highlight w:val="none"/>
              </w:rPr>
              <w:t>.5</w:t>
            </w:r>
          </w:p>
        </w:tc>
        <w:tc>
          <w:tcPr>
            <w:tcW w:w="1451" w:type="dxa"/>
            <w:vAlign w:val="center"/>
          </w:tcPr>
          <w:p w14:paraId="62E25AE4">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标的所属行业</w:t>
            </w:r>
          </w:p>
        </w:tc>
        <w:tc>
          <w:tcPr>
            <w:tcW w:w="7341" w:type="dxa"/>
            <w:vAlign w:val="center"/>
          </w:tcPr>
          <w:p w14:paraId="1ADCA0CB">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本项目采购标的对应的中小企业划分标准所属行业：</w:t>
            </w:r>
          </w:p>
          <w:tbl>
            <w:tblPr>
              <w:tblStyle w:val="23"/>
              <w:tblW w:w="7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900"/>
              <w:gridCol w:w="3361"/>
            </w:tblGrid>
            <w:tr w14:paraId="777A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vAlign w:val="center"/>
                </w:tcPr>
                <w:p w14:paraId="0E9ABC78">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包号</w:t>
                  </w:r>
                </w:p>
              </w:tc>
              <w:tc>
                <w:tcPr>
                  <w:tcW w:w="2900" w:type="dxa"/>
                  <w:tcBorders>
                    <w:top w:val="single" w:color="auto" w:sz="4" w:space="0"/>
                    <w:left w:val="single" w:color="auto" w:sz="4" w:space="0"/>
                    <w:bottom w:val="single" w:color="auto" w:sz="4" w:space="0"/>
                    <w:right w:val="single" w:color="auto" w:sz="4" w:space="0"/>
                  </w:tcBorders>
                  <w:vAlign w:val="center"/>
                </w:tcPr>
                <w:p w14:paraId="422953A3">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标的名称</w:t>
                  </w:r>
                </w:p>
              </w:tc>
              <w:tc>
                <w:tcPr>
                  <w:tcW w:w="3361" w:type="dxa"/>
                  <w:tcBorders>
                    <w:top w:val="single" w:color="auto" w:sz="4" w:space="0"/>
                    <w:left w:val="single" w:color="auto" w:sz="4" w:space="0"/>
                    <w:bottom w:val="single" w:color="auto" w:sz="4" w:space="0"/>
                    <w:right w:val="single" w:color="auto" w:sz="4" w:space="0"/>
                  </w:tcBorders>
                  <w:vAlign w:val="center"/>
                </w:tcPr>
                <w:p w14:paraId="7BD1724C">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中小企业划分标准所属行业</w:t>
                  </w:r>
                </w:p>
              </w:tc>
            </w:tr>
            <w:tr w14:paraId="3AE3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 w:type="dxa"/>
                  <w:tcBorders>
                    <w:top w:val="single" w:color="auto" w:sz="4" w:space="0"/>
                    <w:left w:val="single" w:color="auto" w:sz="4" w:space="0"/>
                    <w:bottom w:val="single" w:color="auto" w:sz="4" w:space="0"/>
                    <w:right w:val="single" w:color="auto" w:sz="4" w:space="0"/>
                  </w:tcBorders>
                  <w:vAlign w:val="center"/>
                </w:tcPr>
                <w:p w14:paraId="34A25D4B">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01</w:t>
                  </w:r>
                </w:p>
              </w:tc>
              <w:tc>
                <w:tcPr>
                  <w:tcW w:w="2900" w:type="dxa"/>
                  <w:tcBorders>
                    <w:top w:val="single" w:color="auto" w:sz="4" w:space="0"/>
                    <w:left w:val="single" w:color="auto" w:sz="4" w:space="0"/>
                    <w:bottom w:val="single" w:color="auto" w:sz="4" w:space="0"/>
                    <w:right w:val="single" w:color="auto" w:sz="4" w:space="0"/>
                  </w:tcBorders>
                  <w:vAlign w:val="center"/>
                </w:tcPr>
                <w:p w14:paraId="2A1F054F">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lang w:eastAsia="zh-CN"/>
                    </w:rPr>
                    <w:t>2026年牛栏山镇大气精细化治理项目</w:t>
                  </w:r>
                </w:p>
              </w:tc>
              <w:tc>
                <w:tcPr>
                  <w:tcW w:w="3361" w:type="dxa"/>
                  <w:tcBorders>
                    <w:top w:val="single" w:color="auto" w:sz="4" w:space="0"/>
                    <w:left w:val="single" w:color="auto" w:sz="4" w:space="0"/>
                    <w:bottom w:val="single" w:color="auto" w:sz="4" w:space="0"/>
                    <w:right w:val="single" w:color="auto" w:sz="4" w:space="0"/>
                  </w:tcBorders>
                  <w:vAlign w:val="center"/>
                </w:tcPr>
                <w:p w14:paraId="37E5A40A">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其他未列明行业</w:t>
                  </w:r>
                </w:p>
              </w:tc>
            </w:tr>
          </w:tbl>
          <w:p w14:paraId="283BF5A9">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p>
        </w:tc>
      </w:tr>
      <w:tr w14:paraId="4C0D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2F7D15A5">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10.2</w:t>
            </w:r>
          </w:p>
        </w:tc>
        <w:tc>
          <w:tcPr>
            <w:tcW w:w="1451" w:type="dxa"/>
            <w:vAlign w:val="center"/>
          </w:tcPr>
          <w:p w14:paraId="6E9455FE">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报价</w:t>
            </w:r>
          </w:p>
        </w:tc>
        <w:tc>
          <w:tcPr>
            <w:tcW w:w="7341" w:type="dxa"/>
            <w:vAlign w:val="center"/>
          </w:tcPr>
          <w:p w14:paraId="0D64F3F0">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报价的特殊规定：</w:t>
            </w:r>
          </w:p>
          <w:p w14:paraId="241C9E9B">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无</w:t>
            </w:r>
          </w:p>
          <w:p w14:paraId="794CE0D2">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□有，具体情形：</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rPr>
              <w:t>。。</w:t>
            </w:r>
          </w:p>
        </w:tc>
      </w:tr>
      <w:tr w14:paraId="0938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4B9E9046">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11.1</w:t>
            </w:r>
          </w:p>
        </w:tc>
        <w:tc>
          <w:tcPr>
            <w:tcW w:w="1451" w:type="dxa"/>
            <w:vMerge w:val="restart"/>
            <w:vAlign w:val="center"/>
          </w:tcPr>
          <w:p w14:paraId="5EC8FCF9">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磋商保证金</w:t>
            </w:r>
          </w:p>
        </w:tc>
        <w:tc>
          <w:tcPr>
            <w:tcW w:w="7341" w:type="dxa"/>
            <w:vAlign w:val="center"/>
          </w:tcPr>
          <w:p w14:paraId="687F1FA2">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本项目（</w:t>
            </w:r>
            <w:r>
              <w:rPr>
                <w:rFonts w:hint="eastAsia" w:asciiTheme="minorEastAsia" w:hAnsiTheme="minorEastAsia" w:eastAsiaTheme="minorEastAsia" w:cstheme="minorEastAsia"/>
                <w:b w:val="0"/>
                <w:bCs w:val="0"/>
                <w:snapToGrid/>
                <w:spacing w:val="0"/>
                <w:kern w:val="21"/>
                <w:sz w:val="24"/>
                <w:szCs w:val="24"/>
                <w:highlight w:val="none"/>
              </w:rPr>
              <w:t>□</w:t>
            </w: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收取 ■不收取）磋商保证金</w:t>
            </w:r>
          </w:p>
          <w:p w14:paraId="3D7A1311">
            <w:pPr>
              <w:keepNext w:val="0"/>
              <w:keepLines w:val="0"/>
              <w:pageBreakBefore w:val="0"/>
              <w:widowControl w:val="0"/>
              <w:shd w:val="clear"/>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kern w:val="21"/>
                <w:sz w:val="24"/>
                <w:szCs w:val="24"/>
                <w:highlight w:val="none"/>
              </w:rPr>
              <w:t>磋商保证金金额</w:t>
            </w: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（人民币）</w:t>
            </w:r>
            <w:r>
              <w:rPr>
                <w:rFonts w:hint="eastAsia" w:asciiTheme="minorEastAsia" w:hAnsiTheme="minorEastAsia" w:eastAsiaTheme="minorEastAsia" w:cstheme="minorEastAsia"/>
                <w:b w:val="0"/>
                <w:bCs w:val="0"/>
                <w:snapToGrid/>
                <w:color w:val="auto"/>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lang w:eastAsia="zh-CN"/>
              </w:rPr>
              <w:t>；</w:t>
            </w:r>
          </w:p>
          <w:p w14:paraId="137390FA">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4"/>
                <w:szCs w:val="24"/>
                <w:highlight w:val="none"/>
              </w:rPr>
            </w:pPr>
            <w:r>
              <w:rPr>
                <w:rFonts w:hint="eastAsia" w:asciiTheme="minorEastAsia" w:hAnsiTheme="minorEastAsia" w:eastAsiaTheme="minorEastAsia" w:cstheme="minorEastAsia"/>
                <w:b w:val="0"/>
                <w:bCs w:val="0"/>
                <w:snapToGrid/>
                <w:color w:val="auto"/>
                <w:spacing w:val="0"/>
                <w:kern w:val="21"/>
                <w:sz w:val="24"/>
                <w:szCs w:val="24"/>
                <w:highlight w:val="none"/>
                <w:lang w:eastAsia="zh-CN"/>
              </w:rPr>
              <w:t>磋商</w:t>
            </w:r>
            <w:r>
              <w:rPr>
                <w:rFonts w:hint="eastAsia" w:asciiTheme="minorEastAsia" w:hAnsiTheme="minorEastAsia" w:eastAsiaTheme="minorEastAsia" w:cstheme="minorEastAsia"/>
                <w:b w:val="0"/>
                <w:bCs w:val="0"/>
                <w:snapToGrid/>
                <w:color w:val="auto"/>
                <w:spacing w:val="0"/>
                <w:kern w:val="21"/>
                <w:sz w:val="24"/>
                <w:szCs w:val="24"/>
                <w:highlight w:val="none"/>
              </w:rPr>
              <w:t>保证金递交截止</w:t>
            </w: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时间</w:t>
            </w:r>
            <w:r>
              <w:rPr>
                <w:rFonts w:hint="eastAsia" w:asciiTheme="minorEastAsia" w:hAnsiTheme="minorEastAsia" w:eastAsiaTheme="minorEastAsia" w:cstheme="minorEastAsia"/>
                <w:b w:val="0"/>
                <w:bCs w:val="0"/>
                <w:snapToGrid/>
                <w:color w:val="auto"/>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color w:val="auto"/>
                <w:spacing w:val="0"/>
                <w:kern w:val="21"/>
                <w:sz w:val="24"/>
                <w:szCs w:val="24"/>
                <w:highlight w:val="none"/>
              </w:rPr>
              <w:t>；</w:t>
            </w:r>
          </w:p>
          <w:p w14:paraId="28CDB24E">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4"/>
                <w:szCs w:val="24"/>
                <w:highlight w:val="none"/>
              </w:rPr>
            </w:pPr>
            <w:r>
              <w:rPr>
                <w:rFonts w:hint="eastAsia" w:asciiTheme="minorEastAsia" w:hAnsiTheme="minorEastAsia" w:eastAsiaTheme="minorEastAsia" w:cstheme="minorEastAsia"/>
                <w:b w:val="0"/>
                <w:bCs w:val="0"/>
                <w:snapToGrid/>
                <w:color w:val="auto"/>
                <w:spacing w:val="0"/>
                <w:kern w:val="21"/>
                <w:sz w:val="24"/>
                <w:szCs w:val="24"/>
                <w:highlight w:val="none"/>
              </w:rPr>
              <w:t>有效期：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color w:val="auto"/>
                <w:spacing w:val="0"/>
                <w:kern w:val="21"/>
                <w:sz w:val="24"/>
                <w:szCs w:val="24"/>
                <w:highlight w:val="none"/>
              </w:rPr>
              <w:t>；</w:t>
            </w:r>
          </w:p>
          <w:p w14:paraId="6E5796AD">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4"/>
                <w:szCs w:val="24"/>
                <w:highlight w:val="none"/>
              </w:rPr>
            </w:pPr>
            <w:r>
              <w:rPr>
                <w:rFonts w:hint="eastAsia" w:asciiTheme="minorEastAsia" w:hAnsiTheme="minorEastAsia" w:eastAsiaTheme="minorEastAsia" w:cstheme="minorEastAsia"/>
                <w:b w:val="0"/>
                <w:bCs w:val="0"/>
                <w:snapToGrid/>
                <w:color w:val="auto"/>
                <w:spacing w:val="0"/>
                <w:kern w:val="21"/>
                <w:sz w:val="24"/>
                <w:szCs w:val="24"/>
                <w:highlight w:val="none"/>
                <w:lang w:eastAsia="zh-CN"/>
              </w:rPr>
              <w:t>磋商</w:t>
            </w:r>
            <w:r>
              <w:rPr>
                <w:rFonts w:hint="eastAsia" w:asciiTheme="minorEastAsia" w:hAnsiTheme="minorEastAsia" w:eastAsiaTheme="minorEastAsia" w:cstheme="minorEastAsia"/>
                <w:b w:val="0"/>
                <w:bCs w:val="0"/>
                <w:snapToGrid/>
                <w:color w:val="auto"/>
                <w:spacing w:val="0"/>
                <w:kern w:val="21"/>
                <w:sz w:val="24"/>
                <w:szCs w:val="24"/>
                <w:highlight w:val="none"/>
              </w:rPr>
              <w:t>保证金形式：</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color w:val="auto"/>
                <w:spacing w:val="0"/>
                <w:kern w:val="21"/>
                <w:sz w:val="24"/>
                <w:szCs w:val="24"/>
                <w:highlight w:val="none"/>
              </w:rPr>
              <w:t>；</w:t>
            </w:r>
          </w:p>
          <w:p w14:paraId="3D7BDFAD">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账户名称：</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w:t>
            </w:r>
          </w:p>
          <w:p w14:paraId="2CFFC8FC">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银行账号：</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w:t>
            </w:r>
          </w:p>
          <w:p w14:paraId="739A3987">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开户行：</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color w:val="auto"/>
                <w:spacing w:val="0"/>
                <w:kern w:val="21"/>
                <w:sz w:val="24"/>
                <w:szCs w:val="24"/>
                <w:highlight w:val="none"/>
                <w:lang w:val="en-US" w:eastAsia="zh-CN"/>
              </w:rPr>
              <w:t>；</w:t>
            </w:r>
          </w:p>
        </w:tc>
      </w:tr>
      <w:tr w14:paraId="6FDD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5F8F07EA">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11.</w:t>
            </w:r>
            <w:r>
              <w:rPr>
                <w:rFonts w:hint="eastAsia" w:asciiTheme="minorEastAsia" w:hAnsiTheme="minorEastAsia" w:eastAsiaTheme="minorEastAsia" w:cstheme="minorEastAsia"/>
                <w:b w:val="0"/>
                <w:bCs w:val="0"/>
                <w:snapToGrid/>
                <w:spacing w:val="0"/>
                <w:kern w:val="21"/>
                <w:sz w:val="24"/>
                <w:szCs w:val="24"/>
                <w:highlight w:val="none"/>
                <w:lang w:val="en-US" w:eastAsia="zh-CN"/>
              </w:rPr>
              <w:t>8</w:t>
            </w:r>
            <w:r>
              <w:rPr>
                <w:rFonts w:hint="eastAsia" w:asciiTheme="minorEastAsia" w:hAnsiTheme="minorEastAsia" w:eastAsiaTheme="minorEastAsia" w:cstheme="minorEastAsia"/>
                <w:b w:val="0"/>
                <w:bCs w:val="0"/>
                <w:snapToGrid/>
                <w:spacing w:val="0"/>
                <w:kern w:val="21"/>
                <w:sz w:val="24"/>
                <w:szCs w:val="24"/>
                <w:highlight w:val="none"/>
              </w:rPr>
              <w:t>.5</w:t>
            </w:r>
          </w:p>
        </w:tc>
        <w:tc>
          <w:tcPr>
            <w:tcW w:w="1451" w:type="dxa"/>
            <w:vMerge w:val="continue"/>
            <w:vAlign w:val="center"/>
          </w:tcPr>
          <w:p w14:paraId="5E260679">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7341" w:type="dxa"/>
            <w:vAlign w:val="center"/>
          </w:tcPr>
          <w:p w14:paraId="5489C595">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磋商保证金不予退还的其他情形：</w:t>
            </w:r>
          </w:p>
          <w:p w14:paraId="7645A38F">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rPr>
              <w:t>无</w:t>
            </w:r>
          </w:p>
          <w:p w14:paraId="64C4B5A2">
            <w:pPr>
              <w:pStyle w:val="14"/>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□有，具体情形：</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r>
              <w:rPr>
                <w:rFonts w:hint="eastAsia" w:asciiTheme="minorEastAsia" w:hAnsiTheme="minorEastAsia" w:eastAsiaTheme="minorEastAsia" w:cstheme="minorEastAsia"/>
                <w:b w:val="0"/>
                <w:bCs w:val="0"/>
                <w:snapToGrid/>
                <w:spacing w:val="0"/>
                <w:kern w:val="21"/>
                <w:sz w:val="24"/>
                <w:szCs w:val="24"/>
                <w:highlight w:val="none"/>
              </w:rPr>
              <w:t>。</w:t>
            </w:r>
          </w:p>
        </w:tc>
      </w:tr>
      <w:tr w14:paraId="5159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4C783489">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12.1</w:t>
            </w:r>
          </w:p>
        </w:tc>
        <w:tc>
          <w:tcPr>
            <w:tcW w:w="1451" w:type="dxa"/>
            <w:vAlign w:val="center"/>
          </w:tcPr>
          <w:p w14:paraId="4DAD16C4">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响应有效期</w:t>
            </w:r>
          </w:p>
        </w:tc>
        <w:tc>
          <w:tcPr>
            <w:tcW w:w="7341" w:type="dxa"/>
            <w:vAlign w:val="center"/>
          </w:tcPr>
          <w:p w14:paraId="4F883042">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自提交响应文件的截止之日起算</w:t>
            </w:r>
            <w:r>
              <w:rPr>
                <w:rFonts w:hint="eastAsia" w:asciiTheme="minorEastAsia" w:hAnsiTheme="minorEastAsia" w:eastAsiaTheme="minorEastAsia" w:cstheme="minorEastAsia"/>
                <w:b w:val="0"/>
                <w:bCs w:val="0"/>
                <w:snapToGrid/>
                <w:spacing w:val="0"/>
                <w:kern w:val="21"/>
                <w:sz w:val="24"/>
                <w:szCs w:val="24"/>
                <w:highlight w:val="none"/>
                <w:u w:val="single"/>
              </w:rPr>
              <w:t>90</w:t>
            </w:r>
            <w:r>
              <w:rPr>
                <w:rFonts w:hint="eastAsia" w:asciiTheme="minorEastAsia" w:hAnsiTheme="minorEastAsia" w:eastAsiaTheme="minorEastAsia" w:cstheme="minorEastAsia"/>
                <w:b w:val="0"/>
                <w:bCs w:val="0"/>
                <w:snapToGrid/>
                <w:spacing w:val="0"/>
                <w:kern w:val="21"/>
                <w:sz w:val="24"/>
                <w:szCs w:val="24"/>
                <w:highlight w:val="none"/>
              </w:rPr>
              <w:t>日历天。</w:t>
            </w:r>
          </w:p>
        </w:tc>
      </w:tr>
      <w:tr w14:paraId="3F0B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4C33ECDA">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17.2</w:t>
            </w:r>
          </w:p>
        </w:tc>
        <w:tc>
          <w:tcPr>
            <w:tcW w:w="1451" w:type="dxa"/>
            <w:vAlign w:val="center"/>
          </w:tcPr>
          <w:p w14:paraId="7426599F">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解密时间</w:t>
            </w:r>
          </w:p>
        </w:tc>
        <w:tc>
          <w:tcPr>
            <w:tcW w:w="7341" w:type="dxa"/>
            <w:vAlign w:val="center"/>
          </w:tcPr>
          <w:p w14:paraId="16CAC56B">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rPr>
              <w:t>解密时间：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30</w:t>
            </w:r>
            <w:r>
              <w:rPr>
                <w:rFonts w:hint="eastAsia" w:asciiTheme="minorEastAsia" w:hAnsiTheme="minorEastAsia" w:eastAsiaTheme="minorEastAsia" w:cstheme="minorEastAsia"/>
                <w:b w:val="0"/>
                <w:bCs w:val="0"/>
                <w:snapToGrid/>
                <w:spacing w:val="0"/>
                <w:kern w:val="21"/>
                <w:sz w:val="24"/>
                <w:szCs w:val="24"/>
                <w:highlight w:val="none"/>
              </w:rPr>
              <w:t>分钟</w:t>
            </w:r>
            <w:r>
              <w:rPr>
                <w:rFonts w:hint="eastAsia" w:asciiTheme="minorEastAsia" w:hAnsiTheme="minorEastAsia" w:eastAsiaTheme="minorEastAsia" w:cstheme="minorEastAsia"/>
                <w:b w:val="0"/>
                <w:bCs w:val="0"/>
                <w:snapToGrid/>
                <w:spacing w:val="0"/>
                <w:kern w:val="21"/>
                <w:sz w:val="24"/>
                <w:szCs w:val="24"/>
                <w:highlight w:val="none"/>
                <w:lang w:eastAsia="zh-CN"/>
              </w:rPr>
              <w:t>；</w:t>
            </w:r>
          </w:p>
        </w:tc>
      </w:tr>
      <w:tr w14:paraId="0AFD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0240EC39">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20.1</w:t>
            </w:r>
          </w:p>
        </w:tc>
        <w:tc>
          <w:tcPr>
            <w:tcW w:w="1451" w:type="dxa"/>
            <w:vAlign w:val="center"/>
          </w:tcPr>
          <w:p w14:paraId="5D33B480">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成交供应商的确认</w:t>
            </w:r>
          </w:p>
        </w:tc>
        <w:tc>
          <w:tcPr>
            <w:tcW w:w="7341" w:type="dxa"/>
            <w:vAlign w:val="center"/>
          </w:tcPr>
          <w:p w14:paraId="18A030DF">
            <w:pPr>
              <w:pStyle w:val="14"/>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采购人是否</w:t>
            </w:r>
            <w:r>
              <w:rPr>
                <w:rFonts w:hint="eastAsia" w:asciiTheme="minorEastAsia" w:hAnsiTheme="minorEastAsia" w:eastAsiaTheme="minorEastAsia" w:cstheme="minorEastAsia"/>
                <w:b w:val="0"/>
                <w:bCs w:val="0"/>
                <w:snapToGrid/>
                <w:color w:val="000000"/>
                <w:spacing w:val="0"/>
                <w:kern w:val="21"/>
                <w:sz w:val="24"/>
                <w:szCs w:val="24"/>
                <w:highlight w:val="none"/>
              </w:rPr>
              <w:t>授权磋商小组直接确定成交供应商</w:t>
            </w:r>
            <w:r>
              <w:rPr>
                <w:rFonts w:hint="eastAsia" w:asciiTheme="minorEastAsia" w:hAnsiTheme="minorEastAsia" w:eastAsiaTheme="minorEastAsia" w:cstheme="minorEastAsia"/>
                <w:b w:val="0"/>
                <w:bCs w:val="0"/>
                <w:snapToGrid/>
                <w:spacing w:val="0"/>
                <w:kern w:val="21"/>
                <w:sz w:val="24"/>
                <w:szCs w:val="24"/>
                <w:highlight w:val="none"/>
              </w:rPr>
              <w:t>：</w:t>
            </w:r>
          </w:p>
          <w:p w14:paraId="45B5FE12">
            <w:pPr>
              <w:pStyle w:val="14"/>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■否</w:t>
            </w:r>
          </w:p>
          <w:p w14:paraId="2480A1AB">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□是</w:t>
            </w:r>
          </w:p>
          <w:p w14:paraId="2851F75F">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u w:val="single"/>
              </w:rPr>
            </w:pPr>
            <w:r>
              <w:rPr>
                <w:rFonts w:hint="eastAsia" w:asciiTheme="minorEastAsia" w:hAnsiTheme="minorEastAsia" w:eastAsiaTheme="minorEastAsia" w:cstheme="minorEastAsia"/>
                <w:b w:val="0"/>
                <w:bCs w:val="0"/>
                <w:snapToGrid/>
                <w:spacing w:val="0"/>
                <w:kern w:val="21"/>
                <w:sz w:val="24"/>
                <w:szCs w:val="24"/>
                <w:highlight w:val="none"/>
              </w:rPr>
              <w:t>成交候选人并列的，按照以下方式确定成交供应商：</w:t>
            </w:r>
            <w:r>
              <w:rPr>
                <w:rFonts w:hint="eastAsia" w:asciiTheme="minorEastAsia" w:hAnsiTheme="minorEastAsia" w:eastAsiaTheme="minorEastAsia" w:cstheme="minorEastAsia"/>
                <w:b w:val="0"/>
                <w:bCs w:val="0"/>
                <w:snapToGrid/>
                <w:spacing w:val="0"/>
                <w:kern w:val="21"/>
                <w:sz w:val="24"/>
                <w:szCs w:val="24"/>
                <w:highlight w:val="none"/>
                <w:u w:val="single"/>
              </w:rPr>
              <w:t>按照最后报价由低到高的顺序推荐。评审得分且最后报价相同的，按照技术指标优劣顺序推荐。</w:t>
            </w:r>
          </w:p>
        </w:tc>
      </w:tr>
      <w:tr w14:paraId="6392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691CFD24">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23.5</w:t>
            </w:r>
          </w:p>
        </w:tc>
        <w:tc>
          <w:tcPr>
            <w:tcW w:w="1451" w:type="dxa"/>
            <w:vAlign w:val="center"/>
          </w:tcPr>
          <w:p w14:paraId="2CB4D9D4">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分包</w:t>
            </w:r>
          </w:p>
        </w:tc>
        <w:tc>
          <w:tcPr>
            <w:tcW w:w="7341" w:type="dxa"/>
            <w:vAlign w:val="center"/>
          </w:tcPr>
          <w:p w14:paraId="524AC663">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本项目是否允许分包：</w:t>
            </w:r>
          </w:p>
          <w:p w14:paraId="70B708CF">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p w14:paraId="26781CB2">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u w:val="none"/>
              </w:rPr>
            </w:pPr>
            <w:r>
              <w:rPr>
                <w:rFonts w:hint="eastAsia" w:asciiTheme="minorEastAsia" w:hAnsiTheme="minorEastAsia" w:eastAsiaTheme="minorEastAsia" w:cstheme="minorEastAsia"/>
                <w:b w:val="0"/>
                <w:bCs w:val="0"/>
                <w:snapToGrid/>
                <w:spacing w:val="0"/>
                <w:kern w:val="21"/>
                <w:sz w:val="24"/>
                <w:szCs w:val="24"/>
                <w:highlight w:val="none"/>
              </w:rPr>
              <w:t>□允许，具体要求：</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p>
          <w:p w14:paraId="2F733826">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（1）可以分包履行的具体内容：</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p>
          <w:p w14:paraId="059F873C">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（2）允许分包的金额或者比例：</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p>
          <w:p w14:paraId="1F2F2425">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u w:val="single"/>
              </w:rPr>
            </w:pPr>
            <w:r>
              <w:rPr>
                <w:rFonts w:hint="eastAsia" w:asciiTheme="minorEastAsia" w:hAnsiTheme="minorEastAsia" w:eastAsiaTheme="minorEastAsia" w:cstheme="minorEastAsia"/>
                <w:b w:val="0"/>
                <w:bCs w:val="0"/>
                <w:snapToGrid/>
                <w:spacing w:val="0"/>
                <w:kern w:val="21"/>
                <w:sz w:val="24"/>
                <w:szCs w:val="24"/>
                <w:highlight w:val="none"/>
              </w:rPr>
              <w:t>（3）其他要求：</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  </w:t>
            </w:r>
          </w:p>
        </w:tc>
      </w:tr>
      <w:tr w14:paraId="615B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331BC225">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23.6</w:t>
            </w:r>
          </w:p>
        </w:tc>
        <w:tc>
          <w:tcPr>
            <w:tcW w:w="1451" w:type="dxa"/>
            <w:vAlign w:val="center"/>
          </w:tcPr>
          <w:p w14:paraId="64C71C75">
            <w:pPr>
              <w:keepNext w:val="0"/>
              <w:keepLines w:val="0"/>
              <w:pageBreakBefore w:val="0"/>
              <w:widowControl w:val="0"/>
              <w:suppressLineNumbers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bidi="ar"/>
              </w:rPr>
              <w:t>政采贷</w:t>
            </w:r>
          </w:p>
        </w:tc>
        <w:tc>
          <w:tcPr>
            <w:tcW w:w="7341" w:type="dxa"/>
            <w:vAlign w:val="center"/>
          </w:tcPr>
          <w:p w14:paraId="078AE207">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6962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28FD239F">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24.1.1</w:t>
            </w:r>
          </w:p>
        </w:tc>
        <w:tc>
          <w:tcPr>
            <w:tcW w:w="1451" w:type="dxa"/>
            <w:vAlign w:val="center"/>
          </w:tcPr>
          <w:p w14:paraId="2B0E6D8A">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询问</w:t>
            </w:r>
          </w:p>
        </w:tc>
        <w:tc>
          <w:tcPr>
            <w:tcW w:w="7341" w:type="dxa"/>
            <w:vAlign w:val="center"/>
          </w:tcPr>
          <w:p w14:paraId="5CFEDB61">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rPr>
              <w:t>询问送达形式：</w:t>
            </w:r>
            <w:r>
              <w:rPr>
                <w:rFonts w:hint="eastAsia" w:asciiTheme="minorEastAsia" w:hAnsiTheme="minorEastAsia" w:eastAsiaTheme="minorEastAsia" w:cstheme="minorEastAsia"/>
                <w:b w:val="0"/>
                <w:bCs w:val="0"/>
                <w:snapToGrid/>
                <w:spacing w:val="0"/>
                <w:kern w:val="21"/>
                <w:sz w:val="24"/>
                <w:szCs w:val="24"/>
                <w:highlight w:val="none"/>
                <w:u w:val="single"/>
              </w:rPr>
              <w:t>纸质</w:t>
            </w:r>
            <w:r>
              <w:rPr>
                <w:rFonts w:hint="eastAsia" w:asciiTheme="minorEastAsia" w:hAnsiTheme="minorEastAsia" w:eastAsiaTheme="minorEastAsia" w:cstheme="minorEastAsia"/>
                <w:b w:val="0"/>
                <w:bCs w:val="0"/>
                <w:snapToGrid/>
                <w:spacing w:val="0"/>
                <w:kern w:val="21"/>
                <w:sz w:val="24"/>
                <w:szCs w:val="24"/>
                <w:highlight w:val="none"/>
                <w:lang w:eastAsia="zh-CN"/>
              </w:rPr>
              <w:t>；</w:t>
            </w:r>
          </w:p>
        </w:tc>
      </w:tr>
      <w:tr w14:paraId="2C4D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3143709B">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24.3</w:t>
            </w:r>
          </w:p>
        </w:tc>
        <w:tc>
          <w:tcPr>
            <w:tcW w:w="1451" w:type="dxa"/>
            <w:vAlign w:val="center"/>
          </w:tcPr>
          <w:p w14:paraId="3589EB5B">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联系方式</w:t>
            </w:r>
          </w:p>
        </w:tc>
        <w:tc>
          <w:tcPr>
            <w:tcW w:w="7341" w:type="dxa"/>
            <w:vAlign w:val="center"/>
          </w:tcPr>
          <w:p w14:paraId="7B79130F">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接收询问和质疑的联系方式</w:t>
            </w:r>
          </w:p>
          <w:p w14:paraId="4D153363">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联系部门：</w:t>
            </w:r>
            <w:r>
              <w:rPr>
                <w:rFonts w:hint="eastAsia" w:asciiTheme="minorEastAsia" w:hAnsiTheme="minorEastAsia" w:eastAsiaTheme="minorEastAsia" w:cstheme="minorEastAsia"/>
                <w:b w:val="0"/>
                <w:bCs w:val="0"/>
                <w:snapToGrid/>
                <w:spacing w:val="0"/>
                <w:kern w:val="21"/>
                <w:sz w:val="24"/>
                <w:szCs w:val="24"/>
                <w:highlight w:val="none"/>
                <w:u w:val="single"/>
              </w:rPr>
              <w:t>北京中盛宇工程管理有限公司-招标部</w:t>
            </w:r>
            <w:r>
              <w:rPr>
                <w:rFonts w:hint="eastAsia" w:asciiTheme="minorEastAsia" w:hAnsiTheme="minorEastAsia" w:eastAsiaTheme="minorEastAsia" w:cstheme="minorEastAsia"/>
                <w:b w:val="0"/>
                <w:bCs w:val="0"/>
                <w:snapToGrid/>
                <w:spacing w:val="0"/>
                <w:kern w:val="21"/>
                <w:sz w:val="24"/>
                <w:szCs w:val="24"/>
                <w:highlight w:val="none"/>
              </w:rPr>
              <w:t>；</w:t>
            </w:r>
          </w:p>
          <w:p w14:paraId="64B37A2F">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联系电话：</w:t>
            </w:r>
            <w:r>
              <w:rPr>
                <w:rFonts w:hint="eastAsia" w:asciiTheme="minorEastAsia" w:hAnsiTheme="minorEastAsia" w:eastAsiaTheme="minorEastAsia" w:cstheme="minorEastAsia"/>
                <w:b w:val="0"/>
                <w:bCs w:val="0"/>
                <w:snapToGrid/>
                <w:spacing w:val="0"/>
                <w:kern w:val="21"/>
                <w:sz w:val="24"/>
                <w:szCs w:val="24"/>
                <w:highlight w:val="none"/>
                <w:u w:val="single"/>
                <w:lang w:eastAsia="zh-CN"/>
              </w:rPr>
              <w:t>王欣艳</w:t>
            </w:r>
            <w:r>
              <w:rPr>
                <w:rFonts w:hint="eastAsia" w:asciiTheme="minorEastAsia" w:hAnsiTheme="minorEastAsia" w:eastAsiaTheme="minorEastAsia" w:cstheme="minorEastAsia"/>
                <w:b w:val="0"/>
                <w:bCs w:val="0"/>
                <w:snapToGrid/>
                <w:spacing w:val="0"/>
                <w:kern w:val="21"/>
                <w:sz w:val="24"/>
                <w:szCs w:val="24"/>
                <w:highlight w:val="none"/>
                <w:u w:val="single"/>
              </w:rPr>
              <w:t>/69415773</w:t>
            </w:r>
            <w:r>
              <w:rPr>
                <w:rFonts w:hint="eastAsia" w:asciiTheme="minorEastAsia" w:hAnsiTheme="minorEastAsia" w:eastAsiaTheme="minorEastAsia" w:cstheme="minorEastAsia"/>
                <w:b w:val="0"/>
                <w:bCs w:val="0"/>
                <w:snapToGrid/>
                <w:spacing w:val="0"/>
                <w:kern w:val="21"/>
                <w:sz w:val="24"/>
                <w:szCs w:val="24"/>
                <w:highlight w:val="none"/>
              </w:rPr>
              <w:t>；</w:t>
            </w:r>
          </w:p>
          <w:p w14:paraId="14DA148E">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通讯地址：</w:t>
            </w:r>
            <w:r>
              <w:rPr>
                <w:rFonts w:hint="eastAsia" w:asciiTheme="minorEastAsia" w:hAnsiTheme="minorEastAsia" w:eastAsiaTheme="minorEastAsia" w:cstheme="minorEastAsia"/>
                <w:b w:val="0"/>
                <w:bCs w:val="0"/>
                <w:snapToGrid/>
                <w:spacing w:val="0"/>
                <w:kern w:val="21"/>
                <w:sz w:val="24"/>
                <w:szCs w:val="24"/>
                <w:highlight w:val="none"/>
                <w:u w:val="single"/>
              </w:rPr>
              <w:t>北京市顺义区双丰街道顺安南路12号一区26号楼北侧三层</w:t>
            </w:r>
            <w:r>
              <w:rPr>
                <w:rFonts w:hint="eastAsia" w:asciiTheme="minorEastAsia" w:hAnsiTheme="minorEastAsia" w:eastAsiaTheme="minorEastAsia" w:cstheme="minorEastAsia"/>
                <w:b w:val="0"/>
                <w:bCs w:val="0"/>
                <w:snapToGrid/>
                <w:spacing w:val="0"/>
                <w:kern w:val="21"/>
                <w:sz w:val="24"/>
                <w:szCs w:val="24"/>
                <w:highlight w:val="none"/>
              </w:rPr>
              <w:t>。</w:t>
            </w:r>
          </w:p>
        </w:tc>
      </w:tr>
      <w:tr w14:paraId="0908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Align w:val="center"/>
          </w:tcPr>
          <w:p w14:paraId="69DA32B9">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25</w:t>
            </w:r>
          </w:p>
        </w:tc>
        <w:tc>
          <w:tcPr>
            <w:tcW w:w="1451" w:type="dxa"/>
            <w:vAlign w:val="center"/>
          </w:tcPr>
          <w:p w14:paraId="728CD6AC">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代理费</w:t>
            </w:r>
          </w:p>
        </w:tc>
        <w:tc>
          <w:tcPr>
            <w:tcW w:w="7341" w:type="dxa"/>
            <w:vAlign w:val="center"/>
          </w:tcPr>
          <w:p w14:paraId="321C0307">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收费对象：</w:t>
            </w:r>
          </w:p>
          <w:p w14:paraId="64B0BE58">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采购人</w:t>
            </w:r>
          </w:p>
          <w:p w14:paraId="30652045">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■成交供应商</w:t>
            </w:r>
          </w:p>
          <w:p w14:paraId="7E216011">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u w:val="singl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采购代理服务费：</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参照发改价格【2015】299号文及下表收费标准，采用差额定率累进法计算，招标代理服务费收费按照成交金额为基数计取，在标准收费基础上，下浮25%。</w:t>
            </w:r>
          </w:p>
          <w:p w14:paraId="187E5B6F">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支付时间：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在成交供应商领取成交通知书当日一次性支付全部招标代理服务费。</w:t>
            </w:r>
          </w:p>
          <w:tbl>
            <w:tblPr>
              <w:tblStyle w:val="23"/>
              <w:tblW w:w="702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882"/>
              <w:gridCol w:w="3145"/>
            </w:tblGrid>
            <w:tr w14:paraId="6BBBB1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3" w:hRule="atLeast"/>
                <w:tblHeader/>
                <w:tblCellSpacing w:w="0" w:type="dxa"/>
                <w:jc w:val="center"/>
              </w:trPr>
              <w:tc>
                <w:tcPr>
                  <w:tcW w:w="3882" w:type="dxa"/>
                  <w:tcBorders>
                    <w:top w:val="outset" w:color="auto" w:sz="6" w:space="0"/>
                    <w:left w:val="outset" w:color="auto" w:sz="6" w:space="0"/>
                    <w:bottom w:val="outset" w:color="auto" w:sz="6" w:space="0"/>
                    <w:right w:val="outset" w:color="auto" w:sz="6" w:space="0"/>
                    <w:tl2br w:val="outset" w:color="auto" w:sz="6" w:space="0"/>
                  </w:tcBorders>
                  <w:noWrap w:val="0"/>
                  <w:vAlign w:val="center"/>
                </w:tcPr>
                <w:p w14:paraId="624EFB4E">
                  <w:pPr>
                    <w:keepNext w:val="0"/>
                    <w:keepLines w:val="0"/>
                    <w:pageBreakBefore w:val="0"/>
                    <w:widowControl w:val="0"/>
                    <w:kinsoku/>
                    <w:wordWrap w:val="0"/>
                    <w:overflowPunct/>
                    <w:topLinePunct/>
                    <w:autoSpaceDE/>
                    <w:autoSpaceDN/>
                    <w:bidi w:val="0"/>
                    <w:spacing w:line="360" w:lineRule="auto"/>
                    <w:jc w:val="right"/>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服务类型</w:t>
                  </w:r>
                </w:p>
                <w:p w14:paraId="026B647E">
                  <w:pPr>
                    <w:keepNext w:val="0"/>
                    <w:keepLines w:val="0"/>
                    <w:pageBreakBefore w:val="0"/>
                    <w:widowControl w:val="0"/>
                    <w:kinsoku/>
                    <w:wordWrap w:val="0"/>
                    <w:overflowPunct/>
                    <w:topLinePunct/>
                    <w:autoSpaceDE/>
                    <w:autoSpaceDN/>
                    <w:bidi w:val="0"/>
                    <w:spacing w:line="360" w:lineRule="auto"/>
                    <w:ind w:firstLine="240" w:firstLineChars="100"/>
                    <w:jc w:val="left"/>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中标金额</w:t>
                  </w:r>
                </w:p>
                <w:p w14:paraId="1336938F">
                  <w:pPr>
                    <w:keepNext w:val="0"/>
                    <w:keepLines w:val="0"/>
                    <w:pageBreakBefore w:val="0"/>
                    <w:widowControl w:val="0"/>
                    <w:kinsoku/>
                    <w:wordWrap w:val="0"/>
                    <w:overflowPunct/>
                    <w:topLinePunct/>
                    <w:autoSpaceDE/>
                    <w:autoSpaceDN/>
                    <w:bidi w:val="0"/>
                    <w:spacing w:line="360" w:lineRule="auto"/>
                    <w:ind w:firstLine="240" w:firstLineChars="100"/>
                    <w:jc w:val="left"/>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（万元）</w:t>
                  </w:r>
                </w:p>
              </w:tc>
              <w:tc>
                <w:tcPr>
                  <w:tcW w:w="3145" w:type="dxa"/>
                  <w:tcBorders>
                    <w:top w:val="outset" w:color="auto" w:sz="6" w:space="0"/>
                    <w:left w:val="outset" w:color="auto" w:sz="6" w:space="0"/>
                    <w:bottom w:val="outset" w:color="auto" w:sz="6" w:space="0"/>
                    <w:right w:val="outset" w:color="auto" w:sz="6" w:space="0"/>
                  </w:tcBorders>
                  <w:noWrap w:val="0"/>
                  <w:vAlign w:val="center"/>
                </w:tcPr>
                <w:p w14:paraId="7B131DB0">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服务招标</w:t>
                  </w:r>
                </w:p>
              </w:tc>
            </w:tr>
            <w:tr w14:paraId="2FB162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3" w:hRule="atLeast"/>
                <w:tblCellSpacing w:w="0" w:type="dxa"/>
                <w:jc w:val="center"/>
              </w:trPr>
              <w:tc>
                <w:tcPr>
                  <w:tcW w:w="3882" w:type="dxa"/>
                  <w:tcBorders>
                    <w:top w:val="outset" w:color="auto" w:sz="6" w:space="0"/>
                    <w:left w:val="outset" w:color="auto" w:sz="6" w:space="0"/>
                    <w:bottom w:val="outset" w:color="auto" w:sz="6" w:space="0"/>
                    <w:right w:val="outset" w:color="auto" w:sz="6" w:space="0"/>
                  </w:tcBorders>
                  <w:noWrap w:val="0"/>
                  <w:vAlign w:val="center"/>
                </w:tcPr>
                <w:p w14:paraId="32EF6B66">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100以下</w:t>
                  </w:r>
                </w:p>
              </w:tc>
              <w:tc>
                <w:tcPr>
                  <w:tcW w:w="3145" w:type="dxa"/>
                  <w:tcBorders>
                    <w:top w:val="outset" w:color="auto" w:sz="6" w:space="0"/>
                    <w:left w:val="outset" w:color="auto" w:sz="6" w:space="0"/>
                    <w:bottom w:val="outset" w:color="auto" w:sz="6" w:space="0"/>
                    <w:right w:val="outset" w:color="auto" w:sz="6" w:space="0"/>
                  </w:tcBorders>
                  <w:noWrap w:val="0"/>
                  <w:vAlign w:val="center"/>
                </w:tcPr>
                <w:p w14:paraId="5245D27D">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1.5％</w:t>
                  </w:r>
                </w:p>
              </w:tc>
            </w:tr>
            <w:tr w14:paraId="38FB51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3" w:hRule="atLeast"/>
                <w:tblCellSpacing w:w="0" w:type="dxa"/>
                <w:jc w:val="center"/>
              </w:trPr>
              <w:tc>
                <w:tcPr>
                  <w:tcW w:w="3882" w:type="dxa"/>
                  <w:tcBorders>
                    <w:top w:val="outset" w:color="auto" w:sz="6" w:space="0"/>
                    <w:left w:val="outset" w:color="auto" w:sz="6" w:space="0"/>
                    <w:bottom w:val="outset" w:color="auto" w:sz="6" w:space="0"/>
                    <w:right w:val="outset" w:color="auto" w:sz="6" w:space="0"/>
                  </w:tcBorders>
                  <w:noWrap w:val="0"/>
                  <w:vAlign w:val="center"/>
                </w:tcPr>
                <w:p w14:paraId="3CC7BFCF">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100—500</w:t>
                  </w:r>
                </w:p>
              </w:tc>
              <w:tc>
                <w:tcPr>
                  <w:tcW w:w="3145" w:type="dxa"/>
                  <w:tcBorders>
                    <w:top w:val="outset" w:color="auto" w:sz="6" w:space="0"/>
                    <w:left w:val="outset" w:color="auto" w:sz="6" w:space="0"/>
                    <w:bottom w:val="outset" w:color="auto" w:sz="6" w:space="0"/>
                    <w:right w:val="outset" w:color="auto" w:sz="6" w:space="0"/>
                  </w:tcBorders>
                  <w:noWrap w:val="0"/>
                  <w:vAlign w:val="center"/>
                </w:tcPr>
                <w:p w14:paraId="5279BBB9">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0.8％</w:t>
                  </w:r>
                </w:p>
              </w:tc>
            </w:tr>
            <w:tr w14:paraId="504100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3" w:hRule="atLeast"/>
                <w:tblCellSpacing w:w="0" w:type="dxa"/>
                <w:jc w:val="center"/>
              </w:trPr>
              <w:tc>
                <w:tcPr>
                  <w:tcW w:w="3882" w:type="dxa"/>
                  <w:tcBorders>
                    <w:top w:val="outset" w:color="auto" w:sz="6" w:space="0"/>
                    <w:left w:val="outset" w:color="auto" w:sz="6" w:space="0"/>
                    <w:bottom w:val="outset" w:color="auto" w:sz="6" w:space="0"/>
                    <w:right w:val="outset" w:color="auto" w:sz="6" w:space="0"/>
                  </w:tcBorders>
                  <w:noWrap w:val="0"/>
                  <w:vAlign w:val="center"/>
                </w:tcPr>
                <w:p w14:paraId="0F9D242B">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500—1000</w:t>
                  </w:r>
                </w:p>
              </w:tc>
              <w:tc>
                <w:tcPr>
                  <w:tcW w:w="3145" w:type="dxa"/>
                  <w:tcBorders>
                    <w:top w:val="outset" w:color="auto" w:sz="6" w:space="0"/>
                    <w:left w:val="outset" w:color="auto" w:sz="6" w:space="0"/>
                    <w:bottom w:val="outset" w:color="auto" w:sz="6" w:space="0"/>
                    <w:right w:val="outset" w:color="auto" w:sz="6" w:space="0"/>
                  </w:tcBorders>
                  <w:noWrap w:val="0"/>
                  <w:vAlign w:val="center"/>
                </w:tcPr>
                <w:p w14:paraId="2DA39462">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zh-CN"/>
                    </w:rPr>
                  </w:pPr>
                  <w:r>
                    <w:rPr>
                      <w:rFonts w:hint="eastAsia" w:asciiTheme="minorEastAsia" w:hAnsiTheme="minorEastAsia" w:eastAsiaTheme="minorEastAsia" w:cstheme="minorEastAsia"/>
                      <w:b w:val="0"/>
                      <w:bCs w:val="0"/>
                      <w:snapToGrid/>
                      <w:spacing w:val="0"/>
                      <w:kern w:val="21"/>
                      <w:sz w:val="24"/>
                      <w:szCs w:val="24"/>
                      <w:highlight w:val="none"/>
                      <w:lang w:val="zh-CN"/>
                    </w:rPr>
                    <w:t>0.45％</w:t>
                  </w:r>
                </w:p>
              </w:tc>
            </w:tr>
          </w:tbl>
          <w:p w14:paraId="0EBACF2D">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p>
        </w:tc>
      </w:tr>
      <w:tr w14:paraId="23E0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Merge w:val="restart"/>
            <w:vAlign w:val="center"/>
          </w:tcPr>
          <w:p w14:paraId="3FC65930">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26</w:t>
            </w:r>
          </w:p>
        </w:tc>
        <w:tc>
          <w:tcPr>
            <w:tcW w:w="1451" w:type="dxa"/>
            <w:shd w:val="clear" w:color="auto" w:fill="auto"/>
            <w:vAlign w:val="center"/>
          </w:tcPr>
          <w:p w14:paraId="03DD668B">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bidi="ar-SA"/>
              </w:rPr>
            </w:pPr>
            <w:r>
              <w:rPr>
                <w:rFonts w:hint="eastAsia" w:asciiTheme="minorEastAsia" w:hAnsiTheme="minorEastAsia" w:eastAsiaTheme="minorEastAsia" w:cstheme="minorEastAsia"/>
                <w:b w:val="0"/>
                <w:bCs w:val="0"/>
                <w:snapToGrid/>
                <w:spacing w:val="0"/>
                <w:kern w:val="21"/>
                <w:sz w:val="24"/>
                <w:szCs w:val="24"/>
                <w:highlight w:val="none"/>
              </w:rPr>
              <w:t>其他要求</w:t>
            </w:r>
          </w:p>
        </w:tc>
        <w:tc>
          <w:tcPr>
            <w:tcW w:w="7341" w:type="dxa"/>
            <w:shd w:val="clear" w:color="auto" w:fill="auto"/>
            <w:vAlign w:val="center"/>
          </w:tcPr>
          <w:p w14:paraId="65D8E302">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bidi="ar-SA"/>
              </w:rPr>
            </w:pPr>
            <w:r>
              <w:rPr>
                <w:rFonts w:hint="eastAsia" w:asciiTheme="minorEastAsia" w:hAnsiTheme="minorEastAsia" w:eastAsiaTheme="minorEastAsia" w:cstheme="minorEastAsia"/>
                <w:b w:val="0"/>
                <w:bCs w:val="0"/>
                <w:snapToGrid/>
                <w:spacing w:val="0"/>
                <w:kern w:val="21"/>
                <w:sz w:val="24"/>
                <w:szCs w:val="24"/>
                <w:highlight w:val="none"/>
              </w:rPr>
              <w:t>成交</w:t>
            </w:r>
            <w:r>
              <w:rPr>
                <w:rFonts w:hint="eastAsia" w:asciiTheme="minorEastAsia" w:hAnsiTheme="minorEastAsia" w:eastAsiaTheme="minorEastAsia" w:cstheme="minorEastAsia"/>
                <w:b w:val="0"/>
                <w:bCs w:val="0"/>
                <w:snapToGrid/>
                <w:spacing w:val="0"/>
                <w:kern w:val="21"/>
                <w:sz w:val="24"/>
                <w:szCs w:val="24"/>
                <w:highlight w:val="none"/>
                <w:lang w:val="en-US" w:eastAsia="zh-CN"/>
              </w:rPr>
              <w:t>供应商</w:t>
            </w:r>
            <w:r>
              <w:rPr>
                <w:rFonts w:hint="eastAsia" w:asciiTheme="minorEastAsia" w:hAnsiTheme="minorEastAsia" w:eastAsiaTheme="minorEastAsia" w:cstheme="minorEastAsia"/>
                <w:b w:val="0"/>
                <w:bCs w:val="0"/>
                <w:snapToGrid/>
                <w:spacing w:val="0"/>
                <w:kern w:val="21"/>
                <w:sz w:val="24"/>
                <w:szCs w:val="24"/>
                <w:highlight w:val="none"/>
              </w:rPr>
              <w:t>在领取成交通知书的当日，需提供加盖单位公章的纸质版响应文件2份及2份最后报价一览表和最后分项报价表。（响应文件必须与上传电子交易平台的电子文件内容保持一致）</w:t>
            </w:r>
          </w:p>
        </w:tc>
      </w:tr>
      <w:tr w14:paraId="6D16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vMerge w:val="continue"/>
            <w:shd w:val="clear" w:color="auto" w:fill="auto"/>
            <w:vAlign w:val="center"/>
          </w:tcPr>
          <w:p w14:paraId="187FC07E">
            <w:pPr>
              <w:pStyle w:val="14"/>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451" w:type="dxa"/>
            <w:shd w:val="clear" w:color="auto" w:fill="auto"/>
            <w:vAlign w:val="center"/>
          </w:tcPr>
          <w:p w14:paraId="168FCEAA">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磋商会方式</w:t>
            </w:r>
          </w:p>
        </w:tc>
        <w:tc>
          <w:tcPr>
            <w:tcW w:w="7341" w:type="dxa"/>
            <w:shd w:val="clear" w:color="auto" w:fill="auto"/>
            <w:vAlign w:val="center"/>
          </w:tcPr>
          <w:p w14:paraId="6F7EF7CA">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bidi="ar"/>
              </w:rPr>
            </w:pPr>
            <w:r>
              <w:rPr>
                <w:rFonts w:hint="eastAsia" w:asciiTheme="minorEastAsia" w:hAnsiTheme="minorEastAsia" w:eastAsiaTheme="minorEastAsia" w:cstheme="minorEastAsia"/>
                <w:b w:val="0"/>
                <w:bCs w:val="0"/>
                <w:snapToGrid/>
                <w:spacing w:val="0"/>
                <w:kern w:val="21"/>
                <w:sz w:val="24"/>
                <w:szCs w:val="24"/>
                <w:highlight w:val="none"/>
              </w:rPr>
              <w:t>1.本项目采用远程磋商方式；参与本项目的供应商无需到场；供应商于</w:t>
            </w:r>
            <w:r>
              <w:rPr>
                <w:rFonts w:hint="eastAsia" w:asciiTheme="minorEastAsia" w:hAnsiTheme="minorEastAsia" w:eastAsiaTheme="minorEastAsia" w:cstheme="minorEastAsia"/>
                <w:b w:val="0"/>
                <w:bCs w:val="0"/>
                <w:snapToGrid/>
                <w:spacing w:val="0"/>
                <w:kern w:val="21"/>
                <w:sz w:val="24"/>
                <w:szCs w:val="24"/>
                <w:highlight w:val="none"/>
                <w:lang w:val="zh-TW" w:eastAsia="zh-CN" w:bidi="ar"/>
              </w:rPr>
              <w:t>竞争性磋商</w:t>
            </w:r>
            <w:r>
              <w:rPr>
                <w:rFonts w:hint="eastAsia" w:asciiTheme="minorEastAsia" w:hAnsiTheme="minorEastAsia" w:eastAsiaTheme="minorEastAsia" w:cstheme="minorEastAsia"/>
                <w:b w:val="0"/>
                <w:bCs w:val="0"/>
                <w:snapToGrid/>
                <w:spacing w:val="0"/>
                <w:kern w:val="21"/>
                <w:sz w:val="24"/>
                <w:szCs w:val="24"/>
                <w:highlight w:val="none"/>
                <w:lang w:val="zh-TW" w:bidi="ar"/>
              </w:rPr>
              <w:t>规定的开启时间使用</w:t>
            </w:r>
            <w:r>
              <w:rPr>
                <w:rFonts w:hint="eastAsia" w:asciiTheme="minorEastAsia" w:hAnsiTheme="minorEastAsia" w:eastAsiaTheme="minorEastAsia" w:cstheme="minorEastAsia"/>
                <w:b w:val="0"/>
                <w:bCs w:val="0"/>
                <w:snapToGrid/>
                <w:spacing w:val="0"/>
                <w:kern w:val="21"/>
                <w:sz w:val="24"/>
                <w:szCs w:val="24"/>
                <w:highlight w:val="none"/>
                <w:lang w:bidi="ar"/>
              </w:rPr>
              <w:t>CA认证证书</w:t>
            </w:r>
            <w:r>
              <w:rPr>
                <w:rFonts w:hint="eastAsia" w:asciiTheme="minorEastAsia" w:hAnsiTheme="minorEastAsia" w:eastAsiaTheme="minorEastAsia" w:cstheme="minorEastAsia"/>
                <w:b w:val="0"/>
                <w:bCs w:val="0"/>
                <w:snapToGrid/>
                <w:spacing w:val="0"/>
                <w:kern w:val="21"/>
                <w:sz w:val="24"/>
                <w:szCs w:val="24"/>
                <w:highlight w:val="none"/>
                <w:lang w:val="zh-TW" w:bidi="ar"/>
              </w:rPr>
              <w:t>登录</w:t>
            </w:r>
            <w:r>
              <w:rPr>
                <w:rFonts w:hint="eastAsia" w:asciiTheme="minorEastAsia" w:hAnsiTheme="minorEastAsia" w:eastAsiaTheme="minorEastAsia" w:cstheme="minorEastAsia"/>
                <w:b w:val="0"/>
                <w:bCs w:val="0"/>
                <w:snapToGrid/>
                <w:spacing w:val="0"/>
                <w:kern w:val="21"/>
                <w:sz w:val="24"/>
                <w:szCs w:val="24"/>
                <w:highlight w:val="none"/>
                <w:lang w:bidi="ar"/>
              </w:rPr>
              <w:t>北京市政府采购电子交易平台解密并开启响应文件。如因供应商问题，解密不成功，则响应无效。</w:t>
            </w:r>
          </w:p>
          <w:p w14:paraId="41BE79C8">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2.响应人应在规定的时间内对响应文件进行解密，因非系统原因导致的解密失败，视为投标无效。</w:t>
            </w:r>
          </w:p>
          <w:p w14:paraId="729964F0">
            <w:pPr>
              <w:pStyle w:val="15"/>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3.待磋商小组下达最终报价指令后，供应商应在规定时间内在评标系统中上传最终报价</w:t>
            </w: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未按照磋商小组规定的时间、逾期提交最后报价的</w:t>
            </w:r>
            <w:r>
              <w:rPr>
                <w:rFonts w:hint="eastAsia" w:asciiTheme="minorEastAsia" w:hAnsiTheme="minorEastAsia" w:eastAsiaTheme="minorEastAsia" w:cstheme="minorEastAsia"/>
                <w:b w:val="0"/>
                <w:bCs w:val="0"/>
                <w:snapToGrid/>
                <w:spacing w:val="0"/>
                <w:kern w:val="21"/>
                <w:sz w:val="24"/>
                <w:szCs w:val="24"/>
              </w:rPr>
              <w:t>响应文件无效</w:t>
            </w:r>
            <w:r>
              <w:rPr>
                <w:rFonts w:hint="eastAsia" w:asciiTheme="minorEastAsia" w:hAnsiTheme="minorEastAsia" w:eastAsiaTheme="minorEastAsia" w:cstheme="minorEastAsia"/>
                <w:b w:val="0"/>
                <w:bCs w:val="0"/>
                <w:snapToGrid/>
                <w:spacing w:val="0"/>
                <w:kern w:val="21"/>
                <w:sz w:val="24"/>
                <w:szCs w:val="24"/>
                <w:highlight w:val="none"/>
              </w:rPr>
              <w:t>。</w:t>
            </w:r>
          </w:p>
        </w:tc>
      </w:tr>
    </w:tbl>
    <w:p w14:paraId="6979F100">
      <w:pPr>
        <w:keepNext w:val="0"/>
        <w:keepLines w:val="0"/>
        <w:pageBreakBefore w:val="0"/>
        <w:widowControl w:val="0"/>
        <w:tabs>
          <w:tab w:val="left" w:pos="5580"/>
        </w:tabs>
        <w:kinsoku/>
        <w:wordWrap w:val="0"/>
        <w:overflowPunct/>
        <w:topLinePunct/>
        <w:autoSpaceDE/>
        <w:autoSpaceDN/>
        <w:bidi w:val="0"/>
        <w:adjustRightInd w:val="0"/>
        <w:spacing w:line="360" w:lineRule="auto"/>
        <w:jc w:val="distribute"/>
        <w:outlineLvl w:val="9"/>
        <w:rPr>
          <w:rFonts w:hint="eastAsia" w:asciiTheme="minorEastAsia" w:hAnsiTheme="minorEastAsia" w:eastAsiaTheme="minorEastAsia" w:cstheme="minorEastAsia"/>
          <w:b w:val="0"/>
          <w:bCs w:val="0"/>
          <w:snapToGrid/>
          <w:spacing w:val="0"/>
          <w:kern w:val="21"/>
          <w:sz w:val="20"/>
          <w:szCs w:val="20"/>
          <w:highlight w:val="none"/>
        </w:rPr>
        <w:sectPr>
          <w:footerReference r:id="rId11" w:type="first"/>
          <w:footerReference r:id="rId9" w:type="default"/>
          <w:footerReference r:id="rId10" w:type="even"/>
          <w:pgSz w:w="11905" w:h="16838"/>
          <w:pgMar w:top="1440" w:right="1080" w:bottom="1440" w:left="1080" w:header="851" w:footer="850" w:gutter="0"/>
          <w:pgNumType w:fmt="decimal" w:start="1"/>
          <w:cols w:space="0" w:num="1"/>
          <w:titlePg/>
          <w:rtlGutter w:val="0"/>
          <w:docGrid w:linePitch="462" w:charSpace="0"/>
        </w:sectPr>
      </w:pPr>
    </w:p>
    <w:p w14:paraId="197E2D9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jc w:val="center"/>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供应商须知</w:t>
      </w:r>
    </w:p>
    <w:p w14:paraId="194B241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jc w:val="center"/>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73" w:name="_Toc150774723"/>
      <w:bookmarkStart w:id="74" w:name="_Toc151193688"/>
      <w:bookmarkStart w:id="75" w:name="_Toc264969208"/>
      <w:bookmarkStart w:id="76" w:name="_Toc151190145"/>
      <w:bookmarkStart w:id="77" w:name="_Toc226965791"/>
      <w:bookmarkStart w:id="78" w:name="_Toc142311020"/>
      <w:bookmarkStart w:id="79" w:name="_Toc150509269"/>
      <w:bookmarkStart w:id="80" w:name="_Toc226337214"/>
      <w:bookmarkStart w:id="81" w:name="_Toc226965708"/>
      <w:bookmarkStart w:id="82" w:name="_Toc127151518"/>
      <w:bookmarkStart w:id="83" w:name="_Toc226309762"/>
      <w:bookmarkStart w:id="84" w:name="_Toc151193906"/>
      <w:bookmarkStart w:id="85" w:name="_Toc265228356"/>
      <w:bookmarkStart w:id="86" w:name="_Toc151193832"/>
      <w:bookmarkStart w:id="87" w:name="_Toc150480756"/>
      <w:bookmarkStart w:id="88" w:name="_Toc195842883"/>
      <w:bookmarkStart w:id="89" w:name="_Toc305158786"/>
      <w:bookmarkStart w:id="90" w:name="_Toc150774618"/>
      <w:bookmarkStart w:id="91" w:name="_Toc151193616"/>
      <w:bookmarkStart w:id="92" w:name="_Toc305158860"/>
      <w:bookmarkStart w:id="93" w:name="_Toc520356143"/>
      <w:bookmarkStart w:id="94" w:name="_Toc151193760"/>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一   说  明</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3AB3DCF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95" w:name="_Toc305158787"/>
      <w:bookmarkStart w:id="96" w:name="_Toc265228357"/>
      <w:bookmarkStart w:id="97" w:name="_Toc264969209"/>
      <w:bookmarkStart w:id="98" w:name="_Toc305158861"/>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1采购人、采购代理机构、供应商</w:t>
      </w:r>
      <w:bookmarkEnd w:id="95"/>
      <w:bookmarkEnd w:id="96"/>
      <w:bookmarkEnd w:id="97"/>
      <w:bookmarkEnd w:id="98"/>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、联合体</w:t>
      </w:r>
    </w:p>
    <w:p w14:paraId="5BF5BA8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1.1采购人、采购代理机构：指依法进行政府采购的国家机关、事业单位、团体组织，及其委托的采购代理机构。本项目采购人、采购代理机构见第一章《采购邀请》。</w:t>
      </w:r>
    </w:p>
    <w:p w14:paraId="153EC81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1.2供应商（也称“申请人”）：指向采购人提供货物、工程或者服务的法人、其他组织或者自然人。</w:t>
      </w:r>
    </w:p>
    <w:p w14:paraId="0DDF0A0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1.3联合体：指两个以上的自然人、法人或者其他组织组成一个联合体，以一个供应商的身份共同参加政府采购。</w:t>
      </w:r>
    </w:p>
    <w:p w14:paraId="65F1450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99" w:name="_Toc164229361"/>
      <w:bookmarkStart w:id="100" w:name="_Toc305158788"/>
      <w:bookmarkStart w:id="101" w:name="_Toc127161434"/>
      <w:bookmarkStart w:id="102" w:name="_Toc150774620"/>
      <w:bookmarkStart w:id="103" w:name="_Toc151190147"/>
      <w:bookmarkStart w:id="104" w:name="_Toc151193762"/>
      <w:bookmarkStart w:id="105" w:name="_Toc151193618"/>
      <w:bookmarkStart w:id="106" w:name="_Toc226337216"/>
      <w:bookmarkStart w:id="107" w:name="_Toc195842885"/>
      <w:bookmarkStart w:id="108" w:name="_Toc164229215"/>
      <w:bookmarkStart w:id="109" w:name="_Toc164608789"/>
      <w:bookmarkStart w:id="110" w:name="_Toc127151721"/>
      <w:bookmarkStart w:id="111" w:name="_Toc151193908"/>
      <w:bookmarkStart w:id="112" w:name="_Toc226965793"/>
      <w:bookmarkStart w:id="113" w:name="_Toc151193690"/>
      <w:bookmarkStart w:id="114" w:name="_Toc265228358"/>
      <w:bookmarkStart w:id="115" w:name="_Toc226965710"/>
      <w:bookmarkStart w:id="116" w:name="_Toc150774725"/>
      <w:bookmarkStart w:id="117" w:name="_Toc226309764"/>
      <w:bookmarkStart w:id="118" w:name="_Toc164608634"/>
      <w:bookmarkStart w:id="119" w:name="_Toc151193834"/>
      <w:bookmarkStart w:id="120" w:name="_Toc164351614"/>
      <w:bookmarkStart w:id="121" w:name="_Toc127151520"/>
      <w:bookmarkStart w:id="122" w:name="_Toc142311022"/>
      <w:bookmarkStart w:id="123" w:name="_Toc150509271"/>
      <w:bookmarkStart w:id="124" w:name="_Toc150480758"/>
      <w:bookmarkStart w:id="125" w:name="_Toc149720813"/>
      <w:bookmarkStart w:id="126" w:name="_Toc305158862"/>
      <w:bookmarkStart w:id="127" w:name="_Toc264969210"/>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2资金来源</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、项目属性、科研仪器设备采购</w:t>
      </w:r>
    </w:p>
    <w:p w14:paraId="302C669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2.1资金来源为财政性资金和/或本项目采购中无法与财政性资金分割的非财政性资金。</w:t>
      </w:r>
    </w:p>
    <w:p w14:paraId="3E15F87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2.2项目属性见《供应商须知资料表》。</w:t>
      </w:r>
    </w:p>
    <w:p w14:paraId="08B24DE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2.3是否属于科研仪器设备采购见《供应商须知资料表》。</w:t>
      </w:r>
    </w:p>
    <w:p w14:paraId="542A7E0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3现场考察、磋商前答疑会</w:t>
      </w:r>
    </w:p>
    <w:p w14:paraId="4A073AA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3.1若《供应商须知资料表》中规定了组织现场考察、召开磋商前答疑会，则供应商应按要求在规定的时间和地点参加。</w:t>
      </w:r>
      <w:bookmarkStart w:id="128" w:name="_Toc265228360"/>
      <w:bookmarkStart w:id="129" w:name="_Toc142311024"/>
      <w:bookmarkStart w:id="130" w:name="_Toc151193910"/>
      <w:bookmarkStart w:id="131" w:name="_Toc150480760"/>
      <w:bookmarkStart w:id="132" w:name="_Toc151193764"/>
      <w:bookmarkStart w:id="133" w:name="_Toc127151522"/>
      <w:bookmarkStart w:id="134" w:name="_Toc195842887"/>
      <w:bookmarkStart w:id="135" w:name="_Toc150774622"/>
      <w:bookmarkStart w:id="136" w:name="_Toc226309766"/>
      <w:bookmarkStart w:id="137" w:name="_Toc226337218"/>
      <w:bookmarkStart w:id="138" w:name="_Toc520356146"/>
      <w:bookmarkStart w:id="139" w:name="_Toc151193836"/>
      <w:bookmarkStart w:id="140" w:name="_Toc305158790"/>
      <w:bookmarkStart w:id="141" w:name="_Toc150509273"/>
      <w:bookmarkStart w:id="142" w:name="_Toc305158864"/>
      <w:bookmarkStart w:id="143" w:name="_Toc151193692"/>
      <w:bookmarkStart w:id="144" w:name="_Toc264969212"/>
      <w:bookmarkStart w:id="145" w:name="_Toc150774727"/>
      <w:bookmarkStart w:id="146" w:name="_Toc151193620"/>
      <w:bookmarkStart w:id="147" w:name="_Toc151190149"/>
      <w:bookmarkStart w:id="148" w:name="_Toc226965712"/>
      <w:bookmarkStart w:id="149" w:name="_Toc226965795"/>
    </w:p>
    <w:p w14:paraId="0590C30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3.2由于未参加现场考察或磋商前答疑会而导致对项目实际情况不了解，影响响应文件编制、报价准确性、综合因素响应不全面等问题的，由供应商自行承担不利评审后果。</w:t>
      </w:r>
    </w:p>
    <w:p w14:paraId="0E1A558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4政府采购政策（包括但不限于下列具体政策要求）</w:t>
      </w:r>
    </w:p>
    <w:p w14:paraId="0C5154E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4.1采购本国货物、工程和服务</w:t>
      </w:r>
    </w:p>
    <w:p w14:paraId="4678923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4.1.1政府采购应当采购本国货物、工程和服务。但有《中华人民共和国政府采购法》第十条规定情形的除外。</w:t>
      </w:r>
    </w:p>
    <w:p w14:paraId="0B01404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4.1.2本项目如接受非本国货物、工程、服务参与响应，则具体要求见第四章《采购需求》。</w:t>
      </w:r>
    </w:p>
    <w:p w14:paraId="2DFC9E8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4.1.3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4FD53DB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4.2本国产品</w:t>
      </w:r>
    </w:p>
    <w:p w14:paraId="767042C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4418942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4.3中小企业、监狱企业及残疾人福利性单位</w:t>
      </w:r>
    </w:p>
    <w:p w14:paraId="69E488B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4.3.1中小企业定义：</w:t>
      </w:r>
    </w:p>
    <w:p w14:paraId="3F699CD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号)、《金融业企业划型标准规定》(〔2015〕309号)等国务院批准的中小企业划分标准执行。</w:t>
      </w:r>
    </w:p>
    <w:p w14:paraId="43F9AA7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4.3.1.2供应商提供的货物、工程或者服务符合下列情形的，享受中小企业扶持政策：</w:t>
      </w:r>
    </w:p>
    <w:p w14:paraId="493754D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（1）在货物采购项目中，货物由中小企业制造，即货物由中小企业生产且使用该中小企业商号或者注册商标；</w:t>
      </w:r>
    </w:p>
    <w:p w14:paraId="70CF588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（2）在工程采购项目中，工程由中小企业承建，即工程施工单位为中小企业；</w:t>
      </w:r>
    </w:p>
    <w:p w14:paraId="0C3A9C7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（3）在服务采购项目中，服务由中小企业承接，即提供服务的人员为中小企业依照《中华人民共和国劳动合同法》订立劳动合同的从业人员。</w:t>
      </w:r>
    </w:p>
    <w:p w14:paraId="6ACBCA2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4.3.1.3在货物采购项目中，供应商提供的货物既有中小企业制造货物，也有大型企业制造货物的，不享受中小企业扶持政策。</w:t>
      </w:r>
    </w:p>
    <w:p w14:paraId="063975E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4.3.1.4以联合体形式参加政府采购活动，联合体各方均为中小企业的，联合体视同中小企业。其中，联合体各方均为小微企业的，联合体视同小微企业。</w:t>
      </w:r>
    </w:p>
    <w:p w14:paraId="0E96C34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4.3.2在政府采购活动中，监狱企业视同小型、微型企业，享受预留份额、评审中价格扣除等政府采购促进中小企业发展的政府采购政策。监狱 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273688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4.3.3在政府采购活动中，残疾人福利性单位视同小型、微型企业，享受预留份额、评审中价格扣除等促进中小企业发展的政府采购政策。残疾 人福利性单位定义：享受政府采购支持政策的残疾人福利性单位应当同时满足以下条件：</w:t>
      </w:r>
    </w:p>
    <w:p w14:paraId="0FFEC2E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4.3.3.1安置的残疾人占本单位在职职工人数的比例不低于25%（含25%），并且安置的残疾人人数不少于10 人（含10人）；</w:t>
      </w:r>
    </w:p>
    <w:p w14:paraId="3604917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4.3.3.2依法与安置的每位残疾人签订了一年以上（含一年）的劳动合同或服务协议；</w:t>
      </w:r>
    </w:p>
    <w:p w14:paraId="6F587FB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4.3.3.3为安置的每位残疾人按月足额缴纳了基本养老保险、基本医疗保险、失业保险、工伤保险和生育保险等社会保险费；</w:t>
      </w:r>
    </w:p>
    <w:p w14:paraId="75D6CE5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4.3.3.4通过银行等金融机构向安置的每位残疾人，按月支付了不低于单位所在区县适用的经省级人民政府批准的月最低工资标准的工资；</w:t>
      </w:r>
    </w:p>
    <w:p w14:paraId="3D52BD4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4.3.3.5提供本单位制造的货物、承担的工程或者服务（以下简称产品），或者提供其他残疾人福利性单位制造的货物（不包括使用非残疾人福利性单位注册商标的货物）；</w:t>
      </w:r>
    </w:p>
    <w:p w14:paraId="095E148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4.3.3.6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6551F9C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4.3.4本项目是否专门面向中小企业预留采购份额见第一章《采购邀请》。</w:t>
      </w:r>
    </w:p>
    <w:p w14:paraId="3413B17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4.3.5采购标的对应的中小企业划分标准所属行业见《供应商须知资料表》。</w:t>
      </w:r>
    </w:p>
    <w:p w14:paraId="0B54250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4.3.6小微企业价格评审优惠的政策调整：见第三章《评审方法和评审标准》。</w:t>
      </w:r>
    </w:p>
    <w:p w14:paraId="525705D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4.4政府采购节能产品、环境标志产品</w:t>
      </w:r>
    </w:p>
    <w:p w14:paraId="303FBFD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4.4.1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66812A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4.4.2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2262BF0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4.4.3如本项目采购产品属于实施政府强制采购品目清单范围的节能产品，则供应商所报产品必须获得国家确定的认证机构出具的、处于有效期之内的节能产品认证证书，否则响应无效；</w:t>
      </w:r>
    </w:p>
    <w:p w14:paraId="1E910EF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4.4.4非政府强制采购的节能产品或环境标志产品，依据品目清单和认证证书实施政府优先采购。优先采购的具体规定见第三章《评审方法和评审标准》（如涉及）。</w:t>
      </w:r>
    </w:p>
    <w:p w14:paraId="5C2C8F1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4.5正版软件</w:t>
      </w:r>
    </w:p>
    <w:p w14:paraId="11B8CA5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4.5.1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7322D75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4.6网络安全专用产品</w:t>
      </w:r>
    </w:p>
    <w:p w14:paraId="32EF30F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4.6.1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4A3BF9B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4.7推广使用低挥发性有机化合物（VOCs）</w:t>
      </w:r>
    </w:p>
    <w:p w14:paraId="068422C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4.7.1为全面推进本市挥发性有机物（VOCs）治理，贯彻落实挥发性有机物污染治理专项行动有关要求，相关规定依据《北京市财政局北京市生态环境局关于政府采购推广使用低挥发性有机化合物（VOCs）有关事项的通知》（京财采购〔2020〕2381号）。本项目中涉及涂料、胶黏剂、油墨、清洗剂等挥发性有机物产品的，属于强制性标准的，供应商应执行符合本市和国家的VOCs含量限制标准（具体标准见第四章《采购需求》），否则响应无效；属于推荐性标准的，优先采购，具体见第三章《评审方法和评审标准》。</w:t>
      </w:r>
    </w:p>
    <w:p w14:paraId="2738EE5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4.8采购需求标准</w:t>
      </w:r>
    </w:p>
    <w:p w14:paraId="2A51977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4.8.1商品包装、快递包装政府采购需求标准（试行）</w:t>
      </w:r>
    </w:p>
    <w:p w14:paraId="414352B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为助力打好污染防治攻坚战， 推广使用绿色包装，根据财政部关于印发《商品包装政府采购需求标准（试行）》、《快递包装政府采购需求标准（试行）》的通知（财办库〔2020〕123号），本项目如涉及商品包装和快递包装的，则其具体要求见第四章《采购需求》。</w:t>
      </w:r>
    </w:p>
    <w:p w14:paraId="52054E4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4.8.2其他政府采购需求标准</w:t>
      </w:r>
    </w:p>
    <w:p w14:paraId="3ABE977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为贯彻落实《深化政府采购制度改革方案》有关要求，推动政府采购需求标准建设，财政部门会同有关部门制定发布的其他政府采购需求标准，本项目如涉及，则具体要求见第四章《采购需求》。</w:t>
      </w:r>
    </w:p>
    <w:p w14:paraId="0346706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5响应费用</w:t>
      </w:r>
    </w:p>
    <w:p w14:paraId="20D24D8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5.1供应商应自行承担所有与准备和参加磋商有关的费用，无论磋商的结果如何，采购人或采购代理机构在任何情况下均无承担这些费用的义务和责任。</w:t>
      </w:r>
    </w:p>
    <w:p w14:paraId="41B4F5A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jc w:val="center"/>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150" w:name="_1.8_计量单位"/>
      <w:bookmarkEnd w:id="150"/>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二   竞争性磋商文件</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3D0444D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151" w:name="_Toc149720816"/>
      <w:bookmarkStart w:id="152" w:name="_Toc150774728"/>
      <w:bookmarkStart w:id="153" w:name="_Toc226965713"/>
      <w:bookmarkStart w:id="154" w:name="_Toc150774623"/>
      <w:bookmarkStart w:id="155" w:name="_Toc195842888"/>
      <w:bookmarkStart w:id="156" w:name="_Toc142311025"/>
      <w:bookmarkStart w:id="157" w:name="_Toc151193837"/>
      <w:bookmarkStart w:id="158" w:name="_Toc127161437"/>
      <w:bookmarkStart w:id="159" w:name="_Toc164608792"/>
      <w:bookmarkStart w:id="160" w:name="_Toc520356147"/>
      <w:bookmarkStart w:id="161" w:name="_Toc264969213"/>
      <w:bookmarkStart w:id="162" w:name="_Toc164351617"/>
      <w:bookmarkStart w:id="163" w:name="_Toc151193621"/>
      <w:bookmarkStart w:id="164" w:name="_Toc265228361"/>
      <w:bookmarkStart w:id="165" w:name="_Toc226337219"/>
      <w:bookmarkStart w:id="166" w:name="_Toc164608637"/>
      <w:bookmarkStart w:id="167" w:name="_Toc150509274"/>
      <w:bookmarkStart w:id="168" w:name="_Toc151193911"/>
      <w:bookmarkStart w:id="169" w:name="_Toc127151523"/>
      <w:bookmarkStart w:id="170" w:name="_Toc305158791"/>
      <w:bookmarkStart w:id="171" w:name="_Toc151193693"/>
      <w:bookmarkStart w:id="172" w:name="_Toc151190150"/>
      <w:bookmarkStart w:id="173" w:name="_Toc226309767"/>
      <w:bookmarkStart w:id="174" w:name="_Toc226965796"/>
      <w:bookmarkStart w:id="175" w:name="_Toc164229218"/>
      <w:bookmarkStart w:id="176" w:name="_Toc151193765"/>
      <w:bookmarkStart w:id="177" w:name="_Toc127151724"/>
      <w:bookmarkStart w:id="178" w:name="_Toc150480761"/>
      <w:bookmarkStart w:id="179" w:name="_Toc305158865"/>
      <w:bookmarkStart w:id="180" w:name="_Toc164229364"/>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6竞争性磋商文件构</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成</w:t>
      </w:r>
    </w:p>
    <w:p w14:paraId="7424D93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6.1竞争性磋商文件包括以下部分：</w:t>
      </w:r>
    </w:p>
    <w:p w14:paraId="101A09F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第一章   采购邀请</w:t>
      </w:r>
    </w:p>
    <w:p w14:paraId="5501B22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第二章   供应商须知</w:t>
      </w:r>
    </w:p>
    <w:p w14:paraId="5C76DEE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第三章   评审方法和评审标准</w:t>
      </w:r>
    </w:p>
    <w:p w14:paraId="5174939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第四章   采购需求</w:t>
      </w:r>
    </w:p>
    <w:p w14:paraId="094DAE2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第五章   合同草案条款</w:t>
      </w:r>
    </w:p>
    <w:p w14:paraId="5D71FF8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第六章   响应文件格式</w:t>
      </w:r>
    </w:p>
    <w:p w14:paraId="6CD566B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6.2供应商应认真阅读竞争性磋商文件的全部内容。供应商应按照竞争性磋商文件要求提交响应文件并保证所提供的全部资料的真实性，并对竞争性磋商文件做出实质性响应，否则响应无效。</w:t>
      </w:r>
    </w:p>
    <w:p w14:paraId="0E7F406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7对竞争性磋商文件的澄清或修改</w:t>
      </w:r>
    </w:p>
    <w:p w14:paraId="49F19F2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7.1采购人或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36B5CDE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7.2上述书面通知，按照获取竞争性磋商文件的潜在供应商提供的联系方式发出，因提供的信息有误导致通知延迟或无法通知的，采购人或采购代理机构不承担责任。</w:t>
      </w:r>
    </w:p>
    <w:p w14:paraId="7435A30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7.3澄清或者修改的内容为竞争性磋商文件的组成部分，并对所有获取竞争性磋商文件的潜在供应商具有约束力。澄清或者修改的内容可能影响响应文件编制的，将在提交首次响应文件截止之日3个工作日前，以书面形式通知所有获取磋商文件的供应商；不足上述时间的，将顺延提交首次响应文件截止时间。</w:t>
      </w:r>
      <w:bookmarkStart w:id="181" w:name="_Toc516367020"/>
      <w:bookmarkStart w:id="182" w:name="_Toc151193768"/>
      <w:bookmarkStart w:id="183" w:name="_Toc150480764"/>
      <w:bookmarkStart w:id="184" w:name="_Toc150509277"/>
      <w:bookmarkStart w:id="185" w:name="_Toc305158794"/>
      <w:bookmarkStart w:id="186" w:name="_Toc127151526"/>
      <w:bookmarkStart w:id="187" w:name="_Toc151193696"/>
      <w:bookmarkStart w:id="188" w:name="_Toc226965799"/>
      <w:bookmarkStart w:id="189" w:name="_Toc151193624"/>
      <w:bookmarkStart w:id="190" w:name="_Toc264969216"/>
      <w:bookmarkStart w:id="191" w:name="_Toc195842891"/>
      <w:bookmarkStart w:id="192" w:name="_Toc265228364"/>
      <w:bookmarkStart w:id="193" w:name="_Toc520356150"/>
      <w:bookmarkStart w:id="194" w:name="_Toc305158868"/>
      <w:bookmarkStart w:id="195" w:name="_Toc151190153"/>
      <w:bookmarkStart w:id="196" w:name="_Toc151193914"/>
      <w:bookmarkStart w:id="197" w:name="_Toc226337222"/>
      <w:bookmarkStart w:id="198" w:name="_Toc226965716"/>
      <w:bookmarkStart w:id="199" w:name="_Toc151193840"/>
      <w:bookmarkStart w:id="200" w:name="_Toc142311028"/>
      <w:bookmarkStart w:id="201" w:name="_Toc226309770"/>
      <w:bookmarkStart w:id="202" w:name="_Toc150774731"/>
      <w:bookmarkStart w:id="203" w:name="_Toc150774626"/>
    </w:p>
    <w:p w14:paraId="5DEFCB2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jc w:val="center"/>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三   响应文件</w:t>
      </w:r>
      <w:bookmarkEnd w:id="181"/>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的编制</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10F4A4D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204" w:name="_Toc305158869"/>
      <w:bookmarkStart w:id="205" w:name="_Toc151193915"/>
      <w:bookmarkStart w:id="206" w:name="_Toc520356151"/>
      <w:bookmarkStart w:id="207" w:name="_Toc226337223"/>
      <w:bookmarkStart w:id="208" w:name="_Toc151193769"/>
      <w:bookmarkStart w:id="209" w:name="_Toc265228365"/>
      <w:bookmarkStart w:id="210" w:name="_Toc127161441"/>
      <w:bookmarkStart w:id="211" w:name="_Toc164229368"/>
      <w:bookmarkStart w:id="212" w:name="_Toc150774627"/>
      <w:bookmarkStart w:id="213" w:name="_Toc226965800"/>
      <w:bookmarkStart w:id="214" w:name="_Toc195842892"/>
      <w:bookmarkStart w:id="215" w:name="_Toc150509278"/>
      <w:bookmarkStart w:id="216" w:name="_Toc127151527"/>
      <w:bookmarkStart w:id="217" w:name="_Toc164608796"/>
      <w:bookmarkStart w:id="218" w:name="_Toc226965717"/>
      <w:bookmarkStart w:id="219" w:name="_Toc142311029"/>
      <w:bookmarkStart w:id="220" w:name="_Toc305158795"/>
      <w:bookmarkStart w:id="221" w:name="_Toc164608641"/>
      <w:bookmarkStart w:id="222" w:name="_Toc149720820"/>
      <w:bookmarkStart w:id="223" w:name="_Toc151190154"/>
      <w:bookmarkStart w:id="224" w:name="_Toc151193697"/>
      <w:bookmarkStart w:id="225" w:name="_Toc164351621"/>
      <w:bookmarkStart w:id="226" w:name="_Toc516367021"/>
      <w:bookmarkStart w:id="227" w:name="_Toc151193841"/>
      <w:bookmarkStart w:id="228" w:name="_Toc164229222"/>
      <w:bookmarkStart w:id="229" w:name="_Toc150480765"/>
      <w:bookmarkStart w:id="230" w:name="_Toc264969217"/>
      <w:bookmarkStart w:id="231" w:name="_Toc127151728"/>
      <w:bookmarkStart w:id="232" w:name="_Toc226309771"/>
      <w:bookmarkStart w:id="233" w:name="_Toc150774732"/>
      <w:bookmarkStart w:id="234" w:name="_Toc151193625"/>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8响应范围、竞争性磋商文件中计量单位的使用</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及磋商语言</w:t>
      </w:r>
    </w:p>
    <w:p w14:paraId="099406B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8.1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无效响应。</w:t>
      </w:r>
    </w:p>
    <w:p w14:paraId="14D8FC9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8.2除竞争性磋商文件有特殊要求外，本项目磋商所使用的计量单位，应采用中华人民共和国法定计量单位。</w:t>
      </w:r>
    </w:p>
    <w:p w14:paraId="6453D3A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8.3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0B67BCB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235" w:name="_Toc516367022"/>
      <w:bookmarkStart w:id="236" w:name="_Ref467306676"/>
      <w:bookmarkStart w:id="237" w:name="_Ref467306195"/>
      <w:bookmarkStart w:id="238" w:name="_Toc164229223"/>
      <w:bookmarkStart w:id="239" w:name="_Toc142311030"/>
      <w:bookmarkStart w:id="240" w:name="_Toc150509279"/>
      <w:bookmarkStart w:id="241" w:name="_Toc226965718"/>
      <w:bookmarkStart w:id="242" w:name="_Toc164608642"/>
      <w:bookmarkStart w:id="243" w:name="_Toc149720821"/>
      <w:bookmarkStart w:id="244" w:name="_Toc226337224"/>
      <w:bookmarkStart w:id="245" w:name="_Toc127151729"/>
      <w:bookmarkStart w:id="246" w:name="_Toc151193916"/>
      <w:bookmarkStart w:id="247" w:name="_Toc164229369"/>
      <w:bookmarkStart w:id="248" w:name="_Toc151193842"/>
      <w:bookmarkStart w:id="249" w:name="_Toc150480766"/>
      <w:bookmarkStart w:id="250" w:name="_Toc305158870"/>
      <w:bookmarkStart w:id="251" w:name="_Toc520356152"/>
      <w:bookmarkStart w:id="252" w:name="_Toc226965801"/>
      <w:bookmarkStart w:id="253" w:name="_Toc150774733"/>
      <w:bookmarkStart w:id="254" w:name="_Toc127151528"/>
      <w:bookmarkStart w:id="255" w:name="_Toc151193770"/>
      <w:bookmarkStart w:id="256" w:name="_Toc151190155"/>
      <w:bookmarkStart w:id="257" w:name="_Toc150774628"/>
      <w:bookmarkStart w:id="258" w:name="_Toc264969218"/>
      <w:bookmarkStart w:id="259" w:name="_Toc164351622"/>
      <w:bookmarkStart w:id="260" w:name="_Toc305158796"/>
      <w:bookmarkStart w:id="261" w:name="_Toc151193626"/>
      <w:bookmarkStart w:id="262" w:name="_Toc265228366"/>
      <w:bookmarkStart w:id="263" w:name="_Toc195842893"/>
      <w:bookmarkStart w:id="264" w:name="_Toc164608797"/>
      <w:bookmarkStart w:id="265" w:name="_Toc226309772"/>
      <w:bookmarkStart w:id="266" w:name="_Toc151193698"/>
      <w:bookmarkStart w:id="267" w:name="_Toc127161442"/>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9响应文件</w:t>
      </w:r>
      <w:bookmarkEnd w:id="235"/>
      <w:bookmarkEnd w:id="236"/>
      <w:bookmarkEnd w:id="237"/>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构成</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724FD86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268" w:name="_Ref467052588"/>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9.1供应商应当按照竞争性磋商文件的要求编制响应文件，并对其提交的响应文件的真实性、合法性承担法律责任。响应文件的部分格式要求，见第六章《响应文件格式》。</w:t>
      </w:r>
    </w:p>
    <w:p w14:paraId="06EE60C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9.2对于竞争性磋商文件中标记了“实质性格式”文件的，供应商不得改变格式中给定的文字所表达的含义，不得删减格式中的实质性内容，不得自行添加与格式中给定的文字内容相矛盾的内容，不得对应当填写的空格不填写或不实质性响应，否则响应无效。未标记“实质性格式”的文件和竞争性磋商文件未提供格式的内容，可由供应商自行编写。</w:t>
      </w:r>
    </w:p>
    <w:p w14:paraId="3288EB3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9.3第三章《评审方法和评审标准》中涉及的证明文件。</w:t>
      </w:r>
    </w:p>
    <w:p w14:paraId="523160F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9.4对照第四章《采购需求》，说明所提供货物和服务已对第四章《采购需求》做出了响应，或申明与第四章《采购需求》的偏差和例外。如第四章《采购需求》中要求提供证明文件的，供应商应当按具体要求提供证明文件。</w:t>
      </w:r>
    </w:p>
    <w:p w14:paraId="40621F8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9.5供应商认为应附的其他材料。</w:t>
      </w:r>
      <w:bookmarkEnd w:id="268"/>
    </w:p>
    <w:p w14:paraId="508E93F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269" w:name="_Toc164608799"/>
      <w:bookmarkStart w:id="270" w:name="_Toc151193700"/>
      <w:bookmarkStart w:id="271" w:name="_Toc150509281"/>
      <w:bookmarkStart w:id="272" w:name="_Toc164608644"/>
      <w:bookmarkStart w:id="273" w:name="_Toc142311032"/>
      <w:bookmarkStart w:id="274" w:name="_Toc164229371"/>
      <w:bookmarkStart w:id="275" w:name="_Toc520356155"/>
      <w:bookmarkStart w:id="276" w:name="_Toc150480768"/>
      <w:bookmarkStart w:id="277" w:name="_Toc151190157"/>
      <w:bookmarkStart w:id="278" w:name="_Toc151193772"/>
      <w:bookmarkStart w:id="279" w:name="_Toc127151731"/>
      <w:bookmarkStart w:id="280" w:name="_Toc127161444"/>
      <w:bookmarkStart w:id="281" w:name="_Toc127151530"/>
      <w:bookmarkStart w:id="282" w:name="_Toc195842895"/>
      <w:bookmarkStart w:id="283" w:name="_Toc149720823"/>
      <w:bookmarkStart w:id="284" w:name="_Toc150774630"/>
      <w:bookmarkStart w:id="285" w:name="_Toc164229225"/>
      <w:bookmarkStart w:id="286" w:name="_Toc151193918"/>
      <w:bookmarkStart w:id="287" w:name="_Toc151193844"/>
      <w:bookmarkStart w:id="288" w:name="_Toc150774735"/>
      <w:bookmarkStart w:id="289" w:name="_Toc164351624"/>
      <w:bookmarkStart w:id="290" w:name="_Toc151193628"/>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10报价</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0E2ADC1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10.1所有响应均以人民币为计价货币。</w:t>
      </w:r>
    </w:p>
    <w:p w14:paraId="32171AD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10.2供应商的报价应包括为完成本项目所发生的一切费用和税费，采购人将不再支付报价以外的任何费用。供应商的报价应包括但不限于下列内容，《供应商须知资料表》中有特殊规定的，从其规定。</w:t>
      </w:r>
    </w:p>
    <w:p w14:paraId="52E0866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10.2.1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1C40137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10.2.2按照竞争性磋商文件要求完成本项目的全部相关费用。</w:t>
      </w:r>
    </w:p>
    <w:p w14:paraId="6879A9C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10.3采购人不得向供应商索要或者接受其给予的赠品、回扣或者与采购无关的其他商品、服务。</w:t>
      </w:r>
    </w:p>
    <w:p w14:paraId="2FB15EF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10.4供应商不能提供任何有选择性或可调整的最后报价（竞争性磋商文件另有规定的除外），否则其响应无效。</w:t>
      </w:r>
    </w:p>
    <w:p w14:paraId="396E9EC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11磋商保证金</w:t>
      </w:r>
    </w:p>
    <w:p w14:paraId="14316D2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11.1供应商应按《供应商须知资料表》中规定的金额及要求交纳磋商保证金。供应商自愿超额缴纳磋商保证金的，响应文件不做无效处理。</w:t>
      </w:r>
    </w:p>
    <w:p w14:paraId="4A3FB3F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11.2交纳磋商保证金可采用的形式：政府采购法律法规接受的支票、汇票、本票、网上银行支付或者金融机构、担保机构出具的保函等非现金形式。</w:t>
      </w:r>
    </w:p>
    <w:p w14:paraId="3D13638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11.3磋商保证金到账（保函提交）截止时间同首次响应文件提交截止时间。以支票、汇票、本票、网上银行支付等形式提交磋商保证金的，应在首次响应文件提交截止时间前到账；以金融机构、担保机构出具的保函等形式提交磋商保证金的，应在首次响应文件提交截止时间前将原件提交至采购代理机构；由于到账时间晚于首次响应文件提交截止时间的，或者票据错误、印鉴不清等原因导致不能到账的，其响应无效；以电子保函形式提交磋商保证金的，应在首次响应文件提交截止时间前通过北京市政府采购电子交易平台完成电子保函在线办理。未按上述要求缴纳保证金的，其响应无效。</w:t>
      </w:r>
    </w:p>
    <w:p w14:paraId="530DB82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11.4供应商除需在响应文件中提供“磋商保证金凭证/交款单据电子件”，还需在首次响应文件提交截止时间前，通过电子交易平台上传“磋商保证金凭证/交款单据电子件”。</w:t>
      </w:r>
    </w:p>
    <w:p w14:paraId="59EA4C5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11.5磋商保证金有效期同响应有效期。</w:t>
      </w:r>
    </w:p>
    <w:p w14:paraId="38567A1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11.6供应商为联合体的，可以由联合体中的一方或者多方共同交纳磋商保证金，其交纳的保证金对联合体各方均具有约束力。</w:t>
      </w:r>
    </w:p>
    <w:p w14:paraId="0436CEA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11.7采购人、采购代理机构将及时退还供应商的保证金，采用银行保函、担保机构担保函等形式递交的保证金，经供应商同意后采购人、采购代理机构可以不再退还，但因供应商自身原因导致无法及时退还的除外：</w:t>
      </w:r>
    </w:p>
    <w:p w14:paraId="2B52F80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11.7.1已提交响应文件的供应商，在提交最后报价之前，可以根据磋商情况退出磋商。采购人、采购代理机构将退还退出磋商的供应商的磋商保证金；</w:t>
      </w:r>
    </w:p>
    <w:p w14:paraId="4246C27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11.7.2成交供应商的磋商保证金，在采购合同签订后5个工作日内退还成交供应商；</w:t>
      </w:r>
    </w:p>
    <w:p w14:paraId="6B3E45E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11.7.3未成交供应商的磋商保证金，在成交通知书发出后5个工作日内退还。</w:t>
      </w:r>
    </w:p>
    <w:p w14:paraId="6FD5839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11.8有下列情形之一的，采购人或采购代理机构不予退还磋商保证金：</w:t>
      </w:r>
    </w:p>
    <w:p w14:paraId="7DBD37E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11.8.1供应商在响应文件提交截止时间后撤回响应文件的；</w:t>
      </w:r>
    </w:p>
    <w:p w14:paraId="2A88D88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11.8.2供应商在响应文件中提供虚假材料的；</w:t>
      </w:r>
    </w:p>
    <w:p w14:paraId="40C006B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11.8.3除因不可抗力或竞争性磋商认可的情形以外，成交供应商不与采购人签订合同的；</w:t>
      </w:r>
    </w:p>
    <w:p w14:paraId="43174A6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11.8.4供应商与采购人、其他供应商或者采购代理机构恶意串通的；</w:t>
      </w:r>
    </w:p>
    <w:p w14:paraId="5C77A4A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11.8.5《供应商须知资料表》规定的其他情形。</w:t>
      </w:r>
    </w:p>
    <w:p w14:paraId="4724545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12响应有效期</w:t>
      </w:r>
    </w:p>
    <w:p w14:paraId="610BD2B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12.1响应文件应在本竞争性磋商文件《供应商须知资料表》中规定的响应有效期内保持有效，响应有效期少于竞争性磋商文件规定期限的，其响应无效。</w:t>
      </w:r>
    </w:p>
    <w:p w14:paraId="0A47640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291" w:name="_Toc164351627"/>
      <w:bookmarkStart w:id="292" w:name="_Toc195842898"/>
      <w:bookmarkStart w:id="293" w:name="_Toc150509284"/>
      <w:bookmarkStart w:id="294" w:name="_Toc151193921"/>
      <w:bookmarkStart w:id="295" w:name="_Toc265228371"/>
      <w:bookmarkStart w:id="296" w:name="_Toc142311035"/>
      <w:bookmarkStart w:id="297" w:name="_Toc520356158"/>
      <w:bookmarkStart w:id="298" w:name="_Toc127161447"/>
      <w:bookmarkStart w:id="299" w:name="_Toc127151533"/>
      <w:bookmarkStart w:id="300" w:name="_Toc150480771"/>
      <w:bookmarkStart w:id="301" w:name="_Toc127151734"/>
      <w:bookmarkStart w:id="302" w:name="_Toc264969223"/>
      <w:bookmarkStart w:id="303" w:name="_Toc226337229"/>
      <w:bookmarkStart w:id="304" w:name="_Toc226965723"/>
      <w:bookmarkStart w:id="305" w:name="_Toc305158875"/>
      <w:bookmarkStart w:id="306" w:name="_Toc151190160"/>
      <w:bookmarkStart w:id="307" w:name="_Toc151193847"/>
      <w:bookmarkStart w:id="308" w:name="_Toc226309777"/>
      <w:bookmarkStart w:id="309" w:name="_Toc305158801"/>
      <w:bookmarkStart w:id="310" w:name="_Toc151193703"/>
      <w:bookmarkStart w:id="311" w:name="_Toc164608647"/>
      <w:bookmarkStart w:id="312" w:name="_Toc164229228"/>
      <w:bookmarkStart w:id="313" w:name="_Toc164608802"/>
      <w:bookmarkStart w:id="314" w:name="_Toc150774738"/>
      <w:bookmarkStart w:id="315" w:name="_Toc149720826"/>
      <w:bookmarkStart w:id="316" w:name="_Toc150774633"/>
      <w:bookmarkStart w:id="317" w:name="_Toc226965806"/>
      <w:bookmarkStart w:id="318" w:name="_Toc164229374"/>
      <w:bookmarkStart w:id="319" w:name="_Toc151193775"/>
      <w:bookmarkStart w:id="320" w:name="_Toc151193631"/>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13响应文件的签署</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、盖章</w:t>
      </w:r>
    </w:p>
    <w:p w14:paraId="1EB5DA1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321" w:name="_Toc226337230"/>
      <w:bookmarkStart w:id="322" w:name="_Toc226965807"/>
      <w:bookmarkStart w:id="323" w:name="_Toc150509285"/>
      <w:bookmarkStart w:id="324" w:name="_Toc226309778"/>
      <w:bookmarkStart w:id="325" w:name="_Toc305158876"/>
      <w:bookmarkStart w:id="326" w:name="_Toc151190161"/>
      <w:bookmarkStart w:id="327" w:name="_Toc127151534"/>
      <w:bookmarkStart w:id="328" w:name="_Toc305158802"/>
      <w:bookmarkStart w:id="329" w:name="_Toc265228372"/>
      <w:bookmarkStart w:id="330" w:name="_Toc150774634"/>
      <w:bookmarkStart w:id="331" w:name="_Toc142311036"/>
      <w:bookmarkStart w:id="332" w:name="_Toc151193776"/>
      <w:bookmarkStart w:id="333" w:name="_Toc520356159"/>
      <w:bookmarkStart w:id="334" w:name="_Toc226965724"/>
      <w:bookmarkStart w:id="335" w:name="_Toc264969224"/>
      <w:bookmarkStart w:id="336" w:name="_Toc151193632"/>
      <w:bookmarkStart w:id="337" w:name="_Toc151193848"/>
      <w:bookmarkStart w:id="338" w:name="_Toc150480772"/>
      <w:bookmarkStart w:id="339" w:name="_Toc195842899"/>
      <w:bookmarkStart w:id="340" w:name="_Toc151193922"/>
      <w:bookmarkStart w:id="341" w:name="_Toc151193704"/>
      <w:bookmarkStart w:id="342" w:name="_Toc150774739"/>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13.1竞争性磋商文件要求签字的内容（如授权委托书等），可以使用电子签章或使用原件的电子件（电子件指扫描件、照片等形式电子文件）；要求第三方出具的盖章件原件（如联合协议、分包意向协议、制造商授权书原件等），响应文件中应使用原件的电子件。</w:t>
      </w:r>
    </w:p>
    <w:p w14:paraId="5111CC4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13.2竞争性磋商文件要求盖章的内容，一般通过投标文件编制工具加盖电子签章。</w:t>
      </w:r>
    </w:p>
    <w:p w14:paraId="2BA61DC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jc w:val="center"/>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四   响应文件的提交</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6D6F5E3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343" w:name="_Toc226337231"/>
      <w:bookmarkStart w:id="344" w:name="_Toc127151535"/>
      <w:bookmarkStart w:id="345" w:name="_Toc164351629"/>
      <w:bookmarkStart w:id="346" w:name="_Toc265228373"/>
      <w:bookmarkStart w:id="347" w:name="_Toc151193633"/>
      <w:bookmarkStart w:id="348" w:name="_Toc151193923"/>
      <w:bookmarkStart w:id="349" w:name="_Toc305158877"/>
      <w:bookmarkStart w:id="350" w:name="_Toc150480773"/>
      <w:bookmarkStart w:id="351" w:name="_Toc226965808"/>
      <w:bookmarkStart w:id="352" w:name="_Toc226309779"/>
      <w:bookmarkStart w:id="353" w:name="_Toc226965725"/>
      <w:bookmarkStart w:id="354" w:name="_Toc151193849"/>
      <w:bookmarkStart w:id="355" w:name="_Toc150774740"/>
      <w:bookmarkStart w:id="356" w:name="_Toc127161449"/>
      <w:bookmarkStart w:id="357" w:name="_Toc142311037"/>
      <w:bookmarkStart w:id="358" w:name="_Toc164229230"/>
      <w:bookmarkStart w:id="359" w:name="_Toc151193705"/>
      <w:bookmarkStart w:id="360" w:name="_Toc127151736"/>
      <w:bookmarkStart w:id="361" w:name="_Toc195842900"/>
      <w:bookmarkStart w:id="362" w:name="_Toc150774635"/>
      <w:bookmarkStart w:id="363" w:name="_Toc151193777"/>
      <w:bookmarkStart w:id="364" w:name="_Toc164608804"/>
      <w:bookmarkStart w:id="365" w:name="_Toc151190162"/>
      <w:bookmarkStart w:id="366" w:name="_Toc150509286"/>
      <w:bookmarkStart w:id="367" w:name="_Toc305158803"/>
      <w:bookmarkStart w:id="368" w:name="_Toc164608649"/>
      <w:bookmarkStart w:id="369" w:name="_Toc520356160"/>
      <w:bookmarkStart w:id="370" w:name="_Toc149720828"/>
      <w:bookmarkStart w:id="371" w:name="_Toc264969225"/>
      <w:bookmarkStart w:id="372" w:name="_Toc164229376"/>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14响应文件的</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提交</w:t>
      </w:r>
    </w:p>
    <w:p w14:paraId="6CD1279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14.1本项目使用北京市政府采购电子交易平台。供应商根据竞争性磋商文件及北京市政府采购电子交易平台供应商操作手册要求编制、生成并提交电子响应文件。</w:t>
      </w:r>
    </w:p>
    <w:p w14:paraId="18EDDC3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14.2采购人及采购代理机构拒绝接受通过电子交易平台以外任何形式提交的首次响应文件，磋商保证金除外。</w:t>
      </w:r>
    </w:p>
    <w:p w14:paraId="056EC65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373" w:name="_Toc150774636"/>
      <w:bookmarkStart w:id="374" w:name="_Toc151193850"/>
      <w:bookmarkStart w:id="375" w:name="_Toc164608650"/>
      <w:bookmarkStart w:id="376" w:name="_Toc305158878"/>
      <w:bookmarkStart w:id="377" w:name="_Toc151193634"/>
      <w:bookmarkStart w:id="378" w:name="_Toc151193924"/>
      <w:bookmarkStart w:id="379" w:name="_Toc520356161"/>
      <w:bookmarkStart w:id="380" w:name="_Toc226965726"/>
      <w:bookmarkStart w:id="381" w:name="_Toc164351630"/>
      <w:bookmarkStart w:id="382" w:name="_Toc150774741"/>
      <w:bookmarkStart w:id="383" w:name="_Toc150509287"/>
      <w:bookmarkStart w:id="384" w:name="_Toc226337232"/>
      <w:bookmarkStart w:id="385" w:name="_Toc127151536"/>
      <w:bookmarkStart w:id="386" w:name="_Toc305158804"/>
      <w:bookmarkStart w:id="387" w:name="_Toc226309780"/>
      <w:bookmarkStart w:id="388" w:name="_Toc164608805"/>
      <w:bookmarkStart w:id="389" w:name="_Toc265228374"/>
      <w:bookmarkStart w:id="390" w:name="_Toc142311038"/>
      <w:bookmarkStart w:id="391" w:name="_Toc164229377"/>
      <w:bookmarkStart w:id="392" w:name="_Toc226965809"/>
      <w:bookmarkStart w:id="393" w:name="_Toc151193778"/>
      <w:bookmarkStart w:id="394" w:name="_Toc151190163"/>
      <w:bookmarkStart w:id="395" w:name="_Toc127151737"/>
      <w:bookmarkStart w:id="396" w:name="_Toc149720829"/>
      <w:bookmarkStart w:id="397" w:name="_Toc195842901"/>
      <w:bookmarkStart w:id="398" w:name="_Toc151193706"/>
      <w:bookmarkStart w:id="399" w:name="_Toc150480774"/>
      <w:bookmarkStart w:id="400" w:name="_Toc264969226"/>
      <w:bookmarkStart w:id="401" w:name="_Toc127161450"/>
      <w:bookmarkStart w:id="402" w:name="_Toc164229231"/>
      <w:bookmarkStart w:id="403" w:name="_Toc127151537"/>
      <w:bookmarkStart w:id="404" w:name="_Toc226309781"/>
      <w:bookmarkStart w:id="405" w:name="_Toc305158879"/>
      <w:bookmarkStart w:id="406" w:name="_Toc149720830"/>
      <w:bookmarkStart w:id="407" w:name="_Toc226965727"/>
      <w:bookmarkStart w:id="408" w:name="_Toc151193925"/>
      <w:bookmarkStart w:id="409" w:name="_Toc127151738"/>
      <w:bookmarkStart w:id="410" w:name="_Toc151193707"/>
      <w:bookmarkStart w:id="411" w:name="_Toc164229378"/>
      <w:bookmarkStart w:id="412" w:name="_Toc226965810"/>
      <w:bookmarkStart w:id="413" w:name="_Toc127161451"/>
      <w:bookmarkStart w:id="414" w:name="_Toc164229232"/>
      <w:bookmarkStart w:id="415" w:name="_Toc150774742"/>
      <w:bookmarkStart w:id="416" w:name="_Toc142311039"/>
      <w:bookmarkStart w:id="417" w:name="_Toc151193851"/>
      <w:bookmarkStart w:id="418" w:name="_Toc305158805"/>
      <w:bookmarkStart w:id="419" w:name="_Toc151193635"/>
      <w:bookmarkStart w:id="420" w:name="_Toc264969227"/>
      <w:bookmarkStart w:id="421" w:name="_Toc164608806"/>
      <w:bookmarkStart w:id="422" w:name="_Toc164351631"/>
      <w:bookmarkStart w:id="423" w:name="_Toc195842902"/>
      <w:bookmarkStart w:id="424" w:name="_Toc265228375"/>
      <w:bookmarkStart w:id="425" w:name="_Toc151193779"/>
      <w:bookmarkStart w:id="426" w:name="_Toc150774637"/>
      <w:bookmarkStart w:id="427" w:name="_Toc150509288"/>
      <w:bookmarkStart w:id="428" w:name="_Toc226337233"/>
      <w:bookmarkStart w:id="429" w:name="_Toc164608651"/>
      <w:bookmarkStart w:id="430" w:name="_Toc520356162"/>
      <w:bookmarkStart w:id="431" w:name="_Toc151190164"/>
      <w:bookmarkStart w:id="432" w:name="_Toc150480775"/>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15响应文件提交截止</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时间</w:t>
      </w:r>
    </w:p>
    <w:p w14:paraId="57E711A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15.1供应商应在竞争性磋商文件要求响应文件提交截止时间前，将电子响应文件提交至电子交易平台。</w:t>
      </w:r>
    </w:p>
    <w:p w14:paraId="2DA1896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16响应文件的修改与撤回</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330452D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16.1提交响应文件截止时间前，供应商可以通过电子交易平台对所提交的响应文件进行补充、修改或者撤回。磋商保证金的补充、修改或者撤回无需通过电子交易平台，但应就其补充、修改或者撤回通知采购人或采购代理机构。</w:t>
      </w:r>
    </w:p>
    <w:p w14:paraId="70D4770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16.2供应商对响应文件的补充、修改的内容应当按照竞争性磋商文件要求签署、盖章，作为响应文件的组成部分。补充、修改的内容与响应文件不一致的，以补充、修改的内容为准。</w:t>
      </w:r>
    </w:p>
    <w:p w14:paraId="49458DA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jc w:val="center"/>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433" w:name="_Toc195842903"/>
      <w:bookmarkStart w:id="434" w:name="_Toc226965728"/>
      <w:bookmarkStart w:id="435" w:name="_Toc151193636"/>
      <w:bookmarkStart w:id="436" w:name="_Toc151193926"/>
      <w:bookmarkStart w:id="437" w:name="_Toc150509289"/>
      <w:bookmarkStart w:id="438" w:name="_Toc264969228"/>
      <w:bookmarkStart w:id="439" w:name="_Toc127151538"/>
      <w:bookmarkStart w:id="440" w:name="_Toc151193708"/>
      <w:bookmarkStart w:id="441" w:name="_Toc150774638"/>
      <w:bookmarkStart w:id="442" w:name="_Toc150774743"/>
      <w:bookmarkStart w:id="443" w:name="_Toc150480776"/>
      <w:bookmarkStart w:id="444" w:name="_Toc265228376"/>
      <w:bookmarkStart w:id="445" w:name="_Toc226337234"/>
      <w:bookmarkStart w:id="446" w:name="_Toc151193780"/>
      <w:bookmarkStart w:id="447" w:name="_Toc151190165"/>
      <w:bookmarkStart w:id="448" w:name="_Toc305158806"/>
      <w:bookmarkStart w:id="449" w:name="_Toc305158880"/>
      <w:bookmarkStart w:id="450" w:name="_Toc151193852"/>
      <w:bookmarkStart w:id="451" w:name="_Toc142311040"/>
      <w:bookmarkStart w:id="452" w:name="_Toc520356163"/>
      <w:bookmarkStart w:id="453" w:name="_Toc226309782"/>
      <w:bookmarkStart w:id="454" w:name="_Toc226965811"/>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 xml:space="preserve">五   </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评审</w:t>
      </w:r>
    </w:p>
    <w:p w14:paraId="087F868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17响应文件的解密与开启</w:t>
      </w:r>
    </w:p>
    <w:p w14:paraId="5333154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17.1采购人或采购代理机构将按竞争性磋商文件的规定，在响应文件提交截止时间的同一时间和竞争性磋商文件预先确定的地点开启响应文件。</w:t>
      </w:r>
    </w:p>
    <w:p w14:paraId="3BF5015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17.2本项目解密使用北京市政府采购电子交易平台。供应商应在《供应商须知资料表》规定的时间内对响应文件进行解密，因非系统原因导致的解密失败，视为无效响应。</w:t>
      </w:r>
    </w:p>
    <w:p w14:paraId="001885F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17.3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6711CB2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17.4供应商不足3家的，不予解密。</w:t>
      </w:r>
    </w:p>
    <w:p w14:paraId="5EDB224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455" w:name="_Toc520356165"/>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17.5本项目不公开报价。</w:t>
      </w:r>
    </w:p>
    <w:bookmarkEnd w:id="455"/>
    <w:p w14:paraId="27F205B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18磋商小组</w:t>
      </w:r>
    </w:p>
    <w:p w14:paraId="0938B16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18.1磋商小组根据政府采购有关规定和本次采购项目的特点进行组建，并负责具体评审事务，独立履行职责。</w:t>
      </w:r>
      <w:bookmarkStart w:id="456" w:name="_Toc520356166"/>
    </w:p>
    <w:p w14:paraId="6DCFF06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18.2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56"/>
      <w:bookmarkStart w:id="457" w:name="_Toc520356169"/>
    </w:p>
    <w:p w14:paraId="35595B3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19评审方法和评审标准</w:t>
      </w:r>
    </w:p>
    <w:p w14:paraId="3B2AE74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19.1见第三章《评审方法和评审标准》。</w:t>
      </w:r>
    </w:p>
    <w:p w14:paraId="216709E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jc w:val="center"/>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458" w:name="_Toc151193859"/>
      <w:bookmarkStart w:id="459" w:name="_Toc150480783"/>
      <w:bookmarkStart w:id="460" w:name="_Toc265228383"/>
      <w:bookmarkStart w:id="461" w:name="_Toc151190172"/>
      <w:bookmarkStart w:id="462" w:name="_Toc226309789"/>
      <w:bookmarkStart w:id="463" w:name="_Toc127151545"/>
      <w:bookmarkStart w:id="464" w:name="_Toc226965818"/>
      <w:bookmarkStart w:id="465" w:name="_Toc226965735"/>
      <w:bookmarkStart w:id="466" w:name="_Toc195842910"/>
      <w:bookmarkStart w:id="467" w:name="_Toc150509296"/>
      <w:bookmarkStart w:id="468" w:name="_Toc151193933"/>
      <w:bookmarkStart w:id="469" w:name="_Toc150774750"/>
      <w:bookmarkStart w:id="470" w:name="_Toc226337241"/>
      <w:bookmarkStart w:id="471" w:name="_Toc264969235"/>
      <w:bookmarkStart w:id="472" w:name="_Toc150774645"/>
      <w:bookmarkStart w:id="473" w:name="_Toc151193643"/>
      <w:bookmarkStart w:id="474" w:name="_Toc305158813"/>
      <w:bookmarkStart w:id="475" w:name="_Toc142311047"/>
      <w:bookmarkStart w:id="476" w:name="_Toc151193715"/>
      <w:bookmarkStart w:id="477" w:name="_Toc151193787"/>
      <w:bookmarkStart w:id="478" w:name="_Toc305158887"/>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 xml:space="preserve">六   </w:t>
      </w:r>
      <w:bookmarkEnd w:id="457"/>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确定</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成交</w:t>
      </w:r>
    </w:p>
    <w:p w14:paraId="0515482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479" w:name="_Toc151193935"/>
      <w:bookmarkStart w:id="480" w:name="_Toc149720840"/>
      <w:bookmarkStart w:id="481" w:name="_Toc226965820"/>
      <w:bookmarkStart w:id="482" w:name="_Toc151190174"/>
      <w:bookmarkStart w:id="483" w:name="_Toc264969237"/>
      <w:bookmarkStart w:id="484" w:name="_Toc164351641"/>
      <w:bookmarkStart w:id="485" w:name="_Toc226337243"/>
      <w:bookmarkStart w:id="486" w:name="_Toc226309791"/>
      <w:bookmarkStart w:id="487" w:name="_Toc305158815"/>
      <w:bookmarkStart w:id="488" w:name="_Toc151193789"/>
      <w:bookmarkStart w:id="489" w:name="_Toc142311049"/>
      <w:bookmarkStart w:id="490" w:name="_Toc164229388"/>
      <w:bookmarkStart w:id="491" w:name="_Toc226965737"/>
      <w:bookmarkStart w:id="492" w:name="_Toc127151547"/>
      <w:bookmarkStart w:id="493" w:name="_Toc151193861"/>
      <w:bookmarkStart w:id="494" w:name="_Toc195842912"/>
      <w:bookmarkStart w:id="495" w:name="_Toc164608816"/>
      <w:bookmarkStart w:id="496" w:name="_Toc305158889"/>
      <w:bookmarkStart w:id="497" w:name="_Toc127151748"/>
      <w:bookmarkStart w:id="498" w:name="_Toc150774752"/>
      <w:bookmarkStart w:id="499" w:name="_Toc151193717"/>
      <w:bookmarkStart w:id="500" w:name="_Toc150509298"/>
      <w:bookmarkStart w:id="501" w:name="_Toc265228385"/>
      <w:bookmarkStart w:id="502" w:name="_Toc164608661"/>
      <w:bookmarkStart w:id="503" w:name="_Toc150480785"/>
      <w:bookmarkStart w:id="504" w:name="_Toc164229242"/>
      <w:bookmarkStart w:id="505" w:name="_Toc127161461"/>
      <w:bookmarkStart w:id="506" w:name="_Toc150774647"/>
      <w:bookmarkStart w:id="507" w:name="_Toc151193645"/>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20确定成交供应商</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11D5A10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20.1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402774C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508" w:name="_Toc305158817"/>
      <w:bookmarkStart w:id="509" w:name="_Toc305158891"/>
      <w:bookmarkStart w:id="510" w:name="_Toc265228387"/>
      <w:bookmarkStart w:id="511" w:name="_Toc150774649"/>
      <w:bookmarkStart w:id="512" w:name="_Toc195842914"/>
      <w:bookmarkStart w:id="513" w:name="_Toc164229244"/>
      <w:bookmarkStart w:id="514" w:name="_Toc151193647"/>
      <w:bookmarkStart w:id="515" w:name="_Toc226309793"/>
      <w:bookmarkStart w:id="516" w:name="_Toc151193719"/>
      <w:bookmarkStart w:id="517" w:name="_Toc151193863"/>
      <w:bookmarkStart w:id="518" w:name="_Toc264969239"/>
      <w:bookmarkStart w:id="519" w:name="_Toc164608818"/>
      <w:bookmarkStart w:id="520" w:name="_Toc142311051"/>
      <w:bookmarkStart w:id="521" w:name="_Toc150480787"/>
      <w:bookmarkStart w:id="522" w:name="_Toc127151549"/>
      <w:bookmarkStart w:id="523" w:name="_Toc226965822"/>
      <w:bookmarkStart w:id="524" w:name="_Toc127151750"/>
      <w:bookmarkStart w:id="525" w:name="_Toc164608663"/>
      <w:bookmarkStart w:id="526" w:name="_Toc150509300"/>
      <w:bookmarkStart w:id="527" w:name="_Toc151193791"/>
      <w:bookmarkStart w:id="528" w:name="_Toc164229390"/>
      <w:bookmarkStart w:id="529" w:name="_Toc127161463"/>
      <w:bookmarkStart w:id="530" w:name="_Toc226965739"/>
      <w:bookmarkStart w:id="531" w:name="_Toc226337245"/>
      <w:bookmarkStart w:id="532" w:name="_Toc151190176"/>
      <w:bookmarkStart w:id="533" w:name="_Toc150774754"/>
      <w:bookmarkStart w:id="534" w:name="_Toc164351643"/>
      <w:bookmarkStart w:id="535" w:name="_Toc151193937"/>
      <w:bookmarkStart w:id="536" w:name="_Toc149720842"/>
      <w:bookmarkStart w:id="537" w:name="_Toc520356176"/>
      <w:bookmarkStart w:id="538" w:name="_Ref467306425"/>
      <w:bookmarkStart w:id="539" w:name="_Ref467307090"/>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21成交公告与成交通知书</w:t>
      </w:r>
      <w:bookmarkEnd w:id="508"/>
      <w:bookmarkEnd w:id="509"/>
    </w:p>
    <w:p w14:paraId="7C50BF4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21.1采购人或采购代理机构将在成交供应商确定后2个工作日内，在中国政府采购网、北京市政府采购网公告成交结果，同时向成交供应商发出成交通知书，成交公告期限为1个工作日。</w:t>
      </w:r>
    </w:p>
    <w:p w14:paraId="270DDCF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21.2成交通知书对采购人和成交供应商均具有法律效力。成交通知书发出后，采购人改变成交结果的，或者成交供应商放弃成交项目的， 应当依法承担法律责任。</w:t>
      </w:r>
    </w:p>
    <w:p w14:paraId="5B15572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22终止</w:t>
      </w:r>
    </w:p>
    <w:p w14:paraId="3D2BC7F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22.1出现下列情形之一的，采购人或采购代理机构将终止竞争性磋商采购活动，发布项目终止公告并说明原因，重新开展采购活动：</w:t>
      </w:r>
    </w:p>
    <w:p w14:paraId="33E42C2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22.1.1因情况变化，不再符合规定的竞争性磋商采购方式适用情形的；</w:t>
      </w:r>
    </w:p>
    <w:p w14:paraId="386871E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22.1.2出现影响采购公正的违法、违规行为的；</w:t>
      </w:r>
    </w:p>
    <w:p w14:paraId="155571B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22.1.3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14:paraId="2374950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540" w:name="_Toc151193720"/>
      <w:bookmarkStart w:id="541" w:name="_Toc305158892"/>
      <w:bookmarkStart w:id="542" w:name="_Toc164229245"/>
      <w:bookmarkStart w:id="543" w:name="_Toc127151550"/>
      <w:bookmarkStart w:id="544" w:name="_Toc151193792"/>
      <w:bookmarkStart w:id="545" w:name="_Toc151193864"/>
      <w:bookmarkStart w:id="546" w:name="_Toc164608664"/>
      <w:bookmarkStart w:id="547" w:name="_Toc150774650"/>
      <w:bookmarkStart w:id="548" w:name="_Toc305158818"/>
      <w:bookmarkStart w:id="549" w:name="_Toc150480788"/>
      <w:bookmarkStart w:id="550" w:name="_Toc151193938"/>
      <w:bookmarkStart w:id="551" w:name="_Toc264969240"/>
      <w:bookmarkStart w:id="552" w:name="_Toc150509301"/>
      <w:bookmarkStart w:id="553" w:name="_Ref467306978"/>
      <w:bookmarkStart w:id="554" w:name="_Ref467307204"/>
      <w:bookmarkStart w:id="555" w:name="_Toc127151751"/>
      <w:bookmarkStart w:id="556" w:name="_Ref467306377"/>
      <w:bookmarkStart w:id="557" w:name="_Toc149720843"/>
      <w:bookmarkStart w:id="558" w:name="_Toc164351644"/>
      <w:bookmarkStart w:id="559" w:name="_Toc226337246"/>
      <w:bookmarkStart w:id="560" w:name="_Toc151193648"/>
      <w:bookmarkStart w:id="561" w:name="_Toc226965823"/>
      <w:bookmarkStart w:id="562" w:name="_Ref467307062"/>
      <w:bookmarkStart w:id="563" w:name="_Toc164608819"/>
      <w:bookmarkStart w:id="564" w:name="_Toc164229391"/>
      <w:bookmarkStart w:id="565" w:name="_Toc127161464"/>
      <w:bookmarkStart w:id="566" w:name="_Toc151190177"/>
      <w:bookmarkStart w:id="567" w:name="_Toc520356175"/>
      <w:bookmarkStart w:id="568" w:name="_Toc195842915"/>
      <w:bookmarkStart w:id="569" w:name="_Toc142311052"/>
      <w:bookmarkStart w:id="570" w:name="_Toc226965740"/>
      <w:bookmarkStart w:id="571" w:name="_Toc265228388"/>
      <w:bookmarkStart w:id="572" w:name="_Toc226309794"/>
      <w:bookmarkStart w:id="573" w:name="_Toc150774755"/>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23签订合同</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181461B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23.1采购人与成交供应商将在成交通知书发出之日起30日内，按照竞争性磋商确定的合同文本以及采购标的、规格型号、采购金额、采购数量、技术和服务要求等事项签订政府采购合同。</w:t>
      </w:r>
    </w:p>
    <w:p w14:paraId="58BCECF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23.2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5EB84A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23.3联合体获得成交资格的，联合体各方应当共同与采购人签订合同，就成交项目向采购人承担连带责任。</w:t>
      </w:r>
    </w:p>
    <w:p w14:paraId="603E760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23.4政府采购合同不能转包。</w:t>
      </w:r>
    </w:p>
    <w:p w14:paraId="4D9A8CF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23.5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否则响应无效。成交供应商就采购项目和分包项目向采购人负责，分包供应商就分包项目承担责任。</w:t>
      </w:r>
    </w:p>
    <w:p w14:paraId="04F01C6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23.6“政采贷”融资指引：详见《供应商须知资料表》。</w:t>
      </w:r>
    </w:p>
    <w:bookmarkEnd w:id="537"/>
    <w:bookmarkEnd w:id="538"/>
    <w:bookmarkEnd w:id="539"/>
    <w:p w14:paraId="412246E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24询问与质疑</w:t>
      </w:r>
    </w:p>
    <w:p w14:paraId="34CA882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24.1询问</w:t>
      </w:r>
    </w:p>
    <w:p w14:paraId="04D63B2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24.1.1供应商对政府采购活动事项有疑问的，可依法向采购人或采购代理机构提出询问，提出形式见《供应商须知资料表》。</w:t>
      </w:r>
    </w:p>
    <w:p w14:paraId="65D6D3D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24.1.2采购人或采购代理机构对供应商依法提出的询问，在3个工作日内作出答复，但答复的内容不得涉及商业秘密。</w:t>
      </w:r>
    </w:p>
    <w:p w14:paraId="61A5E75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24.2质疑</w:t>
      </w:r>
    </w:p>
    <w:p w14:paraId="2E90780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24.2.1供应商认为竞争性磋商文件、采购过程、成交结果使自己的权益受到损害的，可以在知道或者应知其权益受到损害之日起7个工作日内，由供应商派授权代表以书面形式向采购人、采购代理机构提出质疑。采购人、采购代理机构在收到质疑函后7个工作日内作出答复。</w:t>
      </w:r>
    </w:p>
    <w:p w14:paraId="729D42F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24.2.2质疑函须使用财政部制定的范本文件。供应商为自然人的，质疑函应当由本人签字；供应商为法人或者其他组织的，质疑函应当由法定代表人、主要负责人，或者其授权代表签字或者盖章，并加盖公章。</w:t>
      </w:r>
    </w:p>
    <w:p w14:paraId="2A5B21A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24.2.3供应商委托代理人进行质疑的，应当随质疑函同时提交供应商签署的  授权委托书。授权委托书应当载明代理人的姓名或者名称、代理事项、具体权限、期限和相关事项。供应商为自然人的，应当由本人签字； 供应商为法人或者其他组织的，应当由法定代表人、主要负责人签字或者盖章，并加盖公章。</w:t>
      </w:r>
    </w:p>
    <w:p w14:paraId="6E249D9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24.2.4供应商应在法定质疑期内一次性提出针对同一采购程序环节的质疑，法定质疑期内针对同一采购程序环节再次提出的质疑，采购人、采购代理机构有权不予答复。</w:t>
      </w:r>
    </w:p>
    <w:p w14:paraId="7795EB3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24.3接收询问和质疑的联系部门、联系电话和通讯地址见《供应商须知资料表》。</w:t>
      </w:r>
    </w:p>
    <w:p w14:paraId="66E7A5C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25代理费</w:t>
      </w:r>
    </w:p>
    <w:p w14:paraId="066D333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25.1收费对象、收费标准及缴纳时间见《供应商须知资料表》。由成交供应商支付的，成交供应商须一次性向采购代理机构缴纳代理费，报价应包含代理费用。</w:t>
      </w:r>
    </w:p>
    <w:p w14:paraId="59D5F9D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574" w:name="_Toc305158822"/>
      <w:bookmarkStart w:id="575" w:name="_Toc226337250"/>
      <w:bookmarkStart w:id="576" w:name="_Toc305158896"/>
      <w:bookmarkStart w:id="577" w:name="_Toc150774759"/>
      <w:bookmarkStart w:id="578" w:name="_Toc353873934"/>
      <w:bookmarkStart w:id="579" w:name="_Toc142311056"/>
      <w:bookmarkStart w:id="580" w:name="_Toc264969244"/>
      <w:bookmarkStart w:id="581" w:name="_Toc265228392"/>
      <w:bookmarkStart w:id="582" w:name="_Toc150480792"/>
      <w:bookmarkStart w:id="583" w:name="_Toc226965827"/>
      <w:bookmarkStart w:id="584" w:name="_Toc353825544"/>
      <w:bookmarkStart w:id="585" w:name="_Toc127151554"/>
      <w:bookmarkStart w:id="586" w:name="_Toc353873664"/>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26其他要求</w:t>
      </w:r>
    </w:p>
    <w:p w14:paraId="69F2636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见《供应商须知资料表》。</w:t>
      </w:r>
    </w:p>
    <w:p w14:paraId="7A9A3477">
      <w:pPr>
        <w:keepNext w:val="0"/>
        <w:keepLines w:val="0"/>
        <w:pageBreakBefore w:val="0"/>
        <w:widowControl w:val="0"/>
        <w:kinsoku/>
        <w:wordWrap w:val="0"/>
        <w:overflowPunct/>
        <w:topLinePunct/>
        <w:autoSpaceDE/>
        <w:autoSpaceDN/>
        <w:bidi w:val="0"/>
        <w:spacing w:line="360" w:lineRule="auto"/>
        <w:jc w:val="center"/>
        <w:outlineLvl w:val="0"/>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bookmarkStart w:id="587" w:name="_Toc9780"/>
      <w:r>
        <w:rPr>
          <w:rFonts w:hint="eastAsia" w:asciiTheme="minorEastAsia" w:hAnsiTheme="minorEastAsia" w:eastAsiaTheme="minorEastAsia" w:cstheme="minorEastAsia"/>
          <w:b/>
          <w:bCs/>
          <w:snapToGrid/>
          <w:spacing w:val="0"/>
          <w:kern w:val="21"/>
          <w:sz w:val="24"/>
          <w:szCs w:val="24"/>
          <w:highlight w:val="none"/>
        </w:rPr>
        <w:t xml:space="preserve">第三章   </w:t>
      </w:r>
      <w:bookmarkEnd w:id="574"/>
      <w:bookmarkEnd w:id="575"/>
      <w:bookmarkEnd w:id="576"/>
      <w:bookmarkEnd w:id="577"/>
      <w:bookmarkEnd w:id="578"/>
      <w:bookmarkEnd w:id="579"/>
      <w:bookmarkEnd w:id="580"/>
      <w:bookmarkEnd w:id="581"/>
      <w:bookmarkEnd w:id="582"/>
      <w:bookmarkEnd w:id="583"/>
      <w:bookmarkEnd w:id="584"/>
      <w:bookmarkEnd w:id="585"/>
      <w:bookmarkEnd w:id="586"/>
      <w:r>
        <w:rPr>
          <w:rFonts w:hint="eastAsia" w:asciiTheme="minorEastAsia" w:hAnsiTheme="minorEastAsia" w:eastAsiaTheme="minorEastAsia" w:cstheme="minorEastAsia"/>
          <w:b/>
          <w:bCs/>
          <w:snapToGrid/>
          <w:spacing w:val="0"/>
          <w:kern w:val="21"/>
          <w:sz w:val="24"/>
          <w:szCs w:val="24"/>
          <w:highlight w:val="none"/>
        </w:rPr>
        <w:t>评审方法和评审标准</w:t>
      </w:r>
      <w:bookmarkEnd w:id="587"/>
      <w:bookmarkStart w:id="588" w:name="_Toc487900382"/>
    </w:p>
    <w:p w14:paraId="32C773E8">
      <w:pPr>
        <w:keepNext w:val="0"/>
        <w:keepLines w:val="0"/>
        <w:pageBreakBefore w:val="0"/>
        <w:widowControl w:val="0"/>
        <w:kinsoku/>
        <w:wordWrap w:val="0"/>
        <w:overflowPunct/>
        <w:topLinePunct/>
        <w:autoSpaceDE/>
        <w:autoSpaceDN/>
        <w:bidi w:val="0"/>
        <w:spacing w:before="0" w:line="360" w:lineRule="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kern w:val="21"/>
          <w:sz w:val="24"/>
          <w:szCs w:val="24"/>
          <w:highlight w:val="none"/>
        </w:rPr>
        <w:t>一、</w:t>
      </w:r>
      <w:r>
        <w:rPr>
          <w:rFonts w:hint="eastAsia" w:asciiTheme="minorEastAsia" w:hAnsiTheme="minorEastAsia" w:eastAsiaTheme="minorEastAsia" w:cstheme="minorEastAsia"/>
          <w:b w:val="0"/>
          <w:bCs w:val="0"/>
          <w:snapToGrid/>
          <w:spacing w:val="0"/>
          <w:kern w:val="21"/>
          <w:sz w:val="24"/>
          <w:szCs w:val="24"/>
        </w:rPr>
        <w:t>评审程序和方法</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588"/>
    <w:p w14:paraId="545E8D5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589" w:name="_Toc151193855"/>
      <w:bookmarkStart w:id="590" w:name="_Toc150774641"/>
      <w:bookmarkStart w:id="591" w:name="_Toc264969231"/>
      <w:bookmarkStart w:id="592" w:name="_Toc127161455"/>
      <w:bookmarkStart w:id="593" w:name="_Toc164229236"/>
      <w:bookmarkStart w:id="594" w:name="_Toc164351635"/>
      <w:bookmarkStart w:id="595" w:name="_Toc226309785"/>
      <w:bookmarkStart w:id="596" w:name="_Toc164608655"/>
      <w:bookmarkStart w:id="597" w:name="_Toc305158883"/>
      <w:bookmarkStart w:id="598" w:name="_Toc265228379"/>
      <w:bookmarkStart w:id="599" w:name="_Toc164229382"/>
      <w:bookmarkStart w:id="600" w:name="_Toc226337237"/>
      <w:bookmarkStart w:id="601" w:name="_Toc151190168"/>
      <w:bookmarkStart w:id="602" w:name="_Toc151193929"/>
      <w:bookmarkStart w:id="603" w:name="_Toc226965814"/>
      <w:bookmarkStart w:id="604" w:name="_Toc195842906"/>
      <w:bookmarkStart w:id="605" w:name="_Toc305158809"/>
      <w:bookmarkStart w:id="606" w:name="_Toc127151541"/>
      <w:bookmarkStart w:id="607" w:name="_Toc164608810"/>
      <w:bookmarkStart w:id="608" w:name="_Toc151193783"/>
      <w:bookmarkStart w:id="609" w:name="_Toc151193639"/>
      <w:bookmarkStart w:id="610" w:name="_Toc150509292"/>
      <w:bookmarkStart w:id="611" w:name="_Toc149720834"/>
      <w:bookmarkStart w:id="612" w:name="_Toc127151742"/>
      <w:bookmarkStart w:id="613" w:name="_Toc150480779"/>
      <w:bookmarkStart w:id="614" w:name="_Toc226965731"/>
      <w:bookmarkStart w:id="615" w:name="_Toc142311043"/>
      <w:bookmarkStart w:id="616" w:name="_Toc151193711"/>
      <w:bookmarkStart w:id="617" w:name="_Toc150774746"/>
      <w:bookmarkStart w:id="618" w:name="_Toc353825551"/>
      <w:bookmarkStart w:id="619" w:name="_Toc353873941"/>
      <w:bookmarkStart w:id="620" w:name="_Toc195842920"/>
      <w:bookmarkStart w:id="621" w:name="_Toc127151555"/>
      <w:bookmarkStart w:id="622" w:name="_Toc226337251"/>
      <w:bookmarkStart w:id="623" w:name="_Toc353873935"/>
      <w:bookmarkStart w:id="624" w:name="_Toc265228393"/>
      <w:bookmarkStart w:id="625" w:name="_Toc353825545"/>
      <w:bookmarkStart w:id="626" w:name="_Toc353873665"/>
      <w:bookmarkStart w:id="627" w:name="_Toc142311057"/>
      <w:bookmarkStart w:id="628" w:name="_Toc226965828"/>
      <w:bookmarkStart w:id="629" w:name="_Toc305158897"/>
      <w:bookmarkStart w:id="630" w:name="_Toc305158823"/>
      <w:bookmarkStart w:id="631" w:name="_Toc150480793"/>
      <w:bookmarkStart w:id="632" w:name="_Toc264969245"/>
      <w:bookmarkStart w:id="633" w:name="_Toc150774760"/>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1响应文件的</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资格审查和符合性审查</w:t>
      </w:r>
    </w:p>
    <w:p w14:paraId="27A2CC2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磋商小组将根据《资格审查要求》和《符合性审查要求》中规定的内容，对供应商进行检查，并形成检查结果。供应商《响应文件》有任何一项不符合《资格审查要求》和《符合性审查要求》要求的，视为未实质性响应竞争性磋商。未实质性响应竞争性磋商的响应文件按无效响应处理，磋商小组应当告知提交响应文件的供应商。</w:t>
      </w:r>
    </w:p>
    <w:p w14:paraId="39ADFA4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1.2《资格审查要求》中对格式有要求的，除竞争性磋商文件另有规定外，均为“实质性格式”文件。</w:t>
      </w:r>
    </w:p>
    <w:p w14:paraId="350C528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jc w:val="center"/>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资格性检查要求</w:t>
      </w:r>
    </w:p>
    <w:tbl>
      <w:tblPr>
        <w:tblStyle w:val="23"/>
        <w:tblW w:w="9765"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5"/>
        <w:gridCol w:w="1946"/>
        <w:gridCol w:w="5419"/>
        <w:gridCol w:w="1665"/>
      </w:tblGrid>
      <w:tr w14:paraId="257F0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trPr>
        <w:tc>
          <w:tcPr>
            <w:tcW w:w="735" w:type="dxa"/>
            <w:vAlign w:val="center"/>
          </w:tcPr>
          <w:p w14:paraId="7419C59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bookmarkStart w:id="634" w:name="_Hlt487972895"/>
            <w:bookmarkEnd w:id="634"/>
            <w:r>
              <w:rPr>
                <w:rFonts w:hint="eastAsia" w:asciiTheme="minorEastAsia" w:hAnsiTheme="minorEastAsia" w:eastAsiaTheme="minorEastAsia" w:cstheme="minorEastAsia"/>
                <w:b w:val="0"/>
                <w:bCs w:val="0"/>
                <w:snapToGrid/>
                <w:spacing w:val="0"/>
                <w:kern w:val="21"/>
                <w:sz w:val="24"/>
                <w:szCs w:val="24"/>
                <w:highlight w:val="none"/>
              </w:rPr>
              <w:t>序号</w:t>
            </w:r>
          </w:p>
        </w:tc>
        <w:tc>
          <w:tcPr>
            <w:tcW w:w="1946" w:type="dxa"/>
            <w:vAlign w:val="center"/>
          </w:tcPr>
          <w:p w14:paraId="420AA0DB">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检查因素</w:t>
            </w:r>
          </w:p>
        </w:tc>
        <w:tc>
          <w:tcPr>
            <w:tcW w:w="5419" w:type="dxa"/>
            <w:vAlign w:val="center"/>
          </w:tcPr>
          <w:p w14:paraId="4D277FA9">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检查内容</w:t>
            </w:r>
          </w:p>
        </w:tc>
        <w:tc>
          <w:tcPr>
            <w:tcW w:w="1665" w:type="dxa"/>
            <w:vAlign w:val="center"/>
          </w:tcPr>
          <w:p w14:paraId="17C37D06">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格式要求</w:t>
            </w:r>
          </w:p>
        </w:tc>
      </w:tr>
      <w:tr w14:paraId="27AEE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vAlign w:val="center"/>
          </w:tcPr>
          <w:p w14:paraId="28413DB7">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w:t>
            </w:r>
          </w:p>
        </w:tc>
        <w:tc>
          <w:tcPr>
            <w:tcW w:w="1946" w:type="dxa"/>
            <w:vAlign w:val="center"/>
          </w:tcPr>
          <w:p w14:paraId="7305FCC5">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rPr>
              <w:t>满足《中华人民共和国政府采购法》第二十二条规定</w:t>
            </w:r>
          </w:p>
        </w:tc>
        <w:tc>
          <w:tcPr>
            <w:tcW w:w="5419" w:type="dxa"/>
            <w:vAlign w:val="center"/>
          </w:tcPr>
          <w:p w14:paraId="6ADF67F6">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具体规定见第一章《采购邀请》</w:t>
            </w:r>
          </w:p>
        </w:tc>
        <w:tc>
          <w:tcPr>
            <w:tcW w:w="1665" w:type="dxa"/>
            <w:vAlign w:val="center"/>
          </w:tcPr>
          <w:p w14:paraId="217D4D4D">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p>
        </w:tc>
      </w:tr>
      <w:tr w14:paraId="69F6E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vAlign w:val="center"/>
          </w:tcPr>
          <w:p w14:paraId="333DF821">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1-1</w:t>
            </w:r>
          </w:p>
        </w:tc>
        <w:tc>
          <w:tcPr>
            <w:tcW w:w="1946" w:type="dxa"/>
            <w:vAlign w:val="center"/>
          </w:tcPr>
          <w:p w14:paraId="2785B81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营业执照等证明文件</w:t>
            </w:r>
          </w:p>
        </w:tc>
        <w:tc>
          <w:tcPr>
            <w:tcW w:w="5419" w:type="dxa"/>
            <w:vAlign w:val="center"/>
          </w:tcPr>
          <w:p w14:paraId="67D79617">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供应商为企业（包括合伙企业）的，应提供有效的“营业执照”；</w:t>
            </w:r>
          </w:p>
          <w:p w14:paraId="18E3034A">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供应商为事业单位的，应提供有效的“事业单位法人证书”；</w:t>
            </w:r>
          </w:p>
          <w:p w14:paraId="10933C2A">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供应商是非企业机构的，应提供有效的“执业许可证”、“登记证书”等证明文件；</w:t>
            </w:r>
          </w:p>
          <w:p w14:paraId="4A1CE1F3">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供应商是个体工商户的，应提供有效的“个体工商户营业执照”；</w:t>
            </w:r>
          </w:p>
          <w:p w14:paraId="5C9B2CDF">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供应商是自然人的，应提供有效的自然人身份证明。</w:t>
            </w:r>
          </w:p>
          <w:p w14:paraId="1C1A2736">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rPr>
              <w:t>分支机构参加响应的，应提供该分支机构或其所属法人/其他组织的相应证明文件；同时还应提供其所属法人/其他组织出具的授权其参与本项目的授权书（格式自拟，须加</w:t>
            </w:r>
            <w:r>
              <w:rPr>
                <w:rFonts w:hint="eastAsia" w:asciiTheme="minorEastAsia" w:hAnsiTheme="minorEastAsia" w:eastAsiaTheme="minorEastAsia" w:cstheme="minorEastAsia"/>
                <w:b w:val="0"/>
                <w:bCs w:val="0"/>
                <w:snapToGrid/>
                <w:spacing w:val="0"/>
                <w:kern w:val="21"/>
                <w:sz w:val="24"/>
                <w:szCs w:val="24"/>
              </w:rPr>
              <w:t>盖其所属法人/其他组织的公章）；对于</w:t>
            </w:r>
            <w:r>
              <w:rPr>
                <w:rFonts w:hint="eastAsia" w:asciiTheme="minorEastAsia" w:hAnsiTheme="minorEastAsia" w:eastAsiaTheme="minorEastAsia" w:cstheme="minorEastAsia"/>
                <w:b w:val="0"/>
                <w:bCs w:val="0"/>
                <w:iCs/>
                <w:snapToGrid/>
                <w:spacing w:val="0"/>
                <w:kern w:val="21"/>
                <w:sz w:val="24"/>
                <w:szCs w:val="24"/>
              </w:rPr>
              <w:t>银行、保险、石油石化、电力、电信等行业的分支机构，可以提供上述</w:t>
            </w:r>
            <w:r>
              <w:rPr>
                <w:rFonts w:hint="eastAsia" w:asciiTheme="minorEastAsia" w:hAnsiTheme="minorEastAsia" w:eastAsiaTheme="minorEastAsia" w:cstheme="minorEastAsia"/>
                <w:b w:val="0"/>
                <w:bCs w:val="0"/>
                <w:snapToGrid/>
                <w:spacing w:val="0"/>
                <w:kern w:val="21"/>
                <w:sz w:val="24"/>
                <w:szCs w:val="24"/>
              </w:rPr>
              <w:t>授权，也</w:t>
            </w:r>
            <w:r>
              <w:rPr>
                <w:rFonts w:hint="eastAsia" w:asciiTheme="minorEastAsia" w:hAnsiTheme="minorEastAsia" w:eastAsiaTheme="minorEastAsia" w:cstheme="minorEastAsia"/>
                <w:b w:val="0"/>
                <w:bCs w:val="0"/>
                <w:snapToGrid/>
                <w:color w:val="000000"/>
                <w:spacing w:val="0"/>
                <w:kern w:val="21"/>
                <w:sz w:val="24"/>
                <w:szCs w:val="24"/>
              </w:rPr>
              <w:t>可以提供其所属法人/其他组织的有关文件或制度等能够证明授权其独立开展业务的证明材料。</w:t>
            </w:r>
          </w:p>
        </w:tc>
        <w:tc>
          <w:tcPr>
            <w:tcW w:w="1665" w:type="dxa"/>
            <w:vAlign w:val="center"/>
          </w:tcPr>
          <w:p w14:paraId="3AFECB71">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lang w:eastAsia="zh-CN"/>
              </w:rPr>
              <w:t>提供证明文件的电子件或电子证照并加盖单位公章</w:t>
            </w:r>
          </w:p>
        </w:tc>
      </w:tr>
      <w:tr w14:paraId="2671D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vAlign w:val="center"/>
          </w:tcPr>
          <w:p w14:paraId="5F7618CF">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1-2</w:t>
            </w:r>
          </w:p>
        </w:tc>
        <w:tc>
          <w:tcPr>
            <w:tcW w:w="1946" w:type="dxa"/>
            <w:vAlign w:val="center"/>
          </w:tcPr>
          <w:p w14:paraId="0CF279C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供应商资格声明书</w:t>
            </w:r>
          </w:p>
        </w:tc>
        <w:tc>
          <w:tcPr>
            <w:tcW w:w="5419" w:type="dxa"/>
            <w:vAlign w:val="center"/>
          </w:tcPr>
          <w:p w14:paraId="35D9EC74">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提供了符合竞争性磋商文件要求的《供应商资格声明书》。</w:t>
            </w:r>
          </w:p>
        </w:tc>
        <w:tc>
          <w:tcPr>
            <w:tcW w:w="1665" w:type="dxa"/>
            <w:vAlign w:val="center"/>
          </w:tcPr>
          <w:p w14:paraId="6A6EE734">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格式见《响应文件格式》</w:t>
            </w:r>
          </w:p>
        </w:tc>
      </w:tr>
      <w:tr w14:paraId="2EFE7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vAlign w:val="center"/>
          </w:tcPr>
          <w:p w14:paraId="6714A37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1-3</w:t>
            </w:r>
          </w:p>
        </w:tc>
        <w:tc>
          <w:tcPr>
            <w:tcW w:w="1946" w:type="dxa"/>
            <w:vAlign w:val="center"/>
          </w:tcPr>
          <w:p w14:paraId="1A8D08AD">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供应商信用记录</w:t>
            </w:r>
          </w:p>
        </w:tc>
        <w:tc>
          <w:tcPr>
            <w:tcW w:w="5419" w:type="dxa"/>
            <w:vAlign w:val="center"/>
          </w:tcPr>
          <w:p w14:paraId="73AE66EE">
            <w:pPr>
              <w:keepNext w:val="0"/>
              <w:keepLines w:val="0"/>
              <w:pageBreakBefore w:val="0"/>
              <w:widowControl w:val="0"/>
              <w:tabs>
                <w:tab w:val="left" w:pos="108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查询渠道：信用中国网站和中国政府采购网（www.creditchina.gov.cn、www.ccgp.gov.cn）；</w:t>
            </w:r>
          </w:p>
          <w:p w14:paraId="6F20D3A1">
            <w:pPr>
              <w:keepNext w:val="0"/>
              <w:keepLines w:val="0"/>
              <w:pageBreakBefore w:val="0"/>
              <w:widowControl w:val="0"/>
              <w:tabs>
                <w:tab w:val="left" w:pos="900"/>
                <w:tab w:val="left" w:pos="198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截止时点：</w:t>
            </w:r>
            <w:r>
              <w:rPr>
                <w:rFonts w:hint="eastAsia" w:asciiTheme="minorEastAsia" w:hAnsiTheme="minorEastAsia" w:eastAsiaTheme="minorEastAsia" w:cstheme="minorEastAsia"/>
                <w:b w:val="0"/>
                <w:bCs w:val="0"/>
                <w:snapToGrid/>
                <w:color w:val="000000"/>
                <w:spacing w:val="0"/>
                <w:kern w:val="21"/>
                <w:sz w:val="24"/>
                <w:szCs w:val="24"/>
              </w:rPr>
              <w:t>首次响应文件提交截止时间以后</w:t>
            </w:r>
            <w:r>
              <w:rPr>
                <w:rFonts w:hint="eastAsia" w:asciiTheme="minorEastAsia" w:hAnsiTheme="minorEastAsia" w:eastAsiaTheme="minorEastAsia" w:cstheme="minorEastAsia"/>
                <w:b w:val="0"/>
                <w:bCs w:val="0"/>
                <w:snapToGrid/>
                <w:spacing w:val="0"/>
                <w:kern w:val="21"/>
                <w:sz w:val="24"/>
                <w:szCs w:val="24"/>
              </w:rPr>
              <w:t>、资格审查阶段采购人或采购代理机构的实际查询时间；</w:t>
            </w:r>
          </w:p>
          <w:p w14:paraId="03A0E303">
            <w:pPr>
              <w:keepNext w:val="0"/>
              <w:keepLines w:val="0"/>
              <w:pageBreakBefore w:val="0"/>
              <w:widowControl w:val="0"/>
              <w:tabs>
                <w:tab w:val="left" w:pos="900"/>
                <w:tab w:val="left" w:pos="198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信用信息查询记录和证据留存具体方式：查询结果网页打印页作为查询记录和证据，与其他竞争性磋商文件一并保存；</w:t>
            </w:r>
          </w:p>
          <w:p w14:paraId="33FE8571">
            <w:pPr>
              <w:keepNext w:val="0"/>
              <w:keepLines w:val="0"/>
              <w:pageBreakBefore w:val="0"/>
              <w:widowControl w:val="0"/>
              <w:tabs>
                <w:tab w:val="left" w:pos="108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rPr>
              <w:t>信用信息的使用原则：经认定的被列入失信被执行人、重大税收违法案件当事人名单、政府采购严重违法失信行为记录名单的供应商，其响应无效。联合体形式磋商的，联合体成员存在不良信用记录，视同联合体存在不良信用记录。</w:t>
            </w:r>
          </w:p>
        </w:tc>
        <w:tc>
          <w:tcPr>
            <w:tcW w:w="1665" w:type="dxa"/>
            <w:vAlign w:val="center"/>
          </w:tcPr>
          <w:p w14:paraId="0D5E9A09">
            <w:pPr>
              <w:keepNext w:val="0"/>
              <w:keepLines w:val="0"/>
              <w:pageBreakBefore w:val="0"/>
              <w:widowControl w:val="0"/>
              <w:tabs>
                <w:tab w:val="left" w:pos="108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无须供应商提供，由采购人或采购代理机构查询。</w:t>
            </w:r>
          </w:p>
        </w:tc>
      </w:tr>
      <w:tr w14:paraId="18A91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vAlign w:val="center"/>
          </w:tcPr>
          <w:p w14:paraId="43A9917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eastAsia="en-US"/>
              </w:rPr>
            </w:pPr>
            <w:r>
              <w:rPr>
                <w:rFonts w:hint="eastAsia" w:asciiTheme="minorEastAsia" w:hAnsiTheme="minorEastAsia" w:eastAsiaTheme="minorEastAsia" w:cstheme="minorEastAsia"/>
                <w:b w:val="0"/>
                <w:bCs w:val="0"/>
                <w:snapToGrid/>
                <w:spacing w:val="0"/>
                <w:kern w:val="21"/>
                <w:sz w:val="24"/>
                <w:szCs w:val="24"/>
                <w:highlight w:val="none"/>
              </w:rPr>
              <w:t>1-4</w:t>
            </w:r>
          </w:p>
        </w:tc>
        <w:tc>
          <w:tcPr>
            <w:tcW w:w="1946" w:type="dxa"/>
          </w:tcPr>
          <w:p w14:paraId="23EB4CB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法律、行政法规规定的其他条件</w:t>
            </w:r>
          </w:p>
        </w:tc>
        <w:tc>
          <w:tcPr>
            <w:tcW w:w="5419" w:type="dxa"/>
            <w:vAlign w:val="center"/>
          </w:tcPr>
          <w:p w14:paraId="5D9AE71D">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法律、行政法规规定的其他条件</w:t>
            </w:r>
          </w:p>
        </w:tc>
        <w:tc>
          <w:tcPr>
            <w:tcW w:w="1665" w:type="dxa"/>
            <w:vAlign w:val="center"/>
          </w:tcPr>
          <w:p w14:paraId="7B6ABC26">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w:t>
            </w:r>
          </w:p>
        </w:tc>
      </w:tr>
      <w:tr w14:paraId="746F1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vAlign w:val="center"/>
          </w:tcPr>
          <w:p w14:paraId="58CE4D2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w:t>
            </w:r>
          </w:p>
        </w:tc>
        <w:tc>
          <w:tcPr>
            <w:tcW w:w="1946" w:type="dxa"/>
            <w:vAlign w:val="center"/>
          </w:tcPr>
          <w:p w14:paraId="1B053D91">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落实政府采购政策需满足的资格要求</w:t>
            </w:r>
          </w:p>
        </w:tc>
        <w:tc>
          <w:tcPr>
            <w:tcW w:w="5419" w:type="dxa"/>
            <w:vAlign w:val="center"/>
          </w:tcPr>
          <w:p w14:paraId="042C1801">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具体要求见第一章《采购邀请》</w:t>
            </w:r>
          </w:p>
        </w:tc>
        <w:tc>
          <w:tcPr>
            <w:tcW w:w="1665" w:type="dxa"/>
            <w:vAlign w:val="center"/>
          </w:tcPr>
          <w:p w14:paraId="00D80B0E">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p>
        </w:tc>
      </w:tr>
      <w:tr w14:paraId="69251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shd w:val="clear" w:color="auto" w:fill="auto"/>
            <w:vAlign w:val="center"/>
          </w:tcPr>
          <w:p w14:paraId="13CEC196">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rPr>
              <w:t>2-1</w:t>
            </w:r>
          </w:p>
        </w:tc>
        <w:tc>
          <w:tcPr>
            <w:tcW w:w="1946" w:type="dxa"/>
            <w:shd w:val="clear" w:color="auto" w:fill="auto"/>
            <w:vAlign w:val="center"/>
          </w:tcPr>
          <w:p w14:paraId="279E20F5">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中小企业证明文件</w:t>
            </w:r>
          </w:p>
        </w:tc>
        <w:tc>
          <w:tcPr>
            <w:tcW w:w="5419" w:type="dxa"/>
            <w:shd w:val="clear" w:color="auto" w:fill="auto"/>
            <w:vAlign w:val="center"/>
          </w:tcPr>
          <w:p w14:paraId="584F7437">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当本项目（包）涉及预留份额专门面向中小企业采购，提供如下资料：</w:t>
            </w:r>
          </w:p>
          <w:p w14:paraId="16AE39F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1、供应商单独响应的，应提供《中小企业声明函》或《残疾人福利性单位声明函》或由省级以上监狱管理局、戒毒管理局（含新疆生产建设兵团）出具的属于监狱企业的证明文件。</w:t>
            </w:r>
          </w:p>
          <w:p w14:paraId="658CEB7F">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rPr>
              <w:t>2、如</w:t>
            </w:r>
            <w:r>
              <w:rPr>
                <w:rFonts w:hint="eastAsia" w:asciiTheme="minorEastAsia" w:hAnsiTheme="minorEastAsia" w:eastAsiaTheme="minorEastAsia" w:cstheme="minorEastAsia"/>
                <w:b w:val="0"/>
                <w:bCs w:val="0"/>
                <w:snapToGrid/>
                <w:spacing w:val="0"/>
                <w:kern w:val="21"/>
                <w:sz w:val="24"/>
                <w:szCs w:val="24"/>
                <w:lang w:eastAsia="zh-CN"/>
              </w:rPr>
              <w:t>竞争性磋商</w:t>
            </w:r>
            <w:r>
              <w:rPr>
                <w:rFonts w:hint="eastAsia" w:asciiTheme="minorEastAsia" w:hAnsiTheme="minorEastAsia" w:eastAsiaTheme="minorEastAsia" w:cstheme="minorEastAsia"/>
                <w:b w:val="0"/>
                <w:bCs w:val="0"/>
                <w:snapToGrid/>
                <w:spacing w:val="0"/>
                <w:kern w:val="21"/>
                <w:sz w:val="24"/>
                <w:szCs w:val="24"/>
              </w:rPr>
              <w:t>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665" w:type="dxa"/>
            <w:shd w:val="clear" w:color="auto" w:fill="auto"/>
            <w:vAlign w:val="center"/>
          </w:tcPr>
          <w:p w14:paraId="2A8C19D8">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格式见《响应文件格式》</w:t>
            </w:r>
          </w:p>
        </w:tc>
      </w:tr>
      <w:tr w14:paraId="368CC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shd w:val="clear" w:color="auto" w:fill="auto"/>
            <w:vAlign w:val="center"/>
          </w:tcPr>
          <w:p w14:paraId="365BD441">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2-2</w:t>
            </w:r>
          </w:p>
        </w:tc>
        <w:tc>
          <w:tcPr>
            <w:tcW w:w="1946" w:type="dxa"/>
            <w:shd w:val="clear" w:color="auto" w:fill="auto"/>
            <w:vAlign w:val="center"/>
          </w:tcPr>
          <w:p w14:paraId="69E9B6A5">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bidi="ar-SA"/>
              </w:rPr>
            </w:pPr>
            <w:r>
              <w:rPr>
                <w:rFonts w:hint="eastAsia" w:asciiTheme="minorEastAsia" w:hAnsiTheme="minorEastAsia" w:eastAsiaTheme="minorEastAsia" w:cstheme="minorEastAsia"/>
                <w:b w:val="0"/>
                <w:bCs w:val="0"/>
                <w:snapToGrid/>
                <w:spacing w:val="0"/>
                <w:kern w:val="21"/>
                <w:sz w:val="24"/>
                <w:szCs w:val="24"/>
                <w:highlight w:val="none"/>
              </w:rPr>
              <w:t>其它落实政府采购政策的资格要求</w:t>
            </w:r>
          </w:p>
        </w:tc>
        <w:tc>
          <w:tcPr>
            <w:tcW w:w="5419" w:type="dxa"/>
            <w:shd w:val="clear" w:color="auto" w:fill="auto"/>
            <w:vAlign w:val="center"/>
          </w:tcPr>
          <w:p w14:paraId="55BD587A">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bidi="ar-SA"/>
              </w:rPr>
            </w:pPr>
            <w:r>
              <w:rPr>
                <w:rFonts w:hint="eastAsia" w:asciiTheme="minorEastAsia" w:hAnsiTheme="minorEastAsia" w:eastAsiaTheme="minorEastAsia" w:cstheme="minorEastAsia"/>
                <w:b w:val="0"/>
                <w:bCs w:val="0"/>
                <w:snapToGrid/>
                <w:spacing w:val="0"/>
                <w:kern w:val="21"/>
                <w:sz w:val="24"/>
                <w:szCs w:val="24"/>
                <w:highlight w:val="none"/>
              </w:rPr>
              <w:t>如有，见第一章《采购邀请》</w:t>
            </w:r>
          </w:p>
        </w:tc>
        <w:tc>
          <w:tcPr>
            <w:tcW w:w="1665" w:type="dxa"/>
            <w:shd w:val="clear" w:color="auto" w:fill="auto"/>
            <w:vAlign w:val="center"/>
          </w:tcPr>
          <w:p w14:paraId="7339B38B">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bidi="ar-SA"/>
              </w:rPr>
            </w:pPr>
          </w:p>
        </w:tc>
      </w:tr>
      <w:tr w14:paraId="14297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vAlign w:val="center"/>
          </w:tcPr>
          <w:p w14:paraId="0C898E35">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w:t>
            </w:r>
          </w:p>
        </w:tc>
        <w:tc>
          <w:tcPr>
            <w:tcW w:w="1946" w:type="dxa"/>
            <w:vAlign w:val="center"/>
          </w:tcPr>
          <w:p w14:paraId="5ED6906A">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本项目的特定资格要求</w:t>
            </w:r>
          </w:p>
        </w:tc>
        <w:tc>
          <w:tcPr>
            <w:tcW w:w="5419" w:type="dxa"/>
            <w:vAlign w:val="center"/>
          </w:tcPr>
          <w:p w14:paraId="24580428">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lang w:eastAsia="en-US"/>
              </w:rPr>
              <w:t>如有，见第一章《采购邀请》</w:t>
            </w:r>
          </w:p>
        </w:tc>
        <w:tc>
          <w:tcPr>
            <w:tcW w:w="1665" w:type="dxa"/>
            <w:vAlign w:val="center"/>
          </w:tcPr>
          <w:p w14:paraId="6580AF8D">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p>
        </w:tc>
      </w:tr>
      <w:tr w14:paraId="3D777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35" w:type="dxa"/>
            <w:vAlign w:val="center"/>
          </w:tcPr>
          <w:p w14:paraId="7470BC0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4</w:t>
            </w:r>
          </w:p>
        </w:tc>
        <w:tc>
          <w:tcPr>
            <w:tcW w:w="1946" w:type="dxa"/>
            <w:shd w:val="clear" w:color="auto" w:fill="auto"/>
            <w:vAlign w:val="center"/>
          </w:tcPr>
          <w:p w14:paraId="0F994874">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rPr>
              <w:t>获取</w:t>
            </w:r>
            <w:r>
              <w:rPr>
                <w:rFonts w:hint="eastAsia" w:asciiTheme="minorEastAsia" w:hAnsiTheme="minorEastAsia" w:eastAsiaTheme="minorEastAsia" w:cstheme="minorEastAsia"/>
                <w:b w:val="0"/>
                <w:bCs w:val="0"/>
                <w:snapToGrid/>
                <w:spacing w:val="0"/>
                <w:kern w:val="21"/>
                <w:sz w:val="24"/>
                <w:szCs w:val="24"/>
                <w:highlight w:val="none"/>
                <w:lang w:eastAsia="zh-CN"/>
              </w:rPr>
              <w:t>竞争性磋商</w:t>
            </w:r>
          </w:p>
        </w:tc>
        <w:tc>
          <w:tcPr>
            <w:tcW w:w="5419" w:type="dxa"/>
            <w:shd w:val="clear" w:color="auto" w:fill="auto"/>
            <w:vAlign w:val="center"/>
          </w:tcPr>
          <w:p w14:paraId="1AFEA019">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在规定期限内通过北京市政府采购电子交易平台获取所参与包的</w:t>
            </w:r>
            <w:r>
              <w:rPr>
                <w:rFonts w:hint="eastAsia" w:asciiTheme="minorEastAsia" w:hAnsiTheme="minorEastAsia" w:eastAsiaTheme="minorEastAsia" w:cstheme="minorEastAsia"/>
                <w:b w:val="0"/>
                <w:bCs w:val="0"/>
                <w:snapToGrid/>
                <w:spacing w:val="0"/>
                <w:kern w:val="21"/>
                <w:sz w:val="24"/>
                <w:szCs w:val="24"/>
                <w:highlight w:val="none"/>
                <w:lang w:eastAsia="zh-CN"/>
              </w:rPr>
              <w:t>竞争性磋商</w:t>
            </w:r>
            <w:r>
              <w:rPr>
                <w:rFonts w:hint="eastAsia" w:asciiTheme="minorEastAsia" w:hAnsiTheme="minorEastAsia" w:eastAsiaTheme="minorEastAsia" w:cstheme="minorEastAsia"/>
                <w:b w:val="0"/>
                <w:bCs w:val="0"/>
                <w:snapToGrid/>
                <w:spacing w:val="0"/>
                <w:kern w:val="21"/>
                <w:sz w:val="24"/>
                <w:szCs w:val="24"/>
                <w:highlight w:val="none"/>
              </w:rPr>
              <w:t>。</w:t>
            </w:r>
          </w:p>
          <w:p w14:paraId="7820FB59">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rPr>
              <w:t>注：如本项目接受联合体，且供应商为联合体时，联合体中任一成员获取文件即视为满足要求。</w:t>
            </w:r>
          </w:p>
        </w:tc>
        <w:tc>
          <w:tcPr>
            <w:tcW w:w="1665" w:type="dxa"/>
            <w:shd w:val="clear" w:color="auto" w:fill="auto"/>
            <w:vAlign w:val="center"/>
          </w:tcPr>
          <w:p w14:paraId="7EBD2C31">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p>
        </w:tc>
      </w:tr>
    </w:tbl>
    <w:p w14:paraId="4F09876F">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p>
    <w:p w14:paraId="1F8C9EA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1.3《符合性审查要求》见下表：</w:t>
      </w:r>
    </w:p>
    <w:p w14:paraId="32B22776">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符合性审查要求</w:t>
      </w:r>
    </w:p>
    <w:tbl>
      <w:tblPr>
        <w:tblStyle w:val="23"/>
        <w:tblW w:w="9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7"/>
        <w:gridCol w:w="2469"/>
        <w:gridCol w:w="4641"/>
        <w:gridCol w:w="1868"/>
      </w:tblGrid>
      <w:tr w14:paraId="15AA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5" w:hRule="atLeast"/>
          <w:jc w:val="center"/>
        </w:trPr>
        <w:tc>
          <w:tcPr>
            <w:tcW w:w="797" w:type="dxa"/>
            <w:shd w:val="clear" w:color="auto" w:fill="auto"/>
            <w:vAlign w:val="center"/>
          </w:tcPr>
          <w:p w14:paraId="03ABC464">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序号</w:t>
            </w:r>
          </w:p>
        </w:tc>
        <w:tc>
          <w:tcPr>
            <w:tcW w:w="2469" w:type="dxa"/>
            <w:shd w:val="clear" w:color="auto" w:fill="auto"/>
            <w:vAlign w:val="center"/>
          </w:tcPr>
          <w:p w14:paraId="3FB1C02D">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检查因素</w:t>
            </w:r>
          </w:p>
        </w:tc>
        <w:tc>
          <w:tcPr>
            <w:tcW w:w="4641" w:type="dxa"/>
            <w:shd w:val="clear" w:color="auto" w:fill="auto"/>
            <w:vAlign w:val="center"/>
          </w:tcPr>
          <w:p w14:paraId="6DE325A0">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检查内容</w:t>
            </w:r>
          </w:p>
        </w:tc>
        <w:tc>
          <w:tcPr>
            <w:tcW w:w="1868" w:type="dxa"/>
            <w:shd w:val="clear" w:color="auto" w:fill="auto"/>
            <w:vAlign w:val="center"/>
          </w:tcPr>
          <w:p w14:paraId="254210C9">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是否允许澄清、说明或者更正</w:t>
            </w:r>
          </w:p>
        </w:tc>
      </w:tr>
      <w:tr w14:paraId="1BC4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97" w:type="dxa"/>
            <w:shd w:val="clear" w:color="auto" w:fill="auto"/>
            <w:vAlign w:val="center"/>
          </w:tcPr>
          <w:p w14:paraId="5EE76E74">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w:t>
            </w:r>
          </w:p>
        </w:tc>
        <w:tc>
          <w:tcPr>
            <w:tcW w:w="2469" w:type="dxa"/>
            <w:shd w:val="clear" w:color="auto" w:fill="auto"/>
            <w:vAlign w:val="center"/>
          </w:tcPr>
          <w:p w14:paraId="2581B28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响应文件的签署</w:t>
            </w:r>
          </w:p>
        </w:tc>
        <w:tc>
          <w:tcPr>
            <w:tcW w:w="4641" w:type="dxa"/>
            <w:shd w:val="clear" w:color="auto" w:fill="auto"/>
            <w:vAlign w:val="center"/>
          </w:tcPr>
          <w:p w14:paraId="6B212059">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响应文件的签字或盖章或签章符合竞争性磋商文件要求；</w:t>
            </w:r>
          </w:p>
        </w:tc>
        <w:tc>
          <w:tcPr>
            <w:tcW w:w="1868" w:type="dxa"/>
            <w:shd w:val="clear" w:color="auto" w:fill="auto"/>
            <w:vAlign w:val="center"/>
          </w:tcPr>
          <w:p w14:paraId="3BF22AC3">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4BA1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97" w:type="dxa"/>
            <w:shd w:val="clear" w:color="auto" w:fill="auto"/>
            <w:vAlign w:val="center"/>
          </w:tcPr>
          <w:p w14:paraId="2C711D17">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w:t>
            </w:r>
          </w:p>
        </w:tc>
        <w:tc>
          <w:tcPr>
            <w:tcW w:w="2469" w:type="dxa"/>
            <w:shd w:val="clear" w:color="auto" w:fill="auto"/>
            <w:vAlign w:val="center"/>
          </w:tcPr>
          <w:p w14:paraId="5C347067">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响应文件格式</w:t>
            </w:r>
          </w:p>
        </w:tc>
        <w:tc>
          <w:tcPr>
            <w:tcW w:w="4641" w:type="dxa"/>
            <w:shd w:val="clear" w:color="auto" w:fill="auto"/>
            <w:vAlign w:val="center"/>
          </w:tcPr>
          <w:p w14:paraId="7804064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响应文件按规定的格式填写；</w:t>
            </w:r>
          </w:p>
        </w:tc>
        <w:tc>
          <w:tcPr>
            <w:tcW w:w="1868" w:type="dxa"/>
            <w:shd w:val="clear" w:color="auto" w:fill="auto"/>
            <w:vAlign w:val="center"/>
          </w:tcPr>
          <w:p w14:paraId="1ACE4121">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7DCB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97" w:type="dxa"/>
            <w:shd w:val="clear" w:color="auto" w:fill="auto"/>
            <w:vAlign w:val="center"/>
          </w:tcPr>
          <w:p w14:paraId="7FDA2A6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w:t>
            </w:r>
          </w:p>
        </w:tc>
        <w:tc>
          <w:tcPr>
            <w:tcW w:w="2469" w:type="dxa"/>
            <w:shd w:val="clear" w:color="auto" w:fill="auto"/>
            <w:vAlign w:val="center"/>
          </w:tcPr>
          <w:p w14:paraId="0C982AF1">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响应文件编制</w:t>
            </w:r>
          </w:p>
        </w:tc>
        <w:tc>
          <w:tcPr>
            <w:tcW w:w="4641" w:type="dxa"/>
            <w:shd w:val="clear" w:color="auto" w:fill="auto"/>
            <w:vAlign w:val="center"/>
          </w:tcPr>
          <w:p w14:paraId="059FBEE1">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响应文件未有内容不全或关键字迹模糊、无法辨认情况；</w:t>
            </w:r>
          </w:p>
        </w:tc>
        <w:tc>
          <w:tcPr>
            <w:tcW w:w="1868" w:type="dxa"/>
            <w:shd w:val="clear" w:color="auto" w:fill="auto"/>
            <w:vAlign w:val="center"/>
          </w:tcPr>
          <w:p w14:paraId="73DF9406">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7AE8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7" w:type="dxa"/>
            <w:shd w:val="clear" w:color="auto" w:fill="auto"/>
            <w:vAlign w:val="center"/>
          </w:tcPr>
          <w:p w14:paraId="34BD1A82">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4</w:t>
            </w:r>
          </w:p>
        </w:tc>
        <w:tc>
          <w:tcPr>
            <w:tcW w:w="2469" w:type="dxa"/>
            <w:shd w:val="clear" w:color="auto" w:fill="auto"/>
            <w:vAlign w:val="center"/>
          </w:tcPr>
          <w:p w14:paraId="6B29DAC0">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响应文件内容及报价唯一</w:t>
            </w:r>
          </w:p>
        </w:tc>
        <w:tc>
          <w:tcPr>
            <w:tcW w:w="4641" w:type="dxa"/>
            <w:shd w:val="clear" w:color="auto" w:fill="auto"/>
            <w:vAlign w:val="center"/>
          </w:tcPr>
          <w:p w14:paraId="65844108">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rPr>
              <w:t>供应商未递交两份或多份内容不同的响应文件</w:t>
            </w:r>
            <w:r>
              <w:rPr>
                <w:rFonts w:hint="eastAsia" w:asciiTheme="minorEastAsia" w:hAnsiTheme="minorEastAsia" w:eastAsiaTheme="minorEastAsia" w:cstheme="minorEastAsia"/>
                <w:b w:val="0"/>
                <w:bCs w:val="0"/>
                <w:snapToGrid/>
                <w:spacing w:val="0"/>
                <w:kern w:val="21"/>
                <w:sz w:val="24"/>
                <w:szCs w:val="24"/>
                <w:highlight w:val="none"/>
                <w:lang w:eastAsia="zh-CN"/>
              </w:rPr>
              <w:t>；</w:t>
            </w:r>
          </w:p>
          <w:p w14:paraId="4A6BD883">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响应</w:t>
            </w:r>
            <w:r>
              <w:rPr>
                <w:rFonts w:hint="eastAsia" w:asciiTheme="minorEastAsia" w:hAnsiTheme="minorEastAsia" w:eastAsiaTheme="minorEastAsia" w:cstheme="minorEastAsia"/>
                <w:b w:val="0"/>
                <w:bCs w:val="0"/>
                <w:snapToGrid/>
                <w:spacing w:val="0"/>
                <w:kern w:val="21"/>
                <w:sz w:val="24"/>
                <w:szCs w:val="24"/>
                <w:highlight w:val="none"/>
              </w:rPr>
              <w:t>文件未出现可选择性或可调整的报价（</w:t>
            </w:r>
            <w:r>
              <w:rPr>
                <w:rFonts w:hint="eastAsia" w:asciiTheme="minorEastAsia" w:hAnsiTheme="minorEastAsia" w:eastAsiaTheme="minorEastAsia" w:cstheme="minorEastAsia"/>
                <w:b w:val="0"/>
                <w:bCs w:val="0"/>
                <w:snapToGrid/>
                <w:spacing w:val="0"/>
                <w:kern w:val="21"/>
                <w:sz w:val="24"/>
                <w:szCs w:val="24"/>
                <w:highlight w:val="none"/>
                <w:lang w:val="en-US" w:eastAsia="zh-CN"/>
              </w:rPr>
              <w:t>竞争性磋商</w:t>
            </w:r>
            <w:r>
              <w:rPr>
                <w:rFonts w:hint="eastAsia" w:asciiTheme="minorEastAsia" w:hAnsiTheme="minorEastAsia" w:eastAsiaTheme="minorEastAsia" w:cstheme="minorEastAsia"/>
                <w:b w:val="0"/>
                <w:bCs w:val="0"/>
                <w:snapToGrid/>
                <w:spacing w:val="0"/>
                <w:kern w:val="21"/>
                <w:sz w:val="24"/>
                <w:szCs w:val="24"/>
                <w:highlight w:val="none"/>
              </w:rPr>
              <w:t>另有规定的除外）；</w:t>
            </w:r>
          </w:p>
        </w:tc>
        <w:tc>
          <w:tcPr>
            <w:tcW w:w="1868" w:type="dxa"/>
            <w:shd w:val="clear" w:color="auto" w:fill="auto"/>
            <w:vAlign w:val="center"/>
          </w:tcPr>
          <w:p w14:paraId="73B487E7">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1F3F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97" w:type="dxa"/>
            <w:shd w:val="clear" w:color="auto" w:fill="auto"/>
            <w:vAlign w:val="center"/>
          </w:tcPr>
          <w:p w14:paraId="6F1755A0">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5</w:t>
            </w:r>
          </w:p>
        </w:tc>
        <w:tc>
          <w:tcPr>
            <w:tcW w:w="2469" w:type="dxa"/>
            <w:shd w:val="clear" w:color="auto" w:fill="auto"/>
            <w:vAlign w:val="center"/>
          </w:tcPr>
          <w:p w14:paraId="7680A4D8">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无串通行为</w:t>
            </w:r>
          </w:p>
        </w:tc>
        <w:tc>
          <w:tcPr>
            <w:tcW w:w="4641" w:type="dxa"/>
            <w:shd w:val="clear" w:color="auto" w:fill="auto"/>
            <w:vAlign w:val="center"/>
          </w:tcPr>
          <w:p w14:paraId="1745F79A">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1.供应商未以他人的名义投标、串通投标、以行贿手段谋取成交或者以其他弄虚作假方式投标；</w:t>
            </w:r>
          </w:p>
          <w:p w14:paraId="78C1163F">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2.不同供应商的响应文件未出现由同一单位或者个人编制的；</w:t>
            </w:r>
          </w:p>
          <w:p w14:paraId="039C435B">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3.不同供应商未委托同一单位或者个人办理投标事宜的；</w:t>
            </w:r>
          </w:p>
          <w:p w14:paraId="7DA1A797">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4.不同供应商的响应文件载明的项目管理机构成员未出现同一人的；</w:t>
            </w:r>
          </w:p>
          <w:p w14:paraId="5AACD91F">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5.不同供应商的响应文件无异常一致或者磋商报价呈规律性差异；</w:t>
            </w:r>
          </w:p>
        </w:tc>
        <w:tc>
          <w:tcPr>
            <w:tcW w:w="1868" w:type="dxa"/>
            <w:shd w:val="clear" w:color="auto" w:fill="auto"/>
            <w:vAlign w:val="center"/>
          </w:tcPr>
          <w:p w14:paraId="5D7F8BC6">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3AB0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97" w:type="dxa"/>
            <w:shd w:val="clear" w:color="auto" w:fill="auto"/>
            <w:vAlign w:val="center"/>
          </w:tcPr>
          <w:p w14:paraId="265F9893">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6</w:t>
            </w:r>
          </w:p>
        </w:tc>
        <w:tc>
          <w:tcPr>
            <w:tcW w:w="2469" w:type="dxa"/>
            <w:shd w:val="clear" w:color="auto" w:fill="auto"/>
            <w:vAlign w:val="center"/>
          </w:tcPr>
          <w:p w14:paraId="3450444B">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供应商名称</w:t>
            </w:r>
          </w:p>
        </w:tc>
        <w:tc>
          <w:tcPr>
            <w:tcW w:w="4641" w:type="dxa"/>
            <w:shd w:val="clear" w:color="auto" w:fill="auto"/>
            <w:vAlign w:val="center"/>
          </w:tcPr>
          <w:p w14:paraId="1CB17453">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供应商名称与法人登记证书或法人营业执照一致；</w:t>
            </w:r>
          </w:p>
        </w:tc>
        <w:tc>
          <w:tcPr>
            <w:tcW w:w="1868" w:type="dxa"/>
            <w:shd w:val="clear" w:color="auto" w:fill="auto"/>
            <w:vAlign w:val="center"/>
          </w:tcPr>
          <w:p w14:paraId="227982FF">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71D9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jc w:val="center"/>
        </w:trPr>
        <w:tc>
          <w:tcPr>
            <w:tcW w:w="797" w:type="dxa"/>
            <w:shd w:val="clear" w:color="auto" w:fill="auto"/>
            <w:vAlign w:val="center"/>
          </w:tcPr>
          <w:p w14:paraId="3BF85CBB">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7</w:t>
            </w:r>
          </w:p>
        </w:tc>
        <w:tc>
          <w:tcPr>
            <w:tcW w:w="2469" w:type="dxa"/>
            <w:shd w:val="clear" w:color="auto" w:fill="auto"/>
            <w:vAlign w:val="center"/>
          </w:tcPr>
          <w:p w14:paraId="5A30EB77">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响应文件澄清</w:t>
            </w:r>
          </w:p>
        </w:tc>
        <w:tc>
          <w:tcPr>
            <w:tcW w:w="4641" w:type="dxa"/>
            <w:shd w:val="clear" w:color="auto" w:fill="auto"/>
            <w:vAlign w:val="center"/>
          </w:tcPr>
          <w:p w14:paraId="51E71B76">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对评审委员会提出的质疑能够合理解释或提供证明材料，根据评委会建议进行修正；（如有）</w:t>
            </w:r>
          </w:p>
        </w:tc>
        <w:tc>
          <w:tcPr>
            <w:tcW w:w="1868" w:type="dxa"/>
            <w:shd w:val="clear" w:color="auto" w:fill="auto"/>
            <w:vAlign w:val="center"/>
          </w:tcPr>
          <w:p w14:paraId="110D68C2">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6EFD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97" w:type="dxa"/>
            <w:shd w:val="clear" w:color="auto" w:fill="auto"/>
            <w:vAlign w:val="center"/>
          </w:tcPr>
          <w:p w14:paraId="664B08AF">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8</w:t>
            </w:r>
          </w:p>
        </w:tc>
        <w:tc>
          <w:tcPr>
            <w:tcW w:w="2469" w:type="dxa"/>
            <w:shd w:val="clear" w:color="auto" w:fill="auto"/>
            <w:vAlign w:val="center"/>
          </w:tcPr>
          <w:p w14:paraId="659AA7F4">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磋商有效期</w:t>
            </w:r>
          </w:p>
        </w:tc>
        <w:tc>
          <w:tcPr>
            <w:tcW w:w="4641" w:type="dxa"/>
            <w:shd w:val="clear" w:color="auto" w:fill="auto"/>
            <w:vAlign w:val="center"/>
          </w:tcPr>
          <w:p w14:paraId="7891FE61">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磋商有效期满足竞争性磋商文件要求；</w:t>
            </w:r>
          </w:p>
        </w:tc>
        <w:tc>
          <w:tcPr>
            <w:tcW w:w="1868" w:type="dxa"/>
            <w:shd w:val="clear" w:color="auto" w:fill="auto"/>
            <w:vAlign w:val="center"/>
          </w:tcPr>
          <w:p w14:paraId="07F07C89">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09D5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97" w:type="dxa"/>
            <w:shd w:val="clear" w:color="auto" w:fill="auto"/>
            <w:vAlign w:val="center"/>
          </w:tcPr>
          <w:p w14:paraId="0FB68E95">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9</w:t>
            </w:r>
          </w:p>
        </w:tc>
        <w:tc>
          <w:tcPr>
            <w:tcW w:w="2469" w:type="dxa"/>
            <w:shd w:val="clear" w:color="auto" w:fill="auto"/>
            <w:vAlign w:val="center"/>
          </w:tcPr>
          <w:p w14:paraId="757A1BF1">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实质性响应竞争性磋商文件</w:t>
            </w:r>
          </w:p>
        </w:tc>
        <w:tc>
          <w:tcPr>
            <w:tcW w:w="4641" w:type="dxa"/>
            <w:shd w:val="clear" w:color="auto" w:fill="auto"/>
            <w:vAlign w:val="center"/>
          </w:tcPr>
          <w:p w14:paraId="38D94A32">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1.响应文件未含有采购人不能接受的附加条件；</w:t>
            </w:r>
          </w:p>
          <w:p w14:paraId="603039AD">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2.未出现法律、法规和竞争性磋商文件规定的其他无效情形；</w:t>
            </w:r>
          </w:p>
          <w:p w14:paraId="18B46903">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3.不存在其他未实质性响应竞争性磋商文件要求的；</w:t>
            </w:r>
          </w:p>
          <w:p w14:paraId="01E18CC9">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4</w:t>
            </w:r>
            <w:r>
              <w:rPr>
                <w:rFonts w:hint="eastAsia" w:asciiTheme="minorEastAsia" w:hAnsiTheme="minorEastAsia" w:eastAsiaTheme="minorEastAsia" w:cstheme="minorEastAsia"/>
                <w:b w:val="0"/>
                <w:bCs w:val="0"/>
                <w:snapToGrid/>
                <w:spacing w:val="0"/>
                <w:kern w:val="21"/>
                <w:sz w:val="24"/>
                <w:szCs w:val="24"/>
                <w:highlight w:val="none"/>
                <w:lang w:val="en-US" w:eastAsia="zh-CN"/>
              </w:rPr>
              <w:t>.</w:t>
            </w:r>
            <w:r>
              <w:rPr>
                <w:rFonts w:hint="eastAsia" w:asciiTheme="minorEastAsia" w:hAnsiTheme="minorEastAsia" w:eastAsiaTheme="minorEastAsia" w:cstheme="minorEastAsia"/>
                <w:b w:val="0"/>
                <w:bCs w:val="0"/>
                <w:snapToGrid/>
                <w:spacing w:val="0"/>
                <w:kern w:val="21"/>
                <w:sz w:val="24"/>
                <w:szCs w:val="24"/>
                <w:highlight w:val="none"/>
              </w:rPr>
              <w:t>满足</w:t>
            </w:r>
            <w:r>
              <w:rPr>
                <w:rFonts w:hint="eastAsia" w:asciiTheme="minorEastAsia" w:hAnsiTheme="minorEastAsia" w:eastAsiaTheme="minorEastAsia" w:cstheme="minorEastAsia"/>
                <w:b w:val="0"/>
                <w:bCs w:val="0"/>
                <w:snapToGrid/>
                <w:spacing w:val="0"/>
                <w:kern w:val="21"/>
                <w:sz w:val="24"/>
                <w:szCs w:val="24"/>
                <w:highlight w:val="none"/>
                <w:lang w:eastAsia="zh-CN"/>
              </w:rPr>
              <w:t>竞争性磋商</w:t>
            </w:r>
            <w:r>
              <w:rPr>
                <w:rFonts w:hint="eastAsia" w:asciiTheme="minorEastAsia" w:hAnsiTheme="minorEastAsia" w:eastAsiaTheme="minorEastAsia" w:cstheme="minorEastAsia"/>
                <w:b w:val="0"/>
                <w:bCs w:val="0"/>
                <w:snapToGrid/>
                <w:spacing w:val="0"/>
                <w:kern w:val="21"/>
                <w:sz w:val="24"/>
                <w:szCs w:val="24"/>
                <w:highlight w:val="none"/>
              </w:rPr>
              <w:t>★号条款的。</w:t>
            </w:r>
          </w:p>
        </w:tc>
        <w:tc>
          <w:tcPr>
            <w:tcW w:w="1868" w:type="dxa"/>
            <w:shd w:val="clear" w:color="auto" w:fill="auto"/>
            <w:vAlign w:val="center"/>
          </w:tcPr>
          <w:p w14:paraId="746D1ABA">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0F71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97" w:type="dxa"/>
            <w:shd w:val="clear" w:color="auto" w:fill="auto"/>
            <w:vAlign w:val="center"/>
          </w:tcPr>
          <w:p w14:paraId="097D664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10</w:t>
            </w:r>
          </w:p>
        </w:tc>
        <w:tc>
          <w:tcPr>
            <w:tcW w:w="2469" w:type="dxa"/>
            <w:shd w:val="clear" w:color="auto" w:fill="auto"/>
            <w:vAlign w:val="center"/>
          </w:tcPr>
          <w:p w14:paraId="45C31643">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磋商报价</w:t>
            </w:r>
          </w:p>
        </w:tc>
        <w:tc>
          <w:tcPr>
            <w:tcW w:w="4641" w:type="dxa"/>
            <w:shd w:val="clear" w:color="auto" w:fill="auto"/>
            <w:vAlign w:val="center"/>
          </w:tcPr>
          <w:p w14:paraId="7AD99C1B">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磋商报价未超出竞争性磋商文件规定的最高限价；</w:t>
            </w:r>
          </w:p>
        </w:tc>
        <w:tc>
          <w:tcPr>
            <w:tcW w:w="1868" w:type="dxa"/>
            <w:shd w:val="clear" w:color="auto" w:fill="auto"/>
            <w:vAlign w:val="center"/>
          </w:tcPr>
          <w:p w14:paraId="2257B4FA">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r w14:paraId="4560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97" w:type="dxa"/>
            <w:shd w:val="clear" w:color="auto" w:fill="auto"/>
            <w:vAlign w:val="center"/>
          </w:tcPr>
          <w:p w14:paraId="3BAC1524">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11</w:t>
            </w:r>
          </w:p>
        </w:tc>
        <w:tc>
          <w:tcPr>
            <w:tcW w:w="2469" w:type="dxa"/>
            <w:shd w:val="clear" w:color="auto" w:fill="auto"/>
            <w:vAlign w:val="center"/>
          </w:tcPr>
          <w:p w14:paraId="2CC4BF61">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招标代理服务费承诺书</w:t>
            </w:r>
          </w:p>
        </w:tc>
        <w:tc>
          <w:tcPr>
            <w:tcW w:w="4641" w:type="dxa"/>
            <w:shd w:val="clear" w:color="auto" w:fill="auto"/>
            <w:vAlign w:val="center"/>
          </w:tcPr>
          <w:p w14:paraId="021A4F67">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提供有效的招标代理服务费承诺书</w:t>
            </w:r>
          </w:p>
        </w:tc>
        <w:tc>
          <w:tcPr>
            <w:tcW w:w="1868" w:type="dxa"/>
            <w:shd w:val="clear" w:color="auto" w:fill="auto"/>
            <w:vAlign w:val="center"/>
          </w:tcPr>
          <w:p w14:paraId="765759DF">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不允许</w:t>
            </w:r>
          </w:p>
        </w:tc>
      </w:tr>
    </w:tbl>
    <w:p w14:paraId="11A8EB2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2磋商、响应文件有关事项的澄清、说明或者更正和最后报价</w:t>
      </w:r>
    </w:p>
    <w:p w14:paraId="6D245A1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2.1磋商小组所有成员应当集中与单一供应商分别进行磋商，并给予所有参加磋商的供应商平等的磋商机会。</w:t>
      </w:r>
    </w:p>
    <w:p w14:paraId="4CE1975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2.2在磋商过程中，磋商小组可以根据竞争性磋商和磋商情况实质性变动采购需求中的技术、服务要求以及合同草案条款，但不得变动竞争性磋商中的其他内容。实质性变动的内容，须经采购人代表确认。</w:t>
      </w:r>
    </w:p>
    <w:p w14:paraId="348AC0E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2.3对竞争性磋商作出的实质性变动是竞争性磋商的有效组成部分，磋商小组应当及时以书面形式同时通知所有参加磋商的供应商。</w:t>
      </w:r>
    </w:p>
    <w:p w14:paraId="4543AF3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2.4供应商应当按照竞争性磋商的变动情况和磋商小组的要求重新提交响应文件，并由其法定代表人（若供应商为事业单位或其他组织或分支机构，可为单位负责人）或授权代表签字或者加盖公章。由授权代表签字的，应当附授权委托书。供应商为自然人的，应当由本人签字并附身份证明。</w:t>
      </w:r>
    </w:p>
    <w:p w14:paraId="570D4B7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2.5响应文件的澄清、说明或者更正：</w:t>
      </w:r>
    </w:p>
    <w:p w14:paraId="668658C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2.5.1磋商小组在对响应文件的有效性、完整性和响应程度进行审查时，可以要求供应商对响应文件中含义不明确、同类问题表述不一致或者有明显文字和计算错误的内容等作出必要的澄清、说明或者更正。</w:t>
      </w:r>
    </w:p>
    <w:p w14:paraId="43267FC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2.5.2磋商小组对响应文件进行审查，如发现供应商提交的响应文件存在不满足《符合性审查要求》的内容，如属于表中“不允许”澄清、说明或者更正的内容，则供应商响应文件按无效处理；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无效处理。</w:t>
      </w:r>
    </w:p>
    <w:p w14:paraId="27E2AC0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2.5.3供应商的澄清、说明或者更正不得超出响应文件的范围或者改变响应文件的实质性内容。磋商小组要求供应商澄清、说明或者更正响应文件应当以书面形式作出。供应商的澄清、说明或者更正应当由法定代表人（若供应商为事业单位或其他组织或分支机构，可为单位负责人）或其授权代表签字或者加盖公章。由授权代表签字的，应当附授权委托书。供应商为自然人的，应当由本人签字并附身份证明。澄清、说明或者更正文件将作为响应文件内容的一部分。</w:t>
      </w:r>
    </w:p>
    <w:p w14:paraId="0A0ACA6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635" w:name="_Hlk220085436"/>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2.6异常低价处理</w:t>
      </w:r>
    </w:p>
    <w:p w14:paraId="2405CB1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2.6.1政府采购评审中出现下列情形之一的，评审委员会应当启动异常低价投标（响应）审查程序：</w:t>
      </w:r>
    </w:p>
    <w:p w14:paraId="316684E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（1）投标（响应）报价低于全部通过符合性审查供应商投标（响应）报价平均值50%的，即投标（响应）报价&lt;全部通过符合性审查供应商投标（响应）报价平均值×50%；</w:t>
      </w:r>
    </w:p>
    <w:p w14:paraId="33BF9D9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（2）投标（响应）报价低于通过符合性审查的次低报价供应商投标（响应）报价50%的，即投标（响应）报价&lt;通过符合性审查的次低报价供应商投标（响应）报价×50%；</w:t>
      </w:r>
    </w:p>
    <w:p w14:paraId="2A7D708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（3）投标（响应）报价低于采购项目最高限价45%的，即投标（响应）报价&lt;采购项目最高限价×45%；未设定最高限价的采购项目，以采购项目预算金额作为最高限价；</w:t>
      </w:r>
    </w:p>
    <w:p w14:paraId="1B25674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（4）评审委员会基于专业判断，认为供应商报价过低，有可能影响产品质量或者不能诚信履约的其他情形。</w:t>
      </w:r>
    </w:p>
    <w:p w14:paraId="292259F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2.6.2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42E012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2.6.3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88B5CD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bookmarkStart w:id="636" w:name="_Hlk190337965"/>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2.6.4上述投标（响应）报价指按照本章3.2修正后的报价</w:t>
      </w:r>
      <w:bookmarkEnd w:id="636"/>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w:t>
      </w:r>
      <w:bookmarkEnd w:id="635"/>
    </w:p>
    <w:p w14:paraId="111D431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2.7磋商结束后，磋商小组将要求所有实质性响应的供应商在规定时间内提交最后报价。最后报价时间为磋商小组指定的时间，具体时间根据磋商进度另行通知，接到通知后供应商应将最后报价填报至系统，未按照磋商小组规定的时间、逾期提交最后报价的响应文件无效。</w:t>
      </w:r>
    </w:p>
    <w:p w14:paraId="669B5D7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2.8竞争性磋商能够详细列明采购标的的技术、服务要求的，磋商结束后，磋商小组应当要求所有实质性响应的供应商在规定时间内提交最后报价，提交最后报价的供应商不得少于3家。竞争性磋商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0408443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2.9最后报价是供应商响应文件的有效组成部分。</w:t>
      </w:r>
    </w:p>
    <w:p w14:paraId="770AF1F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2.10已提交响应文件的供应商，在提交最后报价之前，可以根据磋商情况退出磋商。</w:t>
      </w:r>
    </w:p>
    <w:p w14:paraId="092035D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3最后报价的算术修正及政策调整</w:t>
      </w:r>
    </w:p>
    <w:p w14:paraId="1F4E98C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3.1最后报价须包含竞争性磋商文件全部内容，如最后分项报价表有缺漏视为已含在其他各项报价中，将不对最后报价总价进行调整。磋商小组有权要求供应商在评审现场合理的时间内对此进行书面确认，供应商不确认的，视为将一个采购包中的内容拆开响应，其响应无效。</w:t>
      </w:r>
    </w:p>
    <w:p w14:paraId="12B77DD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3.2最后报价出现前后不一致的，按照下列规定修正：</w:t>
      </w:r>
    </w:p>
    <w:p w14:paraId="70467A9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3.2.1竞争性磋商文件对于报价修正是否另有规定：</w:t>
      </w:r>
    </w:p>
    <w:p w14:paraId="232053A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□有，具体规定为：</w:t>
      </w:r>
      <w:r>
        <w:rPr>
          <w:rFonts w:hint="eastAsia" w:asciiTheme="minorEastAsia" w:hAnsiTheme="minorEastAsia" w:eastAsiaTheme="minorEastAsia" w:cstheme="minorEastAsia"/>
          <w:b w:val="0"/>
          <w:bCs w:val="0"/>
          <w:snapToGrid/>
          <w:spacing w:val="0"/>
          <w:w w:val="100"/>
          <w:kern w:val="21"/>
          <w:sz w:val="24"/>
          <w:szCs w:val="24"/>
          <w:highlight w:val="none"/>
          <w:u w:val="single"/>
          <w:shd w:val="clear" w:color="auto" w:fill="FFFFFF"/>
          <w:lang w:val="en-US" w:eastAsia="zh-CN" w:bidi="ar-SA"/>
        </w:rPr>
        <w:t xml:space="preserve">  /  </w:t>
      </w:r>
    </w:p>
    <w:p w14:paraId="6A5DD80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■无，按下述3.2.2-3.2.6项规定修正。</w:t>
      </w:r>
    </w:p>
    <w:p w14:paraId="4C64674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3.2.2大写金额和小写金额不一致的，以大写金额为准；</w:t>
      </w:r>
    </w:p>
    <w:p w14:paraId="208111B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3.2.3单价金额小数点或者百分比有明显错位的，以总价为准，并修改单价；</w:t>
      </w:r>
    </w:p>
    <w:p w14:paraId="3B88B9B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3.2.4总价金额与按单价汇总金额不一致的，以单价金额计算结果为准。</w:t>
      </w:r>
    </w:p>
    <w:p w14:paraId="30682BF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3.2.5同时出现两种以上不一致的，按照前款规定的顺序修正。</w:t>
      </w:r>
    </w:p>
    <w:p w14:paraId="56B6A57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3.2.6修正后的报价经供应商书面确认后产生约束力，供应商不确认的，其响应无效。</w:t>
      </w:r>
    </w:p>
    <w:p w14:paraId="6AC91D2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3.3落实政府采购政策的价格调整：只有符合第二章《供应商须知》4.3条规定情形的，可以享受中小企业扶持政策，用扣除后的价格参加评审；否则，评审时价格不予扣除。</w:t>
      </w:r>
    </w:p>
    <w:p w14:paraId="634C7D8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3.3.1对于未预留份额专门面向中小企业采购的采购项目，以及预留份额项目中的非预留部分采购包，对小微企业报价给予</w:t>
      </w:r>
      <w:r>
        <w:rPr>
          <w:rFonts w:hint="eastAsia" w:asciiTheme="minorEastAsia" w:hAnsiTheme="minorEastAsia" w:eastAsiaTheme="minorEastAsia" w:cstheme="minorEastAsia"/>
          <w:b w:val="0"/>
          <w:bCs w:val="0"/>
          <w:snapToGrid/>
          <w:spacing w:val="0"/>
          <w:w w:val="100"/>
          <w:kern w:val="21"/>
          <w:sz w:val="24"/>
          <w:szCs w:val="24"/>
          <w:highlight w:val="none"/>
          <w:u w:val="single"/>
          <w:shd w:val="clear" w:color="auto" w:fill="FFFFFF"/>
          <w:lang w:val="en-US" w:eastAsia="zh-CN" w:bidi="ar-SA"/>
        </w:rPr>
        <w:t xml:space="preserve"> 10 </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%的扣除，用扣除后的价格参加评审。</w:t>
      </w:r>
    </w:p>
    <w:p w14:paraId="4AD7B59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3.3.2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asciiTheme="minorEastAsia" w:hAnsiTheme="minorEastAsia" w:eastAsiaTheme="minorEastAsia" w:cstheme="minorEastAsia"/>
          <w:b w:val="0"/>
          <w:bCs w:val="0"/>
          <w:snapToGrid/>
          <w:spacing w:val="0"/>
          <w:w w:val="100"/>
          <w:kern w:val="21"/>
          <w:sz w:val="24"/>
          <w:szCs w:val="24"/>
          <w:highlight w:val="none"/>
          <w:u w:val="single"/>
          <w:shd w:val="clear" w:color="auto" w:fill="FFFFFF"/>
          <w:lang w:val="en-US" w:eastAsia="zh-CN" w:bidi="ar-SA"/>
        </w:rPr>
        <w:t xml:space="preserve">  /  </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%的扣除，用扣除后的价格参加评审。</w:t>
      </w:r>
    </w:p>
    <w:p w14:paraId="0ECF923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3.3.3组成联合体或者接受分包的小微企业与联合体内其他企业、分包企业之间存在直接控股、管理关系的，不享受价格扣除优惠政策。</w:t>
      </w:r>
    </w:p>
    <w:p w14:paraId="7D2EE43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3.3.4价格扣除比例对小型企业和微型企业同等对待，不作区分。</w:t>
      </w:r>
    </w:p>
    <w:p w14:paraId="62CEEC8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3.3.5中小企业参加政府采购活动，应当按照竞争性磋商文件给定的格式出具《中小企业声明函》，否则不得享受相关中小企业扶持政策。</w:t>
      </w:r>
    </w:p>
    <w:p w14:paraId="510116B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3.3.6监狱企业提供了由省级以上监狱管理局（北京市含教育矫治局）、戒毒管理局（含新疆生产建设兵团）出具的属于监狱企业的证明文件的，视同小微企业。</w:t>
      </w:r>
    </w:p>
    <w:p w14:paraId="56FE54B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3.3.7残疾人福利性单位按竞争性磋商文件要求提供了《残疾人福利性单位声明函》（见附件）的，视同小微企业。</w:t>
      </w:r>
    </w:p>
    <w:p w14:paraId="1B40B5A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3.3.8若供应商同时属于小型或微型企业、监狱企业、残疾人福利性单位中的两种及以上，将不重复享受小微企业价格扣减的优惠政策。</w:t>
      </w:r>
    </w:p>
    <w:p w14:paraId="1DF0662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3.4支持本国产品政府采购的价格调整：只有符合第二章《供应商须知》4.2条规定情形的，可以享受本国产品支持政策，用扣除后的价格参加评审；否则，评审时价格不予扣除。</w:t>
      </w:r>
    </w:p>
    <w:p w14:paraId="7D32FC5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3.4.1本项目既有本国产品又有非本国产品参与竞争的，依法对本国产品给予价格评审优惠，对本国产品的报价给予20%的价格扣除，用扣除后的价格参与评审。</w:t>
      </w:r>
    </w:p>
    <w:p w14:paraId="538DF97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3.4.2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7B724B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3.5供应商提供本国产品参加政府采购活动的，应当按照采购文件给定的格式出具《关于符合本国产品标准的声明函》或提供财政部会同有关部门规定的有关证明文件，否则视为非本国产品。</w:t>
      </w:r>
    </w:p>
    <w:p w14:paraId="3029215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4磋商环节及提交最后报价后如出现以下情况的，供应商的响应文件无效：</w:t>
      </w:r>
    </w:p>
    <w:p w14:paraId="0D68018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4.1供应商对实质性变动不予确认的；</w:t>
      </w:r>
    </w:p>
    <w:p w14:paraId="70A62B7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4.2不满足竞争性磋商★号条款或竞争性磋商技术指标超出竞争性磋商《采购需求》中主要技术参数允许偏差的最大范围的（如有）；</w:t>
      </w:r>
    </w:p>
    <w:p w14:paraId="1B098F2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4.3未按照磋商小组规定的时间、逾期提交最后报价的；</w:t>
      </w:r>
    </w:p>
    <w:p w14:paraId="5830B47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4.4如供应商的最后报价超过竞争性磋商文件中规定的项目/采购包预算金额或者项目/采购包最高限价的；</w:t>
      </w:r>
    </w:p>
    <w:p w14:paraId="6FDD96C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4.5响应文件中出现可选择性或可调整的报价的（竞争性磋商文件另有规定的除外）；</w:t>
      </w:r>
    </w:p>
    <w:p w14:paraId="101FB02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4.6最后报价出现前后不一致，供应商对修正后的报价不予确认的；</w:t>
      </w:r>
    </w:p>
    <w:p w14:paraId="1E02774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4.7其他：</w:t>
      </w:r>
      <w:r>
        <w:rPr>
          <w:rFonts w:hint="eastAsia" w:asciiTheme="minorEastAsia" w:hAnsiTheme="minorEastAsia" w:eastAsiaTheme="minorEastAsia" w:cstheme="minorEastAsia"/>
          <w:b w:val="0"/>
          <w:bCs w:val="0"/>
          <w:snapToGrid/>
          <w:spacing w:val="0"/>
          <w:w w:val="100"/>
          <w:kern w:val="21"/>
          <w:sz w:val="24"/>
          <w:szCs w:val="24"/>
          <w:highlight w:val="none"/>
          <w:u w:val="single"/>
          <w:shd w:val="clear" w:color="auto" w:fill="FFFFFF"/>
          <w:lang w:val="en-US" w:eastAsia="zh-CN" w:bidi="ar-SA"/>
        </w:rPr>
        <w:t xml:space="preserve">  /  </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w:t>
      </w:r>
    </w:p>
    <w:p w14:paraId="583683E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4.8</w:t>
      </w:r>
    </w:p>
    <w:bookmarkEnd w:id="618"/>
    <w:bookmarkEnd w:id="619"/>
    <w:p w14:paraId="161C1D0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5评审方法和评审标准</w:t>
      </w:r>
    </w:p>
    <w:p w14:paraId="028B702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5.1本项目采用的评审方法为：本项目的评审采用综合评分法。综合评分法，是指响应文件满足竞争性磋商全部实质性要求且按评审因素的量化指标评审得分最高的供应商为成交候选供应商的评审方法。</w:t>
      </w:r>
    </w:p>
    <w:p w14:paraId="26F2E96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5.2竞争性磋商文件中没有规定的评审标准不得作为评审依据。</w:t>
      </w:r>
    </w:p>
    <w:p w14:paraId="2B74E83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5.3非政府强制采购的节能产品或环境标志产品，依据品目清单和认证证书实施政府优先采购。优先采购的具体规定（如涉及）</w:t>
      </w:r>
      <w:r>
        <w:rPr>
          <w:rFonts w:hint="eastAsia" w:asciiTheme="minorEastAsia" w:hAnsiTheme="minorEastAsia" w:eastAsiaTheme="minorEastAsia" w:cstheme="minorEastAsia"/>
          <w:b w:val="0"/>
          <w:bCs w:val="0"/>
          <w:snapToGrid/>
          <w:spacing w:val="0"/>
          <w:w w:val="100"/>
          <w:kern w:val="21"/>
          <w:sz w:val="24"/>
          <w:szCs w:val="24"/>
          <w:highlight w:val="none"/>
          <w:u w:val="single"/>
          <w:shd w:val="clear" w:color="auto" w:fill="FFFFFF"/>
          <w:lang w:val="en-US" w:eastAsia="zh-CN" w:bidi="ar-SA"/>
        </w:rPr>
        <w:t xml:space="preserve">  /  </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w:t>
      </w:r>
    </w:p>
    <w:p w14:paraId="7497D97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6确定</w:t>
      </w:r>
      <w:bookmarkStart w:id="637" w:name="_Toc151190173"/>
      <w:bookmarkStart w:id="638" w:name="_Toc164229387"/>
      <w:bookmarkStart w:id="639" w:name="_Toc164608660"/>
      <w:bookmarkStart w:id="640" w:name="_Toc150509297"/>
      <w:bookmarkStart w:id="641" w:name="_Toc150774751"/>
      <w:bookmarkStart w:id="642" w:name="_Toc305158814"/>
      <w:bookmarkStart w:id="643" w:name="_Toc151193644"/>
      <w:bookmarkStart w:id="644" w:name="_Toc305158888"/>
      <w:bookmarkStart w:id="645" w:name="_Toc195842911"/>
      <w:bookmarkStart w:id="646" w:name="_Ref467307010"/>
      <w:bookmarkStart w:id="647" w:name="_Toc164608815"/>
      <w:bookmarkStart w:id="648" w:name="_Toc151193716"/>
      <w:bookmarkStart w:id="649" w:name="_Toc127151546"/>
      <w:bookmarkStart w:id="650" w:name="_Toc226965819"/>
      <w:bookmarkStart w:id="651" w:name="_Toc226309790"/>
      <w:bookmarkStart w:id="652" w:name="_Toc151193934"/>
      <w:bookmarkStart w:id="653" w:name="_Toc226965736"/>
      <w:bookmarkStart w:id="654" w:name="_Toc264969236"/>
      <w:bookmarkStart w:id="655" w:name="_Toc150774646"/>
      <w:bookmarkStart w:id="656" w:name="_Toc164351640"/>
      <w:bookmarkStart w:id="657" w:name="_Toc127161460"/>
      <w:bookmarkStart w:id="658" w:name="_Toc127151747"/>
      <w:bookmarkStart w:id="659" w:name="_Toc150480784"/>
      <w:bookmarkStart w:id="660" w:name="_Toc151193788"/>
      <w:bookmarkStart w:id="661" w:name="_Toc149720839"/>
      <w:bookmarkStart w:id="662" w:name="_Toc520356170"/>
      <w:bookmarkStart w:id="663" w:name="_Toc164229241"/>
      <w:bookmarkStart w:id="664" w:name="_Toc142311048"/>
      <w:bookmarkStart w:id="665" w:name="_Toc226337242"/>
      <w:bookmarkStart w:id="666" w:name="_Toc151193860"/>
      <w:bookmarkStart w:id="667" w:name="_Toc265228384"/>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成交候选人名单</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738AA49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6.1磋商小组将根据各供应商的评审排序以及竞争性磋商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w:t>
      </w:r>
    </w:p>
    <w:p w14:paraId="1EAD78A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6.2磋商小组根据上述供应商排序，依次推荐排序前</w:t>
      </w:r>
      <w:r>
        <w:rPr>
          <w:rFonts w:hint="eastAsia" w:asciiTheme="minorEastAsia" w:hAnsiTheme="minorEastAsia" w:eastAsiaTheme="minorEastAsia" w:cstheme="minorEastAsia"/>
          <w:b w:val="0"/>
          <w:bCs w:val="0"/>
          <w:snapToGrid/>
          <w:spacing w:val="0"/>
          <w:w w:val="100"/>
          <w:kern w:val="21"/>
          <w:sz w:val="24"/>
          <w:szCs w:val="24"/>
          <w:highlight w:val="none"/>
          <w:u w:val="single"/>
          <w:shd w:val="clear" w:color="auto" w:fill="FFFFFF"/>
          <w:lang w:val="en-US" w:eastAsia="zh-CN" w:bidi="ar-SA"/>
        </w:rPr>
        <w:t xml:space="preserve"> 3 </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名的供应商为成交候选供应商（若在竞争性磋商允许的情形下提交最后报价的供应商为二家，则依次推荐二名供应商为成交候选供应商），并编写评审报告。</w:t>
      </w:r>
    </w:p>
    <w:p w14:paraId="01D4508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6.3磋商小组要对评分汇总情况进行复核，特别是对排名第一的、报价最低的、响应文件被认定为无效的情形进行重点复核。</w:t>
      </w:r>
    </w:p>
    <w:p w14:paraId="47A38D3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7报告违法行为</w:t>
      </w:r>
    </w:p>
    <w:p w14:paraId="610A66F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left="0"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7.1磋商小组在评审过程中发现供应商有行贿、提供虚假材料或者串通等违法行为时，有向采购人、采购代理机构或者有关部门报告的职责。</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br w:type="page"/>
      </w:r>
    </w:p>
    <w:p w14:paraId="229AC5AC">
      <w:pPr>
        <w:keepNext w:val="0"/>
        <w:keepLines w:val="0"/>
        <w:pageBreakBefore w:val="0"/>
        <w:widowControl w:val="0"/>
        <w:kinsoku/>
        <w:wordWrap w:val="0"/>
        <w:overflowPunct/>
        <w:topLinePunct/>
        <w:autoSpaceDE/>
        <w:autoSpaceDN/>
        <w:bidi w:val="0"/>
        <w:spacing w:before="0"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二、评审标准</w:t>
      </w:r>
    </w:p>
    <w:tbl>
      <w:tblPr>
        <w:tblStyle w:val="23"/>
        <w:tblW w:w="9720"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1162"/>
        <w:gridCol w:w="559"/>
        <w:gridCol w:w="5614"/>
        <w:gridCol w:w="660"/>
      </w:tblGrid>
      <w:tr w14:paraId="560D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noWrap w:val="0"/>
            <w:vAlign w:val="center"/>
          </w:tcPr>
          <w:p w14:paraId="64AD1DC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序号</w:t>
            </w:r>
          </w:p>
        </w:tc>
        <w:tc>
          <w:tcPr>
            <w:tcW w:w="1065" w:type="dxa"/>
            <w:noWrap w:val="0"/>
            <w:vAlign w:val="center"/>
          </w:tcPr>
          <w:p w14:paraId="4A0D5B25">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评审项</w:t>
            </w:r>
          </w:p>
        </w:tc>
        <w:tc>
          <w:tcPr>
            <w:tcW w:w="1162" w:type="dxa"/>
            <w:noWrap w:val="0"/>
            <w:vAlign w:val="center"/>
          </w:tcPr>
          <w:p w14:paraId="49F2A4F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评分因素</w:t>
            </w:r>
          </w:p>
        </w:tc>
        <w:tc>
          <w:tcPr>
            <w:tcW w:w="559" w:type="dxa"/>
            <w:noWrap w:val="0"/>
            <w:vAlign w:val="center"/>
          </w:tcPr>
          <w:p w14:paraId="72B57EBA">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分值</w:t>
            </w:r>
          </w:p>
        </w:tc>
        <w:tc>
          <w:tcPr>
            <w:tcW w:w="5614" w:type="dxa"/>
            <w:noWrap w:val="0"/>
            <w:vAlign w:val="center"/>
          </w:tcPr>
          <w:p w14:paraId="4FEC977D">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评分标准</w:t>
            </w:r>
          </w:p>
        </w:tc>
        <w:tc>
          <w:tcPr>
            <w:tcW w:w="660" w:type="dxa"/>
            <w:noWrap w:val="0"/>
            <w:vAlign w:val="center"/>
          </w:tcPr>
          <w:p w14:paraId="75C85185">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说明</w:t>
            </w:r>
          </w:p>
        </w:tc>
      </w:tr>
      <w:tr w14:paraId="7942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restart"/>
            <w:noWrap w:val="0"/>
            <w:vAlign w:val="center"/>
          </w:tcPr>
          <w:p w14:paraId="3DEEE82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w:t>
            </w:r>
          </w:p>
        </w:tc>
        <w:tc>
          <w:tcPr>
            <w:tcW w:w="1065" w:type="dxa"/>
            <w:vMerge w:val="restart"/>
            <w:noWrap w:val="0"/>
            <w:vAlign w:val="center"/>
          </w:tcPr>
          <w:p w14:paraId="3BD1D9F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技术评审（83分）</w:t>
            </w:r>
          </w:p>
        </w:tc>
        <w:tc>
          <w:tcPr>
            <w:tcW w:w="1162" w:type="dxa"/>
            <w:shd w:val="clear" w:color="auto" w:fill="auto"/>
            <w:noWrap w:val="0"/>
            <w:vAlign w:val="center"/>
          </w:tcPr>
          <w:p w14:paraId="0634DDCB">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对工作内容及项目背景的理解</w:t>
            </w:r>
          </w:p>
        </w:tc>
        <w:tc>
          <w:tcPr>
            <w:tcW w:w="559" w:type="dxa"/>
            <w:shd w:val="clear" w:color="auto" w:fill="auto"/>
            <w:noWrap w:val="0"/>
            <w:vAlign w:val="center"/>
          </w:tcPr>
          <w:p w14:paraId="0AF7A814">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15</w:t>
            </w:r>
            <w:r>
              <w:rPr>
                <w:rFonts w:hint="eastAsia" w:asciiTheme="minorEastAsia" w:hAnsiTheme="minorEastAsia" w:eastAsiaTheme="minorEastAsia" w:cstheme="minorEastAsia"/>
                <w:b w:val="0"/>
                <w:bCs w:val="0"/>
                <w:snapToGrid/>
                <w:color w:val="auto"/>
                <w:spacing w:val="0"/>
                <w:w w:val="100"/>
                <w:kern w:val="21"/>
                <w:sz w:val="20"/>
                <w:szCs w:val="20"/>
                <w:highlight w:val="none"/>
              </w:rPr>
              <w:t>分</w:t>
            </w:r>
          </w:p>
        </w:tc>
        <w:tc>
          <w:tcPr>
            <w:tcW w:w="5614" w:type="dxa"/>
            <w:shd w:val="clear" w:color="auto" w:fill="auto"/>
            <w:noWrap w:val="0"/>
            <w:vAlign w:val="center"/>
          </w:tcPr>
          <w:p w14:paraId="6FF49469">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对政府机构环境治理政策要求、牛栏山镇空气质量现状等方面进行解析。</w:t>
            </w:r>
          </w:p>
          <w:p w14:paraId="57B79F83">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1.对工作内容及背景理解非常透彻、有明确的认识以及清晰的解读且了解项目需要达到的最终效果得</w:t>
            </w:r>
            <w:r>
              <w:rPr>
                <w:rFonts w:hint="eastAsia" w:asciiTheme="minorEastAsia" w:hAnsiTheme="minorEastAsia" w:eastAsiaTheme="minorEastAsia" w:cstheme="minorEastAsia"/>
                <w:b/>
                <w:bCs/>
                <w:snapToGrid/>
                <w:spacing w:val="0"/>
                <w:kern w:val="21"/>
                <w:sz w:val="20"/>
                <w:szCs w:val="20"/>
                <w:highlight w:val="none"/>
                <w:lang w:val="en-US" w:eastAsia="zh-CN"/>
              </w:rPr>
              <w:t>15分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7E1847B8">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2.对工作内容及背景理解较透彻、有较明确的认识以及较清晰的解读，内容较全面，得</w:t>
            </w:r>
            <w:r>
              <w:rPr>
                <w:rFonts w:hint="eastAsia" w:asciiTheme="minorEastAsia" w:hAnsiTheme="minorEastAsia" w:eastAsiaTheme="minorEastAsia" w:cstheme="minorEastAsia"/>
                <w:b/>
                <w:bCs/>
                <w:snapToGrid/>
                <w:spacing w:val="0"/>
                <w:kern w:val="21"/>
                <w:sz w:val="20"/>
                <w:szCs w:val="20"/>
                <w:highlight w:val="none"/>
                <w:lang w:val="en-US" w:eastAsia="zh-CN"/>
              </w:rPr>
              <w:t>11分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17868B8B">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3.对工作内容及背景理解认识以及解读的全面性一般得</w:t>
            </w:r>
            <w:r>
              <w:rPr>
                <w:rFonts w:hint="eastAsia" w:asciiTheme="minorEastAsia" w:hAnsiTheme="minorEastAsia" w:eastAsiaTheme="minorEastAsia" w:cstheme="minorEastAsia"/>
                <w:b/>
                <w:bCs/>
                <w:snapToGrid/>
                <w:spacing w:val="0"/>
                <w:kern w:val="21"/>
                <w:sz w:val="20"/>
                <w:szCs w:val="20"/>
                <w:highlight w:val="none"/>
                <w:lang w:val="en-US" w:eastAsia="zh-CN"/>
              </w:rPr>
              <w:t>7分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72DFC79C">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4.对工作内容及背景的认识及解读的全面性差得</w:t>
            </w:r>
            <w:r>
              <w:rPr>
                <w:rFonts w:hint="eastAsia" w:asciiTheme="minorEastAsia" w:hAnsiTheme="minorEastAsia" w:eastAsiaTheme="minorEastAsia" w:cstheme="minorEastAsia"/>
                <w:b/>
                <w:bCs/>
                <w:snapToGrid/>
                <w:spacing w:val="0"/>
                <w:kern w:val="21"/>
                <w:sz w:val="20"/>
                <w:szCs w:val="20"/>
                <w:highlight w:val="none"/>
                <w:lang w:val="en-US" w:eastAsia="zh-CN"/>
              </w:rPr>
              <w:t>3分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3952C4A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5.未提供得</w:t>
            </w:r>
            <w:r>
              <w:rPr>
                <w:rFonts w:hint="eastAsia" w:asciiTheme="minorEastAsia" w:hAnsiTheme="minorEastAsia" w:eastAsiaTheme="minorEastAsia" w:cstheme="minorEastAsia"/>
                <w:b/>
                <w:bCs/>
                <w:snapToGrid/>
                <w:spacing w:val="0"/>
                <w:kern w:val="21"/>
                <w:sz w:val="20"/>
                <w:szCs w:val="20"/>
                <w:highlight w:val="none"/>
                <w:lang w:val="en-US" w:eastAsia="zh-CN"/>
              </w:rPr>
              <w:t>0分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tc>
        <w:tc>
          <w:tcPr>
            <w:tcW w:w="660" w:type="dxa"/>
            <w:noWrap w:val="0"/>
            <w:vAlign w:val="center"/>
          </w:tcPr>
          <w:p w14:paraId="6C4C5C65">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7F19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continue"/>
            <w:noWrap w:val="0"/>
            <w:vAlign w:val="center"/>
          </w:tcPr>
          <w:p w14:paraId="2E975883">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065" w:type="dxa"/>
            <w:vMerge w:val="continue"/>
            <w:noWrap w:val="0"/>
            <w:vAlign w:val="center"/>
          </w:tcPr>
          <w:p w14:paraId="52E2174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162" w:type="dxa"/>
            <w:shd w:val="clear" w:color="auto" w:fill="auto"/>
            <w:noWrap w:val="0"/>
            <w:vAlign w:val="center"/>
          </w:tcPr>
          <w:p w14:paraId="463ADEE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重点道路扬尘治理服务方案</w:t>
            </w:r>
          </w:p>
        </w:tc>
        <w:tc>
          <w:tcPr>
            <w:tcW w:w="559" w:type="dxa"/>
            <w:shd w:val="clear" w:color="auto" w:fill="auto"/>
            <w:noWrap w:val="0"/>
            <w:vAlign w:val="center"/>
          </w:tcPr>
          <w:p w14:paraId="07734C04">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10</w:t>
            </w:r>
            <w:r>
              <w:rPr>
                <w:rFonts w:hint="eastAsia" w:asciiTheme="minorEastAsia" w:hAnsiTheme="minorEastAsia" w:eastAsiaTheme="minorEastAsia" w:cstheme="minorEastAsia"/>
                <w:b w:val="0"/>
                <w:bCs w:val="0"/>
                <w:snapToGrid/>
                <w:color w:val="auto"/>
                <w:spacing w:val="0"/>
                <w:w w:val="100"/>
                <w:kern w:val="21"/>
                <w:sz w:val="20"/>
                <w:szCs w:val="20"/>
                <w:highlight w:val="none"/>
              </w:rPr>
              <w:t>分</w:t>
            </w:r>
          </w:p>
        </w:tc>
        <w:tc>
          <w:tcPr>
            <w:tcW w:w="5614" w:type="dxa"/>
            <w:shd w:val="clear" w:color="auto" w:fill="auto"/>
            <w:noWrap w:val="0"/>
            <w:vAlign w:val="center"/>
          </w:tcPr>
          <w:p w14:paraId="7386B51E">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1.内容详细、切实可行，对项目道路扬尘治理重点难点认识清晰，作业流程、设备人员配置、巡查管控、应急处置等内容完整，能够较好满足项目需求，得</w:t>
            </w:r>
            <w:r>
              <w:rPr>
                <w:rFonts w:hint="eastAsia" w:asciiTheme="minorEastAsia" w:hAnsiTheme="minorEastAsia" w:eastAsiaTheme="minorEastAsia" w:cstheme="minorEastAsia"/>
                <w:b/>
                <w:bCs/>
                <w:snapToGrid/>
                <w:spacing w:val="0"/>
                <w:kern w:val="21"/>
                <w:sz w:val="20"/>
                <w:szCs w:val="20"/>
                <w:highlight w:val="none"/>
                <w:lang w:val="en-US" w:eastAsia="zh-CN"/>
              </w:rPr>
              <w:t>10分</w:t>
            </w: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 </w:t>
            </w:r>
          </w:p>
          <w:p w14:paraId="730AEF7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2.内容较详细，道路扬尘治理思路基本清楚，具备主要作业措施和保障安排，能够满足项目基本需求，得</w:t>
            </w:r>
            <w:r>
              <w:rPr>
                <w:rFonts w:hint="eastAsia" w:asciiTheme="minorEastAsia" w:hAnsiTheme="minorEastAsia" w:eastAsiaTheme="minorEastAsia" w:cstheme="minorEastAsia"/>
                <w:b/>
                <w:bCs/>
                <w:snapToGrid/>
                <w:spacing w:val="0"/>
                <w:kern w:val="21"/>
                <w:sz w:val="20"/>
                <w:szCs w:val="20"/>
                <w:highlight w:val="none"/>
                <w:lang w:val="en-US" w:eastAsia="zh-CN"/>
              </w:rPr>
              <w:t>7分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17EE6C61">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3.内容不够详细，治理措施不够具体，或与项目实际需求结合不够紧密，得</w:t>
            </w:r>
            <w:r>
              <w:rPr>
                <w:rFonts w:hint="eastAsia" w:asciiTheme="minorEastAsia" w:hAnsiTheme="minorEastAsia" w:eastAsiaTheme="minorEastAsia" w:cstheme="minorEastAsia"/>
                <w:b/>
                <w:bCs/>
                <w:snapToGrid/>
                <w:spacing w:val="0"/>
                <w:kern w:val="21"/>
                <w:sz w:val="20"/>
                <w:szCs w:val="20"/>
                <w:highlight w:val="none"/>
                <w:lang w:val="en-US" w:eastAsia="zh-CN"/>
              </w:rPr>
              <w:t>4分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2F0E8588">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4.内容空洞，仅简单罗列工作内容，缺乏针对性措施，或与项目需求存在明显偏差，得</w:t>
            </w:r>
            <w:r>
              <w:rPr>
                <w:rFonts w:hint="eastAsia" w:asciiTheme="minorEastAsia" w:hAnsiTheme="minorEastAsia" w:eastAsiaTheme="minorEastAsia" w:cstheme="minorEastAsia"/>
                <w:b/>
                <w:bCs/>
                <w:snapToGrid/>
                <w:spacing w:val="0"/>
                <w:kern w:val="21"/>
                <w:sz w:val="20"/>
                <w:szCs w:val="20"/>
                <w:highlight w:val="none"/>
                <w:lang w:val="en-US" w:eastAsia="zh-CN"/>
              </w:rPr>
              <w:t>1分</w:t>
            </w: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 </w:t>
            </w:r>
          </w:p>
          <w:p w14:paraId="2851163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5.未提供得</w:t>
            </w:r>
            <w:r>
              <w:rPr>
                <w:rFonts w:hint="eastAsia" w:asciiTheme="minorEastAsia" w:hAnsiTheme="minorEastAsia" w:eastAsiaTheme="minorEastAsia" w:cstheme="minorEastAsia"/>
                <w:b/>
                <w:bCs/>
                <w:snapToGrid/>
                <w:spacing w:val="0"/>
                <w:kern w:val="21"/>
                <w:sz w:val="20"/>
                <w:szCs w:val="20"/>
                <w:highlight w:val="none"/>
                <w:lang w:val="en-US" w:eastAsia="zh-CN"/>
              </w:rPr>
              <w:t>0分。</w:t>
            </w:r>
          </w:p>
        </w:tc>
        <w:tc>
          <w:tcPr>
            <w:tcW w:w="660" w:type="dxa"/>
            <w:noWrap w:val="0"/>
            <w:vAlign w:val="center"/>
          </w:tcPr>
          <w:p w14:paraId="567442CF">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7F2F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continue"/>
            <w:noWrap w:val="0"/>
            <w:vAlign w:val="center"/>
          </w:tcPr>
          <w:p w14:paraId="5B05228D">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065" w:type="dxa"/>
            <w:vMerge w:val="continue"/>
            <w:noWrap w:val="0"/>
            <w:vAlign w:val="center"/>
          </w:tcPr>
          <w:p w14:paraId="09FB28A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162" w:type="dxa"/>
            <w:shd w:val="clear" w:color="auto" w:fill="auto"/>
            <w:noWrap w:val="0"/>
            <w:vAlign w:val="center"/>
          </w:tcPr>
          <w:p w14:paraId="2A9699A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重点区域周边道路精细化治理方案</w:t>
            </w:r>
          </w:p>
        </w:tc>
        <w:tc>
          <w:tcPr>
            <w:tcW w:w="559" w:type="dxa"/>
            <w:shd w:val="clear" w:color="auto" w:fill="auto"/>
            <w:noWrap w:val="0"/>
            <w:vAlign w:val="center"/>
          </w:tcPr>
          <w:p w14:paraId="7CA07FCD">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10</w:t>
            </w:r>
            <w:r>
              <w:rPr>
                <w:rFonts w:hint="eastAsia" w:asciiTheme="minorEastAsia" w:hAnsiTheme="minorEastAsia" w:eastAsiaTheme="minorEastAsia" w:cstheme="minorEastAsia"/>
                <w:b w:val="0"/>
                <w:bCs w:val="0"/>
                <w:snapToGrid/>
                <w:color w:val="auto"/>
                <w:spacing w:val="0"/>
                <w:w w:val="100"/>
                <w:kern w:val="21"/>
                <w:sz w:val="20"/>
                <w:szCs w:val="20"/>
                <w:highlight w:val="none"/>
              </w:rPr>
              <w:t>分</w:t>
            </w:r>
          </w:p>
        </w:tc>
        <w:tc>
          <w:tcPr>
            <w:tcW w:w="5614" w:type="dxa"/>
            <w:shd w:val="clear" w:color="auto" w:fill="auto"/>
            <w:noWrap w:val="0"/>
            <w:vAlign w:val="center"/>
          </w:tcPr>
          <w:p w14:paraId="0DBDD7BD">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1.内容详细、切实可行，对重点区域周边道路精细化除尘要求理解到位，机械作业、人工配合、夜间保洁、重点时段保障、区域巡查等措施完整合理，能够较好满足项目需求，得</w:t>
            </w:r>
            <w:r>
              <w:rPr>
                <w:rFonts w:hint="eastAsia" w:asciiTheme="minorEastAsia" w:hAnsiTheme="minorEastAsia" w:eastAsiaTheme="minorEastAsia" w:cstheme="minorEastAsia"/>
                <w:b/>
                <w:bCs/>
                <w:snapToGrid/>
                <w:spacing w:val="0"/>
                <w:kern w:val="21"/>
                <w:sz w:val="20"/>
                <w:szCs w:val="20"/>
                <w:highlight w:val="none"/>
                <w:lang w:val="en-US" w:eastAsia="zh-CN"/>
              </w:rPr>
              <w:t>10分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47337EF3">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2.内容较详细，重点区域治理思路基本清楚，具备主要作业方式和保障措施，能够满足项目基本需求，得</w:t>
            </w:r>
            <w:r>
              <w:rPr>
                <w:rFonts w:hint="eastAsia" w:asciiTheme="minorEastAsia" w:hAnsiTheme="minorEastAsia" w:eastAsiaTheme="minorEastAsia" w:cstheme="minorEastAsia"/>
                <w:b/>
                <w:bCs/>
                <w:snapToGrid/>
                <w:spacing w:val="0"/>
                <w:kern w:val="21"/>
                <w:sz w:val="20"/>
                <w:szCs w:val="20"/>
                <w:highlight w:val="none"/>
                <w:lang w:val="en-US" w:eastAsia="zh-CN"/>
              </w:rPr>
              <w:t>7分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5DBDA92D">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3.内容不够详细，精细化治理措施不够具体，或区域针对性不强，得</w:t>
            </w:r>
            <w:r>
              <w:rPr>
                <w:rFonts w:hint="eastAsia" w:asciiTheme="minorEastAsia" w:hAnsiTheme="minorEastAsia" w:eastAsiaTheme="minorEastAsia" w:cstheme="minorEastAsia"/>
                <w:b/>
                <w:bCs/>
                <w:snapToGrid/>
                <w:spacing w:val="0"/>
                <w:kern w:val="21"/>
                <w:sz w:val="20"/>
                <w:szCs w:val="20"/>
                <w:highlight w:val="none"/>
                <w:lang w:val="en-US" w:eastAsia="zh-CN"/>
              </w:rPr>
              <w:t>4分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5DA3FED8">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4.内容空洞，仅泛泛说明道路保洁要求，缺乏重点区域差异化治理措施，或与项目需求存在明显偏差，得</w:t>
            </w:r>
            <w:r>
              <w:rPr>
                <w:rFonts w:hint="eastAsia" w:asciiTheme="minorEastAsia" w:hAnsiTheme="minorEastAsia" w:eastAsiaTheme="minorEastAsia" w:cstheme="minorEastAsia"/>
                <w:b/>
                <w:bCs/>
                <w:snapToGrid/>
                <w:spacing w:val="0"/>
                <w:kern w:val="21"/>
                <w:sz w:val="20"/>
                <w:szCs w:val="20"/>
                <w:highlight w:val="none"/>
                <w:lang w:val="en-US" w:eastAsia="zh-CN"/>
              </w:rPr>
              <w:t>1分</w:t>
            </w: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 </w:t>
            </w:r>
          </w:p>
          <w:p w14:paraId="537558D9">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5.未提供得</w:t>
            </w:r>
            <w:r>
              <w:rPr>
                <w:rFonts w:hint="eastAsia" w:asciiTheme="minorEastAsia" w:hAnsiTheme="minorEastAsia" w:eastAsiaTheme="minorEastAsia" w:cstheme="minorEastAsia"/>
                <w:b/>
                <w:bCs/>
                <w:snapToGrid/>
                <w:spacing w:val="0"/>
                <w:kern w:val="21"/>
                <w:sz w:val="20"/>
                <w:szCs w:val="20"/>
                <w:highlight w:val="none"/>
                <w:lang w:val="en-US" w:eastAsia="zh-CN"/>
              </w:rPr>
              <w:t>0分。</w:t>
            </w:r>
          </w:p>
        </w:tc>
        <w:tc>
          <w:tcPr>
            <w:tcW w:w="660" w:type="dxa"/>
            <w:noWrap w:val="0"/>
            <w:vAlign w:val="center"/>
          </w:tcPr>
          <w:p w14:paraId="4753561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09EC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continue"/>
            <w:noWrap w:val="0"/>
            <w:vAlign w:val="center"/>
          </w:tcPr>
          <w:p w14:paraId="22768D8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065" w:type="dxa"/>
            <w:vMerge w:val="continue"/>
            <w:noWrap w:val="0"/>
            <w:vAlign w:val="center"/>
          </w:tcPr>
          <w:p w14:paraId="73665DEB">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162" w:type="dxa"/>
            <w:shd w:val="clear" w:color="auto" w:fill="auto"/>
            <w:noWrap w:val="0"/>
            <w:vAlign w:val="center"/>
          </w:tcPr>
          <w:p w14:paraId="0DE75CB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裸地扬尘综合治理服务方案</w:t>
            </w:r>
          </w:p>
        </w:tc>
        <w:tc>
          <w:tcPr>
            <w:tcW w:w="559" w:type="dxa"/>
            <w:shd w:val="clear" w:color="auto" w:fill="auto"/>
            <w:noWrap w:val="0"/>
            <w:vAlign w:val="center"/>
          </w:tcPr>
          <w:p w14:paraId="7B531AA3">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9</w:t>
            </w:r>
            <w:r>
              <w:rPr>
                <w:rFonts w:hint="eastAsia" w:asciiTheme="minorEastAsia" w:hAnsiTheme="minorEastAsia" w:eastAsiaTheme="minorEastAsia" w:cstheme="minorEastAsia"/>
                <w:b w:val="0"/>
                <w:bCs w:val="0"/>
                <w:snapToGrid/>
                <w:color w:val="auto"/>
                <w:spacing w:val="0"/>
                <w:w w:val="100"/>
                <w:kern w:val="21"/>
                <w:sz w:val="20"/>
                <w:szCs w:val="20"/>
                <w:highlight w:val="none"/>
              </w:rPr>
              <w:t>分</w:t>
            </w:r>
          </w:p>
        </w:tc>
        <w:tc>
          <w:tcPr>
            <w:tcW w:w="5614" w:type="dxa"/>
            <w:shd w:val="clear" w:color="auto" w:fill="auto"/>
            <w:noWrap w:val="0"/>
            <w:vAlign w:val="center"/>
          </w:tcPr>
          <w:p w14:paraId="082465D3">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1.内容详细、切实可行，对裸地扬尘来源及治理重点认识清晰，抑尘网苫盖、生态修复、生物质覆盖、巡查养护等措施完整，能够较好满足项目需求，得</w:t>
            </w:r>
            <w:r>
              <w:rPr>
                <w:rFonts w:hint="eastAsia" w:asciiTheme="minorEastAsia" w:hAnsiTheme="minorEastAsia" w:eastAsiaTheme="minorEastAsia" w:cstheme="minorEastAsia"/>
                <w:b/>
                <w:bCs/>
                <w:snapToGrid/>
                <w:spacing w:val="0"/>
                <w:kern w:val="21"/>
                <w:sz w:val="20"/>
                <w:szCs w:val="20"/>
                <w:highlight w:val="none"/>
                <w:lang w:val="en-US" w:eastAsia="zh-CN"/>
              </w:rPr>
              <w:t>9分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086FBAAD">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2. 内容较详细，裸地治理思路基本清楚，具备主要治理措施和后续管护安排，能够满足项目基本需求，得</w:t>
            </w:r>
            <w:r>
              <w:rPr>
                <w:rFonts w:hint="eastAsia" w:asciiTheme="minorEastAsia" w:hAnsiTheme="minorEastAsia" w:eastAsiaTheme="minorEastAsia" w:cstheme="minorEastAsia"/>
                <w:b/>
                <w:bCs/>
                <w:snapToGrid/>
                <w:spacing w:val="0"/>
                <w:kern w:val="21"/>
                <w:sz w:val="20"/>
                <w:szCs w:val="20"/>
                <w:highlight w:val="none"/>
                <w:lang w:val="en-US" w:eastAsia="zh-CN"/>
              </w:rPr>
              <w:t>6分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4520BCED">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3. 内容不够详细，治理方式不够具体，或后续巡查、养护、补铺等措施不够完善，得</w:t>
            </w:r>
            <w:r>
              <w:rPr>
                <w:rFonts w:hint="eastAsia" w:asciiTheme="minorEastAsia" w:hAnsiTheme="minorEastAsia" w:eastAsiaTheme="minorEastAsia" w:cstheme="minorEastAsia"/>
                <w:b/>
                <w:bCs/>
                <w:snapToGrid/>
                <w:spacing w:val="0"/>
                <w:kern w:val="21"/>
                <w:sz w:val="20"/>
                <w:szCs w:val="20"/>
                <w:highlight w:val="none"/>
                <w:lang w:val="en-US" w:eastAsia="zh-CN"/>
              </w:rPr>
              <w:t>3分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p w14:paraId="045C4E71">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4.未提供得</w:t>
            </w:r>
            <w:r>
              <w:rPr>
                <w:rFonts w:hint="eastAsia" w:asciiTheme="minorEastAsia" w:hAnsiTheme="minorEastAsia" w:eastAsiaTheme="minorEastAsia" w:cstheme="minorEastAsia"/>
                <w:b/>
                <w:bCs/>
                <w:snapToGrid/>
                <w:spacing w:val="0"/>
                <w:kern w:val="21"/>
                <w:sz w:val="20"/>
                <w:szCs w:val="20"/>
                <w:highlight w:val="none"/>
                <w:lang w:val="en-US" w:eastAsia="zh-CN"/>
              </w:rPr>
              <w:t>0分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tc>
        <w:tc>
          <w:tcPr>
            <w:tcW w:w="660" w:type="dxa"/>
            <w:noWrap w:val="0"/>
            <w:vAlign w:val="center"/>
          </w:tcPr>
          <w:p w14:paraId="39456D1B">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1D90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continue"/>
            <w:noWrap w:val="0"/>
            <w:vAlign w:val="center"/>
          </w:tcPr>
          <w:p w14:paraId="7EC5E119">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065" w:type="dxa"/>
            <w:vMerge w:val="continue"/>
            <w:noWrap w:val="0"/>
            <w:vAlign w:val="center"/>
          </w:tcPr>
          <w:p w14:paraId="3FEFE81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162" w:type="dxa"/>
            <w:shd w:val="clear" w:color="auto" w:fill="auto"/>
            <w:noWrap w:val="0"/>
            <w:vAlign w:val="center"/>
          </w:tcPr>
          <w:p w14:paraId="7957A40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应急服务方案</w:t>
            </w:r>
          </w:p>
        </w:tc>
        <w:tc>
          <w:tcPr>
            <w:tcW w:w="559" w:type="dxa"/>
            <w:shd w:val="clear" w:color="auto" w:fill="auto"/>
            <w:noWrap w:val="0"/>
            <w:vAlign w:val="center"/>
          </w:tcPr>
          <w:p w14:paraId="105C3818">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9</w:t>
            </w:r>
            <w:r>
              <w:rPr>
                <w:rFonts w:hint="eastAsia" w:asciiTheme="minorEastAsia" w:hAnsiTheme="minorEastAsia" w:eastAsiaTheme="minorEastAsia" w:cstheme="minorEastAsia"/>
                <w:b w:val="0"/>
                <w:bCs w:val="0"/>
                <w:snapToGrid/>
                <w:color w:val="auto"/>
                <w:spacing w:val="0"/>
                <w:w w:val="100"/>
                <w:kern w:val="21"/>
                <w:sz w:val="20"/>
                <w:szCs w:val="20"/>
                <w:highlight w:val="none"/>
              </w:rPr>
              <w:t>分</w:t>
            </w:r>
          </w:p>
        </w:tc>
        <w:tc>
          <w:tcPr>
            <w:tcW w:w="5614" w:type="dxa"/>
            <w:shd w:val="clear" w:color="auto" w:fill="auto"/>
            <w:noWrap w:val="0"/>
            <w:vAlign w:val="center"/>
          </w:tcPr>
          <w:p w14:paraId="41E76171">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 xml:space="preserve">根据采购需求重污染天气、专项检查、节假日应急加密作业、延长作业时间、扬尘隐患快速处置、市级区级迎检保障要求供应商提供突发应急响应方案和处置措施等方面的详细度、合理可行性等进行评审： </w:t>
            </w:r>
          </w:p>
          <w:p w14:paraId="11264B0E">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1.方案细致合理、针对性强，处置措施合理，得</w:t>
            </w:r>
            <w:r>
              <w:rPr>
                <w:rFonts w:hint="eastAsia" w:asciiTheme="minorEastAsia" w:hAnsiTheme="minorEastAsia" w:eastAsiaTheme="minorEastAsia" w:cstheme="minorEastAsia"/>
                <w:b/>
                <w:bCs/>
                <w:snapToGrid/>
                <w:color w:val="auto"/>
                <w:spacing w:val="0"/>
                <w:kern w:val="21"/>
                <w:sz w:val="20"/>
                <w:szCs w:val="20"/>
                <w:highlight w:val="none"/>
                <w:lang w:val="en-US" w:eastAsia="zh-CN"/>
              </w:rPr>
              <w:t>9分</w:t>
            </w: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 xml:space="preserve">； </w:t>
            </w:r>
          </w:p>
          <w:p w14:paraId="798435CC">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2.方案较细致合理、针对性较好、处理措施较好，得</w:t>
            </w:r>
            <w:r>
              <w:rPr>
                <w:rFonts w:hint="eastAsia" w:asciiTheme="minorEastAsia" w:hAnsiTheme="minorEastAsia" w:eastAsiaTheme="minorEastAsia" w:cstheme="minorEastAsia"/>
                <w:b/>
                <w:bCs/>
                <w:snapToGrid/>
                <w:color w:val="auto"/>
                <w:spacing w:val="0"/>
                <w:kern w:val="21"/>
                <w:sz w:val="20"/>
                <w:szCs w:val="20"/>
                <w:highlight w:val="none"/>
                <w:lang w:val="en-US" w:eastAsia="zh-CN"/>
              </w:rPr>
              <w:t>6分</w:t>
            </w: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w:t>
            </w:r>
          </w:p>
          <w:p w14:paraId="6FFBDB38">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3.方案合理性一般、针对性一般、处理措施一般，得</w:t>
            </w:r>
            <w:r>
              <w:rPr>
                <w:rFonts w:hint="eastAsia" w:asciiTheme="minorEastAsia" w:hAnsiTheme="minorEastAsia" w:eastAsiaTheme="minorEastAsia" w:cstheme="minorEastAsia"/>
                <w:b/>
                <w:bCs/>
                <w:snapToGrid/>
                <w:color w:val="auto"/>
                <w:spacing w:val="0"/>
                <w:kern w:val="21"/>
                <w:sz w:val="20"/>
                <w:szCs w:val="20"/>
                <w:highlight w:val="none"/>
                <w:lang w:val="en-US" w:eastAsia="zh-CN"/>
              </w:rPr>
              <w:t>3分</w:t>
            </w: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w:t>
            </w:r>
          </w:p>
          <w:p w14:paraId="5037B7FC">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4.未提供得</w:t>
            </w:r>
            <w:r>
              <w:rPr>
                <w:rFonts w:hint="eastAsia" w:asciiTheme="minorEastAsia" w:hAnsiTheme="minorEastAsia" w:eastAsiaTheme="minorEastAsia" w:cstheme="minorEastAsia"/>
                <w:b/>
                <w:bCs/>
                <w:snapToGrid/>
                <w:color w:val="auto"/>
                <w:spacing w:val="0"/>
                <w:kern w:val="21"/>
                <w:sz w:val="20"/>
                <w:szCs w:val="20"/>
                <w:highlight w:val="none"/>
                <w:lang w:val="en-US" w:eastAsia="zh-CN"/>
              </w:rPr>
              <w:t>0分</w:t>
            </w:r>
            <w:r>
              <w:rPr>
                <w:rFonts w:hint="eastAsia" w:asciiTheme="minorEastAsia" w:hAnsiTheme="minorEastAsia" w:eastAsiaTheme="minorEastAsia" w:cstheme="minorEastAsia"/>
                <w:b w:val="0"/>
                <w:bCs w:val="0"/>
                <w:snapToGrid/>
                <w:color w:val="auto"/>
                <w:spacing w:val="0"/>
                <w:kern w:val="21"/>
                <w:sz w:val="20"/>
                <w:szCs w:val="20"/>
                <w:highlight w:val="none"/>
                <w:lang w:val="en-US" w:eastAsia="zh-CN"/>
              </w:rPr>
              <w:t>。</w:t>
            </w:r>
          </w:p>
        </w:tc>
        <w:tc>
          <w:tcPr>
            <w:tcW w:w="660" w:type="dxa"/>
            <w:noWrap w:val="0"/>
            <w:vAlign w:val="center"/>
          </w:tcPr>
          <w:p w14:paraId="26D90824">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5018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continue"/>
            <w:noWrap w:val="0"/>
            <w:vAlign w:val="center"/>
          </w:tcPr>
          <w:p w14:paraId="76703C0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065" w:type="dxa"/>
            <w:vMerge w:val="continue"/>
            <w:noWrap w:val="0"/>
            <w:vAlign w:val="center"/>
          </w:tcPr>
          <w:p w14:paraId="4617750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162" w:type="dxa"/>
            <w:shd w:val="clear" w:color="auto" w:fill="auto"/>
            <w:noWrap w:val="0"/>
            <w:vAlign w:val="center"/>
          </w:tcPr>
          <w:p w14:paraId="10D45393">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进度保证措施方案</w:t>
            </w:r>
          </w:p>
        </w:tc>
        <w:tc>
          <w:tcPr>
            <w:tcW w:w="559" w:type="dxa"/>
            <w:shd w:val="clear" w:color="auto" w:fill="auto"/>
            <w:noWrap w:val="0"/>
            <w:vAlign w:val="center"/>
          </w:tcPr>
          <w:p w14:paraId="00BC615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10</w:t>
            </w:r>
            <w:r>
              <w:rPr>
                <w:rFonts w:hint="eastAsia" w:asciiTheme="minorEastAsia" w:hAnsiTheme="minorEastAsia" w:eastAsiaTheme="minorEastAsia" w:cstheme="minorEastAsia"/>
                <w:b w:val="0"/>
                <w:bCs w:val="0"/>
                <w:snapToGrid/>
                <w:color w:val="auto"/>
                <w:spacing w:val="0"/>
                <w:w w:val="100"/>
                <w:kern w:val="21"/>
                <w:sz w:val="20"/>
                <w:szCs w:val="20"/>
                <w:highlight w:val="none"/>
              </w:rPr>
              <w:t>分</w:t>
            </w:r>
          </w:p>
        </w:tc>
        <w:tc>
          <w:tcPr>
            <w:tcW w:w="5614" w:type="dxa"/>
            <w:shd w:val="clear" w:color="auto" w:fill="auto"/>
            <w:noWrap w:val="0"/>
            <w:vAlign w:val="center"/>
          </w:tcPr>
          <w:p w14:paraId="72875DE6">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根据供应商提供的进度保证措施方案的全面性、可行性，是否能满足采购人需求等进行综合评审：</w:t>
            </w:r>
          </w:p>
          <w:p w14:paraId="01C1FC1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1.进度保证措施、优秀、合理，得</w:t>
            </w:r>
            <w:r>
              <w:rPr>
                <w:rFonts w:hint="eastAsia" w:asciiTheme="minorEastAsia" w:hAnsiTheme="minorEastAsia" w:eastAsiaTheme="minorEastAsia" w:cstheme="minorEastAsia"/>
                <w:b/>
                <w:bCs/>
                <w:snapToGrid/>
                <w:spacing w:val="0"/>
                <w:kern w:val="21"/>
                <w:sz w:val="20"/>
                <w:szCs w:val="20"/>
                <w:highlight w:val="none"/>
                <w:lang w:val="en-US" w:eastAsia="zh-CN"/>
              </w:rPr>
              <w:t>10分</w:t>
            </w: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 </w:t>
            </w:r>
          </w:p>
          <w:p w14:paraId="2B4F3879">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2.进度保证措施、较好、较为合理，得</w:t>
            </w:r>
            <w:r>
              <w:rPr>
                <w:rFonts w:hint="eastAsia" w:asciiTheme="minorEastAsia" w:hAnsiTheme="minorEastAsia" w:eastAsiaTheme="minorEastAsia" w:cstheme="minorEastAsia"/>
                <w:b/>
                <w:bCs/>
                <w:snapToGrid/>
                <w:spacing w:val="0"/>
                <w:kern w:val="21"/>
                <w:sz w:val="20"/>
                <w:szCs w:val="20"/>
                <w:highlight w:val="none"/>
                <w:lang w:val="en-US" w:eastAsia="zh-CN"/>
              </w:rPr>
              <w:t>7分</w:t>
            </w: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 </w:t>
            </w:r>
          </w:p>
          <w:p w14:paraId="71006ED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3.进度保证措施、一般、基本合理，得</w:t>
            </w:r>
            <w:r>
              <w:rPr>
                <w:rFonts w:hint="eastAsia" w:asciiTheme="minorEastAsia" w:hAnsiTheme="minorEastAsia" w:eastAsiaTheme="minorEastAsia" w:cstheme="minorEastAsia"/>
                <w:b/>
                <w:bCs/>
                <w:snapToGrid/>
                <w:spacing w:val="0"/>
                <w:kern w:val="21"/>
                <w:sz w:val="20"/>
                <w:szCs w:val="20"/>
                <w:highlight w:val="none"/>
                <w:lang w:val="en-US" w:eastAsia="zh-CN"/>
              </w:rPr>
              <w:t>4分</w:t>
            </w: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 </w:t>
            </w:r>
          </w:p>
          <w:p w14:paraId="0B5E923A">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4.进度保证措施、差、不合理，得</w:t>
            </w:r>
            <w:r>
              <w:rPr>
                <w:rFonts w:hint="eastAsia" w:asciiTheme="minorEastAsia" w:hAnsiTheme="minorEastAsia" w:eastAsiaTheme="minorEastAsia" w:cstheme="minorEastAsia"/>
                <w:b/>
                <w:bCs/>
                <w:snapToGrid/>
                <w:spacing w:val="0"/>
                <w:kern w:val="21"/>
                <w:sz w:val="20"/>
                <w:szCs w:val="20"/>
                <w:highlight w:val="none"/>
                <w:lang w:val="en-US" w:eastAsia="zh-CN"/>
              </w:rPr>
              <w:t>1分</w:t>
            </w: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 </w:t>
            </w:r>
          </w:p>
          <w:p w14:paraId="5F4EADC6">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5.未提供得</w:t>
            </w:r>
            <w:r>
              <w:rPr>
                <w:rFonts w:hint="eastAsia" w:asciiTheme="minorEastAsia" w:hAnsiTheme="minorEastAsia" w:eastAsiaTheme="minorEastAsia" w:cstheme="minorEastAsia"/>
                <w:b/>
                <w:bCs/>
                <w:snapToGrid/>
                <w:spacing w:val="0"/>
                <w:kern w:val="21"/>
                <w:sz w:val="20"/>
                <w:szCs w:val="20"/>
                <w:highlight w:val="none"/>
                <w:lang w:val="en-US" w:eastAsia="zh-CN"/>
              </w:rPr>
              <w:t>0分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tc>
        <w:tc>
          <w:tcPr>
            <w:tcW w:w="660" w:type="dxa"/>
            <w:noWrap w:val="0"/>
            <w:vAlign w:val="center"/>
          </w:tcPr>
          <w:p w14:paraId="2F107A0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1724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continue"/>
            <w:noWrap w:val="0"/>
            <w:vAlign w:val="center"/>
          </w:tcPr>
          <w:p w14:paraId="12127CB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065" w:type="dxa"/>
            <w:vMerge w:val="continue"/>
            <w:noWrap w:val="0"/>
            <w:vAlign w:val="center"/>
          </w:tcPr>
          <w:p w14:paraId="3B913757">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p>
        </w:tc>
        <w:tc>
          <w:tcPr>
            <w:tcW w:w="1162" w:type="dxa"/>
            <w:shd w:val="clear" w:color="auto" w:fill="auto"/>
            <w:noWrap w:val="0"/>
            <w:vAlign w:val="center"/>
          </w:tcPr>
          <w:p w14:paraId="265AB2D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rPr>
              <w:t>设备车辆机具配置</w:t>
            </w:r>
          </w:p>
        </w:tc>
        <w:tc>
          <w:tcPr>
            <w:tcW w:w="559" w:type="dxa"/>
            <w:shd w:val="clear" w:color="auto" w:fill="auto"/>
            <w:noWrap w:val="0"/>
            <w:vAlign w:val="center"/>
          </w:tcPr>
          <w:p w14:paraId="05E5ED8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10</w:t>
            </w:r>
            <w:r>
              <w:rPr>
                <w:rFonts w:hint="eastAsia" w:asciiTheme="minorEastAsia" w:hAnsiTheme="minorEastAsia" w:eastAsiaTheme="minorEastAsia" w:cstheme="minorEastAsia"/>
                <w:b w:val="0"/>
                <w:bCs w:val="0"/>
                <w:snapToGrid/>
                <w:color w:val="auto"/>
                <w:spacing w:val="0"/>
                <w:w w:val="100"/>
                <w:kern w:val="21"/>
                <w:sz w:val="20"/>
                <w:szCs w:val="20"/>
                <w:highlight w:val="none"/>
              </w:rPr>
              <w:t>分</w:t>
            </w:r>
          </w:p>
        </w:tc>
        <w:tc>
          <w:tcPr>
            <w:tcW w:w="5614" w:type="dxa"/>
            <w:shd w:val="clear" w:color="auto" w:fill="auto"/>
            <w:noWrap w:val="0"/>
            <w:vAlign w:val="center"/>
          </w:tcPr>
          <w:p w14:paraId="55B312D1">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针对供应商提供的方案结合采购需求进行评审，包括但不限于：洒水车、洗扫车、配套施工、绿化养护全套机具等。</w:t>
            </w:r>
          </w:p>
          <w:p w14:paraId="4FCDECF9">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w:t>
            </w:r>
            <w:r>
              <w:rPr>
                <w:rFonts w:hint="eastAsia" w:asciiTheme="minorEastAsia" w:hAnsiTheme="minorEastAsia" w:eastAsiaTheme="minorEastAsia" w:cstheme="minorEastAsia"/>
                <w:b w:val="0"/>
                <w:bCs w:val="0"/>
                <w:snapToGrid/>
                <w:spacing w:val="0"/>
                <w:kern w:val="21"/>
                <w:sz w:val="20"/>
                <w:szCs w:val="20"/>
                <w:highlight w:val="none"/>
                <w:lang w:eastAsia="zh-CN"/>
              </w:rPr>
              <w:t>响应</w:t>
            </w:r>
            <w:r>
              <w:rPr>
                <w:rFonts w:hint="eastAsia" w:asciiTheme="minorEastAsia" w:hAnsiTheme="minorEastAsia" w:eastAsiaTheme="minorEastAsia" w:cstheme="minorEastAsia"/>
                <w:b w:val="0"/>
                <w:bCs w:val="0"/>
                <w:snapToGrid/>
                <w:spacing w:val="0"/>
                <w:kern w:val="21"/>
                <w:sz w:val="20"/>
                <w:szCs w:val="20"/>
                <w:highlight w:val="none"/>
                <w:lang w:val="en-US" w:eastAsia="zh-CN"/>
              </w:rPr>
              <w:t>内容很</w:t>
            </w:r>
            <w:r>
              <w:rPr>
                <w:rFonts w:hint="eastAsia" w:asciiTheme="minorEastAsia" w:hAnsiTheme="minorEastAsia" w:eastAsiaTheme="minorEastAsia" w:cstheme="minorEastAsia"/>
                <w:b w:val="0"/>
                <w:bCs w:val="0"/>
                <w:snapToGrid/>
                <w:spacing w:val="0"/>
                <w:kern w:val="21"/>
                <w:sz w:val="20"/>
                <w:szCs w:val="20"/>
                <w:highlight w:val="none"/>
                <w:lang w:eastAsia="zh-CN"/>
              </w:rPr>
              <w:t>完整、完全</w:t>
            </w:r>
            <w:r>
              <w:rPr>
                <w:rFonts w:hint="eastAsia" w:asciiTheme="minorEastAsia" w:hAnsiTheme="minorEastAsia" w:eastAsiaTheme="minorEastAsia" w:cstheme="minorEastAsia"/>
                <w:b w:val="0"/>
                <w:bCs w:val="0"/>
                <w:snapToGrid/>
                <w:spacing w:val="0"/>
                <w:kern w:val="21"/>
                <w:sz w:val="20"/>
                <w:szCs w:val="20"/>
                <w:highlight w:val="none"/>
                <w:lang w:val="en-US" w:eastAsia="zh-CN"/>
              </w:rPr>
              <w:t>优于</w:t>
            </w:r>
            <w:r>
              <w:rPr>
                <w:rFonts w:hint="eastAsia" w:asciiTheme="minorEastAsia" w:hAnsiTheme="minorEastAsia" w:eastAsiaTheme="minorEastAsia" w:cstheme="minorEastAsia"/>
                <w:b w:val="0"/>
                <w:bCs w:val="0"/>
                <w:snapToGrid/>
                <w:spacing w:val="0"/>
                <w:kern w:val="21"/>
                <w:sz w:val="20"/>
                <w:szCs w:val="20"/>
                <w:highlight w:val="none"/>
                <w:lang w:eastAsia="zh-CN"/>
              </w:rPr>
              <w:t>项目需求的，得</w:t>
            </w:r>
            <w:r>
              <w:rPr>
                <w:rFonts w:hint="eastAsia" w:asciiTheme="minorEastAsia" w:hAnsiTheme="minorEastAsia" w:eastAsiaTheme="minorEastAsia" w:cstheme="minorEastAsia"/>
                <w:b/>
                <w:bCs/>
                <w:snapToGrid/>
                <w:spacing w:val="0"/>
                <w:kern w:val="21"/>
                <w:sz w:val="20"/>
                <w:szCs w:val="20"/>
                <w:highlight w:val="none"/>
                <w:lang w:val="en-US" w:eastAsia="zh-CN"/>
              </w:rPr>
              <w:t>10</w:t>
            </w:r>
            <w:r>
              <w:rPr>
                <w:rFonts w:hint="eastAsia" w:asciiTheme="minorEastAsia" w:hAnsiTheme="minorEastAsia" w:eastAsiaTheme="minorEastAsia" w:cstheme="minorEastAsia"/>
                <w:b/>
                <w:bCs/>
                <w:snapToGrid/>
                <w:spacing w:val="0"/>
                <w:kern w:val="21"/>
                <w:sz w:val="20"/>
                <w:szCs w:val="20"/>
                <w:highlight w:val="none"/>
                <w:lang w:eastAsia="zh-CN"/>
              </w:rPr>
              <w:t>分</w:t>
            </w:r>
            <w:r>
              <w:rPr>
                <w:rFonts w:hint="eastAsia" w:asciiTheme="minorEastAsia" w:hAnsiTheme="minorEastAsia" w:eastAsiaTheme="minorEastAsia" w:cstheme="minorEastAsia"/>
                <w:b w:val="0"/>
                <w:bCs w:val="0"/>
                <w:snapToGrid/>
                <w:spacing w:val="0"/>
                <w:kern w:val="21"/>
                <w:sz w:val="20"/>
                <w:szCs w:val="20"/>
                <w:highlight w:val="none"/>
                <w:lang w:eastAsia="zh-CN"/>
              </w:rPr>
              <w:t>；</w:t>
            </w:r>
          </w:p>
          <w:p w14:paraId="5882322F">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2.</w:t>
            </w:r>
            <w:r>
              <w:rPr>
                <w:rFonts w:hint="eastAsia" w:asciiTheme="minorEastAsia" w:hAnsiTheme="minorEastAsia" w:eastAsiaTheme="minorEastAsia" w:cstheme="minorEastAsia"/>
                <w:b w:val="0"/>
                <w:bCs w:val="0"/>
                <w:snapToGrid/>
                <w:spacing w:val="0"/>
                <w:kern w:val="21"/>
                <w:sz w:val="20"/>
                <w:szCs w:val="20"/>
                <w:highlight w:val="none"/>
                <w:lang w:eastAsia="zh-CN"/>
              </w:rPr>
              <w:t>响应</w:t>
            </w:r>
            <w:r>
              <w:rPr>
                <w:rFonts w:hint="eastAsia" w:asciiTheme="minorEastAsia" w:hAnsiTheme="minorEastAsia" w:eastAsiaTheme="minorEastAsia" w:cstheme="minorEastAsia"/>
                <w:b w:val="0"/>
                <w:bCs w:val="0"/>
                <w:snapToGrid/>
                <w:spacing w:val="0"/>
                <w:kern w:val="21"/>
                <w:sz w:val="20"/>
                <w:szCs w:val="20"/>
                <w:highlight w:val="none"/>
                <w:lang w:val="en-US" w:eastAsia="zh-CN"/>
              </w:rPr>
              <w:t>内容较完整</w:t>
            </w:r>
            <w:r>
              <w:rPr>
                <w:rFonts w:hint="eastAsia" w:asciiTheme="minorEastAsia" w:hAnsiTheme="minorEastAsia" w:eastAsiaTheme="minorEastAsia" w:cstheme="minorEastAsia"/>
                <w:b w:val="0"/>
                <w:bCs w:val="0"/>
                <w:snapToGrid/>
                <w:spacing w:val="0"/>
                <w:kern w:val="21"/>
                <w:sz w:val="20"/>
                <w:szCs w:val="20"/>
                <w:highlight w:val="none"/>
                <w:lang w:eastAsia="zh-CN"/>
              </w:rPr>
              <w:t>，完全</w:t>
            </w:r>
            <w:r>
              <w:rPr>
                <w:rFonts w:hint="eastAsia" w:asciiTheme="minorEastAsia" w:hAnsiTheme="minorEastAsia" w:eastAsiaTheme="minorEastAsia" w:cstheme="minorEastAsia"/>
                <w:b w:val="0"/>
                <w:bCs w:val="0"/>
                <w:snapToGrid/>
                <w:spacing w:val="0"/>
                <w:kern w:val="21"/>
                <w:sz w:val="20"/>
                <w:szCs w:val="20"/>
                <w:highlight w:val="none"/>
                <w:lang w:val="en-US" w:eastAsia="zh-CN"/>
              </w:rPr>
              <w:t>满足</w:t>
            </w:r>
            <w:r>
              <w:rPr>
                <w:rFonts w:hint="eastAsia" w:asciiTheme="minorEastAsia" w:hAnsiTheme="minorEastAsia" w:eastAsiaTheme="minorEastAsia" w:cstheme="minorEastAsia"/>
                <w:b w:val="0"/>
                <w:bCs w:val="0"/>
                <w:snapToGrid/>
                <w:spacing w:val="0"/>
                <w:kern w:val="21"/>
                <w:sz w:val="20"/>
                <w:szCs w:val="20"/>
                <w:highlight w:val="none"/>
                <w:lang w:eastAsia="zh-CN"/>
              </w:rPr>
              <w:t>项目需求的，得</w:t>
            </w:r>
            <w:r>
              <w:rPr>
                <w:rFonts w:hint="eastAsia" w:asciiTheme="minorEastAsia" w:hAnsiTheme="minorEastAsia" w:eastAsiaTheme="minorEastAsia" w:cstheme="minorEastAsia"/>
                <w:b/>
                <w:bCs/>
                <w:snapToGrid/>
                <w:spacing w:val="0"/>
                <w:kern w:val="21"/>
                <w:sz w:val="20"/>
                <w:szCs w:val="20"/>
                <w:highlight w:val="none"/>
                <w:lang w:val="en-US" w:eastAsia="zh-CN"/>
              </w:rPr>
              <w:t>7</w:t>
            </w:r>
            <w:r>
              <w:rPr>
                <w:rFonts w:hint="eastAsia" w:asciiTheme="minorEastAsia" w:hAnsiTheme="minorEastAsia" w:eastAsiaTheme="minorEastAsia" w:cstheme="minorEastAsia"/>
                <w:b/>
                <w:bCs/>
                <w:snapToGrid/>
                <w:spacing w:val="0"/>
                <w:kern w:val="21"/>
                <w:sz w:val="20"/>
                <w:szCs w:val="20"/>
                <w:highlight w:val="none"/>
                <w:lang w:eastAsia="zh-CN"/>
              </w:rPr>
              <w:t>分</w:t>
            </w:r>
            <w:r>
              <w:rPr>
                <w:rFonts w:hint="eastAsia" w:asciiTheme="minorEastAsia" w:hAnsiTheme="minorEastAsia" w:eastAsiaTheme="minorEastAsia" w:cstheme="minorEastAsia"/>
                <w:b w:val="0"/>
                <w:bCs w:val="0"/>
                <w:snapToGrid/>
                <w:spacing w:val="0"/>
                <w:kern w:val="21"/>
                <w:sz w:val="20"/>
                <w:szCs w:val="20"/>
                <w:highlight w:val="none"/>
                <w:lang w:eastAsia="zh-CN"/>
              </w:rPr>
              <w:t>；</w:t>
            </w:r>
          </w:p>
          <w:p w14:paraId="204A896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3.</w:t>
            </w:r>
            <w:r>
              <w:rPr>
                <w:rFonts w:hint="eastAsia" w:asciiTheme="minorEastAsia" w:hAnsiTheme="minorEastAsia" w:eastAsiaTheme="minorEastAsia" w:cstheme="minorEastAsia"/>
                <w:b w:val="0"/>
                <w:bCs w:val="0"/>
                <w:snapToGrid/>
                <w:spacing w:val="0"/>
                <w:kern w:val="21"/>
                <w:sz w:val="20"/>
                <w:szCs w:val="20"/>
                <w:highlight w:val="none"/>
                <w:lang w:eastAsia="zh-CN"/>
              </w:rPr>
              <w:t>响应</w:t>
            </w:r>
            <w:r>
              <w:rPr>
                <w:rFonts w:hint="eastAsia" w:asciiTheme="minorEastAsia" w:hAnsiTheme="minorEastAsia" w:eastAsiaTheme="minorEastAsia" w:cstheme="minorEastAsia"/>
                <w:b w:val="0"/>
                <w:bCs w:val="0"/>
                <w:snapToGrid/>
                <w:spacing w:val="0"/>
                <w:kern w:val="21"/>
                <w:sz w:val="20"/>
                <w:szCs w:val="20"/>
                <w:highlight w:val="none"/>
                <w:lang w:val="en-US" w:eastAsia="zh-CN"/>
              </w:rPr>
              <w:t>内容基本完整</w:t>
            </w:r>
            <w:r>
              <w:rPr>
                <w:rFonts w:hint="eastAsia" w:asciiTheme="minorEastAsia" w:hAnsiTheme="minorEastAsia" w:eastAsiaTheme="minorEastAsia" w:cstheme="minorEastAsia"/>
                <w:b w:val="0"/>
                <w:bCs w:val="0"/>
                <w:snapToGrid/>
                <w:spacing w:val="0"/>
                <w:kern w:val="21"/>
                <w:sz w:val="20"/>
                <w:szCs w:val="20"/>
                <w:highlight w:val="none"/>
                <w:lang w:eastAsia="zh-CN"/>
              </w:rPr>
              <w:t>，</w:t>
            </w:r>
            <w:r>
              <w:rPr>
                <w:rFonts w:hint="eastAsia" w:asciiTheme="minorEastAsia" w:hAnsiTheme="minorEastAsia" w:eastAsiaTheme="minorEastAsia" w:cstheme="minorEastAsia"/>
                <w:b w:val="0"/>
                <w:bCs w:val="0"/>
                <w:snapToGrid/>
                <w:spacing w:val="0"/>
                <w:kern w:val="21"/>
                <w:sz w:val="20"/>
                <w:szCs w:val="20"/>
                <w:highlight w:val="none"/>
                <w:lang w:val="en-US" w:eastAsia="zh-CN"/>
              </w:rPr>
              <w:t>基本满足</w:t>
            </w:r>
            <w:r>
              <w:rPr>
                <w:rFonts w:hint="eastAsia" w:asciiTheme="minorEastAsia" w:hAnsiTheme="minorEastAsia" w:eastAsiaTheme="minorEastAsia" w:cstheme="minorEastAsia"/>
                <w:b w:val="0"/>
                <w:bCs w:val="0"/>
                <w:snapToGrid/>
                <w:spacing w:val="0"/>
                <w:kern w:val="21"/>
                <w:sz w:val="20"/>
                <w:szCs w:val="20"/>
                <w:highlight w:val="none"/>
                <w:lang w:eastAsia="zh-CN"/>
              </w:rPr>
              <w:t>项目需求的，得</w:t>
            </w:r>
            <w:r>
              <w:rPr>
                <w:rFonts w:hint="eastAsia" w:asciiTheme="minorEastAsia" w:hAnsiTheme="minorEastAsia" w:eastAsiaTheme="minorEastAsia" w:cstheme="minorEastAsia"/>
                <w:b/>
                <w:bCs/>
                <w:snapToGrid/>
                <w:spacing w:val="0"/>
                <w:kern w:val="21"/>
                <w:sz w:val="20"/>
                <w:szCs w:val="20"/>
                <w:highlight w:val="none"/>
                <w:lang w:val="en-US" w:eastAsia="zh-CN"/>
              </w:rPr>
              <w:t>4</w:t>
            </w:r>
            <w:r>
              <w:rPr>
                <w:rFonts w:hint="eastAsia" w:asciiTheme="minorEastAsia" w:hAnsiTheme="minorEastAsia" w:eastAsiaTheme="minorEastAsia" w:cstheme="minorEastAsia"/>
                <w:b/>
                <w:bCs/>
                <w:snapToGrid/>
                <w:spacing w:val="0"/>
                <w:kern w:val="21"/>
                <w:sz w:val="20"/>
                <w:szCs w:val="20"/>
                <w:highlight w:val="none"/>
                <w:lang w:eastAsia="zh-CN"/>
              </w:rPr>
              <w:t>分</w:t>
            </w:r>
            <w:r>
              <w:rPr>
                <w:rFonts w:hint="eastAsia" w:asciiTheme="minorEastAsia" w:hAnsiTheme="minorEastAsia" w:eastAsiaTheme="minorEastAsia" w:cstheme="minorEastAsia"/>
                <w:b w:val="0"/>
                <w:bCs w:val="0"/>
                <w:snapToGrid/>
                <w:spacing w:val="0"/>
                <w:kern w:val="21"/>
                <w:sz w:val="20"/>
                <w:szCs w:val="20"/>
                <w:highlight w:val="none"/>
                <w:lang w:eastAsia="zh-CN"/>
              </w:rPr>
              <w:t>；</w:t>
            </w:r>
          </w:p>
          <w:p w14:paraId="68DFD444">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4.</w:t>
            </w:r>
            <w:r>
              <w:rPr>
                <w:rFonts w:hint="eastAsia" w:asciiTheme="minorEastAsia" w:hAnsiTheme="minorEastAsia" w:eastAsiaTheme="minorEastAsia" w:cstheme="minorEastAsia"/>
                <w:b w:val="0"/>
                <w:bCs w:val="0"/>
                <w:snapToGrid/>
                <w:spacing w:val="0"/>
                <w:kern w:val="21"/>
                <w:sz w:val="20"/>
                <w:szCs w:val="20"/>
                <w:highlight w:val="none"/>
                <w:lang w:eastAsia="zh-CN"/>
              </w:rPr>
              <w:t>响应</w:t>
            </w:r>
            <w:r>
              <w:rPr>
                <w:rFonts w:hint="eastAsia" w:asciiTheme="minorEastAsia" w:hAnsiTheme="minorEastAsia" w:eastAsiaTheme="minorEastAsia" w:cstheme="minorEastAsia"/>
                <w:b w:val="0"/>
                <w:bCs w:val="0"/>
                <w:snapToGrid/>
                <w:spacing w:val="0"/>
                <w:kern w:val="21"/>
                <w:sz w:val="20"/>
                <w:szCs w:val="20"/>
                <w:highlight w:val="none"/>
                <w:lang w:val="en-US" w:eastAsia="zh-CN"/>
              </w:rPr>
              <w:t>内容有</w:t>
            </w:r>
            <w:r>
              <w:rPr>
                <w:rFonts w:hint="eastAsia" w:asciiTheme="minorEastAsia" w:hAnsiTheme="minorEastAsia" w:eastAsiaTheme="minorEastAsia" w:cstheme="minorEastAsia"/>
                <w:b w:val="0"/>
                <w:bCs w:val="0"/>
                <w:snapToGrid/>
                <w:spacing w:val="0"/>
                <w:kern w:val="21"/>
                <w:sz w:val="20"/>
                <w:szCs w:val="20"/>
                <w:highlight w:val="none"/>
                <w:lang w:eastAsia="zh-CN"/>
              </w:rPr>
              <w:t>欠缺，有少量内容</w:t>
            </w:r>
            <w:r>
              <w:rPr>
                <w:rFonts w:hint="eastAsia" w:asciiTheme="minorEastAsia" w:hAnsiTheme="minorEastAsia" w:eastAsiaTheme="minorEastAsia" w:cstheme="minorEastAsia"/>
                <w:b w:val="0"/>
                <w:bCs w:val="0"/>
                <w:snapToGrid/>
                <w:spacing w:val="0"/>
                <w:kern w:val="21"/>
                <w:sz w:val="20"/>
                <w:szCs w:val="20"/>
                <w:highlight w:val="none"/>
                <w:lang w:val="en-US" w:eastAsia="zh-CN"/>
              </w:rPr>
              <w:t>欠</w:t>
            </w:r>
            <w:r>
              <w:rPr>
                <w:rFonts w:hint="eastAsia" w:asciiTheme="minorEastAsia" w:hAnsiTheme="minorEastAsia" w:eastAsiaTheme="minorEastAsia" w:cstheme="minorEastAsia"/>
                <w:b w:val="0"/>
                <w:bCs w:val="0"/>
                <w:snapToGrid/>
                <w:spacing w:val="0"/>
                <w:kern w:val="21"/>
                <w:sz w:val="20"/>
                <w:szCs w:val="20"/>
                <w:highlight w:val="none"/>
                <w:lang w:eastAsia="zh-CN"/>
              </w:rPr>
              <w:t>完整的，得</w:t>
            </w:r>
            <w:r>
              <w:rPr>
                <w:rFonts w:hint="eastAsia" w:asciiTheme="minorEastAsia" w:hAnsiTheme="minorEastAsia" w:eastAsiaTheme="minorEastAsia" w:cstheme="minorEastAsia"/>
                <w:b/>
                <w:bCs/>
                <w:snapToGrid/>
                <w:spacing w:val="0"/>
                <w:kern w:val="21"/>
                <w:sz w:val="20"/>
                <w:szCs w:val="20"/>
                <w:highlight w:val="none"/>
                <w:lang w:val="en-US" w:eastAsia="zh-CN"/>
              </w:rPr>
              <w:t>1</w:t>
            </w:r>
            <w:r>
              <w:rPr>
                <w:rFonts w:hint="eastAsia" w:asciiTheme="minorEastAsia" w:hAnsiTheme="minorEastAsia" w:eastAsiaTheme="minorEastAsia" w:cstheme="minorEastAsia"/>
                <w:b/>
                <w:bCs/>
                <w:snapToGrid/>
                <w:spacing w:val="0"/>
                <w:kern w:val="21"/>
                <w:sz w:val="20"/>
                <w:szCs w:val="20"/>
                <w:highlight w:val="none"/>
                <w:lang w:eastAsia="zh-CN"/>
              </w:rPr>
              <w:t>分</w:t>
            </w:r>
            <w:r>
              <w:rPr>
                <w:rFonts w:hint="eastAsia" w:asciiTheme="minorEastAsia" w:hAnsiTheme="minorEastAsia" w:eastAsiaTheme="minorEastAsia" w:cstheme="minorEastAsia"/>
                <w:b w:val="0"/>
                <w:bCs w:val="0"/>
                <w:snapToGrid/>
                <w:spacing w:val="0"/>
                <w:kern w:val="21"/>
                <w:sz w:val="20"/>
                <w:szCs w:val="20"/>
                <w:highlight w:val="none"/>
                <w:lang w:eastAsia="zh-CN"/>
              </w:rPr>
              <w:t>；</w:t>
            </w:r>
          </w:p>
          <w:p w14:paraId="4DACE716">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5.未提供</w:t>
            </w:r>
            <w:r>
              <w:rPr>
                <w:rFonts w:hint="eastAsia" w:asciiTheme="minorEastAsia" w:hAnsiTheme="minorEastAsia" w:eastAsiaTheme="minorEastAsia" w:cstheme="minorEastAsia"/>
                <w:b w:val="0"/>
                <w:bCs w:val="0"/>
                <w:snapToGrid/>
                <w:spacing w:val="0"/>
                <w:kern w:val="21"/>
                <w:sz w:val="20"/>
                <w:szCs w:val="20"/>
                <w:highlight w:val="none"/>
                <w:lang w:eastAsia="zh-CN"/>
              </w:rPr>
              <w:t>的得</w:t>
            </w:r>
            <w:r>
              <w:rPr>
                <w:rFonts w:hint="eastAsia" w:asciiTheme="minorEastAsia" w:hAnsiTheme="minorEastAsia" w:eastAsiaTheme="minorEastAsia" w:cstheme="minorEastAsia"/>
                <w:b/>
                <w:bCs/>
                <w:snapToGrid/>
                <w:spacing w:val="0"/>
                <w:kern w:val="21"/>
                <w:sz w:val="20"/>
                <w:szCs w:val="20"/>
                <w:highlight w:val="none"/>
                <w:lang w:val="en-US" w:eastAsia="zh-CN"/>
              </w:rPr>
              <w:t>0分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tc>
        <w:tc>
          <w:tcPr>
            <w:tcW w:w="660" w:type="dxa"/>
            <w:noWrap w:val="0"/>
            <w:vAlign w:val="center"/>
          </w:tcPr>
          <w:p w14:paraId="7EAA4BE7">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16E4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continue"/>
            <w:noWrap w:val="0"/>
            <w:vAlign w:val="center"/>
          </w:tcPr>
          <w:p w14:paraId="3F64A090">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065" w:type="dxa"/>
            <w:vMerge w:val="continue"/>
            <w:noWrap w:val="0"/>
            <w:vAlign w:val="center"/>
          </w:tcPr>
          <w:p w14:paraId="2900B464">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p>
        </w:tc>
        <w:tc>
          <w:tcPr>
            <w:tcW w:w="1162" w:type="dxa"/>
            <w:shd w:val="clear" w:color="auto" w:fill="auto"/>
            <w:noWrap w:val="0"/>
            <w:vAlign w:val="center"/>
          </w:tcPr>
          <w:p w14:paraId="54DE9EF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团队成员内部岗位</w:t>
            </w:r>
            <w:r>
              <w:rPr>
                <w:rFonts w:hint="eastAsia" w:asciiTheme="minorEastAsia" w:hAnsiTheme="minorEastAsia" w:eastAsiaTheme="minorEastAsia" w:cstheme="minorEastAsia"/>
                <w:b w:val="0"/>
                <w:bCs w:val="0"/>
                <w:snapToGrid/>
                <w:color w:val="auto"/>
                <w:spacing w:val="0"/>
                <w:w w:val="100"/>
                <w:kern w:val="21"/>
                <w:sz w:val="20"/>
                <w:szCs w:val="20"/>
                <w:highlight w:val="none"/>
              </w:rPr>
              <w:t>培训方案</w:t>
            </w:r>
          </w:p>
        </w:tc>
        <w:tc>
          <w:tcPr>
            <w:tcW w:w="559" w:type="dxa"/>
            <w:shd w:val="clear" w:color="auto" w:fill="auto"/>
            <w:noWrap w:val="0"/>
            <w:vAlign w:val="center"/>
          </w:tcPr>
          <w:p w14:paraId="3CFC8891">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10</w:t>
            </w:r>
            <w:r>
              <w:rPr>
                <w:rFonts w:hint="eastAsia" w:asciiTheme="minorEastAsia" w:hAnsiTheme="minorEastAsia" w:eastAsiaTheme="minorEastAsia" w:cstheme="minorEastAsia"/>
                <w:b w:val="0"/>
                <w:bCs w:val="0"/>
                <w:snapToGrid/>
                <w:color w:val="auto"/>
                <w:spacing w:val="0"/>
                <w:w w:val="100"/>
                <w:kern w:val="21"/>
                <w:sz w:val="20"/>
                <w:szCs w:val="20"/>
                <w:highlight w:val="none"/>
              </w:rPr>
              <w:t>分</w:t>
            </w:r>
          </w:p>
        </w:tc>
        <w:tc>
          <w:tcPr>
            <w:tcW w:w="5614" w:type="dxa"/>
            <w:shd w:val="clear" w:color="auto" w:fill="auto"/>
            <w:noWrap w:val="0"/>
            <w:vAlign w:val="center"/>
          </w:tcPr>
          <w:p w14:paraId="04B2D82C">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针对</w:t>
            </w:r>
            <w:r>
              <w:rPr>
                <w:rFonts w:hint="eastAsia" w:asciiTheme="minorEastAsia" w:hAnsiTheme="minorEastAsia" w:eastAsiaTheme="minorEastAsia" w:cstheme="minorEastAsia"/>
                <w:b w:val="0"/>
                <w:bCs w:val="0"/>
                <w:snapToGrid/>
                <w:spacing w:val="0"/>
                <w:kern w:val="21"/>
                <w:sz w:val="20"/>
                <w:szCs w:val="20"/>
                <w:highlight w:val="none"/>
                <w:lang w:eastAsia="zh-CN"/>
              </w:rPr>
              <w:t>供应商</w:t>
            </w:r>
            <w:r>
              <w:rPr>
                <w:rFonts w:hint="eastAsia" w:asciiTheme="minorEastAsia" w:hAnsiTheme="minorEastAsia" w:eastAsiaTheme="minorEastAsia" w:cstheme="minorEastAsia"/>
                <w:b w:val="0"/>
                <w:bCs w:val="0"/>
                <w:snapToGrid/>
                <w:spacing w:val="0"/>
                <w:kern w:val="21"/>
                <w:sz w:val="20"/>
                <w:szCs w:val="20"/>
                <w:highlight w:val="none"/>
                <w:lang w:val="en-US" w:eastAsia="zh-CN"/>
              </w:rPr>
              <w:t>提供的方案结合采购需求</w:t>
            </w:r>
            <w:r>
              <w:rPr>
                <w:rFonts w:hint="eastAsia" w:asciiTheme="minorEastAsia" w:hAnsiTheme="minorEastAsia" w:eastAsiaTheme="minorEastAsia" w:cstheme="minorEastAsia"/>
                <w:b w:val="0"/>
                <w:bCs w:val="0"/>
                <w:snapToGrid/>
                <w:spacing w:val="0"/>
                <w:kern w:val="21"/>
                <w:sz w:val="20"/>
                <w:szCs w:val="20"/>
                <w:highlight w:val="none"/>
              </w:rPr>
              <w:t>进行评审，</w:t>
            </w:r>
            <w:r>
              <w:rPr>
                <w:rFonts w:hint="eastAsia" w:asciiTheme="minorEastAsia" w:hAnsiTheme="minorEastAsia" w:eastAsiaTheme="minorEastAsia" w:cstheme="minorEastAsia"/>
                <w:b w:val="0"/>
                <w:bCs w:val="0"/>
                <w:snapToGrid/>
                <w:spacing w:val="0"/>
                <w:kern w:val="21"/>
                <w:sz w:val="20"/>
                <w:szCs w:val="20"/>
                <w:highlight w:val="none"/>
                <w:lang w:val="en-US" w:eastAsia="zh-CN"/>
              </w:rPr>
              <w:t>包括但不限于：项目经理及核心技术岗位人员的</w:t>
            </w:r>
            <w:r>
              <w:rPr>
                <w:rFonts w:hint="eastAsia" w:asciiTheme="minorEastAsia" w:hAnsiTheme="minorEastAsia" w:eastAsiaTheme="minorEastAsia" w:cstheme="minorEastAsia"/>
                <w:b w:val="0"/>
                <w:bCs w:val="0"/>
                <w:snapToGrid/>
                <w:spacing w:val="0"/>
                <w:kern w:val="21"/>
                <w:sz w:val="20"/>
                <w:szCs w:val="20"/>
                <w:highlight w:val="none"/>
              </w:rPr>
              <w:t>培训内容</w:t>
            </w:r>
            <w:r>
              <w:rPr>
                <w:rFonts w:hint="eastAsia" w:asciiTheme="minorEastAsia" w:hAnsiTheme="minorEastAsia" w:eastAsiaTheme="minorEastAsia" w:cstheme="minorEastAsia"/>
                <w:b w:val="0"/>
                <w:bCs w:val="0"/>
                <w:snapToGrid/>
                <w:spacing w:val="0"/>
                <w:kern w:val="21"/>
                <w:sz w:val="20"/>
                <w:szCs w:val="20"/>
                <w:highlight w:val="none"/>
                <w:lang w:eastAsia="zh-CN"/>
              </w:rPr>
              <w:t>、</w:t>
            </w:r>
            <w:r>
              <w:rPr>
                <w:rFonts w:hint="eastAsia" w:asciiTheme="minorEastAsia" w:hAnsiTheme="minorEastAsia" w:eastAsiaTheme="minorEastAsia" w:cstheme="minorEastAsia"/>
                <w:b w:val="0"/>
                <w:bCs w:val="0"/>
                <w:snapToGrid/>
                <w:spacing w:val="0"/>
                <w:kern w:val="21"/>
                <w:sz w:val="20"/>
                <w:szCs w:val="20"/>
                <w:highlight w:val="none"/>
              </w:rPr>
              <w:t>培训流程</w:t>
            </w:r>
            <w:r>
              <w:rPr>
                <w:rFonts w:hint="eastAsia" w:asciiTheme="minorEastAsia" w:hAnsiTheme="minorEastAsia" w:eastAsiaTheme="minorEastAsia" w:cstheme="minorEastAsia"/>
                <w:b w:val="0"/>
                <w:bCs w:val="0"/>
                <w:snapToGrid/>
                <w:spacing w:val="0"/>
                <w:kern w:val="21"/>
                <w:sz w:val="20"/>
                <w:szCs w:val="20"/>
                <w:highlight w:val="none"/>
                <w:lang w:eastAsia="zh-CN"/>
              </w:rPr>
              <w:t>、</w:t>
            </w:r>
            <w:r>
              <w:rPr>
                <w:rFonts w:hint="eastAsia" w:asciiTheme="minorEastAsia" w:hAnsiTheme="minorEastAsia" w:eastAsiaTheme="minorEastAsia" w:cstheme="minorEastAsia"/>
                <w:b w:val="0"/>
                <w:bCs w:val="0"/>
                <w:snapToGrid/>
                <w:spacing w:val="0"/>
                <w:kern w:val="21"/>
                <w:sz w:val="20"/>
                <w:szCs w:val="20"/>
                <w:highlight w:val="none"/>
                <w:lang w:val="en-US" w:eastAsia="zh-CN"/>
              </w:rPr>
              <w:t>培训考核</w:t>
            </w:r>
            <w:r>
              <w:rPr>
                <w:rFonts w:hint="eastAsia" w:asciiTheme="minorEastAsia" w:hAnsiTheme="minorEastAsia" w:eastAsiaTheme="minorEastAsia" w:cstheme="minorEastAsia"/>
                <w:b w:val="0"/>
                <w:bCs w:val="0"/>
                <w:snapToGrid/>
                <w:spacing w:val="0"/>
                <w:kern w:val="21"/>
                <w:sz w:val="20"/>
                <w:szCs w:val="20"/>
                <w:highlight w:val="none"/>
              </w:rPr>
              <w:t>等。</w:t>
            </w:r>
          </w:p>
          <w:p w14:paraId="29F25FC2">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w:t>
            </w:r>
            <w:r>
              <w:rPr>
                <w:rFonts w:hint="eastAsia" w:asciiTheme="minorEastAsia" w:hAnsiTheme="minorEastAsia" w:eastAsiaTheme="minorEastAsia" w:cstheme="minorEastAsia"/>
                <w:b w:val="0"/>
                <w:bCs w:val="0"/>
                <w:snapToGrid/>
                <w:spacing w:val="0"/>
                <w:kern w:val="21"/>
                <w:sz w:val="20"/>
                <w:szCs w:val="20"/>
                <w:highlight w:val="none"/>
                <w:lang w:eastAsia="zh-CN"/>
              </w:rPr>
              <w:t>响应</w:t>
            </w:r>
            <w:r>
              <w:rPr>
                <w:rFonts w:hint="eastAsia" w:asciiTheme="minorEastAsia" w:hAnsiTheme="minorEastAsia" w:eastAsiaTheme="minorEastAsia" w:cstheme="minorEastAsia"/>
                <w:b w:val="0"/>
                <w:bCs w:val="0"/>
                <w:snapToGrid/>
                <w:spacing w:val="0"/>
                <w:kern w:val="21"/>
                <w:sz w:val="20"/>
                <w:szCs w:val="20"/>
                <w:highlight w:val="none"/>
                <w:lang w:val="en-US" w:eastAsia="zh-CN"/>
              </w:rPr>
              <w:t>内容很</w:t>
            </w:r>
            <w:r>
              <w:rPr>
                <w:rFonts w:hint="eastAsia" w:asciiTheme="minorEastAsia" w:hAnsiTheme="minorEastAsia" w:eastAsiaTheme="minorEastAsia" w:cstheme="minorEastAsia"/>
                <w:b w:val="0"/>
                <w:bCs w:val="0"/>
                <w:snapToGrid/>
                <w:spacing w:val="0"/>
                <w:kern w:val="21"/>
                <w:sz w:val="20"/>
                <w:szCs w:val="20"/>
                <w:highlight w:val="none"/>
                <w:lang w:eastAsia="zh-CN"/>
              </w:rPr>
              <w:t>完整、完全</w:t>
            </w:r>
            <w:r>
              <w:rPr>
                <w:rFonts w:hint="eastAsia" w:asciiTheme="minorEastAsia" w:hAnsiTheme="minorEastAsia" w:eastAsiaTheme="minorEastAsia" w:cstheme="minorEastAsia"/>
                <w:b w:val="0"/>
                <w:bCs w:val="0"/>
                <w:snapToGrid/>
                <w:spacing w:val="0"/>
                <w:kern w:val="21"/>
                <w:sz w:val="20"/>
                <w:szCs w:val="20"/>
                <w:highlight w:val="none"/>
                <w:lang w:val="en-US" w:eastAsia="zh-CN"/>
              </w:rPr>
              <w:t>优于</w:t>
            </w:r>
            <w:r>
              <w:rPr>
                <w:rFonts w:hint="eastAsia" w:asciiTheme="minorEastAsia" w:hAnsiTheme="minorEastAsia" w:eastAsiaTheme="minorEastAsia" w:cstheme="minorEastAsia"/>
                <w:b w:val="0"/>
                <w:bCs w:val="0"/>
                <w:snapToGrid/>
                <w:spacing w:val="0"/>
                <w:kern w:val="21"/>
                <w:sz w:val="20"/>
                <w:szCs w:val="20"/>
                <w:highlight w:val="none"/>
                <w:lang w:eastAsia="zh-CN"/>
              </w:rPr>
              <w:t>项目需求的，得</w:t>
            </w:r>
            <w:r>
              <w:rPr>
                <w:rFonts w:hint="eastAsia" w:asciiTheme="minorEastAsia" w:hAnsiTheme="minorEastAsia" w:eastAsiaTheme="minorEastAsia" w:cstheme="minorEastAsia"/>
                <w:b/>
                <w:bCs/>
                <w:snapToGrid/>
                <w:spacing w:val="0"/>
                <w:kern w:val="21"/>
                <w:sz w:val="20"/>
                <w:szCs w:val="20"/>
                <w:highlight w:val="none"/>
                <w:lang w:val="en-US" w:eastAsia="zh-CN"/>
              </w:rPr>
              <w:t>10</w:t>
            </w:r>
            <w:r>
              <w:rPr>
                <w:rFonts w:hint="eastAsia" w:asciiTheme="minorEastAsia" w:hAnsiTheme="minorEastAsia" w:eastAsiaTheme="minorEastAsia" w:cstheme="minorEastAsia"/>
                <w:b/>
                <w:bCs/>
                <w:snapToGrid/>
                <w:spacing w:val="0"/>
                <w:kern w:val="21"/>
                <w:sz w:val="20"/>
                <w:szCs w:val="20"/>
                <w:highlight w:val="none"/>
                <w:lang w:eastAsia="zh-CN"/>
              </w:rPr>
              <w:t>分</w:t>
            </w:r>
            <w:r>
              <w:rPr>
                <w:rFonts w:hint="eastAsia" w:asciiTheme="minorEastAsia" w:hAnsiTheme="minorEastAsia" w:eastAsiaTheme="minorEastAsia" w:cstheme="minorEastAsia"/>
                <w:b w:val="0"/>
                <w:bCs w:val="0"/>
                <w:snapToGrid/>
                <w:spacing w:val="0"/>
                <w:kern w:val="21"/>
                <w:sz w:val="20"/>
                <w:szCs w:val="20"/>
                <w:highlight w:val="none"/>
                <w:lang w:eastAsia="zh-CN"/>
              </w:rPr>
              <w:t>；</w:t>
            </w:r>
          </w:p>
          <w:p w14:paraId="3D174F37">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2.</w:t>
            </w:r>
            <w:r>
              <w:rPr>
                <w:rFonts w:hint="eastAsia" w:asciiTheme="minorEastAsia" w:hAnsiTheme="minorEastAsia" w:eastAsiaTheme="minorEastAsia" w:cstheme="minorEastAsia"/>
                <w:b w:val="0"/>
                <w:bCs w:val="0"/>
                <w:snapToGrid/>
                <w:spacing w:val="0"/>
                <w:kern w:val="21"/>
                <w:sz w:val="20"/>
                <w:szCs w:val="20"/>
                <w:highlight w:val="none"/>
                <w:lang w:eastAsia="zh-CN"/>
              </w:rPr>
              <w:t>响应</w:t>
            </w:r>
            <w:r>
              <w:rPr>
                <w:rFonts w:hint="eastAsia" w:asciiTheme="minorEastAsia" w:hAnsiTheme="minorEastAsia" w:eastAsiaTheme="minorEastAsia" w:cstheme="minorEastAsia"/>
                <w:b w:val="0"/>
                <w:bCs w:val="0"/>
                <w:snapToGrid/>
                <w:spacing w:val="0"/>
                <w:kern w:val="21"/>
                <w:sz w:val="20"/>
                <w:szCs w:val="20"/>
                <w:highlight w:val="none"/>
                <w:lang w:val="en-US" w:eastAsia="zh-CN"/>
              </w:rPr>
              <w:t>内容较完整</w:t>
            </w:r>
            <w:r>
              <w:rPr>
                <w:rFonts w:hint="eastAsia" w:asciiTheme="minorEastAsia" w:hAnsiTheme="minorEastAsia" w:eastAsiaTheme="minorEastAsia" w:cstheme="minorEastAsia"/>
                <w:b w:val="0"/>
                <w:bCs w:val="0"/>
                <w:snapToGrid/>
                <w:spacing w:val="0"/>
                <w:kern w:val="21"/>
                <w:sz w:val="20"/>
                <w:szCs w:val="20"/>
                <w:highlight w:val="none"/>
                <w:lang w:eastAsia="zh-CN"/>
              </w:rPr>
              <w:t>，完全</w:t>
            </w:r>
            <w:r>
              <w:rPr>
                <w:rFonts w:hint="eastAsia" w:asciiTheme="minorEastAsia" w:hAnsiTheme="minorEastAsia" w:eastAsiaTheme="minorEastAsia" w:cstheme="minorEastAsia"/>
                <w:b w:val="0"/>
                <w:bCs w:val="0"/>
                <w:snapToGrid/>
                <w:spacing w:val="0"/>
                <w:kern w:val="21"/>
                <w:sz w:val="20"/>
                <w:szCs w:val="20"/>
                <w:highlight w:val="none"/>
                <w:lang w:val="en-US" w:eastAsia="zh-CN"/>
              </w:rPr>
              <w:t>满足</w:t>
            </w:r>
            <w:r>
              <w:rPr>
                <w:rFonts w:hint="eastAsia" w:asciiTheme="minorEastAsia" w:hAnsiTheme="minorEastAsia" w:eastAsiaTheme="minorEastAsia" w:cstheme="minorEastAsia"/>
                <w:b w:val="0"/>
                <w:bCs w:val="0"/>
                <w:snapToGrid/>
                <w:spacing w:val="0"/>
                <w:kern w:val="21"/>
                <w:sz w:val="20"/>
                <w:szCs w:val="20"/>
                <w:highlight w:val="none"/>
                <w:lang w:eastAsia="zh-CN"/>
              </w:rPr>
              <w:t>项目需求的，得</w:t>
            </w:r>
            <w:r>
              <w:rPr>
                <w:rFonts w:hint="eastAsia" w:asciiTheme="minorEastAsia" w:hAnsiTheme="minorEastAsia" w:eastAsiaTheme="minorEastAsia" w:cstheme="minorEastAsia"/>
                <w:b/>
                <w:bCs/>
                <w:snapToGrid/>
                <w:spacing w:val="0"/>
                <w:kern w:val="21"/>
                <w:sz w:val="20"/>
                <w:szCs w:val="20"/>
                <w:highlight w:val="none"/>
                <w:lang w:val="en-US" w:eastAsia="zh-CN"/>
              </w:rPr>
              <w:t>7</w:t>
            </w:r>
            <w:r>
              <w:rPr>
                <w:rFonts w:hint="eastAsia" w:asciiTheme="minorEastAsia" w:hAnsiTheme="minorEastAsia" w:eastAsiaTheme="minorEastAsia" w:cstheme="minorEastAsia"/>
                <w:b/>
                <w:bCs/>
                <w:snapToGrid/>
                <w:spacing w:val="0"/>
                <w:kern w:val="21"/>
                <w:sz w:val="20"/>
                <w:szCs w:val="20"/>
                <w:highlight w:val="none"/>
                <w:lang w:eastAsia="zh-CN"/>
              </w:rPr>
              <w:t>分</w:t>
            </w:r>
            <w:r>
              <w:rPr>
                <w:rFonts w:hint="eastAsia" w:asciiTheme="minorEastAsia" w:hAnsiTheme="minorEastAsia" w:eastAsiaTheme="minorEastAsia" w:cstheme="minorEastAsia"/>
                <w:b w:val="0"/>
                <w:bCs w:val="0"/>
                <w:snapToGrid/>
                <w:spacing w:val="0"/>
                <w:kern w:val="21"/>
                <w:sz w:val="20"/>
                <w:szCs w:val="20"/>
                <w:highlight w:val="none"/>
                <w:lang w:eastAsia="zh-CN"/>
              </w:rPr>
              <w:t>；</w:t>
            </w:r>
          </w:p>
          <w:p w14:paraId="40782859">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3.</w:t>
            </w:r>
            <w:r>
              <w:rPr>
                <w:rFonts w:hint="eastAsia" w:asciiTheme="minorEastAsia" w:hAnsiTheme="minorEastAsia" w:eastAsiaTheme="minorEastAsia" w:cstheme="minorEastAsia"/>
                <w:b w:val="0"/>
                <w:bCs w:val="0"/>
                <w:snapToGrid/>
                <w:spacing w:val="0"/>
                <w:kern w:val="21"/>
                <w:sz w:val="20"/>
                <w:szCs w:val="20"/>
                <w:highlight w:val="none"/>
                <w:lang w:eastAsia="zh-CN"/>
              </w:rPr>
              <w:t>响应</w:t>
            </w:r>
            <w:r>
              <w:rPr>
                <w:rFonts w:hint="eastAsia" w:asciiTheme="minorEastAsia" w:hAnsiTheme="minorEastAsia" w:eastAsiaTheme="minorEastAsia" w:cstheme="minorEastAsia"/>
                <w:b w:val="0"/>
                <w:bCs w:val="0"/>
                <w:snapToGrid/>
                <w:spacing w:val="0"/>
                <w:kern w:val="21"/>
                <w:sz w:val="20"/>
                <w:szCs w:val="20"/>
                <w:highlight w:val="none"/>
                <w:lang w:val="en-US" w:eastAsia="zh-CN"/>
              </w:rPr>
              <w:t>内容基本完整</w:t>
            </w:r>
            <w:r>
              <w:rPr>
                <w:rFonts w:hint="eastAsia" w:asciiTheme="minorEastAsia" w:hAnsiTheme="minorEastAsia" w:eastAsiaTheme="minorEastAsia" w:cstheme="minorEastAsia"/>
                <w:b w:val="0"/>
                <w:bCs w:val="0"/>
                <w:snapToGrid/>
                <w:spacing w:val="0"/>
                <w:kern w:val="21"/>
                <w:sz w:val="20"/>
                <w:szCs w:val="20"/>
                <w:highlight w:val="none"/>
                <w:lang w:eastAsia="zh-CN"/>
              </w:rPr>
              <w:t>，</w:t>
            </w:r>
            <w:r>
              <w:rPr>
                <w:rFonts w:hint="eastAsia" w:asciiTheme="minorEastAsia" w:hAnsiTheme="minorEastAsia" w:eastAsiaTheme="minorEastAsia" w:cstheme="minorEastAsia"/>
                <w:b w:val="0"/>
                <w:bCs w:val="0"/>
                <w:snapToGrid/>
                <w:spacing w:val="0"/>
                <w:kern w:val="21"/>
                <w:sz w:val="20"/>
                <w:szCs w:val="20"/>
                <w:highlight w:val="none"/>
                <w:lang w:val="en-US" w:eastAsia="zh-CN"/>
              </w:rPr>
              <w:t>基本满足</w:t>
            </w:r>
            <w:r>
              <w:rPr>
                <w:rFonts w:hint="eastAsia" w:asciiTheme="minorEastAsia" w:hAnsiTheme="minorEastAsia" w:eastAsiaTheme="minorEastAsia" w:cstheme="minorEastAsia"/>
                <w:b w:val="0"/>
                <w:bCs w:val="0"/>
                <w:snapToGrid/>
                <w:spacing w:val="0"/>
                <w:kern w:val="21"/>
                <w:sz w:val="20"/>
                <w:szCs w:val="20"/>
                <w:highlight w:val="none"/>
                <w:lang w:eastAsia="zh-CN"/>
              </w:rPr>
              <w:t>项目需求的，得</w:t>
            </w:r>
            <w:r>
              <w:rPr>
                <w:rFonts w:hint="eastAsia" w:asciiTheme="minorEastAsia" w:hAnsiTheme="minorEastAsia" w:eastAsiaTheme="minorEastAsia" w:cstheme="minorEastAsia"/>
                <w:b/>
                <w:bCs/>
                <w:snapToGrid/>
                <w:spacing w:val="0"/>
                <w:kern w:val="21"/>
                <w:sz w:val="20"/>
                <w:szCs w:val="20"/>
                <w:highlight w:val="none"/>
                <w:lang w:val="en-US" w:eastAsia="zh-CN"/>
              </w:rPr>
              <w:t>4</w:t>
            </w:r>
            <w:r>
              <w:rPr>
                <w:rFonts w:hint="eastAsia" w:asciiTheme="minorEastAsia" w:hAnsiTheme="minorEastAsia" w:eastAsiaTheme="minorEastAsia" w:cstheme="minorEastAsia"/>
                <w:b/>
                <w:bCs/>
                <w:snapToGrid/>
                <w:spacing w:val="0"/>
                <w:kern w:val="21"/>
                <w:sz w:val="20"/>
                <w:szCs w:val="20"/>
                <w:highlight w:val="none"/>
                <w:lang w:eastAsia="zh-CN"/>
              </w:rPr>
              <w:t>分</w:t>
            </w:r>
            <w:r>
              <w:rPr>
                <w:rFonts w:hint="eastAsia" w:asciiTheme="minorEastAsia" w:hAnsiTheme="minorEastAsia" w:eastAsiaTheme="minorEastAsia" w:cstheme="minorEastAsia"/>
                <w:b w:val="0"/>
                <w:bCs w:val="0"/>
                <w:snapToGrid/>
                <w:spacing w:val="0"/>
                <w:kern w:val="21"/>
                <w:sz w:val="20"/>
                <w:szCs w:val="20"/>
                <w:highlight w:val="none"/>
                <w:lang w:eastAsia="zh-CN"/>
              </w:rPr>
              <w:t>；</w:t>
            </w:r>
          </w:p>
          <w:p w14:paraId="5756A6F4">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4.</w:t>
            </w:r>
            <w:r>
              <w:rPr>
                <w:rFonts w:hint="eastAsia" w:asciiTheme="minorEastAsia" w:hAnsiTheme="minorEastAsia" w:eastAsiaTheme="minorEastAsia" w:cstheme="minorEastAsia"/>
                <w:b w:val="0"/>
                <w:bCs w:val="0"/>
                <w:snapToGrid/>
                <w:spacing w:val="0"/>
                <w:kern w:val="21"/>
                <w:sz w:val="20"/>
                <w:szCs w:val="20"/>
                <w:highlight w:val="none"/>
                <w:lang w:eastAsia="zh-CN"/>
              </w:rPr>
              <w:t>响应</w:t>
            </w:r>
            <w:r>
              <w:rPr>
                <w:rFonts w:hint="eastAsia" w:asciiTheme="minorEastAsia" w:hAnsiTheme="minorEastAsia" w:eastAsiaTheme="minorEastAsia" w:cstheme="minorEastAsia"/>
                <w:b w:val="0"/>
                <w:bCs w:val="0"/>
                <w:snapToGrid/>
                <w:spacing w:val="0"/>
                <w:kern w:val="21"/>
                <w:sz w:val="20"/>
                <w:szCs w:val="20"/>
                <w:highlight w:val="none"/>
                <w:lang w:val="en-US" w:eastAsia="zh-CN"/>
              </w:rPr>
              <w:t>内容有</w:t>
            </w:r>
            <w:r>
              <w:rPr>
                <w:rFonts w:hint="eastAsia" w:asciiTheme="minorEastAsia" w:hAnsiTheme="minorEastAsia" w:eastAsiaTheme="minorEastAsia" w:cstheme="minorEastAsia"/>
                <w:b w:val="0"/>
                <w:bCs w:val="0"/>
                <w:snapToGrid/>
                <w:spacing w:val="0"/>
                <w:kern w:val="21"/>
                <w:sz w:val="20"/>
                <w:szCs w:val="20"/>
                <w:highlight w:val="none"/>
                <w:lang w:eastAsia="zh-CN"/>
              </w:rPr>
              <w:t>欠缺，有少量内容</w:t>
            </w:r>
            <w:r>
              <w:rPr>
                <w:rFonts w:hint="eastAsia" w:asciiTheme="minorEastAsia" w:hAnsiTheme="minorEastAsia" w:eastAsiaTheme="minorEastAsia" w:cstheme="minorEastAsia"/>
                <w:b w:val="0"/>
                <w:bCs w:val="0"/>
                <w:snapToGrid/>
                <w:spacing w:val="0"/>
                <w:kern w:val="21"/>
                <w:sz w:val="20"/>
                <w:szCs w:val="20"/>
                <w:highlight w:val="none"/>
                <w:lang w:val="en-US" w:eastAsia="zh-CN"/>
              </w:rPr>
              <w:t>欠</w:t>
            </w:r>
            <w:r>
              <w:rPr>
                <w:rFonts w:hint="eastAsia" w:asciiTheme="minorEastAsia" w:hAnsiTheme="minorEastAsia" w:eastAsiaTheme="minorEastAsia" w:cstheme="minorEastAsia"/>
                <w:b w:val="0"/>
                <w:bCs w:val="0"/>
                <w:snapToGrid/>
                <w:spacing w:val="0"/>
                <w:kern w:val="21"/>
                <w:sz w:val="20"/>
                <w:szCs w:val="20"/>
                <w:highlight w:val="none"/>
                <w:lang w:eastAsia="zh-CN"/>
              </w:rPr>
              <w:t>完整的，得</w:t>
            </w:r>
            <w:r>
              <w:rPr>
                <w:rFonts w:hint="eastAsia" w:asciiTheme="minorEastAsia" w:hAnsiTheme="minorEastAsia" w:eastAsiaTheme="minorEastAsia" w:cstheme="minorEastAsia"/>
                <w:b/>
                <w:bCs/>
                <w:snapToGrid/>
                <w:spacing w:val="0"/>
                <w:kern w:val="21"/>
                <w:sz w:val="20"/>
                <w:szCs w:val="20"/>
                <w:highlight w:val="none"/>
                <w:lang w:val="en-US" w:eastAsia="zh-CN"/>
              </w:rPr>
              <w:t>1</w:t>
            </w:r>
            <w:r>
              <w:rPr>
                <w:rFonts w:hint="eastAsia" w:asciiTheme="minorEastAsia" w:hAnsiTheme="minorEastAsia" w:eastAsiaTheme="minorEastAsia" w:cstheme="minorEastAsia"/>
                <w:b/>
                <w:bCs/>
                <w:snapToGrid/>
                <w:spacing w:val="0"/>
                <w:kern w:val="21"/>
                <w:sz w:val="20"/>
                <w:szCs w:val="20"/>
                <w:highlight w:val="none"/>
                <w:lang w:eastAsia="zh-CN"/>
              </w:rPr>
              <w:t>分</w:t>
            </w:r>
            <w:r>
              <w:rPr>
                <w:rFonts w:hint="eastAsia" w:asciiTheme="minorEastAsia" w:hAnsiTheme="minorEastAsia" w:eastAsiaTheme="minorEastAsia" w:cstheme="minorEastAsia"/>
                <w:b w:val="0"/>
                <w:bCs w:val="0"/>
                <w:snapToGrid/>
                <w:spacing w:val="0"/>
                <w:kern w:val="21"/>
                <w:sz w:val="20"/>
                <w:szCs w:val="20"/>
                <w:highlight w:val="none"/>
                <w:lang w:eastAsia="zh-CN"/>
              </w:rPr>
              <w:t>；</w:t>
            </w:r>
          </w:p>
          <w:p w14:paraId="0B9DF1E0">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5.未提供</w:t>
            </w:r>
            <w:r>
              <w:rPr>
                <w:rFonts w:hint="eastAsia" w:asciiTheme="minorEastAsia" w:hAnsiTheme="minorEastAsia" w:eastAsiaTheme="minorEastAsia" w:cstheme="minorEastAsia"/>
                <w:b w:val="0"/>
                <w:bCs w:val="0"/>
                <w:snapToGrid/>
                <w:spacing w:val="0"/>
                <w:kern w:val="21"/>
                <w:sz w:val="20"/>
                <w:szCs w:val="20"/>
                <w:highlight w:val="none"/>
                <w:lang w:eastAsia="zh-CN"/>
              </w:rPr>
              <w:t>的得</w:t>
            </w:r>
            <w:r>
              <w:rPr>
                <w:rFonts w:hint="eastAsia" w:asciiTheme="minorEastAsia" w:hAnsiTheme="minorEastAsia" w:eastAsiaTheme="minorEastAsia" w:cstheme="minorEastAsia"/>
                <w:b/>
                <w:bCs/>
                <w:snapToGrid/>
                <w:spacing w:val="0"/>
                <w:kern w:val="21"/>
                <w:sz w:val="20"/>
                <w:szCs w:val="20"/>
                <w:highlight w:val="none"/>
                <w:lang w:val="en-US" w:eastAsia="zh-CN"/>
              </w:rPr>
              <w:t>0分</w:t>
            </w:r>
            <w:r>
              <w:rPr>
                <w:rFonts w:hint="eastAsia" w:asciiTheme="minorEastAsia" w:hAnsiTheme="minorEastAsia" w:eastAsiaTheme="minorEastAsia" w:cstheme="minorEastAsia"/>
                <w:b w:val="0"/>
                <w:bCs w:val="0"/>
                <w:snapToGrid/>
                <w:spacing w:val="0"/>
                <w:kern w:val="21"/>
                <w:sz w:val="20"/>
                <w:szCs w:val="20"/>
                <w:highlight w:val="none"/>
                <w:lang w:val="en-US" w:eastAsia="zh-CN"/>
              </w:rPr>
              <w:t>。</w:t>
            </w:r>
          </w:p>
        </w:tc>
        <w:tc>
          <w:tcPr>
            <w:tcW w:w="660" w:type="dxa"/>
            <w:noWrap w:val="0"/>
            <w:vAlign w:val="center"/>
          </w:tcPr>
          <w:p w14:paraId="3F14F2FA">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2DAF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restart"/>
            <w:noWrap w:val="0"/>
            <w:vAlign w:val="center"/>
          </w:tcPr>
          <w:p w14:paraId="27A7D0D2">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2</w:t>
            </w:r>
          </w:p>
        </w:tc>
        <w:tc>
          <w:tcPr>
            <w:tcW w:w="1065" w:type="dxa"/>
            <w:vMerge w:val="restart"/>
            <w:noWrap w:val="0"/>
            <w:vAlign w:val="center"/>
          </w:tcPr>
          <w:p w14:paraId="667FF5E0">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商务评审（</w:t>
            </w:r>
            <w:r>
              <w:rPr>
                <w:rFonts w:hint="eastAsia" w:asciiTheme="minorEastAsia" w:hAnsiTheme="minorEastAsia" w:eastAsiaTheme="minorEastAsia" w:cstheme="minorEastAsia"/>
                <w:b w:val="0"/>
                <w:bCs w:val="0"/>
                <w:snapToGrid/>
                <w:spacing w:val="0"/>
                <w:kern w:val="21"/>
                <w:sz w:val="20"/>
                <w:szCs w:val="20"/>
                <w:highlight w:val="none"/>
                <w:lang w:val="en-US" w:eastAsia="zh-CN"/>
              </w:rPr>
              <w:t>7</w:t>
            </w:r>
            <w:r>
              <w:rPr>
                <w:rFonts w:hint="eastAsia" w:asciiTheme="minorEastAsia" w:hAnsiTheme="minorEastAsia" w:eastAsiaTheme="minorEastAsia" w:cstheme="minorEastAsia"/>
                <w:b w:val="0"/>
                <w:bCs w:val="0"/>
                <w:snapToGrid/>
                <w:spacing w:val="0"/>
                <w:kern w:val="21"/>
                <w:sz w:val="20"/>
                <w:szCs w:val="20"/>
                <w:highlight w:val="none"/>
              </w:rPr>
              <w:t>分）</w:t>
            </w:r>
          </w:p>
        </w:tc>
        <w:tc>
          <w:tcPr>
            <w:tcW w:w="1162" w:type="dxa"/>
            <w:noWrap w:val="0"/>
            <w:vAlign w:val="center"/>
          </w:tcPr>
          <w:p w14:paraId="2601C897">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rPr>
              <w:t>类似项目业绩</w:t>
            </w:r>
          </w:p>
        </w:tc>
        <w:tc>
          <w:tcPr>
            <w:tcW w:w="559" w:type="dxa"/>
            <w:noWrap w:val="0"/>
            <w:vAlign w:val="center"/>
          </w:tcPr>
          <w:p w14:paraId="4203923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2</w:t>
            </w:r>
            <w:r>
              <w:rPr>
                <w:rFonts w:hint="eastAsia" w:asciiTheme="minorEastAsia" w:hAnsiTheme="minorEastAsia" w:eastAsiaTheme="minorEastAsia" w:cstheme="minorEastAsia"/>
                <w:b w:val="0"/>
                <w:bCs w:val="0"/>
                <w:snapToGrid/>
                <w:color w:val="auto"/>
                <w:spacing w:val="0"/>
                <w:w w:val="100"/>
                <w:kern w:val="21"/>
                <w:sz w:val="20"/>
                <w:szCs w:val="20"/>
                <w:highlight w:val="none"/>
              </w:rPr>
              <w:t>分</w:t>
            </w:r>
          </w:p>
        </w:tc>
        <w:tc>
          <w:tcPr>
            <w:tcW w:w="5614" w:type="dxa"/>
            <w:noWrap w:val="0"/>
            <w:vAlign w:val="center"/>
          </w:tcPr>
          <w:p w14:paraId="7B031C5F">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lang w:eastAsia="zh-CN"/>
              </w:rPr>
              <w:t>供应商</w:t>
            </w:r>
            <w:r>
              <w:rPr>
                <w:rFonts w:hint="eastAsia" w:asciiTheme="minorEastAsia" w:hAnsiTheme="minorEastAsia" w:eastAsiaTheme="minorEastAsia" w:cstheme="minorEastAsia"/>
                <w:b w:val="0"/>
                <w:bCs w:val="0"/>
                <w:snapToGrid/>
                <w:spacing w:val="0"/>
                <w:kern w:val="21"/>
                <w:sz w:val="20"/>
                <w:szCs w:val="20"/>
                <w:highlight w:val="none"/>
              </w:rPr>
              <w:t>提供近三</w:t>
            </w:r>
            <w:r>
              <w:rPr>
                <w:rFonts w:hint="eastAsia" w:asciiTheme="minorEastAsia" w:hAnsiTheme="minorEastAsia" w:eastAsiaTheme="minorEastAsia" w:cstheme="minorEastAsia"/>
                <w:b w:val="0"/>
                <w:bCs w:val="0"/>
                <w:snapToGrid/>
                <w:color w:val="auto"/>
                <w:spacing w:val="0"/>
                <w:kern w:val="21"/>
                <w:sz w:val="20"/>
                <w:szCs w:val="20"/>
                <w:highlight w:val="none"/>
              </w:rPr>
              <w:t>年（</w:t>
            </w:r>
            <w:r>
              <w:rPr>
                <w:rFonts w:hint="eastAsia" w:asciiTheme="minorEastAsia" w:hAnsiTheme="minorEastAsia" w:eastAsiaTheme="minorEastAsia" w:cstheme="minorEastAsia"/>
                <w:b w:val="0"/>
                <w:bCs w:val="0"/>
                <w:snapToGrid/>
                <w:color w:val="auto"/>
                <w:spacing w:val="0"/>
                <w:kern w:val="21"/>
                <w:sz w:val="20"/>
                <w:szCs w:val="20"/>
                <w:highlight w:val="none"/>
                <w:lang w:eastAsia="zh-CN"/>
              </w:rPr>
              <w:t>2023年8月4日至2026年8月3日</w:t>
            </w:r>
            <w:r>
              <w:rPr>
                <w:rFonts w:hint="eastAsia" w:asciiTheme="minorEastAsia" w:hAnsiTheme="minorEastAsia" w:eastAsiaTheme="minorEastAsia" w:cstheme="minorEastAsia"/>
                <w:b w:val="0"/>
                <w:bCs w:val="0"/>
                <w:snapToGrid/>
                <w:color w:val="auto"/>
                <w:spacing w:val="0"/>
                <w:kern w:val="21"/>
                <w:sz w:val="20"/>
                <w:szCs w:val="20"/>
                <w:highlight w:val="none"/>
              </w:rPr>
              <w:t>，以合同签订时间为准</w:t>
            </w:r>
            <w:r>
              <w:rPr>
                <w:rFonts w:hint="eastAsia" w:asciiTheme="minorEastAsia" w:hAnsiTheme="minorEastAsia" w:eastAsiaTheme="minorEastAsia" w:cstheme="minorEastAsia"/>
                <w:b w:val="0"/>
                <w:bCs w:val="0"/>
                <w:snapToGrid/>
                <w:color w:val="auto"/>
                <w:spacing w:val="0"/>
                <w:kern w:val="21"/>
                <w:sz w:val="20"/>
                <w:szCs w:val="20"/>
                <w:highlight w:val="none"/>
                <w:lang w:eastAsia="zh-CN"/>
              </w:rPr>
              <w:t>，</w:t>
            </w:r>
            <w:r>
              <w:rPr>
                <w:rFonts w:hint="eastAsia" w:asciiTheme="minorEastAsia" w:hAnsiTheme="minorEastAsia" w:eastAsiaTheme="minorEastAsia" w:cstheme="minorEastAsia"/>
                <w:b w:val="0"/>
                <w:bCs w:val="0"/>
                <w:snapToGrid/>
                <w:color w:val="auto"/>
                <w:spacing w:val="0"/>
                <w:kern w:val="21"/>
                <w:sz w:val="20"/>
                <w:szCs w:val="20"/>
                <w:highlight w:val="none"/>
              </w:rPr>
              <w:t>合同上未体现签订时间的业绩不予认可）</w:t>
            </w:r>
            <w:r>
              <w:rPr>
                <w:rFonts w:hint="eastAsia" w:asciiTheme="minorEastAsia" w:hAnsiTheme="minorEastAsia" w:eastAsiaTheme="minorEastAsia" w:cstheme="minorEastAsia"/>
                <w:b w:val="0"/>
                <w:bCs w:val="0"/>
                <w:snapToGrid/>
                <w:spacing w:val="0"/>
                <w:kern w:val="21"/>
                <w:sz w:val="20"/>
                <w:szCs w:val="20"/>
                <w:highlight w:val="none"/>
                <w:lang w:eastAsia="zh-CN"/>
              </w:rPr>
              <w:t>类似项目业绩</w:t>
            </w:r>
            <w:r>
              <w:rPr>
                <w:rFonts w:hint="eastAsia" w:asciiTheme="minorEastAsia" w:hAnsiTheme="minorEastAsia" w:eastAsiaTheme="minorEastAsia" w:cstheme="minorEastAsia"/>
                <w:b w:val="0"/>
                <w:bCs w:val="0"/>
                <w:snapToGrid/>
                <w:spacing w:val="0"/>
                <w:kern w:val="21"/>
                <w:sz w:val="20"/>
                <w:szCs w:val="20"/>
                <w:highlight w:val="none"/>
              </w:rPr>
              <w:t>，每提供一个项目业绩得</w:t>
            </w:r>
            <w:r>
              <w:rPr>
                <w:rFonts w:hint="eastAsia" w:asciiTheme="minorEastAsia" w:hAnsiTheme="minorEastAsia" w:eastAsiaTheme="minorEastAsia" w:cstheme="minorEastAsia"/>
                <w:b w:val="0"/>
                <w:bCs w:val="0"/>
                <w:snapToGrid/>
                <w:spacing w:val="0"/>
                <w:kern w:val="21"/>
                <w:sz w:val="20"/>
                <w:szCs w:val="20"/>
                <w:highlight w:val="none"/>
                <w:lang w:val="en-US" w:eastAsia="zh-CN"/>
              </w:rPr>
              <w:t>2</w:t>
            </w:r>
            <w:r>
              <w:rPr>
                <w:rFonts w:hint="eastAsia" w:asciiTheme="minorEastAsia" w:hAnsiTheme="minorEastAsia" w:eastAsiaTheme="minorEastAsia" w:cstheme="minorEastAsia"/>
                <w:b w:val="0"/>
                <w:bCs w:val="0"/>
                <w:snapToGrid/>
                <w:spacing w:val="0"/>
                <w:kern w:val="21"/>
                <w:sz w:val="20"/>
                <w:szCs w:val="20"/>
                <w:highlight w:val="none"/>
              </w:rPr>
              <w:t>分，</w:t>
            </w:r>
            <w:r>
              <w:rPr>
                <w:rFonts w:hint="eastAsia" w:asciiTheme="minorEastAsia" w:hAnsiTheme="minorEastAsia" w:eastAsiaTheme="minorEastAsia" w:cstheme="minorEastAsia"/>
                <w:b w:val="0"/>
                <w:bCs w:val="0"/>
                <w:snapToGrid/>
                <w:spacing w:val="0"/>
                <w:kern w:val="21"/>
                <w:sz w:val="20"/>
                <w:szCs w:val="20"/>
                <w:highlight w:val="none"/>
                <w:lang w:val="en-US" w:eastAsia="zh-CN"/>
              </w:rPr>
              <w:t>未提供的得0分。</w:t>
            </w:r>
          </w:p>
          <w:p w14:paraId="684B0500">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rPr>
              <w:t>注：</w:t>
            </w:r>
            <w:r>
              <w:rPr>
                <w:rFonts w:hint="eastAsia" w:asciiTheme="minorEastAsia" w:hAnsiTheme="minorEastAsia" w:eastAsiaTheme="minorEastAsia" w:cstheme="minorEastAsia"/>
                <w:b w:val="0"/>
                <w:bCs w:val="0"/>
                <w:snapToGrid/>
                <w:spacing w:val="0"/>
                <w:kern w:val="21"/>
                <w:sz w:val="20"/>
                <w:szCs w:val="20"/>
                <w:highlight w:val="none"/>
                <w:lang w:val="en-US" w:eastAsia="zh-CN"/>
              </w:rPr>
              <w:t>需</w:t>
            </w:r>
            <w:r>
              <w:rPr>
                <w:rFonts w:hint="eastAsia" w:asciiTheme="minorEastAsia" w:hAnsiTheme="minorEastAsia" w:eastAsiaTheme="minorEastAsia" w:cstheme="minorEastAsia"/>
                <w:b w:val="0"/>
                <w:bCs w:val="0"/>
                <w:snapToGrid/>
                <w:spacing w:val="0"/>
                <w:kern w:val="21"/>
                <w:sz w:val="20"/>
                <w:szCs w:val="20"/>
                <w:highlight w:val="none"/>
              </w:rPr>
              <w:t>提供合同首页、服务主要内容页、盖章页等关键页</w:t>
            </w:r>
            <w:r>
              <w:rPr>
                <w:rFonts w:hint="eastAsia" w:asciiTheme="minorEastAsia" w:hAnsiTheme="minorEastAsia" w:eastAsiaTheme="minorEastAsia" w:cstheme="minorEastAsia"/>
                <w:b w:val="0"/>
                <w:bCs w:val="0"/>
                <w:snapToGrid/>
                <w:spacing w:val="0"/>
                <w:kern w:val="21"/>
                <w:sz w:val="20"/>
                <w:szCs w:val="20"/>
                <w:highlight w:val="none"/>
                <w:lang w:val="en-US" w:eastAsia="zh-CN"/>
              </w:rPr>
              <w:t>扫描件</w:t>
            </w:r>
            <w:r>
              <w:rPr>
                <w:rFonts w:hint="eastAsia" w:asciiTheme="minorEastAsia" w:hAnsiTheme="minorEastAsia" w:eastAsiaTheme="minorEastAsia" w:cstheme="minorEastAsia"/>
                <w:b w:val="0"/>
                <w:bCs w:val="0"/>
                <w:snapToGrid/>
                <w:spacing w:val="0"/>
                <w:kern w:val="21"/>
                <w:sz w:val="20"/>
                <w:szCs w:val="20"/>
                <w:highlight w:val="none"/>
              </w:rPr>
              <w:t>并加盖公章。</w:t>
            </w:r>
          </w:p>
        </w:tc>
        <w:tc>
          <w:tcPr>
            <w:tcW w:w="660" w:type="dxa"/>
            <w:noWrap w:val="0"/>
            <w:vAlign w:val="center"/>
          </w:tcPr>
          <w:p w14:paraId="7A880CB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7DF2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vMerge w:val="continue"/>
            <w:noWrap w:val="0"/>
            <w:vAlign w:val="center"/>
          </w:tcPr>
          <w:p w14:paraId="5AE6B98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c>
          <w:tcPr>
            <w:tcW w:w="1065" w:type="dxa"/>
            <w:vMerge w:val="continue"/>
            <w:noWrap w:val="0"/>
            <w:vAlign w:val="center"/>
          </w:tcPr>
          <w:p w14:paraId="5D1AE66C">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p>
        </w:tc>
        <w:tc>
          <w:tcPr>
            <w:tcW w:w="1162" w:type="dxa"/>
            <w:shd w:val="clear" w:color="auto" w:fill="auto"/>
            <w:noWrap w:val="0"/>
            <w:vAlign w:val="center"/>
          </w:tcPr>
          <w:p w14:paraId="66F72513">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项目团队成员</w:t>
            </w:r>
          </w:p>
        </w:tc>
        <w:tc>
          <w:tcPr>
            <w:tcW w:w="559" w:type="dxa"/>
            <w:shd w:val="clear" w:color="auto" w:fill="auto"/>
            <w:noWrap w:val="0"/>
            <w:vAlign w:val="center"/>
          </w:tcPr>
          <w:p w14:paraId="45A394F1">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firstLine="28" w:firstLineChars="0"/>
              <w:jc w:val="center"/>
              <w:textAlignment w:val="auto"/>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0"/>
                <w:szCs w:val="20"/>
                <w:highlight w:val="none"/>
                <w:lang w:val="en-US" w:eastAsia="zh-CN"/>
              </w:rPr>
              <w:t>5分</w:t>
            </w:r>
          </w:p>
        </w:tc>
        <w:tc>
          <w:tcPr>
            <w:tcW w:w="5614" w:type="dxa"/>
            <w:shd w:val="clear" w:color="auto" w:fill="auto"/>
            <w:noWrap w:val="0"/>
            <w:vAlign w:val="center"/>
          </w:tcPr>
          <w:p w14:paraId="37E4DDCB">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1.团队人员配置合理、人员数量齐全、专业度高、分工明确，得5分； </w:t>
            </w:r>
          </w:p>
          <w:p w14:paraId="4623797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2.团队人员配置合理性较好、人员数量较齐全、分工较明确，得4分； </w:t>
            </w:r>
          </w:p>
          <w:p w14:paraId="17C95F70">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 xml:space="preserve">3.团队人员配置合理性一般、人员数量不齐全、部分分工不明确，得2分； </w:t>
            </w:r>
          </w:p>
          <w:p w14:paraId="1E2C2BBB">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4.未提供的得 0 分。</w:t>
            </w:r>
          </w:p>
        </w:tc>
        <w:tc>
          <w:tcPr>
            <w:tcW w:w="660" w:type="dxa"/>
            <w:shd w:val="clear" w:color="auto" w:fill="auto"/>
            <w:noWrap w:val="0"/>
            <w:vAlign w:val="center"/>
          </w:tcPr>
          <w:p w14:paraId="2129DC5D">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p>
        </w:tc>
      </w:tr>
      <w:tr w14:paraId="6655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noWrap w:val="0"/>
            <w:vAlign w:val="center"/>
          </w:tcPr>
          <w:p w14:paraId="594201A5">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3</w:t>
            </w:r>
          </w:p>
        </w:tc>
        <w:tc>
          <w:tcPr>
            <w:tcW w:w="2227" w:type="dxa"/>
            <w:gridSpan w:val="2"/>
            <w:noWrap w:val="0"/>
            <w:vAlign w:val="center"/>
          </w:tcPr>
          <w:p w14:paraId="35834923">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报价评审</w:t>
            </w:r>
          </w:p>
          <w:p w14:paraId="17C200CB">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（10分）</w:t>
            </w:r>
          </w:p>
        </w:tc>
        <w:tc>
          <w:tcPr>
            <w:tcW w:w="559" w:type="dxa"/>
            <w:noWrap w:val="0"/>
            <w:vAlign w:val="center"/>
          </w:tcPr>
          <w:p w14:paraId="4AC4DB20">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lang w:val="en-US" w:eastAsia="zh-CN"/>
              </w:rPr>
            </w:pPr>
            <w:r>
              <w:rPr>
                <w:rFonts w:hint="eastAsia" w:asciiTheme="minorEastAsia" w:hAnsiTheme="minorEastAsia" w:eastAsiaTheme="minorEastAsia" w:cstheme="minorEastAsia"/>
                <w:b w:val="0"/>
                <w:bCs w:val="0"/>
                <w:snapToGrid/>
                <w:spacing w:val="0"/>
                <w:kern w:val="21"/>
                <w:sz w:val="20"/>
                <w:szCs w:val="20"/>
                <w:highlight w:val="none"/>
                <w:lang w:val="en-US" w:eastAsia="zh-CN"/>
              </w:rPr>
              <w:t>10分</w:t>
            </w:r>
          </w:p>
        </w:tc>
        <w:tc>
          <w:tcPr>
            <w:tcW w:w="5614" w:type="dxa"/>
            <w:noWrap w:val="0"/>
            <w:vAlign w:val="center"/>
          </w:tcPr>
          <w:p w14:paraId="50896674">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满足</w:t>
            </w:r>
            <w:r>
              <w:rPr>
                <w:rFonts w:hint="eastAsia" w:asciiTheme="minorEastAsia" w:hAnsiTheme="minorEastAsia" w:eastAsiaTheme="minorEastAsia" w:cstheme="minorEastAsia"/>
                <w:b w:val="0"/>
                <w:bCs w:val="0"/>
                <w:snapToGrid/>
                <w:spacing w:val="0"/>
                <w:kern w:val="21"/>
                <w:sz w:val="20"/>
                <w:szCs w:val="20"/>
                <w:highlight w:val="none"/>
                <w:lang w:eastAsia="zh-CN"/>
              </w:rPr>
              <w:t>竞争性磋商</w:t>
            </w:r>
            <w:r>
              <w:rPr>
                <w:rFonts w:hint="eastAsia" w:asciiTheme="minorEastAsia" w:hAnsiTheme="minorEastAsia" w:eastAsiaTheme="minorEastAsia" w:cstheme="minorEastAsia"/>
                <w:b w:val="0"/>
                <w:bCs w:val="0"/>
                <w:snapToGrid/>
                <w:spacing w:val="0"/>
                <w:kern w:val="21"/>
                <w:sz w:val="20"/>
                <w:szCs w:val="20"/>
                <w:highlight w:val="none"/>
              </w:rPr>
              <w:t>要求的最后报价最低的供应商的价格为磋商基准价，其价格分为满分。其他供应商的价格分统一按照下列公式计算：</w:t>
            </w:r>
          </w:p>
          <w:p w14:paraId="51C046C5">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磋商报价得分=（磋商基准价/最后报价）×分值</w:t>
            </w:r>
          </w:p>
          <w:p w14:paraId="7792073B">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此处最后报价指经过报价修正，及因落实政府采购政策进行价格调整后的报价，详见第三章《评审方法和评审标准》3.2、3.3</w:t>
            </w:r>
          </w:p>
        </w:tc>
        <w:tc>
          <w:tcPr>
            <w:tcW w:w="660" w:type="dxa"/>
            <w:noWrap w:val="0"/>
            <w:vAlign w:val="center"/>
          </w:tcPr>
          <w:p w14:paraId="40243053">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p>
        </w:tc>
      </w:tr>
      <w:tr w14:paraId="6797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7" w:type="dxa"/>
            <w:gridSpan w:val="3"/>
            <w:noWrap w:val="0"/>
            <w:vAlign w:val="center"/>
          </w:tcPr>
          <w:p w14:paraId="719A4C1A">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合计</w:t>
            </w:r>
          </w:p>
        </w:tc>
        <w:tc>
          <w:tcPr>
            <w:tcW w:w="559" w:type="dxa"/>
            <w:noWrap w:val="0"/>
            <w:vAlign w:val="center"/>
          </w:tcPr>
          <w:p w14:paraId="17CEFD1E">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t>100</w:t>
            </w:r>
          </w:p>
        </w:tc>
        <w:tc>
          <w:tcPr>
            <w:tcW w:w="6274" w:type="dxa"/>
            <w:gridSpan w:val="2"/>
            <w:noWrap w:val="0"/>
            <w:vAlign w:val="center"/>
          </w:tcPr>
          <w:p w14:paraId="332271FD">
            <w:pPr>
              <w:keepNext w:val="0"/>
              <w:keepLines w:val="0"/>
              <w:pageBreakBefore w:val="0"/>
              <w:widowControl w:val="0"/>
              <w:tabs>
                <w:tab w:val="left" w:pos="1080"/>
              </w:tabs>
              <w:kinsoku/>
              <w:wordWrap w:val="0"/>
              <w:overflowPunct/>
              <w:topLinePunct/>
              <w:autoSpaceDE/>
              <w:autoSpaceDN/>
              <w:bidi w:val="0"/>
              <w:snapToGrid w:val="0"/>
              <w:spacing w:line="360" w:lineRule="auto"/>
              <w:jc w:val="center"/>
              <w:outlineLvl w:val="9"/>
              <w:rPr>
                <w:rFonts w:hint="eastAsia" w:asciiTheme="minorEastAsia" w:hAnsiTheme="minorEastAsia" w:eastAsiaTheme="minorEastAsia" w:cstheme="minorEastAsia"/>
                <w:b w:val="0"/>
                <w:bCs w:val="0"/>
                <w:snapToGrid/>
                <w:spacing w:val="0"/>
                <w:kern w:val="21"/>
                <w:sz w:val="20"/>
                <w:szCs w:val="20"/>
                <w:highlight w:val="none"/>
              </w:rPr>
            </w:pPr>
          </w:p>
        </w:tc>
      </w:tr>
    </w:tbl>
    <w:p w14:paraId="409B6D11">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0"/>
          <w:szCs w:val="20"/>
          <w:highlight w:val="none"/>
        </w:rPr>
      </w:pPr>
      <w:r>
        <w:rPr>
          <w:rFonts w:hint="eastAsia" w:asciiTheme="minorEastAsia" w:hAnsiTheme="minorEastAsia" w:eastAsiaTheme="minorEastAsia" w:cstheme="minorEastAsia"/>
          <w:b w:val="0"/>
          <w:bCs w:val="0"/>
          <w:snapToGrid/>
          <w:spacing w:val="0"/>
          <w:kern w:val="21"/>
          <w:sz w:val="20"/>
          <w:szCs w:val="20"/>
          <w:highlight w:val="none"/>
        </w:rPr>
        <w:br w:type="page"/>
      </w:r>
    </w:p>
    <w:p w14:paraId="19C36FFA">
      <w:pPr>
        <w:keepNext w:val="0"/>
        <w:keepLines w:val="0"/>
        <w:pageBreakBefore w:val="0"/>
        <w:widowControl w:val="0"/>
        <w:kinsoku/>
        <w:wordWrap w:val="0"/>
        <w:overflowPunct/>
        <w:topLinePunct/>
        <w:autoSpaceDE/>
        <w:autoSpaceDN/>
        <w:bidi w:val="0"/>
        <w:spacing w:line="360" w:lineRule="auto"/>
        <w:jc w:val="center"/>
        <w:outlineLvl w:val="0"/>
        <w:rPr>
          <w:rFonts w:hint="eastAsia" w:asciiTheme="minorEastAsia" w:hAnsiTheme="minorEastAsia" w:eastAsiaTheme="minorEastAsia" w:cstheme="minorEastAsia"/>
          <w:b/>
          <w:bCs/>
          <w:snapToGrid/>
          <w:spacing w:val="0"/>
          <w:kern w:val="21"/>
          <w:sz w:val="24"/>
          <w:szCs w:val="24"/>
          <w:highlight w:val="none"/>
        </w:rPr>
      </w:pPr>
      <w:bookmarkStart w:id="668" w:name="_Toc12440"/>
      <w:r>
        <w:rPr>
          <w:rFonts w:hint="eastAsia" w:asciiTheme="minorEastAsia" w:hAnsiTheme="minorEastAsia" w:eastAsiaTheme="minorEastAsia" w:cstheme="minorEastAsia"/>
          <w:b/>
          <w:bCs/>
          <w:snapToGrid/>
          <w:spacing w:val="0"/>
          <w:kern w:val="21"/>
          <w:sz w:val="24"/>
          <w:szCs w:val="24"/>
          <w:highlight w:val="none"/>
        </w:rPr>
        <w:t>第四章   采购需求</w:t>
      </w:r>
      <w:bookmarkEnd w:id="668"/>
    </w:p>
    <w:p w14:paraId="0F1238B4">
      <w:pPr>
        <w:pStyle w:val="32"/>
        <w:numPr>
          <w:ilvl w:val="0"/>
          <w:numId w:val="1"/>
        </w:numPr>
        <w:spacing w:line="360" w:lineRule="auto"/>
        <w:ind w:firstLineChars="0"/>
        <w:contextualSpacing/>
        <w:rPr>
          <w:rFonts w:hint="eastAsia" w:asciiTheme="minorEastAsia" w:hAnsiTheme="minorEastAsia" w:eastAsiaTheme="minorEastAsia" w:cstheme="minorEastAsia"/>
          <w:b/>
          <w:sz w:val="22"/>
          <w:szCs w:val="22"/>
        </w:rPr>
      </w:pPr>
      <w:bookmarkStart w:id="669" w:name="bookmark5"/>
      <w:bookmarkEnd w:id="669"/>
      <w:r>
        <w:rPr>
          <w:rFonts w:hint="eastAsia" w:asciiTheme="minorEastAsia" w:hAnsiTheme="minorEastAsia" w:eastAsiaTheme="minorEastAsia" w:cstheme="minorEastAsia"/>
          <w:b/>
          <w:sz w:val="22"/>
          <w:szCs w:val="22"/>
        </w:rPr>
        <w:t>采购标的</w:t>
      </w:r>
    </w:p>
    <w:p w14:paraId="6F0020FD">
      <w:pPr>
        <w:spacing w:line="360" w:lineRule="auto"/>
        <w:contextualSpacing/>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1. 采购标的（简要服务内容）</w:t>
      </w:r>
    </w:p>
    <w:tbl>
      <w:tblPr>
        <w:tblStyle w:val="23"/>
        <w:tblW w:w="49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1575"/>
        <w:gridCol w:w="1651"/>
        <w:gridCol w:w="1450"/>
        <w:gridCol w:w="1133"/>
        <w:gridCol w:w="3214"/>
      </w:tblGrid>
      <w:tr w14:paraId="548A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385" w:type="pct"/>
            <w:noWrap w:val="0"/>
            <w:vAlign w:val="center"/>
          </w:tcPr>
          <w:p w14:paraId="48102ED7">
            <w:pPr>
              <w:wordWrap w:val="0"/>
              <w:spacing w:line="360" w:lineRule="auto"/>
              <w:jc w:val="center"/>
              <w:rPr>
                <w:rFonts w:hint="eastAsia" w:asciiTheme="minorEastAsia" w:hAnsiTheme="minorEastAsia" w:eastAsiaTheme="minorEastAsia" w:cstheme="minorEastAsia"/>
                <w:bCs/>
                <w:sz w:val="20"/>
                <w:szCs w:val="20"/>
                <w:highlight w:val="none"/>
              </w:rPr>
            </w:pPr>
            <w:r>
              <w:rPr>
                <w:rFonts w:hint="eastAsia" w:asciiTheme="minorEastAsia" w:hAnsiTheme="minorEastAsia" w:eastAsiaTheme="minorEastAsia" w:cstheme="minorEastAsia"/>
                <w:bCs/>
                <w:sz w:val="20"/>
                <w:szCs w:val="20"/>
                <w:highlight w:val="none"/>
              </w:rPr>
              <w:t>包号</w:t>
            </w:r>
          </w:p>
        </w:tc>
        <w:tc>
          <w:tcPr>
            <w:tcW w:w="805" w:type="pct"/>
            <w:noWrap w:val="0"/>
            <w:vAlign w:val="center"/>
          </w:tcPr>
          <w:p w14:paraId="532668A7">
            <w:pPr>
              <w:wordWrap w:val="0"/>
              <w:spacing w:line="360" w:lineRule="auto"/>
              <w:jc w:val="center"/>
              <w:rPr>
                <w:rFonts w:hint="eastAsia" w:asciiTheme="minorEastAsia" w:hAnsiTheme="minorEastAsia" w:eastAsiaTheme="minorEastAsia" w:cstheme="minorEastAsia"/>
                <w:bCs/>
                <w:sz w:val="20"/>
                <w:szCs w:val="20"/>
                <w:highlight w:val="none"/>
              </w:rPr>
            </w:pPr>
            <w:r>
              <w:rPr>
                <w:rFonts w:hint="eastAsia" w:asciiTheme="minorEastAsia" w:hAnsiTheme="minorEastAsia" w:eastAsiaTheme="minorEastAsia" w:cstheme="minorEastAsia"/>
                <w:bCs/>
                <w:sz w:val="20"/>
                <w:szCs w:val="20"/>
                <w:highlight w:val="none"/>
              </w:rPr>
              <w:t>标的名称</w:t>
            </w:r>
          </w:p>
        </w:tc>
        <w:tc>
          <w:tcPr>
            <w:tcW w:w="844" w:type="pct"/>
            <w:shd w:val="clear" w:color="auto" w:fill="auto"/>
            <w:noWrap w:val="0"/>
            <w:vAlign w:val="center"/>
          </w:tcPr>
          <w:p w14:paraId="02AD115C">
            <w:pPr>
              <w:wordWrap w:val="0"/>
              <w:spacing w:line="240" w:lineRule="auto"/>
              <w:jc w:val="center"/>
              <w:rPr>
                <w:rFonts w:hint="eastAsia" w:asciiTheme="minorEastAsia" w:hAnsiTheme="minorEastAsia" w:eastAsiaTheme="minorEastAsia" w:cstheme="minorEastAsia"/>
                <w:bCs/>
                <w:sz w:val="20"/>
                <w:szCs w:val="20"/>
                <w:highlight w:val="none"/>
              </w:rPr>
            </w:pPr>
            <w:r>
              <w:rPr>
                <w:rFonts w:hint="eastAsia" w:asciiTheme="minorEastAsia" w:hAnsiTheme="minorEastAsia" w:eastAsiaTheme="minorEastAsia" w:cstheme="minorEastAsia"/>
                <w:bCs/>
                <w:sz w:val="20"/>
                <w:szCs w:val="20"/>
                <w:highlight w:val="none"/>
                <w:lang w:val="en-US" w:eastAsia="zh-CN"/>
              </w:rPr>
              <w:t>预算金额</w:t>
            </w:r>
            <w:r>
              <w:rPr>
                <w:rFonts w:hint="eastAsia" w:asciiTheme="minorEastAsia" w:hAnsiTheme="minorEastAsia" w:eastAsiaTheme="minorEastAsia" w:cstheme="minorEastAsia"/>
                <w:bCs/>
                <w:sz w:val="20"/>
                <w:szCs w:val="20"/>
                <w:highlight w:val="none"/>
              </w:rPr>
              <w:t>（万元）</w:t>
            </w:r>
          </w:p>
        </w:tc>
        <w:tc>
          <w:tcPr>
            <w:tcW w:w="741" w:type="pct"/>
            <w:shd w:val="clear" w:color="auto" w:fill="auto"/>
            <w:noWrap w:val="0"/>
            <w:vAlign w:val="center"/>
          </w:tcPr>
          <w:p w14:paraId="62F5EF60">
            <w:pPr>
              <w:wordWrap w:val="0"/>
              <w:spacing w:line="240" w:lineRule="auto"/>
              <w:jc w:val="center"/>
              <w:rPr>
                <w:rFonts w:hint="eastAsia" w:asciiTheme="minorEastAsia" w:hAnsiTheme="minorEastAsia" w:eastAsiaTheme="minorEastAsia" w:cstheme="minorEastAsia"/>
                <w:bCs/>
                <w:sz w:val="20"/>
                <w:szCs w:val="20"/>
                <w:highlight w:val="none"/>
                <w:lang w:val="en-US" w:eastAsia="zh-CN"/>
              </w:rPr>
            </w:pPr>
            <w:r>
              <w:rPr>
                <w:rFonts w:hint="eastAsia" w:asciiTheme="minorEastAsia" w:hAnsiTheme="minorEastAsia" w:eastAsiaTheme="minorEastAsia" w:cstheme="minorEastAsia"/>
                <w:bCs/>
                <w:sz w:val="20"/>
                <w:szCs w:val="20"/>
                <w:highlight w:val="none"/>
                <w:lang w:val="en-US" w:eastAsia="zh-CN"/>
              </w:rPr>
              <w:t>最高限价</w:t>
            </w:r>
            <w:r>
              <w:rPr>
                <w:rFonts w:hint="eastAsia" w:asciiTheme="minorEastAsia" w:hAnsiTheme="minorEastAsia" w:eastAsiaTheme="minorEastAsia" w:cstheme="minorEastAsia"/>
                <w:bCs/>
                <w:sz w:val="20"/>
                <w:szCs w:val="20"/>
                <w:highlight w:val="none"/>
              </w:rPr>
              <w:t>（万元）</w:t>
            </w:r>
          </w:p>
        </w:tc>
        <w:tc>
          <w:tcPr>
            <w:tcW w:w="579" w:type="pct"/>
            <w:noWrap w:val="0"/>
            <w:vAlign w:val="center"/>
          </w:tcPr>
          <w:p w14:paraId="307DEDBC">
            <w:pPr>
              <w:wordWrap w:val="0"/>
              <w:spacing w:line="360" w:lineRule="auto"/>
              <w:jc w:val="center"/>
              <w:rPr>
                <w:rFonts w:hint="eastAsia" w:asciiTheme="minorEastAsia" w:hAnsiTheme="minorEastAsia" w:eastAsiaTheme="minorEastAsia" w:cstheme="minorEastAsia"/>
                <w:bCs/>
                <w:kern w:val="2"/>
                <w:sz w:val="20"/>
                <w:szCs w:val="20"/>
                <w:highlight w:val="none"/>
                <w:lang w:val="en-US" w:eastAsia="zh-CN" w:bidi="ar-SA"/>
              </w:rPr>
            </w:pPr>
            <w:r>
              <w:rPr>
                <w:rFonts w:hint="eastAsia" w:asciiTheme="minorEastAsia" w:hAnsiTheme="minorEastAsia" w:eastAsiaTheme="minorEastAsia" w:cstheme="minorEastAsia"/>
                <w:sz w:val="20"/>
                <w:szCs w:val="20"/>
                <w:highlight w:val="none"/>
                <w:lang w:val="en-US" w:eastAsia="zh-CN"/>
              </w:rPr>
              <w:t>服务地点</w:t>
            </w:r>
          </w:p>
        </w:tc>
        <w:tc>
          <w:tcPr>
            <w:tcW w:w="1643" w:type="pct"/>
            <w:noWrap w:val="0"/>
            <w:vAlign w:val="center"/>
          </w:tcPr>
          <w:p w14:paraId="3778F5B0">
            <w:pPr>
              <w:wordWrap w:val="0"/>
              <w:spacing w:line="360" w:lineRule="auto"/>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简要技术需求或服务要求</w:t>
            </w:r>
          </w:p>
        </w:tc>
      </w:tr>
      <w:tr w14:paraId="38E1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jc w:val="center"/>
        </w:trPr>
        <w:tc>
          <w:tcPr>
            <w:tcW w:w="385" w:type="pct"/>
            <w:noWrap w:val="0"/>
            <w:vAlign w:val="center"/>
          </w:tcPr>
          <w:p w14:paraId="4467D4A2">
            <w:pPr>
              <w:wordWrap w:val="0"/>
              <w:spacing w:line="240" w:lineRule="auto"/>
              <w:jc w:val="center"/>
              <w:rPr>
                <w:rFonts w:hint="eastAsia" w:asciiTheme="minorEastAsia" w:hAnsiTheme="minorEastAsia" w:eastAsiaTheme="minorEastAsia" w:cstheme="minorEastAsia"/>
                <w:bCs/>
                <w:sz w:val="20"/>
                <w:szCs w:val="20"/>
                <w:highlight w:val="none"/>
              </w:rPr>
            </w:pPr>
            <w:r>
              <w:rPr>
                <w:rFonts w:hint="eastAsia" w:asciiTheme="minorEastAsia" w:hAnsiTheme="minorEastAsia" w:eastAsiaTheme="minorEastAsia" w:cstheme="minorEastAsia"/>
                <w:bCs/>
                <w:sz w:val="20"/>
                <w:szCs w:val="20"/>
                <w:highlight w:val="none"/>
              </w:rPr>
              <w:t>01</w:t>
            </w:r>
          </w:p>
        </w:tc>
        <w:tc>
          <w:tcPr>
            <w:tcW w:w="805" w:type="pct"/>
            <w:noWrap w:val="0"/>
            <w:vAlign w:val="center"/>
          </w:tcPr>
          <w:p w14:paraId="1657621F">
            <w:pPr>
              <w:wordWrap w:val="0"/>
              <w:spacing w:line="240" w:lineRule="auto"/>
              <w:jc w:val="center"/>
              <w:rPr>
                <w:rFonts w:hint="eastAsia" w:asciiTheme="minorEastAsia" w:hAnsiTheme="minorEastAsia" w:eastAsiaTheme="minorEastAsia" w:cstheme="minorEastAsia"/>
                <w:bCs/>
                <w:sz w:val="20"/>
                <w:szCs w:val="20"/>
                <w:highlight w:val="none"/>
                <w:lang w:eastAsia="zh-CN"/>
              </w:rPr>
            </w:pPr>
            <w:r>
              <w:rPr>
                <w:rFonts w:hint="eastAsia" w:asciiTheme="minorEastAsia" w:hAnsiTheme="minorEastAsia" w:eastAsiaTheme="minorEastAsia" w:cstheme="minorEastAsia"/>
                <w:bCs/>
                <w:sz w:val="20"/>
                <w:szCs w:val="20"/>
                <w:highlight w:val="none"/>
                <w:lang w:eastAsia="zh-CN"/>
              </w:rPr>
              <w:t>2026年2026年牛栏山镇大气精细化治理项目</w:t>
            </w:r>
          </w:p>
        </w:tc>
        <w:tc>
          <w:tcPr>
            <w:tcW w:w="844" w:type="pct"/>
            <w:shd w:val="clear" w:color="auto" w:fill="auto"/>
            <w:noWrap w:val="0"/>
            <w:vAlign w:val="center"/>
          </w:tcPr>
          <w:p w14:paraId="29C7E9E7">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i w:val="0"/>
                <w:iCs w:val="0"/>
                <w:color w:val="000000"/>
                <w:kern w:val="2"/>
                <w:sz w:val="20"/>
                <w:szCs w:val="20"/>
                <w:highlight w:val="none"/>
                <w:u w:val="none"/>
                <w:lang w:val="en-US" w:eastAsia="zh-CN" w:bidi="ar-SA"/>
              </w:rPr>
            </w:pPr>
            <w:r>
              <w:rPr>
                <w:rFonts w:hint="eastAsia" w:asciiTheme="minorEastAsia" w:hAnsiTheme="minorEastAsia" w:eastAsiaTheme="minorEastAsia" w:cstheme="minorEastAsia"/>
                <w:b w:val="0"/>
                <w:bCs w:val="0"/>
                <w:snapToGrid/>
                <w:spacing w:val="0"/>
                <w:kern w:val="21"/>
                <w:sz w:val="24"/>
                <w:szCs w:val="24"/>
                <w:highlight w:val="none"/>
                <w:u w:val="none"/>
              </w:rPr>
              <w:t>235.823018</w:t>
            </w:r>
          </w:p>
        </w:tc>
        <w:tc>
          <w:tcPr>
            <w:tcW w:w="741" w:type="pct"/>
            <w:shd w:val="clear" w:color="auto" w:fill="auto"/>
            <w:noWrap w:val="0"/>
            <w:vAlign w:val="center"/>
          </w:tcPr>
          <w:p w14:paraId="3BDECD51">
            <w:pPr>
              <w:keepNext w:val="0"/>
              <w:keepLines w:val="0"/>
              <w:pageBreakBefore w:val="0"/>
              <w:widowControl w:val="0"/>
              <w:kinsoku/>
              <w:wordWrap w:val="0"/>
              <w:overflowPunct/>
              <w:topLinePunct/>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i w:val="0"/>
                <w:iCs w:val="0"/>
                <w:color w:val="000000"/>
                <w:kern w:val="2"/>
                <w:sz w:val="20"/>
                <w:szCs w:val="20"/>
                <w:highlight w:val="none"/>
                <w:u w:val="none"/>
                <w:lang w:val="en-US" w:eastAsia="zh-CN" w:bidi="ar-SA"/>
              </w:rPr>
            </w:pPr>
            <w:r>
              <w:rPr>
                <w:rFonts w:hint="eastAsia" w:asciiTheme="minorEastAsia" w:hAnsiTheme="minorEastAsia" w:eastAsiaTheme="minorEastAsia" w:cstheme="minorEastAsia"/>
                <w:b w:val="0"/>
                <w:bCs w:val="0"/>
                <w:snapToGrid/>
                <w:spacing w:val="0"/>
                <w:kern w:val="21"/>
                <w:sz w:val="24"/>
                <w:szCs w:val="24"/>
                <w:highlight w:val="none"/>
                <w:u w:val="none"/>
                <w:lang w:eastAsia="zh-CN"/>
              </w:rPr>
              <w:t>235.663018</w:t>
            </w:r>
          </w:p>
        </w:tc>
        <w:tc>
          <w:tcPr>
            <w:tcW w:w="579" w:type="pct"/>
            <w:noWrap w:val="0"/>
            <w:vAlign w:val="center"/>
          </w:tcPr>
          <w:p w14:paraId="58E74128">
            <w:pPr>
              <w:wordWrap w:val="0"/>
              <w:spacing w:line="240" w:lineRule="auto"/>
              <w:jc w:val="center"/>
              <w:rPr>
                <w:rFonts w:hint="eastAsia" w:asciiTheme="minorEastAsia" w:hAnsiTheme="minorEastAsia" w:eastAsiaTheme="minorEastAsia" w:cstheme="minorEastAsia"/>
                <w:bCs/>
                <w:kern w:val="2"/>
                <w:sz w:val="20"/>
                <w:szCs w:val="20"/>
                <w:highlight w:val="none"/>
                <w:lang w:val="en-US" w:eastAsia="zh-CN" w:bidi="ar-SA"/>
              </w:rPr>
            </w:pPr>
            <w:r>
              <w:rPr>
                <w:rFonts w:hint="eastAsia" w:asciiTheme="minorEastAsia" w:hAnsiTheme="minorEastAsia" w:eastAsiaTheme="minorEastAsia" w:cstheme="minorEastAsia"/>
                <w:bCs/>
                <w:kern w:val="2"/>
                <w:sz w:val="20"/>
                <w:szCs w:val="20"/>
                <w:highlight w:val="none"/>
                <w:lang w:val="en-US" w:eastAsia="zh-CN" w:bidi="ar-SA"/>
              </w:rPr>
              <w:t>北京市顺义区牛栏山镇全域</w:t>
            </w:r>
          </w:p>
        </w:tc>
        <w:tc>
          <w:tcPr>
            <w:tcW w:w="1643" w:type="pct"/>
            <w:noWrap w:val="0"/>
            <w:vAlign w:val="center"/>
          </w:tcPr>
          <w:p w14:paraId="51B60D6E">
            <w:pPr>
              <w:pStyle w:val="18"/>
              <w:wordWrap w:val="0"/>
              <w:spacing w:line="240" w:lineRule="auto"/>
              <w:jc w:val="center"/>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为解决牛</w:t>
            </w:r>
            <w:r>
              <w:rPr>
                <w:rFonts w:hint="eastAsia" w:asciiTheme="minorEastAsia" w:hAnsiTheme="minorEastAsia" w:eastAsiaTheme="minorEastAsia" w:cstheme="minorEastAsia"/>
                <w:color w:val="auto"/>
                <w:sz w:val="20"/>
                <w:szCs w:val="20"/>
                <w:highlight w:val="none"/>
                <w:lang w:val="en-US" w:eastAsia="zh-CN"/>
              </w:rPr>
              <w:t>栏山镇大气污染重点问题。通过竞争性磋商方式选定一家服务单位提供大气精细化治理</w:t>
            </w:r>
            <w:r>
              <w:rPr>
                <w:rFonts w:hint="eastAsia" w:asciiTheme="minorEastAsia" w:hAnsiTheme="minorEastAsia" w:eastAsiaTheme="minorEastAsia" w:cstheme="minorEastAsia"/>
                <w:sz w:val="20"/>
                <w:szCs w:val="20"/>
                <w:highlight w:val="none"/>
                <w:lang w:val="en-US" w:eastAsia="zh-CN"/>
              </w:rPr>
              <w:t>服务，服务范围主要包括：重点道路扬尘治理、重点区域周边道路精细化治理、裸地扬尘综合治理工作。在镇现有环卫作业基础上，新增机械化洗扫、降尘、裸地治理、生态养护等专项服务</w:t>
            </w:r>
          </w:p>
        </w:tc>
      </w:tr>
    </w:tbl>
    <w:p w14:paraId="1429ED33">
      <w:pPr>
        <w:spacing w:line="360" w:lineRule="auto"/>
        <w:contextualSpacing/>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2. 项目背景</w:t>
      </w:r>
    </w:p>
    <w:p w14:paraId="21FBE1BA">
      <w:pPr>
        <w:spacing w:line="360" w:lineRule="auto"/>
        <w:ind w:firstLine="482"/>
        <w:contextualSpacing/>
        <w:rPr>
          <w:rFonts w:hint="eastAsia" w:asciiTheme="minorEastAsia" w:hAnsiTheme="minorEastAsia" w:eastAsiaTheme="minorEastAsia" w:cstheme="minorEastAsia"/>
          <w:b w:val="0"/>
          <w:bCs/>
          <w:sz w:val="22"/>
          <w:szCs w:val="22"/>
        </w:rPr>
      </w:pPr>
      <w:r>
        <w:rPr>
          <w:rFonts w:hint="eastAsia" w:asciiTheme="minorEastAsia" w:hAnsiTheme="minorEastAsia" w:eastAsiaTheme="minorEastAsia" w:cstheme="minorEastAsia"/>
          <w:sz w:val="22"/>
          <w:szCs w:val="22"/>
        </w:rPr>
        <w:t>为落实《推进美丽北京建设持续深入打好污染防治攻坚战 2025 年行动计划》《北京市顺义区持续深入打好污染防治攻坚战 2025 年行动计划》相关工作要求，持续推进扬尘专项治理百日攻坚行动，解决牛栏山镇长期存在的</w:t>
      </w:r>
      <w:r>
        <w:rPr>
          <w:rStyle w:val="26"/>
          <w:rFonts w:hint="eastAsia" w:asciiTheme="minorEastAsia" w:hAnsiTheme="minorEastAsia" w:eastAsiaTheme="minorEastAsia" w:cstheme="minorEastAsia"/>
          <w:color w:val="000000"/>
          <w:sz w:val="22"/>
          <w:szCs w:val="22"/>
        </w:rPr>
        <w:t>道路尘负荷偏高、降尘量超标、裸地扬尘突出</w:t>
      </w:r>
      <w:r>
        <w:rPr>
          <w:rFonts w:hint="eastAsia" w:asciiTheme="minorEastAsia" w:hAnsiTheme="minorEastAsia" w:eastAsiaTheme="minorEastAsia" w:cstheme="minorEastAsia"/>
          <w:sz w:val="22"/>
          <w:szCs w:val="22"/>
        </w:rPr>
        <w:t>等大气污染问题，改善辖区空气质量，现通过政府采购方式引入第三方服务单位，开展全镇大气精细化扬尘综合治理服务。</w:t>
      </w:r>
    </w:p>
    <w:p w14:paraId="1D64B82D">
      <w:pPr>
        <w:pStyle w:val="32"/>
        <w:numPr>
          <w:ilvl w:val="0"/>
          <w:numId w:val="1"/>
        </w:numPr>
        <w:spacing w:line="360" w:lineRule="auto"/>
        <w:ind w:firstLineChars="0"/>
        <w:contextualSpacing/>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商务要求</w:t>
      </w:r>
    </w:p>
    <w:p w14:paraId="4E094A5D">
      <w:pPr>
        <w:spacing w:line="360" w:lineRule="auto"/>
        <w:contextualSpacing/>
        <w:rPr>
          <w:rFonts w:hint="eastAsia" w:asciiTheme="minorEastAsia" w:hAnsiTheme="minorEastAsia" w:eastAsiaTheme="minorEastAsia" w:cstheme="minorEastAsia"/>
          <w:i/>
          <w:sz w:val="22"/>
          <w:szCs w:val="22"/>
        </w:rPr>
      </w:pPr>
      <w:r>
        <w:rPr>
          <w:rFonts w:hint="eastAsia" w:asciiTheme="minorEastAsia" w:hAnsiTheme="minorEastAsia" w:eastAsiaTheme="minorEastAsia" w:cstheme="minorEastAsia"/>
          <w:sz w:val="22"/>
          <w:szCs w:val="22"/>
        </w:rPr>
        <w:t>1. 交付（实施）的时间（期限）和地点（范围）</w:t>
      </w:r>
    </w:p>
    <w:p w14:paraId="6E8222DB">
      <w:pPr>
        <w:spacing w:line="360" w:lineRule="auto"/>
        <w:contextualSpacing/>
        <w:rPr>
          <w:rFonts w:hint="eastAsia" w:asciiTheme="minorEastAsia" w:hAnsiTheme="minorEastAsia" w:eastAsiaTheme="minorEastAsia" w:cstheme="minorEastAsia"/>
          <w:i w:val="0"/>
          <w:iCs/>
          <w:sz w:val="22"/>
          <w:szCs w:val="22"/>
          <w:lang w:val="en-US" w:eastAsia="zh-CN"/>
        </w:rPr>
      </w:pPr>
      <w:r>
        <w:rPr>
          <w:rFonts w:hint="eastAsia" w:asciiTheme="minorEastAsia" w:hAnsiTheme="minorEastAsia" w:eastAsiaTheme="minorEastAsia" w:cstheme="minorEastAsia"/>
          <w:i w:val="0"/>
          <w:iCs/>
          <w:sz w:val="22"/>
          <w:szCs w:val="22"/>
          <w:lang w:val="en-US" w:eastAsia="zh-CN"/>
        </w:rPr>
        <w:t>合同履行期限：1年（具体以合同签订日期为准）</w:t>
      </w:r>
      <w:bookmarkStart w:id="763" w:name="_GoBack"/>
      <w:bookmarkEnd w:id="763"/>
    </w:p>
    <w:p w14:paraId="62FDE7DF">
      <w:pPr>
        <w:spacing w:line="360" w:lineRule="auto"/>
        <w:contextualSpacing/>
        <w:rPr>
          <w:rFonts w:hint="eastAsia" w:asciiTheme="minorEastAsia" w:hAnsiTheme="minorEastAsia" w:eastAsiaTheme="minorEastAsia" w:cstheme="minorEastAsia"/>
          <w:i w:val="0"/>
          <w:iCs/>
          <w:color w:val="auto"/>
          <w:sz w:val="22"/>
          <w:szCs w:val="22"/>
          <w:lang w:val="en-US" w:eastAsia="zh-CN"/>
        </w:rPr>
      </w:pPr>
      <w:r>
        <w:rPr>
          <w:rFonts w:hint="eastAsia" w:asciiTheme="minorEastAsia" w:hAnsiTheme="minorEastAsia" w:eastAsiaTheme="minorEastAsia" w:cstheme="minorEastAsia"/>
          <w:i w:val="0"/>
          <w:iCs/>
          <w:color w:val="auto"/>
          <w:sz w:val="22"/>
          <w:szCs w:val="22"/>
          <w:lang w:val="en-US" w:eastAsia="zh-CN"/>
        </w:rPr>
        <w:t>服务地点：北京市顺义区牛栏山镇全域</w:t>
      </w:r>
    </w:p>
    <w:p w14:paraId="5B5996B3">
      <w:pPr>
        <w:spacing w:line="360" w:lineRule="auto"/>
        <w:contextualSpacing/>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2. 付款条件（进度和方式）</w:t>
      </w:r>
    </w:p>
    <w:p w14:paraId="72251746">
      <w:pPr>
        <w:spacing w:line="360" w:lineRule="auto"/>
        <w:ind w:firstLine="440" w:firstLineChars="200"/>
        <w:contextualSpacing/>
        <w:rPr>
          <w:rFonts w:hint="default" w:asciiTheme="minorEastAsia" w:hAnsiTheme="minorEastAsia" w:eastAsiaTheme="minorEastAsia" w:cstheme="minorEastAsia"/>
          <w:bCs/>
          <w:color w:val="auto"/>
          <w:sz w:val="22"/>
          <w:szCs w:val="22"/>
          <w:lang w:val="en-US" w:eastAsia="zh-CN"/>
        </w:rPr>
      </w:pPr>
      <w:r>
        <w:rPr>
          <w:rFonts w:hint="eastAsia" w:asciiTheme="minorEastAsia" w:hAnsiTheme="minorEastAsia" w:eastAsiaTheme="minorEastAsia" w:cstheme="minorEastAsia"/>
          <w:bCs/>
          <w:color w:val="auto"/>
          <w:sz w:val="22"/>
          <w:szCs w:val="22"/>
          <w:lang w:val="en-US" w:eastAsia="zh-CN"/>
        </w:rPr>
        <w:t>详见合同条款</w:t>
      </w:r>
    </w:p>
    <w:p w14:paraId="3EE7D84A">
      <w:pPr>
        <w:pStyle w:val="32"/>
        <w:numPr>
          <w:ilvl w:val="0"/>
          <w:numId w:val="1"/>
        </w:numPr>
        <w:spacing w:line="360" w:lineRule="auto"/>
        <w:ind w:firstLineChars="0"/>
        <w:contextualSpacing/>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技术要求</w:t>
      </w:r>
    </w:p>
    <w:p w14:paraId="71211881">
      <w:pPr>
        <w:spacing w:line="360" w:lineRule="auto"/>
        <w:contextualSpacing/>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val="0"/>
          <w:bCs w:val="0"/>
          <w:sz w:val="22"/>
          <w:szCs w:val="22"/>
        </w:rPr>
        <w:t>1. 基本要求</w:t>
      </w:r>
    </w:p>
    <w:p w14:paraId="181859B8">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1.1 采购标的需实现的目标</w:t>
      </w:r>
    </w:p>
    <w:p w14:paraId="5883F917">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1.1.1</w:t>
      </w:r>
      <w:r>
        <w:rPr>
          <w:rFonts w:hint="eastAsia" w:asciiTheme="minorEastAsia" w:hAnsiTheme="minorEastAsia" w:eastAsiaTheme="minorEastAsia" w:cstheme="minorEastAsia"/>
          <w:sz w:val="22"/>
          <w:szCs w:val="22"/>
        </w:rPr>
        <w:t>服务周期内，牛栏山镇 PM2.5 年均浓度较上一年同期改善 5%；</w:t>
      </w:r>
    </w:p>
    <w:p w14:paraId="70FCA1AD">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1.1.2</w:t>
      </w:r>
      <w:r>
        <w:rPr>
          <w:rFonts w:hint="eastAsia" w:asciiTheme="minorEastAsia" w:hAnsiTheme="minorEastAsia" w:eastAsiaTheme="minorEastAsia" w:cstheme="minorEastAsia"/>
          <w:sz w:val="22"/>
          <w:szCs w:val="22"/>
        </w:rPr>
        <w:t>降尘量年均浓度较上一年同期稳步改善，达到顺义区管控要求；</w:t>
      </w:r>
    </w:p>
    <w:p w14:paraId="4E40AE81">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1.1.3</w:t>
      </w:r>
      <w:r>
        <w:rPr>
          <w:rFonts w:hint="eastAsia" w:asciiTheme="minorEastAsia" w:hAnsiTheme="minorEastAsia" w:eastAsiaTheme="minorEastAsia" w:cstheme="minorEastAsia"/>
          <w:sz w:val="22"/>
          <w:szCs w:val="22"/>
        </w:rPr>
        <w:t>道路尘负荷 “非优良” 道路数量较上一年同期明显减少，降低全区排名靠后频次；</w:t>
      </w:r>
    </w:p>
    <w:p w14:paraId="37627FB8">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1.1.4</w:t>
      </w:r>
      <w:r>
        <w:rPr>
          <w:rFonts w:hint="eastAsia" w:asciiTheme="minorEastAsia" w:hAnsiTheme="minorEastAsia" w:eastAsiaTheme="minorEastAsia" w:cstheme="minorEastAsia"/>
          <w:sz w:val="22"/>
          <w:szCs w:val="22"/>
        </w:rPr>
        <w:t>全域裸地实现全链条扬尘管控，抑尘网、生态绿化、生物质覆盖等治理措施100% 落地，从源头遏制裸地扬尘；</w:t>
      </w:r>
    </w:p>
    <w:p w14:paraId="5EAFF3DD">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1.1.5</w:t>
      </w:r>
      <w:r>
        <w:rPr>
          <w:rFonts w:hint="eastAsia" w:asciiTheme="minorEastAsia" w:hAnsiTheme="minorEastAsia" w:eastAsiaTheme="minorEastAsia" w:cstheme="minorEastAsia"/>
          <w:sz w:val="22"/>
          <w:szCs w:val="22"/>
        </w:rPr>
        <w:t>全面完成市级、区级扬尘管控各项考核指标，消除重点区域、货运通道扬尘隐患。</w:t>
      </w:r>
    </w:p>
    <w:p w14:paraId="5E13631E">
      <w:pPr>
        <w:spacing w:line="360" w:lineRule="auto"/>
        <w:contextualSpacing/>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rPr>
        <w:t>2. 服务内容及要</w:t>
      </w:r>
      <w:r>
        <w:rPr>
          <w:rFonts w:hint="eastAsia" w:asciiTheme="minorEastAsia" w:hAnsiTheme="minorEastAsia" w:eastAsiaTheme="minorEastAsia" w:cstheme="minorEastAsia"/>
          <w:b w:val="0"/>
          <w:bCs w:val="0"/>
          <w:sz w:val="22"/>
          <w:szCs w:val="22"/>
          <w:lang w:val="en-US" w:eastAsia="zh-CN"/>
        </w:rPr>
        <w:t>求</w:t>
      </w:r>
    </w:p>
    <w:p w14:paraId="3162BAB2">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2.1</w:t>
      </w:r>
      <w:r>
        <w:rPr>
          <w:rFonts w:hint="eastAsia" w:asciiTheme="minorEastAsia" w:hAnsiTheme="minorEastAsia" w:eastAsiaTheme="minorEastAsia" w:cstheme="minorEastAsia"/>
          <w:sz w:val="22"/>
          <w:szCs w:val="22"/>
        </w:rPr>
        <w:t>总体服务要求</w:t>
      </w:r>
    </w:p>
    <w:p w14:paraId="21AA5B19">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2.1.1</w:t>
      </w:r>
      <w:r>
        <w:rPr>
          <w:rFonts w:hint="eastAsia" w:asciiTheme="minorEastAsia" w:hAnsiTheme="minorEastAsia" w:eastAsiaTheme="minorEastAsia" w:cstheme="minorEastAsia"/>
          <w:sz w:val="22"/>
          <w:szCs w:val="22"/>
        </w:rPr>
        <w:t>供应商须严格按照北京市、顺义区大气污染防治、道路清扫、扬尘治理相关标准开展作业，服从采购人日常调度、应急调度与监督检查。</w:t>
      </w:r>
    </w:p>
    <w:p w14:paraId="6FFBEAA0">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2.1.2供应商须自行配备车辆及相关工具设备。</w:t>
      </w:r>
    </w:p>
    <w:p w14:paraId="39BAF4EB">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2.1.3</w:t>
      </w:r>
      <w:r>
        <w:rPr>
          <w:rFonts w:hint="eastAsia" w:asciiTheme="minorEastAsia" w:hAnsiTheme="minorEastAsia" w:eastAsiaTheme="minorEastAsia" w:cstheme="minorEastAsia"/>
          <w:sz w:val="22"/>
          <w:szCs w:val="22"/>
        </w:rPr>
        <w:t>遇重污染天气、专项检查、节假日、应急保障等特殊时段，无条件增加作业频次、延长作业时间，落实应急抑尘措施。</w:t>
      </w:r>
    </w:p>
    <w:p w14:paraId="3F18AB32">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2.1.4</w:t>
      </w:r>
      <w:r>
        <w:rPr>
          <w:rFonts w:hint="eastAsia" w:asciiTheme="minorEastAsia" w:hAnsiTheme="minorEastAsia" w:eastAsiaTheme="minorEastAsia" w:cstheme="minorEastAsia"/>
          <w:sz w:val="22"/>
          <w:szCs w:val="22"/>
        </w:rPr>
        <w:t>建立每日作业台账、巡查记录、现场影像资料，</w:t>
      </w:r>
      <w:r>
        <w:rPr>
          <w:rFonts w:hint="eastAsia" w:asciiTheme="minorEastAsia" w:hAnsiTheme="minorEastAsia" w:eastAsiaTheme="minorEastAsia" w:cstheme="minorEastAsia"/>
          <w:sz w:val="22"/>
          <w:szCs w:val="22"/>
          <w:lang w:val="en-US" w:eastAsia="zh-CN"/>
        </w:rPr>
        <w:t>定期</w:t>
      </w:r>
      <w:r>
        <w:rPr>
          <w:rFonts w:hint="eastAsia" w:asciiTheme="minorEastAsia" w:hAnsiTheme="minorEastAsia" w:eastAsiaTheme="minorEastAsia" w:cstheme="minorEastAsia"/>
          <w:sz w:val="22"/>
          <w:szCs w:val="22"/>
        </w:rPr>
        <w:t>向采购人报送作业情况</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提交工作总结</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配合采购人完成扬尘治理数据汇总。</w:t>
      </w:r>
    </w:p>
    <w:p w14:paraId="7F0D50BA">
      <w:pPr>
        <w:spacing w:line="360" w:lineRule="auto"/>
        <w:ind w:firstLine="440" w:firstLineChars="200"/>
        <w:contextualSpacing/>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2.1.5</w:t>
      </w:r>
      <w:r>
        <w:rPr>
          <w:rFonts w:hint="eastAsia" w:asciiTheme="minorEastAsia" w:hAnsiTheme="minorEastAsia" w:eastAsiaTheme="minorEastAsia" w:cstheme="minorEastAsia"/>
          <w:sz w:val="22"/>
          <w:szCs w:val="22"/>
        </w:rPr>
        <w:t>作业过程中发现车辆带泥上路、工地出入口未冲洗、渣土抛洒、大面积扬尘等问题，须第一时间劝导处置并上报采购人。</w:t>
      </w:r>
    </w:p>
    <w:p w14:paraId="55D5CFB2">
      <w:pPr>
        <w:spacing w:line="360" w:lineRule="auto"/>
        <w:ind w:firstLine="440" w:firstLineChars="200"/>
        <w:contextualSpacing/>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2.2服务内容</w:t>
      </w:r>
    </w:p>
    <w:p w14:paraId="09868E46">
      <w:pPr>
        <w:spacing w:line="360" w:lineRule="auto"/>
        <w:ind w:firstLine="442" w:firstLineChars="200"/>
        <w:contextualSpacing/>
        <w:rPr>
          <w:rFonts w:hint="eastAsia" w:asciiTheme="minorEastAsia" w:hAnsiTheme="minorEastAsia" w:eastAsiaTheme="minorEastAsia" w:cstheme="minorEastAsia"/>
          <w:b/>
          <w:bCs/>
          <w:color w:val="auto"/>
          <w:sz w:val="22"/>
          <w:szCs w:val="22"/>
          <w:u w:val="none"/>
          <w:lang w:eastAsia="zh-CN"/>
        </w:rPr>
      </w:pPr>
      <w:r>
        <w:rPr>
          <w:rFonts w:hint="eastAsia" w:asciiTheme="minorEastAsia" w:hAnsiTheme="minorEastAsia" w:eastAsiaTheme="minorEastAsia" w:cstheme="minorEastAsia"/>
          <w:b/>
          <w:bCs/>
          <w:color w:val="auto"/>
          <w:sz w:val="22"/>
          <w:szCs w:val="22"/>
          <w:u w:val="none"/>
          <w:lang w:eastAsia="zh-CN"/>
        </w:rPr>
        <w:t>针对重点道路扬尘治理和重点区域周边道路精细化治理问题，通过机械化加密除尘作业。有效抑制重点道路尘负荷，洗扫车作业时间不少于293天/年;抑尘车作业时长不少于242天/年。</w:t>
      </w:r>
    </w:p>
    <w:p w14:paraId="3B946CE2">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val="en-US" w:eastAsia="zh-CN"/>
        </w:rPr>
      </w:pPr>
      <w:r>
        <w:rPr>
          <w:rFonts w:hint="eastAsia" w:asciiTheme="minorEastAsia" w:hAnsiTheme="minorEastAsia" w:eastAsiaTheme="minorEastAsia" w:cstheme="minorEastAsia"/>
          <w:b w:val="0"/>
          <w:bCs w:val="0"/>
          <w:sz w:val="22"/>
          <w:szCs w:val="22"/>
          <w:u w:val="none"/>
          <w:lang w:val="en-US" w:eastAsia="zh-CN"/>
        </w:rPr>
        <w:t>（一）重点道路扬尘治理</w:t>
      </w:r>
    </w:p>
    <w:p w14:paraId="6B1F3129">
      <w:pPr>
        <w:spacing w:line="360" w:lineRule="auto"/>
        <w:ind w:firstLine="440" w:firstLineChars="200"/>
        <w:contextualSpacing/>
        <w:rPr>
          <w:rFonts w:hint="eastAsia" w:asciiTheme="minorEastAsia" w:hAnsiTheme="minorEastAsia" w:eastAsiaTheme="minorEastAsia" w:cstheme="minorEastAsia"/>
          <w:b w:val="0"/>
          <w:bCs w:val="0"/>
          <w:sz w:val="22"/>
          <w:szCs w:val="22"/>
          <w:u w:val="none"/>
        </w:rPr>
      </w:pPr>
      <w:r>
        <w:rPr>
          <w:rFonts w:hint="eastAsia" w:asciiTheme="minorEastAsia" w:hAnsiTheme="minorEastAsia" w:eastAsiaTheme="minorEastAsia" w:cstheme="minorEastAsia"/>
          <w:b w:val="0"/>
          <w:bCs w:val="0"/>
          <w:sz w:val="22"/>
          <w:szCs w:val="22"/>
          <w:u w:val="none"/>
        </w:rPr>
        <w:t>共计</w:t>
      </w:r>
      <w:r>
        <w:rPr>
          <w:rStyle w:val="26"/>
          <w:rFonts w:hint="eastAsia" w:asciiTheme="minorEastAsia" w:hAnsiTheme="minorEastAsia" w:eastAsiaTheme="minorEastAsia" w:cstheme="minorEastAsia"/>
          <w:b w:val="0"/>
          <w:bCs w:val="0"/>
          <w:color w:val="000000"/>
          <w:sz w:val="22"/>
          <w:szCs w:val="22"/>
          <w:u w:val="none"/>
        </w:rPr>
        <w:t>17条道路</w:t>
      </w:r>
      <w:r>
        <w:rPr>
          <w:rFonts w:hint="eastAsia" w:asciiTheme="minorEastAsia" w:hAnsiTheme="minorEastAsia" w:eastAsiaTheme="minorEastAsia" w:cstheme="minorEastAsia"/>
          <w:b w:val="0"/>
          <w:bCs w:val="0"/>
          <w:sz w:val="22"/>
          <w:szCs w:val="22"/>
          <w:u w:val="none"/>
        </w:rPr>
        <w:t>（15 条差级重点道路 + 2 条货运主要通道），道路总长度28280米，总面积793860㎡，具体路段：史家口路、金牛北路、张家庄路、金牛街、金牛路、富密路、牛小路、牛相路、龙梭路、兰白路、兵营路、富密路支线、史军路、孙赵路、北木路西侧路、昌金路、右堤路。</w:t>
      </w:r>
    </w:p>
    <w:p w14:paraId="0FE4D23B">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val="en-US" w:eastAsia="zh-CN"/>
        </w:rPr>
      </w:pPr>
      <w:r>
        <w:rPr>
          <w:rFonts w:hint="eastAsia" w:asciiTheme="minorEastAsia" w:hAnsiTheme="minorEastAsia" w:eastAsiaTheme="minorEastAsia" w:cstheme="minorEastAsia"/>
          <w:b w:val="0"/>
          <w:bCs w:val="0"/>
          <w:sz w:val="22"/>
          <w:szCs w:val="22"/>
          <w:u w:val="none"/>
          <w:lang w:val="en-US" w:eastAsia="zh-CN"/>
        </w:rPr>
        <w:t>具体工作内容：</w:t>
      </w:r>
    </w:p>
    <w:p w14:paraId="16F86CF9">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eastAsia="zh-CN"/>
        </w:rPr>
      </w:pPr>
      <w:r>
        <w:rPr>
          <w:rFonts w:hint="eastAsia" w:asciiTheme="minorEastAsia" w:hAnsiTheme="minorEastAsia" w:eastAsiaTheme="minorEastAsia" w:cstheme="minorEastAsia"/>
          <w:b w:val="0"/>
          <w:bCs w:val="0"/>
          <w:sz w:val="22"/>
          <w:szCs w:val="22"/>
          <w:u w:val="none"/>
          <w:lang w:eastAsia="zh-CN"/>
        </w:rPr>
        <w:t>完成15条重点道路以及2货运主要道路的加密除尘工作。</w:t>
      </w:r>
    </w:p>
    <w:p w14:paraId="619E4722">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eastAsia="zh-CN"/>
        </w:rPr>
      </w:pPr>
      <w:r>
        <w:rPr>
          <w:rFonts w:hint="eastAsia" w:asciiTheme="minorEastAsia" w:hAnsiTheme="minorEastAsia" w:eastAsiaTheme="minorEastAsia" w:cstheme="minorEastAsia"/>
          <w:b w:val="0"/>
          <w:bCs w:val="0"/>
          <w:sz w:val="22"/>
          <w:szCs w:val="22"/>
          <w:u w:val="none"/>
          <w:lang w:eastAsia="zh-CN"/>
        </w:rPr>
        <w:t>服务包括18吨纯电动洗扫车2辆（由于镇域面积比较大，重点区域作业较复杂，然后2辆车负责不同的区域，共同完成每天的清扫任务，综合考虑按一个台班计取，最终按实际发生为主），作业班组人员2组4人（司机+辅助人员）。</w:t>
      </w:r>
    </w:p>
    <w:p w14:paraId="08280964">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eastAsia="zh-CN"/>
        </w:rPr>
      </w:pPr>
      <w:r>
        <w:rPr>
          <w:rFonts w:hint="eastAsia" w:asciiTheme="minorEastAsia" w:hAnsiTheme="minorEastAsia" w:eastAsiaTheme="minorEastAsia" w:cstheme="minorEastAsia"/>
          <w:b w:val="0"/>
          <w:bCs w:val="0"/>
          <w:sz w:val="22"/>
          <w:szCs w:val="22"/>
          <w:u w:val="none"/>
          <w:lang w:eastAsia="zh-CN"/>
        </w:rPr>
        <w:t>完成15条重点道路以及2货运主要道路的加密除尘工作。</w:t>
      </w:r>
    </w:p>
    <w:p w14:paraId="6276C539">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eastAsia="zh-CN"/>
        </w:rPr>
      </w:pPr>
      <w:r>
        <w:rPr>
          <w:rFonts w:hint="eastAsia" w:asciiTheme="minorEastAsia" w:hAnsiTheme="minorEastAsia" w:eastAsiaTheme="minorEastAsia" w:cstheme="minorEastAsia"/>
          <w:b w:val="0"/>
          <w:bCs w:val="0"/>
          <w:sz w:val="22"/>
          <w:szCs w:val="22"/>
          <w:u w:val="none"/>
          <w:lang w:eastAsia="zh-CN"/>
        </w:rPr>
        <w:t>服务包括10方抑尘车1辆，作业班组为一组2人（司机+辅助人员）。</w:t>
      </w:r>
    </w:p>
    <w:p w14:paraId="5A7C4398">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val="en-US" w:eastAsia="zh-CN"/>
        </w:rPr>
      </w:pPr>
      <w:r>
        <w:rPr>
          <w:rFonts w:hint="eastAsia" w:asciiTheme="minorEastAsia" w:hAnsiTheme="minorEastAsia" w:eastAsiaTheme="minorEastAsia" w:cstheme="minorEastAsia"/>
          <w:b w:val="0"/>
          <w:bCs w:val="0"/>
          <w:sz w:val="22"/>
          <w:szCs w:val="22"/>
          <w:u w:val="none"/>
          <w:lang w:val="en-US" w:eastAsia="zh-CN"/>
        </w:rPr>
        <w:t>（二）重点区域周边道路精细化治理</w:t>
      </w:r>
    </w:p>
    <w:p w14:paraId="2A45B8FD">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eastAsia="zh-CN"/>
        </w:rPr>
      </w:pPr>
      <w:r>
        <w:rPr>
          <w:rFonts w:hint="eastAsia" w:asciiTheme="minorEastAsia" w:hAnsiTheme="minorEastAsia" w:eastAsiaTheme="minorEastAsia" w:cstheme="minorEastAsia"/>
          <w:b w:val="0"/>
          <w:bCs w:val="0"/>
          <w:sz w:val="22"/>
          <w:szCs w:val="22"/>
          <w:u w:val="none"/>
          <w:lang w:eastAsia="zh-CN"/>
        </w:rPr>
        <w:t>以污染源管控为治理核心，对牛栏山镇3个重点区域（龙湖区域、工业园区、先进村区域）及周边200米范围内的重点道路、健身活动场地、篮球场等区域在日常保洁的基础上，强化区域环境除尘力度，拓展机械作业范围。</w:t>
      </w:r>
    </w:p>
    <w:p w14:paraId="42994A4C">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eastAsia="zh-CN"/>
        </w:rPr>
      </w:pPr>
      <w:r>
        <w:rPr>
          <w:rFonts w:hint="eastAsia" w:asciiTheme="minorEastAsia" w:hAnsiTheme="minorEastAsia" w:eastAsiaTheme="minorEastAsia" w:cstheme="minorEastAsia"/>
          <w:b w:val="0"/>
          <w:bCs w:val="0"/>
          <w:sz w:val="22"/>
          <w:szCs w:val="22"/>
          <w:u w:val="none"/>
          <w:lang w:eastAsia="zh-CN"/>
        </w:rPr>
        <w:t>牛栏山镇3个重点区域及周边200米范围内的重点道路、健身活动场地、篮球场等区域在日常保洁的基础上，强化区域环境除尘力度，拓展机械作业范围。8吨电动洗扫车2辆（391120㎡）（由于镇域面积比较大，重点区域作业较复杂，要求每日两遍清扫，然后2辆车负责不同的区域，共同完成每天的清扫任务，综合考虑按一个台班计取，最终按实际发生为主），作业班组人员2组4人（司机+辅助人员）一年工作9个月（特殊时期夜晚也需要清扫）（含班组人员、水费、电费、保险、维修等一切费用）</w:t>
      </w:r>
    </w:p>
    <w:p w14:paraId="15FB3CF5">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val="en-US" w:eastAsia="zh-CN"/>
        </w:rPr>
      </w:pPr>
      <w:r>
        <w:rPr>
          <w:rFonts w:hint="eastAsia" w:asciiTheme="minorEastAsia" w:hAnsiTheme="minorEastAsia" w:eastAsiaTheme="minorEastAsia" w:cstheme="minorEastAsia"/>
          <w:b w:val="0"/>
          <w:bCs w:val="0"/>
          <w:sz w:val="22"/>
          <w:szCs w:val="22"/>
          <w:u w:val="none"/>
          <w:lang w:val="en-US" w:eastAsia="zh-CN"/>
        </w:rPr>
        <w:t>具体工作内容：</w:t>
      </w:r>
    </w:p>
    <w:p w14:paraId="78F4F926">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eastAsia="zh-CN"/>
        </w:rPr>
      </w:pPr>
      <w:r>
        <w:rPr>
          <w:rFonts w:hint="eastAsia" w:asciiTheme="minorEastAsia" w:hAnsiTheme="minorEastAsia" w:eastAsiaTheme="minorEastAsia" w:cstheme="minorEastAsia"/>
          <w:b w:val="0"/>
          <w:bCs w:val="0"/>
          <w:sz w:val="22"/>
          <w:szCs w:val="22"/>
          <w:u w:val="none"/>
          <w:lang w:eastAsia="zh-CN"/>
        </w:rPr>
        <w:t>牛栏山镇3个重点区域及周边200米范围内的重点道路、健身活动场地、篮球场等区域在日常保洁的基础上，强化区域环境除尘力度，拓展机械作业范围。电动洗扫车2辆（391120㎡）（由于镇域面积比较大，重点区域作业较复杂，要求每日两遍清扫，然后2辆车负责不同的区域，共同完成每天的清扫任务，综合考虑按一个台班计取，最终按实际发生为主），作业班组人员2组4人（司机+辅助人员）。</w:t>
      </w:r>
    </w:p>
    <w:p w14:paraId="3494EE97">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eastAsia="zh-CN"/>
        </w:rPr>
      </w:pPr>
      <w:r>
        <w:rPr>
          <w:rFonts w:hint="eastAsia" w:asciiTheme="minorEastAsia" w:hAnsiTheme="minorEastAsia" w:eastAsiaTheme="minorEastAsia" w:cstheme="minorEastAsia"/>
          <w:b w:val="0"/>
          <w:bCs w:val="0"/>
          <w:sz w:val="22"/>
          <w:szCs w:val="22"/>
          <w:u w:val="none"/>
          <w:lang w:eastAsia="zh-CN"/>
        </w:rPr>
        <w:t>牛栏山镇3个重点区域及周边200米范围内的重点道路、健身活动场地、篮球场等区域在日常保洁的基础上，强化区域环境除尘力度，拓展机械作业范围。10方抑尘车1辆（391120㎡）。</w:t>
      </w:r>
    </w:p>
    <w:p w14:paraId="08E473E1">
      <w:pPr>
        <w:spacing w:line="360" w:lineRule="auto"/>
        <w:ind w:firstLine="440" w:firstLineChars="200"/>
        <w:contextualSpacing/>
        <w:rPr>
          <w:rFonts w:hint="eastAsia" w:asciiTheme="minorEastAsia" w:hAnsiTheme="minorEastAsia" w:eastAsiaTheme="minorEastAsia" w:cstheme="minorEastAsia"/>
          <w:b w:val="0"/>
          <w:bCs w:val="0"/>
          <w:sz w:val="22"/>
          <w:szCs w:val="22"/>
          <w:u w:val="none"/>
          <w:lang w:val="en-US" w:eastAsia="zh-CN"/>
        </w:rPr>
      </w:pPr>
      <w:r>
        <w:rPr>
          <w:rFonts w:hint="eastAsia" w:asciiTheme="minorEastAsia" w:hAnsiTheme="minorEastAsia" w:eastAsiaTheme="minorEastAsia" w:cstheme="minorEastAsia"/>
          <w:b w:val="0"/>
          <w:bCs w:val="0"/>
          <w:sz w:val="22"/>
          <w:szCs w:val="22"/>
          <w:u w:val="none"/>
          <w:lang w:val="en-US" w:eastAsia="zh-CN"/>
        </w:rPr>
        <w:t>（三）裸地扬尘综合治理</w:t>
      </w:r>
    </w:p>
    <w:p w14:paraId="48CCDC69">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sz w:val="22"/>
          <w:szCs w:val="22"/>
          <w:lang w:eastAsia="zh-CN"/>
        </w:rPr>
        <w:t>根据土地使用性质，通过生态修复、生物覆盖、抑尘网苫盖等方式</w:t>
      </w:r>
      <w:r>
        <w:rPr>
          <w:rFonts w:hint="eastAsia" w:asciiTheme="minorEastAsia" w:hAnsiTheme="minorEastAsia" w:eastAsiaTheme="minorEastAsia" w:cstheme="minorEastAsia"/>
          <w:sz w:val="22"/>
          <w:szCs w:val="22"/>
          <w:lang w:val="en-US" w:eastAsia="zh-CN"/>
        </w:rPr>
        <w:t>开展裸地治理，</w:t>
      </w:r>
      <w:r>
        <w:rPr>
          <w:rFonts w:hint="eastAsia" w:asciiTheme="minorEastAsia" w:hAnsiTheme="minorEastAsia" w:eastAsiaTheme="minorEastAsia" w:cstheme="minorEastAsia"/>
          <w:sz w:val="22"/>
          <w:szCs w:val="22"/>
          <w:lang w:eastAsia="zh-CN"/>
        </w:rPr>
        <w:t>需覆盖“源头防控</w:t>
      </w:r>
      <w:r>
        <w:rPr>
          <w:rFonts w:hint="eastAsia" w:asciiTheme="minorEastAsia" w:hAnsiTheme="minorEastAsia" w:eastAsiaTheme="minorEastAsia" w:cstheme="minorEastAsia"/>
          <w:color w:val="auto"/>
          <w:sz w:val="22"/>
          <w:szCs w:val="22"/>
          <w:lang w:eastAsia="zh-CN"/>
        </w:rPr>
        <w:t>、</w:t>
      </w:r>
      <w:r>
        <w:rPr>
          <w:rFonts w:hint="eastAsia" w:asciiTheme="minorEastAsia" w:hAnsiTheme="minorEastAsia" w:eastAsiaTheme="minorEastAsia" w:cstheme="minorEastAsia"/>
          <w:b w:val="0"/>
          <w:bCs w:val="0"/>
          <w:color w:val="auto"/>
          <w:sz w:val="22"/>
          <w:szCs w:val="22"/>
          <w:lang w:eastAsia="zh-CN"/>
        </w:rPr>
        <w:t>过程管控、末端治理、监管保障”全链条，结合不同污染源特性细化治理措施。</w:t>
      </w:r>
      <w:r>
        <w:rPr>
          <w:rFonts w:hint="eastAsia" w:asciiTheme="minorEastAsia" w:hAnsiTheme="minorEastAsia" w:eastAsiaTheme="minorEastAsia" w:cstheme="minorEastAsia"/>
          <w:b w:val="0"/>
          <w:bCs w:val="0"/>
          <w:color w:val="auto"/>
          <w:sz w:val="22"/>
          <w:szCs w:val="22"/>
          <w:lang w:val="en-US" w:eastAsia="zh-CN"/>
        </w:rPr>
        <w:t>治理面积约11.5公顷（防尘网铺设面积预计40000㎡，绿化草籽涉及面积预计60000㎡，生物质覆盖面积预计15000㎡，具有以实际为准），需减少镇域裸露地块面积，从源头控制裸地扬尘对空气质量的影响。</w:t>
      </w:r>
    </w:p>
    <w:p w14:paraId="0CDBFF60">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具体工作内容：</w:t>
      </w:r>
    </w:p>
    <w:p w14:paraId="168912D8">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防尘网铺设：采用抑尘网全覆盖，对风力≥6级区域，在防尘网表面加压10cm厚土袋，增强抗风能力。</w:t>
      </w:r>
    </w:p>
    <w:p w14:paraId="14301AFC">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绿化草籽：采用草籽种植方式，日常拟派浇水车浇水进行养护，养护期：一年。</w:t>
      </w:r>
    </w:p>
    <w:p w14:paraId="7F23D582">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生物质覆盖：</w:t>
      </w:r>
    </w:p>
    <w:p w14:paraId="6B1A40E3">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（1）清理裸地：铺设前清除裸地杂草、石块等杂物，使地面平整，利于有机物与土壤接触。</w:t>
      </w:r>
    </w:p>
    <w:p w14:paraId="51BFB533">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（2）控制厚度：厚度依有机物种类和用途调整，天然原木树皮（粒径3-5厘米），不打磨，形状为片状均匀，无结块。过厚影响土壤通气与植物发芽，过薄则效果不佳。</w:t>
      </w:r>
    </w:p>
    <w:p w14:paraId="110B86CD">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（3）固定措施：空旷或风大区域，用网绳、木桩固定有机物，防止被风吹散。</w:t>
      </w:r>
    </w:p>
    <w:p w14:paraId="048D7827">
      <w:pPr>
        <w:spacing w:line="360" w:lineRule="auto"/>
        <w:contextualSpacing/>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2.3服务要求</w:t>
      </w:r>
    </w:p>
    <w:p w14:paraId="40DE4BD6">
      <w:pPr>
        <w:keepNext w:val="0"/>
        <w:keepLines w:val="0"/>
        <w:widowControl/>
        <w:suppressLineNumbers w:val="0"/>
        <w:jc w:val="left"/>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kern w:val="0"/>
          <w:sz w:val="22"/>
          <w:szCs w:val="22"/>
          <w:lang w:val="en-US" w:eastAsia="zh-CN" w:bidi="ar"/>
        </w:rPr>
        <w:t xml:space="preserve">（1）供应商服务人员须遵纪守法、倡导文明，衣着整洁、标志明显。 </w:t>
      </w:r>
    </w:p>
    <w:p w14:paraId="1F0393EF">
      <w:pPr>
        <w:keepNext w:val="0"/>
        <w:keepLines w:val="0"/>
        <w:widowControl/>
        <w:suppressLineNumbers w:val="0"/>
        <w:jc w:val="left"/>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kern w:val="0"/>
          <w:sz w:val="22"/>
          <w:szCs w:val="22"/>
          <w:lang w:val="en-US" w:eastAsia="zh-CN" w:bidi="ar"/>
        </w:rPr>
        <w:t>（2）供应商须自行配备车辆及相关工具设备。</w:t>
      </w:r>
    </w:p>
    <w:p w14:paraId="11DF0420">
      <w:pPr>
        <w:spacing w:line="360" w:lineRule="auto"/>
        <w:contextualSpacing/>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eastAsiaTheme="minorEastAsia" w:cstheme="minorEastAsia"/>
          <w:b w:val="0"/>
          <w:bCs w:val="0"/>
          <w:color w:val="auto"/>
          <w:sz w:val="22"/>
          <w:szCs w:val="22"/>
          <w:lang w:val="en-US" w:eastAsia="zh-CN"/>
        </w:rPr>
        <w:t>2.4人员要求</w:t>
      </w:r>
    </w:p>
    <w:p w14:paraId="7094F703">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2.3.1所有作业人员身体健康，驾驶员持有有效驾驶证，特种作业人员持证上岗。</w:t>
      </w:r>
    </w:p>
    <w:p w14:paraId="2B594970">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2.3.2人员统一着装、文明作业；作业期间遵守交通规则，杜绝交通安全事故。</w:t>
      </w:r>
    </w:p>
    <w:p w14:paraId="6B64600C">
      <w:pPr>
        <w:spacing w:line="360" w:lineRule="auto"/>
        <w:ind w:firstLine="440" w:firstLineChars="200"/>
        <w:contextualSpacing/>
        <w:rPr>
          <w:rFonts w:hint="eastAsia" w:asciiTheme="minorEastAsia" w:hAnsiTheme="minorEastAsia" w:eastAsiaTheme="minorEastAsia" w:cstheme="minorEastAsia"/>
          <w:b w:val="0"/>
          <w:bCs w:val="0"/>
          <w:color w:val="auto"/>
          <w:sz w:val="24"/>
          <w:szCs w:val="24"/>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2.3.3建立人员考勤制度，确保作业时段人员在岗率 100%</w:t>
      </w:r>
      <w:r>
        <w:rPr>
          <w:rFonts w:hint="eastAsia" w:asciiTheme="minorEastAsia" w:hAnsiTheme="minorEastAsia" w:eastAsiaTheme="minorEastAsia" w:cstheme="minorEastAsia"/>
          <w:b w:val="0"/>
          <w:bCs w:val="0"/>
          <w:color w:val="auto"/>
          <w:sz w:val="24"/>
          <w:szCs w:val="24"/>
          <w:u w:val="none"/>
          <w:lang w:val="en-US" w:eastAsia="zh-CN"/>
        </w:rPr>
        <w:t>。</w:t>
      </w:r>
    </w:p>
    <w:p w14:paraId="15C5C011">
      <w:pPr>
        <w:pStyle w:val="19"/>
        <w:keepNext w:val="0"/>
        <w:keepLines w:val="0"/>
        <w:pageBreakBefore w:val="0"/>
        <w:widowControl w:val="0"/>
        <w:numPr>
          <w:ilvl w:val="0"/>
          <w:numId w:val="2"/>
        </w:numPr>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color w:val="auto"/>
          <w:spacing w:val="0"/>
          <w:w w:val="100"/>
          <w:kern w:val="21"/>
          <w:sz w:val="24"/>
          <w:szCs w:val="24"/>
          <w:highlight w:val="none"/>
          <w:shd w:val="clear" w:color="auto" w:fill="FFFFFF"/>
          <w:lang w:val="en-US" w:eastAsia="zh-CN" w:bidi="ar-SA"/>
        </w:rPr>
        <w:t>验收标准（</w:t>
      </w:r>
      <w:r>
        <w:rPr>
          <w:rFonts w:hint="eastAsia" w:asciiTheme="minorEastAsia" w:hAnsiTheme="minorEastAsia" w:eastAsiaTheme="minorEastAsia" w:cstheme="minorEastAsia"/>
          <w:b/>
          <w:bCs/>
          <w:color w:val="auto"/>
          <w:sz w:val="24"/>
          <w:szCs w:val="24"/>
          <w:lang w:val="en-US" w:eastAsia="zh-CN"/>
        </w:rPr>
        <w:t>验收与考核</w:t>
      </w:r>
      <w:r>
        <w:rPr>
          <w:rFonts w:hint="eastAsia" w:asciiTheme="minorEastAsia" w:hAnsiTheme="minorEastAsia" w:eastAsiaTheme="minorEastAsia" w:cstheme="minorEastAsia"/>
          <w:b w:val="0"/>
          <w:bCs w:val="0"/>
          <w:snapToGrid/>
          <w:color w:val="auto"/>
          <w:spacing w:val="0"/>
          <w:w w:val="100"/>
          <w:kern w:val="21"/>
          <w:sz w:val="24"/>
          <w:szCs w:val="24"/>
          <w:highlight w:val="none"/>
          <w:shd w:val="clear" w:color="auto" w:fill="FFFFFF"/>
          <w:lang w:val="en-US" w:eastAsia="zh-CN" w:bidi="ar-SA"/>
        </w:rPr>
        <w:t>）</w:t>
      </w:r>
    </w:p>
    <w:p w14:paraId="3105C297">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3.1最终验收：服务期满后30日内，甲方组织验收。验收依据为：</w:t>
      </w:r>
    </w:p>
    <w:p w14:paraId="4C8F1BD8">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区级通报的道路尘负荷改善情况；重点区域周边道路治理效果及辖区空气质量改善情况；裸地治理：裸地治理覆盖率、绿植成活率及维护情况。防尘网平整牢固；草籽出苗率≥85%，覆盖率≥90%；生物质覆盖厚度均匀、固定可靠。服务资料完整性。</w:t>
      </w:r>
    </w:p>
    <w:p w14:paraId="5FE2910A">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3.2绩效考核</w:t>
      </w:r>
    </w:p>
    <w:p w14:paraId="48D89197">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（1）乙方关于重点道路扬尘治理和重点区域周边道路精细化治理考核成绩主要参考每周期市级道路尘负荷监测结果，市级道路尘负荷监测结果以区生态环境局通报为准。</w:t>
      </w:r>
    </w:p>
    <w:p w14:paraId="027E0BAB">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（2）依据市级道路尘负荷监测结果，在每个监测周期内（每月20日-下月19日），每出现两条以上中级道路（尘负荷值超过0.45），扣除该项目关于重点道路扬尘治理及重点区域周边道路精细化治理服务费用的1％。</w:t>
      </w:r>
    </w:p>
    <w:p w14:paraId="78C960A9">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（3）.依据市级道路尘负荷监测结果，在每个监测周期内（每月20日-下月19日），每出现一条尘负荷值超过1.0g/㎡以上的道路，扣除该项目关于重点道路扬尘治理及重点区域周边道路精细化治理服务费用的3％。</w:t>
      </w:r>
    </w:p>
    <w:p w14:paraId="64DAD750">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4）.依据市级道路尘负荷监测结果，在每个监测周期内（每月20日-下月19日），每出现一条以上差级道路（尘负荷值超过1.2g/㎡），扣除该项目关于重点道路扬尘治理及重点区域周边道路精细化治理服务费用的5％。</w:t>
      </w:r>
    </w:p>
    <w:p w14:paraId="52FC829B">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市级道路尘负荷监测结果以区生态环境局通报为准。</w:t>
      </w:r>
    </w:p>
    <w:p w14:paraId="7F3EFCA0">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道路尘负荷级别限值及色标</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201"/>
        <w:gridCol w:w="2131"/>
        <w:gridCol w:w="2131"/>
      </w:tblGrid>
      <w:tr w14:paraId="11D5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top"/>
          </w:tcPr>
          <w:p w14:paraId="2F616BCD">
            <w:pPr>
              <w:spacing w:line="360" w:lineRule="auto"/>
              <w:contextualSpacing/>
              <w:jc w:val="center"/>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序号</w:t>
            </w:r>
          </w:p>
        </w:tc>
        <w:tc>
          <w:tcPr>
            <w:tcW w:w="3201" w:type="dxa"/>
            <w:noWrap w:val="0"/>
            <w:vAlign w:val="top"/>
          </w:tcPr>
          <w:p w14:paraId="1662D206">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道路尘负荷范围（g/㎡）</w:t>
            </w:r>
          </w:p>
        </w:tc>
        <w:tc>
          <w:tcPr>
            <w:tcW w:w="2131" w:type="dxa"/>
            <w:noWrap w:val="0"/>
            <w:vAlign w:val="top"/>
          </w:tcPr>
          <w:p w14:paraId="26DD9DDF">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级别</w:t>
            </w:r>
          </w:p>
        </w:tc>
        <w:tc>
          <w:tcPr>
            <w:tcW w:w="2131" w:type="dxa"/>
            <w:noWrap w:val="0"/>
            <w:vAlign w:val="top"/>
          </w:tcPr>
          <w:p w14:paraId="59B329A7">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颜色</w:t>
            </w:r>
          </w:p>
        </w:tc>
      </w:tr>
      <w:tr w14:paraId="003B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shd w:val="clear" w:color="auto" w:fill="auto"/>
            <w:noWrap w:val="0"/>
            <w:vAlign w:val="top"/>
          </w:tcPr>
          <w:p w14:paraId="25418711">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1</w:t>
            </w:r>
          </w:p>
        </w:tc>
        <w:tc>
          <w:tcPr>
            <w:tcW w:w="3201" w:type="dxa"/>
            <w:shd w:val="clear" w:color="auto" w:fill="auto"/>
            <w:noWrap w:val="0"/>
            <w:vAlign w:val="top"/>
          </w:tcPr>
          <w:p w14:paraId="774AF8A7">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≤0.15</w:t>
            </w:r>
          </w:p>
        </w:tc>
        <w:tc>
          <w:tcPr>
            <w:tcW w:w="2131" w:type="dxa"/>
            <w:shd w:val="clear" w:color="auto" w:fill="auto"/>
            <w:noWrap w:val="0"/>
            <w:vAlign w:val="top"/>
          </w:tcPr>
          <w:p w14:paraId="0017930B">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优</w:t>
            </w:r>
          </w:p>
        </w:tc>
        <w:tc>
          <w:tcPr>
            <w:tcW w:w="2131" w:type="dxa"/>
            <w:shd w:val="clear" w:color="auto" w:fill="548DD4"/>
            <w:noWrap w:val="0"/>
            <w:vAlign w:val="top"/>
          </w:tcPr>
          <w:p w14:paraId="7570D0D2">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蓝色</w:t>
            </w:r>
          </w:p>
        </w:tc>
      </w:tr>
      <w:tr w14:paraId="32E7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shd w:val="clear" w:color="auto" w:fill="auto"/>
            <w:noWrap w:val="0"/>
            <w:vAlign w:val="top"/>
          </w:tcPr>
          <w:p w14:paraId="3BCDDCD2">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2</w:t>
            </w:r>
          </w:p>
        </w:tc>
        <w:tc>
          <w:tcPr>
            <w:tcW w:w="3201" w:type="dxa"/>
            <w:shd w:val="clear" w:color="auto" w:fill="auto"/>
            <w:noWrap w:val="0"/>
            <w:vAlign w:val="top"/>
          </w:tcPr>
          <w:p w14:paraId="1A4C92FD">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＞01.5≤0.45</w:t>
            </w:r>
          </w:p>
        </w:tc>
        <w:tc>
          <w:tcPr>
            <w:tcW w:w="2131" w:type="dxa"/>
            <w:shd w:val="clear" w:color="auto" w:fill="auto"/>
            <w:noWrap w:val="0"/>
            <w:vAlign w:val="top"/>
          </w:tcPr>
          <w:p w14:paraId="3FDA5EFA">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良</w:t>
            </w:r>
          </w:p>
        </w:tc>
        <w:tc>
          <w:tcPr>
            <w:tcW w:w="2131" w:type="dxa"/>
            <w:shd w:val="clear" w:color="auto" w:fill="FFFF00"/>
            <w:noWrap w:val="0"/>
            <w:vAlign w:val="top"/>
          </w:tcPr>
          <w:p w14:paraId="31DC15E8">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黄色</w:t>
            </w:r>
          </w:p>
        </w:tc>
      </w:tr>
      <w:tr w14:paraId="518E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shd w:val="clear" w:color="auto" w:fill="auto"/>
            <w:noWrap w:val="0"/>
            <w:vAlign w:val="top"/>
          </w:tcPr>
          <w:p w14:paraId="4C2E1A12">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3</w:t>
            </w:r>
          </w:p>
        </w:tc>
        <w:tc>
          <w:tcPr>
            <w:tcW w:w="3201" w:type="dxa"/>
            <w:shd w:val="clear" w:color="auto" w:fill="auto"/>
            <w:noWrap w:val="0"/>
            <w:vAlign w:val="top"/>
          </w:tcPr>
          <w:p w14:paraId="248C2A2B">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大于0.45≤1.2</w:t>
            </w:r>
          </w:p>
        </w:tc>
        <w:tc>
          <w:tcPr>
            <w:tcW w:w="2131" w:type="dxa"/>
            <w:shd w:val="clear" w:color="auto" w:fill="auto"/>
            <w:noWrap w:val="0"/>
            <w:vAlign w:val="top"/>
          </w:tcPr>
          <w:p w14:paraId="1057DD9B">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中</w:t>
            </w:r>
          </w:p>
        </w:tc>
        <w:tc>
          <w:tcPr>
            <w:tcW w:w="2131" w:type="dxa"/>
            <w:shd w:val="clear" w:color="auto" w:fill="FFC000"/>
            <w:noWrap w:val="0"/>
            <w:vAlign w:val="top"/>
          </w:tcPr>
          <w:p w14:paraId="23E9531B">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橙色</w:t>
            </w:r>
          </w:p>
        </w:tc>
      </w:tr>
      <w:tr w14:paraId="0836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shd w:val="clear" w:color="auto" w:fill="auto"/>
            <w:noWrap w:val="0"/>
            <w:vAlign w:val="top"/>
          </w:tcPr>
          <w:p w14:paraId="41BAD443">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4</w:t>
            </w:r>
          </w:p>
        </w:tc>
        <w:tc>
          <w:tcPr>
            <w:tcW w:w="3201" w:type="dxa"/>
            <w:shd w:val="clear" w:color="auto" w:fill="auto"/>
            <w:noWrap w:val="0"/>
            <w:vAlign w:val="top"/>
          </w:tcPr>
          <w:p w14:paraId="6532C710">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＞1.2</w:t>
            </w:r>
          </w:p>
        </w:tc>
        <w:tc>
          <w:tcPr>
            <w:tcW w:w="2131" w:type="dxa"/>
            <w:shd w:val="clear" w:color="auto" w:fill="auto"/>
            <w:noWrap w:val="0"/>
            <w:vAlign w:val="top"/>
          </w:tcPr>
          <w:p w14:paraId="5E2459C6">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差</w:t>
            </w:r>
          </w:p>
        </w:tc>
        <w:tc>
          <w:tcPr>
            <w:tcW w:w="2131" w:type="dxa"/>
            <w:shd w:val="clear" w:color="auto" w:fill="FF0000"/>
            <w:noWrap w:val="0"/>
            <w:vAlign w:val="top"/>
          </w:tcPr>
          <w:p w14:paraId="4248428C">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红色</w:t>
            </w:r>
          </w:p>
        </w:tc>
      </w:tr>
    </w:tbl>
    <w:p w14:paraId="45A88AB0">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p>
    <w:p w14:paraId="4B070FED">
      <w:pPr>
        <w:spacing w:line="360" w:lineRule="auto"/>
        <w:ind w:firstLine="440" w:firstLineChars="200"/>
        <w:contextualSpacing/>
        <w:rPr>
          <w:rFonts w:hint="eastAsia" w:asciiTheme="minorEastAsia" w:hAnsiTheme="minorEastAsia" w:eastAsiaTheme="minorEastAsia" w:cstheme="minorEastAsia"/>
          <w:b w:val="0"/>
          <w:bCs w:val="0"/>
          <w:color w:val="auto"/>
          <w:sz w:val="22"/>
          <w:szCs w:val="22"/>
          <w:u w:val="none"/>
          <w:lang w:val="en-US" w:eastAsia="zh-CN"/>
        </w:rPr>
      </w:pPr>
      <w:r>
        <w:rPr>
          <w:rFonts w:hint="eastAsia" w:asciiTheme="minorEastAsia" w:hAnsiTheme="minorEastAsia" w:eastAsiaTheme="minorEastAsia" w:cstheme="minorEastAsia"/>
          <w:b w:val="0"/>
          <w:bCs w:val="0"/>
          <w:color w:val="auto"/>
          <w:sz w:val="22"/>
          <w:szCs w:val="22"/>
          <w:u w:val="none"/>
          <w:lang w:val="en-US" w:eastAsia="zh-CN"/>
        </w:rPr>
        <w:t>（5）核心考核指标：整体道路尘负荷改善目标（区级通报的差级道路数量）是衡量乙方履约是否合格的核心标准。</w:t>
      </w:r>
    </w:p>
    <w:p w14:paraId="3634AAF5">
      <w:pPr>
        <w:pStyle w:val="19"/>
        <w:keepNext w:val="0"/>
        <w:keepLines w:val="0"/>
        <w:pageBreakBefore w:val="0"/>
        <w:widowControl w:val="0"/>
        <w:numPr>
          <w:ilvl w:val="0"/>
          <w:numId w:val="2"/>
        </w:numPr>
        <w:kinsoku/>
        <w:wordWrap w:val="0"/>
        <w:overflowPunct/>
        <w:topLinePunct/>
        <w:autoSpaceDE/>
        <w:autoSpaceDN/>
        <w:bidi w:val="0"/>
        <w:spacing w:before="0" w:beforeAutospacing="0" w:after="0" w:afterAutospacing="0" w:line="360" w:lineRule="auto"/>
        <w:ind w:right="0"/>
        <w:textAlignment w:val="auto"/>
        <w:outlineLvl w:val="9"/>
        <w:rPr>
          <w:rFonts w:hint="default" w:asciiTheme="minorEastAsia" w:hAnsiTheme="minorEastAsia" w:eastAsiaTheme="minorEastAsia" w:cstheme="minorEastAsia"/>
          <w:b w:val="0"/>
          <w:bCs w:val="0"/>
          <w:snapToGrid/>
          <w:color w:val="auto"/>
          <w:spacing w:val="0"/>
          <w:w w:val="100"/>
          <w:kern w:val="21"/>
          <w:sz w:val="24"/>
          <w:szCs w:val="24"/>
          <w:highlight w:val="none"/>
          <w:shd w:val="clear" w:color="auto" w:fill="FFFFFF"/>
          <w:lang w:val="en-US" w:eastAsia="zh-CN" w:bidi="ar-SA"/>
        </w:rPr>
        <w:sectPr>
          <w:pgSz w:w="11905" w:h="16838"/>
          <w:pgMar w:top="1440" w:right="1080" w:bottom="1440" w:left="1080" w:header="851" w:footer="850" w:gutter="0"/>
          <w:pgNumType w:fmt="decimal"/>
          <w:cols w:space="0" w:num="1"/>
          <w:titlePg/>
          <w:rtlGutter w:val="0"/>
          <w:docGrid w:linePitch="312" w:charSpace="0"/>
        </w:sectPr>
      </w:pPr>
    </w:p>
    <w:p w14:paraId="3679B6F1">
      <w:pPr>
        <w:keepNext w:val="0"/>
        <w:keepLines w:val="0"/>
        <w:pageBreakBefore w:val="0"/>
        <w:widowControl w:val="0"/>
        <w:kinsoku/>
        <w:wordWrap w:val="0"/>
        <w:overflowPunct/>
        <w:topLinePunct/>
        <w:autoSpaceDE/>
        <w:autoSpaceDN/>
        <w:bidi w:val="0"/>
        <w:spacing w:line="360" w:lineRule="auto"/>
        <w:jc w:val="center"/>
        <w:outlineLvl w:val="0"/>
        <w:rPr>
          <w:rFonts w:hint="eastAsia" w:asciiTheme="minorEastAsia" w:hAnsiTheme="minorEastAsia" w:eastAsiaTheme="minorEastAsia" w:cstheme="minorEastAsia"/>
          <w:b/>
          <w:bCs/>
          <w:snapToGrid/>
          <w:spacing w:val="0"/>
          <w:kern w:val="21"/>
          <w:sz w:val="24"/>
          <w:szCs w:val="24"/>
          <w:highlight w:val="none"/>
          <w:lang w:val="en-US" w:eastAsia="zh-CN"/>
        </w:rPr>
      </w:pPr>
      <w:bookmarkStart w:id="670" w:name="_Toc28821"/>
      <w:r>
        <w:rPr>
          <w:rFonts w:hint="eastAsia" w:asciiTheme="minorEastAsia" w:hAnsiTheme="minorEastAsia" w:eastAsiaTheme="minorEastAsia" w:cstheme="minorEastAsia"/>
          <w:b/>
          <w:bCs/>
          <w:snapToGrid/>
          <w:spacing w:val="0"/>
          <w:kern w:val="21"/>
          <w:sz w:val="24"/>
          <w:szCs w:val="24"/>
          <w:highlight w:val="none"/>
        </w:rPr>
        <w:t>第五章   合同草案条款</w:t>
      </w:r>
      <w:bookmarkEnd w:id="670"/>
    </w:p>
    <w:p w14:paraId="0EFA1174">
      <w:pPr>
        <w:pStyle w:val="9"/>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0"/>
          <w:szCs w:val="20"/>
        </w:rPr>
      </w:pPr>
      <w:r>
        <w:rPr>
          <w:rFonts w:hint="eastAsia" w:asciiTheme="minorEastAsia" w:hAnsiTheme="minorEastAsia" w:eastAsiaTheme="minorEastAsia" w:cstheme="minorEastAsia"/>
          <w:b w:val="0"/>
          <w:bCs w:val="0"/>
          <w:snapToGrid/>
          <w:spacing w:val="0"/>
          <w:kern w:val="21"/>
          <w:sz w:val="20"/>
          <w:szCs w:val="20"/>
          <w:highlight w:val="none"/>
        </w:rPr>
        <w:br w:type="page"/>
      </w:r>
    </w:p>
    <w:p w14:paraId="38C4685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color w:val="auto"/>
          <w:sz w:val="32"/>
          <w:szCs w:val="32"/>
          <w:lang w:val="en-US" w:eastAsia="zh-CN"/>
        </w:rPr>
      </w:pPr>
      <w:r>
        <w:rPr>
          <w:rFonts w:hint="eastAsia" w:asciiTheme="minorEastAsia" w:hAnsiTheme="minorEastAsia" w:eastAsiaTheme="minorEastAsia" w:cstheme="minorEastAsia"/>
          <w:b/>
          <w:bCs/>
          <w:color w:val="auto"/>
          <w:sz w:val="32"/>
          <w:szCs w:val="32"/>
          <w:lang w:val="en-US" w:eastAsia="zh-CN"/>
        </w:rPr>
        <w:t>2026年牛栏山镇大气精细化治理项目服务合同</w:t>
      </w:r>
    </w:p>
    <w:p w14:paraId="4A1807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甲方（委托方）：</w:t>
      </w:r>
    </w:p>
    <w:p w14:paraId="2DA6BF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w:t>
      </w:r>
    </w:p>
    <w:p w14:paraId="14D877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地址：</w:t>
      </w:r>
    </w:p>
    <w:p w14:paraId="3206F4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联系方式：</w:t>
      </w:r>
    </w:p>
    <w:p w14:paraId="66A1C2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乙方（服务方）：</w:t>
      </w:r>
    </w:p>
    <w:p w14:paraId="79CF22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w:t>
      </w:r>
    </w:p>
    <w:p w14:paraId="7ED272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地址：</w:t>
      </w:r>
    </w:p>
    <w:p w14:paraId="65E816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联系方式：</w:t>
      </w:r>
    </w:p>
    <w:p w14:paraId="13B7F3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auto"/>
          <w:sz w:val="24"/>
          <w:szCs w:val="24"/>
          <w:lang w:val="en-US" w:eastAsia="zh-CN"/>
        </w:rPr>
        <w:t>根据</w:t>
      </w:r>
      <w:r>
        <w:rPr>
          <w:rFonts w:hint="eastAsia" w:asciiTheme="minorEastAsia" w:hAnsiTheme="minorEastAsia" w:eastAsiaTheme="minorEastAsia" w:cstheme="minorEastAsia"/>
          <w:color w:val="auto"/>
          <w:sz w:val="24"/>
          <w:szCs w:val="24"/>
        </w:rPr>
        <w:t>《中华人民共和国民法典》及相关法律法规，双方遵循平等、自愿、公平和诚信原则，就</w:t>
      </w:r>
      <w:r>
        <w:rPr>
          <w:rFonts w:hint="eastAsia" w:asciiTheme="minorEastAsia" w:hAnsiTheme="minorEastAsia" w:eastAsiaTheme="minorEastAsia" w:cstheme="minorEastAsia"/>
          <w:color w:val="auto"/>
          <w:sz w:val="24"/>
          <w:szCs w:val="24"/>
          <w:lang w:val="en-US" w:eastAsia="zh-CN"/>
        </w:rPr>
        <w:t>2026年牛栏山镇大气精细化治理项目</w:t>
      </w:r>
      <w:r>
        <w:rPr>
          <w:rFonts w:hint="eastAsia" w:asciiTheme="minorEastAsia" w:hAnsiTheme="minorEastAsia" w:eastAsiaTheme="minorEastAsia" w:cstheme="minorEastAsia"/>
          <w:color w:val="auto"/>
          <w:sz w:val="24"/>
          <w:szCs w:val="24"/>
        </w:rPr>
        <w:t>服</w:t>
      </w:r>
      <w:r>
        <w:rPr>
          <w:rFonts w:hint="eastAsia" w:asciiTheme="minorEastAsia" w:hAnsiTheme="minorEastAsia" w:eastAsiaTheme="minorEastAsia" w:cstheme="minorEastAsia"/>
          <w:sz w:val="24"/>
          <w:szCs w:val="24"/>
        </w:rPr>
        <w:t>务事宜协商一致，订立本合同</w:t>
      </w:r>
      <w:r>
        <w:rPr>
          <w:rFonts w:hint="eastAsia" w:asciiTheme="minorEastAsia" w:hAnsiTheme="minorEastAsia" w:eastAsiaTheme="minorEastAsia" w:cstheme="minorEastAsia"/>
          <w:sz w:val="24"/>
          <w:szCs w:val="24"/>
          <w:lang w:eastAsia="zh-CN"/>
        </w:rPr>
        <w:t>。</w:t>
      </w:r>
    </w:p>
    <w:p w14:paraId="1C9DD66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一、服务范围与内容</w:t>
      </w:r>
    </w:p>
    <w:p w14:paraId="3CC61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服务范围</w:t>
      </w:r>
    </w:p>
    <w:p w14:paraId="64DA06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15条重点道路以及2条货运主要道路的加密除尘工作；</w:t>
      </w:r>
      <w:r>
        <w:rPr>
          <w:rFonts w:hint="eastAsia" w:asciiTheme="minorEastAsia" w:hAnsiTheme="minorEastAsia" w:eastAsiaTheme="minorEastAsia" w:cstheme="minorEastAsia"/>
          <w:sz w:val="24"/>
          <w:szCs w:val="24"/>
          <w:lang w:val="en-US" w:eastAsia="zh-CN" w:bidi="ar"/>
        </w:rPr>
        <w:t>牛栏山镇3个重点区域及周边200米范围内的重点道路、健身活动场地、篮球场等区域在日常保洁的基础上，强化区域环境除尘力度，</w:t>
      </w:r>
      <w:r>
        <w:rPr>
          <w:rFonts w:hint="eastAsia" w:asciiTheme="minorEastAsia" w:hAnsiTheme="minorEastAsia" w:eastAsiaTheme="minorEastAsia" w:cstheme="minorEastAsia"/>
          <w:color w:val="000000"/>
          <w:sz w:val="24"/>
          <w:szCs w:val="24"/>
          <w:highlight w:val="none"/>
        </w:rPr>
        <w:t>拓展机械作业范围</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rPr>
        <w:t>对</w:t>
      </w:r>
      <w:r>
        <w:rPr>
          <w:rFonts w:hint="eastAsia" w:asciiTheme="minorEastAsia" w:hAnsiTheme="minorEastAsia" w:eastAsiaTheme="minorEastAsia" w:cstheme="minorEastAsia"/>
          <w:color w:val="000000"/>
          <w:sz w:val="24"/>
          <w:szCs w:val="24"/>
          <w:lang w:eastAsia="zh-CN"/>
        </w:rPr>
        <w:t>镇域内</w:t>
      </w:r>
      <w:r>
        <w:rPr>
          <w:rFonts w:hint="eastAsia" w:asciiTheme="minorEastAsia" w:hAnsiTheme="minorEastAsia" w:eastAsiaTheme="minorEastAsia" w:cstheme="minorEastAsia"/>
          <w:color w:val="000000"/>
          <w:sz w:val="24"/>
          <w:szCs w:val="24"/>
        </w:rPr>
        <w:t>裸地进行扬尘综合治理，</w:t>
      </w:r>
      <w:r>
        <w:rPr>
          <w:rFonts w:hint="eastAsia" w:asciiTheme="minorEastAsia" w:hAnsiTheme="minorEastAsia" w:eastAsiaTheme="minorEastAsia" w:cstheme="minorEastAsia"/>
          <w:sz w:val="24"/>
          <w:szCs w:val="24"/>
          <w:lang w:eastAsia="zh-CN" w:bidi="ar"/>
        </w:rPr>
        <w:t>根据土地使用性质，通过生态修复、生物覆盖、抑尘网苫盖等方式</w:t>
      </w:r>
      <w:r>
        <w:rPr>
          <w:rFonts w:hint="eastAsia" w:asciiTheme="minorEastAsia" w:hAnsiTheme="minorEastAsia" w:eastAsiaTheme="minorEastAsia" w:cstheme="minorEastAsia"/>
          <w:sz w:val="24"/>
          <w:szCs w:val="24"/>
          <w:lang w:val="en-US" w:eastAsia="zh-CN" w:bidi="ar"/>
        </w:rPr>
        <w:t>开展裸地治理，治理总面积约</w:t>
      </w:r>
      <w:r>
        <w:rPr>
          <w:rFonts w:hint="eastAsia" w:asciiTheme="minorEastAsia" w:hAnsiTheme="minorEastAsia" w:eastAsiaTheme="minorEastAsia" w:cstheme="minorEastAsia"/>
          <w:color w:val="000000"/>
          <w:sz w:val="24"/>
          <w:szCs w:val="24"/>
          <w:lang w:val="en-US" w:eastAsia="zh-CN"/>
        </w:rPr>
        <w:t>总面积约11.5公顷。</w:t>
      </w:r>
    </w:p>
    <w:p w14:paraId="47FCFE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服务内容</w:t>
      </w:r>
    </w:p>
    <w:p w14:paraId="47170CCD">
      <w:pPr>
        <w:spacing w:line="360" w:lineRule="auto"/>
        <w:ind w:firstLine="482" w:firstLineChars="20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1、重点道路扬尘治理</w:t>
      </w:r>
    </w:p>
    <w:p w14:paraId="2F223334">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000000"/>
          <w:sz w:val="24"/>
          <w:szCs w:val="24"/>
          <w:highlight w:val="none"/>
        </w:rPr>
        <w:t>对市级通报的尘负荷</w:t>
      </w:r>
      <w:r>
        <w:rPr>
          <w:rFonts w:hint="eastAsia" w:asciiTheme="minorEastAsia" w:hAnsiTheme="minorEastAsia" w:eastAsiaTheme="minorEastAsia" w:cstheme="minorEastAsia"/>
          <w:color w:val="000000"/>
          <w:sz w:val="24"/>
          <w:szCs w:val="24"/>
          <w:highlight w:val="none"/>
          <w:lang w:eastAsia="zh-CN"/>
        </w:rPr>
        <w:t>监测数值较高的道</w:t>
      </w:r>
      <w:r>
        <w:rPr>
          <w:rFonts w:hint="eastAsia" w:asciiTheme="minorEastAsia" w:hAnsiTheme="minorEastAsia" w:eastAsiaTheme="minorEastAsia" w:cstheme="minorEastAsia"/>
          <w:color w:val="000000"/>
          <w:sz w:val="24"/>
          <w:szCs w:val="24"/>
          <w:highlight w:val="none"/>
        </w:rPr>
        <w:t>路</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b w:val="0"/>
          <w:bCs w:val="0"/>
          <w:sz w:val="24"/>
          <w:szCs w:val="24"/>
          <w:highlight w:val="none"/>
        </w:rPr>
        <w:t>开展道路“</w:t>
      </w:r>
      <w:r>
        <w:rPr>
          <w:rFonts w:hint="eastAsia" w:asciiTheme="minorEastAsia" w:hAnsiTheme="minorEastAsia" w:eastAsiaTheme="minorEastAsia" w:cstheme="minorEastAsia"/>
          <w:b w:val="0"/>
          <w:bCs w:val="0"/>
          <w:sz w:val="24"/>
          <w:szCs w:val="24"/>
          <w:highlight w:val="none"/>
          <w:lang w:eastAsia="zh-CN"/>
        </w:rPr>
        <w:t>升优</w:t>
      </w:r>
      <w:r>
        <w:rPr>
          <w:rFonts w:hint="eastAsia" w:asciiTheme="minorEastAsia" w:hAnsiTheme="minorEastAsia" w:eastAsiaTheme="minorEastAsia" w:cstheme="minorEastAsia"/>
          <w:b w:val="0"/>
          <w:bCs w:val="0"/>
          <w:sz w:val="24"/>
          <w:szCs w:val="24"/>
          <w:highlight w:val="none"/>
        </w:rPr>
        <w:t>”</w:t>
      </w:r>
      <w:r>
        <w:rPr>
          <w:rFonts w:hint="eastAsia" w:asciiTheme="minorEastAsia" w:hAnsiTheme="minorEastAsia" w:eastAsiaTheme="minorEastAsia" w:cstheme="minorEastAsia"/>
          <w:b w:val="0"/>
          <w:bCs w:val="0"/>
          <w:sz w:val="24"/>
          <w:szCs w:val="24"/>
          <w:highlight w:val="none"/>
          <w:lang w:eastAsia="zh-CN"/>
        </w:rPr>
        <w:t>。</w:t>
      </w:r>
      <w:r>
        <w:rPr>
          <w:rFonts w:hint="eastAsia" w:asciiTheme="minorEastAsia" w:hAnsiTheme="minorEastAsia" w:eastAsiaTheme="minorEastAsia" w:cstheme="minorEastAsia"/>
          <w:sz w:val="24"/>
          <w:szCs w:val="24"/>
          <w:lang w:val="en-US" w:eastAsia="zh-CN"/>
        </w:rPr>
        <w:t>对排名较差的道路开展加密除尘作业，</w:t>
      </w:r>
      <w:r>
        <w:rPr>
          <w:rFonts w:hint="eastAsia" w:asciiTheme="minorEastAsia" w:hAnsiTheme="minorEastAsia" w:eastAsiaTheme="minorEastAsia" w:cstheme="minorEastAsia"/>
          <w:color w:val="000000"/>
          <w:sz w:val="24"/>
          <w:szCs w:val="24"/>
          <w:highlight w:val="none"/>
          <w:lang w:eastAsia="zh-CN"/>
        </w:rPr>
        <w:t>通过</w:t>
      </w:r>
      <w:r>
        <w:rPr>
          <w:rFonts w:hint="eastAsia" w:asciiTheme="minorEastAsia" w:hAnsiTheme="minorEastAsia" w:eastAsiaTheme="minorEastAsia" w:cstheme="minorEastAsia"/>
          <w:color w:val="000000"/>
          <w:sz w:val="24"/>
          <w:szCs w:val="24"/>
          <w:highlight w:val="none"/>
        </w:rPr>
        <w:t>增加道路</w:t>
      </w:r>
      <w:r>
        <w:rPr>
          <w:rFonts w:hint="eastAsia" w:asciiTheme="minorEastAsia" w:hAnsiTheme="minorEastAsia" w:eastAsiaTheme="minorEastAsia" w:cstheme="minorEastAsia"/>
          <w:color w:val="000000"/>
          <w:sz w:val="24"/>
          <w:szCs w:val="24"/>
          <w:highlight w:val="none"/>
          <w:lang w:eastAsia="zh-CN"/>
        </w:rPr>
        <w:t>机械化</w:t>
      </w:r>
      <w:r>
        <w:rPr>
          <w:rFonts w:hint="eastAsia" w:asciiTheme="minorEastAsia" w:hAnsiTheme="minorEastAsia" w:eastAsiaTheme="minorEastAsia" w:cstheme="minorEastAsia"/>
          <w:color w:val="000000"/>
          <w:sz w:val="24"/>
          <w:szCs w:val="24"/>
          <w:highlight w:val="none"/>
        </w:rPr>
        <w:t>清扫保洁频次</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sz w:val="24"/>
          <w:szCs w:val="24"/>
        </w:rPr>
        <w:t>使道路尘负荷显著降低，扬尘现象得到根本遏制。</w:t>
      </w:r>
      <w:r>
        <w:rPr>
          <w:rFonts w:hint="eastAsia" w:asciiTheme="minorEastAsia" w:hAnsiTheme="minorEastAsia" w:eastAsiaTheme="minorEastAsia" w:cstheme="minorEastAsia"/>
          <w:sz w:val="24"/>
          <w:szCs w:val="24"/>
          <w:lang w:val="en-US" w:eastAsia="zh-CN"/>
        </w:rPr>
        <w:t>在环卫每日清扫保洁基础上，每日增加2次道路洗扫作业及2次道路降尘作业，完成15条重点道路以及2条货运主要道路的加密除尘工作。</w:t>
      </w:r>
    </w:p>
    <w:p w14:paraId="1AE90E44">
      <w:pPr>
        <w:spacing w:line="360" w:lineRule="auto"/>
        <w:ind w:firstLine="482" w:firstLineChars="200"/>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牛栏山镇中差级重点道路及货运主要通道名单</w:t>
      </w:r>
    </w:p>
    <w:tbl>
      <w:tblPr>
        <w:tblStyle w:val="23"/>
        <w:tblW w:w="9037"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 w:type="dxa"/>
          <w:bottom w:w="0" w:type="dxa"/>
          <w:right w:w="10" w:type="dxa"/>
        </w:tblCellMar>
      </w:tblPr>
      <w:tblGrid>
        <w:gridCol w:w="403"/>
        <w:gridCol w:w="861"/>
        <w:gridCol w:w="690"/>
        <w:gridCol w:w="1080"/>
        <w:gridCol w:w="1815"/>
        <w:gridCol w:w="1020"/>
        <w:gridCol w:w="1395"/>
        <w:gridCol w:w="900"/>
        <w:gridCol w:w="873"/>
      </w:tblGrid>
      <w:tr w14:paraId="5F2DDEA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200"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09CDD74E">
            <w:pPr>
              <w:spacing w:before="283"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序号</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591F9C8C">
            <w:pPr>
              <w:spacing w:before="28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道路名称</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BA834CD">
            <w:pPr>
              <w:spacing w:before="4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道路长度</w:t>
            </w:r>
          </w:p>
          <w:p w14:paraId="12C41244">
            <w:pPr>
              <w:spacing w:before="3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（米）</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7C7479BE">
            <w:pPr>
              <w:spacing w:before="4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道路面</w:t>
            </w:r>
          </w:p>
          <w:p w14:paraId="0E12601C">
            <w:pPr>
              <w:spacing w:before="3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积（㎡）</w:t>
            </w:r>
          </w:p>
        </w:tc>
        <w:tc>
          <w:tcPr>
            <w:tcW w:w="2835" w:type="dxa"/>
            <w:gridSpan w:val="2"/>
            <w:tcBorders>
              <w:top w:val="single" w:color="000000" w:sz="4" w:space="0"/>
              <w:left w:val="single" w:color="000000" w:sz="4" w:space="0"/>
              <w:bottom w:val="single" w:color="000000" w:sz="4" w:space="0"/>
              <w:right w:val="single" w:color="000000" w:sz="4" w:space="0"/>
            </w:tcBorders>
            <w:noWrap w:val="0"/>
            <w:vAlign w:val="top"/>
          </w:tcPr>
          <w:p w14:paraId="11679546">
            <w:pPr>
              <w:spacing w:before="28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eastAsia="zh-CN"/>
              </w:rPr>
              <w:t>洗扫</w:t>
            </w:r>
            <w:r>
              <w:rPr>
                <w:rFonts w:hint="eastAsia" w:asciiTheme="minorEastAsia" w:hAnsiTheme="minorEastAsia" w:eastAsiaTheme="minorEastAsia" w:cstheme="minorEastAsia"/>
                <w:color w:val="000000"/>
                <w:sz w:val="21"/>
                <w:szCs w:val="21"/>
              </w:rPr>
              <w:t>作业时间</w:t>
            </w:r>
          </w:p>
        </w:tc>
        <w:tc>
          <w:tcPr>
            <w:tcW w:w="2295" w:type="dxa"/>
            <w:gridSpan w:val="2"/>
            <w:tcBorders>
              <w:top w:val="single" w:color="000000" w:sz="4" w:space="0"/>
              <w:left w:val="single" w:color="000000" w:sz="4" w:space="0"/>
              <w:bottom w:val="single" w:color="000000" w:sz="4" w:space="0"/>
              <w:right w:val="single" w:color="000000" w:sz="4" w:space="0"/>
            </w:tcBorders>
            <w:noWrap w:val="0"/>
            <w:vAlign w:val="top"/>
          </w:tcPr>
          <w:p w14:paraId="5FE4D1CB">
            <w:pPr>
              <w:spacing w:before="28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降尘作业时间</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1BCC8224">
            <w:pPr>
              <w:spacing w:before="283"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中差次数</w:t>
            </w:r>
          </w:p>
        </w:tc>
      </w:tr>
      <w:tr w14:paraId="730BF13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80"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2CFD4125">
            <w:pPr>
              <w:spacing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534CB3BA">
            <w:pPr>
              <w:spacing w:after="0"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史家口路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0DC6CB5B">
            <w:pPr>
              <w:spacing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1A0FA67D">
            <w:pPr>
              <w:spacing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14000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7E2E5CD2">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B2901C4">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68D01E0C">
            <w:pPr>
              <w:spacing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629DBA3F">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62BC2F1E">
            <w:pPr>
              <w:spacing w:before="0"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0728D0BC">
            <w:pPr>
              <w:spacing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4E239172">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r>
      <w:tr w14:paraId="1A1B420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53"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136C4C6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6C2C279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金牛北路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7596AD3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25E00C0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6D81B076">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1A3D12F">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366CD384">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05B3B57D">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11C157BD">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2687DE51">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038A4CEE">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r>
      <w:tr w14:paraId="057DC62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37"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584E86B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06F650A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张家庄路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4FAF6E8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0C10DA6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12000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0592D865">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0A63A22E">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321F1071">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1C034BBF">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68DDD07">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6A40274F">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2265B598">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r>
      <w:tr w14:paraId="0D6B5F3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54"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1829666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120810C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金牛街</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40C7D2E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0739DB5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28800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2D12B692">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64514668">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4AECA14D">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3DA80371">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17837AC">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354A482F">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3A1E5B4B">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r>
      <w:tr w14:paraId="10401C5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70"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7900660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16BA41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金牛路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40B962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260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71EAD7C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5200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12454B1D">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6842E03">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6D762F8B">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512CF013">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07746C6">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65785AE5">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768D2015">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w:t>
            </w:r>
          </w:p>
        </w:tc>
      </w:tr>
      <w:tr w14:paraId="6D09DBA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804"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6276CA7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6</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7597CAA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富密路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5B1C84D7">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5000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5C1BB6C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150000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77EC094E">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4DAA3DA">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31AB11AD">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0818331E">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299D2365">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6944F675">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7BA75FF0">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r>
      <w:tr w14:paraId="3FFED91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36"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2AB7FA5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7</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245EF5B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牛小路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04A02A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0AC0F2D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7500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68B74B18">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2E3FE943">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4C705A3D">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68AB5D59">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598A154">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0767A8B3">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10E1EC45">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w:t>
            </w:r>
          </w:p>
        </w:tc>
      </w:tr>
      <w:tr w14:paraId="6C8AEC6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87"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5A772B7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440615A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牛相路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2306C55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520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1F16B73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11960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06F0CC4F">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D715555">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060E7133">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11EFA1B6">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07169F4">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4672EB28">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6481C9C9">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12</w:t>
            </w:r>
          </w:p>
        </w:tc>
      </w:tr>
      <w:tr w14:paraId="4A485C1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803"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560DAE7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9</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7E1420B7">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龙梭路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76CFF7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1800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60E30427">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87000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57053D0A">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6CD7ED02">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19FE6108">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6D11BA84">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1EAD9B9">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50E8B133">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61D15577">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12</w:t>
            </w:r>
          </w:p>
        </w:tc>
      </w:tr>
      <w:tr w14:paraId="0828475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86"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395DFC1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52679F3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兰白路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1A8E5CE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1700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024B4C9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17000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0F6D92A0">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237F2513">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340E6080">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29CFD0FA">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D4D0919">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133E8F66">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4C52446F">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w:t>
            </w:r>
          </w:p>
        </w:tc>
      </w:tr>
      <w:tr w14:paraId="07F7DE6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60"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17D8EF0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11</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7A28BD9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兵营路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4AB1C1B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65DDE4A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4367E0B5">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1F82AC4D">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436A022E">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48C1F6E4">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4346BF0">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4E9AD275">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14051ACF">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r>
      <w:tr w14:paraId="4059454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90"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1617BC9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12</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275638D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富密路支线</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386A92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800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4618759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6400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659C5A99">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00BE18F7">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6186871E">
            <w:pPr>
              <w:spacing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38A85A82">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19CD20F5">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1614EAD1">
            <w:pPr>
              <w:spacing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6CB8896F">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w:t>
            </w:r>
          </w:p>
        </w:tc>
      </w:tr>
      <w:tr w14:paraId="5569D98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20"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06A77A1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13</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7B194BBC">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史军路</w:t>
            </w:r>
          </w:p>
          <w:p w14:paraId="0F77F899">
            <w:pPr>
              <w:keepNext w:val="0"/>
              <w:keepLines w:val="0"/>
              <w:pageBreakBefore w:val="0"/>
              <w:widowControl w:val="0"/>
              <w:kinsoku/>
              <w:wordWrap/>
              <w:overflowPunct/>
              <w:topLinePunct w:val="0"/>
              <w:autoSpaceDE/>
              <w:autoSpaceDN/>
              <w:bidi w:val="0"/>
              <w:adjustRightInd/>
              <w:snapToGrid/>
              <w:spacing w:before="40" w:after="0" w:line="360" w:lineRule="auto"/>
              <w:jc w:val="both"/>
              <w:textAlignment w:val="auto"/>
              <w:rPr>
                <w:rFonts w:hint="eastAsia" w:asciiTheme="minorEastAsia" w:hAnsiTheme="minorEastAsia" w:eastAsiaTheme="minorEastAsia" w:cstheme="minorEastAsia"/>
                <w:color w:val="000000"/>
                <w:kern w:val="2"/>
                <w:sz w:val="21"/>
                <w:szCs w:val="21"/>
                <w:lang w:val="en-US" w:eastAsia="zh-CN" w:bidi="ar-SA"/>
              </w:rPr>
            </w:pP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6C661C7E">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1400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5158BD7F">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21000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4F29B173">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5B3C3DC">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18EE94DF">
            <w:pPr>
              <w:spacing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416F3C51">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10B19ADE">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79F9B5B7">
            <w:pPr>
              <w:spacing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2885DC9F">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w:t>
            </w:r>
          </w:p>
        </w:tc>
      </w:tr>
      <w:tr w14:paraId="785401F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53"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488BD6A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14</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60D5D7B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孙赵路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6A46FA47">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1300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36B58E8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7EA49A55">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12B0D5E">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1E11C46E">
            <w:pPr>
              <w:spacing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路面洗扫作业两遍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3474827C">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A7245F2">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0E83A2F8">
            <w:pPr>
              <w:spacing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w:t>
            </w:r>
            <w:r>
              <w:rPr>
                <w:rFonts w:hint="eastAsia" w:asciiTheme="minorEastAsia" w:hAnsiTheme="minorEastAsia" w:eastAsiaTheme="minorEastAsia" w:cstheme="minorEastAsia"/>
                <w:color w:val="000000"/>
                <w:sz w:val="21"/>
                <w:szCs w:val="21"/>
              </w:rPr>
              <w:t>两遍次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571D503F">
            <w:pPr>
              <w:spacing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r>
      <w:tr w14:paraId="6D81496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87"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129CD5B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15</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54178A4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北木路西侧路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7B20D89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2000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7B4A08F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90000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07A5609B">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262C096">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2443CB9A">
            <w:pPr>
              <w:spacing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42D23DD8">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01491D09">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769E206E">
            <w:pPr>
              <w:spacing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作业一</w:t>
            </w:r>
            <w:r>
              <w:rPr>
                <w:rFonts w:hint="eastAsia" w:asciiTheme="minorEastAsia" w:hAnsiTheme="minorEastAsia" w:eastAsiaTheme="minorEastAsia" w:cstheme="minorEastAsia"/>
                <w:color w:val="000000"/>
                <w:sz w:val="21"/>
                <w:szCs w:val="21"/>
              </w:rPr>
              <w:t>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1859E988">
            <w:pPr>
              <w:spacing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道路遗撒重点路</w:t>
            </w:r>
          </w:p>
        </w:tc>
      </w:tr>
      <w:tr w14:paraId="701C0E8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79"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44B711B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16</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68D7519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昌金路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7A02A19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63B37A27">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170000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22D769AE">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F8AA581">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2C17BCDB">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77059565">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05455FE">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619BE3FF">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作业一</w:t>
            </w:r>
            <w:r>
              <w:rPr>
                <w:rFonts w:hint="eastAsia" w:asciiTheme="minorEastAsia" w:hAnsiTheme="minorEastAsia" w:eastAsiaTheme="minorEastAsia" w:cstheme="minorEastAsia"/>
                <w:color w:val="000000"/>
                <w:sz w:val="21"/>
                <w:szCs w:val="21"/>
              </w:rPr>
              <w:t>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7E8FCB0D">
            <w:pPr>
              <w:spacing w:after="0"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货运主要通道</w:t>
            </w:r>
          </w:p>
        </w:tc>
      </w:tr>
      <w:tr w14:paraId="7C3BA54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57" w:hRule="atLeast"/>
          <w:jc w:val="center"/>
        </w:trPr>
        <w:tc>
          <w:tcPr>
            <w:tcW w:w="403" w:type="dxa"/>
            <w:tcBorders>
              <w:top w:val="single" w:color="000000" w:sz="4" w:space="0"/>
              <w:left w:val="single" w:color="000000" w:sz="4" w:space="0"/>
              <w:bottom w:val="single" w:color="000000" w:sz="4" w:space="0"/>
              <w:right w:val="single" w:color="000000" w:sz="4" w:space="0"/>
            </w:tcBorders>
            <w:noWrap w:val="0"/>
            <w:vAlign w:val="top"/>
          </w:tcPr>
          <w:p w14:paraId="4FFD4BA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17</w:t>
            </w:r>
          </w:p>
        </w:tc>
        <w:tc>
          <w:tcPr>
            <w:tcW w:w="861" w:type="dxa"/>
            <w:tcBorders>
              <w:top w:val="single" w:color="000000" w:sz="4" w:space="0"/>
              <w:left w:val="single" w:color="000000" w:sz="4" w:space="0"/>
              <w:bottom w:val="single" w:color="000000" w:sz="4" w:space="0"/>
              <w:right w:val="single" w:color="000000" w:sz="4" w:space="0"/>
            </w:tcBorders>
            <w:noWrap w:val="0"/>
            <w:vAlign w:val="top"/>
          </w:tcPr>
          <w:p w14:paraId="174BF0C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右堤路</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75A7C52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3A0ACE4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150000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2D31453D">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173ECE2">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162588D0">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501198B9">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6FD6955">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3BCEE260">
            <w:pPr>
              <w:spacing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rPr>
              <w:t>降尘</w:t>
            </w:r>
            <w:r>
              <w:rPr>
                <w:rFonts w:hint="eastAsia" w:asciiTheme="minorEastAsia" w:hAnsiTheme="minorEastAsia" w:eastAsiaTheme="minorEastAsia" w:cstheme="minorEastAsia"/>
                <w:color w:val="000000"/>
                <w:sz w:val="21"/>
                <w:szCs w:val="21"/>
                <w:lang w:eastAsia="zh-CN"/>
              </w:rPr>
              <w:t>作业一</w:t>
            </w:r>
            <w:r>
              <w:rPr>
                <w:rFonts w:hint="eastAsia" w:asciiTheme="minorEastAsia" w:hAnsiTheme="minorEastAsia" w:eastAsiaTheme="minorEastAsia" w:cstheme="minorEastAsia"/>
                <w:color w:val="000000"/>
                <w:sz w:val="21"/>
                <w:szCs w:val="21"/>
              </w:rPr>
              <w:t>遍次</w:t>
            </w: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277C1C9A">
            <w:pPr>
              <w:spacing w:after="0"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货运主要通道</w:t>
            </w:r>
          </w:p>
        </w:tc>
      </w:tr>
      <w:tr w14:paraId="47B3846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97" w:hRule="atLeast"/>
          <w:jc w:val="center"/>
        </w:trPr>
        <w:tc>
          <w:tcPr>
            <w:tcW w:w="1264" w:type="dxa"/>
            <w:gridSpan w:val="2"/>
            <w:tcBorders>
              <w:top w:val="single" w:color="000000" w:sz="4" w:space="0"/>
              <w:left w:val="single" w:color="000000" w:sz="4" w:space="0"/>
              <w:bottom w:val="single" w:color="000000" w:sz="4" w:space="0"/>
              <w:right w:val="single" w:color="000000" w:sz="4" w:space="0"/>
            </w:tcBorders>
            <w:noWrap w:val="0"/>
            <w:vAlign w:val="top"/>
          </w:tcPr>
          <w:p w14:paraId="78952B8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合计</w:t>
            </w:r>
          </w:p>
        </w:tc>
        <w:tc>
          <w:tcPr>
            <w:tcW w:w="690" w:type="dxa"/>
            <w:tcBorders>
              <w:top w:val="single" w:color="000000" w:sz="4" w:space="0"/>
              <w:left w:val="single" w:color="000000" w:sz="4" w:space="0"/>
              <w:bottom w:val="single" w:color="000000" w:sz="4" w:space="0"/>
              <w:right w:val="single" w:color="000000" w:sz="4" w:space="0"/>
            </w:tcBorders>
            <w:noWrap w:val="0"/>
            <w:vAlign w:val="top"/>
          </w:tcPr>
          <w:p w14:paraId="3BCA8EE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28280</w:t>
            </w:r>
          </w:p>
        </w:tc>
        <w:tc>
          <w:tcPr>
            <w:tcW w:w="1080" w:type="dxa"/>
            <w:tcBorders>
              <w:top w:val="single" w:color="000000" w:sz="4" w:space="0"/>
              <w:left w:val="single" w:color="000000" w:sz="4" w:space="0"/>
              <w:bottom w:val="single" w:color="000000" w:sz="4" w:space="0"/>
              <w:right w:val="single" w:color="000000" w:sz="4" w:space="0"/>
            </w:tcBorders>
            <w:noWrap w:val="0"/>
            <w:vAlign w:val="top"/>
          </w:tcPr>
          <w:p w14:paraId="1E5303E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793860</w:t>
            </w:r>
          </w:p>
        </w:tc>
        <w:tc>
          <w:tcPr>
            <w:tcW w:w="1815" w:type="dxa"/>
            <w:tcBorders>
              <w:top w:val="single" w:color="000000" w:sz="4" w:space="0"/>
              <w:left w:val="single" w:color="000000" w:sz="4" w:space="0"/>
              <w:bottom w:val="single" w:color="000000" w:sz="4" w:space="0"/>
              <w:right w:val="single" w:color="000000" w:sz="4" w:space="0"/>
            </w:tcBorders>
            <w:noWrap w:val="0"/>
            <w:vAlign w:val="top"/>
          </w:tcPr>
          <w:p w14:paraId="7FF7E56E">
            <w:pPr>
              <w:spacing w:before="0" w:after="0" w:line="360" w:lineRule="auto"/>
              <w:jc w:val="center"/>
              <w:rPr>
                <w:rFonts w:hint="eastAsia" w:asciiTheme="minorEastAsia" w:hAnsiTheme="minorEastAsia" w:eastAsiaTheme="minorEastAsia" w:cstheme="minorEastAsia"/>
                <w:sz w:val="21"/>
                <w:szCs w:val="21"/>
                <w:lang w:val="en-US" w:eastAsia="zh-CN"/>
              </w:rPr>
            </w:pP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360CB7FD">
            <w:pPr>
              <w:spacing w:after="0" w:line="360" w:lineRule="auto"/>
              <w:jc w:val="center"/>
              <w:rPr>
                <w:rFonts w:hint="eastAsia" w:asciiTheme="minorEastAsia" w:hAnsiTheme="minorEastAsia" w:eastAsiaTheme="minorEastAsia" w:cstheme="minorEastAsia"/>
                <w:color w:val="000000"/>
                <w:sz w:val="21"/>
                <w:szCs w:val="21"/>
                <w:lang w:eastAsia="zh-CN"/>
              </w:rPr>
            </w:pPr>
          </w:p>
        </w:tc>
        <w:tc>
          <w:tcPr>
            <w:tcW w:w="1395" w:type="dxa"/>
            <w:tcBorders>
              <w:top w:val="single" w:color="000000" w:sz="4" w:space="0"/>
              <w:left w:val="single" w:color="000000" w:sz="4" w:space="0"/>
              <w:bottom w:val="single" w:color="000000" w:sz="4" w:space="0"/>
              <w:right w:val="single" w:color="000000" w:sz="4" w:space="0"/>
            </w:tcBorders>
            <w:noWrap w:val="0"/>
            <w:vAlign w:val="top"/>
          </w:tcPr>
          <w:p w14:paraId="6BB12FEE">
            <w:pPr>
              <w:spacing w:before="0" w:after="0" w:line="360" w:lineRule="auto"/>
              <w:jc w:val="center"/>
              <w:rPr>
                <w:rFonts w:hint="eastAsia" w:asciiTheme="minorEastAsia" w:hAnsiTheme="minorEastAsia" w:eastAsiaTheme="minorEastAsia" w:cstheme="minorEastAsia"/>
                <w:sz w:val="21"/>
                <w:szCs w:val="21"/>
                <w:lang w:val="en-US" w:eastAsia="zh-CN"/>
              </w:rPr>
            </w:pPr>
          </w:p>
        </w:tc>
        <w:tc>
          <w:tcPr>
            <w:tcW w:w="900" w:type="dxa"/>
            <w:tcBorders>
              <w:top w:val="single" w:color="000000" w:sz="4" w:space="0"/>
              <w:left w:val="single" w:color="000000" w:sz="4" w:space="0"/>
              <w:bottom w:val="single" w:color="000000" w:sz="4" w:space="0"/>
              <w:right w:val="single" w:color="000000" w:sz="4" w:space="0"/>
            </w:tcBorders>
            <w:noWrap w:val="0"/>
            <w:vAlign w:val="top"/>
          </w:tcPr>
          <w:p w14:paraId="71A7B2BC">
            <w:pPr>
              <w:spacing w:after="0" w:line="360" w:lineRule="auto"/>
              <w:jc w:val="center"/>
              <w:rPr>
                <w:rFonts w:hint="eastAsia" w:asciiTheme="minorEastAsia" w:hAnsiTheme="minorEastAsia" w:eastAsiaTheme="minorEastAsia" w:cstheme="minorEastAsia"/>
                <w:color w:val="000000"/>
                <w:sz w:val="21"/>
                <w:szCs w:val="21"/>
              </w:rPr>
            </w:pPr>
          </w:p>
        </w:tc>
        <w:tc>
          <w:tcPr>
            <w:tcW w:w="873" w:type="dxa"/>
            <w:tcBorders>
              <w:top w:val="single" w:color="000000" w:sz="4" w:space="0"/>
              <w:left w:val="single" w:color="000000" w:sz="4" w:space="0"/>
              <w:bottom w:val="single" w:color="000000" w:sz="4" w:space="0"/>
              <w:right w:val="single" w:color="000000" w:sz="4" w:space="0"/>
            </w:tcBorders>
            <w:noWrap w:val="0"/>
            <w:vAlign w:val="top"/>
          </w:tcPr>
          <w:p w14:paraId="099CC029">
            <w:pPr>
              <w:spacing w:after="0" w:line="360" w:lineRule="auto"/>
              <w:jc w:val="center"/>
              <w:rPr>
                <w:rFonts w:hint="eastAsia" w:asciiTheme="minorEastAsia" w:hAnsiTheme="minorEastAsia" w:eastAsiaTheme="minorEastAsia" w:cstheme="minorEastAsia"/>
                <w:color w:val="000000"/>
                <w:sz w:val="21"/>
                <w:szCs w:val="21"/>
                <w:lang w:val="en-US" w:eastAsia="zh-CN"/>
              </w:rPr>
            </w:pPr>
          </w:p>
        </w:tc>
      </w:tr>
    </w:tbl>
    <w:p w14:paraId="315CE7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p>
    <w:p w14:paraId="27C8CA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2、重点区域周边道路精细化治理</w:t>
      </w:r>
    </w:p>
    <w:p w14:paraId="71E860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sz w:val="24"/>
          <w:szCs w:val="24"/>
          <w:lang w:val="en-US" w:eastAsia="zh-CN" w:bidi="ar"/>
        </w:rPr>
        <w:t>以污染源管控为治理核心，对牛栏山镇3个重点区域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龙湖区域、工业园区、先进村区域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bidi="ar"/>
        </w:rPr>
        <w:t>及周边200米范围内的重点道路、健身活动场地、篮球场等区域在日常保洁的基础上，强化区域环境除尘力度，</w:t>
      </w:r>
      <w:r>
        <w:rPr>
          <w:rFonts w:hint="eastAsia" w:asciiTheme="minorEastAsia" w:hAnsiTheme="minorEastAsia" w:eastAsiaTheme="minorEastAsia" w:cstheme="minorEastAsia"/>
          <w:color w:val="000000"/>
          <w:sz w:val="24"/>
          <w:szCs w:val="24"/>
          <w:highlight w:val="none"/>
        </w:rPr>
        <w:t>拓展机械作业范围</w:t>
      </w:r>
      <w:r>
        <w:rPr>
          <w:rFonts w:hint="eastAsia" w:asciiTheme="minorEastAsia" w:hAnsiTheme="minorEastAsia" w:eastAsiaTheme="minorEastAsia" w:cstheme="minorEastAsia"/>
          <w:color w:val="000000"/>
          <w:sz w:val="24"/>
          <w:szCs w:val="24"/>
          <w:highlight w:val="none"/>
          <w:lang w:eastAsia="zh-CN"/>
        </w:rPr>
        <w:t>。</w:t>
      </w:r>
    </w:p>
    <w:p w14:paraId="2A0E2FCD">
      <w:pPr>
        <w:numPr>
          <w:ilvl w:val="0"/>
          <w:numId w:val="0"/>
        </w:numPr>
        <w:spacing w:line="360" w:lineRule="auto"/>
        <w:ind w:leftChars="0"/>
        <w:jc w:val="center"/>
        <w:rPr>
          <w:rFonts w:hint="eastAsia" w:asciiTheme="minorEastAsia" w:hAnsiTheme="minorEastAsia" w:eastAsiaTheme="minorEastAsia" w:cstheme="minorEastAsia"/>
          <w:b/>
          <w:bCs/>
          <w:sz w:val="24"/>
          <w:szCs w:val="24"/>
          <w:lang w:val="en-US" w:eastAsia="zh-CN" w:bidi="ar"/>
        </w:rPr>
      </w:pPr>
      <w:r>
        <w:rPr>
          <w:rFonts w:hint="eastAsia" w:asciiTheme="minorEastAsia" w:hAnsiTheme="minorEastAsia" w:eastAsiaTheme="minorEastAsia" w:cstheme="minorEastAsia"/>
          <w:b/>
          <w:bCs/>
          <w:sz w:val="24"/>
          <w:szCs w:val="24"/>
          <w:lang w:val="en-US" w:eastAsia="zh-CN" w:bidi="ar"/>
        </w:rPr>
        <w:t>龙湖重点区域区域位置图</w:t>
      </w:r>
    </w:p>
    <w:p w14:paraId="575CF96F">
      <w:pPr>
        <w:numPr>
          <w:ilvl w:val="0"/>
          <w:numId w:val="0"/>
        </w:numPr>
        <w:spacing w:line="360" w:lineRule="auto"/>
        <w:ind w:leftChars="0"/>
        <w:jc w:val="both"/>
        <w:rPr>
          <w:rFonts w:hint="eastAsia" w:asciiTheme="minorEastAsia" w:hAnsiTheme="minorEastAsia" w:eastAsiaTheme="minorEastAsia" w:cstheme="minorEastAsia"/>
          <w:b/>
          <w:bCs/>
          <w:sz w:val="24"/>
          <w:szCs w:val="24"/>
          <w:lang w:val="en-US" w:eastAsia="zh-CN" w:bidi="ar"/>
        </w:rPr>
      </w:pPr>
      <w:r>
        <w:rPr>
          <w:rFonts w:hint="eastAsia" w:asciiTheme="minorEastAsia" w:hAnsiTheme="minorEastAsia" w:eastAsiaTheme="minorEastAsia" w:cstheme="minorEastAsia"/>
          <w:b/>
          <w:bCs/>
          <w:sz w:val="24"/>
          <w:szCs w:val="24"/>
          <w:lang w:val="en-US" w:eastAsia="zh-CN" w:bidi="ar"/>
        </w:rPr>
        <w:drawing>
          <wp:inline distT="0" distB="0" distL="114300" distR="114300">
            <wp:extent cx="5264785" cy="3734435"/>
            <wp:effectExtent l="0" t="0" r="12065" b="18415"/>
            <wp:docPr id="1" name="图片 1" descr="龙湖区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龙湖区域"/>
                    <pic:cNvPicPr>
                      <a:picLocks noChangeAspect="1"/>
                    </pic:cNvPicPr>
                  </pic:nvPicPr>
                  <pic:blipFill>
                    <a:blip r:embed="rId22"/>
                    <a:stretch>
                      <a:fillRect/>
                    </a:stretch>
                  </pic:blipFill>
                  <pic:spPr>
                    <a:xfrm>
                      <a:off x="0" y="0"/>
                      <a:ext cx="5264785" cy="3734435"/>
                    </a:xfrm>
                    <a:prstGeom prst="rect">
                      <a:avLst/>
                    </a:prstGeom>
                    <a:noFill/>
                    <a:ln>
                      <a:noFill/>
                    </a:ln>
                  </pic:spPr>
                </pic:pic>
              </a:graphicData>
            </a:graphic>
          </wp:inline>
        </w:drawing>
      </w:r>
    </w:p>
    <w:p w14:paraId="20FD06EC">
      <w:pPr>
        <w:numPr>
          <w:ilvl w:val="0"/>
          <w:numId w:val="0"/>
        </w:numPr>
        <w:spacing w:line="360" w:lineRule="auto"/>
        <w:ind w:leftChars="0"/>
        <w:jc w:val="center"/>
        <w:rPr>
          <w:rFonts w:hint="eastAsia" w:asciiTheme="minorEastAsia" w:hAnsiTheme="minorEastAsia" w:eastAsiaTheme="minorEastAsia" w:cstheme="minorEastAsia"/>
          <w:b/>
          <w:bCs/>
          <w:sz w:val="24"/>
          <w:szCs w:val="24"/>
          <w:lang w:val="en-US" w:eastAsia="zh-CN" w:bidi="ar"/>
        </w:rPr>
      </w:pPr>
    </w:p>
    <w:p w14:paraId="24CFE8BF">
      <w:pPr>
        <w:numPr>
          <w:ilvl w:val="0"/>
          <w:numId w:val="0"/>
        </w:numPr>
        <w:spacing w:line="360" w:lineRule="auto"/>
        <w:ind w:leftChars="0"/>
        <w:jc w:val="center"/>
        <w:rPr>
          <w:rFonts w:hint="eastAsia" w:asciiTheme="minorEastAsia" w:hAnsiTheme="minorEastAsia" w:eastAsiaTheme="minorEastAsia" w:cstheme="minorEastAsia"/>
          <w:b/>
          <w:bCs/>
          <w:sz w:val="24"/>
          <w:szCs w:val="24"/>
          <w:lang w:val="en-US" w:eastAsia="zh-CN" w:bidi="ar"/>
        </w:rPr>
      </w:pPr>
      <w:r>
        <w:rPr>
          <w:rFonts w:hint="eastAsia" w:asciiTheme="minorEastAsia" w:hAnsiTheme="minorEastAsia" w:eastAsiaTheme="minorEastAsia" w:cstheme="minorEastAsia"/>
          <w:b/>
          <w:bCs/>
          <w:sz w:val="24"/>
          <w:szCs w:val="24"/>
          <w:lang w:val="en-US" w:eastAsia="zh-CN" w:bidi="ar"/>
        </w:rPr>
        <w:t>龙湖重点区域治理内容</w:t>
      </w:r>
    </w:p>
    <w:tbl>
      <w:tblPr>
        <w:tblStyle w:val="23"/>
        <w:tblW w:w="8324"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484"/>
        <w:gridCol w:w="983"/>
        <w:gridCol w:w="898"/>
        <w:gridCol w:w="1095"/>
        <w:gridCol w:w="1322"/>
        <w:gridCol w:w="1140"/>
        <w:gridCol w:w="1365"/>
        <w:gridCol w:w="1037"/>
      </w:tblGrid>
      <w:tr w14:paraId="71EC570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20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2CB01106">
            <w:pPr>
              <w:spacing w:before="283"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序号</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11C428F7">
            <w:pPr>
              <w:spacing w:before="28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道路名称</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60F9359F">
            <w:pPr>
              <w:spacing w:before="4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道路长度</w:t>
            </w:r>
          </w:p>
          <w:p w14:paraId="218A4654">
            <w:pPr>
              <w:spacing w:before="3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（米）</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33BA24A8">
            <w:pPr>
              <w:spacing w:before="4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道路总面</w:t>
            </w:r>
          </w:p>
          <w:p w14:paraId="128B9CE3">
            <w:pPr>
              <w:spacing w:before="3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积（㎡）</w:t>
            </w:r>
          </w:p>
        </w:tc>
        <w:tc>
          <w:tcPr>
            <w:tcW w:w="2462" w:type="dxa"/>
            <w:gridSpan w:val="2"/>
            <w:tcBorders>
              <w:top w:val="single" w:color="000000" w:sz="4" w:space="0"/>
              <w:left w:val="single" w:color="000000" w:sz="4" w:space="0"/>
              <w:bottom w:val="single" w:color="000000" w:sz="4" w:space="0"/>
              <w:right w:val="single" w:color="000000" w:sz="4" w:space="0"/>
            </w:tcBorders>
            <w:noWrap w:val="0"/>
            <w:vAlign w:val="top"/>
          </w:tcPr>
          <w:p w14:paraId="18D728E0">
            <w:pPr>
              <w:spacing w:before="28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eastAsia="zh-CN"/>
              </w:rPr>
              <w:t>洗扫</w:t>
            </w:r>
            <w:r>
              <w:rPr>
                <w:rFonts w:hint="eastAsia" w:asciiTheme="minorEastAsia" w:hAnsiTheme="minorEastAsia" w:eastAsiaTheme="minorEastAsia" w:cstheme="minorEastAsia"/>
                <w:color w:val="000000"/>
                <w:sz w:val="21"/>
                <w:szCs w:val="21"/>
              </w:rPr>
              <w:t>作业时间</w:t>
            </w:r>
          </w:p>
        </w:tc>
        <w:tc>
          <w:tcPr>
            <w:tcW w:w="2402" w:type="dxa"/>
            <w:gridSpan w:val="2"/>
            <w:tcBorders>
              <w:top w:val="single" w:color="000000" w:sz="4" w:space="0"/>
              <w:left w:val="single" w:color="000000" w:sz="4" w:space="0"/>
              <w:bottom w:val="single" w:color="000000" w:sz="4" w:space="0"/>
              <w:right w:val="single" w:color="000000" w:sz="4" w:space="0"/>
            </w:tcBorders>
            <w:noWrap w:val="0"/>
            <w:vAlign w:val="top"/>
          </w:tcPr>
          <w:p w14:paraId="5DE23597">
            <w:pPr>
              <w:spacing w:before="283"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降尘作业时间</w:t>
            </w:r>
          </w:p>
        </w:tc>
      </w:tr>
      <w:tr w14:paraId="309DAB8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4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5BFCB253">
            <w:pPr>
              <w:spacing w:before="268"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55CC5F84">
            <w:pPr>
              <w:spacing w:before="268" w:after="0"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香醍中路</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287778CD">
            <w:pPr>
              <w:spacing w:before="254"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72EF6709">
            <w:pPr>
              <w:spacing w:before="254"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30800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60111DF8">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389CC97">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13:00-18:00</w:t>
            </w: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2D59E0A5">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lang w:eastAsia="zh-CN"/>
              </w:rPr>
              <w:t>路面洗扫作业</w:t>
            </w: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lang w:eastAsia="zh-CN"/>
              </w:rPr>
              <w:t>遍</w:t>
            </w: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37EA0A4A">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3A1670F">
            <w:pPr>
              <w:spacing w:before="0"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sz w:val="21"/>
                <w:szCs w:val="21"/>
                <w:lang w:val="en-US" w:eastAsia="zh-CN"/>
              </w:rPr>
              <w:t>13:00-18:00</w:t>
            </w: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6C6FD9AB">
            <w:pPr>
              <w:spacing w:before="0"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路面降尘作业二遍</w:t>
            </w:r>
          </w:p>
        </w:tc>
      </w:tr>
      <w:tr w14:paraId="5D23BE7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2455FB58">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2E43718A">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禾贵街</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3937A32E">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116FB33A">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4500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1779A9D1">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EA6EECC">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39091CA9">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w:t>
            </w: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lang w:eastAsia="zh-CN"/>
              </w:rPr>
              <w:t>遍</w:t>
            </w: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61A35964">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2CAFFB51">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1C78793E">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路面降尘作业二遍</w:t>
            </w:r>
          </w:p>
        </w:tc>
      </w:tr>
      <w:tr w14:paraId="0745260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7A568388">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789FD0C9">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漫步二区东街</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44BDC9B7">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7F52DB32">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4000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5365502C">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5A13290">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2B03D2F6">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w:t>
            </w: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lang w:eastAsia="zh-CN"/>
              </w:rPr>
              <w:t>遍</w:t>
            </w: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0DAE736B">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3FD35FC">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5E848796">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路面降尘作业二遍</w:t>
            </w:r>
          </w:p>
        </w:tc>
      </w:tr>
      <w:tr w14:paraId="23C99C3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611F4D7B">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4DB7B6BA">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南帕尔湾北街街</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18DFD6BC">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0EDC8609">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12000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383C08F9">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54A83E4">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4E40F3E9">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w:t>
            </w: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lang w:eastAsia="zh-CN"/>
              </w:rPr>
              <w:t>遍</w:t>
            </w: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47A85CA8">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E02BEC2">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5FB50A3D">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路面降尘作业二遍</w:t>
            </w:r>
          </w:p>
        </w:tc>
      </w:tr>
      <w:tr w14:paraId="719E6CA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65D3DA07">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4107E7A5">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和美东街</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342814CB">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60113E0D">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7500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6BC204B5">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6AB665F5">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08930919">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w:t>
            </w: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lang w:eastAsia="zh-CN"/>
              </w:rPr>
              <w:t>遍</w:t>
            </w: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79666ECF">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65C34178">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553C62B5">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路面降尘作业二遍</w:t>
            </w:r>
          </w:p>
        </w:tc>
      </w:tr>
      <w:tr w14:paraId="6CA6994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4C4D46F4">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6</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5D73CE18">
            <w:pPr>
              <w:spacing w:before="268"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eastAsia="zh-CN"/>
              </w:rPr>
              <w:t>府前街</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0ECA0E31">
            <w:pPr>
              <w:spacing w:before="254"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1100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5C574F07">
            <w:pPr>
              <w:spacing w:before="254"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19600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728D95D4">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07956FF">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6D1810A0">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w:t>
            </w: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lang w:eastAsia="zh-CN"/>
              </w:rPr>
              <w:t>遍</w:t>
            </w: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029479C1">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AA188B6">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2E4D8909">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路面降尘作业二遍</w:t>
            </w:r>
          </w:p>
        </w:tc>
      </w:tr>
      <w:tr w14:paraId="5C0D077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0C9CC0A1">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7</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65ABFA0A">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恒华西街</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05A8555A">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500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77898679">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18000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69D5C63E">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D0AF2E3">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61148F73">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w:t>
            </w: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lang w:eastAsia="zh-CN"/>
              </w:rPr>
              <w:t>遍</w:t>
            </w: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221D4D7F">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13840FF">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1D66941A">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路面降尘作业二遍</w:t>
            </w:r>
          </w:p>
        </w:tc>
      </w:tr>
      <w:tr w14:paraId="107188E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19CF6B73">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4127BFDF">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康乐小区北区北路</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67258A23">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300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7ED0CE76">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2400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1989095F">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F217B4A">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69DBA67D">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w:t>
            </w: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lang w:eastAsia="zh-CN"/>
              </w:rPr>
              <w:t>遍</w:t>
            </w: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7E27A64E">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28C3ADC5">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3F9E9657">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路面降尘作业二遍</w:t>
            </w:r>
          </w:p>
        </w:tc>
      </w:tr>
      <w:tr w14:paraId="37F141A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53AB7874">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9</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2503CFA7">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一中路</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7568C1BC">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6E564DCC">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25000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6C6D97D1">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A6968D1">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13:00-18:00</w:t>
            </w: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6B20B66A">
            <w:pPr>
              <w:spacing w:before="0"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路面洗扫作业</w:t>
            </w: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lang w:eastAsia="zh-CN"/>
              </w:rPr>
              <w:t>遍</w:t>
            </w: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064B68C7">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271AFC6">
            <w:pPr>
              <w:spacing w:before="0"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sz w:val="21"/>
                <w:szCs w:val="21"/>
                <w:lang w:val="en-US" w:eastAsia="zh-CN"/>
              </w:rPr>
              <w:t>13:00-18:00</w:t>
            </w: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2B0D012F">
            <w:pPr>
              <w:spacing w:before="0"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路面降尘作业二遍</w:t>
            </w:r>
          </w:p>
        </w:tc>
      </w:tr>
      <w:tr w14:paraId="7C5E217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763"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2EAF2AAA">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697E0D37">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合计</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4A90833A">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5500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7C4792CB">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123800</w:t>
            </w:r>
          </w:p>
        </w:tc>
        <w:tc>
          <w:tcPr>
            <w:tcW w:w="1322" w:type="dxa"/>
            <w:tcBorders>
              <w:top w:val="single" w:color="000000" w:sz="4" w:space="0"/>
              <w:left w:val="single" w:color="000000" w:sz="4" w:space="0"/>
              <w:bottom w:val="single" w:color="000000" w:sz="4" w:space="0"/>
              <w:right w:val="single" w:color="000000" w:sz="4" w:space="0"/>
            </w:tcBorders>
            <w:noWrap w:val="0"/>
            <w:vAlign w:val="top"/>
          </w:tcPr>
          <w:p w14:paraId="57638DA3">
            <w:pPr>
              <w:spacing w:before="0" w:after="0" w:line="360" w:lineRule="auto"/>
              <w:jc w:val="center"/>
              <w:rPr>
                <w:rFonts w:hint="eastAsia" w:asciiTheme="minorEastAsia" w:hAnsiTheme="minorEastAsia" w:eastAsiaTheme="minorEastAsia" w:cstheme="minorEastAsia"/>
                <w:sz w:val="21"/>
                <w:szCs w:val="21"/>
                <w:lang w:val="en-US" w:eastAsia="zh-CN"/>
              </w:rPr>
            </w:pPr>
          </w:p>
        </w:tc>
        <w:tc>
          <w:tcPr>
            <w:tcW w:w="1140" w:type="dxa"/>
            <w:tcBorders>
              <w:top w:val="single" w:color="000000" w:sz="4" w:space="0"/>
              <w:left w:val="single" w:color="000000" w:sz="4" w:space="0"/>
              <w:bottom w:val="single" w:color="000000" w:sz="4" w:space="0"/>
              <w:right w:val="single" w:color="000000" w:sz="4" w:space="0"/>
            </w:tcBorders>
            <w:noWrap w:val="0"/>
            <w:vAlign w:val="top"/>
          </w:tcPr>
          <w:p w14:paraId="6171B08A">
            <w:pPr>
              <w:spacing w:before="0" w:after="0" w:line="360" w:lineRule="auto"/>
              <w:jc w:val="center"/>
              <w:rPr>
                <w:rFonts w:hint="eastAsia" w:asciiTheme="minorEastAsia" w:hAnsiTheme="minorEastAsia" w:eastAsiaTheme="minorEastAsia" w:cstheme="minorEastAsia"/>
                <w:color w:val="000000"/>
                <w:sz w:val="21"/>
                <w:szCs w:val="21"/>
                <w:lang w:eastAsia="zh-CN"/>
              </w:rPr>
            </w:pPr>
          </w:p>
        </w:tc>
        <w:tc>
          <w:tcPr>
            <w:tcW w:w="1365" w:type="dxa"/>
            <w:tcBorders>
              <w:top w:val="single" w:color="000000" w:sz="4" w:space="0"/>
              <w:left w:val="single" w:color="000000" w:sz="4" w:space="0"/>
              <w:bottom w:val="single" w:color="000000" w:sz="4" w:space="0"/>
              <w:right w:val="single" w:color="000000" w:sz="4" w:space="0"/>
            </w:tcBorders>
            <w:noWrap w:val="0"/>
            <w:vAlign w:val="top"/>
          </w:tcPr>
          <w:p w14:paraId="689A2FD5">
            <w:pPr>
              <w:spacing w:before="0" w:after="0" w:line="360" w:lineRule="auto"/>
              <w:jc w:val="center"/>
              <w:rPr>
                <w:rFonts w:hint="eastAsia" w:asciiTheme="minorEastAsia" w:hAnsiTheme="minorEastAsia" w:eastAsiaTheme="minorEastAsia" w:cstheme="minorEastAsia"/>
                <w:sz w:val="21"/>
                <w:szCs w:val="21"/>
                <w:lang w:val="en-US" w:eastAsia="zh-CN"/>
              </w:rPr>
            </w:pPr>
          </w:p>
        </w:tc>
        <w:tc>
          <w:tcPr>
            <w:tcW w:w="1037" w:type="dxa"/>
            <w:tcBorders>
              <w:top w:val="single" w:color="000000" w:sz="4" w:space="0"/>
              <w:left w:val="single" w:color="000000" w:sz="4" w:space="0"/>
              <w:bottom w:val="single" w:color="000000" w:sz="4" w:space="0"/>
              <w:right w:val="single" w:color="000000" w:sz="4" w:space="0"/>
            </w:tcBorders>
            <w:noWrap w:val="0"/>
            <w:vAlign w:val="top"/>
          </w:tcPr>
          <w:p w14:paraId="2C96295F">
            <w:pPr>
              <w:spacing w:before="0" w:after="0" w:line="360" w:lineRule="auto"/>
              <w:jc w:val="center"/>
              <w:rPr>
                <w:rFonts w:hint="eastAsia" w:asciiTheme="minorEastAsia" w:hAnsiTheme="minorEastAsia" w:eastAsiaTheme="minorEastAsia" w:cstheme="minorEastAsia"/>
                <w:color w:val="000000"/>
                <w:sz w:val="21"/>
                <w:szCs w:val="21"/>
                <w:lang w:val="en-US" w:eastAsia="zh-CN"/>
              </w:rPr>
            </w:pPr>
          </w:p>
        </w:tc>
      </w:tr>
    </w:tbl>
    <w:p w14:paraId="1B25B7BE">
      <w:pPr>
        <w:numPr>
          <w:ilvl w:val="0"/>
          <w:numId w:val="0"/>
        </w:numPr>
        <w:spacing w:line="360" w:lineRule="auto"/>
        <w:ind w:leftChars="0" w:firstLine="480" w:firstLineChars="200"/>
        <w:jc w:val="left"/>
        <w:rPr>
          <w:rFonts w:hint="eastAsia" w:asciiTheme="minorEastAsia" w:hAnsiTheme="minorEastAsia" w:eastAsiaTheme="minorEastAsia" w:cstheme="minorEastAsia"/>
          <w:b w:val="0"/>
          <w:bCs w:val="0"/>
          <w:sz w:val="24"/>
          <w:szCs w:val="24"/>
          <w:lang w:val="en-US" w:eastAsia="zh-CN" w:bidi="ar"/>
        </w:rPr>
      </w:pPr>
    </w:p>
    <w:p w14:paraId="08E406E3">
      <w:pPr>
        <w:numPr>
          <w:ilvl w:val="0"/>
          <w:numId w:val="0"/>
        </w:numPr>
        <w:spacing w:line="360" w:lineRule="auto"/>
        <w:ind w:leftChars="0"/>
        <w:jc w:val="center"/>
        <w:rPr>
          <w:rFonts w:hint="eastAsia" w:asciiTheme="minorEastAsia" w:hAnsiTheme="minorEastAsia" w:eastAsiaTheme="minorEastAsia" w:cstheme="minorEastAsia"/>
          <w:b/>
          <w:bCs/>
          <w:sz w:val="24"/>
          <w:szCs w:val="24"/>
          <w:lang w:val="en-US" w:eastAsia="zh-CN" w:bidi="ar"/>
        </w:rPr>
      </w:pPr>
      <w:r>
        <w:rPr>
          <w:rFonts w:hint="eastAsia" w:asciiTheme="minorEastAsia" w:hAnsiTheme="minorEastAsia" w:eastAsiaTheme="minorEastAsia" w:cstheme="minorEastAsia"/>
          <w:b/>
          <w:bCs/>
          <w:sz w:val="24"/>
          <w:szCs w:val="24"/>
          <w:lang w:val="en-US" w:eastAsia="zh-CN" w:bidi="ar"/>
        </w:rPr>
        <w:t>工业区重点区域治理位置图</w:t>
      </w:r>
    </w:p>
    <w:p w14:paraId="68775893">
      <w:pPr>
        <w:numPr>
          <w:ilvl w:val="0"/>
          <w:numId w:val="0"/>
        </w:numPr>
        <w:spacing w:line="360" w:lineRule="auto"/>
        <w:ind w:leftChars="200"/>
        <w:jc w:val="center"/>
        <w:rPr>
          <w:rFonts w:hint="eastAsia" w:asciiTheme="minorEastAsia" w:hAnsiTheme="minorEastAsia" w:eastAsiaTheme="minorEastAsia" w:cstheme="minorEastAsia"/>
          <w:b/>
          <w:bCs/>
          <w:sz w:val="24"/>
          <w:szCs w:val="24"/>
          <w:lang w:val="en-US" w:eastAsia="zh-CN" w:bidi="ar"/>
        </w:rPr>
      </w:pPr>
      <w:r>
        <w:rPr>
          <w:rFonts w:hint="eastAsia" w:asciiTheme="minorEastAsia" w:hAnsiTheme="minorEastAsia" w:eastAsiaTheme="minorEastAsia" w:cstheme="minorEastAsia"/>
          <w:b/>
          <w:bCs/>
          <w:sz w:val="24"/>
          <w:szCs w:val="24"/>
          <w:lang w:val="en-US" w:eastAsia="zh-CN" w:bidi="ar"/>
        </w:rPr>
        <w:drawing>
          <wp:inline distT="0" distB="0" distL="114300" distR="114300">
            <wp:extent cx="5268595" cy="3051810"/>
            <wp:effectExtent l="0" t="0" r="8255" b="15240"/>
            <wp:docPr id="3" name="图片 2" descr="工业区区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工业区区域"/>
                    <pic:cNvPicPr>
                      <a:picLocks noChangeAspect="1"/>
                    </pic:cNvPicPr>
                  </pic:nvPicPr>
                  <pic:blipFill>
                    <a:blip r:embed="rId23"/>
                    <a:stretch>
                      <a:fillRect/>
                    </a:stretch>
                  </pic:blipFill>
                  <pic:spPr>
                    <a:xfrm>
                      <a:off x="0" y="0"/>
                      <a:ext cx="5268595" cy="3051810"/>
                    </a:xfrm>
                    <a:prstGeom prst="rect">
                      <a:avLst/>
                    </a:prstGeom>
                    <a:noFill/>
                    <a:ln>
                      <a:noFill/>
                    </a:ln>
                  </pic:spPr>
                </pic:pic>
              </a:graphicData>
            </a:graphic>
          </wp:inline>
        </w:drawing>
      </w:r>
    </w:p>
    <w:p w14:paraId="39D32DB9">
      <w:pPr>
        <w:numPr>
          <w:ilvl w:val="0"/>
          <w:numId w:val="0"/>
        </w:numPr>
        <w:spacing w:line="360" w:lineRule="auto"/>
        <w:ind w:leftChars="0"/>
        <w:jc w:val="center"/>
        <w:rPr>
          <w:rFonts w:hint="eastAsia" w:asciiTheme="minorEastAsia" w:hAnsiTheme="minorEastAsia" w:eastAsiaTheme="minorEastAsia" w:cstheme="minorEastAsia"/>
          <w:b/>
          <w:bCs/>
          <w:sz w:val="24"/>
          <w:szCs w:val="24"/>
          <w:lang w:val="en-US" w:eastAsia="zh-CN" w:bidi="ar"/>
        </w:rPr>
      </w:pPr>
      <w:r>
        <w:rPr>
          <w:rFonts w:hint="eastAsia" w:asciiTheme="minorEastAsia" w:hAnsiTheme="minorEastAsia" w:eastAsiaTheme="minorEastAsia" w:cstheme="minorEastAsia"/>
          <w:b/>
          <w:bCs/>
          <w:sz w:val="24"/>
          <w:szCs w:val="24"/>
          <w:lang w:val="en-US" w:eastAsia="zh-CN" w:bidi="ar"/>
        </w:rPr>
        <w:t>工业园区重点区域治理内容</w:t>
      </w:r>
    </w:p>
    <w:tbl>
      <w:tblPr>
        <w:tblStyle w:val="23"/>
        <w:tblW w:w="8329"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500"/>
        <w:gridCol w:w="1250"/>
        <w:gridCol w:w="971"/>
        <w:gridCol w:w="1003"/>
        <w:gridCol w:w="1335"/>
        <w:gridCol w:w="960"/>
        <w:gridCol w:w="1305"/>
        <w:gridCol w:w="1005"/>
      </w:tblGrid>
      <w:tr w14:paraId="30128B0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873"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66832F04">
            <w:pPr>
              <w:spacing w:before="283"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序号</w:t>
            </w:r>
          </w:p>
        </w:tc>
        <w:tc>
          <w:tcPr>
            <w:tcW w:w="1250" w:type="dxa"/>
            <w:tcBorders>
              <w:top w:val="single" w:color="000000" w:sz="4" w:space="0"/>
              <w:left w:val="single" w:color="000000" w:sz="4" w:space="0"/>
              <w:bottom w:val="single" w:color="000000" w:sz="4" w:space="0"/>
              <w:right w:val="single" w:color="000000" w:sz="4" w:space="0"/>
            </w:tcBorders>
            <w:noWrap w:val="0"/>
            <w:vAlign w:val="top"/>
          </w:tcPr>
          <w:p w14:paraId="145E7FBB">
            <w:pPr>
              <w:spacing w:before="28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道路名称</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2452D744">
            <w:pPr>
              <w:spacing w:before="4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道路长度</w:t>
            </w:r>
          </w:p>
          <w:p w14:paraId="002D6906">
            <w:pPr>
              <w:spacing w:before="3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（米）</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1D4342B6">
            <w:pPr>
              <w:spacing w:before="4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道路总面</w:t>
            </w:r>
          </w:p>
          <w:p w14:paraId="4ECA73BA">
            <w:pPr>
              <w:spacing w:before="3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积（㎡）</w:t>
            </w:r>
          </w:p>
        </w:tc>
        <w:tc>
          <w:tcPr>
            <w:tcW w:w="2295" w:type="dxa"/>
            <w:gridSpan w:val="2"/>
            <w:tcBorders>
              <w:top w:val="single" w:color="000000" w:sz="4" w:space="0"/>
              <w:left w:val="single" w:color="000000" w:sz="4" w:space="0"/>
              <w:bottom w:val="single" w:color="000000" w:sz="4" w:space="0"/>
              <w:right w:val="single" w:color="000000" w:sz="4" w:space="0"/>
            </w:tcBorders>
            <w:noWrap w:val="0"/>
            <w:vAlign w:val="top"/>
          </w:tcPr>
          <w:p w14:paraId="6B97B37B">
            <w:pPr>
              <w:spacing w:before="28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eastAsia="zh-CN"/>
              </w:rPr>
              <w:t>洗扫</w:t>
            </w:r>
            <w:r>
              <w:rPr>
                <w:rFonts w:hint="eastAsia" w:asciiTheme="minorEastAsia" w:hAnsiTheme="minorEastAsia" w:eastAsiaTheme="minorEastAsia" w:cstheme="minorEastAsia"/>
                <w:color w:val="000000"/>
                <w:sz w:val="21"/>
                <w:szCs w:val="21"/>
              </w:rPr>
              <w:t>作业时间</w:t>
            </w:r>
          </w:p>
        </w:tc>
        <w:tc>
          <w:tcPr>
            <w:tcW w:w="2310" w:type="dxa"/>
            <w:gridSpan w:val="2"/>
            <w:tcBorders>
              <w:top w:val="single" w:color="000000" w:sz="4" w:space="0"/>
              <w:left w:val="single" w:color="000000" w:sz="4" w:space="0"/>
              <w:bottom w:val="single" w:color="000000" w:sz="4" w:space="0"/>
              <w:right w:val="single" w:color="000000" w:sz="4" w:space="0"/>
            </w:tcBorders>
            <w:noWrap w:val="0"/>
            <w:vAlign w:val="top"/>
          </w:tcPr>
          <w:p w14:paraId="51D5E58F">
            <w:pPr>
              <w:spacing w:before="283"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降尘作业时间</w:t>
            </w:r>
          </w:p>
        </w:tc>
      </w:tr>
      <w:tr w14:paraId="2359E9A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4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3156F614">
            <w:pPr>
              <w:spacing w:before="268"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5144DC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腾仁路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34C3619F">
            <w:pPr>
              <w:spacing w:before="254"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2300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21492BDE">
            <w:pPr>
              <w:spacing w:before="254"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37040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3A165FBD">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AA210F4">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2E57C8DB">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7CC13B3B">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A6B1D59">
            <w:pPr>
              <w:spacing w:before="0" w:after="0" w:line="360" w:lineRule="auto"/>
              <w:jc w:val="both"/>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1EB67466">
            <w:pPr>
              <w:spacing w:before="0"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路面降尘作业一遍</w:t>
            </w:r>
          </w:p>
        </w:tc>
      </w:tr>
      <w:tr w14:paraId="71776AF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5A021EE3">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195B04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牛汇街（牛相路）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3DA47045">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1800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1A66AB09">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33000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3BF2D2DB">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8FE507D">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02A61F1C">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37EE71D7">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0C2070CB">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421D6814">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1DC2AAA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772A0532">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2D50B2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开发区西路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33DA2B0A">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1C3F916D">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4100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0E269229">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EB1F25A">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20F0681E">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302E7F7D">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0F800F64">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6697CDEE">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2221421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4D64274E">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B7B48D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开发区北路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1DDD51BB">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340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73EDBA71">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2380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577BC539">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B44F79B">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40BEA413">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5D2BEB3B">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1C217DF">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0E7D69E4">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39F41D0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4263EA5E">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6B9169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芦卷路（123乡道）</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4EED2486">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1200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1EE5F369">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13500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107FBD2F">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1490253D">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7F334DD1">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585B6C6F">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8CC5274">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570AE05B">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4F3F100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45A1FEFA">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6</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8EDE8E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官卷路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00D5E3A8">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620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292883AE">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4350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0EC48215">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EF8A57C">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49CF46C9">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414C653E">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4124195">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62C5133B">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3FFAE92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0E58C5ED">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7</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D4CA8B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工业区二路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7EADB0D5">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1D7E1FA3">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10500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2CBCDFDA">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088730D">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6CDAA0D8">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54B0B54D">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683005E">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725D6337">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21463DD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2D8D64ED">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1CA857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相各庄村开发南路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684F5552">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1B4733E6">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4000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0ECA0A84">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24F72067">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17EB5EA2">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00B54E1A">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1BFEB28B">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7646CF99">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1173993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37258E00">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9</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CCAC19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芦相路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0A39E519">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400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7491170B">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3000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4A57C312">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12DA744C">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10085D78">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34D3C9A5">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E075F16">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50D5CFD4">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66A2B69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5A7E3FDB">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0422FE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冷库路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5C50FB01">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380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19BC6AB0">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2600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7A42E768">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27136C1">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646C480C">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7409803C">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29E6B0E7">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4D83EA92">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6949270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3DE7B9BC">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11</w:t>
            </w:r>
          </w:p>
        </w:tc>
        <w:tc>
          <w:tcPr>
            <w:tcW w:w="1250" w:type="dxa"/>
            <w:tcBorders>
              <w:top w:val="single" w:color="000000" w:sz="4" w:space="0"/>
              <w:left w:val="single" w:color="000000" w:sz="4" w:space="0"/>
              <w:bottom w:val="single" w:color="000000" w:sz="4" w:space="0"/>
              <w:right w:val="single" w:color="000000" w:sz="4" w:space="0"/>
            </w:tcBorders>
            <w:noWrap w:val="0"/>
            <w:vAlign w:val="top"/>
          </w:tcPr>
          <w:p w14:paraId="14FD8E8A">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芦正卷北大街</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4E915A75">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6447FE90">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1C0B4342">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6FDEC933">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4716CF5E">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323D2119">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1A55BAE4">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0A22FD23">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18F1F9D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1DA2F6E0">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12</w:t>
            </w:r>
          </w:p>
        </w:tc>
        <w:tc>
          <w:tcPr>
            <w:tcW w:w="1250" w:type="dxa"/>
            <w:tcBorders>
              <w:top w:val="single" w:color="000000" w:sz="4" w:space="0"/>
              <w:left w:val="single" w:color="000000" w:sz="4" w:space="0"/>
              <w:bottom w:val="single" w:color="000000" w:sz="4" w:space="0"/>
              <w:right w:val="single" w:color="000000" w:sz="4" w:space="0"/>
            </w:tcBorders>
            <w:noWrap w:val="0"/>
            <w:vAlign w:val="top"/>
          </w:tcPr>
          <w:p w14:paraId="5E073CFC">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范各庄内环路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4745C213">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600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3830F8AE">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5000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343E4A56">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B4EE52A">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207408F7">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08B96EAD">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0615ACFD">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0BEFB861">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0708CC2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1E24B305">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13</w:t>
            </w:r>
          </w:p>
        </w:tc>
        <w:tc>
          <w:tcPr>
            <w:tcW w:w="1250" w:type="dxa"/>
            <w:tcBorders>
              <w:top w:val="single" w:color="000000" w:sz="4" w:space="0"/>
              <w:left w:val="single" w:color="000000" w:sz="4" w:space="0"/>
              <w:bottom w:val="single" w:color="000000" w:sz="4" w:space="0"/>
              <w:right w:val="single" w:color="000000" w:sz="4" w:space="0"/>
            </w:tcBorders>
            <w:noWrap w:val="0"/>
            <w:vAlign w:val="top"/>
          </w:tcPr>
          <w:p w14:paraId="7D594C04">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罗田路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3677DDC6">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410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6A2D0E5D">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2150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0B58AFFD">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28375FD">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789A365C">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49445904">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520009C">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49E217D6">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2F8EC02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783EA77D">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14</w:t>
            </w:r>
          </w:p>
        </w:tc>
        <w:tc>
          <w:tcPr>
            <w:tcW w:w="1250" w:type="dxa"/>
            <w:tcBorders>
              <w:top w:val="single" w:color="000000" w:sz="4" w:space="0"/>
              <w:left w:val="single" w:color="000000" w:sz="4" w:space="0"/>
              <w:bottom w:val="single" w:color="000000" w:sz="4" w:space="0"/>
              <w:right w:val="single" w:color="000000" w:sz="4" w:space="0"/>
            </w:tcBorders>
            <w:noWrap w:val="0"/>
            <w:vAlign w:val="top"/>
          </w:tcPr>
          <w:p w14:paraId="3D7F071A">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相各庄北路</w:t>
            </w:r>
          </w:p>
        </w:tc>
        <w:tc>
          <w:tcPr>
            <w:tcW w:w="971" w:type="dxa"/>
            <w:tcBorders>
              <w:top w:val="single" w:color="000000" w:sz="4" w:space="0"/>
              <w:left w:val="single" w:color="000000" w:sz="4" w:space="0"/>
              <w:bottom w:val="single" w:color="000000" w:sz="4" w:space="0"/>
              <w:right w:val="single" w:color="000000" w:sz="4" w:space="0"/>
            </w:tcBorders>
            <w:noWrap w:val="0"/>
            <w:vAlign w:val="top"/>
          </w:tcPr>
          <w:p w14:paraId="200C6D03">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900</w:t>
            </w:r>
          </w:p>
        </w:tc>
        <w:tc>
          <w:tcPr>
            <w:tcW w:w="1003" w:type="dxa"/>
            <w:tcBorders>
              <w:top w:val="single" w:color="000000" w:sz="4" w:space="0"/>
              <w:left w:val="single" w:color="000000" w:sz="4" w:space="0"/>
              <w:bottom w:val="single" w:color="000000" w:sz="4" w:space="0"/>
              <w:right w:val="single" w:color="000000" w:sz="4" w:space="0"/>
            </w:tcBorders>
            <w:noWrap w:val="0"/>
            <w:vAlign w:val="top"/>
          </w:tcPr>
          <w:p w14:paraId="65F9D705">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13500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6D89785E">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EAF1C09">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3495117C">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56917027">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0DFC9C26">
            <w:pPr>
              <w:spacing w:before="0" w:after="0" w:line="360" w:lineRule="auto"/>
              <w:jc w:val="both"/>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7C7333B2">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5704C51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97"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top"/>
          </w:tcPr>
          <w:p w14:paraId="112951B2">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90DE702">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合计</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615FCF8">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11150</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14:paraId="64F8000A">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140120</w:t>
            </w:r>
          </w:p>
        </w:tc>
        <w:tc>
          <w:tcPr>
            <w:tcW w:w="1335" w:type="dxa"/>
            <w:tcBorders>
              <w:top w:val="single" w:color="000000" w:sz="4" w:space="0"/>
              <w:left w:val="single" w:color="000000" w:sz="4" w:space="0"/>
              <w:bottom w:val="single" w:color="000000" w:sz="4" w:space="0"/>
              <w:right w:val="single" w:color="000000" w:sz="4" w:space="0"/>
            </w:tcBorders>
            <w:noWrap w:val="0"/>
            <w:vAlign w:val="top"/>
          </w:tcPr>
          <w:p w14:paraId="48AD025F">
            <w:pPr>
              <w:spacing w:before="0" w:after="0" w:line="360" w:lineRule="auto"/>
              <w:jc w:val="both"/>
              <w:rPr>
                <w:rFonts w:hint="eastAsia" w:asciiTheme="minorEastAsia" w:hAnsiTheme="minorEastAsia" w:eastAsiaTheme="minorEastAsia" w:cstheme="minorEastAsia"/>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top"/>
          </w:tcPr>
          <w:p w14:paraId="0341DDFD">
            <w:pPr>
              <w:spacing w:before="0" w:after="0" w:line="360" w:lineRule="auto"/>
              <w:jc w:val="center"/>
              <w:rPr>
                <w:rFonts w:hint="eastAsia" w:asciiTheme="minorEastAsia" w:hAnsiTheme="minorEastAsia" w:eastAsiaTheme="minorEastAsia" w:cstheme="minorEastAsia"/>
                <w:color w:val="000000"/>
                <w:sz w:val="21"/>
                <w:szCs w:val="21"/>
                <w:lang w:eastAsia="zh-CN"/>
              </w:rPr>
            </w:pPr>
          </w:p>
        </w:tc>
        <w:tc>
          <w:tcPr>
            <w:tcW w:w="1305" w:type="dxa"/>
            <w:tcBorders>
              <w:top w:val="single" w:color="000000" w:sz="4" w:space="0"/>
              <w:left w:val="single" w:color="000000" w:sz="4" w:space="0"/>
              <w:bottom w:val="single" w:color="000000" w:sz="4" w:space="0"/>
              <w:right w:val="single" w:color="000000" w:sz="4" w:space="0"/>
            </w:tcBorders>
            <w:noWrap w:val="0"/>
            <w:vAlign w:val="top"/>
          </w:tcPr>
          <w:p w14:paraId="0B107AF0">
            <w:pPr>
              <w:spacing w:before="0" w:after="0" w:line="360" w:lineRule="auto"/>
              <w:jc w:val="both"/>
              <w:rPr>
                <w:rFonts w:hint="eastAsia" w:asciiTheme="minorEastAsia" w:hAnsiTheme="minorEastAsia" w:eastAsiaTheme="minorEastAsia" w:cstheme="minorEastAsia"/>
                <w:sz w:val="21"/>
                <w:szCs w:val="21"/>
                <w:lang w:val="en-US" w:eastAsia="zh-CN"/>
              </w:rPr>
            </w:pPr>
          </w:p>
        </w:tc>
        <w:tc>
          <w:tcPr>
            <w:tcW w:w="1005" w:type="dxa"/>
            <w:tcBorders>
              <w:top w:val="single" w:color="000000" w:sz="4" w:space="0"/>
              <w:left w:val="single" w:color="000000" w:sz="4" w:space="0"/>
              <w:bottom w:val="single" w:color="000000" w:sz="4" w:space="0"/>
              <w:right w:val="single" w:color="000000" w:sz="4" w:space="0"/>
            </w:tcBorders>
            <w:noWrap w:val="0"/>
            <w:vAlign w:val="top"/>
          </w:tcPr>
          <w:p w14:paraId="0CB13448">
            <w:pPr>
              <w:spacing w:before="0" w:after="0" w:line="360" w:lineRule="auto"/>
              <w:jc w:val="center"/>
              <w:rPr>
                <w:rFonts w:hint="eastAsia" w:asciiTheme="minorEastAsia" w:hAnsiTheme="minorEastAsia" w:eastAsiaTheme="minorEastAsia" w:cstheme="minorEastAsia"/>
                <w:color w:val="000000"/>
                <w:sz w:val="21"/>
                <w:szCs w:val="21"/>
                <w:lang w:val="en-US" w:eastAsia="zh-CN"/>
              </w:rPr>
            </w:pPr>
          </w:p>
        </w:tc>
      </w:tr>
    </w:tbl>
    <w:p w14:paraId="4B3E7430">
      <w:pPr>
        <w:numPr>
          <w:ilvl w:val="0"/>
          <w:numId w:val="0"/>
        </w:numPr>
        <w:spacing w:line="360" w:lineRule="auto"/>
        <w:jc w:val="center"/>
        <w:rPr>
          <w:rFonts w:hint="eastAsia" w:asciiTheme="minorEastAsia" w:hAnsiTheme="minorEastAsia" w:eastAsiaTheme="minorEastAsia" w:cstheme="minorEastAsia"/>
          <w:b/>
          <w:bCs/>
          <w:sz w:val="24"/>
          <w:szCs w:val="24"/>
          <w:lang w:val="en-US" w:eastAsia="zh-CN" w:bidi="ar"/>
        </w:rPr>
      </w:pPr>
      <w:r>
        <w:rPr>
          <w:rFonts w:hint="eastAsia" w:asciiTheme="minorEastAsia" w:hAnsiTheme="minorEastAsia" w:eastAsiaTheme="minorEastAsia" w:cstheme="minorEastAsia"/>
          <w:b/>
          <w:bCs/>
          <w:sz w:val="24"/>
          <w:szCs w:val="24"/>
          <w:lang w:val="en-US" w:eastAsia="zh-CN" w:bidi="ar"/>
        </w:rPr>
        <w:t>先进村重点区域位置图</w:t>
      </w:r>
    </w:p>
    <w:p w14:paraId="602C1871">
      <w:pPr>
        <w:numPr>
          <w:ilvl w:val="0"/>
          <w:numId w:val="0"/>
        </w:numPr>
        <w:spacing w:line="360" w:lineRule="auto"/>
        <w:jc w:val="center"/>
        <w:rPr>
          <w:rFonts w:hint="eastAsia" w:asciiTheme="minorEastAsia" w:hAnsiTheme="minorEastAsia" w:eastAsiaTheme="minorEastAsia" w:cstheme="minorEastAsia"/>
          <w:b/>
          <w:bCs/>
          <w:sz w:val="24"/>
          <w:szCs w:val="24"/>
          <w:lang w:val="en-US" w:eastAsia="zh-CN" w:bidi="ar"/>
        </w:rPr>
      </w:pPr>
      <w:r>
        <w:rPr>
          <w:rFonts w:hint="eastAsia" w:asciiTheme="minorEastAsia" w:hAnsiTheme="minorEastAsia" w:eastAsiaTheme="minorEastAsia" w:cstheme="minorEastAsia"/>
          <w:b/>
          <w:bCs/>
          <w:sz w:val="24"/>
          <w:szCs w:val="24"/>
          <w:lang w:val="en-US" w:eastAsia="zh-CN" w:bidi="ar"/>
        </w:rPr>
        <w:drawing>
          <wp:inline distT="0" distB="0" distL="114300" distR="114300">
            <wp:extent cx="5264785" cy="3429635"/>
            <wp:effectExtent l="0" t="0" r="12065" b="18415"/>
            <wp:docPr id="2" name="图片 3" descr="先进村区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先进村区域"/>
                    <pic:cNvPicPr>
                      <a:picLocks noChangeAspect="1"/>
                    </pic:cNvPicPr>
                  </pic:nvPicPr>
                  <pic:blipFill>
                    <a:blip r:embed="rId24"/>
                    <a:stretch>
                      <a:fillRect/>
                    </a:stretch>
                  </pic:blipFill>
                  <pic:spPr>
                    <a:xfrm>
                      <a:off x="0" y="0"/>
                      <a:ext cx="5264785" cy="3429635"/>
                    </a:xfrm>
                    <a:prstGeom prst="rect">
                      <a:avLst/>
                    </a:prstGeom>
                    <a:noFill/>
                    <a:ln>
                      <a:noFill/>
                    </a:ln>
                  </pic:spPr>
                </pic:pic>
              </a:graphicData>
            </a:graphic>
          </wp:inline>
        </w:drawing>
      </w:r>
    </w:p>
    <w:p w14:paraId="7FE28D73">
      <w:pPr>
        <w:numPr>
          <w:ilvl w:val="0"/>
          <w:numId w:val="0"/>
        </w:numPr>
        <w:spacing w:line="360" w:lineRule="auto"/>
        <w:jc w:val="center"/>
        <w:rPr>
          <w:rFonts w:hint="eastAsia" w:asciiTheme="minorEastAsia" w:hAnsiTheme="minorEastAsia" w:eastAsiaTheme="minorEastAsia" w:cstheme="minorEastAsia"/>
          <w:b/>
          <w:bCs/>
          <w:sz w:val="24"/>
          <w:szCs w:val="24"/>
          <w:lang w:val="en-US" w:eastAsia="zh-CN" w:bidi="ar"/>
        </w:rPr>
      </w:pPr>
      <w:r>
        <w:rPr>
          <w:rFonts w:hint="eastAsia" w:asciiTheme="minorEastAsia" w:hAnsiTheme="minorEastAsia" w:eastAsiaTheme="minorEastAsia" w:cstheme="minorEastAsia"/>
          <w:b/>
          <w:bCs/>
          <w:sz w:val="24"/>
          <w:szCs w:val="24"/>
          <w:lang w:val="en-US" w:eastAsia="zh-CN" w:bidi="ar"/>
        </w:rPr>
        <w:t>先进村重点区域治理内容</w:t>
      </w:r>
    </w:p>
    <w:tbl>
      <w:tblPr>
        <w:tblStyle w:val="23"/>
        <w:tblW w:w="8003"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484"/>
        <w:gridCol w:w="983"/>
        <w:gridCol w:w="898"/>
        <w:gridCol w:w="1095"/>
        <w:gridCol w:w="1333"/>
        <w:gridCol w:w="930"/>
        <w:gridCol w:w="1260"/>
        <w:gridCol w:w="1020"/>
      </w:tblGrid>
      <w:tr w14:paraId="0503349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23"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561FAD0C">
            <w:pPr>
              <w:spacing w:before="283"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序号</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4A510C0B">
            <w:pPr>
              <w:spacing w:before="28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道路名称</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2165BCDB">
            <w:pPr>
              <w:spacing w:before="4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道路长度</w:t>
            </w:r>
          </w:p>
          <w:p w14:paraId="1AE1D62C">
            <w:pPr>
              <w:spacing w:before="3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（米）</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37B74A80">
            <w:pPr>
              <w:spacing w:before="4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道路总面</w:t>
            </w:r>
          </w:p>
          <w:p w14:paraId="3A4BDEF9">
            <w:pPr>
              <w:spacing w:before="3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积（㎡）</w:t>
            </w:r>
          </w:p>
        </w:tc>
        <w:tc>
          <w:tcPr>
            <w:tcW w:w="2263" w:type="dxa"/>
            <w:gridSpan w:val="2"/>
            <w:tcBorders>
              <w:top w:val="single" w:color="000000" w:sz="4" w:space="0"/>
              <w:left w:val="single" w:color="000000" w:sz="4" w:space="0"/>
              <w:bottom w:val="single" w:color="000000" w:sz="4" w:space="0"/>
              <w:right w:val="single" w:color="000000" w:sz="4" w:space="0"/>
            </w:tcBorders>
            <w:noWrap w:val="0"/>
            <w:vAlign w:val="top"/>
          </w:tcPr>
          <w:p w14:paraId="4706C7FB">
            <w:pPr>
              <w:spacing w:before="283" w:after="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eastAsia="zh-CN"/>
              </w:rPr>
              <w:t>洗扫</w:t>
            </w:r>
            <w:r>
              <w:rPr>
                <w:rFonts w:hint="eastAsia" w:asciiTheme="minorEastAsia" w:hAnsiTheme="minorEastAsia" w:eastAsiaTheme="minorEastAsia" w:cstheme="minorEastAsia"/>
                <w:color w:val="000000"/>
                <w:sz w:val="21"/>
                <w:szCs w:val="21"/>
              </w:rPr>
              <w:t>作业时间</w:t>
            </w:r>
          </w:p>
        </w:tc>
        <w:tc>
          <w:tcPr>
            <w:tcW w:w="2280" w:type="dxa"/>
            <w:gridSpan w:val="2"/>
            <w:tcBorders>
              <w:top w:val="single" w:color="000000" w:sz="4" w:space="0"/>
              <w:left w:val="single" w:color="000000" w:sz="4" w:space="0"/>
              <w:bottom w:val="single" w:color="000000" w:sz="4" w:space="0"/>
              <w:right w:val="single" w:color="000000" w:sz="4" w:space="0"/>
            </w:tcBorders>
            <w:noWrap w:val="0"/>
            <w:vAlign w:val="top"/>
          </w:tcPr>
          <w:p w14:paraId="58EDC458">
            <w:pPr>
              <w:spacing w:before="283" w:after="0" w:line="360" w:lineRule="auto"/>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降尘作业时间</w:t>
            </w:r>
          </w:p>
        </w:tc>
      </w:tr>
      <w:tr w14:paraId="603FBDF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4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030B4D99">
            <w:pPr>
              <w:spacing w:before="268"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2387DA54">
            <w:pPr>
              <w:spacing w:before="268" w:after="0"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富密路</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7577D48F">
            <w:pPr>
              <w:spacing w:before="254"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2300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430A359A">
            <w:pPr>
              <w:spacing w:before="254"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55200</w:t>
            </w:r>
          </w:p>
        </w:tc>
        <w:tc>
          <w:tcPr>
            <w:tcW w:w="1333" w:type="dxa"/>
            <w:tcBorders>
              <w:top w:val="single" w:color="000000" w:sz="4" w:space="0"/>
              <w:left w:val="single" w:color="000000" w:sz="4" w:space="0"/>
              <w:bottom w:val="single" w:color="000000" w:sz="4" w:space="0"/>
              <w:right w:val="single" w:color="000000" w:sz="4" w:space="0"/>
            </w:tcBorders>
            <w:noWrap w:val="0"/>
            <w:vAlign w:val="top"/>
          </w:tcPr>
          <w:p w14:paraId="7856F2B7">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EAA9B2F">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13:00-18:00</w:t>
            </w:r>
          </w:p>
        </w:tc>
        <w:tc>
          <w:tcPr>
            <w:tcW w:w="930" w:type="dxa"/>
            <w:tcBorders>
              <w:top w:val="single" w:color="000000" w:sz="4" w:space="0"/>
              <w:left w:val="single" w:color="000000" w:sz="4" w:space="0"/>
              <w:bottom w:val="single" w:color="000000" w:sz="4" w:space="0"/>
              <w:right w:val="single" w:color="000000" w:sz="4" w:space="0"/>
            </w:tcBorders>
            <w:noWrap w:val="0"/>
            <w:vAlign w:val="top"/>
          </w:tcPr>
          <w:p w14:paraId="15F60394">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lang w:eastAsia="zh-CN"/>
              </w:rPr>
              <w:t>路面洗扫作业一遍</w:t>
            </w:r>
          </w:p>
        </w:tc>
        <w:tc>
          <w:tcPr>
            <w:tcW w:w="1260" w:type="dxa"/>
            <w:tcBorders>
              <w:top w:val="single" w:color="000000" w:sz="4" w:space="0"/>
              <w:left w:val="single" w:color="000000" w:sz="4" w:space="0"/>
              <w:bottom w:val="single" w:color="000000" w:sz="4" w:space="0"/>
              <w:right w:val="single" w:color="000000" w:sz="4" w:space="0"/>
            </w:tcBorders>
            <w:noWrap w:val="0"/>
            <w:vAlign w:val="top"/>
          </w:tcPr>
          <w:p w14:paraId="4E3DF527">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4897B8E4">
            <w:pPr>
              <w:spacing w:before="0"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5B6CEA9E">
            <w:pPr>
              <w:spacing w:before="0" w:after="0" w:line="360" w:lineRule="auto"/>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路面降尘作业一遍</w:t>
            </w:r>
          </w:p>
        </w:tc>
      </w:tr>
      <w:tr w14:paraId="0DC674E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39213F27">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2EDD83FE">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金牛先进路</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024BBD93">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62C43B7D">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8000</w:t>
            </w:r>
          </w:p>
        </w:tc>
        <w:tc>
          <w:tcPr>
            <w:tcW w:w="1333" w:type="dxa"/>
            <w:tcBorders>
              <w:top w:val="single" w:color="000000" w:sz="4" w:space="0"/>
              <w:left w:val="single" w:color="000000" w:sz="4" w:space="0"/>
              <w:bottom w:val="single" w:color="000000" w:sz="4" w:space="0"/>
              <w:right w:val="single" w:color="000000" w:sz="4" w:space="0"/>
            </w:tcBorders>
            <w:noWrap w:val="0"/>
            <w:vAlign w:val="top"/>
          </w:tcPr>
          <w:p w14:paraId="7FEF2796">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218C7884">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30" w:type="dxa"/>
            <w:tcBorders>
              <w:top w:val="single" w:color="000000" w:sz="4" w:space="0"/>
              <w:left w:val="single" w:color="000000" w:sz="4" w:space="0"/>
              <w:bottom w:val="single" w:color="000000" w:sz="4" w:space="0"/>
              <w:right w:val="single" w:color="000000" w:sz="4" w:space="0"/>
            </w:tcBorders>
            <w:noWrap w:val="0"/>
            <w:vAlign w:val="top"/>
          </w:tcPr>
          <w:p w14:paraId="06D6F4FC">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260" w:type="dxa"/>
            <w:tcBorders>
              <w:top w:val="single" w:color="000000" w:sz="4" w:space="0"/>
              <w:left w:val="single" w:color="000000" w:sz="4" w:space="0"/>
              <w:bottom w:val="single" w:color="000000" w:sz="4" w:space="0"/>
              <w:right w:val="single" w:color="000000" w:sz="4" w:space="0"/>
            </w:tcBorders>
            <w:noWrap w:val="0"/>
            <w:vAlign w:val="top"/>
          </w:tcPr>
          <w:p w14:paraId="03F594C0">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6666CEAF">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03B1FEA6">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6D446D6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62A5E2CD">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2994C169">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先进村东街</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058BE642">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800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0CE61E5D">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6000</w:t>
            </w:r>
          </w:p>
        </w:tc>
        <w:tc>
          <w:tcPr>
            <w:tcW w:w="1333" w:type="dxa"/>
            <w:tcBorders>
              <w:top w:val="single" w:color="000000" w:sz="4" w:space="0"/>
              <w:left w:val="single" w:color="000000" w:sz="4" w:space="0"/>
              <w:bottom w:val="single" w:color="000000" w:sz="4" w:space="0"/>
              <w:right w:val="single" w:color="000000" w:sz="4" w:space="0"/>
            </w:tcBorders>
            <w:noWrap w:val="0"/>
            <w:vAlign w:val="top"/>
          </w:tcPr>
          <w:p w14:paraId="4B7B46A9">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6EE0D0D0">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30" w:type="dxa"/>
            <w:tcBorders>
              <w:top w:val="single" w:color="000000" w:sz="4" w:space="0"/>
              <w:left w:val="single" w:color="000000" w:sz="4" w:space="0"/>
              <w:bottom w:val="single" w:color="000000" w:sz="4" w:space="0"/>
              <w:right w:val="single" w:color="000000" w:sz="4" w:space="0"/>
            </w:tcBorders>
            <w:noWrap w:val="0"/>
            <w:vAlign w:val="top"/>
          </w:tcPr>
          <w:p w14:paraId="3B9DC1E2">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260" w:type="dxa"/>
            <w:tcBorders>
              <w:top w:val="single" w:color="000000" w:sz="4" w:space="0"/>
              <w:left w:val="single" w:color="000000" w:sz="4" w:space="0"/>
              <w:bottom w:val="single" w:color="000000" w:sz="4" w:space="0"/>
              <w:right w:val="single" w:color="000000" w:sz="4" w:space="0"/>
            </w:tcBorders>
            <w:noWrap w:val="0"/>
            <w:vAlign w:val="top"/>
          </w:tcPr>
          <w:p w14:paraId="72352A41">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336523EB">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5E8DC96D">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42271C4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301BD568">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6337B0AD">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一中路</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1051BAD4">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155E1D12">
            <w:pPr>
              <w:keepNext w:val="0"/>
              <w:keepLines w:val="0"/>
              <w:pageBreakBefore w:val="0"/>
              <w:widowControl w:val="0"/>
              <w:kinsoku/>
              <w:wordWrap/>
              <w:overflowPunct/>
              <w:topLinePunct w:val="0"/>
              <w:autoSpaceDE/>
              <w:autoSpaceDN/>
              <w:bidi w:val="0"/>
              <w:adjustRightInd/>
              <w:snapToGrid/>
              <w:spacing w:before="224"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25000</w:t>
            </w:r>
          </w:p>
        </w:tc>
        <w:tc>
          <w:tcPr>
            <w:tcW w:w="1333" w:type="dxa"/>
            <w:tcBorders>
              <w:top w:val="single" w:color="000000" w:sz="4" w:space="0"/>
              <w:left w:val="single" w:color="000000" w:sz="4" w:space="0"/>
              <w:bottom w:val="single" w:color="000000" w:sz="4" w:space="0"/>
              <w:right w:val="single" w:color="000000" w:sz="4" w:space="0"/>
            </w:tcBorders>
            <w:noWrap w:val="0"/>
            <w:vAlign w:val="top"/>
          </w:tcPr>
          <w:p w14:paraId="09A5A8DE">
            <w:pPr>
              <w:spacing w:before="0" w:after="0" w:line="360" w:lineRule="auto"/>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67FF8AE2">
            <w:pPr>
              <w:spacing w:before="0" w:after="0"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30" w:type="dxa"/>
            <w:tcBorders>
              <w:top w:val="single" w:color="000000" w:sz="4" w:space="0"/>
              <w:left w:val="single" w:color="000000" w:sz="4" w:space="0"/>
              <w:bottom w:val="single" w:color="000000" w:sz="4" w:space="0"/>
              <w:right w:val="single" w:color="000000" w:sz="4" w:space="0"/>
            </w:tcBorders>
            <w:noWrap w:val="0"/>
            <w:vAlign w:val="top"/>
          </w:tcPr>
          <w:p w14:paraId="46A20366">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260" w:type="dxa"/>
            <w:tcBorders>
              <w:top w:val="single" w:color="000000" w:sz="4" w:space="0"/>
              <w:left w:val="single" w:color="000000" w:sz="4" w:space="0"/>
              <w:bottom w:val="single" w:color="000000" w:sz="4" w:space="0"/>
              <w:right w:val="single" w:color="000000" w:sz="4" w:space="0"/>
            </w:tcBorders>
            <w:noWrap w:val="0"/>
            <w:vAlign w:val="top"/>
          </w:tcPr>
          <w:p w14:paraId="603AB0F0">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061A6B3A">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5A830230">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23956FC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8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00A38E75">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2626838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牛富路</w:t>
            </w:r>
          </w:p>
          <w:p w14:paraId="1A204F2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0843B33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1100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6ED9FB5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33000</w:t>
            </w:r>
          </w:p>
        </w:tc>
        <w:tc>
          <w:tcPr>
            <w:tcW w:w="1333" w:type="dxa"/>
            <w:tcBorders>
              <w:top w:val="single" w:color="000000" w:sz="4" w:space="0"/>
              <w:left w:val="single" w:color="000000" w:sz="4" w:space="0"/>
              <w:bottom w:val="single" w:color="000000" w:sz="4" w:space="0"/>
              <w:right w:val="single" w:color="000000" w:sz="4" w:space="0"/>
            </w:tcBorders>
            <w:noWrap w:val="0"/>
            <w:vAlign w:val="top"/>
          </w:tcPr>
          <w:p w14:paraId="2411CD7F">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72746D16">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930" w:type="dxa"/>
            <w:tcBorders>
              <w:top w:val="single" w:color="000000" w:sz="4" w:space="0"/>
              <w:left w:val="single" w:color="000000" w:sz="4" w:space="0"/>
              <w:bottom w:val="single" w:color="000000" w:sz="4" w:space="0"/>
              <w:right w:val="single" w:color="000000" w:sz="4" w:space="0"/>
            </w:tcBorders>
            <w:noWrap w:val="0"/>
            <w:vAlign w:val="top"/>
          </w:tcPr>
          <w:p w14:paraId="64E69003">
            <w:pPr>
              <w:spacing w:before="0" w:after="0" w:line="36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路面洗扫作业一遍</w:t>
            </w:r>
          </w:p>
        </w:tc>
        <w:tc>
          <w:tcPr>
            <w:tcW w:w="1260" w:type="dxa"/>
            <w:tcBorders>
              <w:top w:val="single" w:color="000000" w:sz="4" w:space="0"/>
              <w:left w:val="single" w:color="000000" w:sz="4" w:space="0"/>
              <w:bottom w:val="single" w:color="000000" w:sz="4" w:space="0"/>
              <w:right w:val="single" w:color="000000" w:sz="4" w:space="0"/>
            </w:tcBorders>
            <w:noWrap w:val="0"/>
            <w:vAlign w:val="top"/>
          </w:tcPr>
          <w:p w14:paraId="2A547F4B">
            <w:pPr>
              <w:spacing w:before="0" w:after="0"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7:00-11:30</w:t>
            </w:r>
          </w:p>
          <w:p w14:paraId="51BD0B77">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sz w:val="21"/>
                <w:szCs w:val="21"/>
                <w:lang w:val="en-US" w:eastAsia="zh-CN"/>
              </w:rPr>
              <w:t>13:00-18:00</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3393EAE8">
            <w:pPr>
              <w:spacing w:before="0" w:after="0" w:line="360" w:lineRule="auto"/>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路面降尘作业一遍</w:t>
            </w:r>
          </w:p>
        </w:tc>
      </w:tr>
      <w:tr w14:paraId="32F3D94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30" w:hRule="atLeast"/>
          <w:jc w:val="center"/>
        </w:trPr>
        <w:tc>
          <w:tcPr>
            <w:tcW w:w="484" w:type="dxa"/>
            <w:tcBorders>
              <w:top w:val="single" w:color="000000" w:sz="4" w:space="0"/>
              <w:left w:val="single" w:color="000000" w:sz="4" w:space="0"/>
              <w:bottom w:val="single" w:color="000000" w:sz="4" w:space="0"/>
              <w:right w:val="single" w:color="000000" w:sz="4" w:space="0"/>
            </w:tcBorders>
            <w:noWrap w:val="0"/>
            <w:vAlign w:val="top"/>
          </w:tcPr>
          <w:p w14:paraId="4CB99F79">
            <w:pPr>
              <w:keepNext w:val="0"/>
              <w:keepLines w:val="0"/>
              <w:pageBreakBefore w:val="0"/>
              <w:widowControl w:val="0"/>
              <w:kinsoku/>
              <w:wordWrap/>
              <w:overflowPunct/>
              <w:topLinePunct w:val="0"/>
              <w:autoSpaceDE/>
              <w:autoSpaceDN/>
              <w:bidi w:val="0"/>
              <w:adjustRightInd/>
              <w:snapToGrid/>
              <w:spacing w:before="40"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0"/>
            <w:vAlign w:val="top"/>
          </w:tcPr>
          <w:p w14:paraId="3E7293B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合计</w:t>
            </w:r>
          </w:p>
        </w:tc>
        <w:tc>
          <w:tcPr>
            <w:tcW w:w="898" w:type="dxa"/>
            <w:tcBorders>
              <w:top w:val="single" w:color="000000" w:sz="4" w:space="0"/>
              <w:left w:val="single" w:color="000000" w:sz="4" w:space="0"/>
              <w:bottom w:val="single" w:color="000000" w:sz="4" w:space="0"/>
              <w:right w:val="single" w:color="000000" w:sz="4" w:space="0"/>
            </w:tcBorders>
            <w:noWrap w:val="0"/>
            <w:vAlign w:val="top"/>
          </w:tcPr>
          <w:p w14:paraId="299DC6F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6000</w:t>
            </w: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7FBA4B4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127200</w:t>
            </w:r>
          </w:p>
        </w:tc>
        <w:tc>
          <w:tcPr>
            <w:tcW w:w="1333" w:type="dxa"/>
            <w:tcBorders>
              <w:top w:val="single" w:color="000000" w:sz="4" w:space="0"/>
              <w:left w:val="single" w:color="000000" w:sz="4" w:space="0"/>
              <w:bottom w:val="single" w:color="000000" w:sz="4" w:space="0"/>
              <w:right w:val="single" w:color="000000" w:sz="4" w:space="0"/>
            </w:tcBorders>
            <w:noWrap w:val="0"/>
            <w:vAlign w:val="top"/>
          </w:tcPr>
          <w:p w14:paraId="096ED635">
            <w:pPr>
              <w:spacing w:before="0" w:after="0" w:line="360" w:lineRule="auto"/>
              <w:jc w:val="center"/>
              <w:rPr>
                <w:rFonts w:hint="eastAsia" w:asciiTheme="minorEastAsia" w:hAnsiTheme="minorEastAsia" w:eastAsiaTheme="minorEastAsia" w:cstheme="minorEastAsia"/>
                <w:sz w:val="21"/>
                <w:szCs w:val="21"/>
                <w:lang w:val="en-US" w:eastAsia="zh-CN"/>
              </w:rPr>
            </w:pPr>
          </w:p>
        </w:tc>
        <w:tc>
          <w:tcPr>
            <w:tcW w:w="930" w:type="dxa"/>
            <w:tcBorders>
              <w:top w:val="single" w:color="000000" w:sz="4" w:space="0"/>
              <w:left w:val="single" w:color="000000" w:sz="4" w:space="0"/>
              <w:bottom w:val="single" w:color="000000" w:sz="4" w:space="0"/>
              <w:right w:val="single" w:color="000000" w:sz="4" w:space="0"/>
            </w:tcBorders>
            <w:noWrap w:val="0"/>
            <w:vAlign w:val="top"/>
          </w:tcPr>
          <w:p w14:paraId="55EE7560">
            <w:pPr>
              <w:spacing w:before="0" w:after="0" w:line="360" w:lineRule="auto"/>
              <w:jc w:val="center"/>
              <w:rPr>
                <w:rFonts w:hint="eastAsia" w:asciiTheme="minorEastAsia" w:hAnsiTheme="minorEastAsia" w:eastAsiaTheme="minorEastAsia" w:cstheme="minorEastAsia"/>
                <w:color w:val="000000"/>
                <w:sz w:val="21"/>
                <w:szCs w:val="21"/>
                <w:lang w:eastAsia="zh-CN"/>
              </w:rPr>
            </w:pPr>
          </w:p>
        </w:tc>
        <w:tc>
          <w:tcPr>
            <w:tcW w:w="1260" w:type="dxa"/>
            <w:tcBorders>
              <w:top w:val="single" w:color="000000" w:sz="4" w:space="0"/>
              <w:left w:val="single" w:color="000000" w:sz="4" w:space="0"/>
              <w:bottom w:val="single" w:color="000000" w:sz="4" w:space="0"/>
              <w:right w:val="single" w:color="000000" w:sz="4" w:space="0"/>
            </w:tcBorders>
            <w:noWrap w:val="0"/>
            <w:vAlign w:val="top"/>
          </w:tcPr>
          <w:p w14:paraId="24DB7885">
            <w:pPr>
              <w:spacing w:before="0" w:after="0" w:line="360" w:lineRule="auto"/>
              <w:jc w:val="center"/>
              <w:rPr>
                <w:rFonts w:hint="eastAsia" w:asciiTheme="minorEastAsia" w:hAnsiTheme="minorEastAsia" w:eastAsiaTheme="minorEastAsia" w:cstheme="minorEastAsia"/>
                <w:sz w:val="21"/>
                <w:szCs w:val="21"/>
                <w:lang w:val="en-US" w:eastAsia="zh-CN"/>
              </w:rPr>
            </w:pP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2BAD1145">
            <w:pPr>
              <w:spacing w:before="0" w:after="0" w:line="360" w:lineRule="auto"/>
              <w:jc w:val="center"/>
              <w:rPr>
                <w:rFonts w:hint="eastAsia" w:asciiTheme="minorEastAsia" w:hAnsiTheme="minorEastAsia" w:eastAsiaTheme="minorEastAsia" w:cstheme="minorEastAsia"/>
                <w:color w:val="000000"/>
                <w:sz w:val="21"/>
                <w:szCs w:val="21"/>
                <w:lang w:val="en-US" w:eastAsia="zh-CN"/>
              </w:rPr>
            </w:pPr>
          </w:p>
        </w:tc>
      </w:tr>
    </w:tbl>
    <w:p w14:paraId="00427B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none"/>
          <w:lang w:val="en-US" w:eastAsia="zh-CN"/>
        </w:rPr>
      </w:pPr>
    </w:p>
    <w:p w14:paraId="0026212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none"/>
          <w:lang w:val="en-US" w:eastAsia="zh-CN"/>
        </w:rPr>
        <w:t>3、</w:t>
      </w:r>
      <w:r>
        <w:rPr>
          <w:rFonts w:hint="eastAsia" w:asciiTheme="minorEastAsia" w:hAnsiTheme="minorEastAsia" w:eastAsiaTheme="minorEastAsia" w:cstheme="minorEastAsia"/>
          <w:b/>
          <w:bCs/>
          <w:sz w:val="24"/>
          <w:szCs w:val="24"/>
          <w:highlight w:val="none"/>
          <w:lang w:val="en-US" w:eastAsia="zh-CN"/>
        </w:rPr>
        <w:t>裸地扬尘综合治理</w:t>
      </w:r>
    </w:p>
    <w:p w14:paraId="0060D403">
      <w:pPr>
        <w:numPr>
          <w:ilvl w:val="0"/>
          <w:numId w:val="0"/>
        </w:numPr>
        <w:wordWrap w:val="0"/>
        <w:spacing w:before="0" w:after="0" w:line="360" w:lineRule="auto"/>
        <w:ind w:right="20" w:rightChars="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en-US" w:eastAsia="zh-CN"/>
        </w:rPr>
        <w:t>3.1裸露地块治理</w:t>
      </w:r>
    </w:p>
    <w:p w14:paraId="626FFF2F">
      <w:pPr>
        <w:numPr>
          <w:ilvl w:val="0"/>
          <w:numId w:val="0"/>
        </w:numPr>
        <w:wordWrap w:val="0"/>
        <w:spacing w:before="0" w:after="0" w:line="360" w:lineRule="auto"/>
        <w:ind w:right="20" w:rightChars="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治理需结合“短期抑尘”与“长期生态修复”，</w:t>
      </w:r>
      <w:r>
        <w:rPr>
          <w:rFonts w:hint="eastAsia" w:asciiTheme="minorEastAsia" w:hAnsiTheme="minorEastAsia" w:eastAsiaTheme="minorEastAsia" w:cstheme="minorEastAsia"/>
          <w:color w:val="000000"/>
          <w:sz w:val="24"/>
          <w:szCs w:val="24"/>
          <w:lang w:eastAsia="zh-CN"/>
        </w:rPr>
        <w:t>根据土地性质</w:t>
      </w:r>
      <w:r>
        <w:rPr>
          <w:rFonts w:hint="eastAsia" w:asciiTheme="minorEastAsia" w:hAnsiTheme="minorEastAsia" w:eastAsiaTheme="minorEastAsia" w:cstheme="minorEastAsia"/>
          <w:color w:val="000000"/>
          <w:sz w:val="24"/>
          <w:szCs w:val="24"/>
        </w:rPr>
        <w:t>针对不同类型裸地（</w:t>
      </w:r>
      <w:r>
        <w:rPr>
          <w:rFonts w:hint="eastAsia" w:asciiTheme="minorEastAsia" w:hAnsiTheme="minorEastAsia" w:eastAsiaTheme="minorEastAsia" w:cstheme="minorEastAsia"/>
          <w:color w:val="000000"/>
          <w:sz w:val="24"/>
          <w:szCs w:val="24"/>
          <w:lang w:eastAsia="zh-CN"/>
        </w:rPr>
        <w:t>待开发</w:t>
      </w:r>
      <w:r>
        <w:rPr>
          <w:rFonts w:hint="eastAsia" w:asciiTheme="minorEastAsia" w:hAnsiTheme="minorEastAsia" w:eastAsiaTheme="minorEastAsia" w:cstheme="minorEastAsia"/>
          <w:color w:val="000000"/>
          <w:sz w:val="24"/>
          <w:szCs w:val="24"/>
        </w:rPr>
        <w:t>裸地、</w:t>
      </w:r>
      <w:r>
        <w:rPr>
          <w:rFonts w:hint="eastAsia" w:asciiTheme="minorEastAsia" w:hAnsiTheme="minorEastAsia" w:eastAsiaTheme="minorEastAsia" w:cstheme="minorEastAsia"/>
          <w:color w:val="000000"/>
          <w:sz w:val="24"/>
          <w:szCs w:val="24"/>
          <w:lang w:eastAsia="zh-CN"/>
        </w:rPr>
        <w:t>长期</w:t>
      </w:r>
      <w:r>
        <w:rPr>
          <w:rFonts w:hint="eastAsia" w:asciiTheme="minorEastAsia" w:hAnsiTheme="minorEastAsia" w:eastAsiaTheme="minorEastAsia" w:cstheme="minorEastAsia"/>
          <w:color w:val="000000"/>
          <w:sz w:val="24"/>
          <w:szCs w:val="24"/>
        </w:rPr>
        <w:t>闲置裸地）制定分级措施，实现“控尘-固土-绿化”的递进式治理目标。</w:t>
      </w:r>
      <w:r>
        <w:rPr>
          <w:rFonts w:hint="eastAsia" w:asciiTheme="minorEastAsia" w:hAnsiTheme="minorEastAsia" w:eastAsiaTheme="minorEastAsia" w:cstheme="minorEastAsia"/>
          <w:color w:val="000000"/>
          <w:sz w:val="24"/>
          <w:szCs w:val="24"/>
          <w:lang w:eastAsia="zh-CN"/>
        </w:rPr>
        <w:t>待开发</w:t>
      </w:r>
      <w:r>
        <w:rPr>
          <w:rFonts w:hint="eastAsia" w:asciiTheme="minorEastAsia" w:hAnsiTheme="minorEastAsia" w:eastAsiaTheme="minorEastAsia" w:cstheme="minorEastAsia"/>
          <w:color w:val="000000"/>
          <w:sz w:val="24"/>
          <w:szCs w:val="24"/>
        </w:rPr>
        <w:t>裸地：优先采用“快速覆盖＋临时抑尘”，控制扬尘为主。长期</w:t>
      </w:r>
      <w:r>
        <w:rPr>
          <w:rFonts w:hint="eastAsia" w:asciiTheme="minorEastAsia" w:hAnsiTheme="minorEastAsia" w:eastAsiaTheme="minorEastAsia" w:cstheme="minorEastAsia"/>
          <w:color w:val="000000"/>
          <w:sz w:val="24"/>
          <w:szCs w:val="24"/>
          <w:lang w:eastAsia="zh-CN"/>
        </w:rPr>
        <w:t>闲置</w:t>
      </w:r>
      <w:r>
        <w:rPr>
          <w:rFonts w:hint="eastAsia" w:asciiTheme="minorEastAsia" w:hAnsiTheme="minorEastAsia" w:eastAsiaTheme="minorEastAsia" w:cstheme="minorEastAsia"/>
          <w:color w:val="000000"/>
          <w:sz w:val="24"/>
          <w:szCs w:val="24"/>
        </w:rPr>
        <w:t>裸地（没有开发主体）：以“植被恢复”提升绿视率为核心，结合土壤改良实现生态修复</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通过植被恢复提高生态系统初级生产力，增加固碳、释氧能力。</w:t>
      </w:r>
      <w:r>
        <w:rPr>
          <w:rFonts w:hint="eastAsia" w:asciiTheme="minorEastAsia" w:hAnsiTheme="minorEastAsia" w:eastAsiaTheme="minorEastAsia" w:cstheme="minorEastAsia"/>
          <w:b w:val="0"/>
          <w:bCs w:val="0"/>
          <w:color w:val="000000"/>
          <w:sz w:val="24"/>
          <w:szCs w:val="24"/>
        </w:rPr>
        <w:t>根据</w:t>
      </w:r>
      <w:r>
        <w:rPr>
          <w:rFonts w:hint="eastAsia" w:asciiTheme="minorEastAsia" w:hAnsiTheme="minorEastAsia" w:eastAsiaTheme="minorEastAsia" w:cstheme="minorEastAsia"/>
          <w:b w:val="0"/>
          <w:bCs w:val="0"/>
          <w:color w:val="000000"/>
          <w:sz w:val="24"/>
          <w:szCs w:val="24"/>
          <w:lang w:eastAsia="zh-CN"/>
        </w:rPr>
        <w:t>土地规划性质，结合</w:t>
      </w:r>
      <w:r>
        <w:rPr>
          <w:rFonts w:hint="eastAsia" w:asciiTheme="minorEastAsia" w:hAnsiTheme="minorEastAsia" w:eastAsiaTheme="minorEastAsia" w:cstheme="minorEastAsia"/>
          <w:b w:val="0"/>
          <w:bCs w:val="0"/>
          <w:color w:val="000000"/>
          <w:sz w:val="24"/>
          <w:szCs w:val="24"/>
        </w:rPr>
        <w:t>裸地实际情况</w:t>
      </w:r>
      <w:r>
        <w:rPr>
          <w:rFonts w:hint="eastAsia" w:asciiTheme="minorEastAsia" w:hAnsiTheme="minorEastAsia" w:eastAsiaTheme="minorEastAsia" w:cstheme="minorEastAsia"/>
          <w:b w:val="0"/>
          <w:bCs w:val="0"/>
          <w:color w:val="000000"/>
          <w:sz w:val="24"/>
          <w:szCs w:val="24"/>
          <w:lang w:eastAsia="zh-CN"/>
        </w:rPr>
        <w:t>及需求，计划</w:t>
      </w:r>
      <w:r>
        <w:rPr>
          <w:rFonts w:hint="eastAsia" w:asciiTheme="minorEastAsia" w:hAnsiTheme="minorEastAsia" w:eastAsiaTheme="minorEastAsia" w:cstheme="minorEastAsia"/>
          <w:b w:val="0"/>
          <w:bCs w:val="0"/>
          <w:color w:val="000000"/>
          <w:sz w:val="24"/>
          <w:szCs w:val="24"/>
        </w:rPr>
        <w:t>对辖区裸地进行</w:t>
      </w:r>
      <w:r>
        <w:rPr>
          <w:rFonts w:hint="eastAsia" w:asciiTheme="minorEastAsia" w:hAnsiTheme="minorEastAsia" w:eastAsiaTheme="minorEastAsia" w:cstheme="minorEastAsia"/>
          <w:b w:val="0"/>
          <w:bCs w:val="0"/>
          <w:color w:val="000000"/>
          <w:sz w:val="24"/>
          <w:szCs w:val="24"/>
          <w:lang w:eastAsia="zh-CN"/>
        </w:rPr>
        <w:t>约</w:t>
      </w:r>
      <w:r>
        <w:rPr>
          <w:rFonts w:hint="eastAsia" w:asciiTheme="minorEastAsia" w:hAnsiTheme="minorEastAsia" w:eastAsiaTheme="minorEastAsia" w:cstheme="minorEastAsia"/>
          <w:b w:val="0"/>
          <w:bCs w:val="0"/>
          <w:color w:val="000000"/>
          <w:sz w:val="24"/>
          <w:szCs w:val="24"/>
          <w:lang w:val="en-US" w:eastAsia="zh-CN"/>
        </w:rPr>
        <w:t>40000</w:t>
      </w:r>
      <w:r>
        <w:rPr>
          <w:rFonts w:hint="eastAsia" w:asciiTheme="minorEastAsia" w:hAnsiTheme="minorEastAsia" w:eastAsiaTheme="minorEastAsia" w:cstheme="minorEastAsia"/>
          <w:b w:val="0"/>
          <w:bCs w:val="0"/>
          <w:color w:val="000000"/>
          <w:sz w:val="24"/>
          <w:szCs w:val="24"/>
        </w:rPr>
        <w:t>平方米的抑尘网苫盖，以及</w:t>
      </w:r>
      <w:r>
        <w:rPr>
          <w:rFonts w:hint="eastAsia" w:asciiTheme="minorEastAsia" w:hAnsiTheme="minorEastAsia" w:eastAsiaTheme="minorEastAsia" w:cstheme="minorEastAsia"/>
          <w:b w:val="0"/>
          <w:bCs w:val="0"/>
          <w:color w:val="000000"/>
          <w:sz w:val="24"/>
          <w:szCs w:val="24"/>
          <w:lang w:val="en-US" w:eastAsia="zh-CN"/>
        </w:rPr>
        <w:t>60000</w:t>
      </w:r>
      <w:r>
        <w:rPr>
          <w:rFonts w:hint="eastAsia" w:asciiTheme="minorEastAsia" w:hAnsiTheme="minorEastAsia" w:eastAsiaTheme="minorEastAsia" w:cstheme="minorEastAsia"/>
          <w:b w:val="0"/>
          <w:bCs w:val="0"/>
          <w:color w:val="000000"/>
          <w:sz w:val="24"/>
          <w:szCs w:val="24"/>
        </w:rPr>
        <w:t>平方米的生态绿化种植</w:t>
      </w:r>
      <w:r>
        <w:rPr>
          <w:rFonts w:hint="eastAsia" w:asciiTheme="minorEastAsia" w:hAnsiTheme="minorEastAsia" w:eastAsiaTheme="minorEastAsia" w:cstheme="minorEastAsia"/>
          <w:b w:val="0"/>
          <w:bCs w:val="0"/>
          <w:color w:val="000000"/>
          <w:sz w:val="24"/>
          <w:szCs w:val="24"/>
          <w:lang w:eastAsia="zh-CN"/>
        </w:rPr>
        <w:t>，</w:t>
      </w:r>
      <w:r>
        <w:rPr>
          <w:rFonts w:hint="eastAsia" w:asciiTheme="minorEastAsia" w:hAnsiTheme="minorEastAsia" w:eastAsiaTheme="minorEastAsia" w:cstheme="minorEastAsia"/>
          <w:b w:val="0"/>
          <w:bCs w:val="0"/>
          <w:color w:val="000000"/>
          <w:sz w:val="24"/>
          <w:szCs w:val="24"/>
        </w:rPr>
        <w:t>按时按需有效治理扬尘污染</w:t>
      </w:r>
    </w:p>
    <w:p w14:paraId="0689EA54">
      <w:pPr>
        <w:wordWrap w:val="0"/>
        <w:spacing w:before="0" w:after="0" w:line="360" w:lineRule="auto"/>
        <w:ind w:firstLine="7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en-US" w:eastAsia="zh-CN"/>
        </w:rPr>
        <w:t>3.1.1</w:t>
      </w:r>
      <w:r>
        <w:rPr>
          <w:rFonts w:hint="eastAsia" w:asciiTheme="minorEastAsia" w:hAnsiTheme="minorEastAsia" w:eastAsiaTheme="minorEastAsia" w:cstheme="minorEastAsia"/>
          <w:color w:val="000000"/>
          <w:sz w:val="24"/>
          <w:szCs w:val="24"/>
        </w:rPr>
        <w:t>待开发裸地治理</w:t>
      </w:r>
    </w:p>
    <w:p w14:paraId="3F99B326">
      <w:pPr>
        <w:wordWrap w:val="0"/>
        <w:spacing w:before="0" w:after="0" w:line="360" w:lineRule="auto"/>
        <w:ind w:left="20" w:right="20" w:firstLine="7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短期内无法施工的区域，采用抑尘网进行临时覆盖，固定牢固，防止被风吹起。采用抑尘网进行覆盖，并定期检查维护，确保覆盖效果。采用1000目抑尘网全覆盖（搭接宽度≥50cm，边缘固定），对风力≥6级区域，在防尘网表面加压10cm厚土袋，增强抗风能力。</w:t>
      </w:r>
    </w:p>
    <w:p w14:paraId="3C238C5B">
      <w:pPr>
        <w:numPr>
          <w:ilvl w:val="0"/>
          <w:numId w:val="0"/>
        </w:numPr>
        <w:wordWrap w:val="0"/>
        <w:spacing w:before="0" w:after="0" w:line="297" w:lineRule="auto"/>
        <w:ind w:left="700" w:leftChars="0" w:right="20" w:rightChars="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3.1.2</w:t>
      </w:r>
      <w:r>
        <w:rPr>
          <w:rFonts w:hint="eastAsia" w:asciiTheme="minorEastAsia" w:hAnsiTheme="minorEastAsia" w:eastAsiaTheme="minorEastAsia" w:cstheme="minorEastAsia"/>
          <w:color w:val="000000"/>
          <w:sz w:val="24"/>
          <w:szCs w:val="24"/>
        </w:rPr>
        <w:t>长期闲置裸地</w:t>
      </w:r>
    </w:p>
    <w:p w14:paraId="52268628">
      <w:pPr>
        <w:numPr>
          <w:ilvl w:val="0"/>
          <w:numId w:val="0"/>
        </w:numPr>
        <w:wordWrap w:val="0"/>
        <w:spacing w:before="0" w:after="0" w:line="360" w:lineRule="auto"/>
        <w:ind w:left="700" w:leftChars="0" w:right="20" w:rightChars="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采取生态修复措施，过程如下：</w:t>
      </w:r>
    </w:p>
    <w:p w14:paraId="3394ACCC">
      <w:pPr>
        <w:wordWrap w:val="0"/>
        <w:spacing w:before="0" w:after="0" w:line="360" w:lineRule="auto"/>
        <w:ind w:left="20" w:right="20" w:firstLine="68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平整土地：首先对裸地进行平整，清除垃圾和杂物。将垃圾运至指定垃圾处理场进行处理。</w:t>
      </w:r>
    </w:p>
    <w:p w14:paraId="3650F4DB">
      <w:pPr>
        <w:wordWrap w:val="0"/>
        <w:spacing w:before="0" w:after="0" w:line="360" w:lineRule="auto"/>
        <w:ind w:left="20" w:right="20" w:firstLine="68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生态绿化：根据土地规划</w:t>
      </w:r>
      <w:r>
        <w:rPr>
          <w:rFonts w:hint="eastAsia" w:asciiTheme="minorEastAsia" w:hAnsiTheme="minorEastAsia" w:eastAsiaTheme="minorEastAsia" w:cstheme="minorEastAsia"/>
          <w:color w:val="000000"/>
          <w:sz w:val="24"/>
          <w:szCs w:val="24"/>
          <w:lang w:eastAsia="zh-CN"/>
        </w:rPr>
        <w:t>性质</w:t>
      </w:r>
      <w:r>
        <w:rPr>
          <w:rFonts w:hint="eastAsia" w:asciiTheme="minorEastAsia" w:hAnsiTheme="minorEastAsia" w:eastAsiaTheme="minorEastAsia" w:cstheme="minorEastAsia"/>
          <w:color w:val="000000"/>
          <w:sz w:val="24"/>
          <w:szCs w:val="24"/>
        </w:rPr>
        <w:t>和周边环境，种植适宜的乔、灌、草相结合的植被群落。选择耐旱、耐瘠薄且具有较强抗逆性的植物品种，进行绿化种植</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并进行浇水车浇水、养护期一年的服务</w:t>
      </w:r>
      <w:r>
        <w:rPr>
          <w:rFonts w:hint="eastAsia" w:asciiTheme="minorEastAsia" w:hAnsiTheme="minorEastAsia" w:eastAsiaTheme="minorEastAsia" w:cstheme="minorEastAsia"/>
          <w:color w:val="000000"/>
          <w:sz w:val="24"/>
          <w:szCs w:val="24"/>
        </w:rPr>
        <w:t>。</w:t>
      </w:r>
    </w:p>
    <w:p w14:paraId="48FF12FD">
      <w:pPr>
        <w:wordWrap w:val="0"/>
        <w:spacing w:before="0" w:after="0" w:line="360" w:lineRule="auto"/>
        <w:ind w:left="20" w:right="20" w:firstLine="68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3.2</w:t>
      </w:r>
      <w:r>
        <w:rPr>
          <w:rFonts w:hint="eastAsia" w:asciiTheme="minorEastAsia" w:hAnsiTheme="minorEastAsia" w:eastAsiaTheme="minorEastAsia" w:cstheme="minorEastAsia"/>
          <w:color w:val="000000"/>
          <w:sz w:val="24"/>
          <w:szCs w:val="24"/>
        </w:rPr>
        <w:t>城市绿化裸地及树坑治理</w:t>
      </w:r>
    </w:p>
    <w:p w14:paraId="503C6E86">
      <w:pPr>
        <w:wordWrap w:val="0"/>
        <w:spacing w:before="0" w:after="0" w:line="360" w:lineRule="auto"/>
        <w:ind w:left="20" w:right="20" w:firstLine="68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使用生物质覆盖用于解决不易生长绿植的裸露土壤问题。具有保湿，调节土壤温度，控制杂草生长，改善土壤结构等作用。对辖区绿化裸地和重点污染源周边树坑根据实际情况进行</w:t>
      </w:r>
      <w:r>
        <w:rPr>
          <w:rFonts w:hint="eastAsia" w:asciiTheme="minorEastAsia" w:hAnsiTheme="minorEastAsia" w:eastAsiaTheme="minorEastAsia" w:cstheme="minorEastAsia"/>
          <w:color w:val="000000"/>
          <w:sz w:val="24"/>
          <w:szCs w:val="24"/>
          <w:lang w:eastAsia="zh-CN"/>
        </w:rPr>
        <w:t>约</w:t>
      </w:r>
      <w:r>
        <w:rPr>
          <w:rFonts w:hint="eastAsia" w:asciiTheme="minorEastAsia" w:hAnsiTheme="minorEastAsia" w:eastAsiaTheme="minorEastAsia" w:cstheme="minorEastAsia"/>
          <w:color w:val="000000"/>
          <w:sz w:val="24"/>
          <w:szCs w:val="24"/>
          <w:lang w:val="en-US" w:eastAsia="zh-CN"/>
        </w:rPr>
        <w:t>15000</w:t>
      </w:r>
      <w:r>
        <w:rPr>
          <w:rFonts w:hint="eastAsia" w:asciiTheme="minorEastAsia" w:hAnsiTheme="minorEastAsia" w:eastAsiaTheme="minorEastAsia" w:cstheme="minorEastAsia"/>
          <w:color w:val="000000"/>
          <w:sz w:val="24"/>
          <w:szCs w:val="24"/>
        </w:rPr>
        <w:t>平方米的生物质覆盖，</w:t>
      </w:r>
    </w:p>
    <w:p w14:paraId="238B1A0D">
      <w:pPr>
        <w:wordWrap w:val="0"/>
        <w:spacing w:before="0" w:after="0" w:line="360" w:lineRule="auto"/>
        <w:ind w:left="20" w:right="20" w:firstLine="68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清理裸地：铺设前清除裸地杂草、石块等杂物，使地面 平整，利于有机物与土壤接触。</w:t>
      </w:r>
    </w:p>
    <w:p w14:paraId="175A6077">
      <w:pPr>
        <w:wordWrap w:val="0"/>
        <w:spacing w:before="0" w:after="0" w:line="360" w:lineRule="auto"/>
        <w:ind w:left="20" w:right="20" w:firstLine="68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控制厚度：厚度依有机物种类和用途调整，</w:t>
      </w:r>
      <w:r>
        <w:rPr>
          <w:rFonts w:hint="eastAsia" w:asciiTheme="minorEastAsia" w:hAnsiTheme="minorEastAsia" w:eastAsiaTheme="minorEastAsia" w:cstheme="minorEastAsia"/>
          <w:color w:val="000000"/>
          <w:sz w:val="24"/>
          <w:szCs w:val="24"/>
          <w:lang w:val="en-US" w:eastAsia="zh-CN"/>
        </w:rPr>
        <w:t>天然原木树皮</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粒径</w:t>
      </w:r>
      <w:r>
        <w:rPr>
          <w:rFonts w:hint="eastAsia" w:asciiTheme="minorEastAsia" w:hAnsiTheme="minorEastAsia" w:eastAsiaTheme="minorEastAsia" w:cstheme="minorEastAsia"/>
          <w:color w:val="000000"/>
          <w:sz w:val="24"/>
          <w:szCs w:val="24"/>
        </w:rPr>
        <w:t>3-5厘米</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不打磨，形状为片状均匀，无结块</w:t>
      </w:r>
      <w:r>
        <w:rPr>
          <w:rFonts w:hint="eastAsia" w:asciiTheme="minorEastAsia" w:hAnsiTheme="minorEastAsia" w:eastAsiaTheme="minorEastAsia" w:cstheme="minorEastAsia"/>
          <w:color w:val="000000"/>
          <w:sz w:val="24"/>
          <w:szCs w:val="24"/>
        </w:rPr>
        <w:t>。过厚影响土壤通气与植物发芽，过薄则效果不佳。</w:t>
      </w:r>
    </w:p>
    <w:p w14:paraId="1BAFECE3">
      <w:pPr>
        <w:wordWrap w:val="0"/>
        <w:spacing w:before="0" w:after="0" w:line="360" w:lineRule="auto"/>
        <w:ind w:left="20" w:right="20" w:firstLine="68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固定措施：空旷或风大区域，用网绳、木桩固定有机物，防止被风吹散。</w:t>
      </w:r>
    </w:p>
    <w:p w14:paraId="10F5B5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二、服务期限</w:t>
      </w:r>
    </w:p>
    <w:p w14:paraId="61E588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本合同自2026年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日起至2027年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日止，共1年。</w:t>
      </w:r>
    </w:p>
    <w:p w14:paraId="0E1B0B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b/>
          <w:bCs/>
          <w:sz w:val="24"/>
          <w:szCs w:val="24"/>
        </w:rPr>
        <w:t>服务标准</w:t>
      </w:r>
    </w:p>
    <w:p w14:paraId="70A74E99">
      <w:pPr>
        <w:numPr>
          <w:ilvl w:val="0"/>
          <w:numId w:val="0"/>
        </w:numPr>
        <w:spacing w:line="360" w:lineRule="auto"/>
        <w:ind w:firstLine="482" w:firstLineChars="20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（一）、重点道路扬尘治理和重点区域周边道路精细化治理</w:t>
      </w:r>
    </w:p>
    <w:p w14:paraId="3DF337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1、质量要求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每日对作业道路至少2次巡查，发现问题及时处理及上报，建立重点区域台账，每日针对重点污染源区域、道路尘负荷高值路段进行高频次巡查、清理、冲洗及湿化措施。</w:t>
      </w:r>
    </w:p>
    <w:p w14:paraId="75D183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2、道路清扫标准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安排专人专车每日对道路进行清扫作业，清扫作业包括机扫(洗扫一体车)和人工清扫，作业时间为早</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点至晚6点。因交通拥堵、道路施工等客观原因导致无法按时作业的，乙方可调整作业时段并事后向甲方报备。</w:t>
      </w:r>
    </w:p>
    <w:p w14:paraId="26480078">
      <w:pPr>
        <w:numPr>
          <w:ilvl w:val="0"/>
          <w:numId w:val="0"/>
        </w:numPr>
        <w:spacing w:line="360" w:lineRule="auto"/>
        <w:ind w:firstLine="480" w:firstLineChars="200"/>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sz w:val="24"/>
          <w:szCs w:val="24"/>
        </w:rPr>
        <w:t>3、道路降尘湿化标准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每日对作业区域不少于2次的洒水降尘作业，洒水降尘作业时间应避开早晚高峰时间段。</w:t>
      </w:r>
    </w:p>
    <w:p w14:paraId="649B5F3D">
      <w:pPr>
        <w:numPr>
          <w:ilvl w:val="0"/>
          <w:numId w:val="0"/>
        </w:numPr>
        <w:spacing w:line="360" w:lineRule="auto"/>
        <w:ind w:firstLine="480" w:firstLineChars="200"/>
        <w:rPr>
          <w:rFonts w:hint="eastAsia" w:asciiTheme="minorEastAsia" w:hAnsiTheme="minorEastAsia" w:eastAsiaTheme="minorEastAsia" w:cstheme="minorEastAsia"/>
          <w:color w:val="000000"/>
          <w:sz w:val="24"/>
          <w:szCs w:val="24"/>
          <w:lang w:val="en-US" w:eastAsia="zh-CN"/>
        </w:rPr>
      </w:pPr>
    </w:p>
    <w:p w14:paraId="3B436CC2">
      <w:pPr>
        <w:numPr>
          <w:ilvl w:val="0"/>
          <w:numId w:val="0"/>
        </w:num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lang w:eastAsia="zh-CN"/>
        </w:rPr>
        <w:t>洗扫车洗扫作业标准</w:t>
      </w:r>
    </w:p>
    <w:p w14:paraId="3BFA3C9A">
      <w:pPr>
        <w:spacing w:line="360" w:lineRule="auto"/>
        <w:ind w:firstLine="480" w:firstLineChars="200"/>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作业方式</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采用</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一扫、二刷、三吸</w:t>
      </w:r>
      <w:r>
        <w:rPr>
          <w:rFonts w:hint="eastAsia" w:asciiTheme="minorEastAsia" w:hAnsiTheme="minorEastAsia" w:eastAsiaTheme="minorEastAsia" w:cstheme="minorEastAsia"/>
          <w:color w:val="000000"/>
          <w:sz w:val="24"/>
          <w:szCs w:val="24"/>
        </w:rPr>
        <w:t>”的</w:t>
      </w:r>
      <w:r>
        <w:rPr>
          <w:rFonts w:hint="eastAsia" w:asciiTheme="minorEastAsia" w:hAnsiTheme="minorEastAsia" w:eastAsiaTheme="minorEastAsia" w:cstheme="minorEastAsia"/>
          <w:color w:val="000000"/>
          <w:sz w:val="24"/>
          <w:szCs w:val="24"/>
          <w:lang w:val="en-US" w:eastAsia="zh-CN"/>
        </w:rPr>
        <w:t>作业流程</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先由清扫车清除浮沉垃圾，接着通过洗扫车滚刷深度洗刷，最后由吸嘴将污水彻底吸走。</w:t>
      </w:r>
    </w:p>
    <w:p w14:paraId="0A8189C3">
      <w:pPr>
        <w:numPr>
          <w:ilvl w:val="0"/>
          <w:numId w:val="0"/>
        </w:num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洒水车</w:t>
      </w:r>
      <w:r>
        <w:rPr>
          <w:rFonts w:hint="eastAsia" w:asciiTheme="minorEastAsia" w:hAnsiTheme="minorEastAsia" w:eastAsiaTheme="minorEastAsia" w:cstheme="minorEastAsia"/>
          <w:color w:val="000000"/>
          <w:sz w:val="24"/>
          <w:szCs w:val="24"/>
          <w:lang w:eastAsia="zh-CN"/>
        </w:rPr>
        <w:t>降尘</w:t>
      </w:r>
      <w:r>
        <w:rPr>
          <w:rFonts w:hint="eastAsia" w:asciiTheme="minorEastAsia" w:hAnsiTheme="minorEastAsia" w:eastAsiaTheme="minorEastAsia" w:cstheme="minorEastAsia"/>
          <w:color w:val="000000"/>
          <w:sz w:val="24"/>
          <w:szCs w:val="24"/>
        </w:rPr>
        <w:t>作业</w:t>
      </w:r>
      <w:r>
        <w:rPr>
          <w:rFonts w:hint="eastAsia" w:asciiTheme="minorEastAsia" w:hAnsiTheme="minorEastAsia" w:eastAsiaTheme="minorEastAsia" w:cstheme="minorEastAsia"/>
          <w:color w:val="000000"/>
          <w:sz w:val="24"/>
          <w:szCs w:val="24"/>
          <w:lang w:eastAsia="zh-CN"/>
        </w:rPr>
        <w:t>标准</w:t>
      </w:r>
    </w:p>
    <w:p w14:paraId="3E12D763">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作业方式</w:t>
      </w:r>
      <w:r>
        <w:rPr>
          <w:rFonts w:hint="eastAsia" w:asciiTheme="minorEastAsia" w:hAnsiTheme="minorEastAsia" w:eastAsiaTheme="minorEastAsia" w:cstheme="minorEastAsia"/>
          <w:color w:val="000000"/>
          <w:sz w:val="24"/>
          <w:szCs w:val="24"/>
        </w:rPr>
        <w:t>：采用“高压冲洗+低压洒水”模式，前喷后洒，确保路面湿润无扬尘</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保证作业后路面无明显浮沉，冲洗路面不形成路面积水、污水漫溢。</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冬季停止冲洗洒水</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改为吸扫，</w:t>
      </w:r>
      <w:r>
        <w:rPr>
          <w:rFonts w:hint="eastAsia" w:asciiTheme="minorEastAsia" w:hAnsiTheme="minorEastAsia" w:eastAsiaTheme="minorEastAsia" w:cstheme="minorEastAsia"/>
          <w:color w:val="000000"/>
          <w:sz w:val="24"/>
          <w:szCs w:val="24"/>
        </w:rPr>
        <w:t>防止路面结冰）。</w:t>
      </w:r>
    </w:p>
    <w:p w14:paraId="314FE1F3">
      <w:pPr>
        <w:numPr>
          <w:ilvl w:val="0"/>
          <w:numId w:val="3"/>
        </w:num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针</w:t>
      </w:r>
      <w:r>
        <w:rPr>
          <w:rFonts w:hint="eastAsia" w:asciiTheme="minorEastAsia" w:hAnsiTheme="minorEastAsia" w:eastAsiaTheme="minorEastAsia" w:cstheme="minorEastAsia"/>
          <w:color w:val="000000"/>
          <w:sz w:val="24"/>
          <w:szCs w:val="24"/>
          <w:lang w:eastAsia="zh-CN"/>
        </w:rPr>
        <w:t>对重点道路扬尘治理和重点区域周边道路精细化治理问题，通过机械化加密除尘作业。</w:t>
      </w:r>
      <w:r>
        <w:rPr>
          <w:rFonts w:hint="eastAsia" w:asciiTheme="minorEastAsia" w:hAnsiTheme="minorEastAsia" w:eastAsiaTheme="minorEastAsia" w:cstheme="minorEastAsia"/>
          <w:color w:val="000000"/>
          <w:sz w:val="24"/>
          <w:szCs w:val="24"/>
        </w:rPr>
        <w:t>有效</w:t>
      </w:r>
      <w:r>
        <w:rPr>
          <w:rFonts w:hint="eastAsia" w:asciiTheme="minorEastAsia" w:hAnsiTheme="minorEastAsia" w:eastAsiaTheme="minorEastAsia" w:cstheme="minorEastAsia"/>
          <w:color w:val="000000"/>
          <w:sz w:val="24"/>
          <w:szCs w:val="24"/>
          <w:lang w:eastAsia="zh-CN"/>
        </w:rPr>
        <w:t>抑制重点</w:t>
      </w:r>
      <w:r>
        <w:rPr>
          <w:rFonts w:hint="eastAsia" w:asciiTheme="minorEastAsia" w:hAnsiTheme="minorEastAsia" w:eastAsiaTheme="minorEastAsia" w:cstheme="minorEastAsia"/>
          <w:color w:val="000000"/>
          <w:sz w:val="24"/>
          <w:szCs w:val="24"/>
        </w:rPr>
        <w:t>道路</w:t>
      </w:r>
      <w:r>
        <w:rPr>
          <w:rFonts w:hint="eastAsia" w:asciiTheme="minorEastAsia" w:hAnsiTheme="minorEastAsia" w:eastAsiaTheme="minorEastAsia" w:cstheme="minorEastAsia"/>
          <w:color w:val="000000"/>
          <w:sz w:val="24"/>
          <w:szCs w:val="24"/>
          <w:lang w:eastAsia="zh-CN"/>
        </w:rPr>
        <w:t>尘负荷，洗扫车</w:t>
      </w:r>
      <w:r>
        <w:rPr>
          <w:rFonts w:hint="eastAsia" w:asciiTheme="minorEastAsia" w:hAnsiTheme="minorEastAsia" w:eastAsiaTheme="minorEastAsia" w:cstheme="minorEastAsia"/>
          <w:color w:val="000000"/>
          <w:sz w:val="24"/>
          <w:szCs w:val="24"/>
        </w:rPr>
        <w:t>作业时间不少于</w:t>
      </w:r>
      <w:r>
        <w:rPr>
          <w:rFonts w:hint="eastAsia" w:asciiTheme="minorEastAsia" w:hAnsiTheme="minorEastAsia" w:eastAsiaTheme="minorEastAsia" w:cstheme="minorEastAsia"/>
          <w:color w:val="000000"/>
          <w:sz w:val="24"/>
          <w:szCs w:val="24"/>
          <w:lang w:val="en-US" w:eastAsia="zh-CN"/>
        </w:rPr>
        <w:t>293天</w:t>
      </w:r>
      <w:r>
        <w:rPr>
          <w:rFonts w:hint="eastAsia" w:asciiTheme="minorEastAsia" w:hAnsiTheme="minorEastAsia" w:eastAsiaTheme="minorEastAsia" w:cstheme="minorEastAsia"/>
          <w:color w:val="000000"/>
          <w:sz w:val="24"/>
          <w:szCs w:val="24"/>
        </w:rPr>
        <w:t>／年；</w:t>
      </w:r>
      <w:r>
        <w:rPr>
          <w:rFonts w:hint="eastAsia" w:asciiTheme="minorEastAsia" w:hAnsiTheme="minorEastAsia" w:eastAsiaTheme="minorEastAsia" w:cstheme="minorEastAsia"/>
          <w:color w:val="000000"/>
          <w:sz w:val="24"/>
          <w:szCs w:val="24"/>
          <w:lang w:eastAsia="zh-CN"/>
        </w:rPr>
        <w:t>抑尘车</w:t>
      </w:r>
      <w:r>
        <w:rPr>
          <w:rFonts w:hint="eastAsia" w:asciiTheme="minorEastAsia" w:hAnsiTheme="minorEastAsia" w:eastAsiaTheme="minorEastAsia" w:cstheme="minorEastAsia"/>
          <w:color w:val="000000"/>
          <w:sz w:val="24"/>
          <w:szCs w:val="24"/>
        </w:rPr>
        <w:t>作业时长不少于</w:t>
      </w:r>
      <w:r>
        <w:rPr>
          <w:rFonts w:hint="eastAsia" w:asciiTheme="minorEastAsia" w:hAnsiTheme="minorEastAsia" w:eastAsiaTheme="minorEastAsia" w:cstheme="minorEastAsia"/>
          <w:color w:val="000000"/>
          <w:sz w:val="24"/>
          <w:szCs w:val="24"/>
          <w:lang w:val="en-US" w:eastAsia="zh-CN"/>
        </w:rPr>
        <w:t>242天</w:t>
      </w:r>
      <w:r>
        <w:rPr>
          <w:rFonts w:hint="eastAsia" w:asciiTheme="minorEastAsia" w:hAnsiTheme="minorEastAsia" w:eastAsiaTheme="minorEastAsia" w:cstheme="minorEastAsia"/>
          <w:color w:val="000000"/>
          <w:sz w:val="24"/>
          <w:szCs w:val="24"/>
        </w:rPr>
        <w:t>／年。</w:t>
      </w:r>
    </w:p>
    <w:p w14:paraId="3709502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特殊情况处理：</w:t>
      </w:r>
    </w:p>
    <w:p w14:paraId="76B6EC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当遇中雨(含)以上天气时，应暂停作业，雨后及时开展推水作业。</w:t>
      </w:r>
    </w:p>
    <w:p w14:paraId="191733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当遇五级(含)以上大风天气时，可暂停作业，风后及时清除白色污染</w:t>
      </w:r>
      <w:r>
        <w:rPr>
          <w:rFonts w:hint="eastAsia" w:asciiTheme="minorEastAsia" w:hAnsiTheme="minorEastAsia" w:eastAsiaTheme="minorEastAsia" w:cstheme="minorEastAsia"/>
          <w:sz w:val="24"/>
          <w:szCs w:val="24"/>
          <w:lang w:eastAsia="zh-CN"/>
        </w:rPr>
        <w:t>。</w:t>
      </w:r>
    </w:p>
    <w:p w14:paraId="47C188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当遇空气重污染天气、降雪天气、出现道路环境突发事件时，应按照北京市相关应急预案进行作业。</w:t>
      </w:r>
    </w:p>
    <w:p w14:paraId="10661E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iCs w:val="0"/>
          <w:caps w:val="0"/>
          <w:color w:val="0F1115"/>
          <w:spacing w:val="0"/>
          <w:sz w:val="24"/>
          <w:szCs w:val="24"/>
          <w:shd w:val="clear" w:color="auto" w:fill="FFFFFF"/>
          <w:lang w:eastAsia="zh-CN"/>
        </w:rPr>
        <w:t>（</w:t>
      </w:r>
      <w:r>
        <w:rPr>
          <w:rFonts w:hint="eastAsia" w:asciiTheme="minorEastAsia" w:hAnsiTheme="minorEastAsia" w:eastAsiaTheme="minorEastAsia" w:cstheme="minorEastAsia"/>
          <w:i w:val="0"/>
          <w:iCs w:val="0"/>
          <w:caps w:val="0"/>
          <w:color w:val="0F1115"/>
          <w:spacing w:val="0"/>
          <w:sz w:val="24"/>
          <w:szCs w:val="24"/>
          <w:shd w:val="clear" w:color="auto" w:fill="FFFFFF"/>
          <w:lang w:val="en-US" w:eastAsia="zh-CN"/>
        </w:rPr>
        <w:t>4</w:t>
      </w:r>
      <w:r>
        <w:rPr>
          <w:rFonts w:hint="eastAsia" w:asciiTheme="minorEastAsia" w:hAnsiTheme="minorEastAsia" w:eastAsiaTheme="minorEastAsia" w:cstheme="minorEastAsia"/>
          <w:i w:val="0"/>
          <w:iCs w:val="0"/>
          <w:caps w:val="0"/>
          <w:color w:val="0F1115"/>
          <w:spacing w:val="0"/>
          <w:sz w:val="24"/>
          <w:szCs w:val="24"/>
          <w:shd w:val="clear" w:color="auto" w:fill="FFFFFF"/>
          <w:lang w:eastAsia="zh-CN"/>
        </w:rPr>
        <w:t>）</w:t>
      </w:r>
      <w:r>
        <w:rPr>
          <w:rFonts w:hint="eastAsia" w:asciiTheme="minorEastAsia" w:hAnsiTheme="minorEastAsia" w:eastAsiaTheme="minorEastAsia" w:cstheme="minorEastAsia"/>
          <w:i w:val="0"/>
          <w:iCs w:val="0"/>
          <w:caps w:val="0"/>
          <w:color w:val="0F1115"/>
          <w:spacing w:val="0"/>
          <w:sz w:val="24"/>
          <w:szCs w:val="24"/>
          <w:shd w:val="clear" w:color="auto" w:fill="FFFFFF"/>
        </w:rPr>
        <w:t>冬季（日平均气温≤5℃）停止洒水，改为干吸作业，防止结冰。</w:t>
      </w:r>
    </w:p>
    <w:p w14:paraId="69FB4F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（二）、裸地扬尘综合治理</w:t>
      </w:r>
    </w:p>
    <w:p w14:paraId="6E5D1CE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1、实施过程</w:t>
      </w:r>
    </w:p>
    <w:p w14:paraId="5C70ADA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通过针对</w:t>
      </w:r>
      <w:r>
        <w:rPr>
          <w:rFonts w:hint="eastAsia" w:asciiTheme="minorEastAsia" w:hAnsiTheme="minorEastAsia" w:eastAsiaTheme="minorEastAsia" w:cstheme="minorEastAsia"/>
          <w:color w:val="000000"/>
          <w:sz w:val="24"/>
          <w:szCs w:val="24"/>
          <w:lang w:eastAsia="zh-CN"/>
        </w:rPr>
        <w:t>牛栏山镇</w:t>
      </w:r>
      <w:r>
        <w:rPr>
          <w:rFonts w:hint="eastAsia" w:asciiTheme="minorEastAsia" w:hAnsiTheme="minorEastAsia" w:eastAsiaTheme="minorEastAsia" w:cstheme="minorEastAsia"/>
          <w:color w:val="000000"/>
          <w:sz w:val="24"/>
          <w:szCs w:val="24"/>
        </w:rPr>
        <w:t>裸地扬尘综合治理的实施，在一定程度上降低</w:t>
      </w:r>
      <w:r>
        <w:rPr>
          <w:rFonts w:hint="eastAsia" w:asciiTheme="minorEastAsia" w:hAnsiTheme="minorEastAsia" w:eastAsiaTheme="minorEastAsia" w:cstheme="minorEastAsia"/>
          <w:color w:val="000000"/>
          <w:sz w:val="24"/>
          <w:szCs w:val="24"/>
          <w:lang w:eastAsia="zh-CN"/>
        </w:rPr>
        <w:t>牛栏山镇</w:t>
      </w:r>
      <w:r>
        <w:rPr>
          <w:rFonts w:hint="eastAsia" w:asciiTheme="minorEastAsia" w:hAnsiTheme="minorEastAsia" w:eastAsiaTheme="minorEastAsia" w:cstheme="minorEastAsia"/>
          <w:color w:val="000000"/>
          <w:sz w:val="24"/>
          <w:szCs w:val="24"/>
        </w:rPr>
        <w:t>裸地扬尘污染，美化环境，持续改善辖区空气质量</w:t>
      </w:r>
      <w:r>
        <w:rPr>
          <w:rFonts w:hint="eastAsia" w:asciiTheme="minorEastAsia" w:hAnsiTheme="minorEastAsia" w:eastAsiaTheme="minorEastAsia" w:cstheme="minorEastAsia"/>
          <w:color w:val="000000"/>
          <w:sz w:val="24"/>
          <w:szCs w:val="24"/>
          <w:lang w:val="en-US" w:eastAsia="zh-CN"/>
        </w:rPr>
        <w:t>.</w:t>
      </w:r>
      <w:r>
        <w:rPr>
          <w:rFonts w:hint="eastAsia" w:asciiTheme="minorEastAsia" w:hAnsiTheme="minorEastAsia" w:eastAsiaTheme="minorEastAsia" w:cstheme="minorEastAsia"/>
          <w:color w:val="000000"/>
          <w:sz w:val="24"/>
          <w:szCs w:val="24"/>
        </w:rPr>
        <w:t>苫盖网覆盖，生物质覆盖以及绿化种植是物理覆盖＋</w:t>
      </w:r>
      <w:r>
        <w:rPr>
          <w:rFonts w:hint="eastAsia" w:asciiTheme="minorEastAsia" w:hAnsiTheme="minorEastAsia" w:eastAsiaTheme="minorEastAsia" w:cstheme="minorEastAsia"/>
          <w:color w:val="000000"/>
          <w:sz w:val="24"/>
          <w:szCs w:val="24"/>
          <w:lang w:eastAsia="zh-CN"/>
        </w:rPr>
        <w:t>有机</w:t>
      </w:r>
      <w:r>
        <w:rPr>
          <w:rFonts w:hint="eastAsia" w:asciiTheme="minorEastAsia" w:hAnsiTheme="minorEastAsia" w:eastAsiaTheme="minorEastAsia" w:cstheme="minorEastAsia"/>
          <w:color w:val="000000"/>
          <w:sz w:val="24"/>
          <w:szCs w:val="24"/>
        </w:rPr>
        <w:t>固尘＋长效生态抑尘相结合。当结合使用时，苫盖网负责基础遮挡，绿化种植和生物质覆盖可长期持续抑尘，可形成多层次的扬尘治理体系，提升辖区防尘效果。</w:t>
      </w:r>
    </w:p>
    <w:p w14:paraId="3E07DA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播种量：10g/m²，工程量2000.01m²，可有效覆盖河滩地，并进行浇水车浇水、养护期为一年，确保草籽均匀覆盖并充分接触土壤，播后及时镇压、浇水，促进种子萌发与根系稳固；养护期内定期巡查，视墒情补水，防范杂草竞争与病虫害侵袭，保障植被成活率与覆盖度达标；草籽：播撒后至出苗期（约15-20天），每日轻喷1-2次保持地表湿润，出苗后改为每3-5天1次；成活与后期养护：服务包含为期一年的养护期。养护期内，将安排专人定期巡查，进行补植、除草、病虫害防治及必要的水肥管理，确保治理效果；具体要求如下：</w:t>
      </w:r>
    </w:p>
    <w:p w14:paraId="47D851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2" w:firstLineChars="200"/>
        <w:jc w:val="left"/>
        <w:rPr>
          <w:rStyle w:val="26"/>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sz w:val="24"/>
          <w:szCs w:val="24"/>
          <w:lang w:val="en-US" w:eastAsia="zh-CN"/>
        </w:rPr>
        <w:t>浇水要求：</w:t>
      </w:r>
      <w:r>
        <w:rPr>
          <w:rFonts w:hint="eastAsia" w:asciiTheme="minorEastAsia" w:hAnsiTheme="minorEastAsia" w:eastAsiaTheme="minorEastAsia" w:cstheme="minorEastAsia"/>
          <w:b w:val="0"/>
          <w:bCs w:val="0"/>
          <w:color w:val="000000"/>
          <w:sz w:val="24"/>
          <w:szCs w:val="24"/>
        </w:rPr>
        <w:t>春季（3～5 月，）</w:t>
      </w:r>
      <w:r>
        <w:rPr>
          <w:rStyle w:val="26"/>
          <w:rFonts w:hint="eastAsia" w:asciiTheme="minorEastAsia" w:hAnsiTheme="minorEastAsia" w:eastAsiaTheme="minorEastAsia" w:cstheme="minorEastAsia"/>
          <w:b w:val="0"/>
          <w:bCs w:val="0"/>
          <w:color w:val="000000"/>
          <w:sz w:val="24"/>
          <w:szCs w:val="24"/>
        </w:rPr>
        <w:t>新栽苗</w:t>
      </w:r>
      <w:r>
        <w:rPr>
          <w:rFonts w:hint="eastAsia" w:asciiTheme="minorEastAsia" w:hAnsiTheme="minorEastAsia" w:eastAsiaTheme="minorEastAsia" w:cstheme="minorEastAsia"/>
          <w:b w:val="0"/>
          <w:bCs w:val="0"/>
          <w:color w:val="000000"/>
          <w:sz w:val="24"/>
          <w:szCs w:val="24"/>
        </w:rPr>
        <w:t>：</w:t>
      </w:r>
      <w:r>
        <w:rPr>
          <w:rStyle w:val="26"/>
          <w:rFonts w:hint="eastAsia" w:asciiTheme="minorEastAsia" w:hAnsiTheme="minorEastAsia" w:eastAsiaTheme="minorEastAsia" w:cstheme="minorEastAsia"/>
          <w:b w:val="0"/>
          <w:bCs w:val="0"/>
          <w:color w:val="000000"/>
          <w:sz w:val="24"/>
          <w:szCs w:val="24"/>
        </w:rPr>
        <w:t>7 天 1 次（浇透）</w:t>
      </w:r>
      <w:r>
        <w:rPr>
          <w:rFonts w:hint="eastAsia" w:asciiTheme="minorEastAsia" w:hAnsiTheme="minorEastAsia" w:eastAsiaTheme="minorEastAsia" w:cstheme="minorEastAsia"/>
          <w:b w:val="0"/>
          <w:bCs w:val="0"/>
          <w:color w:val="000000"/>
          <w:sz w:val="24"/>
          <w:szCs w:val="24"/>
        </w:rPr>
        <w:t xml:space="preserve"> </w:t>
      </w:r>
      <w:r>
        <w:rPr>
          <w:rFonts w:hint="eastAsia" w:asciiTheme="minorEastAsia" w:hAnsiTheme="minorEastAsia" w:eastAsiaTheme="minorEastAsia" w:cstheme="minorEastAsia"/>
          <w:b w:val="0"/>
          <w:bCs w:val="0"/>
          <w:color w:val="000000"/>
          <w:sz w:val="24"/>
          <w:szCs w:val="24"/>
          <w:lang w:eastAsia="zh-CN"/>
        </w:rPr>
        <w:t>；</w:t>
      </w:r>
      <w:r>
        <w:rPr>
          <w:rFonts w:hint="eastAsia" w:asciiTheme="minorEastAsia" w:hAnsiTheme="minorEastAsia" w:eastAsiaTheme="minorEastAsia" w:cstheme="minorEastAsia"/>
          <w:b w:val="0"/>
          <w:bCs w:val="0"/>
          <w:color w:val="000000"/>
          <w:sz w:val="24"/>
          <w:szCs w:val="24"/>
        </w:rPr>
        <w:t>夏季（6～8 月，高温</w:t>
      </w:r>
      <w:r>
        <w:rPr>
          <w:rFonts w:hint="eastAsia" w:asciiTheme="minorEastAsia" w:hAnsiTheme="minorEastAsia" w:eastAsiaTheme="minorEastAsia" w:cstheme="minorEastAsia"/>
          <w:b w:val="0"/>
          <w:bCs w:val="0"/>
          <w:color w:val="000000"/>
          <w:sz w:val="24"/>
          <w:szCs w:val="24"/>
          <w:lang w:val="en-US" w:eastAsia="zh-CN"/>
        </w:rPr>
        <w:t>天气</w:t>
      </w:r>
      <w:r>
        <w:rPr>
          <w:rFonts w:hint="eastAsia" w:asciiTheme="minorEastAsia" w:hAnsiTheme="minorEastAsia" w:eastAsiaTheme="minorEastAsia" w:cstheme="minorEastAsia"/>
          <w:b w:val="0"/>
          <w:bCs w:val="0"/>
          <w:color w:val="000000"/>
          <w:sz w:val="24"/>
          <w:szCs w:val="24"/>
        </w:rPr>
        <w:t>）</w:t>
      </w:r>
      <w:r>
        <w:rPr>
          <w:rStyle w:val="26"/>
          <w:rFonts w:hint="eastAsia" w:asciiTheme="minorEastAsia" w:hAnsiTheme="minorEastAsia" w:eastAsiaTheme="minorEastAsia" w:cstheme="minorEastAsia"/>
          <w:b w:val="0"/>
          <w:bCs w:val="0"/>
          <w:color w:val="000000"/>
          <w:sz w:val="24"/>
          <w:szCs w:val="24"/>
        </w:rPr>
        <w:t>常规</w:t>
      </w:r>
      <w:r>
        <w:rPr>
          <w:rFonts w:hint="eastAsia" w:asciiTheme="minorEastAsia" w:hAnsiTheme="minorEastAsia" w:eastAsiaTheme="minorEastAsia" w:cstheme="minorEastAsia"/>
          <w:b w:val="0"/>
          <w:bCs w:val="0"/>
          <w:color w:val="000000"/>
          <w:sz w:val="24"/>
          <w:szCs w:val="24"/>
        </w:rPr>
        <w:t>：</w:t>
      </w:r>
      <w:r>
        <w:rPr>
          <w:rStyle w:val="26"/>
          <w:rFonts w:hint="eastAsia" w:asciiTheme="minorEastAsia" w:hAnsiTheme="minorEastAsia" w:eastAsiaTheme="minorEastAsia" w:cstheme="minorEastAsia"/>
          <w:b w:val="0"/>
          <w:bCs w:val="0"/>
          <w:color w:val="000000"/>
          <w:sz w:val="24"/>
          <w:szCs w:val="24"/>
        </w:rPr>
        <w:t>5 天 1 次</w:t>
      </w:r>
      <w:r>
        <w:rPr>
          <w:rStyle w:val="26"/>
          <w:rFonts w:hint="eastAsia" w:asciiTheme="minorEastAsia" w:hAnsiTheme="minorEastAsia" w:eastAsiaTheme="minorEastAsia" w:cstheme="minorEastAsia"/>
          <w:b w:val="0"/>
          <w:bCs w:val="0"/>
          <w:color w:val="000000"/>
          <w:sz w:val="24"/>
          <w:szCs w:val="24"/>
          <w:lang w:eastAsia="zh-CN"/>
        </w:rPr>
        <w:t>；</w:t>
      </w:r>
      <w:r>
        <w:rPr>
          <w:rFonts w:hint="eastAsia" w:asciiTheme="minorEastAsia" w:hAnsiTheme="minorEastAsia" w:eastAsiaTheme="minorEastAsia" w:cstheme="minorEastAsia"/>
          <w:b w:val="0"/>
          <w:bCs w:val="0"/>
          <w:color w:val="000000"/>
          <w:sz w:val="24"/>
          <w:szCs w:val="24"/>
        </w:rPr>
        <w:t>秋季（9～11 月）</w:t>
      </w:r>
      <w:r>
        <w:rPr>
          <w:rStyle w:val="26"/>
          <w:rFonts w:hint="eastAsia" w:asciiTheme="minorEastAsia" w:hAnsiTheme="minorEastAsia" w:eastAsiaTheme="minorEastAsia" w:cstheme="minorEastAsia"/>
          <w:b w:val="0"/>
          <w:bCs w:val="0"/>
          <w:color w:val="000000"/>
          <w:sz w:val="24"/>
          <w:szCs w:val="24"/>
        </w:rPr>
        <w:t>9～10 月</w:t>
      </w:r>
      <w:r>
        <w:rPr>
          <w:rFonts w:hint="eastAsia" w:asciiTheme="minorEastAsia" w:hAnsiTheme="minorEastAsia" w:eastAsiaTheme="minorEastAsia" w:cstheme="minorEastAsia"/>
          <w:b w:val="0"/>
          <w:bCs w:val="0"/>
          <w:color w:val="000000"/>
          <w:sz w:val="24"/>
          <w:szCs w:val="24"/>
        </w:rPr>
        <w:t>：</w:t>
      </w:r>
      <w:r>
        <w:rPr>
          <w:rStyle w:val="26"/>
          <w:rFonts w:hint="eastAsia" w:asciiTheme="minorEastAsia" w:hAnsiTheme="minorEastAsia" w:eastAsiaTheme="minorEastAsia" w:cstheme="minorEastAsia"/>
          <w:b w:val="0"/>
          <w:bCs w:val="0"/>
          <w:color w:val="000000"/>
          <w:sz w:val="24"/>
          <w:szCs w:val="24"/>
        </w:rPr>
        <w:t>10 天 1 次</w:t>
      </w:r>
      <w:r>
        <w:rPr>
          <w:rStyle w:val="26"/>
          <w:rFonts w:hint="eastAsia" w:asciiTheme="minorEastAsia" w:hAnsiTheme="minorEastAsia" w:eastAsiaTheme="minorEastAsia" w:cstheme="minorEastAsia"/>
          <w:b w:val="0"/>
          <w:bCs w:val="0"/>
          <w:color w:val="000000"/>
          <w:sz w:val="24"/>
          <w:szCs w:val="24"/>
          <w:lang w:eastAsia="zh-CN"/>
        </w:rPr>
        <w:t>；</w:t>
      </w:r>
      <w:r>
        <w:rPr>
          <w:rStyle w:val="26"/>
          <w:rFonts w:hint="eastAsia" w:asciiTheme="minorEastAsia" w:hAnsiTheme="minorEastAsia" w:eastAsiaTheme="minorEastAsia" w:cstheme="minorEastAsia"/>
          <w:b w:val="0"/>
          <w:bCs w:val="0"/>
          <w:color w:val="000000"/>
          <w:sz w:val="24"/>
          <w:szCs w:val="24"/>
        </w:rPr>
        <w:t>11 月（落叶前）</w:t>
      </w:r>
      <w:r>
        <w:rPr>
          <w:rFonts w:hint="eastAsia" w:asciiTheme="minorEastAsia" w:hAnsiTheme="minorEastAsia" w:eastAsiaTheme="minorEastAsia" w:cstheme="minorEastAsia"/>
          <w:b w:val="0"/>
          <w:bCs w:val="0"/>
          <w:color w:val="000000"/>
          <w:sz w:val="24"/>
          <w:szCs w:val="24"/>
        </w:rPr>
        <w:t>：</w:t>
      </w:r>
      <w:r>
        <w:rPr>
          <w:rStyle w:val="26"/>
          <w:rFonts w:hint="eastAsia" w:asciiTheme="minorEastAsia" w:hAnsiTheme="minorEastAsia" w:eastAsiaTheme="minorEastAsia" w:cstheme="minorEastAsia"/>
          <w:b w:val="0"/>
          <w:bCs w:val="0"/>
          <w:color w:val="000000"/>
          <w:sz w:val="24"/>
          <w:szCs w:val="24"/>
        </w:rPr>
        <w:t>浇 1 次 封冻水（必须）</w:t>
      </w:r>
    </w:p>
    <w:p w14:paraId="46723FDB">
      <w:pPr>
        <w:pStyle w:val="13"/>
        <w:ind w:left="0" w:leftChars="0" w:firstLine="480" w:firstLineChars="200"/>
        <w:rPr>
          <w:rStyle w:val="26"/>
          <w:rFonts w:hint="eastAsia" w:asciiTheme="minorEastAsia" w:hAnsiTheme="minorEastAsia" w:eastAsiaTheme="minorEastAsia" w:cstheme="minorEastAsia"/>
          <w:b w:val="0"/>
          <w:bCs w:val="0"/>
          <w:color w:val="000000"/>
          <w:sz w:val="24"/>
          <w:szCs w:val="24"/>
          <w:lang w:val="en-US" w:eastAsia="zh-CN"/>
        </w:rPr>
      </w:pPr>
      <w:r>
        <w:rPr>
          <w:rStyle w:val="26"/>
          <w:rFonts w:hint="eastAsia" w:asciiTheme="minorEastAsia" w:hAnsiTheme="minorEastAsia" w:eastAsiaTheme="minorEastAsia" w:cstheme="minorEastAsia"/>
          <w:b w:val="0"/>
          <w:bCs w:val="0"/>
          <w:color w:val="000000"/>
          <w:sz w:val="24"/>
          <w:szCs w:val="24"/>
          <w:lang w:val="en-US" w:eastAsia="zh-CN"/>
        </w:rPr>
        <w:t>2、后期养护要求</w:t>
      </w:r>
    </w:p>
    <w:p w14:paraId="090B28F8">
      <w:pPr>
        <w:pStyle w:val="3"/>
        <w:keepNext w:val="0"/>
        <w:keepLines w:val="0"/>
        <w:widowControl/>
        <w:suppressLineNumbers w:val="0"/>
        <w:spacing w:beforeAutospacing="0" w:afterAutospacing="0"/>
        <w:ind w:firstLine="480" w:firstLineChars="200"/>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rPr>
        <w:t>养护核心原则</w:t>
      </w:r>
    </w:p>
    <w:p w14:paraId="575960A4">
      <w:pPr>
        <w:pStyle w:val="3"/>
        <w:keepNext w:val="0"/>
        <w:keepLines w:val="0"/>
        <w:widowControl/>
        <w:suppressLineNumbers w:val="0"/>
        <w:spacing w:beforeAutospacing="0" w:afterAutospacing="0"/>
        <w:ind w:firstLine="480" w:firstLineChars="200"/>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kern w:val="0"/>
          <w:sz w:val="24"/>
          <w:szCs w:val="24"/>
          <w:lang w:val="en-US" w:eastAsia="zh-CN" w:bidi="ar"/>
        </w:rPr>
        <w:t>重点防冬季枯黄、夏季病害，兼顾匍匐茎更新；重点防涝、控氮、防夏季高温休眠，促进匍匐茎蔓延;后期均需控制杂草、适度修剪、科学水肥，预防病虫害。</w:t>
      </w:r>
    </w:p>
    <w:p w14:paraId="2CB5F236">
      <w:pPr>
        <w:pStyle w:val="3"/>
        <w:keepNext w:val="0"/>
        <w:keepLines w:val="0"/>
        <w:widowControl/>
        <w:suppressLineNumbers w:val="0"/>
        <w:spacing w:beforeAutospacing="0" w:afterAutospacing="0"/>
        <w:ind w:firstLine="480" w:firstLineChars="200"/>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rPr>
        <w:t>土壤管理</w:t>
      </w:r>
    </w:p>
    <w:p w14:paraId="09EF41CA">
      <w:pPr>
        <w:keepNext w:val="0"/>
        <w:keepLines w:val="0"/>
        <w:widowControl/>
        <w:suppressLineNumbers w:val="0"/>
        <w:ind w:firstLine="480" w:firstLineChars="200"/>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kern w:val="0"/>
          <w:sz w:val="24"/>
          <w:szCs w:val="24"/>
          <w:lang w:val="en-US" w:eastAsia="zh-CN" w:bidi="ar"/>
        </w:rPr>
        <w:t>2.1.松土透气：每年春秋两季（3-4月、9-10月）各进行1次梳草或打孔，深度8-12cm，打破土壤板结，改善根系通气性，促进新根萌发；低洼易积水区域，需提前挖沟排水，避免根系腐烂。</w:t>
      </w:r>
    </w:p>
    <w:p w14:paraId="2A14CE2F">
      <w:pPr>
        <w:keepNext w:val="0"/>
        <w:keepLines w:val="0"/>
        <w:widowControl/>
        <w:suppressLineNumbers w:val="0"/>
        <w:ind w:firstLine="480" w:firstLineChars="200"/>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kern w:val="0"/>
          <w:sz w:val="24"/>
          <w:szCs w:val="24"/>
          <w:lang w:val="en-US" w:eastAsia="zh-CN" w:bidi="ar"/>
        </w:rPr>
        <w:t>2.2.土壤改良：每1-2年施1次腐熟有机肥（100-150g/㎡），撒施后轻翻入土，提升土壤肥力，调节土壤酸碱度（适宜pH值），避免土壤盐碱化。</w:t>
      </w:r>
    </w:p>
    <w:p w14:paraId="1396F9B4">
      <w:pPr>
        <w:pStyle w:val="3"/>
        <w:keepNext w:val="0"/>
        <w:keepLines w:val="0"/>
        <w:widowControl/>
        <w:suppressLineNumbers w:val="0"/>
        <w:spacing w:beforeAutospacing="0" w:afterAutospacing="0"/>
        <w:ind w:firstLine="482"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杂草防治</w:t>
      </w:r>
    </w:p>
    <w:p w14:paraId="0C406098">
      <w:pPr>
        <w:keepNext w:val="0"/>
        <w:keepLines w:val="0"/>
        <w:widowControl/>
        <w:suppressLineNumbers w:val="0"/>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3.1.人工清除：成坪后，零星杂草（如蒲公英、狗尾草）及时人工拔除，避免杂草与草坪争夺水肥；对于顽固性杂草（如牛筋草），需挖除根系，防止复发。</w:t>
      </w:r>
    </w:p>
    <w:p w14:paraId="1903C7D1">
      <w:pPr>
        <w:keepNext w:val="0"/>
        <w:keepLines w:val="0"/>
        <w:widowControl/>
        <w:suppressLineNumbers w:val="0"/>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3.2.化学防治：杂草连片发生时，选用对应专用除草剂，避开草坪生长旺盛期（如返青期、修剪后1周）。可选用豆科草坪专用除草剂，严格按照说明书稀释喷施，喷施后及时浇水，减少药害残留。</w:t>
      </w:r>
    </w:p>
    <w:p w14:paraId="6A61239A">
      <w:pPr>
        <w:keepNext w:val="0"/>
        <w:keepLines w:val="0"/>
        <w:widowControl/>
        <w:numPr>
          <w:ilvl w:val="0"/>
          <w:numId w:val="0"/>
        </w:numPr>
        <w:suppressLineNumbers w:val="0"/>
        <w:spacing w:before="0" w:beforeAutospacing="0" w:after="0" w:afterAutospacing="0"/>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3.3.</w:t>
      </w:r>
      <w:r>
        <w:rPr>
          <w:rFonts w:hint="eastAsia" w:asciiTheme="minorEastAsia" w:hAnsiTheme="minorEastAsia" w:eastAsiaTheme="minorEastAsia" w:cstheme="minorEastAsia"/>
          <w:kern w:val="0"/>
          <w:sz w:val="24"/>
          <w:szCs w:val="24"/>
          <w:lang w:val="en-US" w:eastAsia="zh-CN" w:bidi="ar"/>
        </w:rPr>
        <w:t>预防要点：后期定期修剪，提高草坪覆盖率，抑制杂草生长；补播时清理干净杂草种子，避免交叉滋生。</w:t>
      </w:r>
    </w:p>
    <w:p w14:paraId="0DC4B43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四、</w:t>
      </w:r>
      <w:r>
        <w:rPr>
          <w:rFonts w:hint="eastAsia" w:asciiTheme="minorEastAsia" w:hAnsiTheme="minorEastAsia" w:eastAsiaTheme="minorEastAsia" w:cstheme="minorEastAsia"/>
          <w:b/>
          <w:bCs/>
          <w:sz w:val="24"/>
          <w:szCs w:val="24"/>
        </w:rPr>
        <w:t>合同价款与支付方式</w:t>
      </w:r>
    </w:p>
    <w:p w14:paraId="0AC870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sz w:val="24"/>
          <w:szCs w:val="24"/>
        </w:rPr>
        <w:t>（一）合同总价：人民币</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元（大写：</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val="0"/>
          <w:bCs w:val="0"/>
          <w:sz w:val="24"/>
          <w:szCs w:val="24"/>
        </w:rPr>
        <w:t>该总价为含税价，包含人工、材料、设备、水、电、保险、维修、管理、利润、税金等乙方为履行本合同所需的一切费用。除双方书面同意外，合同总价不因任何因素调整。</w:t>
      </w:r>
    </w:p>
    <w:p w14:paraId="09BF2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29C1C559">
      <w:pPr>
        <w:spacing w:line="360" w:lineRule="auto"/>
        <w:ind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（二）合同分项价格：</w:t>
      </w:r>
    </w:p>
    <w:p w14:paraId="3ED6B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1、重点道路扬尘治理：</w:t>
      </w:r>
      <w:r>
        <w:rPr>
          <w:rFonts w:hint="eastAsia" w:asciiTheme="minorEastAsia" w:hAnsiTheme="minorEastAsia" w:eastAsiaTheme="minorEastAsia" w:cstheme="minorEastAsia"/>
          <w:b w:val="0"/>
          <w:bCs w:val="0"/>
          <w:sz w:val="24"/>
          <w:szCs w:val="24"/>
        </w:rPr>
        <w:t>人民币</w:t>
      </w:r>
      <w:r>
        <w:rPr>
          <w:rFonts w:hint="eastAsia" w:asciiTheme="minorEastAsia" w:hAnsiTheme="minorEastAsia" w:eastAsiaTheme="minorEastAsia" w:cstheme="minorEastAsia"/>
          <w:b w:val="0"/>
          <w:bCs w:val="0"/>
          <w:sz w:val="24"/>
          <w:szCs w:val="24"/>
          <w:u w:val="single"/>
          <w:lang w:val="en-US" w:eastAsia="zh-CN"/>
        </w:rPr>
        <w:t xml:space="preserve">          </w:t>
      </w:r>
      <w:r>
        <w:rPr>
          <w:rFonts w:hint="eastAsia" w:asciiTheme="minorEastAsia" w:hAnsiTheme="minorEastAsia" w:eastAsiaTheme="minorEastAsia" w:cstheme="minorEastAsia"/>
          <w:b w:val="0"/>
          <w:bCs w:val="0"/>
          <w:sz w:val="24"/>
          <w:szCs w:val="24"/>
        </w:rPr>
        <w:t>元（大写：</w:t>
      </w:r>
      <w:r>
        <w:rPr>
          <w:rFonts w:hint="eastAsia" w:asciiTheme="minorEastAsia" w:hAnsiTheme="minorEastAsia" w:eastAsiaTheme="minorEastAsia" w:cstheme="minorEastAsia"/>
          <w:b w:val="0"/>
          <w:bCs w:val="0"/>
          <w:sz w:val="24"/>
          <w:szCs w:val="24"/>
          <w:u w:val="single"/>
          <w:lang w:val="en-US" w:eastAsia="zh-CN"/>
        </w:rPr>
        <w:t xml:space="preserve">        </w:t>
      </w:r>
      <w:r>
        <w:rPr>
          <w:rFonts w:hint="eastAsia" w:asciiTheme="minorEastAsia" w:hAnsiTheme="minorEastAsia" w:eastAsiaTheme="minorEastAsia" w:cstheme="minorEastAsia"/>
          <w:b w:val="0"/>
          <w:bCs w:val="0"/>
          <w:sz w:val="24"/>
          <w:szCs w:val="24"/>
        </w:rPr>
        <w:t>）。</w:t>
      </w:r>
    </w:p>
    <w:p w14:paraId="6E1836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2、重点区域周边道路精细化治理:</w:t>
      </w:r>
      <w:r>
        <w:rPr>
          <w:rFonts w:hint="eastAsia" w:asciiTheme="minorEastAsia" w:hAnsiTheme="minorEastAsia" w:eastAsiaTheme="minorEastAsia" w:cstheme="minorEastAsia"/>
          <w:b w:val="0"/>
          <w:bCs w:val="0"/>
          <w:sz w:val="24"/>
          <w:szCs w:val="24"/>
        </w:rPr>
        <w:t>人民币</w:t>
      </w:r>
      <w:r>
        <w:rPr>
          <w:rFonts w:hint="eastAsia" w:asciiTheme="minorEastAsia" w:hAnsiTheme="minorEastAsia" w:eastAsiaTheme="minorEastAsia" w:cstheme="minorEastAsia"/>
          <w:b w:val="0"/>
          <w:bCs w:val="0"/>
          <w:sz w:val="24"/>
          <w:szCs w:val="24"/>
          <w:u w:val="single"/>
          <w:lang w:val="en-US" w:eastAsia="zh-CN"/>
        </w:rPr>
        <w:t xml:space="preserve">          </w:t>
      </w:r>
      <w:r>
        <w:rPr>
          <w:rFonts w:hint="eastAsia" w:asciiTheme="minorEastAsia" w:hAnsiTheme="minorEastAsia" w:eastAsiaTheme="minorEastAsia" w:cstheme="minorEastAsia"/>
          <w:b w:val="0"/>
          <w:bCs w:val="0"/>
          <w:sz w:val="24"/>
          <w:szCs w:val="24"/>
        </w:rPr>
        <w:t>元（大写：</w:t>
      </w:r>
      <w:r>
        <w:rPr>
          <w:rFonts w:hint="eastAsia" w:asciiTheme="minorEastAsia" w:hAnsiTheme="minorEastAsia" w:eastAsiaTheme="minorEastAsia" w:cstheme="minorEastAsia"/>
          <w:b w:val="0"/>
          <w:bCs w:val="0"/>
          <w:sz w:val="24"/>
          <w:szCs w:val="24"/>
          <w:u w:val="single"/>
          <w:lang w:val="en-US" w:eastAsia="zh-CN"/>
        </w:rPr>
        <w:t xml:space="preserve">        </w:t>
      </w:r>
      <w:r>
        <w:rPr>
          <w:rFonts w:hint="eastAsia" w:asciiTheme="minorEastAsia" w:hAnsiTheme="minorEastAsia" w:eastAsiaTheme="minorEastAsia" w:cstheme="minorEastAsia"/>
          <w:b w:val="0"/>
          <w:bCs w:val="0"/>
          <w:sz w:val="24"/>
          <w:szCs w:val="24"/>
        </w:rPr>
        <w:t>）。</w:t>
      </w:r>
    </w:p>
    <w:p w14:paraId="7438C3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lang w:val="en-US"/>
        </w:rPr>
      </w:pPr>
      <w:r>
        <w:rPr>
          <w:rFonts w:hint="eastAsia" w:asciiTheme="minorEastAsia" w:hAnsiTheme="minorEastAsia" w:eastAsiaTheme="minorEastAsia" w:cstheme="minorEastAsia"/>
          <w:b w:val="0"/>
          <w:bCs w:val="0"/>
          <w:color w:val="000000"/>
          <w:sz w:val="24"/>
          <w:szCs w:val="24"/>
          <w:highlight w:val="none"/>
          <w:lang w:val="en-US" w:eastAsia="zh-CN"/>
        </w:rPr>
        <w:t>3、</w:t>
      </w:r>
      <w:r>
        <w:rPr>
          <w:rFonts w:hint="eastAsia" w:asciiTheme="minorEastAsia" w:hAnsiTheme="minorEastAsia" w:eastAsiaTheme="minorEastAsia" w:cstheme="minorEastAsia"/>
          <w:b w:val="0"/>
          <w:bCs w:val="0"/>
          <w:sz w:val="24"/>
          <w:szCs w:val="24"/>
          <w:highlight w:val="none"/>
          <w:lang w:val="en-US" w:eastAsia="zh-CN"/>
        </w:rPr>
        <w:t>裸地扬尘综合治理:</w:t>
      </w:r>
      <w:r>
        <w:rPr>
          <w:rFonts w:hint="eastAsia" w:asciiTheme="minorEastAsia" w:hAnsiTheme="minorEastAsia" w:eastAsiaTheme="minorEastAsia" w:cstheme="minorEastAsia"/>
          <w:b w:val="0"/>
          <w:bCs w:val="0"/>
          <w:sz w:val="24"/>
          <w:szCs w:val="24"/>
        </w:rPr>
        <w:t>人民币</w:t>
      </w:r>
      <w:r>
        <w:rPr>
          <w:rFonts w:hint="eastAsia" w:asciiTheme="minorEastAsia" w:hAnsiTheme="minorEastAsia" w:eastAsiaTheme="minorEastAsia" w:cstheme="minorEastAsia"/>
          <w:b w:val="0"/>
          <w:bCs w:val="0"/>
          <w:sz w:val="24"/>
          <w:szCs w:val="24"/>
          <w:u w:val="single"/>
          <w:lang w:val="en-US" w:eastAsia="zh-CN"/>
        </w:rPr>
        <w:t xml:space="preserve">          </w:t>
      </w:r>
      <w:r>
        <w:rPr>
          <w:rFonts w:hint="eastAsia" w:asciiTheme="minorEastAsia" w:hAnsiTheme="minorEastAsia" w:eastAsiaTheme="minorEastAsia" w:cstheme="minorEastAsia"/>
          <w:b w:val="0"/>
          <w:bCs w:val="0"/>
          <w:sz w:val="24"/>
          <w:szCs w:val="24"/>
        </w:rPr>
        <w:t>元（大写：</w:t>
      </w:r>
      <w:r>
        <w:rPr>
          <w:rFonts w:hint="eastAsia" w:asciiTheme="minorEastAsia" w:hAnsiTheme="minorEastAsia" w:eastAsiaTheme="minorEastAsia" w:cstheme="minorEastAsia"/>
          <w:b w:val="0"/>
          <w:bCs w:val="0"/>
          <w:sz w:val="24"/>
          <w:szCs w:val="24"/>
          <w:u w:val="single"/>
          <w:lang w:val="en-US" w:eastAsia="zh-CN"/>
        </w:rPr>
        <w:t xml:space="preserve">        </w:t>
      </w:r>
      <w:r>
        <w:rPr>
          <w:rFonts w:hint="eastAsia" w:asciiTheme="minorEastAsia" w:hAnsiTheme="minorEastAsia" w:eastAsiaTheme="minorEastAsia" w:cstheme="minorEastAsia"/>
          <w:b w:val="0"/>
          <w:bCs w:val="0"/>
          <w:sz w:val="24"/>
          <w:szCs w:val="24"/>
        </w:rPr>
        <w:t>）。</w:t>
      </w:r>
    </w:p>
    <w:p w14:paraId="4D92FC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支付方式：</w:t>
      </w:r>
    </w:p>
    <w:p w14:paraId="4CB78B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合同签订后</w:t>
      </w:r>
      <w:r>
        <w:rPr>
          <w:rFonts w:hint="eastAsia" w:asciiTheme="minorEastAsia" w:hAnsiTheme="minorEastAsia" w:eastAsiaTheme="minorEastAsia" w:cstheme="minorEastAsia"/>
          <w:sz w:val="24"/>
          <w:szCs w:val="24"/>
          <w:highlight w:val="none"/>
          <w:lang w:val="en-US" w:eastAsia="zh-CN"/>
        </w:rPr>
        <w:t>30</w:t>
      </w:r>
      <w:r>
        <w:rPr>
          <w:rFonts w:hint="eastAsia" w:asciiTheme="minorEastAsia" w:hAnsiTheme="minorEastAsia" w:eastAsiaTheme="minorEastAsia" w:cstheme="minorEastAsia"/>
          <w:sz w:val="24"/>
          <w:szCs w:val="24"/>
          <w:highlight w:val="none"/>
        </w:rPr>
        <w:t xml:space="preserve"> 日内，支付合同总价的</w:t>
      </w:r>
      <w:r>
        <w:rPr>
          <w:rFonts w:hint="eastAsia" w:asciiTheme="minorEastAsia" w:hAnsiTheme="minorEastAsia" w:eastAsiaTheme="minorEastAsia" w:cstheme="minorEastAsia"/>
          <w:sz w:val="24"/>
          <w:szCs w:val="24"/>
          <w:highlight w:val="none"/>
          <w:lang w:val="en-US" w:eastAsia="zh-CN"/>
        </w:rPr>
        <w:t>50</w:t>
      </w:r>
      <w:r>
        <w:rPr>
          <w:rFonts w:hint="eastAsia" w:asciiTheme="minorEastAsia" w:hAnsiTheme="minorEastAsia" w:eastAsiaTheme="minorEastAsia" w:cstheme="minorEastAsia"/>
          <w:sz w:val="24"/>
          <w:szCs w:val="24"/>
          <w:highlight w:val="none"/>
        </w:rPr>
        <w:t>% 作为预付款。</w:t>
      </w:r>
    </w:p>
    <w:p w14:paraId="60D6CB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 xml:space="preserve">服务每满 </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 xml:space="preserve"> 个月，根据双方确认的实际合格工作量</w:t>
      </w:r>
      <w:r>
        <w:rPr>
          <w:rFonts w:hint="eastAsia" w:asciiTheme="minorEastAsia" w:hAnsiTheme="minorEastAsia" w:eastAsiaTheme="minorEastAsia" w:cstheme="minorEastAsia"/>
          <w:sz w:val="24"/>
          <w:szCs w:val="24"/>
          <w:highlight w:val="none"/>
          <w:lang w:eastAsia="zh-CN"/>
        </w:rPr>
        <w:t>扣除当期考核扣款，违约金后，</w:t>
      </w:r>
      <w:r>
        <w:rPr>
          <w:rFonts w:hint="eastAsia" w:asciiTheme="minorEastAsia" w:hAnsiTheme="minorEastAsia" w:eastAsiaTheme="minorEastAsia" w:cstheme="minorEastAsia"/>
          <w:sz w:val="24"/>
          <w:szCs w:val="24"/>
          <w:highlight w:val="none"/>
        </w:rPr>
        <w:t xml:space="preserve">支付至该期应付金额的 </w:t>
      </w:r>
      <w:r>
        <w:rPr>
          <w:rFonts w:hint="eastAsia" w:asciiTheme="minorEastAsia" w:hAnsiTheme="minorEastAsia" w:eastAsiaTheme="minorEastAsia" w:cstheme="minorEastAsia"/>
          <w:sz w:val="24"/>
          <w:szCs w:val="24"/>
          <w:highlight w:val="none"/>
          <w:lang w:val="en-US" w:eastAsia="zh-CN"/>
        </w:rPr>
        <w:t>70</w:t>
      </w:r>
      <w:r>
        <w:rPr>
          <w:rFonts w:hint="eastAsia" w:asciiTheme="minorEastAsia" w:hAnsiTheme="minorEastAsia" w:eastAsiaTheme="minorEastAsia" w:cstheme="minorEastAsia"/>
          <w:sz w:val="24"/>
          <w:szCs w:val="24"/>
          <w:highlight w:val="none"/>
        </w:rPr>
        <w:t>%。</w:t>
      </w:r>
    </w:p>
    <w:p w14:paraId="49563179">
      <w:pPr>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firstLine="480" w:firstLineChars="200"/>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服务期满</w:t>
      </w:r>
      <w:r>
        <w:rPr>
          <w:rFonts w:hint="eastAsia" w:asciiTheme="minorEastAsia" w:hAnsiTheme="minorEastAsia" w:eastAsiaTheme="minorEastAsia" w:cstheme="minorEastAsia"/>
          <w:b w:val="0"/>
          <w:bCs/>
          <w:sz w:val="24"/>
          <w:szCs w:val="24"/>
          <w:lang w:val="en-US" w:eastAsia="zh-CN"/>
        </w:rPr>
        <w:t>并</w:t>
      </w:r>
      <w:r>
        <w:rPr>
          <w:rFonts w:hint="eastAsia" w:asciiTheme="minorEastAsia" w:hAnsiTheme="minorEastAsia" w:eastAsiaTheme="minorEastAsia" w:cstheme="minorEastAsia"/>
          <w:sz w:val="24"/>
          <w:szCs w:val="24"/>
          <w:highlight w:val="none"/>
        </w:rPr>
        <w:t>最终验收合格</w:t>
      </w:r>
      <w:r>
        <w:rPr>
          <w:rFonts w:hint="eastAsia" w:asciiTheme="minorEastAsia" w:hAnsiTheme="minorEastAsia" w:eastAsiaTheme="minorEastAsia" w:cstheme="minorEastAsia"/>
          <w:sz w:val="24"/>
          <w:szCs w:val="24"/>
          <w:highlight w:val="none"/>
          <w:lang w:eastAsia="zh-CN"/>
        </w:rPr>
        <w:t>，且</w:t>
      </w:r>
      <w:r>
        <w:rPr>
          <w:rFonts w:hint="eastAsia" w:asciiTheme="minorEastAsia" w:hAnsiTheme="minorEastAsia" w:eastAsiaTheme="minorEastAsia" w:cstheme="minorEastAsia"/>
          <w:b w:val="0"/>
          <w:bCs/>
          <w:sz w:val="24"/>
          <w:szCs w:val="24"/>
          <w:lang w:val="en-US" w:eastAsia="zh-CN"/>
        </w:rPr>
        <w:t>项目结算评审完成，</w:t>
      </w:r>
      <w:r>
        <w:rPr>
          <w:rFonts w:hint="eastAsia" w:asciiTheme="minorEastAsia" w:hAnsiTheme="minorEastAsia" w:eastAsiaTheme="minorEastAsia" w:cstheme="minorEastAsia"/>
          <w:sz w:val="24"/>
          <w:szCs w:val="24"/>
          <w:highlight w:val="none"/>
          <w:lang w:eastAsia="zh-CN"/>
        </w:rPr>
        <w:t>同时甲方扣除全年累计扣款，赔偿金后，</w:t>
      </w:r>
      <w:r>
        <w:rPr>
          <w:rFonts w:hint="eastAsia" w:asciiTheme="minorEastAsia" w:hAnsiTheme="minorEastAsia" w:eastAsiaTheme="minorEastAsia" w:cstheme="minorEastAsia"/>
          <w:sz w:val="24"/>
          <w:szCs w:val="24"/>
          <w:highlight w:val="none"/>
        </w:rPr>
        <w:t xml:space="preserve"> 30 日内支付剩余 </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w:t>
      </w:r>
    </w:p>
    <w:p w14:paraId="4AA075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乙方每次申请付款前，须向甲方开具等额合规的增值税普通发票。</w:t>
      </w:r>
    </w:p>
    <w:p w14:paraId="011E3FB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五、验收与考核</w:t>
      </w:r>
    </w:p>
    <w:p w14:paraId="589377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1、最终验收：服务期满后30日内，甲方组织验收。验收依据为：</w:t>
      </w:r>
    </w:p>
    <w:p w14:paraId="6E7C75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lang w:val="en-US" w:eastAsia="zh-CN"/>
        </w:rPr>
        <w:t>区级通报的道路尘负荷改善情况；重点区域周边道路治理效果及</w:t>
      </w:r>
      <w:r>
        <w:rPr>
          <w:rFonts w:hint="eastAsia" w:asciiTheme="minorEastAsia" w:hAnsiTheme="minorEastAsia" w:eastAsiaTheme="minorEastAsia" w:cstheme="minorEastAsia"/>
          <w:color w:val="000000"/>
          <w:sz w:val="24"/>
          <w:szCs w:val="24"/>
        </w:rPr>
        <w:t>辖区空气质量</w:t>
      </w:r>
      <w:r>
        <w:rPr>
          <w:rFonts w:hint="eastAsia" w:asciiTheme="minorEastAsia" w:hAnsiTheme="minorEastAsia" w:eastAsiaTheme="minorEastAsia" w:cstheme="minorEastAsia"/>
          <w:color w:val="000000"/>
          <w:sz w:val="24"/>
          <w:szCs w:val="24"/>
          <w:lang w:eastAsia="zh-CN"/>
        </w:rPr>
        <w:t>改善情况</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裸地治理：</w:t>
      </w:r>
      <w:r>
        <w:rPr>
          <w:rFonts w:hint="eastAsia" w:asciiTheme="minorEastAsia" w:hAnsiTheme="minorEastAsia" w:eastAsiaTheme="minorEastAsia" w:cstheme="minorEastAsia"/>
          <w:sz w:val="24"/>
          <w:szCs w:val="24"/>
          <w:lang w:val="en-US" w:eastAsia="zh-CN"/>
        </w:rPr>
        <w:t>裸地治理覆盖率、绿植成活率及维护情况。</w:t>
      </w:r>
      <w:r>
        <w:rPr>
          <w:rFonts w:hint="eastAsia" w:asciiTheme="minorEastAsia" w:hAnsiTheme="minorEastAsia" w:eastAsiaTheme="minorEastAsia" w:cstheme="minorEastAsia"/>
          <w:sz w:val="24"/>
          <w:szCs w:val="24"/>
        </w:rPr>
        <w:t>防尘网平整牢固；草籽出苗率≥85%，覆盖率≥90%；生物质覆盖厚度均匀、固定可靠。</w:t>
      </w:r>
      <w:r>
        <w:rPr>
          <w:rFonts w:hint="eastAsia" w:asciiTheme="minorEastAsia" w:hAnsiTheme="minorEastAsia" w:eastAsiaTheme="minorEastAsia" w:cstheme="minorEastAsia"/>
          <w:sz w:val="24"/>
          <w:szCs w:val="24"/>
          <w:lang w:val="en-US" w:eastAsia="zh-CN"/>
        </w:rPr>
        <w:t>服务资料完整性。</w:t>
      </w:r>
    </w:p>
    <w:p w14:paraId="539762C6">
      <w:pPr>
        <w:numPr>
          <w:ilvl w:val="0"/>
          <w:numId w:val="0"/>
        </w:numPr>
        <w:spacing w:line="360" w:lineRule="auto"/>
        <w:ind w:firstLine="482" w:firstLineChars="20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2、绩效考核</w:t>
      </w:r>
    </w:p>
    <w:p w14:paraId="0D63A6F8">
      <w:pPr>
        <w:numPr>
          <w:ilvl w:val="0"/>
          <w:numId w:val="0"/>
        </w:numPr>
        <w:spacing w:line="360" w:lineRule="auto"/>
        <w:ind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（1）乙方关于重点道路扬尘治理和重点区域周边道路精细化治理考核成绩主要参考每周期市级道路尘负荷监测结果，市级道路尘负荷监测结果以区生态环境局通报为准。</w:t>
      </w:r>
    </w:p>
    <w:p w14:paraId="38F9C835">
      <w:pPr>
        <w:numPr>
          <w:ilvl w:val="0"/>
          <w:numId w:val="0"/>
        </w:numPr>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（2）依据市级道路尘负荷监测结果，在每个监测周期内（每月20日-下月19日），每出现两条以上中级道路（尘负荷值超过0.45），扣除该项目关于重点道路扬尘治理及重点区域周边道路精细化治理服务费用的1％。</w:t>
      </w:r>
    </w:p>
    <w:p w14:paraId="55482E01">
      <w:pPr>
        <w:numPr>
          <w:ilvl w:val="0"/>
          <w:numId w:val="0"/>
        </w:numPr>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（3）.依据市级道路尘负荷监测结果，在每个监测周期内（每月20日-下月19日），每出现一条尘负荷值超过1.0g/㎡以上的道路，扣除该项目关于重点道路扬尘治理及重点区域周边道路精细化治理服务费用的3％。</w:t>
      </w:r>
    </w:p>
    <w:p w14:paraId="0622F69C">
      <w:pPr>
        <w:numPr>
          <w:ilvl w:val="0"/>
          <w:numId w:val="0"/>
        </w:numPr>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依据市级道路尘负荷监测结果，在每个监测周期内（每月20日-下月19日），每出现一条以上差级道路（尘负荷值超过1.2g/㎡），扣除该项目关于重点道路扬尘治理及重点区域周边道路精细化治理服务费用的5％。</w:t>
      </w:r>
    </w:p>
    <w:p w14:paraId="794DE853">
      <w:pPr>
        <w:numPr>
          <w:ilvl w:val="0"/>
          <w:numId w:val="0"/>
        </w:numPr>
        <w:ind w:firstLine="482" w:firstLineChars="20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市级道路尘负荷监测结果以区生态环境局通报为准。</w:t>
      </w:r>
    </w:p>
    <w:p w14:paraId="06E8BBC3">
      <w:pPr>
        <w:numPr>
          <w:ilvl w:val="0"/>
          <w:numId w:val="0"/>
        </w:numPr>
        <w:jc w:val="cente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道路尘负荷级别限值及色标</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201"/>
        <w:gridCol w:w="2131"/>
        <w:gridCol w:w="2131"/>
      </w:tblGrid>
      <w:tr w14:paraId="22B8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top"/>
          </w:tcPr>
          <w:p w14:paraId="2CF13741">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序号</w:t>
            </w:r>
          </w:p>
        </w:tc>
        <w:tc>
          <w:tcPr>
            <w:tcW w:w="3201" w:type="dxa"/>
            <w:noWrap w:val="0"/>
            <w:vAlign w:val="top"/>
          </w:tcPr>
          <w:p w14:paraId="3EB2F419">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道路尘负荷范围（</w:t>
            </w:r>
            <w:r>
              <w:rPr>
                <w:rFonts w:hint="eastAsia" w:asciiTheme="minorEastAsia" w:hAnsiTheme="minorEastAsia" w:eastAsiaTheme="minorEastAsia" w:cstheme="minorEastAsia"/>
                <w:sz w:val="24"/>
                <w:szCs w:val="24"/>
                <w:lang w:val="en-US" w:eastAsia="zh-CN"/>
              </w:rPr>
              <w:t>g/㎡</w:t>
            </w:r>
            <w:r>
              <w:rPr>
                <w:rFonts w:hint="eastAsia" w:asciiTheme="minorEastAsia" w:hAnsiTheme="minorEastAsia" w:eastAsiaTheme="minorEastAsia" w:cstheme="minorEastAsia"/>
                <w:sz w:val="24"/>
                <w:szCs w:val="24"/>
                <w:vertAlign w:val="baseline"/>
                <w:lang w:val="en-US" w:eastAsia="zh-CN"/>
              </w:rPr>
              <w:t>）</w:t>
            </w:r>
          </w:p>
        </w:tc>
        <w:tc>
          <w:tcPr>
            <w:tcW w:w="2131" w:type="dxa"/>
            <w:noWrap w:val="0"/>
            <w:vAlign w:val="top"/>
          </w:tcPr>
          <w:p w14:paraId="0117A741">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级别</w:t>
            </w:r>
          </w:p>
        </w:tc>
        <w:tc>
          <w:tcPr>
            <w:tcW w:w="2131" w:type="dxa"/>
            <w:noWrap w:val="0"/>
            <w:vAlign w:val="top"/>
          </w:tcPr>
          <w:p w14:paraId="5A06D44C">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颜色</w:t>
            </w:r>
          </w:p>
        </w:tc>
      </w:tr>
      <w:tr w14:paraId="40D4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shd w:val="clear" w:color="auto" w:fill="auto"/>
            <w:noWrap w:val="0"/>
            <w:vAlign w:val="top"/>
          </w:tcPr>
          <w:p w14:paraId="72AD6A17">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3201" w:type="dxa"/>
            <w:shd w:val="clear" w:color="auto" w:fill="auto"/>
            <w:noWrap w:val="0"/>
            <w:vAlign w:val="top"/>
          </w:tcPr>
          <w:p w14:paraId="3067038F">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≤0.15</w:t>
            </w:r>
          </w:p>
        </w:tc>
        <w:tc>
          <w:tcPr>
            <w:tcW w:w="2131" w:type="dxa"/>
            <w:shd w:val="clear" w:color="auto" w:fill="auto"/>
            <w:noWrap w:val="0"/>
            <w:vAlign w:val="top"/>
          </w:tcPr>
          <w:p w14:paraId="0FE65E83">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优</w:t>
            </w:r>
          </w:p>
        </w:tc>
        <w:tc>
          <w:tcPr>
            <w:tcW w:w="2131" w:type="dxa"/>
            <w:shd w:val="clear" w:color="auto" w:fill="548DD4"/>
            <w:noWrap w:val="0"/>
            <w:vAlign w:val="top"/>
          </w:tcPr>
          <w:p w14:paraId="577D39BB">
            <w:pPr>
              <w:numPr>
                <w:ilvl w:val="0"/>
                <w:numId w:val="0"/>
              </w:numP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蓝色</w:t>
            </w:r>
          </w:p>
        </w:tc>
      </w:tr>
      <w:tr w14:paraId="0A29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shd w:val="clear" w:color="auto" w:fill="auto"/>
            <w:noWrap w:val="0"/>
            <w:vAlign w:val="top"/>
          </w:tcPr>
          <w:p w14:paraId="47C89C20">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3201" w:type="dxa"/>
            <w:shd w:val="clear" w:color="auto" w:fill="auto"/>
            <w:noWrap w:val="0"/>
            <w:vAlign w:val="top"/>
          </w:tcPr>
          <w:p w14:paraId="7B42BC32">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＞01.5≤0.45</w:t>
            </w:r>
          </w:p>
        </w:tc>
        <w:tc>
          <w:tcPr>
            <w:tcW w:w="2131" w:type="dxa"/>
            <w:shd w:val="clear" w:color="auto" w:fill="auto"/>
            <w:noWrap w:val="0"/>
            <w:vAlign w:val="top"/>
          </w:tcPr>
          <w:p w14:paraId="5A17CAF3">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良</w:t>
            </w:r>
          </w:p>
        </w:tc>
        <w:tc>
          <w:tcPr>
            <w:tcW w:w="2131" w:type="dxa"/>
            <w:shd w:val="clear" w:color="auto" w:fill="FFFF00"/>
            <w:noWrap w:val="0"/>
            <w:vAlign w:val="top"/>
          </w:tcPr>
          <w:p w14:paraId="0B9EF91C">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黄色</w:t>
            </w:r>
          </w:p>
        </w:tc>
      </w:tr>
      <w:tr w14:paraId="05C6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shd w:val="clear" w:color="auto" w:fill="auto"/>
            <w:noWrap w:val="0"/>
            <w:vAlign w:val="top"/>
          </w:tcPr>
          <w:p w14:paraId="045513B2">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w:t>
            </w:r>
          </w:p>
        </w:tc>
        <w:tc>
          <w:tcPr>
            <w:tcW w:w="3201" w:type="dxa"/>
            <w:shd w:val="clear" w:color="auto" w:fill="auto"/>
            <w:noWrap w:val="0"/>
            <w:vAlign w:val="top"/>
          </w:tcPr>
          <w:p w14:paraId="1F36E5E0">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大于0.45≤1.2</w:t>
            </w:r>
          </w:p>
        </w:tc>
        <w:tc>
          <w:tcPr>
            <w:tcW w:w="2131" w:type="dxa"/>
            <w:shd w:val="clear" w:color="auto" w:fill="auto"/>
            <w:noWrap w:val="0"/>
            <w:vAlign w:val="top"/>
          </w:tcPr>
          <w:p w14:paraId="75B250EB">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中</w:t>
            </w:r>
          </w:p>
        </w:tc>
        <w:tc>
          <w:tcPr>
            <w:tcW w:w="2131" w:type="dxa"/>
            <w:shd w:val="clear" w:color="auto" w:fill="FFC000"/>
            <w:noWrap w:val="0"/>
            <w:vAlign w:val="top"/>
          </w:tcPr>
          <w:p w14:paraId="545C5AB2">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橙色</w:t>
            </w:r>
          </w:p>
        </w:tc>
      </w:tr>
      <w:tr w14:paraId="3F70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shd w:val="clear" w:color="auto" w:fill="auto"/>
            <w:noWrap w:val="0"/>
            <w:vAlign w:val="top"/>
          </w:tcPr>
          <w:p w14:paraId="2F8EA4C9">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w:t>
            </w:r>
          </w:p>
        </w:tc>
        <w:tc>
          <w:tcPr>
            <w:tcW w:w="3201" w:type="dxa"/>
            <w:shd w:val="clear" w:color="auto" w:fill="auto"/>
            <w:noWrap w:val="0"/>
            <w:vAlign w:val="top"/>
          </w:tcPr>
          <w:p w14:paraId="0738B71F">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＞1.2</w:t>
            </w:r>
          </w:p>
        </w:tc>
        <w:tc>
          <w:tcPr>
            <w:tcW w:w="2131" w:type="dxa"/>
            <w:shd w:val="clear" w:color="auto" w:fill="auto"/>
            <w:noWrap w:val="0"/>
            <w:vAlign w:val="top"/>
          </w:tcPr>
          <w:p w14:paraId="70F28F02">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差</w:t>
            </w:r>
          </w:p>
        </w:tc>
        <w:tc>
          <w:tcPr>
            <w:tcW w:w="2131" w:type="dxa"/>
            <w:shd w:val="clear" w:color="auto" w:fill="FF0000"/>
            <w:noWrap w:val="0"/>
            <w:vAlign w:val="top"/>
          </w:tcPr>
          <w:p w14:paraId="2004EF88">
            <w:pPr>
              <w:numPr>
                <w:ilvl w:val="0"/>
                <w:numId w:val="0"/>
              </w:num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红色</w:t>
            </w:r>
          </w:p>
        </w:tc>
      </w:tr>
    </w:tbl>
    <w:p w14:paraId="0F668B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p>
    <w:p w14:paraId="6C400A0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4"/>
          <w:szCs w:val="24"/>
          <w:lang w:val="en-US" w:eastAsia="zh-CN"/>
        </w:rPr>
        <w:t>5）核心考核指标：整体道路尘负荷改善目标（区级通报的差级道路数量）是衡量乙方履约是否合格的核心标准。</w:t>
      </w:r>
    </w:p>
    <w:p w14:paraId="1D961F9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六、</w:t>
      </w:r>
      <w:r>
        <w:rPr>
          <w:rFonts w:hint="eastAsia" w:asciiTheme="minorEastAsia" w:hAnsiTheme="minorEastAsia" w:eastAsiaTheme="minorEastAsia" w:cstheme="minorEastAsia"/>
          <w:b/>
          <w:bCs/>
          <w:sz w:val="24"/>
          <w:szCs w:val="24"/>
        </w:rPr>
        <w:t>双方权利与义务</w:t>
      </w:r>
    </w:p>
    <w:p w14:paraId="6B5A6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(一)甲方的权利和义务</w:t>
      </w:r>
    </w:p>
    <w:p w14:paraId="77A1C4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甲方负责按合同约定及时支付服务费用。</w:t>
      </w:r>
    </w:p>
    <w:p w14:paraId="554447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甲方有权对乙方的服务进行监督、检查。如发现乙方的服务不符合本合同约定标准或相关</w:t>
      </w:r>
      <w:r>
        <w:rPr>
          <w:rFonts w:hint="eastAsia" w:asciiTheme="minorEastAsia" w:hAnsiTheme="minorEastAsia" w:eastAsiaTheme="minorEastAsia" w:cstheme="minorEastAsia"/>
          <w:sz w:val="24"/>
          <w:szCs w:val="24"/>
          <w:lang w:eastAsia="zh-CN"/>
        </w:rPr>
        <w:t>环保、</w:t>
      </w:r>
      <w:r>
        <w:rPr>
          <w:rFonts w:hint="eastAsia" w:asciiTheme="minorEastAsia" w:hAnsiTheme="minorEastAsia" w:eastAsiaTheme="minorEastAsia" w:cstheme="minorEastAsia"/>
          <w:sz w:val="24"/>
          <w:szCs w:val="24"/>
        </w:rPr>
        <w:t>环境等部门发布的强制性标准，甲方有权书面通知乙方限期整改。乙方在限期内未整改或整改不合格的，</w:t>
      </w:r>
      <w:r>
        <w:rPr>
          <w:rFonts w:hint="eastAsia" w:asciiTheme="minorEastAsia" w:hAnsiTheme="minorEastAsia" w:eastAsiaTheme="minorEastAsia" w:cstheme="minorEastAsia"/>
          <w:sz w:val="24"/>
          <w:szCs w:val="24"/>
          <w:highlight w:val="none"/>
        </w:rPr>
        <w:t>甲方可按照本合同第六条约定要求乙方承担违约责任。</w:t>
      </w:r>
    </w:p>
    <w:p w14:paraId="148F3B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甲方应协调相关部门（如交通、市政、村</w:t>
      </w:r>
      <w:r>
        <w:rPr>
          <w:rFonts w:hint="eastAsia" w:asciiTheme="minorEastAsia" w:hAnsiTheme="minorEastAsia" w:eastAsiaTheme="minorEastAsia" w:cstheme="minorEastAsia"/>
          <w:sz w:val="24"/>
          <w:szCs w:val="24"/>
          <w:lang w:eastAsia="zh-CN"/>
        </w:rPr>
        <w:t>，居</w:t>
      </w:r>
      <w:r>
        <w:rPr>
          <w:rFonts w:hint="eastAsia" w:asciiTheme="minorEastAsia" w:hAnsiTheme="minorEastAsia" w:eastAsiaTheme="minorEastAsia" w:cstheme="minorEastAsia"/>
          <w:sz w:val="24"/>
          <w:szCs w:val="24"/>
        </w:rPr>
        <w:t>委会</w:t>
      </w:r>
      <w:r>
        <w:rPr>
          <w:rFonts w:hint="eastAsia" w:asciiTheme="minorEastAsia" w:hAnsiTheme="minorEastAsia" w:eastAsiaTheme="minorEastAsia" w:cstheme="minorEastAsia"/>
          <w:sz w:val="24"/>
          <w:szCs w:val="24"/>
          <w:lang w:eastAsia="zh-CN"/>
        </w:rPr>
        <w:t>、物业</w:t>
      </w:r>
      <w:r>
        <w:rPr>
          <w:rFonts w:hint="eastAsia" w:asciiTheme="minorEastAsia" w:hAnsiTheme="minorEastAsia" w:eastAsiaTheme="minorEastAsia" w:cstheme="minorEastAsia"/>
          <w:sz w:val="24"/>
          <w:szCs w:val="24"/>
        </w:rPr>
        <w:t>等）为乙方作业提供必要的配合和通行便利。因甲方未履行协调义务导致乙方无法正常作业的，乙方不承担责任，且服务期限相应顺延。</w:t>
      </w:r>
    </w:p>
    <w:p w14:paraId="182AC3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甲方发现乙方人员违规作业时，可通知乙方立即处理，乙方应在接到通知后24小时内处理完毕。</w:t>
      </w:r>
    </w:p>
    <w:p w14:paraId="65065B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对严重违反操作规程或不具备从业资质的人员，经双方共同确认后，甲方有权要求乙方调换，乙方应在5个工作日内完成调换。在此期间，乙方可安排其他合格人员临时顶替。</w:t>
      </w:r>
    </w:p>
    <w:p w14:paraId="092343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(二)乙方的权利和义务</w:t>
      </w:r>
    </w:p>
    <w:p w14:paraId="1BF07B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1、乙方具备履行本合同所需的业务资质，安排具有丰富经验的工作人员完成服务工作，并负责对其工作人员支付工资、办理社会保险等。乙方工作人员与甲方不存在任何劳动或劳务关系。</w:t>
      </w:r>
    </w:p>
    <w:p w14:paraId="0CA243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2、乙方有权按自身规章制度对员工进行考核奖惩、解聘，并按甲方要求及时调换经双方确认的不适格人员。</w:t>
      </w:r>
    </w:p>
    <w:p w14:paraId="2B75E0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3、乙方应对上岗工作人员进行岗前培训及安全防护培训。因乙方过错造成乙方工作人员或第三方人身损害、财产损失的，由乙方承担相应责任。</w:t>
      </w:r>
    </w:p>
    <w:p w14:paraId="0ACA93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4、乙方应按时完成甲方书面确认的临时性工作，按约定范围和时间进行作业，保证作业质量符合国家、北京市及行业扬尘控制标准。</w:t>
      </w:r>
    </w:p>
    <w:p w14:paraId="1CDDDF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5、若因乙方作业不当（非因甲方或第三方原因）导致扬尘超标被相关部门通报或处罚的，由乙方承担相应责任。</w:t>
      </w:r>
    </w:p>
    <w:p w14:paraId="052B1B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6、乙方应做到安全、文明作业，不得因作业损坏甲方绿化和建筑设施，如有损坏照价赔偿。</w:t>
      </w:r>
    </w:p>
    <w:p w14:paraId="7333DE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7、乙方负责对周边扬尘污染源进行巡查和上报。</w:t>
      </w:r>
    </w:p>
    <w:p w14:paraId="6E8E51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8、乙方自行配置服务所需的相关人员、工具、车辆和耗材，并保证符合国家标准和行业标准。</w:t>
      </w:r>
    </w:p>
    <w:p w14:paraId="3A57E6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不可抗力及外部因素处理：因政府发布的交通管制、重大活动保障、道路施工封闭、周边村民或第三方人为阻碍、极端天气（气象部门发布的暴雨、暴雪、沙尘暴、大风橙色及以上预警）等非乙方原因导致无法按约定频次或时间作业的，乙方不承担违约责任，甲方不得扣减费用。乙方应在障碍消除后2小时内恢复作业。</w:t>
      </w:r>
    </w:p>
    <w:p w14:paraId="403376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10、乙方应按甲方要求通报工作进展情况。甲方对合同执行内容、标准等提出书面修改意见的，乙方应予以合理配合，因此增加的费用由双方另行协商。</w:t>
      </w:r>
    </w:p>
    <w:p w14:paraId="656261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11、发生突发事件时，乙方应及时通知甲方。因实际情况需对工作计划做重大调整的，应经甲方书面同意。</w:t>
      </w:r>
    </w:p>
    <w:p w14:paraId="05CBCD6A">
      <w:pPr>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firstLine="480" w:firstLineChars="20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b w:val="0"/>
          <w:bCs/>
          <w:sz w:val="24"/>
          <w:szCs w:val="24"/>
          <w:lang w:val="en-US" w:eastAsia="zh-CN"/>
        </w:rPr>
        <w:t>乙方在本合同履行过程中产生的所有项目数据，包括但不限于监测数据、巡查记录、报告、台账、影像资料等均归甲方所有。乙方应在合同期满或终止后七日内完整移交甲方，不得扣留或拒绝移交；乙方为履约所使用的既有技术、软件或方法，其所有权仍归乙方，但甲方有权在本合同目的范围内永久免费使用；未经甲方书面同意，乙方不得将项目数据或履行合同中知悉的甲方未公开信息用于本合同之外的任何目的或向任何第三方披露；乙方违反本条</w:t>
      </w:r>
      <w:r>
        <w:rPr>
          <w:rFonts w:hint="eastAsia" w:asciiTheme="minorEastAsia" w:hAnsiTheme="minorEastAsia" w:eastAsiaTheme="minorEastAsia" w:cstheme="minorEastAsia"/>
          <w:sz w:val="24"/>
          <w:szCs w:val="24"/>
        </w:rPr>
        <w:t>约定的</w:t>
      </w:r>
      <w:r>
        <w:rPr>
          <w:rFonts w:hint="eastAsia" w:asciiTheme="minorEastAsia" w:hAnsiTheme="minorEastAsia" w:eastAsiaTheme="minorEastAsia" w:cstheme="minorEastAsia"/>
          <w:b w:val="0"/>
          <w:bCs/>
          <w:sz w:val="24"/>
          <w:szCs w:val="24"/>
          <w:lang w:val="en-US" w:eastAsia="zh-CN"/>
        </w:rPr>
        <w:t>，应向甲方支付合同总价5%的违约金，并赔偿由此给甲方造成的全部损失，甲方有权在应付款项中直接扣除。</w:t>
      </w:r>
    </w:p>
    <w:p w14:paraId="7CA065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13、乙方不得将本合同道路保洁、裸地治理、绿化养护全部或部分工作转包、分包；未经许可擅自转包分包的，视为乙方根本违约，甲方有权解除合同，乙方支付合同含税总价 20% 违约金。</w:t>
      </w:r>
    </w:p>
    <w:p w14:paraId="24183EC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七、</w:t>
      </w:r>
      <w:r>
        <w:rPr>
          <w:rFonts w:hint="eastAsia" w:asciiTheme="minorEastAsia" w:hAnsiTheme="minorEastAsia" w:eastAsiaTheme="minorEastAsia" w:cstheme="minorEastAsia"/>
          <w:b/>
          <w:bCs/>
          <w:sz w:val="24"/>
          <w:szCs w:val="24"/>
          <w:highlight w:val="none"/>
        </w:rPr>
        <w:t>违约</w:t>
      </w:r>
      <w:r>
        <w:rPr>
          <w:rFonts w:hint="eastAsia" w:asciiTheme="minorEastAsia" w:hAnsiTheme="minorEastAsia" w:eastAsiaTheme="minorEastAsia" w:cstheme="minorEastAsia"/>
          <w:b/>
          <w:bCs/>
          <w:sz w:val="24"/>
          <w:szCs w:val="24"/>
          <w:highlight w:val="none"/>
          <w:lang w:val="en-US" w:eastAsia="zh-CN"/>
        </w:rPr>
        <w:t>与解除</w:t>
      </w:r>
    </w:p>
    <w:p w14:paraId="05D720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乙方未按约定标准服务，经甲方书面通知后24小时内未整改，或同一具体问题在整改后同一路段重复出现3次以上的，每次向甲方支付合同总价0.5‰的违约金。</w:t>
      </w:r>
    </w:p>
    <w:p w14:paraId="1F69BD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任何一方违约给对方造成损失的，违约金不足以弥补直接损失的，还应赔偿直接损失。</w:t>
      </w:r>
    </w:p>
    <w:p w14:paraId="02F94D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甲方有权在应支付的款项中扣除乙方应支付的违约金和赔偿金。</w:t>
      </w:r>
    </w:p>
    <w:p w14:paraId="0556A5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合同解除条件：</w:t>
      </w:r>
    </w:p>
    <w:p w14:paraId="5DE696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在甲方已按约定提供作业条件、协调相关部门配合，且未发生本合同第</w:t>
      </w:r>
      <w:r>
        <w:rPr>
          <w:rFonts w:hint="eastAsia" w:asciiTheme="minorEastAsia" w:hAnsiTheme="minorEastAsia" w:eastAsiaTheme="minorEastAsia" w:cstheme="minorEastAsia"/>
          <w:sz w:val="24"/>
          <w:szCs w:val="24"/>
          <w:lang w:eastAsia="zh-CN"/>
        </w:rPr>
        <w:t>六</w:t>
      </w:r>
      <w:r>
        <w:rPr>
          <w:rFonts w:hint="eastAsia" w:asciiTheme="minorEastAsia" w:hAnsiTheme="minorEastAsia" w:eastAsiaTheme="minorEastAsia" w:cstheme="minorEastAsia"/>
          <w:sz w:val="24"/>
          <w:szCs w:val="24"/>
        </w:rPr>
        <w:t>条第（二）款第9项约定的不可抗力或外部因素的情况下；</w:t>
      </w:r>
    </w:p>
    <w:p w14:paraId="111CB4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乙方连续</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个月未能达成合同约定的核心改善目标（道路尘负荷优良率较上一年同期下降或无明显改善，以区级通报为依据）；</w:t>
      </w:r>
    </w:p>
    <w:p w14:paraId="21BB95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经双方书面确认原因后，甲方可要求乙方制定整改方案。若乙方拒不整改或整改后2个月内仍无改善，甲方有权解除合同。</w:t>
      </w:r>
    </w:p>
    <w:p w14:paraId="7BD2A1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（4）甲方依据本条约定单方解除合同的，乙方须在解除通知送达 3 日内退还所有未完成服务对应款项，并按本合同总价款20%向甲方支付违约金；若违约金不足以弥补甲方环保考核损失、行政罚款、另行委托第三方治理产生的差价等全部损失，乙方应当另行补足差额。</w:t>
      </w:r>
    </w:p>
    <w:p w14:paraId="7704B62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八、</w:t>
      </w:r>
      <w:r>
        <w:rPr>
          <w:rFonts w:hint="eastAsia" w:asciiTheme="minorEastAsia" w:hAnsiTheme="minorEastAsia" w:eastAsiaTheme="minorEastAsia" w:cstheme="minorEastAsia"/>
          <w:b/>
          <w:bCs/>
          <w:sz w:val="24"/>
          <w:szCs w:val="24"/>
        </w:rPr>
        <w:t>争议解决</w:t>
      </w:r>
    </w:p>
    <w:p w14:paraId="2042C0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合同</w:t>
      </w:r>
      <w:r>
        <w:rPr>
          <w:rFonts w:hint="eastAsia" w:asciiTheme="minorEastAsia" w:hAnsiTheme="minorEastAsia" w:eastAsiaTheme="minorEastAsia" w:cstheme="minorEastAsia"/>
          <w:sz w:val="24"/>
          <w:szCs w:val="24"/>
        </w:rPr>
        <w:t>履行中发生争议，双方协商解决；协商不成的，提交北京市顺义区人民法院诉讼解决。</w:t>
      </w:r>
    </w:p>
    <w:p w14:paraId="7EC98D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九、</w:t>
      </w:r>
      <w:r>
        <w:rPr>
          <w:rFonts w:hint="eastAsia" w:asciiTheme="minorEastAsia" w:hAnsiTheme="minorEastAsia" w:eastAsiaTheme="minorEastAsia" w:cstheme="minorEastAsia"/>
          <w:b/>
          <w:bCs/>
          <w:sz w:val="24"/>
          <w:szCs w:val="24"/>
        </w:rPr>
        <w:t>其他</w:t>
      </w:r>
    </w:p>
    <w:p w14:paraId="14BB2D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rPr>
        <w:t>本合同自双方法定代表人或授权代表签字并加盖公章或合同专用章之日起生效。</w:t>
      </w:r>
    </w:p>
    <w:p w14:paraId="5FE538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rPr>
        <w:t>本合同一式叁份，甲方执贰份，乙方执壹份，均具有同等法律效力。</w:t>
      </w:r>
    </w:p>
    <w:p w14:paraId="7BAE9D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3、</w:t>
      </w:r>
      <w:r>
        <w:rPr>
          <w:rFonts w:hint="eastAsia" w:asciiTheme="minorEastAsia" w:hAnsiTheme="minorEastAsia" w:eastAsiaTheme="minorEastAsia" w:cstheme="minorEastAsia"/>
          <w:b w:val="0"/>
          <w:bCs w:val="0"/>
          <w:sz w:val="24"/>
          <w:szCs w:val="24"/>
        </w:rPr>
        <w:t>本合同未尽事宜或变更事项，经双方应协商一致，可另行签署补充协议。补充协议作为合同的一部分，具有与本合同同等法律效力。</w:t>
      </w:r>
    </w:p>
    <w:p w14:paraId="7038120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（以下无正文）</w:t>
      </w:r>
    </w:p>
    <w:p w14:paraId="25570E8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1560286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甲方（盖章）：</w:t>
      </w:r>
    </w:p>
    <w:p w14:paraId="6C5934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法定代表人或授权代表（签字）：</w:t>
      </w:r>
    </w:p>
    <w:p w14:paraId="6A3546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p>
    <w:p w14:paraId="53EAA1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6DFFC8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乙方（盖章）：</w:t>
      </w:r>
    </w:p>
    <w:p w14:paraId="04BFBB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法定代表人或授权代表（签字）：</w:t>
      </w:r>
    </w:p>
    <w:p w14:paraId="26EBCD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4"/>
          <w:szCs w:val="24"/>
        </w:rPr>
        <w:t>日期：</w:t>
      </w:r>
    </w:p>
    <w:p w14:paraId="5E6D2E0F">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2"/>
          <w:szCs w:val="22"/>
        </w:rPr>
        <w:sectPr>
          <w:footerReference r:id="rId12" w:type="default"/>
          <w:pgSz w:w="11906" w:h="16839"/>
          <w:pgMar w:top="1440" w:right="1080" w:bottom="1440" w:left="1080" w:header="850" w:footer="806" w:gutter="0"/>
          <w:pgNumType w:fmt="decimal"/>
          <w:cols w:space="720" w:num="1"/>
        </w:sectPr>
      </w:pPr>
    </w:p>
    <w:p w14:paraId="3E9F05C0">
      <w:pPr>
        <w:keepNext w:val="0"/>
        <w:keepLines w:val="0"/>
        <w:pageBreakBefore w:val="0"/>
        <w:widowControl w:val="0"/>
        <w:kinsoku/>
        <w:wordWrap w:val="0"/>
        <w:overflowPunct/>
        <w:topLinePunct/>
        <w:autoSpaceDE/>
        <w:autoSpaceDN/>
        <w:bidi w:val="0"/>
        <w:spacing w:line="360" w:lineRule="auto"/>
        <w:jc w:val="center"/>
        <w:outlineLvl w:val="0"/>
        <w:rPr>
          <w:rFonts w:hint="eastAsia" w:asciiTheme="minorEastAsia" w:hAnsiTheme="minorEastAsia" w:eastAsiaTheme="minorEastAsia" w:cstheme="minorEastAsia"/>
          <w:b/>
          <w:bCs/>
          <w:snapToGrid/>
          <w:spacing w:val="0"/>
          <w:kern w:val="21"/>
          <w:sz w:val="24"/>
          <w:szCs w:val="24"/>
          <w:highlight w:val="none"/>
        </w:rPr>
      </w:pPr>
      <w:bookmarkStart w:id="671" w:name="_Toc2446"/>
      <w:r>
        <w:rPr>
          <w:rFonts w:hint="eastAsia" w:asciiTheme="minorEastAsia" w:hAnsiTheme="minorEastAsia" w:eastAsiaTheme="minorEastAsia" w:cstheme="minorEastAsia"/>
          <w:b/>
          <w:bCs/>
          <w:snapToGrid/>
          <w:spacing w:val="0"/>
          <w:kern w:val="21"/>
          <w:sz w:val="24"/>
          <w:szCs w:val="24"/>
          <w:highlight w:val="none"/>
        </w:rPr>
        <w:t>第六章   响应文件格式</w:t>
      </w:r>
      <w:bookmarkEnd w:id="671"/>
    </w:p>
    <w:p w14:paraId="5ED4A92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供应商编制文件须知</w:t>
      </w:r>
    </w:p>
    <w:p w14:paraId="32B7F58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1、供应商按照本部分的顺序编制响应文件，编制中涉及格式资料的，应按照本部分提供的内容和格式（所有表格的格式可扩展）填写提交。</w:t>
      </w:r>
    </w:p>
    <w:p w14:paraId="6E69A57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对于竞争性磋商文件中标记了“实质性格式”文件的，供应商不得改变格式中给定的文字所表达的含义，不得删减格式中的实质性内容，不得自行添加与格式中给定的文字内容相矛盾的内容，不得对应当填写的空格不填写或不实质性响应，否则响应无效。未标记“实质性格式”的文件和竞争性磋商文件未提供格式的内容，可由供应商自行编写。</w:t>
      </w:r>
    </w:p>
    <w:p w14:paraId="13F40ED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3、全部声明和问题的回答及所附材料必须是真实的、准确的和完整的。</w:t>
      </w:r>
    </w:p>
    <w:p w14:paraId="20F7D0AF">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p>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14:paraId="48254D71">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响应文件封面（非实质性格式）</w:t>
      </w:r>
    </w:p>
    <w:p w14:paraId="2DF80427">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p w14:paraId="6AE39BD4">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p w14:paraId="08CFE4C5">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p w14:paraId="0C0E6405">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p w14:paraId="39AF8512">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p w14:paraId="5DD7BD16">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p w14:paraId="3B15F7E9">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 应 文 件</w:t>
      </w:r>
    </w:p>
    <w:p w14:paraId="1B5D3D6B">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5EEAE328">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73FDE25B">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1D8C3AB6">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3510F151">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66940315">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58246513">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3D4B6C1A">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6B9A34C4">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34B0927B">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00426BFB">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3F2057C8">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rPr>
        <w:t>项目名称</w:t>
      </w:r>
      <w:r>
        <w:rPr>
          <w:rFonts w:hint="eastAsia" w:asciiTheme="minorEastAsia" w:hAnsiTheme="minorEastAsia" w:eastAsiaTheme="minorEastAsia" w:cstheme="minorEastAsia"/>
          <w:b w:val="0"/>
          <w:bCs w:val="0"/>
          <w:snapToGrid/>
          <w:spacing w:val="0"/>
          <w:kern w:val="21"/>
          <w:sz w:val="24"/>
          <w:szCs w:val="24"/>
          <w:highlight w:val="none"/>
          <w:lang w:eastAsia="zh-CN"/>
        </w:rPr>
        <w:t>：</w:t>
      </w:r>
    </w:p>
    <w:p w14:paraId="360AB931">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rPr>
        <w:t>项目编号：</w:t>
      </w:r>
    </w:p>
    <w:p w14:paraId="231711B9">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供应商名称：</w:t>
      </w:r>
    </w:p>
    <w:p w14:paraId="2748983A">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p>
    <w:p w14:paraId="30F26AE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1满足《中华人民共和国政府采购法》第二十二条规定及法律法规的其他规定</w:t>
      </w:r>
    </w:p>
    <w:p w14:paraId="00504F9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1-1营业执照等证明文件</w:t>
      </w:r>
    </w:p>
    <w:p w14:paraId="79F37E07">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br w:type="page"/>
      </w:r>
    </w:p>
    <w:p w14:paraId="62126086">
      <w:pPr>
        <w:keepNext w:val="0"/>
        <w:keepLines w:val="0"/>
        <w:pageBreakBefore w:val="0"/>
        <w:widowControl w:val="0"/>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1-2供应商资格声明书</w:t>
      </w:r>
    </w:p>
    <w:p w14:paraId="5696064F">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供应商资格声明书</w:t>
      </w:r>
    </w:p>
    <w:p w14:paraId="2505BD0A">
      <w:pPr>
        <w:keepNext w:val="0"/>
        <w:keepLines w:val="0"/>
        <w:pageBreakBefore w:val="0"/>
        <w:widowControl w:val="0"/>
        <w:tabs>
          <w:tab w:val="left" w:pos="5580"/>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2"/>
          <w:szCs w:val="22"/>
          <w:highlight w:val="none"/>
        </w:rPr>
      </w:pPr>
      <w:r>
        <w:rPr>
          <w:rFonts w:hint="eastAsia" w:asciiTheme="minorEastAsia" w:hAnsiTheme="minorEastAsia" w:eastAsiaTheme="minorEastAsia" w:cstheme="minorEastAsia"/>
          <w:b w:val="0"/>
          <w:bCs w:val="0"/>
          <w:snapToGrid/>
          <w:spacing w:val="0"/>
          <w:kern w:val="21"/>
          <w:sz w:val="22"/>
          <w:szCs w:val="22"/>
          <w:highlight w:val="none"/>
        </w:rPr>
        <w:t>致：</w:t>
      </w:r>
      <w:r>
        <w:rPr>
          <w:rFonts w:hint="eastAsia" w:asciiTheme="minorEastAsia" w:hAnsiTheme="minorEastAsia" w:eastAsiaTheme="minorEastAsia" w:cstheme="minorEastAsia"/>
          <w:b w:val="0"/>
          <w:bCs w:val="0"/>
          <w:snapToGrid/>
          <w:spacing w:val="0"/>
          <w:kern w:val="21"/>
          <w:sz w:val="22"/>
          <w:szCs w:val="22"/>
          <w:highlight w:val="none"/>
          <w:u w:val="single"/>
        </w:rPr>
        <w:t>采购人</w:t>
      </w:r>
    </w:p>
    <w:p w14:paraId="066C604B">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2"/>
          <w:szCs w:val="22"/>
          <w:highlight w:val="none"/>
        </w:rPr>
      </w:pPr>
      <w:r>
        <w:rPr>
          <w:rFonts w:hint="eastAsia" w:asciiTheme="minorEastAsia" w:hAnsiTheme="minorEastAsia" w:eastAsiaTheme="minorEastAsia" w:cstheme="minorEastAsia"/>
          <w:b w:val="0"/>
          <w:bCs w:val="0"/>
          <w:snapToGrid/>
          <w:spacing w:val="0"/>
          <w:kern w:val="21"/>
          <w:sz w:val="22"/>
          <w:szCs w:val="22"/>
          <w:highlight w:val="none"/>
        </w:rPr>
        <w:t>在参与本次项目磋商中，我单位承诺：</w:t>
      </w:r>
    </w:p>
    <w:p w14:paraId="3923A22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（一）具有良好的商业信誉和健全的财务会计制度；</w:t>
      </w:r>
    </w:p>
    <w:p w14:paraId="70031CF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（二）具有履行合同所必需的设备和专业技术能力；</w:t>
      </w:r>
    </w:p>
    <w:p w14:paraId="17C379E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（三）有依法缴纳税收和社会保障资金的良好记录；</w:t>
      </w:r>
    </w:p>
    <w:p w14:paraId="41EC099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777D1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（五）我单位不属于政府采购法律、行政法规规定的公益一类事业单位、或使用事业编制且由财政拨款保障的群团组织（仅适用于政府购买服务项目）；</w:t>
      </w:r>
    </w:p>
    <w:p w14:paraId="500B439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（六）我单位不存在为采购项目提供整体设计、规范编制或者项目管理、监理、检测等服务后，再参加该采购项目的其他采购活动的情形（单一来源采购项目除外）；</w:t>
      </w:r>
    </w:p>
    <w:p w14:paraId="605F997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（七）与我单位存在“单位负责人为同一人或者存在直接控股、管理关系”的其他法人单位信息如下（如有，不论其是否参加同一合同项下的政府采购活动均须填写）：</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4215"/>
      </w:tblGrid>
      <w:tr w14:paraId="1896E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0" w:type="dxa"/>
            <w:noWrap w:val="0"/>
            <w:vAlign w:val="center"/>
          </w:tcPr>
          <w:p w14:paraId="76C1DDA8">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序号</w:t>
            </w:r>
          </w:p>
        </w:tc>
        <w:tc>
          <w:tcPr>
            <w:tcW w:w="4574" w:type="dxa"/>
            <w:noWrap w:val="0"/>
            <w:vAlign w:val="center"/>
          </w:tcPr>
          <w:p w14:paraId="2BE2FB8A">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单位名称</w:t>
            </w:r>
          </w:p>
        </w:tc>
        <w:tc>
          <w:tcPr>
            <w:tcW w:w="4215" w:type="dxa"/>
            <w:noWrap w:val="0"/>
            <w:vAlign w:val="center"/>
          </w:tcPr>
          <w:p w14:paraId="12E06924">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相互关系</w:t>
            </w:r>
          </w:p>
        </w:tc>
      </w:tr>
      <w:tr w14:paraId="4882A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0" w:type="dxa"/>
            <w:noWrap w:val="0"/>
            <w:vAlign w:val="center"/>
          </w:tcPr>
          <w:p w14:paraId="1D188896">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1</w:t>
            </w:r>
          </w:p>
        </w:tc>
        <w:tc>
          <w:tcPr>
            <w:tcW w:w="4574" w:type="dxa"/>
            <w:noWrap w:val="0"/>
            <w:vAlign w:val="center"/>
          </w:tcPr>
          <w:p w14:paraId="39B87D43">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4215" w:type="dxa"/>
            <w:noWrap w:val="0"/>
            <w:vAlign w:val="center"/>
          </w:tcPr>
          <w:p w14:paraId="6C6F1EC7">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r>
      <w:tr w14:paraId="6DAD5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0" w:type="dxa"/>
            <w:noWrap w:val="0"/>
            <w:vAlign w:val="center"/>
          </w:tcPr>
          <w:p w14:paraId="6E9A39B2">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2</w:t>
            </w:r>
          </w:p>
        </w:tc>
        <w:tc>
          <w:tcPr>
            <w:tcW w:w="4574" w:type="dxa"/>
            <w:noWrap w:val="0"/>
            <w:vAlign w:val="center"/>
          </w:tcPr>
          <w:p w14:paraId="04A8C08F">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4215" w:type="dxa"/>
            <w:noWrap w:val="0"/>
            <w:vAlign w:val="center"/>
          </w:tcPr>
          <w:p w14:paraId="5481A227">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r>
      <w:tr w14:paraId="66CB4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0" w:type="dxa"/>
            <w:noWrap w:val="0"/>
            <w:vAlign w:val="center"/>
          </w:tcPr>
          <w:p w14:paraId="5254FA56">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w:t>
            </w:r>
          </w:p>
        </w:tc>
        <w:tc>
          <w:tcPr>
            <w:tcW w:w="4574" w:type="dxa"/>
            <w:noWrap w:val="0"/>
            <w:vAlign w:val="center"/>
          </w:tcPr>
          <w:p w14:paraId="487D801B">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4215" w:type="dxa"/>
            <w:noWrap w:val="0"/>
            <w:vAlign w:val="center"/>
          </w:tcPr>
          <w:p w14:paraId="5EE54483">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r>
    </w:tbl>
    <w:p w14:paraId="7FFC68BF">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上述声明真实有效，否则我方负全部责任。</w:t>
      </w:r>
    </w:p>
    <w:p w14:paraId="582947EF">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54FE2545">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5BF35EF5">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lang w:val="en-US" w:eastAsia="zh-CN"/>
        </w:rPr>
      </w:pPr>
      <w:r>
        <w:rPr>
          <w:rFonts w:hint="eastAsia" w:asciiTheme="minorEastAsia" w:hAnsiTheme="minorEastAsia" w:eastAsiaTheme="minorEastAsia" w:cstheme="minorEastAsia"/>
          <w:b w:val="0"/>
          <w:bCs w:val="0"/>
          <w:snapToGrid/>
          <w:color w:val="000000"/>
          <w:spacing w:val="0"/>
          <w:kern w:val="21"/>
          <w:sz w:val="22"/>
          <w:szCs w:val="22"/>
          <w:highlight w:val="none"/>
        </w:rPr>
        <w:t>供应商名称（加盖公章）</w:t>
      </w:r>
      <w:r>
        <w:rPr>
          <w:rFonts w:hint="eastAsia" w:asciiTheme="minorEastAsia" w:hAnsiTheme="minorEastAsia" w:eastAsiaTheme="minorEastAsia" w:cstheme="minorEastAsia"/>
          <w:b w:val="0"/>
          <w:bCs w:val="0"/>
          <w:snapToGrid/>
          <w:color w:val="000000"/>
          <w:spacing w:val="0"/>
          <w:kern w:val="21"/>
          <w:sz w:val="22"/>
          <w:szCs w:val="22"/>
          <w:highlight w:val="none"/>
          <w:lang w:val="zh-CN"/>
        </w:rPr>
        <w:t>：</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p>
    <w:p w14:paraId="6A6698F9">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日期：</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年</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月</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日</w:t>
      </w:r>
    </w:p>
    <w:p w14:paraId="72697353">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2"/>
          <w:szCs w:val="22"/>
          <w:highlight w:val="none"/>
        </w:rPr>
      </w:pPr>
    </w:p>
    <w:p w14:paraId="2BA43561">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sectPr>
          <w:headerReference r:id="rId15" w:type="first"/>
          <w:footerReference r:id="rId18" w:type="first"/>
          <w:headerReference r:id="rId13" w:type="default"/>
          <w:footerReference r:id="rId16" w:type="default"/>
          <w:headerReference r:id="rId14" w:type="even"/>
          <w:footerReference r:id="rId17" w:type="even"/>
          <w:type w:val="continuous"/>
          <w:pgSz w:w="11905" w:h="16838"/>
          <w:pgMar w:top="1440" w:right="1080" w:bottom="1440" w:left="1080" w:header="851" w:footer="850" w:gutter="0"/>
          <w:pgNumType w:fmt="decimal"/>
          <w:cols w:space="0" w:num="1"/>
          <w:titlePg/>
          <w:rtlGutter w:val="0"/>
          <w:docGrid w:linePitch="462" w:charSpace="0"/>
        </w:sectPr>
      </w:pPr>
      <w:r>
        <w:rPr>
          <w:rFonts w:hint="eastAsia" w:asciiTheme="minorEastAsia" w:hAnsiTheme="minorEastAsia" w:eastAsiaTheme="minorEastAsia" w:cstheme="minorEastAsia"/>
          <w:b w:val="0"/>
          <w:bCs w:val="0"/>
          <w:snapToGrid/>
          <w:spacing w:val="0"/>
          <w:kern w:val="21"/>
          <w:sz w:val="22"/>
          <w:szCs w:val="22"/>
          <w:highlight w:val="none"/>
        </w:rPr>
        <w:t>说明：供应商承诺不实的，依据《政府采购法》第七十七条“提供虚假材料谋取中标、成交的”有关规定予以处理。</w:t>
      </w:r>
    </w:p>
    <w:p w14:paraId="0D916AA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2落实政府采购政策需满足的资格要求</w:t>
      </w:r>
    </w:p>
    <w:p w14:paraId="4613738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2-1中小企业声明函</w:t>
      </w:r>
    </w:p>
    <w:p w14:paraId="5D137DA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说明：</w:t>
      </w:r>
    </w:p>
    <w:p w14:paraId="6C76BE4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14:paraId="409B0A6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2）如本项目（包）专门面向中小企业采购，响应文件中须提供《中小企业声明函》或《残疾人福利性单位声明函》，或提供由省级以上监狱管理局、戒毒管理局（含新疆生产建设兵团）出具的属于监狱企业的证明文件。</w:t>
      </w:r>
    </w:p>
    <w:p w14:paraId="2D154F9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738F92B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（4）中小企业声明函填写注意事项</w:t>
      </w:r>
    </w:p>
    <w:p w14:paraId="2B157A7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1）《中小企业声明函》由参加政府采购活动的供应商出具。联合体参与的，《中小企业声明函》可由牵头人出具。</w:t>
      </w:r>
    </w:p>
    <w:p w14:paraId="71267C3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342BB1D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3）对于多标的采购项目，供应商应充分、准确地了解所提供货物的制造企业、提供服务的承接企业信息。对相关情况了解不清楚的，不建议填报本声明函。</w:t>
      </w:r>
    </w:p>
    <w:p w14:paraId="3104151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金融业企业划型标准规定》（〔2015〕309号）等国务院批准的中小企业划分标准执行。</w:t>
      </w:r>
      <w:r>
        <w:rPr>
          <w:rFonts w:hint="eastAsia" w:asciiTheme="minorEastAsia" w:hAnsiTheme="minorEastAsia" w:eastAsiaTheme="minorEastAsia" w:cstheme="minorEastAsia"/>
          <w:b w:val="0"/>
          <w:bCs w:val="0"/>
          <w:snapToGrid/>
          <w:spacing w:val="0"/>
          <w:kern w:val="21"/>
          <w:sz w:val="24"/>
          <w:szCs w:val="24"/>
          <w:highlight w:val="none"/>
        </w:rPr>
        <w:br w:type="page"/>
      </w:r>
    </w:p>
    <w:p w14:paraId="6038F0C1">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中小企业声明函（工程、服务）格式</w:t>
      </w:r>
    </w:p>
    <w:p w14:paraId="485B3C8F">
      <w:pPr>
        <w:pStyle w:val="6"/>
        <w:keepNext w:val="0"/>
        <w:keepLines w:val="0"/>
        <w:pageBreakBefore w:val="0"/>
        <w:widowControl w:val="0"/>
        <w:kinsoku/>
        <w:wordWrap w:val="0"/>
        <w:overflowPunct/>
        <w:topLinePunct/>
        <w:autoSpaceDE/>
        <w:autoSpaceDN/>
        <w:bidi w:val="0"/>
        <w:spacing w:line="360" w:lineRule="auto"/>
        <w:ind w:left="0" w:leftChars="0" w:firstLine="0" w:firstLineChars="0"/>
        <w:outlineLvl w:val="9"/>
        <w:rPr>
          <w:rFonts w:hint="eastAsia" w:asciiTheme="minorEastAsia" w:hAnsiTheme="minorEastAsia" w:eastAsiaTheme="minorEastAsia" w:cstheme="minorEastAsia"/>
          <w:b w:val="0"/>
          <w:bCs w:val="0"/>
          <w:kern w:val="21"/>
          <w:sz w:val="24"/>
          <w:szCs w:val="24"/>
        </w:rPr>
      </w:pPr>
    </w:p>
    <w:p w14:paraId="55AB976F">
      <w:pPr>
        <w:keepNext w:val="0"/>
        <w:keepLines w:val="0"/>
        <w:pageBreakBefore w:val="0"/>
        <w:widowControl w:val="0"/>
        <w:kinsoku/>
        <w:wordWrap w:val="0"/>
        <w:overflowPunct/>
        <w:topLinePunct/>
        <w:autoSpaceDE/>
        <w:autoSpaceDN/>
        <w:bidi w:val="0"/>
        <w:spacing w:line="360" w:lineRule="auto"/>
        <w:ind w:firstLine="504"/>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b w:val="0"/>
          <w:bCs w:val="0"/>
          <w:snapToGrid/>
          <w:spacing w:val="0"/>
          <w:kern w:val="21"/>
          <w:sz w:val="24"/>
          <w:szCs w:val="24"/>
          <w:highlight w:val="none"/>
          <w:u w:val="single"/>
        </w:rPr>
        <w:t>（单位名称）</w:t>
      </w:r>
      <w:r>
        <w:rPr>
          <w:rFonts w:hint="eastAsia" w:asciiTheme="minorEastAsia" w:hAnsiTheme="minorEastAsia" w:eastAsiaTheme="minorEastAsia" w:cstheme="minorEastAsia"/>
          <w:b w:val="0"/>
          <w:bCs w:val="0"/>
          <w:snapToGrid/>
          <w:spacing w:val="0"/>
          <w:kern w:val="21"/>
          <w:sz w:val="24"/>
          <w:szCs w:val="24"/>
          <w:highlight w:val="none"/>
        </w:rPr>
        <w:t>的</w:t>
      </w:r>
      <w:r>
        <w:rPr>
          <w:rFonts w:hint="eastAsia" w:asciiTheme="minorEastAsia" w:hAnsiTheme="minorEastAsia" w:eastAsiaTheme="minorEastAsia" w:cstheme="minorEastAsia"/>
          <w:b w:val="0"/>
          <w:bCs w:val="0"/>
          <w:snapToGrid/>
          <w:spacing w:val="0"/>
          <w:kern w:val="21"/>
          <w:sz w:val="24"/>
          <w:szCs w:val="24"/>
          <w:highlight w:val="none"/>
          <w:u w:val="single"/>
        </w:rPr>
        <w:t>（项目名称）</w:t>
      </w:r>
      <w:r>
        <w:rPr>
          <w:rFonts w:hint="eastAsia" w:asciiTheme="minorEastAsia" w:hAnsiTheme="minorEastAsia" w:eastAsiaTheme="minorEastAsia" w:cstheme="minorEastAsia"/>
          <w:b w:val="0"/>
          <w:bCs w:val="0"/>
          <w:snapToGrid/>
          <w:spacing w:val="0"/>
          <w:kern w:val="21"/>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969F0E3">
      <w:pPr>
        <w:keepNext w:val="0"/>
        <w:keepLines w:val="0"/>
        <w:pageBreakBefore w:val="0"/>
        <w:widowControl w:val="0"/>
        <w:kinsoku/>
        <w:wordWrap w:val="0"/>
        <w:overflowPunct/>
        <w:topLinePunct/>
        <w:autoSpaceDE/>
        <w:autoSpaceDN/>
        <w:bidi w:val="0"/>
        <w:spacing w:line="360" w:lineRule="auto"/>
        <w:ind w:firstLine="504"/>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1.</w:t>
      </w:r>
      <w:r>
        <w:rPr>
          <w:rFonts w:hint="eastAsia" w:asciiTheme="minorEastAsia" w:hAnsiTheme="minorEastAsia" w:eastAsiaTheme="minorEastAsia" w:cstheme="minorEastAsia"/>
          <w:b w:val="0"/>
          <w:bCs w:val="0"/>
          <w:snapToGrid/>
          <w:spacing w:val="0"/>
          <w:kern w:val="21"/>
          <w:sz w:val="24"/>
          <w:szCs w:val="24"/>
          <w:u w:val="single"/>
        </w:rPr>
        <w:t>（标的名称）</w:t>
      </w:r>
      <w:r>
        <w:rPr>
          <w:rFonts w:hint="eastAsia" w:asciiTheme="minorEastAsia" w:hAnsiTheme="minorEastAsia" w:eastAsiaTheme="minorEastAsia" w:cstheme="minorEastAsia"/>
          <w:b w:val="0"/>
          <w:bCs w:val="0"/>
          <w:snapToGrid/>
          <w:spacing w:val="0"/>
          <w:kern w:val="21"/>
          <w:sz w:val="24"/>
          <w:szCs w:val="24"/>
        </w:rPr>
        <w:t>，属于</w:t>
      </w:r>
      <w:r>
        <w:rPr>
          <w:rFonts w:hint="eastAsia" w:asciiTheme="minorEastAsia" w:hAnsiTheme="minorEastAsia" w:eastAsiaTheme="minorEastAsia" w:cstheme="minorEastAsia"/>
          <w:b w:val="0"/>
          <w:bCs w:val="0"/>
          <w:snapToGrid/>
          <w:spacing w:val="0"/>
          <w:kern w:val="21"/>
          <w:sz w:val="24"/>
          <w:szCs w:val="24"/>
          <w:u w:val="single"/>
        </w:rPr>
        <w:t>（采购文件中明确的所属行业）</w:t>
      </w:r>
      <w:r>
        <w:rPr>
          <w:rFonts w:hint="eastAsia" w:asciiTheme="minorEastAsia" w:hAnsiTheme="minorEastAsia" w:eastAsiaTheme="minorEastAsia" w:cstheme="minorEastAsia"/>
          <w:b w:val="0"/>
          <w:bCs w:val="0"/>
          <w:snapToGrid/>
          <w:spacing w:val="0"/>
          <w:kern w:val="21"/>
          <w:sz w:val="24"/>
          <w:szCs w:val="24"/>
        </w:rPr>
        <w:t>行业；承建（承接）企业为</w:t>
      </w:r>
      <w:r>
        <w:rPr>
          <w:rFonts w:hint="eastAsia" w:asciiTheme="minorEastAsia" w:hAnsiTheme="minorEastAsia" w:eastAsiaTheme="minorEastAsia" w:cstheme="minorEastAsia"/>
          <w:b w:val="0"/>
          <w:bCs w:val="0"/>
          <w:snapToGrid/>
          <w:spacing w:val="0"/>
          <w:kern w:val="21"/>
          <w:sz w:val="24"/>
          <w:szCs w:val="24"/>
          <w:u w:val="single"/>
        </w:rPr>
        <w:t>（企业名称）</w:t>
      </w:r>
      <w:r>
        <w:rPr>
          <w:rFonts w:hint="eastAsia" w:asciiTheme="minorEastAsia" w:hAnsiTheme="minorEastAsia" w:eastAsiaTheme="minorEastAsia" w:cstheme="minorEastAsia"/>
          <w:b w:val="0"/>
          <w:bCs w:val="0"/>
          <w:snapToGrid/>
          <w:spacing w:val="0"/>
          <w:kern w:val="21"/>
          <w:sz w:val="24"/>
          <w:szCs w:val="24"/>
        </w:rPr>
        <w:t>，从业人员</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rPr>
        <w:t>人，营业收入为</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rPr>
        <w:t>万元，资产总额为</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rPr>
        <w:t>万元</w:t>
      </w:r>
      <w:r>
        <w:rPr>
          <w:rFonts w:hint="eastAsia" w:asciiTheme="minorEastAsia" w:hAnsiTheme="minorEastAsia" w:eastAsiaTheme="minorEastAsia" w:cstheme="minorEastAsia"/>
          <w:b w:val="0"/>
          <w:bCs w:val="0"/>
          <w:snapToGrid/>
          <w:spacing w:val="0"/>
          <w:kern w:val="21"/>
          <w:sz w:val="24"/>
          <w:szCs w:val="24"/>
          <w:vertAlign w:val="superscript"/>
        </w:rPr>
        <w:t>1</w:t>
      </w:r>
      <w:r>
        <w:rPr>
          <w:rFonts w:hint="eastAsia" w:asciiTheme="minorEastAsia" w:hAnsiTheme="minorEastAsia" w:eastAsiaTheme="minorEastAsia" w:cstheme="minorEastAsia"/>
          <w:b w:val="0"/>
          <w:bCs w:val="0"/>
          <w:snapToGrid/>
          <w:spacing w:val="0"/>
          <w:kern w:val="21"/>
          <w:sz w:val="24"/>
          <w:szCs w:val="24"/>
        </w:rPr>
        <w:t>，属于（中型企业、小型企业、微型企业）；</w:t>
      </w:r>
    </w:p>
    <w:p w14:paraId="05B66100">
      <w:pPr>
        <w:keepNext w:val="0"/>
        <w:keepLines w:val="0"/>
        <w:pageBreakBefore w:val="0"/>
        <w:widowControl w:val="0"/>
        <w:kinsoku/>
        <w:wordWrap w:val="0"/>
        <w:overflowPunct/>
        <w:topLinePunct/>
        <w:autoSpaceDE/>
        <w:autoSpaceDN/>
        <w:bidi w:val="0"/>
        <w:spacing w:line="360" w:lineRule="auto"/>
        <w:ind w:firstLine="504"/>
        <w:outlineLvl w:val="9"/>
        <w:rPr>
          <w:rFonts w:hint="eastAsia" w:asciiTheme="minorEastAsia" w:hAnsiTheme="minorEastAsia" w:eastAsiaTheme="minorEastAsia" w:cstheme="minorEastAsia"/>
          <w:b w:val="0"/>
          <w:bCs w:val="0"/>
          <w:snapToGrid/>
          <w:spacing w:val="0"/>
          <w:kern w:val="21"/>
          <w:sz w:val="24"/>
          <w:szCs w:val="24"/>
        </w:rPr>
      </w:pPr>
      <w:r>
        <w:rPr>
          <w:rFonts w:hint="eastAsia" w:asciiTheme="minorEastAsia" w:hAnsiTheme="minorEastAsia" w:eastAsiaTheme="minorEastAsia" w:cstheme="minorEastAsia"/>
          <w:b w:val="0"/>
          <w:bCs w:val="0"/>
          <w:snapToGrid/>
          <w:spacing w:val="0"/>
          <w:kern w:val="21"/>
          <w:sz w:val="24"/>
          <w:szCs w:val="24"/>
        </w:rPr>
        <w:t>2.</w:t>
      </w:r>
      <w:r>
        <w:rPr>
          <w:rFonts w:hint="eastAsia" w:asciiTheme="minorEastAsia" w:hAnsiTheme="minorEastAsia" w:eastAsiaTheme="minorEastAsia" w:cstheme="minorEastAsia"/>
          <w:b w:val="0"/>
          <w:bCs w:val="0"/>
          <w:snapToGrid/>
          <w:spacing w:val="0"/>
          <w:kern w:val="21"/>
          <w:sz w:val="24"/>
          <w:szCs w:val="24"/>
          <w:u w:val="single"/>
        </w:rPr>
        <w:t>（标的名称）</w:t>
      </w:r>
      <w:r>
        <w:rPr>
          <w:rFonts w:hint="eastAsia" w:asciiTheme="minorEastAsia" w:hAnsiTheme="minorEastAsia" w:eastAsiaTheme="minorEastAsia" w:cstheme="minorEastAsia"/>
          <w:b w:val="0"/>
          <w:bCs w:val="0"/>
          <w:snapToGrid/>
          <w:spacing w:val="0"/>
          <w:kern w:val="21"/>
          <w:sz w:val="24"/>
          <w:szCs w:val="24"/>
        </w:rPr>
        <w:t>，属于</w:t>
      </w:r>
      <w:r>
        <w:rPr>
          <w:rFonts w:hint="eastAsia" w:asciiTheme="minorEastAsia" w:hAnsiTheme="minorEastAsia" w:eastAsiaTheme="minorEastAsia" w:cstheme="minorEastAsia"/>
          <w:b w:val="0"/>
          <w:bCs w:val="0"/>
          <w:snapToGrid/>
          <w:spacing w:val="0"/>
          <w:kern w:val="21"/>
          <w:sz w:val="24"/>
          <w:szCs w:val="24"/>
          <w:u w:val="single"/>
        </w:rPr>
        <w:t>（采购文件中明确的所属行业）</w:t>
      </w:r>
      <w:r>
        <w:rPr>
          <w:rFonts w:hint="eastAsia" w:asciiTheme="minorEastAsia" w:hAnsiTheme="minorEastAsia" w:eastAsiaTheme="minorEastAsia" w:cstheme="minorEastAsia"/>
          <w:b w:val="0"/>
          <w:bCs w:val="0"/>
          <w:snapToGrid/>
          <w:spacing w:val="0"/>
          <w:kern w:val="21"/>
          <w:sz w:val="24"/>
          <w:szCs w:val="24"/>
        </w:rPr>
        <w:t>行业；承建（承接）企业为</w:t>
      </w:r>
      <w:r>
        <w:rPr>
          <w:rFonts w:hint="eastAsia" w:asciiTheme="minorEastAsia" w:hAnsiTheme="minorEastAsia" w:eastAsiaTheme="minorEastAsia" w:cstheme="minorEastAsia"/>
          <w:b w:val="0"/>
          <w:bCs w:val="0"/>
          <w:snapToGrid/>
          <w:spacing w:val="0"/>
          <w:kern w:val="21"/>
          <w:sz w:val="24"/>
          <w:szCs w:val="24"/>
          <w:u w:val="single"/>
        </w:rPr>
        <w:t>（企业名称）</w:t>
      </w:r>
      <w:r>
        <w:rPr>
          <w:rFonts w:hint="eastAsia" w:asciiTheme="minorEastAsia" w:hAnsiTheme="minorEastAsia" w:eastAsiaTheme="minorEastAsia" w:cstheme="minorEastAsia"/>
          <w:b w:val="0"/>
          <w:bCs w:val="0"/>
          <w:snapToGrid/>
          <w:spacing w:val="0"/>
          <w:kern w:val="21"/>
          <w:sz w:val="24"/>
          <w:szCs w:val="24"/>
        </w:rPr>
        <w:t>，从业人员</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rPr>
        <w:t>人，营业收入为</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rPr>
        <w:t>万元，资产总额为</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rPr>
        <w:t>万元，属于</w:t>
      </w:r>
      <w:r>
        <w:rPr>
          <w:rFonts w:hint="eastAsia" w:asciiTheme="minorEastAsia" w:hAnsiTheme="minorEastAsia" w:eastAsiaTheme="minorEastAsia" w:cstheme="minorEastAsia"/>
          <w:b w:val="0"/>
          <w:bCs w:val="0"/>
          <w:snapToGrid/>
          <w:spacing w:val="0"/>
          <w:kern w:val="21"/>
          <w:sz w:val="24"/>
          <w:szCs w:val="24"/>
          <w:u w:val="single"/>
        </w:rPr>
        <w:t>（中型企业、小型企业、微型企业）</w:t>
      </w:r>
      <w:r>
        <w:rPr>
          <w:rFonts w:hint="eastAsia" w:asciiTheme="minorEastAsia" w:hAnsiTheme="minorEastAsia" w:eastAsiaTheme="minorEastAsia" w:cstheme="minorEastAsia"/>
          <w:b w:val="0"/>
          <w:bCs w:val="0"/>
          <w:snapToGrid/>
          <w:spacing w:val="0"/>
          <w:kern w:val="21"/>
          <w:sz w:val="24"/>
          <w:szCs w:val="24"/>
        </w:rPr>
        <w:t>；</w:t>
      </w:r>
    </w:p>
    <w:p w14:paraId="039F1845">
      <w:pPr>
        <w:keepNext w:val="0"/>
        <w:keepLines w:val="0"/>
        <w:pageBreakBefore w:val="0"/>
        <w:widowControl w:val="0"/>
        <w:kinsoku/>
        <w:wordWrap w:val="0"/>
        <w:overflowPunct/>
        <w:topLinePunct/>
        <w:autoSpaceDE/>
        <w:autoSpaceDN/>
        <w:bidi w:val="0"/>
        <w:spacing w:line="360" w:lineRule="auto"/>
        <w:ind w:firstLine="504"/>
        <w:outlineLvl w:val="9"/>
        <w:rPr>
          <w:rFonts w:hint="eastAsia" w:asciiTheme="minorEastAsia" w:hAnsiTheme="minorEastAsia" w:eastAsiaTheme="minorEastAsia" w:cstheme="minorEastAsia"/>
          <w:b w:val="0"/>
          <w:bCs w:val="0"/>
          <w:snapToGrid/>
          <w:spacing w:val="0"/>
          <w:kern w:val="21"/>
          <w:sz w:val="24"/>
          <w:szCs w:val="24"/>
          <w:highlight w:val="none"/>
        </w:rPr>
      </w:pPr>
    </w:p>
    <w:p w14:paraId="402E175E">
      <w:pPr>
        <w:keepNext w:val="0"/>
        <w:keepLines w:val="0"/>
        <w:pageBreakBefore w:val="0"/>
        <w:widowControl w:val="0"/>
        <w:kinsoku/>
        <w:wordWrap w:val="0"/>
        <w:overflowPunct/>
        <w:topLinePunct/>
        <w:autoSpaceDE/>
        <w:autoSpaceDN/>
        <w:bidi w:val="0"/>
        <w:spacing w:line="360" w:lineRule="auto"/>
        <w:ind w:firstLine="504"/>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w:t>
      </w:r>
    </w:p>
    <w:p w14:paraId="2D491ABA">
      <w:pPr>
        <w:keepNext w:val="0"/>
        <w:keepLines w:val="0"/>
        <w:pageBreakBefore w:val="0"/>
        <w:widowControl w:val="0"/>
        <w:kinsoku/>
        <w:wordWrap w:val="0"/>
        <w:overflowPunct/>
        <w:topLinePunct/>
        <w:autoSpaceDE/>
        <w:autoSpaceDN/>
        <w:bidi w:val="0"/>
        <w:spacing w:line="360" w:lineRule="auto"/>
        <w:ind w:firstLine="504"/>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以上企业，不属于大企业的分支机构，不存在控股股东为大企业的情形，也不存在与大企业的负责人为同一人的情形。</w:t>
      </w:r>
    </w:p>
    <w:p w14:paraId="3051F953">
      <w:pPr>
        <w:keepNext w:val="0"/>
        <w:keepLines w:val="0"/>
        <w:pageBreakBefore w:val="0"/>
        <w:widowControl w:val="0"/>
        <w:kinsoku/>
        <w:wordWrap w:val="0"/>
        <w:overflowPunct/>
        <w:topLinePunct/>
        <w:autoSpaceDE/>
        <w:autoSpaceDN/>
        <w:bidi w:val="0"/>
        <w:spacing w:line="360" w:lineRule="auto"/>
        <w:ind w:firstLine="504"/>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本企业对上述声明内容的真实性负责。如有虚假，将依法承担相应责任。</w:t>
      </w:r>
    </w:p>
    <w:p w14:paraId="28EBB3BF">
      <w:pPr>
        <w:keepNext w:val="0"/>
        <w:keepLines w:val="0"/>
        <w:pageBreakBefore w:val="0"/>
        <w:widowControl w:val="0"/>
        <w:kinsoku/>
        <w:wordWrap w:val="0"/>
        <w:overflowPunct/>
        <w:topLinePunct/>
        <w:autoSpaceDE/>
        <w:autoSpaceDN/>
        <w:bidi w:val="0"/>
        <w:spacing w:line="360" w:lineRule="auto"/>
        <w:ind w:right="360" w:firstLine="48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13D5612B">
      <w:pPr>
        <w:keepNext w:val="0"/>
        <w:keepLines w:val="0"/>
        <w:pageBreakBefore w:val="0"/>
        <w:widowControl w:val="0"/>
        <w:kinsoku/>
        <w:wordWrap w:val="0"/>
        <w:overflowPunct/>
        <w:topLinePunct/>
        <w:autoSpaceDE/>
        <w:autoSpaceDN/>
        <w:bidi w:val="0"/>
        <w:spacing w:line="360" w:lineRule="auto"/>
        <w:ind w:right="360" w:firstLine="48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rPr>
        <w:t>企业名称（盖章）：</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131DD462">
      <w:pPr>
        <w:keepNext w:val="0"/>
        <w:keepLines w:val="0"/>
        <w:pageBreakBefore w:val="0"/>
        <w:widowControl w:val="0"/>
        <w:kinsoku/>
        <w:wordWrap w:val="0"/>
        <w:overflowPunct/>
        <w:topLinePunct/>
        <w:autoSpaceDE/>
        <w:autoSpaceDN/>
        <w:bidi w:val="0"/>
        <w:spacing w:line="360" w:lineRule="auto"/>
        <w:ind w:right="360" w:firstLine="480"/>
        <w:jc w:val="right"/>
        <w:outlineLvl w:val="9"/>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rPr>
        <w:t xml:space="preserve">日 </w:t>
      </w:r>
      <w:r>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724FD76C">
      <w:pPr>
        <w:pStyle w:val="6"/>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pPr>
    </w:p>
    <w:p w14:paraId="5460DA18">
      <w:pPr>
        <w:pStyle w:val="6"/>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pPr>
    </w:p>
    <w:p w14:paraId="1A7DB571">
      <w:pPr>
        <w:pStyle w:val="6"/>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pPr>
    </w:p>
    <w:p w14:paraId="35A63F13">
      <w:pPr>
        <w:pStyle w:val="6"/>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pPr>
    </w:p>
    <w:p w14:paraId="2E2B15FE">
      <w:pPr>
        <w:pStyle w:val="6"/>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pPr>
    </w:p>
    <w:p w14:paraId="31E922C7">
      <w:pPr>
        <w:pStyle w:val="6"/>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pPr>
    </w:p>
    <w:p w14:paraId="7DAC756A">
      <w:pPr>
        <w:pStyle w:val="6"/>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pPr>
    </w:p>
    <w:tbl>
      <w:tblPr>
        <w:tblStyle w:val="23"/>
        <w:tblW w:w="9750" w:type="dxa"/>
        <w:tblInd w:w="10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50"/>
      </w:tblGrid>
      <w:tr w14:paraId="12F3CC7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50" w:type="dxa"/>
          </w:tcPr>
          <w:p w14:paraId="6F80C320">
            <w:pPr>
              <w:keepNext w:val="0"/>
              <w:keepLines w:val="0"/>
              <w:pageBreakBefore w:val="0"/>
              <w:widowControl w:val="0"/>
              <w:kinsoku/>
              <w:wordWrap w:val="0"/>
              <w:overflowPunct/>
              <w:topLinePunct/>
              <w:autoSpaceDE/>
              <w:autoSpaceDN/>
              <w:bidi w:val="0"/>
              <w:adjustRightInd w:val="0"/>
              <w:snapToGrid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vertAlign w:val="superscript"/>
              </w:rPr>
              <w:t>1</w:t>
            </w:r>
            <w:r>
              <w:rPr>
                <w:rFonts w:hint="eastAsia" w:asciiTheme="minorEastAsia" w:hAnsiTheme="minorEastAsia" w:eastAsiaTheme="minorEastAsia" w:cstheme="minorEastAsia"/>
                <w:b w:val="0"/>
                <w:bCs w:val="0"/>
                <w:snapToGrid/>
                <w:color w:val="000000"/>
                <w:spacing w:val="0"/>
                <w:kern w:val="21"/>
                <w:sz w:val="24"/>
                <w:szCs w:val="24"/>
                <w:highlight w:val="none"/>
              </w:rPr>
              <w:t>从业人员、营业收入、资产总额填报上一年度数据，无上一年度数据的新成立企业可不填报。</w:t>
            </w:r>
          </w:p>
        </w:tc>
      </w:tr>
    </w:tbl>
    <w:p w14:paraId="2D97F36D">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br w:type="page"/>
      </w:r>
    </w:p>
    <w:p w14:paraId="60DA6958">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残疾人福利性单位声明函格式</w:t>
      </w:r>
    </w:p>
    <w:p w14:paraId="2DAA4159">
      <w:pPr>
        <w:pStyle w:val="6"/>
        <w:keepNext w:val="0"/>
        <w:keepLines w:val="0"/>
        <w:pageBreakBefore w:val="0"/>
        <w:widowControl w:val="0"/>
        <w:kinsoku/>
        <w:wordWrap w:val="0"/>
        <w:overflowPunct/>
        <w:topLinePunct/>
        <w:autoSpaceDE/>
        <w:autoSpaceDN/>
        <w:bidi w:val="0"/>
        <w:spacing w:line="360" w:lineRule="auto"/>
        <w:ind w:left="0" w:leftChars="0" w:firstLine="0" w:firstLineChars="0"/>
        <w:outlineLvl w:val="9"/>
        <w:rPr>
          <w:rFonts w:hint="eastAsia" w:asciiTheme="minorEastAsia" w:hAnsiTheme="minorEastAsia" w:eastAsiaTheme="minorEastAsia" w:cstheme="minorEastAsia"/>
          <w:b w:val="0"/>
          <w:bCs w:val="0"/>
          <w:kern w:val="21"/>
          <w:sz w:val="24"/>
          <w:szCs w:val="24"/>
        </w:rPr>
      </w:pPr>
    </w:p>
    <w:p w14:paraId="2B495AC6">
      <w:pPr>
        <w:keepNext w:val="0"/>
        <w:keepLines w:val="0"/>
        <w:pageBreakBefore w:val="0"/>
        <w:widowControl w:val="0"/>
        <w:kinsoku/>
        <w:wordWrap w:val="0"/>
        <w:overflowPunct/>
        <w:topLinePunct/>
        <w:autoSpaceDE/>
        <w:autoSpaceDN/>
        <w:bidi w:val="0"/>
        <w:spacing w:line="360" w:lineRule="auto"/>
        <w:ind w:firstLine="504"/>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本单位郑重声明，根据《财政部 民政部 中国残疾人联合会关于促进残疾人就业政府采购政策的通知》（财库〔2017〕141号）的规定，本单位（</w:t>
      </w:r>
      <w:r>
        <w:rPr>
          <w:rFonts w:hint="eastAsia" w:asciiTheme="minorEastAsia" w:hAnsiTheme="minorEastAsia" w:eastAsiaTheme="minorEastAsia" w:cstheme="minorEastAsia"/>
          <w:b w:val="0"/>
          <w:bCs w:val="0"/>
          <w:snapToGrid/>
          <w:spacing w:val="0"/>
          <w:kern w:val="21"/>
          <w:sz w:val="24"/>
          <w:szCs w:val="24"/>
        </w:rPr>
        <w:t>请进行选择</w:t>
      </w:r>
      <w:r>
        <w:rPr>
          <w:rFonts w:hint="eastAsia" w:asciiTheme="minorEastAsia" w:hAnsiTheme="minorEastAsia" w:eastAsiaTheme="minorEastAsia" w:cstheme="minorEastAsia"/>
          <w:b w:val="0"/>
          <w:bCs w:val="0"/>
          <w:snapToGrid/>
          <w:spacing w:val="0"/>
          <w:kern w:val="21"/>
          <w:sz w:val="24"/>
          <w:szCs w:val="24"/>
          <w:highlight w:val="none"/>
        </w:rPr>
        <w:t>）：</w:t>
      </w:r>
    </w:p>
    <w:p w14:paraId="433AA7B1">
      <w:pPr>
        <w:keepNext w:val="0"/>
        <w:keepLines w:val="0"/>
        <w:pageBreakBefore w:val="0"/>
        <w:widowControl w:val="0"/>
        <w:kinsoku/>
        <w:wordWrap w:val="0"/>
        <w:overflowPunct/>
        <w:topLinePunct/>
        <w:autoSpaceDE/>
        <w:autoSpaceDN/>
        <w:bidi w:val="0"/>
        <w:spacing w:line="360" w:lineRule="auto"/>
        <w:ind w:firstLine="482"/>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□不属于符合条件的残疾人福利性单位。</w:t>
      </w:r>
    </w:p>
    <w:p w14:paraId="0A9E903C">
      <w:pPr>
        <w:keepNext w:val="0"/>
        <w:keepLines w:val="0"/>
        <w:pageBreakBefore w:val="0"/>
        <w:widowControl w:val="0"/>
        <w:kinsoku/>
        <w:wordWrap w:val="0"/>
        <w:overflowPunct/>
        <w:topLinePunct/>
        <w:autoSpaceDE/>
        <w:autoSpaceDN/>
        <w:bidi w:val="0"/>
        <w:spacing w:line="360" w:lineRule="auto"/>
        <w:ind w:firstLine="482"/>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□属于符合条件的残疾人福利性单位，且本单位参加</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rPr>
        <w:t>单位的</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rPr>
        <w:t>项目采购活动提供本单位制造的货物（由本单位承担工程/提供服务），或者提供其他残疾人福利性单位制造的货物（不包括使用非残疾人福利性单位注册商标的货物）。</w:t>
      </w:r>
    </w:p>
    <w:p w14:paraId="2947398F">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本单位对上述声明的真实性负责。如有虚假，将依法承担相应责任。</w:t>
      </w:r>
    </w:p>
    <w:p w14:paraId="3D9F2C23">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p>
    <w:p w14:paraId="4401782A">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p>
    <w:p w14:paraId="56A74966">
      <w:pPr>
        <w:keepNext w:val="0"/>
        <w:keepLines w:val="0"/>
        <w:pageBreakBefore w:val="0"/>
        <w:widowControl w:val="0"/>
        <w:tabs>
          <w:tab w:val="left" w:pos="4860"/>
        </w:tabs>
        <w:kinsoku/>
        <w:wordWrap w:val="0"/>
        <w:overflowPunct/>
        <w:topLinePunct/>
        <w:autoSpaceDE/>
        <w:autoSpaceDN/>
        <w:bidi w:val="0"/>
        <w:spacing w:line="360" w:lineRule="auto"/>
        <w:ind w:right="1560" w:firstLine="480" w:firstLineChars="200"/>
        <w:jc w:val="righ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单位名称（盖章）：</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p>
    <w:p w14:paraId="6ADAD26B">
      <w:pPr>
        <w:keepNext w:val="0"/>
        <w:keepLines w:val="0"/>
        <w:pageBreakBefore w:val="0"/>
        <w:widowControl w:val="0"/>
        <w:tabs>
          <w:tab w:val="left" w:pos="4860"/>
        </w:tabs>
        <w:kinsoku/>
        <w:wordWrap w:val="0"/>
        <w:overflowPunct/>
        <w:topLinePunct/>
        <w:autoSpaceDE/>
        <w:autoSpaceDN/>
        <w:bidi w:val="0"/>
        <w:spacing w:line="360" w:lineRule="auto"/>
        <w:ind w:right="1560" w:firstLine="480" w:firstLineChars="200"/>
        <w:jc w:val="righ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日  期：</w:t>
      </w:r>
      <w:r>
        <w:rPr>
          <w:rFonts w:hint="eastAsia" w:asciiTheme="minorEastAsia" w:hAnsiTheme="minorEastAsia" w:eastAsiaTheme="minorEastAsia" w:cstheme="minorEastAsia"/>
          <w:b w:val="0"/>
          <w:bCs w:val="0"/>
          <w:snapToGrid/>
          <w:spacing w:val="0"/>
          <w:kern w:val="21"/>
          <w:sz w:val="24"/>
          <w:szCs w:val="24"/>
          <w:u w:val="single"/>
          <w:lang w:val="en-US" w:eastAsia="zh-CN"/>
        </w:rPr>
        <w:t xml:space="preserve">        </w:t>
      </w:r>
    </w:p>
    <w:p w14:paraId="200A03C4">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br w:type="page"/>
      </w:r>
    </w:p>
    <w:p w14:paraId="48DFEEB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kern w:val="21"/>
          <w:sz w:val="24"/>
          <w:szCs w:val="24"/>
          <w:highlight w:val="none"/>
        </w:rPr>
        <w:sectPr>
          <w:pgSz w:w="11905" w:h="16838"/>
          <w:pgMar w:top="1440" w:right="1080" w:bottom="1440" w:left="1080" w:header="851" w:footer="850" w:gutter="0"/>
          <w:pgNumType w:fmt="decimal"/>
          <w:cols w:space="0" w:num="1"/>
          <w:titlePg/>
          <w:rtlGutter w:val="0"/>
          <w:docGrid w:linePitch="462" w:charSpace="0"/>
        </w:sectPr>
      </w:pPr>
      <w:bookmarkStart w:id="672" w:name="_Hlt520273711"/>
      <w:bookmarkEnd w:id="672"/>
      <w:bookmarkStart w:id="673" w:name="_Hlt520274407"/>
      <w:bookmarkEnd w:id="673"/>
      <w:bookmarkStart w:id="674" w:name="_Hlt520355504"/>
      <w:bookmarkEnd w:id="674"/>
      <w:bookmarkStart w:id="675" w:name="_Hlt520274065"/>
      <w:bookmarkEnd w:id="675"/>
      <w:bookmarkStart w:id="676" w:name="_Hlt520343392"/>
      <w:bookmarkEnd w:id="676"/>
      <w:bookmarkStart w:id="677" w:name="_Hlt520271212"/>
      <w:bookmarkEnd w:id="677"/>
      <w:bookmarkStart w:id="678" w:name="_Hlt520274393"/>
      <w:bookmarkEnd w:id="678"/>
      <w:bookmarkStart w:id="679" w:name="_Hlt520343000"/>
      <w:bookmarkEnd w:id="679"/>
      <w:bookmarkStart w:id="680" w:name="_Hlt520350918"/>
      <w:bookmarkEnd w:id="680"/>
      <w:bookmarkStart w:id="681" w:name="_Hlt520274121"/>
      <w:bookmarkEnd w:id="681"/>
      <w:bookmarkStart w:id="682" w:name="_Toc480942349"/>
      <w:bookmarkStart w:id="683" w:name="_Ref467988698"/>
      <w:bookmarkStart w:id="684" w:name="_Toc195842921"/>
      <w:bookmarkStart w:id="685" w:name="_Toc226965829"/>
      <w:bookmarkStart w:id="686" w:name="_Toc226965746"/>
      <w:bookmarkStart w:id="687" w:name="_Toc226337252"/>
      <w:bookmarkStart w:id="688" w:name="_Toc520356217"/>
      <w:bookmarkStart w:id="689" w:name="_Toc150480794"/>
      <w:bookmarkStart w:id="690" w:name="_Toc142311058"/>
      <w:bookmarkStart w:id="691" w:name="_Toc127151556"/>
      <w:bookmarkStart w:id="692" w:name="_Toc226309800"/>
      <w:bookmarkStart w:id="693" w:name="_Toc150774761"/>
    </w:p>
    <w:p w14:paraId="7F54692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3本项目的特定资格要求</w:t>
      </w:r>
    </w:p>
    <w:p w14:paraId="4995C31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3-1其他特定资格要求</w:t>
      </w:r>
    </w:p>
    <w:p w14:paraId="6E45FA7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w:t>
      </w:r>
    </w:p>
    <w:p w14:paraId="10CC9E00">
      <w:pPr>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br w:type="page"/>
      </w:r>
    </w:p>
    <w:p w14:paraId="0FFF0FC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4</w:t>
      </w:r>
      <w:bookmarkEnd w:id="682"/>
      <w:bookmarkEnd w:id="683"/>
      <w:r>
        <w:rPr>
          <w:rFonts w:hint="eastAsia" w:asciiTheme="minorEastAsia" w:hAnsiTheme="minorEastAsia" w:eastAsiaTheme="minorEastAsia" w:cstheme="minorEastAsia"/>
          <w:b w:val="0"/>
          <w:bCs w:val="0"/>
          <w:snapToGrid/>
          <w:spacing w:val="0"/>
          <w:kern w:val="21"/>
          <w:sz w:val="24"/>
          <w:szCs w:val="24"/>
          <w:highlight w:val="none"/>
        </w:rPr>
        <w:t>响应书</w:t>
      </w:r>
      <w:bookmarkEnd w:id="684"/>
      <w:bookmarkEnd w:id="685"/>
      <w:bookmarkEnd w:id="686"/>
      <w:bookmarkEnd w:id="687"/>
      <w:bookmarkEnd w:id="688"/>
      <w:bookmarkEnd w:id="689"/>
      <w:bookmarkEnd w:id="690"/>
      <w:bookmarkEnd w:id="691"/>
      <w:bookmarkEnd w:id="692"/>
      <w:bookmarkEnd w:id="693"/>
      <w:r>
        <w:rPr>
          <w:rFonts w:hint="eastAsia" w:asciiTheme="minorEastAsia" w:hAnsiTheme="minorEastAsia" w:eastAsiaTheme="minorEastAsia" w:cstheme="minorEastAsia"/>
          <w:b w:val="0"/>
          <w:bCs w:val="0"/>
          <w:snapToGrid/>
          <w:spacing w:val="0"/>
          <w:kern w:val="21"/>
          <w:sz w:val="24"/>
          <w:szCs w:val="24"/>
          <w:highlight w:val="none"/>
        </w:rPr>
        <w:t>（实质性格式）</w:t>
      </w:r>
    </w:p>
    <w:p w14:paraId="14109E6D">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响应书</w:t>
      </w:r>
    </w:p>
    <w:p w14:paraId="717E9C7F">
      <w:pPr>
        <w:pStyle w:val="6"/>
        <w:keepNext w:val="0"/>
        <w:keepLines w:val="0"/>
        <w:pageBreakBefore w:val="0"/>
        <w:widowControl w:val="0"/>
        <w:kinsoku/>
        <w:wordWrap w:val="0"/>
        <w:overflowPunct/>
        <w:topLinePunct/>
        <w:autoSpaceDE/>
        <w:autoSpaceDN/>
        <w:bidi w:val="0"/>
        <w:spacing w:line="360" w:lineRule="auto"/>
        <w:ind w:left="0" w:leftChars="0" w:firstLine="0" w:firstLineChars="0"/>
        <w:outlineLvl w:val="9"/>
        <w:rPr>
          <w:rFonts w:hint="eastAsia" w:asciiTheme="minorEastAsia" w:hAnsiTheme="minorEastAsia" w:eastAsiaTheme="minorEastAsia" w:cstheme="minorEastAsia"/>
          <w:b w:val="0"/>
          <w:bCs w:val="0"/>
          <w:kern w:val="21"/>
          <w:sz w:val="24"/>
          <w:szCs w:val="24"/>
        </w:rPr>
      </w:pPr>
    </w:p>
    <w:p w14:paraId="4D8F01EE">
      <w:pPr>
        <w:keepNext w:val="0"/>
        <w:keepLines w:val="0"/>
        <w:pageBreakBefore w:val="0"/>
        <w:widowControl w:val="0"/>
        <w:tabs>
          <w:tab w:val="left" w:pos="5580"/>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致：</w:t>
      </w:r>
      <w:r>
        <w:rPr>
          <w:rFonts w:hint="eastAsia" w:asciiTheme="minorEastAsia" w:hAnsiTheme="minorEastAsia" w:eastAsiaTheme="minorEastAsia" w:cstheme="minorEastAsia"/>
          <w:b w:val="0"/>
          <w:bCs w:val="0"/>
          <w:snapToGrid/>
          <w:color w:val="000000"/>
          <w:spacing w:val="0"/>
          <w:kern w:val="21"/>
          <w:sz w:val="24"/>
          <w:szCs w:val="24"/>
          <w:highlight w:val="none"/>
          <w:u w:val="single"/>
        </w:rPr>
        <w:t>采购人</w:t>
      </w:r>
    </w:p>
    <w:p w14:paraId="68434A23">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我方参加你方就</w:t>
      </w:r>
      <w:r>
        <w:rPr>
          <w:rFonts w:hint="eastAsia" w:asciiTheme="minorEastAsia" w:hAnsiTheme="minorEastAsia" w:eastAsiaTheme="minorEastAsia" w:cstheme="minorEastAsia"/>
          <w:b w:val="0"/>
          <w:bCs w:val="0"/>
          <w:snapToGrid/>
          <w:spacing w:val="0"/>
          <w:w w:val="100"/>
          <w:kern w:val="21"/>
          <w:sz w:val="24"/>
          <w:szCs w:val="24"/>
          <w:highlight w:val="none"/>
          <w:u w:val="single"/>
          <w:shd w:val="clear" w:color="auto" w:fill="FFFFFF"/>
          <w:lang w:val="en-US" w:eastAsia="zh-CN" w:bidi="ar-SA"/>
        </w:rPr>
        <w:t xml:space="preserve">                      </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（项目名称，项目编号）组织的采购活动，并对此项目进行磋商。</w:t>
      </w:r>
    </w:p>
    <w:p w14:paraId="4DC73B2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1.我方已详细审查全部竞争性磋商文件，自愿参与磋商并承诺如下：</w:t>
      </w:r>
    </w:p>
    <w:p w14:paraId="69FBA4B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（1）本响应有效期为自提交响应文件的截止之日起</w:t>
      </w:r>
      <w:r>
        <w:rPr>
          <w:rFonts w:hint="eastAsia" w:asciiTheme="minorEastAsia" w:hAnsiTheme="minorEastAsia" w:eastAsiaTheme="minorEastAsia" w:cstheme="minorEastAsia"/>
          <w:b w:val="0"/>
          <w:bCs w:val="0"/>
          <w:snapToGrid/>
          <w:spacing w:val="0"/>
          <w:w w:val="100"/>
          <w:kern w:val="21"/>
          <w:sz w:val="24"/>
          <w:szCs w:val="24"/>
          <w:highlight w:val="none"/>
          <w:u w:val="single"/>
          <w:shd w:val="clear" w:color="auto" w:fill="FFFFFF"/>
          <w:lang w:val="en-US" w:eastAsia="zh-CN" w:bidi="ar-SA"/>
        </w:rPr>
        <w:t xml:space="preserve">         </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个日历日。</w:t>
      </w:r>
    </w:p>
    <w:p w14:paraId="43C67E4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（2）除合同条款及采购需求偏离表列出的偏离外，我方响应竞争性磋商文件的全部要求。</w:t>
      </w:r>
    </w:p>
    <w:p w14:paraId="0CA0038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（3）我方已提供的全部文件资料是真实、准确的，并对此承担一切法律后果。</w:t>
      </w:r>
    </w:p>
    <w:p w14:paraId="3349D675">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（4）如我方成交，我方将在法律规定的期限内与你方签订合同，按照竞争性磋商文件要求提交履约保证金，并在合同约定的期限内完成合同规定的全部义务。</w:t>
      </w:r>
    </w:p>
    <w:p w14:paraId="53AC5D22">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firstLine="480" w:firstLineChars="20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2.其他补充条款（如有）：</w:t>
      </w:r>
      <w:r>
        <w:rPr>
          <w:rFonts w:hint="eastAsia" w:asciiTheme="minorEastAsia" w:hAnsiTheme="minorEastAsia" w:eastAsiaTheme="minorEastAsia" w:cstheme="minorEastAsia"/>
          <w:b w:val="0"/>
          <w:bCs w:val="0"/>
          <w:snapToGrid/>
          <w:spacing w:val="0"/>
          <w:w w:val="100"/>
          <w:kern w:val="21"/>
          <w:sz w:val="24"/>
          <w:szCs w:val="24"/>
          <w:highlight w:val="none"/>
          <w:u w:val="single"/>
          <w:shd w:val="clear" w:color="auto" w:fill="FFFFFF"/>
          <w:lang w:val="en-US" w:eastAsia="zh-CN" w:bidi="ar-SA"/>
        </w:rPr>
        <w:t xml:space="preserve">         </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w:t>
      </w:r>
    </w:p>
    <w:p w14:paraId="7C0B9E31">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与本磋商有关的一切正式往来信函请寄：</w:t>
      </w:r>
    </w:p>
    <w:p w14:paraId="533D76C3">
      <w:pPr>
        <w:keepNext w:val="0"/>
        <w:keepLines w:val="0"/>
        <w:pageBreakBefore w:val="0"/>
        <w:widowControl w:val="0"/>
        <w:tabs>
          <w:tab w:val="left" w:pos="5580"/>
        </w:tabs>
        <w:kinsoku/>
        <w:wordWrap w:val="0"/>
        <w:overflowPunct/>
        <w:topLinePunct/>
        <w:autoSpaceDE/>
        <w:autoSpaceDN/>
        <w:bidi w:val="0"/>
        <w:spacing w:line="360" w:lineRule="auto"/>
        <w:ind w:left="420"/>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73AB8F0E">
      <w:pPr>
        <w:keepNext w:val="0"/>
        <w:keepLines w:val="0"/>
        <w:pageBreakBefore w:val="0"/>
        <w:widowControl w:val="0"/>
        <w:tabs>
          <w:tab w:val="left" w:pos="5580"/>
        </w:tabs>
        <w:kinsoku/>
        <w:wordWrap w:val="0"/>
        <w:overflowPunct/>
        <w:topLinePunct/>
        <w:autoSpaceDE/>
        <w:autoSpaceDN/>
        <w:bidi w:val="0"/>
        <w:spacing w:line="360" w:lineRule="auto"/>
        <w:ind w:left="420"/>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地址</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 xml:space="preserve">      传   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28B5949A">
      <w:pPr>
        <w:keepNext w:val="0"/>
        <w:keepLines w:val="0"/>
        <w:pageBreakBefore w:val="0"/>
        <w:widowControl w:val="0"/>
        <w:tabs>
          <w:tab w:val="left" w:pos="5580"/>
        </w:tabs>
        <w:kinsoku/>
        <w:wordWrap w:val="0"/>
        <w:overflowPunct/>
        <w:topLinePunct/>
        <w:autoSpaceDE/>
        <w:autoSpaceDN/>
        <w:bidi w:val="0"/>
        <w:spacing w:line="360" w:lineRule="auto"/>
        <w:ind w:left="420"/>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rPr>
      </w:pPr>
      <w:r>
        <w:rPr>
          <w:rFonts w:hint="eastAsia" w:asciiTheme="minorEastAsia" w:hAnsiTheme="minorEastAsia" w:eastAsiaTheme="minorEastAsia" w:cstheme="minorEastAsia"/>
          <w:b w:val="0"/>
          <w:bCs w:val="0"/>
          <w:snapToGrid/>
          <w:color w:val="000000"/>
          <w:spacing w:val="0"/>
          <w:kern w:val="21"/>
          <w:sz w:val="24"/>
          <w:szCs w:val="24"/>
          <w:highlight w:val="none"/>
        </w:rPr>
        <w:t>电话</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 xml:space="preserve">      电子函件</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23A9B4F2">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3A24F475">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3F0CEEAD">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29A67B4E">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firstLine="480" w:firstLineChars="200"/>
        <w:jc w:val="both"/>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rPr>
        <w:t>供应商名称（加盖公章）</w:t>
      </w:r>
      <w:r>
        <w:rPr>
          <w:rFonts w:hint="eastAsia" w:asciiTheme="minorEastAsia" w:hAnsiTheme="minorEastAsia" w:eastAsiaTheme="minorEastAsia" w:cstheme="minorEastAsia"/>
          <w:b w:val="0"/>
          <w:bCs w:val="0"/>
          <w:snapToGrid/>
          <w:color w:val="000000"/>
          <w:spacing w:val="0"/>
          <w:kern w:val="21"/>
          <w:sz w:val="24"/>
          <w:szCs w:val="24"/>
          <w:highlight w:val="none"/>
          <w:lang w:val="zh-CN"/>
        </w:rPr>
        <w:t>：</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3C5E1293">
      <w:pPr>
        <w:keepNext w:val="0"/>
        <w:keepLines w:val="0"/>
        <w:pageBreakBefore w:val="0"/>
        <w:widowControl w:val="0"/>
        <w:kinsoku/>
        <w:wordWrap w:val="0"/>
        <w:overflowPunct/>
        <w:topLinePunct/>
        <w:autoSpaceDE/>
        <w:autoSpaceDN/>
        <w:bidi w:val="0"/>
        <w:spacing w:line="360" w:lineRule="auto"/>
        <w:ind w:right="360" w:firstLine="480" w:firstLineChars="200"/>
        <w:jc w:val="both"/>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日期：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日</w:t>
      </w:r>
    </w:p>
    <w:p w14:paraId="2C4EE970">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br w:type="page"/>
      </w:r>
    </w:p>
    <w:p w14:paraId="2D2208AF">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bookmarkStart w:id="694" w:name="_Hlt520355938"/>
      <w:bookmarkEnd w:id="694"/>
      <w:bookmarkStart w:id="695" w:name="_Hlt520356243"/>
      <w:bookmarkEnd w:id="695"/>
      <w:bookmarkStart w:id="696" w:name="_Toc127151557"/>
      <w:bookmarkStart w:id="697" w:name="_Ref467988705"/>
      <w:bookmarkStart w:id="698" w:name="_Toc480942350"/>
      <w:bookmarkStart w:id="699" w:name="_Toc150480795"/>
      <w:bookmarkStart w:id="700" w:name="_Toc142311059"/>
      <w:bookmarkStart w:id="701" w:name="_Toc305158899"/>
      <w:bookmarkStart w:id="702" w:name="_Toc265228395"/>
      <w:bookmarkStart w:id="703" w:name="_Toc305158825"/>
      <w:bookmarkStart w:id="704" w:name="_Toc226309801"/>
      <w:bookmarkStart w:id="705" w:name="_Toc226337253"/>
      <w:bookmarkStart w:id="706" w:name="_Toc226965830"/>
      <w:bookmarkStart w:id="707" w:name="_Toc520356218"/>
      <w:bookmarkStart w:id="708" w:name="_Toc264969247"/>
      <w:bookmarkStart w:id="709" w:name="_Toc226965747"/>
      <w:bookmarkStart w:id="710" w:name="_Toc150774762"/>
      <w:bookmarkStart w:id="711" w:name="_Toc195842922"/>
      <w:r>
        <w:rPr>
          <w:rFonts w:hint="eastAsia" w:asciiTheme="minorEastAsia" w:hAnsiTheme="minorEastAsia" w:eastAsiaTheme="minorEastAsia" w:cstheme="minorEastAsia"/>
          <w:b w:val="0"/>
          <w:bCs w:val="0"/>
          <w:snapToGrid/>
          <w:color w:val="000000"/>
          <w:spacing w:val="0"/>
          <w:kern w:val="21"/>
          <w:sz w:val="24"/>
          <w:szCs w:val="24"/>
          <w:highlight w:val="none"/>
        </w:rPr>
        <w:t>5</w:t>
      </w:r>
      <w:r>
        <w:rPr>
          <w:rFonts w:hint="eastAsia" w:asciiTheme="minorEastAsia" w:hAnsiTheme="minorEastAsia" w:eastAsiaTheme="minorEastAsia" w:cstheme="minorEastAsia"/>
          <w:b w:val="0"/>
          <w:bCs w:val="0"/>
          <w:snapToGrid/>
          <w:spacing w:val="0"/>
          <w:kern w:val="21"/>
          <w:sz w:val="24"/>
          <w:szCs w:val="24"/>
          <w:highlight w:val="none"/>
        </w:rPr>
        <w:t>授权委托书（实质性格式）</w:t>
      </w:r>
    </w:p>
    <w:p w14:paraId="036E5640">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授权委托书</w:t>
      </w:r>
    </w:p>
    <w:p w14:paraId="4FEDC271">
      <w:pPr>
        <w:pStyle w:val="6"/>
        <w:keepNext w:val="0"/>
        <w:keepLines w:val="0"/>
        <w:pageBreakBefore w:val="0"/>
        <w:widowControl w:val="0"/>
        <w:kinsoku/>
        <w:wordWrap w:val="0"/>
        <w:overflowPunct/>
        <w:topLinePunct/>
        <w:autoSpaceDE/>
        <w:autoSpaceDN/>
        <w:bidi w:val="0"/>
        <w:spacing w:line="360" w:lineRule="auto"/>
        <w:ind w:left="0" w:leftChars="0" w:firstLine="0" w:firstLineChars="0"/>
        <w:outlineLvl w:val="9"/>
        <w:rPr>
          <w:rFonts w:hint="eastAsia" w:asciiTheme="minorEastAsia" w:hAnsiTheme="minorEastAsia" w:eastAsiaTheme="minorEastAsia" w:cstheme="minorEastAsia"/>
          <w:b w:val="0"/>
          <w:bCs w:val="0"/>
          <w:kern w:val="21"/>
          <w:sz w:val="24"/>
          <w:szCs w:val="24"/>
        </w:rPr>
      </w:pPr>
    </w:p>
    <w:p w14:paraId="22E3A1C8">
      <w:pPr>
        <w:keepNext w:val="0"/>
        <w:keepLines w:val="0"/>
        <w:pageBreakBefore w:val="0"/>
        <w:widowControl w:val="0"/>
        <w:kinsoku/>
        <w:wordWrap w:val="0"/>
        <w:overflowPunct/>
        <w:topLinePunct/>
        <w:autoSpaceDE/>
        <w:autoSpaceDN/>
        <w:bidi w:val="0"/>
        <w:spacing w:line="360" w:lineRule="auto"/>
        <w:ind w:firstLine="420"/>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本人</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（姓名）系</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（供应商名称）的法定代表人（单位负责人），现委托</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（姓名）为我方代理人。代理人根据授权，以我方名义签署、澄清确认、递交、撤回、修改</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（项目名称，项目编号）响应文件和处理有关事宜，其法律后果由我方承担。</w:t>
      </w:r>
    </w:p>
    <w:p w14:paraId="2F476F4B">
      <w:pPr>
        <w:keepNext w:val="0"/>
        <w:keepLines w:val="0"/>
        <w:pageBreakBefore w:val="0"/>
        <w:widowControl w:val="0"/>
        <w:kinsoku/>
        <w:wordWrap w:val="0"/>
        <w:overflowPunct/>
        <w:topLinePunct/>
        <w:autoSpaceDE/>
        <w:autoSpaceDN/>
        <w:bidi w:val="0"/>
        <w:spacing w:line="360" w:lineRule="auto"/>
        <w:ind w:firstLine="420"/>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委托期限：自本授权委托书签署之日起至响应有效期届满之日止。</w:t>
      </w:r>
    </w:p>
    <w:p w14:paraId="73A65579">
      <w:pPr>
        <w:keepNext w:val="0"/>
        <w:keepLines w:val="0"/>
        <w:pageBreakBefore w:val="0"/>
        <w:widowControl w:val="0"/>
        <w:kinsoku/>
        <w:wordWrap w:val="0"/>
        <w:overflowPunct/>
        <w:topLinePunct/>
        <w:autoSpaceDE/>
        <w:autoSpaceDN/>
        <w:bidi w:val="0"/>
        <w:spacing w:line="360" w:lineRule="auto"/>
        <w:ind w:firstLine="420"/>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代理人无转委托权。</w:t>
      </w:r>
      <w:r>
        <w:rPr>
          <w:rFonts w:hint="eastAsia" w:asciiTheme="minorEastAsia" w:hAnsiTheme="minorEastAsia" w:eastAsiaTheme="minorEastAsia" w:cstheme="minorEastAsia"/>
          <w:b w:val="0"/>
          <w:bCs w:val="0"/>
          <w:snapToGrid/>
          <w:color w:val="000000"/>
          <w:spacing w:val="0"/>
          <w:kern w:val="21"/>
          <w:sz w:val="24"/>
          <w:szCs w:val="24"/>
          <w:highlight w:val="none"/>
        </w:rPr>
        <w:cr/>
      </w:r>
    </w:p>
    <w:p w14:paraId="4C890CC5">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lang w:val="zh-CN"/>
        </w:rPr>
      </w:pPr>
      <w:r>
        <w:rPr>
          <w:rFonts w:hint="eastAsia" w:asciiTheme="minorEastAsia" w:hAnsiTheme="minorEastAsia" w:eastAsiaTheme="minorEastAsia" w:cstheme="minorEastAsia"/>
          <w:b w:val="0"/>
          <w:bCs w:val="0"/>
          <w:snapToGrid/>
          <w:color w:val="000000"/>
          <w:spacing w:val="0"/>
          <w:kern w:val="21"/>
          <w:sz w:val="24"/>
          <w:szCs w:val="24"/>
          <w:highlight w:val="none"/>
        </w:rPr>
        <w:t>供应商名称（加盖公章）</w:t>
      </w:r>
      <w:r>
        <w:rPr>
          <w:rFonts w:hint="eastAsia" w:asciiTheme="minorEastAsia" w:hAnsiTheme="minorEastAsia" w:eastAsiaTheme="minorEastAsia" w:cstheme="minorEastAsia"/>
          <w:b w:val="0"/>
          <w:bCs w:val="0"/>
          <w:snapToGrid/>
          <w:color w:val="000000"/>
          <w:spacing w:val="0"/>
          <w:kern w:val="21"/>
          <w:sz w:val="24"/>
          <w:szCs w:val="24"/>
          <w:highlight w:val="none"/>
          <w:lang w:val="zh-CN"/>
        </w:rPr>
        <w:t>：</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p>
    <w:p w14:paraId="34D91C5B">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法定代表人（单位负责人）（签字或签章）：</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p>
    <w:p w14:paraId="4D530B88">
      <w:pPr>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lang w:val="zh-CN"/>
        </w:rPr>
      </w:pPr>
      <w:r>
        <w:rPr>
          <w:rFonts w:hint="eastAsia" w:asciiTheme="minorEastAsia" w:hAnsiTheme="minorEastAsia" w:eastAsiaTheme="minorEastAsia" w:cstheme="minorEastAsia"/>
          <w:b w:val="0"/>
          <w:bCs w:val="0"/>
          <w:snapToGrid/>
          <w:color w:val="000000"/>
          <w:spacing w:val="0"/>
          <w:kern w:val="21"/>
          <w:sz w:val="24"/>
          <w:szCs w:val="24"/>
          <w:highlight w:val="none"/>
        </w:rPr>
        <w:t>委托代理人（</w:t>
      </w:r>
      <w:r>
        <w:rPr>
          <w:rFonts w:hint="eastAsia" w:asciiTheme="minorEastAsia" w:hAnsiTheme="minorEastAsia" w:eastAsiaTheme="minorEastAsia" w:cstheme="minorEastAsia"/>
          <w:b w:val="0"/>
          <w:bCs w:val="0"/>
          <w:snapToGrid/>
          <w:spacing w:val="0"/>
          <w:kern w:val="21"/>
          <w:sz w:val="24"/>
          <w:szCs w:val="24"/>
          <w:highlight w:val="none"/>
        </w:rPr>
        <w:t>签字或签章</w:t>
      </w:r>
      <w:r>
        <w:rPr>
          <w:rFonts w:hint="eastAsia" w:asciiTheme="minorEastAsia" w:hAnsiTheme="minorEastAsia" w:eastAsiaTheme="minorEastAsia" w:cstheme="minorEastAsia"/>
          <w:b w:val="0"/>
          <w:bCs w:val="0"/>
          <w:snapToGrid/>
          <w:color w:val="000000"/>
          <w:spacing w:val="0"/>
          <w:kern w:val="21"/>
          <w:sz w:val="24"/>
          <w:szCs w:val="24"/>
          <w:highlight w:val="none"/>
        </w:rPr>
        <w:t>）：</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p>
    <w:p w14:paraId="1022F7C9">
      <w:pPr>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lang w:val="zh-CN"/>
        </w:rPr>
      </w:pPr>
      <w:r>
        <w:rPr>
          <w:rFonts w:hint="eastAsia" w:asciiTheme="minorEastAsia" w:hAnsiTheme="minorEastAsia" w:eastAsiaTheme="minorEastAsia" w:cstheme="minorEastAsia"/>
          <w:b w:val="0"/>
          <w:bCs w:val="0"/>
          <w:snapToGrid/>
          <w:color w:val="000000"/>
          <w:spacing w:val="0"/>
          <w:kern w:val="21"/>
          <w:sz w:val="24"/>
          <w:szCs w:val="24"/>
          <w:highlight w:val="none"/>
        </w:rPr>
        <w:t>日期：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日</w:t>
      </w:r>
    </w:p>
    <w:p w14:paraId="1221C9D8">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p>
    <w:p w14:paraId="01C188F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附：法定代表人（单位负责人）及委托代理人身份证明文件电子件：</w:t>
      </w:r>
    </w:p>
    <w:p w14:paraId="401D8FFF">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p>
    <w:p w14:paraId="3170BB6D">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p>
    <w:p w14:paraId="52A4E87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p>
    <w:p w14:paraId="17A53B9A">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p>
    <w:p w14:paraId="321CF0B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说明：</w:t>
      </w:r>
    </w:p>
    <w:p w14:paraId="36FE7D97">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1.若供应商为事业单位或其他组织或分支机构，则法定代表人（单位负责人）处的签署人可为单位负责人。</w:t>
      </w:r>
    </w:p>
    <w:p w14:paraId="41E8A43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若响应文件中签字之处均为法定代表人（单位负责人）本人签署，则可不提供本《授权委托书》，但须提供《法定代表人（单位负责人）身份证明》；否则，不需要提供《法定代表人（单位负责人）身份证明》。</w:t>
      </w:r>
    </w:p>
    <w:p w14:paraId="434194FB">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供应商为自然人的情形，可不提供本《授权委托书》。</w:t>
      </w:r>
    </w:p>
    <w:p w14:paraId="0AC837D9">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4.供应商应随本《授权委托书》同时提供法定代表人（单位负责人）及委托代理人的有效的身份证或护照等身份证明文件电子件。提供身份证的，应同时提供身份证双面电子件。</w:t>
      </w:r>
      <w:r>
        <w:rPr>
          <w:rFonts w:hint="eastAsia" w:asciiTheme="minorEastAsia" w:hAnsiTheme="minorEastAsia" w:eastAsiaTheme="minorEastAsia" w:cstheme="minorEastAsia"/>
          <w:b w:val="0"/>
          <w:bCs w:val="0"/>
          <w:snapToGrid/>
          <w:color w:val="000000"/>
          <w:spacing w:val="0"/>
          <w:kern w:val="21"/>
          <w:sz w:val="24"/>
          <w:szCs w:val="24"/>
          <w:highlight w:val="none"/>
        </w:rPr>
        <w:br w:type="page"/>
      </w:r>
    </w:p>
    <w:p w14:paraId="7A988121">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法定代表人（单位负责人）身份证明</w:t>
      </w:r>
    </w:p>
    <w:p w14:paraId="5D7F00C9">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0705E182">
      <w:pPr>
        <w:keepNext w:val="0"/>
        <w:keepLines w:val="0"/>
        <w:pageBreakBefore w:val="0"/>
        <w:widowControl w:val="0"/>
        <w:tabs>
          <w:tab w:val="left" w:pos="5580"/>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致：</w:t>
      </w:r>
      <w:r>
        <w:rPr>
          <w:rFonts w:hint="eastAsia" w:asciiTheme="minorEastAsia" w:hAnsiTheme="minorEastAsia" w:eastAsiaTheme="minorEastAsia" w:cstheme="minorEastAsia"/>
          <w:b w:val="0"/>
          <w:bCs w:val="0"/>
          <w:snapToGrid/>
          <w:color w:val="000000"/>
          <w:spacing w:val="0"/>
          <w:kern w:val="21"/>
          <w:sz w:val="24"/>
          <w:szCs w:val="24"/>
          <w:highlight w:val="none"/>
          <w:u w:val="single"/>
        </w:rPr>
        <w:t>采购人</w:t>
      </w:r>
    </w:p>
    <w:p w14:paraId="0A5659CD">
      <w:pPr>
        <w:pStyle w:val="9"/>
        <w:keepNext w:val="0"/>
        <w:keepLines w:val="0"/>
        <w:pageBreakBefore w:val="0"/>
        <w:widowControl w:val="0"/>
        <w:tabs>
          <w:tab w:val="left" w:pos="2412"/>
          <w:tab w:val="left" w:pos="3883"/>
          <w:tab w:val="left" w:pos="5352"/>
          <w:tab w:val="left" w:pos="6821"/>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兹证明，</w:t>
      </w:r>
    </w:p>
    <w:p w14:paraId="4D0B0F39">
      <w:pPr>
        <w:pStyle w:val="9"/>
        <w:keepNext w:val="0"/>
        <w:keepLines w:val="0"/>
        <w:pageBreakBefore w:val="0"/>
        <w:widowControl w:val="0"/>
        <w:tabs>
          <w:tab w:val="left" w:pos="1690"/>
          <w:tab w:val="left" w:pos="3400"/>
          <w:tab w:val="left" w:pos="5110"/>
          <w:tab w:val="left" w:pos="6821"/>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姓名：</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rPr>
        <w:t>性别：</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rPr>
        <w:t>年龄：</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rPr>
        <w:t>职务：</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p>
    <w:p w14:paraId="32457076">
      <w:pPr>
        <w:pStyle w:val="9"/>
        <w:keepNext w:val="0"/>
        <w:keepLines w:val="0"/>
        <w:pageBreakBefore w:val="0"/>
        <w:widowControl w:val="0"/>
        <w:tabs>
          <w:tab w:val="left" w:pos="2412"/>
          <w:tab w:val="left" w:pos="3883"/>
          <w:tab w:val="left" w:pos="5352"/>
          <w:tab w:val="left" w:pos="6821"/>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438A8998">
      <w:pPr>
        <w:pStyle w:val="9"/>
        <w:keepNext w:val="0"/>
        <w:keepLines w:val="0"/>
        <w:pageBreakBefore w:val="0"/>
        <w:widowControl w:val="0"/>
        <w:tabs>
          <w:tab w:val="left" w:pos="2250"/>
          <w:tab w:val="left" w:pos="2412"/>
          <w:tab w:val="left" w:pos="3883"/>
          <w:tab w:val="left" w:pos="5352"/>
          <w:tab w:val="left" w:pos="6821"/>
          <w:tab w:val="clear" w:pos="567"/>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系</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rPr>
        <w:t>（供应商名称）的法定代表人（单位负责人）。</w:t>
      </w:r>
    </w:p>
    <w:p w14:paraId="2F364C1B">
      <w:pPr>
        <w:pStyle w:val="9"/>
        <w:keepNext w:val="0"/>
        <w:keepLines w:val="0"/>
        <w:pageBreakBefore w:val="0"/>
        <w:widowControl w:val="0"/>
        <w:tabs>
          <w:tab w:val="left" w:pos="2412"/>
          <w:tab w:val="left" w:pos="3883"/>
          <w:tab w:val="left" w:pos="5352"/>
          <w:tab w:val="left" w:pos="6821"/>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0C400075">
      <w:pPr>
        <w:pStyle w:val="9"/>
        <w:keepNext w:val="0"/>
        <w:keepLines w:val="0"/>
        <w:pageBreakBefore w:val="0"/>
        <w:widowControl w:val="0"/>
        <w:tabs>
          <w:tab w:val="left" w:pos="2412"/>
          <w:tab w:val="left" w:pos="3883"/>
          <w:tab w:val="left" w:pos="5352"/>
          <w:tab w:val="left" w:pos="6821"/>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p>
    <w:p w14:paraId="06D61E16">
      <w:pPr>
        <w:pStyle w:val="9"/>
        <w:keepNext w:val="0"/>
        <w:keepLines w:val="0"/>
        <w:pageBreakBefore w:val="0"/>
        <w:widowControl w:val="0"/>
        <w:kinsoku/>
        <w:wordWrap w:val="0"/>
        <w:overflowPunct/>
        <w:topLinePunct/>
        <w:autoSpaceDE/>
        <w:autoSpaceDN/>
        <w:bidi w:val="0"/>
        <w:spacing w:line="360" w:lineRule="auto"/>
        <w:ind w:right="-46"/>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附：法定代表人（单位负责人）身份证等身份证明文件电子件：</w:t>
      </w:r>
    </w:p>
    <w:p w14:paraId="34E2AD11">
      <w:pPr>
        <w:pStyle w:val="9"/>
        <w:keepNext w:val="0"/>
        <w:keepLines w:val="0"/>
        <w:pageBreakBefore w:val="0"/>
        <w:widowControl w:val="0"/>
        <w:kinsoku/>
        <w:wordWrap w:val="0"/>
        <w:overflowPunct/>
        <w:topLinePunct/>
        <w:autoSpaceDE/>
        <w:autoSpaceDN/>
        <w:bidi w:val="0"/>
        <w:spacing w:line="360" w:lineRule="auto"/>
        <w:ind w:right="4305"/>
        <w:outlineLvl w:val="9"/>
        <w:rPr>
          <w:rFonts w:hint="eastAsia" w:asciiTheme="minorEastAsia" w:hAnsiTheme="minorEastAsia" w:eastAsiaTheme="minorEastAsia" w:cstheme="minorEastAsia"/>
          <w:b w:val="0"/>
          <w:bCs w:val="0"/>
          <w:snapToGrid/>
          <w:spacing w:val="0"/>
          <w:kern w:val="21"/>
          <w:sz w:val="24"/>
          <w:szCs w:val="24"/>
          <w:highlight w:val="none"/>
        </w:rPr>
      </w:pPr>
    </w:p>
    <w:p w14:paraId="4B3D33A4">
      <w:pPr>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61A9750B">
      <w:pPr>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75FA9287">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lang w:val="zh-CN"/>
        </w:rPr>
      </w:pPr>
      <w:r>
        <w:rPr>
          <w:rFonts w:hint="eastAsia" w:asciiTheme="minorEastAsia" w:hAnsiTheme="minorEastAsia" w:eastAsiaTheme="minorEastAsia" w:cstheme="minorEastAsia"/>
          <w:b w:val="0"/>
          <w:bCs w:val="0"/>
          <w:snapToGrid/>
          <w:color w:val="000000"/>
          <w:spacing w:val="0"/>
          <w:kern w:val="21"/>
          <w:sz w:val="24"/>
          <w:szCs w:val="24"/>
          <w:highlight w:val="none"/>
        </w:rPr>
        <w:t>供应商名称（加盖公章）</w:t>
      </w:r>
      <w:r>
        <w:rPr>
          <w:rFonts w:hint="eastAsia" w:asciiTheme="minorEastAsia" w:hAnsiTheme="minorEastAsia" w:eastAsiaTheme="minorEastAsia" w:cstheme="minorEastAsia"/>
          <w:b w:val="0"/>
          <w:bCs w:val="0"/>
          <w:snapToGrid/>
          <w:color w:val="000000"/>
          <w:spacing w:val="0"/>
          <w:kern w:val="21"/>
          <w:sz w:val="24"/>
          <w:szCs w:val="24"/>
          <w:highlight w:val="none"/>
          <w:lang w:val="zh-CN"/>
        </w:rPr>
        <w:t>：</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p>
    <w:p w14:paraId="470E2045">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法定代表人（单位负责人）（签字或签章）：</w:t>
      </w:r>
      <w:r>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eastAsia="zh-CN"/>
        </w:rPr>
        <w:t xml:space="preserve">         </w:t>
      </w:r>
    </w:p>
    <w:p w14:paraId="49BC08F8">
      <w:pPr>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lang w:val="zh-CN"/>
        </w:rPr>
      </w:pPr>
      <w:r>
        <w:rPr>
          <w:rFonts w:hint="eastAsia" w:asciiTheme="minorEastAsia" w:hAnsiTheme="minorEastAsia" w:eastAsiaTheme="minorEastAsia" w:cstheme="minorEastAsia"/>
          <w:b w:val="0"/>
          <w:bCs w:val="0"/>
          <w:snapToGrid/>
          <w:color w:val="000000"/>
          <w:spacing w:val="0"/>
          <w:kern w:val="21"/>
          <w:sz w:val="24"/>
          <w:szCs w:val="24"/>
          <w:highlight w:val="none"/>
        </w:rPr>
        <w:t>日期：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日</w:t>
      </w:r>
    </w:p>
    <w:p w14:paraId="49C3F578">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br w:type="page"/>
      </w:r>
    </w:p>
    <w:p w14:paraId="0B7312D2">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6报价一览表</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7C55E359">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4"/>
          <w:szCs w:val="24"/>
          <w:highlight w:val="none"/>
        </w:rPr>
      </w:pPr>
      <w:bookmarkStart w:id="712" w:name="_Toc226965831"/>
      <w:bookmarkStart w:id="713" w:name="_Toc305158826"/>
      <w:bookmarkStart w:id="714" w:name="_Toc226965748"/>
      <w:bookmarkStart w:id="715" w:name="_Toc264969248"/>
      <w:bookmarkStart w:id="716" w:name="_Toc305158900"/>
      <w:bookmarkStart w:id="717" w:name="_Toc195842923"/>
      <w:bookmarkStart w:id="718" w:name="_Toc265228396"/>
      <w:bookmarkStart w:id="719" w:name="_Toc226309802"/>
      <w:bookmarkStart w:id="720" w:name="_Toc164608672"/>
      <w:bookmarkStart w:id="721" w:name="_Toc164608827"/>
      <w:bookmarkStart w:id="722" w:name="_Toc226337254"/>
      <w:r>
        <w:rPr>
          <w:rFonts w:hint="eastAsia" w:asciiTheme="minorEastAsia" w:hAnsiTheme="minorEastAsia" w:eastAsiaTheme="minorEastAsia" w:cstheme="minorEastAsia"/>
          <w:b w:val="0"/>
          <w:bCs w:val="0"/>
          <w:snapToGrid/>
          <w:color w:val="000000"/>
          <w:spacing w:val="0"/>
          <w:kern w:val="21"/>
          <w:sz w:val="24"/>
          <w:szCs w:val="24"/>
          <w:highlight w:val="none"/>
        </w:rPr>
        <w:t>报价一览表</w:t>
      </w:r>
      <w:bookmarkEnd w:id="712"/>
      <w:bookmarkEnd w:id="713"/>
      <w:bookmarkEnd w:id="714"/>
      <w:bookmarkEnd w:id="715"/>
      <w:bookmarkEnd w:id="716"/>
      <w:bookmarkEnd w:id="717"/>
      <w:bookmarkEnd w:id="718"/>
      <w:bookmarkEnd w:id="719"/>
      <w:bookmarkEnd w:id="720"/>
      <w:bookmarkEnd w:id="721"/>
      <w:bookmarkEnd w:id="722"/>
    </w:p>
    <w:p w14:paraId="070B37B7">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5998F817">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rPr>
      </w:pPr>
      <w:r>
        <w:rPr>
          <w:rFonts w:hint="eastAsia" w:asciiTheme="minorEastAsia" w:hAnsiTheme="minorEastAsia" w:eastAsiaTheme="minorEastAsia" w:cstheme="minorEastAsia"/>
          <w:b w:val="0"/>
          <w:bCs w:val="0"/>
          <w:snapToGrid/>
          <w:color w:val="000000"/>
          <w:spacing w:val="0"/>
          <w:kern w:val="21"/>
          <w:sz w:val="24"/>
          <w:szCs w:val="24"/>
          <w:highlight w:val="none"/>
        </w:rPr>
        <w:t>项目编号：</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 xml:space="preserve"> 项目名称：</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u w:val="none"/>
          <w:lang w:val="en-US" w:eastAsia="zh-CN"/>
        </w:rPr>
        <w:t xml:space="preserve">  </w:t>
      </w:r>
      <w:r>
        <w:rPr>
          <w:rFonts w:hint="eastAsia" w:asciiTheme="minorEastAsia" w:hAnsiTheme="minorEastAsia" w:eastAsiaTheme="minorEastAsia" w:cstheme="minorEastAsia"/>
          <w:b w:val="0"/>
          <w:bCs w:val="0"/>
          <w:snapToGrid/>
          <w:color w:val="000000"/>
          <w:spacing w:val="0"/>
          <w:w w:val="100"/>
          <w:kern w:val="21"/>
          <w:sz w:val="24"/>
          <w:szCs w:val="24"/>
          <w:highlight w:val="none"/>
        </w:rPr>
        <w:t>报价单位：</w:t>
      </w:r>
      <w:r>
        <w:rPr>
          <w:rFonts w:hint="eastAsia" w:asciiTheme="minorEastAsia" w:hAnsiTheme="minorEastAsia" w:eastAsiaTheme="minorEastAsia" w:cstheme="minorEastAsia"/>
          <w:b w:val="0"/>
          <w:bCs w:val="0"/>
          <w:snapToGrid/>
          <w:color w:val="000000"/>
          <w:spacing w:val="0"/>
          <w:w w:val="100"/>
          <w:kern w:val="21"/>
          <w:sz w:val="24"/>
          <w:szCs w:val="24"/>
          <w:highlight w:val="none"/>
          <w:u w:val="single"/>
        </w:rPr>
        <w:t>人民币元</w:t>
      </w:r>
    </w:p>
    <w:tbl>
      <w:tblPr>
        <w:tblStyle w:val="23"/>
        <w:tblW w:w="9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3"/>
        <w:gridCol w:w="2408"/>
        <w:gridCol w:w="1626"/>
        <w:gridCol w:w="1626"/>
        <w:gridCol w:w="1591"/>
        <w:gridCol w:w="1150"/>
        <w:gridCol w:w="690"/>
      </w:tblGrid>
      <w:tr w14:paraId="5314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3" w:type="dxa"/>
            <w:vMerge w:val="restart"/>
            <w:tcBorders>
              <w:top w:val="single" w:color="auto" w:sz="4" w:space="0"/>
              <w:left w:val="single" w:color="auto" w:sz="4" w:space="0"/>
              <w:bottom w:val="single" w:color="auto" w:sz="4" w:space="0"/>
              <w:right w:val="single" w:color="auto" w:sz="4" w:space="0"/>
            </w:tcBorders>
            <w:vAlign w:val="center"/>
          </w:tcPr>
          <w:p w14:paraId="31A902A2">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序号</w:t>
            </w:r>
          </w:p>
        </w:tc>
        <w:tc>
          <w:tcPr>
            <w:tcW w:w="2408" w:type="dxa"/>
            <w:vMerge w:val="restart"/>
            <w:tcBorders>
              <w:top w:val="single" w:color="auto" w:sz="4" w:space="0"/>
              <w:left w:val="single" w:color="auto" w:sz="4" w:space="0"/>
              <w:bottom w:val="single" w:color="auto" w:sz="4" w:space="0"/>
              <w:right w:val="single" w:color="auto" w:sz="4" w:space="0"/>
            </w:tcBorders>
            <w:vAlign w:val="center"/>
          </w:tcPr>
          <w:p w14:paraId="1110F86E">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供应商名称</w:t>
            </w:r>
          </w:p>
        </w:tc>
        <w:tc>
          <w:tcPr>
            <w:tcW w:w="3252" w:type="dxa"/>
            <w:gridSpan w:val="2"/>
            <w:tcBorders>
              <w:top w:val="single" w:color="auto" w:sz="4" w:space="0"/>
              <w:left w:val="single" w:color="auto" w:sz="4" w:space="0"/>
              <w:bottom w:val="single" w:color="auto" w:sz="4" w:space="0"/>
              <w:right w:val="single" w:color="auto" w:sz="4" w:space="0"/>
            </w:tcBorders>
            <w:vAlign w:val="center"/>
          </w:tcPr>
          <w:p w14:paraId="6AE18CE2">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rPr>
              <w:t>报价</w:t>
            </w: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lang w:val="en-US" w:eastAsia="zh-CN"/>
              </w:rPr>
              <w:t>元</w:t>
            </w:r>
            <w:r>
              <w:rPr>
                <w:rFonts w:hint="eastAsia" w:asciiTheme="minorEastAsia" w:hAnsiTheme="minorEastAsia" w:eastAsiaTheme="minorEastAsia" w:cstheme="minorEastAsia"/>
                <w:b w:val="0"/>
                <w:bCs w:val="0"/>
                <w:snapToGrid/>
                <w:spacing w:val="0"/>
                <w:kern w:val="21"/>
                <w:sz w:val="24"/>
                <w:szCs w:val="24"/>
                <w:highlight w:val="none"/>
                <w:lang w:eastAsia="zh-CN"/>
              </w:rPr>
              <w:t>）</w:t>
            </w:r>
          </w:p>
        </w:tc>
        <w:tc>
          <w:tcPr>
            <w:tcW w:w="1591" w:type="dxa"/>
            <w:vMerge w:val="restart"/>
            <w:tcBorders>
              <w:top w:val="single" w:color="auto" w:sz="4" w:space="0"/>
              <w:left w:val="single" w:color="auto" w:sz="4" w:space="0"/>
              <w:right w:val="single" w:color="auto" w:sz="4" w:space="0"/>
            </w:tcBorders>
            <w:vAlign w:val="center"/>
          </w:tcPr>
          <w:p w14:paraId="1A9537FD">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合同履行期限</w:t>
            </w:r>
          </w:p>
        </w:tc>
        <w:tc>
          <w:tcPr>
            <w:tcW w:w="1150" w:type="dxa"/>
            <w:vMerge w:val="restart"/>
            <w:tcBorders>
              <w:top w:val="single" w:color="auto" w:sz="4" w:space="0"/>
              <w:left w:val="single" w:color="auto" w:sz="4" w:space="0"/>
              <w:right w:val="single" w:color="auto" w:sz="4" w:space="0"/>
            </w:tcBorders>
            <w:vAlign w:val="center"/>
          </w:tcPr>
          <w:p w14:paraId="3CAD0196">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服务地点</w:t>
            </w:r>
          </w:p>
        </w:tc>
        <w:tc>
          <w:tcPr>
            <w:tcW w:w="690" w:type="dxa"/>
            <w:vMerge w:val="restart"/>
            <w:tcBorders>
              <w:top w:val="single" w:color="auto" w:sz="4" w:space="0"/>
              <w:left w:val="single" w:color="auto" w:sz="4" w:space="0"/>
              <w:right w:val="single" w:color="auto" w:sz="4" w:space="0"/>
            </w:tcBorders>
            <w:vAlign w:val="center"/>
          </w:tcPr>
          <w:p w14:paraId="178BEA04">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rPr>
              <w:t>备注</w:t>
            </w:r>
          </w:p>
        </w:tc>
      </w:tr>
      <w:tr w14:paraId="4543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6DC9B589">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2408" w:type="dxa"/>
            <w:vMerge w:val="continue"/>
            <w:tcBorders>
              <w:top w:val="single" w:color="auto" w:sz="4" w:space="0"/>
              <w:left w:val="single" w:color="auto" w:sz="4" w:space="0"/>
              <w:bottom w:val="single" w:color="auto" w:sz="4" w:space="0"/>
              <w:right w:val="single" w:color="auto" w:sz="4" w:space="0"/>
            </w:tcBorders>
            <w:vAlign w:val="center"/>
          </w:tcPr>
          <w:p w14:paraId="0E1E97BF">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626" w:type="dxa"/>
            <w:tcBorders>
              <w:top w:val="single" w:color="auto" w:sz="4" w:space="0"/>
              <w:left w:val="single" w:color="auto" w:sz="4" w:space="0"/>
              <w:bottom w:val="single" w:color="auto" w:sz="4" w:space="0"/>
              <w:right w:val="single" w:color="auto" w:sz="4" w:space="0"/>
            </w:tcBorders>
            <w:vAlign w:val="center"/>
          </w:tcPr>
          <w:p w14:paraId="426DADE0">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大写</w:t>
            </w:r>
          </w:p>
        </w:tc>
        <w:tc>
          <w:tcPr>
            <w:tcW w:w="1626" w:type="dxa"/>
            <w:tcBorders>
              <w:top w:val="single" w:color="auto" w:sz="4" w:space="0"/>
              <w:left w:val="single" w:color="auto" w:sz="4" w:space="0"/>
              <w:bottom w:val="single" w:color="auto" w:sz="4" w:space="0"/>
              <w:right w:val="single" w:color="auto" w:sz="4" w:space="0"/>
            </w:tcBorders>
            <w:vAlign w:val="center"/>
          </w:tcPr>
          <w:p w14:paraId="3EAA92BB">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小写</w:t>
            </w:r>
          </w:p>
        </w:tc>
        <w:tc>
          <w:tcPr>
            <w:tcW w:w="1591" w:type="dxa"/>
            <w:vMerge w:val="continue"/>
            <w:tcBorders>
              <w:left w:val="single" w:color="auto" w:sz="4" w:space="0"/>
              <w:bottom w:val="single" w:color="auto" w:sz="4" w:space="0"/>
              <w:right w:val="single" w:color="auto" w:sz="4" w:space="0"/>
            </w:tcBorders>
            <w:vAlign w:val="center"/>
          </w:tcPr>
          <w:p w14:paraId="5135A89E">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150" w:type="dxa"/>
            <w:vMerge w:val="continue"/>
            <w:tcBorders>
              <w:left w:val="single" w:color="auto" w:sz="4" w:space="0"/>
              <w:bottom w:val="single" w:color="auto" w:sz="4" w:space="0"/>
              <w:right w:val="single" w:color="auto" w:sz="4" w:space="0"/>
            </w:tcBorders>
            <w:vAlign w:val="center"/>
          </w:tcPr>
          <w:p w14:paraId="2BFE7170">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690" w:type="dxa"/>
            <w:vMerge w:val="continue"/>
            <w:tcBorders>
              <w:left w:val="single" w:color="auto" w:sz="4" w:space="0"/>
              <w:bottom w:val="single" w:color="auto" w:sz="4" w:space="0"/>
              <w:right w:val="single" w:color="auto" w:sz="4" w:space="0"/>
            </w:tcBorders>
            <w:vAlign w:val="center"/>
          </w:tcPr>
          <w:p w14:paraId="12D3A38A">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r>
      <w:tr w14:paraId="28F1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7" w:hRule="atLeast"/>
          <w:jc w:val="center"/>
        </w:trPr>
        <w:tc>
          <w:tcPr>
            <w:tcW w:w="653" w:type="dxa"/>
            <w:tcBorders>
              <w:top w:val="single" w:color="auto" w:sz="4" w:space="0"/>
              <w:left w:val="single" w:color="auto" w:sz="4" w:space="0"/>
              <w:bottom w:val="single" w:color="auto" w:sz="4" w:space="0"/>
              <w:right w:val="single" w:color="auto" w:sz="4" w:space="0"/>
            </w:tcBorders>
            <w:vAlign w:val="center"/>
          </w:tcPr>
          <w:p w14:paraId="12147455">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2408" w:type="dxa"/>
            <w:tcBorders>
              <w:top w:val="single" w:color="auto" w:sz="4" w:space="0"/>
              <w:left w:val="single" w:color="auto" w:sz="4" w:space="0"/>
              <w:bottom w:val="single" w:color="auto" w:sz="4" w:space="0"/>
              <w:right w:val="single" w:color="auto" w:sz="4" w:space="0"/>
            </w:tcBorders>
            <w:vAlign w:val="center"/>
          </w:tcPr>
          <w:p w14:paraId="56399562">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626" w:type="dxa"/>
            <w:tcBorders>
              <w:top w:val="single" w:color="auto" w:sz="4" w:space="0"/>
              <w:left w:val="single" w:color="auto" w:sz="4" w:space="0"/>
              <w:bottom w:val="single" w:color="auto" w:sz="4" w:space="0"/>
              <w:right w:val="single" w:color="auto" w:sz="4" w:space="0"/>
            </w:tcBorders>
            <w:vAlign w:val="center"/>
          </w:tcPr>
          <w:p w14:paraId="0533DC1C">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626" w:type="dxa"/>
            <w:tcBorders>
              <w:top w:val="single" w:color="auto" w:sz="4" w:space="0"/>
              <w:left w:val="single" w:color="auto" w:sz="4" w:space="0"/>
              <w:bottom w:val="single" w:color="auto" w:sz="4" w:space="0"/>
              <w:right w:val="single" w:color="auto" w:sz="4" w:space="0"/>
            </w:tcBorders>
            <w:vAlign w:val="center"/>
          </w:tcPr>
          <w:p w14:paraId="2BD94808">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701B5C02">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150" w:type="dxa"/>
            <w:tcBorders>
              <w:top w:val="single" w:color="auto" w:sz="4" w:space="0"/>
              <w:left w:val="single" w:color="auto" w:sz="4" w:space="0"/>
              <w:bottom w:val="single" w:color="auto" w:sz="4" w:space="0"/>
              <w:right w:val="single" w:color="auto" w:sz="4" w:space="0"/>
            </w:tcBorders>
            <w:vAlign w:val="center"/>
          </w:tcPr>
          <w:p w14:paraId="51C0FBEE">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325B8C57">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r>
    </w:tbl>
    <w:p w14:paraId="3D2ACA46">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注：此表中，每包的报价应和《分项报价表》中的总价相一致。</w:t>
      </w:r>
    </w:p>
    <w:p w14:paraId="3C029B45">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bookmarkStart w:id="723" w:name="_Toc226337255"/>
      <w:bookmarkStart w:id="724" w:name="_Toc305158827"/>
      <w:bookmarkStart w:id="725" w:name="_Toc150774763"/>
      <w:bookmarkStart w:id="726" w:name="_Toc195842924"/>
      <w:bookmarkStart w:id="727" w:name="_Toc305158901"/>
      <w:bookmarkStart w:id="728" w:name="_Toc150480796"/>
      <w:bookmarkStart w:id="729" w:name="_Toc142311060"/>
      <w:bookmarkStart w:id="730" w:name="_Toc226965749"/>
      <w:bookmarkStart w:id="731" w:name="_Toc264969249"/>
      <w:bookmarkStart w:id="732" w:name="_Toc226965832"/>
      <w:bookmarkStart w:id="733" w:name="_Toc226309803"/>
      <w:bookmarkStart w:id="734" w:name="_Toc265228397"/>
      <w:bookmarkStart w:id="735" w:name="_Toc127151558"/>
    </w:p>
    <w:p w14:paraId="3EEF608A">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3637BA19">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4B3CAB58">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rPr>
        <w:t>供应商名称（加盖公章）</w:t>
      </w:r>
      <w:r>
        <w:rPr>
          <w:rFonts w:hint="eastAsia" w:asciiTheme="minorEastAsia" w:hAnsiTheme="minorEastAsia" w:eastAsiaTheme="minorEastAsia" w:cstheme="minorEastAsia"/>
          <w:b w:val="0"/>
          <w:bCs w:val="0"/>
          <w:snapToGrid/>
          <w:color w:val="000000"/>
          <w:spacing w:val="0"/>
          <w:kern w:val="21"/>
          <w:sz w:val="24"/>
          <w:szCs w:val="24"/>
          <w:highlight w:val="none"/>
          <w:lang w:val="zh-CN"/>
        </w:rPr>
        <w:t>：</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7AB06691">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日期：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日</w:t>
      </w:r>
    </w:p>
    <w:p w14:paraId="54D9A0D4">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p>
    <w:p w14:paraId="1CD20456">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7分项报价表</w:t>
      </w:r>
      <w:bookmarkEnd w:id="723"/>
      <w:bookmarkEnd w:id="724"/>
      <w:bookmarkEnd w:id="725"/>
      <w:bookmarkEnd w:id="726"/>
      <w:bookmarkEnd w:id="727"/>
      <w:bookmarkEnd w:id="728"/>
      <w:bookmarkEnd w:id="729"/>
      <w:bookmarkEnd w:id="730"/>
      <w:bookmarkEnd w:id="731"/>
      <w:bookmarkEnd w:id="732"/>
      <w:bookmarkEnd w:id="733"/>
      <w:bookmarkEnd w:id="734"/>
      <w:bookmarkEnd w:id="735"/>
    </w:p>
    <w:p w14:paraId="110D5B4D">
      <w:pPr>
        <w:keepNext w:val="0"/>
        <w:keepLines w:val="0"/>
        <w:pageBreakBefore w:val="0"/>
        <w:widowControl w:val="0"/>
        <w:tabs>
          <w:tab w:val="left" w:pos="1800"/>
          <w:tab w:val="left" w:pos="5580"/>
        </w:tabs>
        <w:kinsoku/>
        <w:wordWrap w:val="0"/>
        <w:overflowPunct/>
        <w:topLinePunct/>
        <w:autoSpaceDE/>
        <w:autoSpaceDN/>
        <w:bidi w:val="0"/>
        <w:spacing w:line="360" w:lineRule="auto"/>
        <w:ind w:firstLine="240" w:firstLineChars="100"/>
        <w:jc w:val="center"/>
        <w:outlineLvl w:val="9"/>
        <w:rPr>
          <w:rFonts w:hint="eastAsia" w:asciiTheme="minorEastAsia" w:hAnsiTheme="minorEastAsia" w:eastAsiaTheme="minorEastAsia" w:cstheme="minorEastAsia"/>
          <w:b w:val="0"/>
          <w:bCs w:val="0"/>
          <w:snapToGrid/>
          <w:color w:val="000000"/>
          <w:spacing w:val="0"/>
          <w:kern w:val="21"/>
          <w:sz w:val="24"/>
          <w:szCs w:val="24"/>
          <w:highlight w:val="none"/>
        </w:rPr>
      </w:pPr>
      <w:bookmarkStart w:id="736" w:name="_Toc127151562"/>
      <w:bookmarkStart w:id="737" w:name="_Toc150774765"/>
      <w:bookmarkStart w:id="738" w:name="_Toc150480798"/>
      <w:bookmarkStart w:id="739" w:name="_Toc142311062"/>
      <w:bookmarkStart w:id="740" w:name="_Toc226309806"/>
      <w:bookmarkStart w:id="741" w:name="_Toc226965752"/>
      <w:bookmarkStart w:id="742" w:name="_Toc305158904"/>
      <w:bookmarkStart w:id="743" w:name="_Toc305158830"/>
      <w:bookmarkStart w:id="744" w:name="_Toc195842927"/>
      <w:bookmarkStart w:id="745" w:name="_Toc226965835"/>
      <w:bookmarkStart w:id="746" w:name="_Toc226337258"/>
      <w:bookmarkStart w:id="747" w:name="_Toc264969252"/>
      <w:bookmarkStart w:id="748" w:name="_Toc265228400"/>
      <w:bookmarkStart w:id="749" w:name="_Toc150480797"/>
      <w:bookmarkStart w:id="750" w:name="_Toc226965834"/>
      <w:bookmarkStart w:id="751" w:name="_Toc305158903"/>
      <w:bookmarkStart w:id="752" w:name="_Toc226965751"/>
      <w:bookmarkStart w:id="753" w:name="_Toc150774764"/>
      <w:bookmarkStart w:id="754" w:name="_Toc127151561"/>
      <w:bookmarkStart w:id="755" w:name="_Toc226337257"/>
      <w:bookmarkStart w:id="756" w:name="_Toc195842926"/>
      <w:bookmarkStart w:id="757" w:name="_Toc142311061"/>
      <w:bookmarkStart w:id="758" w:name="_Toc265228399"/>
      <w:bookmarkStart w:id="759" w:name="_Toc264969251"/>
      <w:bookmarkStart w:id="760" w:name="_Toc305158829"/>
      <w:bookmarkStart w:id="761" w:name="_Toc226309805"/>
      <w:r>
        <w:rPr>
          <w:rFonts w:hint="eastAsia" w:asciiTheme="minorEastAsia" w:hAnsiTheme="minorEastAsia" w:eastAsiaTheme="minorEastAsia" w:cstheme="minorEastAsia"/>
          <w:b w:val="0"/>
          <w:bCs w:val="0"/>
          <w:snapToGrid/>
          <w:color w:val="000000"/>
          <w:spacing w:val="0"/>
          <w:kern w:val="21"/>
          <w:sz w:val="24"/>
          <w:szCs w:val="24"/>
          <w:highlight w:val="none"/>
        </w:rPr>
        <w:t>分项报价表</w:t>
      </w:r>
    </w:p>
    <w:p w14:paraId="594401AC">
      <w:pPr>
        <w:keepNext w:val="0"/>
        <w:keepLines w:val="0"/>
        <w:pageBreakBefore w:val="0"/>
        <w:widowControl w:val="0"/>
        <w:tabs>
          <w:tab w:val="left" w:pos="1800"/>
          <w:tab w:val="left" w:pos="5580"/>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项目编号：</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 xml:space="preserve"> 项目名称：</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u w:val="none"/>
          <w:lang w:val="en-US" w:eastAsia="zh-CN"/>
        </w:rPr>
        <w:t xml:space="preserve"> </w:t>
      </w:r>
      <w:r>
        <w:rPr>
          <w:rFonts w:hint="eastAsia" w:asciiTheme="minorEastAsia" w:hAnsiTheme="minorEastAsia" w:eastAsiaTheme="minorEastAsia" w:cstheme="minorEastAsia"/>
          <w:b w:val="0"/>
          <w:bCs w:val="0"/>
          <w:snapToGrid/>
          <w:color w:val="000000"/>
          <w:spacing w:val="0"/>
          <w:w w:val="100"/>
          <w:kern w:val="21"/>
          <w:sz w:val="24"/>
          <w:szCs w:val="24"/>
          <w:highlight w:val="none"/>
        </w:rPr>
        <w:t>报价单位：</w:t>
      </w:r>
      <w:r>
        <w:rPr>
          <w:rFonts w:hint="eastAsia" w:asciiTheme="minorEastAsia" w:hAnsiTheme="minorEastAsia" w:eastAsiaTheme="minorEastAsia" w:cstheme="minorEastAsia"/>
          <w:b w:val="0"/>
          <w:bCs w:val="0"/>
          <w:snapToGrid/>
          <w:color w:val="000000"/>
          <w:spacing w:val="0"/>
          <w:w w:val="100"/>
          <w:kern w:val="21"/>
          <w:sz w:val="24"/>
          <w:szCs w:val="24"/>
          <w:highlight w:val="none"/>
          <w:u w:val="single"/>
        </w:rPr>
        <w:t>人民币元</w:t>
      </w:r>
    </w:p>
    <w:tbl>
      <w:tblPr>
        <w:tblStyle w:val="23"/>
        <w:tblW w:w="10737" w:type="dxa"/>
        <w:jc w:val="center"/>
        <w:tblLayout w:type="fixed"/>
        <w:tblCellMar>
          <w:top w:w="0" w:type="dxa"/>
          <w:left w:w="108" w:type="dxa"/>
          <w:bottom w:w="0" w:type="dxa"/>
          <w:right w:w="108" w:type="dxa"/>
        </w:tblCellMar>
      </w:tblPr>
      <w:tblGrid>
        <w:gridCol w:w="958"/>
        <w:gridCol w:w="4041"/>
        <w:gridCol w:w="1036"/>
        <w:gridCol w:w="1150"/>
        <w:gridCol w:w="1302"/>
        <w:gridCol w:w="1301"/>
        <w:gridCol w:w="949"/>
      </w:tblGrid>
      <w:tr w14:paraId="6C579726">
        <w:tblPrEx>
          <w:tblCellMar>
            <w:top w:w="0" w:type="dxa"/>
            <w:left w:w="108" w:type="dxa"/>
            <w:bottom w:w="0" w:type="dxa"/>
            <w:right w:w="108" w:type="dxa"/>
          </w:tblCellMar>
        </w:tblPrEx>
        <w:trPr>
          <w:trHeight w:val="464"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BA9033">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r>
              <w:rPr>
                <w:rFonts w:hint="eastAsia" w:asciiTheme="minorEastAsia" w:hAnsiTheme="minorEastAsia" w:eastAsiaTheme="minorEastAsia" w:cstheme="minorEastAsia"/>
                <w:b w:val="0"/>
                <w:bCs w:val="0"/>
                <w:snapToGrid/>
                <w:color w:val="auto"/>
                <w:spacing w:val="0"/>
                <w:w w:val="100"/>
                <w:kern w:val="21"/>
                <w:sz w:val="24"/>
                <w:szCs w:val="24"/>
                <w:highlight w:val="none"/>
              </w:rPr>
              <w:t>序号</w:t>
            </w:r>
          </w:p>
        </w:tc>
        <w:tc>
          <w:tcPr>
            <w:tcW w:w="4041" w:type="dxa"/>
            <w:tcBorders>
              <w:top w:val="single" w:color="auto" w:sz="4" w:space="0"/>
              <w:left w:val="nil"/>
              <w:bottom w:val="single" w:color="auto" w:sz="4" w:space="0"/>
              <w:right w:val="single" w:color="auto" w:sz="4" w:space="0"/>
            </w:tcBorders>
            <w:shd w:val="clear" w:color="auto" w:fill="auto"/>
            <w:noWrap/>
            <w:vAlign w:val="center"/>
          </w:tcPr>
          <w:p w14:paraId="75900A9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分项</w:t>
            </w:r>
            <w:r>
              <w:rPr>
                <w:rFonts w:hint="eastAsia" w:asciiTheme="minorEastAsia" w:hAnsiTheme="minorEastAsia" w:eastAsiaTheme="minorEastAsia" w:cstheme="minorEastAsia"/>
                <w:b w:val="0"/>
                <w:bCs w:val="0"/>
                <w:snapToGrid/>
                <w:color w:val="auto"/>
                <w:spacing w:val="0"/>
                <w:w w:val="100"/>
                <w:kern w:val="21"/>
                <w:sz w:val="24"/>
                <w:szCs w:val="24"/>
                <w:highlight w:val="none"/>
              </w:rPr>
              <w:t>名称</w:t>
            </w:r>
          </w:p>
        </w:tc>
        <w:tc>
          <w:tcPr>
            <w:tcW w:w="1036" w:type="dxa"/>
            <w:tcBorders>
              <w:top w:val="single" w:color="auto" w:sz="4" w:space="0"/>
              <w:left w:val="nil"/>
              <w:bottom w:val="single" w:color="auto" w:sz="4" w:space="0"/>
              <w:right w:val="single" w:color="auto" w:sz="4" w:space="0"/>
            </w:tcBorders>
            <w:shd w:val="clear" w:color="auto" w:fill="auto"/>
            <w:noWrap w:val="0"/>
            <w:vAlign w:val="center"/>
          </w:tcPr>
          <w:p w14:paraId="74E1ED4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r>
              <w:rPr>
                <w:rFonts w:hint="eastAsia" w:asciiTheme="minorEastAsia" w:hAnsiTheme="minorEastAsia" w:eastAsiaTheme="minorEastAsia" w:cstheme="minorEastAsia"/>
                <w:b w:val="0"/>
                <w:bCs w:val="0"/>
                <w:snapToGrid/>
                <w:color w:val="auto"/>
                <w:spacing w:val="0"/>
                <w:w w:val="100"/>
                <w:kern w:val="21"/>
                <w:sz w:val="24"/>
                <w:szCs w:val="24"/>
                <w:highlight w:val="none"/>
              </w:rPr>
              <w:t>单位</w:t>
            </w:r>
          </w:p>
        </w:tc>
        <w:tc>
          <w:tcPr>
            <w:tcW w:w="1150" w:type="dxa"/>
            <w:tcBorders>
              <w:top w:val="single" w:color="auto" w:sz="4" w:space="0"/>
              <w:left w:val="nil"/>
              <w:bottom w:val="single" w:color="auto" w:sz="4" w:space="0"/>
              <w:right w:val="single" w:color="auto" w:sz="4" w:space="0"/>
            </w:tcBorders>
            <w:shd w:val="clear" w:color="auto" w:fill="auto"/>
            <w:noWrap w:val="0"/>
            <w:vAlign w:val="center"/>
          </w:tcPr>
          <w:p w14:paraId="66A95831">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r>
              <w:rPr>
                <w:rFonts w:hint="eastAsia" w:asciiTheme="minorEastAsia" w:hAnsiTheme="minorEastAsia" w:eastAsiaTheme="minorEastAsia" w:cstheme="minorEastAsia"/>
                <w:b w:val="0"/>
                <w:bCs w:val="0"/>
                <w:snapToGrid/>
                <w:color w:val="auto"/>
                <w:spacing w:val="0"/>
                <w:w w:val="100"/>
                <w:kern w:val="21"/>
                <w:sz w:val="24"/>
                <w:szCs w:val="24"/>
                <w:highlight w:val="none"/>
              </w:rPr>
              <w:t>数量</w:t>
            </w:r>
          </w:p>
        </w:tc>
        <w:tc>
          <w:tcPr>
            <w:tcW w:w="1302" w:type="dxa"/>
            <w:tcBorders>
              <w:top w:val="single" w:color="auto" w:sz="4" w:space="0"/>
              <w:left w:val="nil"/>
              <w:bottom w:val="single" w:color="auto" w:sz="4" w:space="0"/>
              <w:right w:val="single" w:color="auto" w:sz="4" w:space="0"/>
            </w:tcBorders>
            <w:shd w:val="clear" w:color="auto" w:fill="auto"/>
            <w:noWrap w:val="0"/>
            <w:vAlign w:val="center"/>
          </w:tcPr>
          <w:p w14:paraId="12EBE3C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r>
              <w:rPr>
                <w:rFonts w:hint="eastAsia" w:asciiTheme="minorEastAsia" w:hAnsiTheme="minorEastAsia" w:eastAsiaTheme="minorEastAsia" w:cstheme="minorEastAsia"/>
                <w:b w:val="0"/>
                <w:bCs w:val="0"/>
                <w:snapToGrid/>
                <w:color w:val="auto"/>
                <w:spacing w:val="0"/>
                <w:w w:val="100"/>
                <w:kern w:val="21"/>
                <w:sz w:val="24"/>
                <w:szCs w:val="24"/>
                <w:highlight w:val="none"/>
              </w:rPr>
              <w:t>单价（元）</w:t>
            </w:r>
          </w:p>
        </w:tc>
        <w:tc>
          <w:tcPr>
            <w:tcW w:w="1301" w:type="dxa"/>
            <w:tcBorders>
              <w:top w:val="single" w:color="auto" w:sz="4" w:space="0"/>
              <w:left w:val="nil"/>
              <w:bottom w:val="single" w:color="auto" w:sz="4" w:space="0"/>
              <w:right w:val="single" w:color="auto" w:sz="4" w:space="0"/>
            </w:tcBorders>
            <w:shd w:val="clear" w:color="auto" w:fill="auto"/>
            <w:noWrap/>
            <w:vAlign w:val="center"/>
          </w:tcPr>
          <w:p w14:paraId="43F55F9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合计（元）</w:t>
            </w:r>
          </w:p>
        </w:tc>
        <w:tc>
          <w:tcPr>
            <w:tcW w:w="949" w:type="dxa"/>
            <w:tcBorders>
              <w:top w:val="single" w:color="auto" w:sz="4" w:space="0"/>
              <w:left w:val="nil"/>
              <w:bottom w:val="single" w:color="auto" w:sz="4" w:space="0"/>
              <w:right w:val="single" w:color="auto" w:sz="4" w:space="0"/>
            </w:tcBorders>
            <w:shd w:val="clear" w:color="auto" w:fill="auto"/>
            <w:noWrap/>
            <w:vAlign w:val="center"/>
          </w:tcPr>
          <w:p w14:paraId="6D1B5BE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r>
              <w:rPr>
                <w:rFonts w:hint="eastAsia" w:asciiTheme="minorEastAsia" w:hAnsiTheme="minorEastAsia" w:eastAsiaTheme="minorEastAsia" w:cstheme="minorEastAsia"/>
                <w:b w:val="0"/>
                <w:bCs w:val="0"/>
                <w:snapToGrid/>
                <w:color w:val="auto"/>
                <w:spacing w:val="0"/>
                <w:w w:val="100"/>
                <w:kern w:val="21"/>
                <w:sz w:val="24"/>
                <w:szCs w:val="24"/>
                <w:highlight w:val="none"/>
              </w:rPr>
              <w:t>备注</w:t>
            </w:r>
          </w:p>
        </w:tc>
      </w:tr>
      <w:tr w14:paraId="545D2732">
        <w:tblPrEx>
          <w:tblCellMar>
            <w:top w:w="0" w:type="dxa"/>
            <w:left w:w="108" w:type="dxa"/>
            <w:bottom w:w="0" w:type="dxa"/>
            <w:right w:w="108" w:type="dxa"/>
          </w:tblCellMar>
        </w:tblPrEx>
        <w:trPr>
          <w:trHeight w:val="565" w:hRule="atLeast"/>
          <w:jc w:val="center"/>
        </w:trPr>
        <w:tc>
          <w:tcPr>
            <w:tcW w:w="10737" w:type="dxa"/>
            <w:gridSpan w:val="7"/>
            <w:tcBorders>
              <w:top w:val="nil"/>
              <w:left w:val="single" w:color="auto" w:sz="4" w:space="0"/>
              <w:bottom w:val="single" w:color="auto" w:sz="4" w:space="0"/>
              <w:right w:val="single" w:color="auto" w:sz="4" w:space="0"/>
            </w:tcBorders>
            <w:shd w:val="clear" w:color="auto" w:fill="auto"/>
            <w:noWrap/>
            <w:vAlign w:val="center"/>
          </w:tcPr>
          <w:p w14:paraId="674B1094">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一、重点道路扬尘治理</w:t>
            </w:r>
          </w:p>
        </w:tc>
      </w:tr>
      <w:tr w14:paraId="0FC4DCFF">
        <w:tblPrEx>
          <w:tblCellMar>
            <w:top w:w="0" w:type="dxa"/>
            <w:left w:w="108" w:type="dxa"/>
            <w:bottom w:w="0" w:type="dxa"/>
            <w:right w:w="108" w:type="dxa"/>
          </w:tblCellMar>
        </w:tblPrEx>
        <w:trPr>
          <w:trHeight w:val="565" w:hRule="atLeast"/>
          <w:jc w:val="center"/>
        </w:trPr>
        <w:tc>
          <w:tcPr>
            <w:tcW w:w="958" w:type="dxa"/>
            <w:tcBorders>
              <w:top w:val="nil"/>
              <w:left w:val="single" w:color="auto" w:sz="4" w:space="0"/>
              <w:bottom w:val="single" w:color="auto" w:sz="4" w:space="0"/>
              <w:right w:val="single" w:color="auto" w:sz="4" w:space="0"/>
            </w:tcBorders>
            <w:shd w:val="clear" w:color="auto" w:fill="auto"/>
            <w:noWrap/>
            <w:vAlign w:val="center"/>
          </w:tcPr>
          <w:p w14:paraId="5345259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1.1</w:t>
            </w:r>
          </w:p>
        </w:tc>
        <w:tc>
          <w:tcPr>
            <w:tcW w:w="4041" w:type="dxa"/>
            <w:tcBorders>
              <w:top w:val="single" w:color="auto" w:sz="4" w:space="0"/>
              <w:left w:val="nil"/>
              <w:bottom w:val="single" w:color="auto" w:sz="4" w:space="0"/>
              <w:right w:val="single" w:color="000000" w:sz="4" w:space="0"/>
            </w:tcBorders>
            <w:shd w:val="clear" w:color="auto" w:fill="auto"/>
            <w:noWrap/>
            <w:vAlign w:val="center"/>
          </w:tcPr>
          <w:p w14:paraId="5ACDF79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洗扫车</w:t>
            </w:r>
          </w:p>
        </w:tc>
        <w:tc>
          <w:tcPr>
            <w:tcW w:w="1036" w:type="dxa"/>
            <w:tcBorders>
              <w:top w:val="nil"/>
              <w:left w:val="nil"/>
              <w:bottom w:val="single" w:color="auto" w:sz="4" w:space="0"/>
              <w:right w:val="single" w:color="auto" w:sz="4" w:space="0"/>
            </w:tcBorders>
            <w:shd w:val="clear" w:color="auto" w:fill="auto"/>
            <w:noWrap w:val="0"/>
            <w:vAlign w:val="center"/>
          </w:tcPr>
          <w:p w14:paraId="0654242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台班</w:t>
            </w:r>
          </w:p>
        </w:tc>
        <w:tc>
          <w:tcPr>
            <w:tcW w:w="1150" w:type="dxa"/>
            <w:tcBorders>
              <w:top w:val="nil"/>
              <w:left w:val="nil"/>
              <w:bottom w:val="single" w:color="auto" w:sz="4" w:space="0"/>
              <w:right w:val="single" w:color="auto" w:sz="4" w:space="0"/>
            </w:tcBorders>
            <w:shd w:val="clear" w:color="auto" w:fill="auto"/>
            <w:noWrap w:val="0"/>
            <w:vAlign w:val="center"/>
          </w:tcPr>
          <w:p w14:paraId="6D562D9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293</w:t>
            </w:r>
          </w:p>
        </w:tc>
        <w:tc>
          <w:tcPr>
            <w:tcW w:w="1302" w:type="dxa"/>
            <w:tcBorders>
              <w:top w:val="nil"/>
              <w:left w:val="nil"/>
              <w:bottom w:val="single" w:color="auto" w:sz="4" w:space="0"/>
              <w:right w:val="single" w:color="auto" w:sz="4" w:space="0"/>
            </w:tcBorders>
            <w:shd w:val="clear" w:color="auto" w:fill="auto"/>
            <w:noWrap w:val="0"/>
            <w:vAlign w:val="center"/>
          </w:tcPr>
          <w:p w14:paraId="576DF2B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1301" w:type="dxa"/>
            <w:tcBorders>
              <w:top w:val="nil"/>
              <w:left w:val="nil"/>
              <w:bottom w:val="single" w:color="auto" w:sz="4" w:space="0"/>
              <w:right w:val="single" w:color="auto" w:sz="4" w:space="0"/>
            </w:tcBorders>
            <w:shd w:val="clear" w:color="auto" w:fill="auto"/>
            <w:noWrap/>
            <w:vAlign w:val="center"/>
          </w:tcPr>
          <w:p w14:paraId="1B4E615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1603EF9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r w14:paraId="71C81621">
        <w:tblPrEx>
          <w:tblCellMar>
            <w:top w:w="0" w:type="dxa"/>
            <w:left w:w="108" w:type="dxa"/>
            <w:bottom w:w="0" w:type="dxa"/>
            <w:right w:w="108" w:type="dxa"/>
          </w:tblCellMar>
        </w:tblPrEx>
        <w:trPr>
          <w:trHeight w:val="565" w:hRule="atLeast"/>
          <w:jc w:val="center"/>
        </w:trPr>
        <w:tc>
          <w:tcPr>
            <w:tcW w:w="958" w:type="dxa"/>
            <w:tcBorders>
              <w:top w:val="nil"/>
              <w:left w:val="single" w:color="auto" w:sz="4" w:space="0"/>
              <w:bottom w:val="single" w:color="auto" w:sz="4" w:space="0"/>
              <w:right w:val="single" w:color="auto" w:sz="4" w:space="0"/>
            </w:tcBorders>
            <w:shd w:val="clear" w:color="auto" w:fill="auto"/>
            <w:noWrap/>
            <w:vAlign w:val="center"/>
          </w:tcPr>
          <w:p w14:paraId="60383A5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1.2</w:t>
            </w:r>
          </w:p>
        </w:tc>
        <w:tc>
          <w:tcPr>
            <w:tcW w:w="4041" w:type="dxa"/>
            <w:tcBorders>
              <w:top w:val="single" w:color="auto" w:sz="4" w:space="0"/>
              <w:left w:val="nil"/>
              <w:bottom w:val="single" w:color="auto" w:sz="4" w:space="0"/>
              <w:right w:val="single" w:color="000000" w:sz="4" w:space="0"/>
            </w:tcBorders>
            <w:shd w:val="clear" w:color="auto" w:fill="auto"/>
            <w:noWrap/>
            <w:vAlign w:val="center"/>
          </w:tcPr>
          <w:p w14:paraId="197DD87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抑尘车</w:t>
            </w:r>
          </w:p>
        </w:tc>
        <w:tc>
          <w:tcPr>
            <w:tcW w:w="1036" w:type="dxa"/>
            <w:tcBorders>
              <w:top w:val="nil"/>
              <w:left w:val="nil"/>
              <w:bottom w:val="single" w:color="auto" w:sz="4" w:space="0"/>
              <w:right w:val="single" w:color="auto" w:sz="4" w:space="0"/>
            </w:tcBorders>
            <w:shd w:val="clear" w:color="auto" w:fill="auto"/>
            <w:noWrap w:val="0"/>
            <w:vAlign w:val="center"/>
          </w:tcPr>
          <w:p w14:paraId="6FCFB39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台班</w:t>
            </w:r>
          </w:p>
        </w:tc>
        <w:tc>
          <w:tcPr>
            <w:tcW w:w="1150" w:type="dxa"/>
            <w:tcBorders>
              <w:top w:val="nil"/>
              <w:left w:val="nil"/>
              <w:bottom w:val="single" w:color="auto" w:sz="4" w:space="0"/>
              <w:right w:val="single" w:color="auto" w:sz="4" w:space="0"/>
            </w:tcBorders>
            <w:shd w:val="clear" w:color="auto" w:fill="auto"/>
            <w:noWrap w:val="0"/>
            <w:vAlign w:val="center"/>
          </w:tcPr>
          <w:p w14:paraId="11A8C83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242</w:t>
            </w:r>
          </w:p>
        </w:tc>
        <w:tc>
          <w:tcPr>
            <w:tcW w:w="1302" w:type="dxa"/>
            <w:tcBorders>
              <w:top w:val="nil"/>
              <w:left w:val="nil"/>
              <w:bottom w:val="single" w:color="auto" w:sz="4" w:space="0"/>
              <w:right w:val="single" w:color="auto" w:sz="4" w:space="0"/>
            </w:tcBorders>
            <w:shd w:val="clear" w:color="auto" w:fill="auto"/>
            <w:noWrap w:val="0"/>
            <w:vAlign w:val="center"/>
          </w:tcPr>
          <w:p w14:paraId="2175C887">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1301" w:type="dxa"/>
            <w:tcBorders>
              <w:top w:val="nil"/>
              <w:left w:val="nil"/>
              <w:bottom w:val="single" w:color="auto" w:sz="4" w:space="0"/>
              <w:right w:val="single" w:color="auto" w:sz="4" w:space="0"/>
            </w:tcBorders>
            <w:shd w:val="clear" w:color="auto" w:fill="auto"/>
            <w:noWrap/>
            <w:vAlign w:val="center"/>
          </w:tcPr>
          <w:p w14:paraId="268CF06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71D96F0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r w14:paraId="5560A4BA">
        <w:tblPrEx>
          <w:tblCellMar>
            <w:top w:w="0" w:type="dxa"/>
            <w:left w:w="108" w:type="dxa"/>
            <w:bottom w:w="0" w:type="dxa"/>
            <w:right w:w="108" w:type="dxa"/>
          </w:tblCellMar>
        </w:tblPrEx>
        <w:trPr>
          <w:trHeight w:val="565" w:hRule="atLeast"/>
          <w:jc w:val="center"/>
        </w:trPr>
        <w:tc>
          <w:tcPr>
            <w:tcW w:w="8487" w:type="dxa"/>
            <w:gridSpan w:val="5"/>
            <w:tcBorders>
              <w:top w:val="nil"/>
              <w:left w:val="single" w:color="auto" w:sz="4" w:space="0"/>
              <w:bottom w:val="single" w:color="auto" w:sz="4" w:space="0"/>
              <w:right w:val="single" w:color="auto" w:sz="4" w:space="0"/>
            </w:tcBorders>
            <w:shd w:val="clear" w:color="auto" w:fill="auto"/>
            <w:noWrap/>
            <w:vAlign w:val="center"/>
          </w:tcPr>
          <w:p w14:paraId="1DE63F5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合计</w:t>
            </w:r>
            <w:r>
              <w:rPr>
                <w:rFonts w:hint="eastAsia" w:asciiTheme="minorEastAsia" w:hAnsiTheme="minorEastAsia" w:eastAsiaTheme="minorEastAsia" w:cstheme="minorEastAsia"/>
                <w:b w:val="0"/>
                <w:bCs w:val="0"/>
                <w:snapToGrid/>
                <w:color w:val="auto"/>
                <w:spacing w:val="0"/>
                <w:w w:val="100"/>
                <w:kern w:val="21"/>
                <w:sz w:val="24"/>
                <w:szCs w:val="24"/>
                <w:highlight w:val="none"/>
              </w:rPr>
              <w:t>（元）</w:t>
            </w:r>
          </w:p>
        </w:tc>
        <w:tc>
          <w:tcPr>
            <w:tcW w:w="1301" w:type="dxa"/>
            <w:tcBorders>
              <w:top w:val="nil"/>
              <w:left w:val="nil"/>
              <w:bottom w:val="single" w:color="auto" w:sz="4" w:space="0"/>
              <w:right w:val="single" w:color="auto" w:sz="4" w:space="0"/>
            </w:tcBorders>
            <w:shd w:val="clear" w:color="auto" w:fill="auto"/>
            <w:noWrap/>
            <w:vAlign w:val="center"/>
          </w:tcPr>
          <w:p w14:paraId="60258567">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333AF14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r w14:paraId="7DEDCB38">
        <w:tblPrEx>
          <w:tblCellMar>
            <w:top w:w="0" w:type="dxa"/>
            <w:left w:w="108" w:type="dxa"/>
            <w:bottom w:w="0" w:type="dxa"/>
            <w:right w:w="108" w:type="dxa"/>
          </w:tblCellMar>
        </w:tblPrEx>
        <w:trPr>
          <w:trHeight w:val="565" w:hRule="atLeast"/>
          <w:jc w:val="center"/>
        </w:trPr>
        <w:tc>
          <w:tcPr>
            <w:tcW w:w="10737" w:type="dxa"/>
            <w:gridSpan w:val="7"/>
            <w:tcBorders>
              <w:top w:val="nil"/>
              <w:left w:val="single" w:color="auto" w:sz="4" w:space="0"/>
              <w:bottom w:val="single" w:color="auto" w:sz="4" w:space="0"/>
              <w:right w:val="single" w:color="auto" w:sz="4" w:space="0"/>
            </w:tcBorders>
            <w:shd w:val="clear" w:color="auto" w:fill="auto"/>
            <w:noWrap/>
            <w:vAlign w:val="center"/>
          </w:tcPr>
          <w:p w14:paraId="0DCF2DC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二、重点区域周边道路精细化治理</w:t>
            </w:r>
          </w:p>
        </w:tc>
      </w:tr>
      <w:tr w14:paraId="46C03409">
        <w:tblPrEx>
          <w:tblCellMar>
            <w:top w:w="0" w:type="dxa"/>
            <w:left w:w="108" w:type="dxa"/>
            <w:bottom w:w="0" w:type="dxa"/>
            <w:right w:w="108" w:type="dxa"/>
          </w:tblCellMar>
        </w:tblPrEx>
        <w:trPr>
          <w:trHeight w:val="565" w:hRule="atLeast"/>
          <w:jc w:val="center"/>
        </w:trPr>
        <w:tc>
          <w:tcPr>
            <w:tcW w:w="958" w:type="dxa"/>
            <w:tcBorders>
              <w:top w:val="nil"/>
              <w:left w:val="single" w:color="auto" w:sz="4" w:space="0"/>
              <w:bottom w:val="single" w:color="auto" w:sz="4" w:space="0"/>
              <w:right w:val="single" w:color="auto" w:sz="4" w:space="0"/>
            </w:tcBorders>
            <w:shd w:val="clear" w:color="auto" w:fill="auto"/>
            <w:noWrap/>
            <w:vAlign w:val="center"/>
          </w:tcPr>
          <w:p w14:paraId="78602E7B">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2.1</w:t>
            </w:r>
          </w:p>
        </w:tc>
        <w:tc>
          <w:tcPr>
            <w:tcW w:w="4041" w:type="dxa"/>
            <w:tcBorders>
              <w:top w:val="single" w:color="auto" w:sz="4" w:space="0"/>
              <w:left w:val="nil"/>
              <w:bottom w:val="single" w:color="auto" w:sz="4" w:space="0"/>
              <w:right w:val="single" w:color="000000" w:sz="4" w:space="0"/>
            </w:tcBorders>
            <w:shd w:val="clear" w:color="auto" w:fill="auto"/>
            <w:noWrap/>
            <w:vAlign w:val="center"/>
          </w:tcPr>
          <w:p w14:paraId="2EFFB8F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洗扫车</w:t>
            </w:r>
          </w:p>
        </w:tc>
        <w:tc>
          <w:tcPr>
            <w:tcW w:w="1036" w:type="dxa"/>
            <w:tcBorders>
              <w:top w:val="nil"/>
              <w:left w:val="nil"/>
              <w:bottom w:val="single" w:color="auto" w:sz="4" w:space="0"/>
              <w:right w:val="single" w:color="auto" w:sz="4" w:space="0"/>
            </w:tcBorders>
            <w:shd w:val="clear" w:color="auto" w:fill="auto"/>
            <w:noWrap w:val="0"/>
            <w:vAlign w:val="center"/>
          </w:tcPr>
          <w:p w14:paraId="3B6D068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bidi="ar-SA"/>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台班</w:t>
            </w:r>
          </w:p>
        </w:tc>
        <w:tc>
          <w:tcPr>
            <w:tcW w:w="1150" w:type="dxa"/>
            <w:tcBorders>
              <w:top w:val="nil"/>
              <w:left w:val="nil"/>
              <w:bottom w:val="single" w:color="auto" w:sz="4" w:space="0"/>
              <w:right w:val="single" w:color="auto" w:sz="4" w:space="0"/>
            </w:tcBorders>
            <w:shd w:val="clear" w:color="auto" w:fill="auto"/>
            <w:noWrap w:val="0"/>
            <w:vAlign w:val="center"/>
          </w:tcPr>
          <w:p w14:paraId="41587D0D">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bidi="ar-SA"/>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293</w:t>
            </w:r>
          </w:p>
        </w:tc>
        <w:tc>
          <w:tcPr>
            <w:tcW w:w="1302" w:type="dxa"/>
            <w:tcBorders>
              <w:top w:val="nil"/>
              <w:left w:val="nil"/>
              <w:bottom w:val="single" w:color="auto" w:sz="4" w:space="0"/>
              <w:right w:val="single" w:color="auto" w:sz="4" w:space="0"/>
            </w:tcBorders>
            <w:shd w:val="clear" w:color="auto" w:fill="auto"/>
            <w:noWrap w:val="0"/>
            <w:vAlign w:val="center"/>
          </w:tcPr>
          <w:p w14:paraId="1E7ACB63">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1301" w:type="dxa"/>
            <w:tcBorders>
              <w:top w:val="nil"/>
              <w:left w:val="nil"/>
              <w:bottom w:val="single" w:color="auto" w:sz="4" w:space="0"/>
              <w:right w:val="single" w:color="auto" w:sz="4" w:space="0"/>
            </w:tcBorders>
            <w:shd w:val="clear" w:color="auto" w:fill="auto"/>
            <w:noWrap/>
            <w:vAlign w:val="center"/>
          </w:tcPr>
          <w:p w14:paraId="1B9C278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5ADE5BE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r w14:paraId="0B942FBC">
        <w:tblPrEx>
          <w:tblCellMar>
            <w:top w:w="0" w:type="dxa"/>
            <w:left w:w="108" w:type="dxa"/>
            <w:bottom w:w="0" w:type="dxa"/>
            <w:right w:w="108" w:type="dxa"/>
          </w:tblCellMar>
        </w:tblPrEx>
        <w:trPr>
          <w:trHeight w:val="565" w:hRule="atLeast"/>
          <w:jc w:val="center"/>
        </w:trPr>
        <w:tc>
          <w:tcPr>
            <w:tcW w:w="958" w:type="dxa"/>
            <w:tcBorders>
              <w:top w:val="nil"/>
              <w:left w:val="single" w:color="auto" w:sz="4" w:space="0"/>
              <w:bottom w:val="single" w:color="auto" w:sz="4" w:space="0"/>
              <w:right w:val="single" w:color="auto" w:sz="4" w:space="0"/>
            </w:tcBorders>
            <w:shd w:val="clear" w:color="auto" w:fill="auto"/>
            <w:noWrap/>
            <w:vAlign w:val="center"/>
          </w:tcPr>
          <w:p w14:paraId="0F3E7C6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2.2</w:t>
            </w:r>
          </w:p>
        </w:tc>
        <w:tc>
          <w:tcPr>
            <w:tcW w:w="4041" w:type="dxa"/>
            <w:tcBorders>
              <w:top w:val="single" w:color="auto" w:sz="4" w:space="0"/>
              <w:left w:val="nil"/>
              <w:bottom w:val="single" w:color="auto" w:sz="4" w:space="0"/>
              <w:right w:val="single" w:color="000000" w:sz="4" w:space="0"/>
            </w:tcBorders>
            <w:shd w:val="clear" w:color="auto" w:fill="auto"/>
            <w:noWrap/>
            <w:vAlign w:val="center"/>
          </w:tcPr>
          <w:p w14:paraId="2E20D45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抑尘车</w:t>
            </w:r>
          </w:p>
        </w:tc>
        <w:tc>
          <w:tcPr>
            <w:tcW w:w="1036" w:type="dxa"/>
            <w:tcBorders>
              <w:top w:val="nil"/>
              <w:left w:val="nil"/>
              <w:bottom w:val="single" w:color="auto" w:sz="4" w:space="0"/>
              <w:right w:val="single" w:color="auto" w:sz="4" w:space="0"/>
            </w:tcBorders>
            <w:shd w:val="clear" w:color="auto" w:fill="auto"/>
            <w:noWrap w:val="0"/>
            <w:vAlign w:val="center"/>
          </w:tcPr>
          <w:p w14:paraId="15AD7E2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bidi="ar-SA"/>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台班</w:t>
            </w:r>
          </w:p>
        </w:tc>
        <w:tc>
          <w:tcPr>
            <w:tcW w:w="1150" w:type="dxa"/>
            <w:tcBorders>
              <w:top w:val="nil"/>
              <w:left w:val="nil"/>
              <w:bottom w:val="single" w:color="auto" w:sz="4" w:space="0"/>
              <w:right w:val="single" w:color="auto" w:sz="4" w:space="0"/>
            </w:tcBorders>
            <w:shd w:val="clear" w:color="auto" w:fill="auto"/>
            <w:noWrap w:val="0"/>
            <w:vAlign w:val="center"/>
          </w:tcPr>
          <w:p w14:paraId="52862704">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bidi="ar-SA"/>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242</w:t>
            </w:r>
          </w:p>
        </w:tc>
        <w:tc>
          <w:tcPr>
            <w:tcW w:w="1302" w:type="dxa"/>
            <w:tcBorders>
              <w:top w:val="nil"/>
              <w:left w:val="nil"/>
              <w:bottom w:val="single" w:color="auto" w:sz="4" w:space="0"/>
              <w:right w:val="single" w:color="auto" w:sz="4" w:space="0"/>
            </w:tcBorders>
            <w:shd w:val="clear" w:color="auto" w:fill="auto"/>
            <w:noWrap w:val="0"/>
            <w:vAlign w:val="center"/>
          </w:tcPr>
          <w:p w14:paraId="36DD7908">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1301" w:type="dxa"/>
            <w:tcBorders>
              <w:top w:val="nil"/>
              <w:left w:val="nil"/>
              <w:bottom w:val="single" w:color="auto" w:sz="4" w:space="0"/>
              <w:right w:val="single" w:color="auto" w:sz="4" w:space="0"/>
            </w:tcBorders>
            <w:shd w:val="clear" w:color="auto" w:fill="auto"/>
            <w:noWrap/>
            <w:vAlign w:val="center"/>
          </w:tcPr>
          <w:p w14:paraId="6A6D2A7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4B87FF8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r w14:paraId="2ADA8742">
        <w:tblPrEx>
          <w:tblCellMar>
            <w:top w:w="0" w:type="dxa"/>
            <w:left w:w="108" w:type="dxa"/>
            <w:bottom w:w="0" w:type="dxa"/>
            <w:right w:w="108" w:type="dxa"/>
          </w:tblCellMar>
        </w:tblPrEx>
        <w:trPr>
          <w:trHeight w:val="565" w:hRule="atLeast"/>
          <w:jc w:val="center"/>
        </w:trPr>
        <w:tc>
          <w:tcPr>
            <w:tcW w:w="8487" w:type="dxa"/>
            <w:gridSpan w:val="5"/>
            <w:tcBorders>
              <w:top w:val="nil"/>
              <w:left w:val="single" w:color="auto" w:sz="4" w:space="0"/>
              <w:bottom w:val="single" w:color="auto" w:sz="4" w:space="0"/>
              <w:right w:val="single" w:color="auto" w:sz="4" w:space="0"/>
            </w:tcBorders>
            <w:shd w:val="clear" w:color="auto" w:fill="auto"/>
            <w:noWrap/>
            <w:vAlign w:val="center"/>
          </w:tcPr>
          <w:p w14:paraId="68494AD4">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合计</w:t>
            </w:r>
            <w:r>
              <w:rPr>
                <w:rFonts w:hint="eastAsia" w:asciiTheme="minorEastAsia" w:hAnsiTheme="minorEastAsia" w:eastAsiaTheme="minorEastAsia" w:cstheme="minorEastAsia"/>
                <w:b w:val="0"/>
                <w:bCs w:val="0"/>
                <w:snapToGrid/>
                <w:color w:val="auto"/>
                <w:spacing w:val="0"/>
                <w:w w:val="100"/>
                <w:kern w:val="21"/>
                <w:sz w:val="24"/>
                <w:szCs w:val="24"/>
                <w:highlight w:val="none"/>
              </w:rPr>
              <w:t>（元）</w:t>
            </w:r>
          </w:p>
        </w:tc>
        <w:tc>
          <w:tcPr>
            <w:tcW w:w="1301" w:type="dxa"/>
            <w:tcBorders>
              <w:top w:val="nil"/>
              <w:left w:val="nil"/>
              <w:bottom w:val="single" w:color="auto" w:sz="4" w:space="0"/>
              <w:right w:val="single" w:color="auto" w:sz="4" w:space="0"/>
            </w:tcBorders>
            <w:shd w:val="clear" w:color="auto" w:fill="auto"/>
            <w:noWrap/>
            <w:vAlign w:val="center"/>
          </w:tcPr>
          <w:p w14:paraId="2C6FFCA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0CA070C4">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r w14:paraId="096D0AD5">
        <w:tblPrEx>
          <w:tblCellMar>
            <w:top w:w="0" w:type="dxa"/>
            <w:left w:w="108" w:type="dxa"/>
            <w:bottom w:w="0" w:type="dxa"/>
            <w:right w:w="108" w:type="dxa"/>
          </w:tblCellMar>
        </w:tblPrEx>
        <w:trPr>
          <w:trHeight w:val="565" w:hRule="atLeast"/>
          <w:jc w:val="center"/>
        </w:trPr>
        <w:tc>
          <w:tcPr>
            <w:tcW w:w="10737" w:type="dxa"/>
            <w:gridSpan w:val="7"/>
            <w:tcBorders>
              <w:top w:val="nil"/>
              <w:left w:val="single" w:color="auto" w:sz="4" w:space="0"/>
              <w:bottom w:val="single" w:color="auto" w:sz="4" w:space="0"/>
              <w:right w:val="single" w:color="auto" w:sz="4" w:space="0"/>
            </w:tcBorders>
            <w:shd w:val="clear" w:color="auto" w:fill="auto"/>
            <w:noWrap/>
            <w:vAlign w:val="center"/>
          </w:tcPr>
          <w:p w14:paraId="12CE4258">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三、裸地扬尘综合治理</w:t>
            </w:r>
          </w:p>
        </w:tc>
      </w:tr>
      <w:tr w14:paraId="0BF3C0CE">
        <w:tblPrEx>
          <w:tblCellMar>
            <w:top w:w="0" w:type="dxa"/>
            <w:left w:w="108" w:type="dxa"/>
            <w:bottom w:w="0" w:type="dxa"/>
            <w:right w:w="108" w:type="dxa"/>
          </w:tblCellMar>
        </w:tblPrEx>
        <w:trPr>
          <w:trHeight w:val="565" w:hRule="atLeast"/>
          <w:jc w:val="center"/>
        </w:trPr>
        <w:tc>
          <w:tcPr>
            <w:tcW w:w="958" w:type="dxa"/>
            <w:tcBorders>
              <w:top w:val="nil"/>
              <w:left w:val="single" w:color="auto" w:sz="4" w:space="0"/>
              <w:bottom w:val="single" w:color="auto" w:sz="4" w:space="0"/>
              <w:right w:val="single" w:color="auto" w:sz="4" w:space="0"/>
            </w:tcBorders>
            <w:shd w:val="clear" w:color="auto" w:fill="auto"/>
            <w:noWrap/>
            <w:vAlign w:val="center"/>
          </w:tcPr>
          <w:p w14:paraId="523CEB81">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3.1</w:t>
            </w:r>
          </w:p>
        </w:tc>
        <w:tc>
          <w:tcPr>
            <w:tcW w:w="4041" w:type="dxa"/>
            <w:tcBorders>
              <w:top w:val="single" w:color="auto" w:sz="4" w:space="0"/>
              <w:left w:val="nil"/>
              <w:bottom w:val="single" w:color="auto" w:sz="4" w:space="0"/>
              <w:right w:val="single" w:color="000000" w:sz="4" w:space="0"/>
            </w:tcBorders>
            <w:shd w:val="clear" w:color="auto" w:fill="auto"/>
            <w:noWrap/>
            <w:vAlign w:val="center"/>
          </w:tcPr>
          <w:p w14:paraId="34F0153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防尘网铺设</w:t>
            </w:r>
          </w:p>
        </w:tc>
        <w:tc>
          <w:tcPr>
            <w:tcW w:w="1036" w:type="dxa"/>
            <w:tcBorders>
              <w:top w:val="nil"/>
              <w:left w:val="nil"/>
              <w:bottom w:val="single" w:color="auto" w:sz="4" w:space="0"/>
              <w:right w:val="single" w:color="auto" w:sz="4" w:space="0"/>
            </w:tcBorders>
            <w:shd w:val="clear" w:color="auto" w:fill="auto"/>
            <w:noWrap w:val="0"/>
            <w:vAlign w:val="center"/>
          </w:tcPr>
          <w:p w14:paraId="383F4B53">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w:t>
            </w:r>
          </w:p>
        </w:tc>
        <w:tc>
          <w:tcPr>
            <w:tcW w:w="1150" w:type="dxa"/>
            <w:tcBorders>
              <w:top w:val="nil"/>
              <w:left w:val="nil"/>
              <w:bottom w:val="single" w:color="auto" w:sz="4" w:space="0"/>
              <w:right w:val="single" w:color="auto" w:sz="4" w:space="0"/>
            </w:tcBorders>
            <w:shd w:val="clear" w:color="auto" w:fill="auto"/>
            <w:noWrap w:val="0"/>
            <w:vAlign w:val="center"/>
          </w:tcPr>
          <w:p w14:paraId="5F214573">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40000</w:t>
            </w:r>
          </w:p>
        </w:tc>
        <w:tc>
          <w:tcPr>
            <w:tcW w:w="1302" w:type="dxa"/>
            <w:tcBorders>
              <w:top w:val="nil"/>
              <w:left w:val="nil"/>
              <w:bottom w:val="single" w:color="auto" w:sz="4" w:space="0"/>
              <w:right w:val="single" w:color="auto" w:sz="4" w:space="0"/>
            </w:tcBorders>
            <w:shd w:val="clear" w:color="auto" w:fill="auto"/>
            <w:noWrap w:val="0"/>
            <w:vAlign w:val="center"/>
          </w:tcPr>
          <w:p w14:paraId="26B952A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1301" w:type="dxa"/>
            <w:tcBorders>
              <w:top w:val="nil"/>
              <w:left w:val="nil"/>
              <w:bottom w:val="single" w:color="auto" w:sz="4" w:space="0"/>
              <w:right w:val="single" w:color="auto" w:sz="4" w:space="0"/>
            </w:tcBorders>
            <w:shd w:val="clear" w:color="auto" w:fill="auto"/>
            <w:noWrap/>
            <w:vAlign w:val="center"/>
          </w:tcPr>
          <w:p w14:paraId="143BAE2B">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375DB22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r w14:paraId="059173C0">
        <w:tblPrEx>
          <w:tblCellMar>
            <w:top w:w="0" w:type="dxa"/>
            <w:left w:w="108" w:type="dxa"/>
            <w:bottom w:w="0" w:type="dxa"/>
            <w:right w:w="108" w:type="dxa"/>
          </w:tblCellMar>
        </w:tblPrEx>
        <w:trPr>
          <w:trHeight w:val="565" w:hRule="atLeast"/>
          <w:jc w:val="center"/>
        </w:trPr>
        <w:tc>
          <w:tcPr>
            <w:tcW w:w="958" w:type="dxa"/>
            <w:tcBorders>
              <w:top w:val="nil"/>
              <w:left w:val="single" w:color="auto" w:sz="4" w:space="0"/>
              <w:bottom w:val="single" w:color="auto" w:sz="4" w:space="0"/>
              <w:right w:val="single" w:color="auto" w:sz="4" w:space="0"/>
            </w:tcBorders>
            <w:shd w:val="clear" w:color="auto" w:fill="auto"/>
            <w:noWrap/>
            <w:vAlign w:val="center"/>
          </w:tcPr>
          <w:p w14:paraId="77DD3F9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3.2</w:t>
            </w:r>
          </w:p>
        </w:tc>
        <w:tc>
          <w:tcPr>
            <w:tcW w:w="4041" w:type="dxa"/>
            <w:tcBorders>
              <w:top w:val="single" w:color="auto" w:sz="4" w:space="0"/>
              <w:left w:val="nil"/>
              <w:bottom w:val="single" w:color="auto" w:sz="4" w:space="0"/>
              <w:right w:val="single" w:color="000000" w:sz="4" w:space="0"/>
            </w:tcBorders>
            <w:shd w:val="clear" w:color="auto" w:fill="auto"/>
            <w:noWrap/>
            <w:vAlign w:val="center"/>
          </w:tcPr>
          <w:p w14:paraId="22383DB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绿化草籽</w:t>
            </w:r>
          </w:p>
        </w:tc>
        <w:tc>
          <w:tcPr>
            <w:tcW w:w="1036" w:type="dxa"/>
            <w:tcBorders>
              <w:top w:val="nil"/>
              <w:left w:val="nil"/>
              <w:bottom w:val="single" w:color="auto" w:sz="4" w:space="0"/>
              <w:right w:val="single" w:color="auto" w:sz="4" w:space="0"/>
            </w:tcBorders>
            <w:shd w:val="clear" w:color="auto" w:fill="auto"/>
            <w:noWrap w:val="0"/>
            <w:vAlign w:val="center"/>
          </w:tcPr>
          <w:p w14:paraId="279DDB38">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w:t>
            </w:r>
          </w:p>
        </w:tc>
        <w:tc>
          <w:tcPr>
            <w:tcW w:w="1150" w:type="dxa"/>
            <w:tcBorders>
              <w:top w:val="nil"/>
              <w:left w:val="nil"/>
              <w:bottom w:val="single" w:color="auto" w:sz="4" w:space="0"/>
              <w:right w:val="single" w:color="auto" w:sz="4" w:space="0"/>
            </w:tcBorders>
            <w:shd w:val="clear" w:color="auto" w:fill="auto"/>
            <w:noWrap w:val="0"/>
            <w:vAlign w:val="center"/>
          </w:tcPr>
          <w:p w14:paraId="17076EF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60000</w:t>
            </w:r>
          </w:p>
        </w:tc>
        <w:tc>
          <w:tcPr>
            <w:tcW w:w="1302" w:type="dxa"/>
            <w:tcBorders>
              <w:top w:val="nil"/>
              <w:left w:val="nil"/>
              <w:bottom w:val="single" w:color="auto" w:sz="4" w:space="0"/>
              <w:right w:val="single" w:color="auto" w:sz="4" w:space="0"/>
            </w:tcBorders>
            <w:shd w:val="clear" w:color="auto" w:fill="auto"/>
            <w:noWrap w:val="0"/>
            <w:vAlign w:val="center"/>
          </w:tcPr>
          <w:p w14:paraId="42FC2E2D">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1301" w:type="dxa"/>
            <w:tcBorders>
              <w:top w:val="nil"/>
              <w:left w:val="nil"/>
              <w:bottom w:val="single" w:color="auto" w:sz="4" w:space="0"/>
              <w:right w:val="single" w:color="auto" w:sz="4" w:space="0"/>
            </w:tcBorders>
            <w:shd w:val="clear" w:color="auto" w:fill="auto"/>
            <w:noWrap/>
            <w:vAlign w:val="center"/>
          </w:tcPr>
          <w:p w14:paraId="04FD5D7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168ECFD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r w14:paraId="20D4077B">
        <w:tblPrEx>
          <w:tblCellMar>
            <w:top w:w="0" w:type="dxa"/>
            <w:left w:w="108" w:type="dxa"/>
            <w:bottom w:w="0" w:type="dxa"/>
            <w:right w:w="108" w:type="dxa"/>
          </w:tblCellMar>
        </w:tblPrEx>
        <w:trPr>
          <w:trHeight w:val="565" w:hRule="atLeast"/>
          <w:jc w:val="center"/>
        </w:trPr>
        <w:tc>
          <w:tcPr>
            <w:tcW w:w="958" w:type="dxa"/>
            <w:tcBorders>
              <w:top w:val="nil"/>
              <w:left w:val="single" w:color="auto" w:sz="4" w:space="0"/>
              <w:bottom w:val="single" w:color="auto" w:sz="4" w:space="0"/>
              <w:right w:val="single" w:color="auto" w:sz="4" w:space="0"/>
            </w:tcBorders>
            <w:shd w:val="clear" w:color="auto" w:fill="auto"/>
            <w:noWrap/>
            <w:vAlign w:val="center"/>
          </w:tcPr>
          <w:p w14:paraId="5BB40D9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3.3</w:t>
            </w:r>
          </w:p>
        </w:tc>
        <w:tc>
          <w:tcPr>
            <w:tcW w:w="4041" w:type="dxa"/>
            <w:tcBorders>
              <w:top w:val="single" w:color="auto" w:sz="4" w:space="0"/>
              <w:left w:val="nil"/>
              <w:bottom w:val="single" w:color="auto" w:sz="4" w:space="0"/>
              <w:right w:val="single" w:color="000000" w:sz="4" w:space="0"/>
            </w:tcBorders>
            <w:shd w:val="clear" w:color="auto" w:fill="auto"/>
            <w:noWrap/>
            <w:vAlign w:val="center"/>
          </w:tcPr>
          <w:p w14:paraId="59CD506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生物质覆盖</w:t>
            </w:r>
          </w:p>
        </w:tc>
        <w:tc>
          <w:tcPr>
            <w:tcW w:w="1036" w:type="dxa"/>
            <w:tcBorders>
              <w:top w:val="nil"/>
              <w:left w:val="nil"/>
              <w:bottom w:val="single" w:color="auto" w:sz="4" w:space="0"/>
              <w:right w:val="single" w:color="auto" w:sz="4" w:space="0"/>
            </w:tcBorders>
            <w:shd w:val="clear" w:color="auto" w:fill="auto"/>
            <w:noWrap w:val="0"/>
            <w:vAlign w:val="center"/>
          </w:tcPr>
          <w:p w14:paraId="3C3D05F8">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w:t>
            </w:r>
          </w:p>
        </w:tc>
        <w:tc>
          <w:tcPr>
            <w:tcW w:w="1150" w:type="dxa"/>
            <w:tcBorders>
              <w:top w:val="nil"/>
              <w:left w:val="nil"/>
              <w:bottom w:val="single" w:color="auto" w:sz="4" w:space="0"/>
              <w:right w:val="single" w:color="auto" w:sz="4" w:space="0"/>
            </w:tcBorders>
            <w:shd w:val="clear" w:color="auto" w:fill="auto"/>
            <w:noWrap w:val="0"/>
            <w:vAlign w:val="center"/>
          </w:tcPr>
          <w:p w14:paraId="6B449F8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15000</w:t>
            </w:r>
          </w:p>
        </w:tc>
        <w:tc>
          <w:tcPr>
            <w:tcW w:w="1302" w:type="dxa"/>
            <w:tcBorders>
              <w:top w:val="nil"/>
              <w:left w:val="nil"/>
              <w:bottom w:val="single" w:color="auto" w:sz="4" w:space="0"/>
              <w:right w:val="single" w:color="auto" w:sz="4" w:space="0"/>
            </w:tcBorders>
            <w:shd w:val="clear" w:color="auto" w:fill="auto"/>
            <w:noWrap w:val="0"/>
            <w:vAlign w:val="center"/>
          </w:tcPr>
          <w:p w14:paraId="18C53DA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1301" w:type="dxa"/>
            <w:tcBorders>
              <w:top w:val="nil"/>
              <w:left w:val="nil"/>
              <w:bottom w:val="single" w:color="auto" w:sz="4" w:space="0"/>
              <w:right w:val="single" w:color="auto" w:sz="4" w:space="0"/>
            </w:tcBorders>
            <w:shd w:val="clear" w:color="auto" w:fill="auto"/>
            <w:noWrap/>
            <w:vAlign w:val="center"/>
          </w:tcPr>
          <w:p w14:paraId="4344A97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282CD06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r w14:paraId="70F5A825">
        <w:tblPrEx>
          <w:tblCellMar>
            <w:top w:w="0" w:type="dxa"/>
            <w:left w:w="108" w:type="dxa"/>
            <w:bottom w:w="0" w:type="dxa"/>
            <w:right w:w="108" w:type="dxa"/>
          </w:tblCellMar>
        </w:tblPrEx>
        <w:trPr>
          <w:trHeight w:val="598" w:hRule="atLeast"/>
          <w:jc w:val="center"/>
        </w:trPr>
        <w:tc>
          <w:tcPr>
            <w:tcW w:w="8487" w:type="dxa"/>
            <w:gridSpan w:val="5"/>
            <w:tcBorders>
              <w:top w:val="nil"/>
              <w:left w:val="single" w:color="auto" w:sz="4" w:space="0"/>
              <w:bottom w:val="single" w:color="auto" w:sz="4" w:space="0"/>
              <w:right w:val="single" w:color="auto" w:sz="4" w:space="0"/>
            </w:tcBorders>
            <w:shd w:val="clear" w:color="auto" w:fill="auto"/>
            <w:noWrap/>
            <w:vAlign w:val="center"/>
          </w:tcPr>
          <w:p w14:paraId="2019504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r>
              <w:rPr>
                <w:rFonts w:hint="eastAsia" w:asciiTheme="minorEastAsia" w:hAnsiTheme="minorEastAsia" w:eastAsiaTheme="minorEastAsia" w:cstheme="minorEastAsia"/>
                <w:b w:val="0"/>
                <w:bCs w:val="0"/>
                <w:snapToGrid/>
                <w:color w:val="auto"/>
                <w:spacing w:val="0"/>
                <w:w w:val="100"/>
                <w:kern w:val="21"/>
                <w:sz w:val="24"/>
                <w:szCs w:val="24"/>
                <w:highlight w:val="none"/>
                <w:lang w:val="en-US" w:eastAsia="zh-CN"/>
              </w:rPr>
              <w:t>合计</w:t>
            </w:r>
            <w:r>
              <w:rPr>
                <w:rFonts w:hint="eastAsia" w:asciiTheme="minorEastAsia" w:hAnsiTheme="minorEastAsia" w:eastAsiaTheme="minorEastAsia" w:cstheme="minorEastAsia"/>
                <w:b w:val="0"/>
                <w:bCs w:val="0"/>
                <w:snapToGrid/>
                <w:color w:val="auto"/>
                <w:spacing w:val="0"/>
                <w:w w:val="100"/>
                <w:kern w:val="21"/>
                <w:sz w:val="24"/>
                <w:szCs w:val="24"/>
                <w:highlight w:val="none"/>
              </w:rPr>
              <w:t>（元）</w:t>
            </w:r>
          </w:p>
        </w:tc>
        <w:tc>
          <w:tcPr>
            <w:tcW w:w="1301" w:type="dxa"/>
            <w:tcBorders>
              <w:top w:val="nil"/>
              <w:left w:val="nil"/>
              <w:bottom w:val="single" w:color="auto" w:sz="4" w:space="0"/>
              <w:right w:val="single" w:color="auto" w:sz="4" w:space="0"/>
            </w:tcBorders>
            <w:shd w:val="clear" w:color="auto" w:fill="auto"/>
            <w:noWrap/>
            <w:vAlign w:val="center"/>
          </w:tcPr>
          <w:p w14:paraId="572089A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c>
          <w:tcPr>
            <w:tcW w:w="949" w:type="dxa"/>
            <w:tcBorders>
              <w:top w:val="nil"/>
              <w:left w:val="nil"/>
              <w:bottom w:val="single" w:color="auto" w:sz="4" w:space="0"/>
              <w:right w:val="single" w:color="auto" w:sz="4" w:space="0"/>
            </w:tcBorders>
            <w:shd w:val="clear" w:color="auto" w:fill="auto"/>
            <w:noWrap/>
            <w:vAlign w:val="center"/>
          </w:tcPr>
          <w:p w14:paraId="5308C14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auto"/>
                <w:spacing w:val="0"/>
                <w:w w:val="100"/>
                <w:kern w:val="21"/>
                <w:sz w:val="24"/>
                <w:szCs w:val="24"/>
                <w:highlight w:val="none"/>
              </w:rPr>
            </w:pPr>
          </w:p>
        </w:tc>
      </w:tr>
    </w:tbl>
    <w:p w14:paraId="0E12E67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注：</w:t>
      </w:r>
    </w:p>
    <w:p w14:paraId="7EA0664F">
      <w:pPr>
        <w:keepNext w:val="0"/>
        <w:keepLines w:val="0"/>
        <w:pageBreakBefore w:val="0"/>
        <w:widowControl w:val="0"/>
        <w:numPr>
          <w:ilvl w:val="0"/>
          <w:numId w:val="0"/>
        </w:numPr>
        <w:tabs>
          <w:tab w:val="left" w:pos="1800"/>
          <w:tab w:val="left" w:pos="5580"/>
        </w:tabs>
        <w:kinsoku/>
        <w:wordWrap w:val="0"/>
        <w:overflowPunct/>
        <w:topLinePunct/>
        <w:autoSpaceDE/>
        <w:autoSpaceDN/>
        <w:bidi w:val="0"/>
        <w:spacing w:line="360" w:lineRule="auto"/>
        <w:jc w:val="left"/>
        <w:textAlignment w:val="auto"/>
        <w:outlineLvl w:val="9"/>
        <w:rPr>
          <w:rFonts w:hint="eastAsia" w:asciiTheme="minorEastAsia" w:hAnsiTheme="minorEastAsia" w:eastAsiaTheme="minorEastAsia" w:cstheme="minorEastAsia"/>
          <w:b w:val="0"/>
          <w:bCs w:val="0"/>
          <w:snapToGrid/>
          <w:color w:val="000000"/>
          <w:spacing w:val="0"/>
          <w:w w:val="100"/>
          <w:kern w:val="21"/>
          <w:sz w:val="22"/>
          <w:szCs w:val="22"/>
          <w:highlight w:val="none"/>
        </w:rPr>
      </w:pPr>
      <w:r>
        <w:rPr>
          <w:rFonts w:hint="eastAsia" w:asciiTheme="minorEastAsia" w:hAnsiTheme="minorEastAsia" w:eastAsiaTheme="minorEastAsia" w:cstheme="minorEastAsia"/>
          <w:b w:val="0"/>
          <w:bCs w:val="0"/>
          <w:snapToGrid/>
          <w:color w:val="auto"/>
          <w:spacing w:val="0"/>
          <w:w w:val="100"/>
          <w:kern w:val="21"/>
          <w:sz w:val="22"/>
          <w:szCs w:val="22"/>
          <w:highlight w:val="none"/>
        </w:rPr>
        <w:t>1.</w:t>
      </w:r>
      <w:r>
        <w:rPr>
          <w:rFonts w:hint="eastAsia" w:asciiTheme="minorEastAsia" w:hAnsiTheme="minorEastAsia" w:eastAsiaTheme="minorEastAsia" w:cstheme="minorEastAsia"/>
          <w:b w:val="0"/>
          <w:bCs w:val="0"/>
          <w:snapToGrid/>
          <w:color w:val="000000"/>
          <w:spacing w:val="0"/>
          <w:w w:val="100"/>
          <w:kern w:val="21"/>
          <w:sz w:val="22"/>
          <w:szCs w:val="22"/>
          <w:highlight w:val="none"/>
        </w:rPr>
        <w:t>如果不提供分项报价将视为没有实质性响应</w:t>
      </w:r>
      <w:r>
        <w:rPr>
          <w:rFonts w:hint="eastAsia" w:asciiTheme="minorEastAsia" w:hAnsiTheme="minorEastAsia" w:eastAsiaTheme="minorEastAsia" w:cstheme="minorEastAsia"/>
          <w:b w:val="0"/>
          <w:bCs w:val="0"/>
          <w:snapToGrid/>
          <w:color w:val="000000"/>
          <w:spacing w:val="0"/>
          <w:w w:val="100"/>
          <w:kern w:val="21"/>
          <w:sz w:val="22"/>
          <w:szCs w:val="22"/>
          <w:highlight w:val="none"/>
          <w:lang w:eastAsia="zh-CN"/>
        </w:rPr>
        <w:t>竞争性磋商文件</w:t>
      </w:r>
      <w:r>
        <w:rPr>
          <w:rFonts w:hint="eastAsia" w:asciiTheme="minorEastAsia" w:hAnsiTheme="minorEastAsia" w:eastAsiaTheme="minorEastAsia" w:cstheme="minorEastAsia"/>
          <w:b w:val="0"/>
          <w:bCs w:val="0"/>
          <w:snapToGrid/>
          <w:color w:val="000000"/>
          <w:spacing w:val="0"/>
          <w:w w:val="100"/>
          <w:kern w:val="21"/>
          <w:sz w:val="22"/>
          <w:szCs w:val="22"/>
          <w:highlight w:val="none"/>
        </w:rPr>
        <w:t>。</w:t>
      </w:r>
    </w:p>
    <w:p w14:paraId="4EED7177">
      <w:pPr>
        <w:keepNext w:val="0"/>
        <w:keepLines w:val="0"/>
        <w:pageBreakBefore w:val="0"/>
        <w:widowControl w:val="0"/>
        <w:tabs>
          <w:tab w:val="left" w:pos="1800"/>
          <w:tab w:val="left" w:pos="5580"/>
        </w:tabs>
        <w:kinsoku/>
        <w:wordWrap w:val="0"/>
        <w:overflowPunct/>
        <w:topLinePunct/>
        <w:autoSpaceDE/>
        <w:autoSpaceDN/>
        <w:bidi w:val="0"/>
        <w:spacing w:line="360" w:lineRule="auto"/>
        <w:jc w:val="left"/>
        <w:textAlignment w:val="auto"/>
        <w:outlineLvl w:val="9"/>
        <w:rPr>
          <w:rFonts w:hint="eastAsia" w:asciiTheme="minorEastAsia" w:hAnsiTheme="minorEastAsia" w:eastAsiaTheme="minorEastAsia" w:cstheme="minorEastAsia"/>
          <w:b w:val="0"/>
          <w:bCs w:val="0"/>
          <w:snapToGrid/>
          <w:color w:val="000000"/>
          <w:spacing w:val="0"/>
          <w:w w:val="100"/>
          <w:kern w:val="21"/>
          <w:sz w:val="22"/>
          <w:szCs w:val="22"/>
          <w:highlight w:val="none"/>
        </w:rPr>
      </w:pP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2</w:t>
      </w:r>
      <w:r>
        <w:rPr>
          <w:rFonts w:hint="eastAsia" w:asciiTheme="minorEastAsia" w:hAnsiTheme="minorEastAsia" w:eastAsiaTheme="minorEastAsia" w:cstheme="minorEastAsia"/>
          <w:b w:val="0"/>
          <w:bCs w:val="0"/>
          <w:snapToGrid/>
          <w:color w:val="000000"/>
          <w:spacing w:val="0"/>
          <w:w w:val="100"/>
          <w:kern w:val="21"/>
          <w:sz w:val="22"/>
          <w:szCs w:val="22"/>
          <w:highlight w:val="none"/>
        </w:rPr>
        <w:t>.上述各项的详细规格（如有），可另页描述。</w:t>
      </w:r>
    </w:p>
    <w:p w14:paraId="2D3C3877">
      <w:pPr>
        <w:keepNext w:val="0"/>
        <w:keepLines w:val="0"/>
        <w:pageBreakBefore w:val="0"/>
        <w:widowControl w:val="0"/>
        <w:tabs>
          <w:tab w:val="left" w:pos="1800"/>
          <w:tab w:val="left" w:pos="5580"/>
        </w:tabs>
        <w:kinsoku/>
        <w:wordWrap w:val="0"/>
        <w:overflowPunct/>
        <w:topLinePunct/>
        <w:autoSpaceDE/>
        <w:autoSpaceDN/>
        <w:bidi w:val="0"/>
        <w:spacing w:line="360" w:lineRule="auto"/>
        <w:jc w:val="left"/>
        <w:textAlignment w:val="auto"/>
        <w:outlineLvl w:val="9"/>
        <w:rPr>
          <w:rFonts w:hint="eastAsia" w:asciiTheme="minorEastAsia" w:hAnsiTheme="minorEastAsia" w:eastAsiaTheme="minorEastAsia" w:cstheme="minorEastAsia"/>
          <w:b w:val="0"/>
          <w:bCs w:val="0"/>
          <w:snapToGrid/>
          <w:color w:val="000000"/>
          <w:spacing w:val="0"/>
          <w:w w:val="100"/>
          <w:kern w:val="21"/>
          <w:sz w:val="22"/>
          <w:szCs w:val="22"/>
          <w:highlight w:val="none"/>
        </w:rPr>
      </w:pP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3</w:t>
      </w:r>
      <w:r>
        <w:rPr>
          <w:rFonts w:hint="eastAsia" w:asciiTheme="minorEastAsia" w:hAnsiTheme="minorEastAsia" w:eastAsiaTheme="minorEastAsia" w:cstheme="minorEastAsia"/>
          <w:b w:val="0"/>
          <w:bCs w:val="0"/>
          <w:snapToGrid/>
          <w:color w:val="000000"/>
          <w:spacing w:val="0"/>
          <w:w w:val="100"/>
          <w:kern w:val="21"/>
          <w:sz w:val="22"/>
          <w:szCs w:val="22"/>
          <w:highlight w:val="none"/>
        </w:rPr>
        <w:t>.</w:t>
      </w: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供应商</w:t>
      </w:r>
      <w:r>
        <w:rPr>
          <w:rFonts w:hint="eastAsia" w:asciiTheme="minorEastAsia" w:hAnsiTheme="minorEastAsia" w:eastAsiaTheme="minorEastAsia" w:cstheme="minorEastAsia"/>
          <w:b w:val="0"/>
          <w:bCs w:val="0"/>
          <w:snapToGrid/>
          <w:color w:val="000000"/>
          <w:spacing w:val="0"/>
          <w:w w:val="100"/>
          <w:kern w:val="21"/>
          <w:sz w:val="22"/>
          <w:szCs w:val="22"/>
          <w:highlight w:val="none"/>
        </w:rPr>
        <w:t>的</w:t>
      </w: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投标</w:t>
      </w:r>
      <w:r>
        <w:rPr>
          <w:rFonts w:hint="eastAsia" w:asciiTheme="minorEastAsia" w:hAnsiTheme="minorEastAsia" w:eastAsiaTheme="minorEastAsia" w:cstheme="minorEastAsia"/>
          <w:b w:val="0"/>
          <w:bCs w:val="0"/>
          <w:snapToGrid/>
          <w:color w:val="000000"/>
          <w:spacing w:val="0"/>
          <w:w w:val="100"/>
          <w:kern w:val="21"/>
          <w:sz w:val="22"/>
          <w:szCs w:val="22"/>
          <w:highlight w:val="none"/>
        </w:rPr>
        <w:t>报价应是</w:t>
      </w:r>
      <w:r>
        <w:rPr>
          <w:rFonts w:hint="eastAsia" w:asciiTheme="minorEastAsia" w:hAnsiTheme="minorEastAsia" w:eastAsiaTheme="minorEastAsia" w:cstheme="minorEastAsia"/>
          <w:b w:val="0"/>
          <w:bCs w:val="0"/>
          <w:snapToGrid/>
          <w:color w:val="000000"/>
          <w:spacing w:val="0"/>
          <w:w w:val="100"/>
          <w:kern w:val="21"/>
          <w:sz w:val="22"/>
          <w:szCs w:val="22"/>
          <w:highlight w:val="none"/>
          <w:lang w:eastAsia="zh-CN"/>
        </w:rPr>
        <w:t>竞争性磋商文件</w:t>
      </w:r>
      <w:r>
        <w:rPr>
          <w:rFonts w:hint="eastAsia" w:asciiTheme="minorEastAsia" w:hAnsiTheme="minorEastAsia" w:eastAsiaTheme="minorEastAsia" w:cstheme="minorEastAsia"/>
          <w:b w:val="0"/>
          <w:bCs w:val="0"/>
          <w:snapToGrid/>
          <w:color w:val="000000"/>
          <w:spacing w:val="0"/>
          <w:w w:val="100"/>
          <w:kern w:val="21"/>
          <w:sz w:val="22"/>
          <w:szCs w:val="22"/>
          <w:highlight w:val="none"/>
        </w:rPr>
        <w:t>所确定的采购范围内全部工作内容的价格表现，包含为完成本</w:t>
      </w:r>
      <w:r>
        <w:rPr>
          <w:rFonts w:hint="eastAsia" w:asciiTheme="minorEastAsia" w:hAnsiTheme="minorEastAsia" w:eastAsiaTheme="minorEastAsia" w:cstheme="minorEastAsia"/>
          <w:b w:val="0"/>
          <w:bCs w:val="0"/>
          <w:snapToGrid/>
          <w:color w:val="000000"/>
          <w:spacing w:val="0"/>
          <w:w w:val="100"/>
          <w:kern w:val="21"/>
          <w:sz w:val="22"/>
          <w:szCs w:val="22"/>
          <w:highlight w:val="none"/>
          <w:lang w:eastAsia="zh-CN"/>
        </w:rPr>
        <w:t>竞争性磋商文件</w:t>
      </w:r>
      <w:r>
        <w:rPr>
          <w:rFonts w:hint="eastAsia" w:asciiTheme="minorEastAsia" w:hAnsiTheme="minorEastAsia" w:eastAsiaTheme="minorEastAsia" w:cstheme="minorEastAsia"/>
          <w:b w:val="0"/>
          <w:bCs w:val="0"/>
          <w:snapToGrid/>
          <w:color w:val="000000"/>
          <w:spacing w:val="0"/>
          <w:w w:val="100"/>
          <w:kern w:val="21"/>
          <w:sz w:val="22"/>
          <w:szCs w:val="22"/>
          <w:highlight w:val="none"/>
        </w:rPr>
        <w:t>规定的采购内容所需要的全部费用。</w:t>
      </w:r>
    </w:p>
    <w:p w14:paraId="22DD2388">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65AD3136">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0650D88A">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lang w:val="en-US" w:eastAsia="zh-CN"/>
        </w:rPr>
      </w:pPr>
      <w:r>
        <w:rPr>
          <w:rFonts w:hint="eastAsia" w:asciiTheme="minorEastAsia" w:hAnsiTheme="minorEastAsia" w:eastAsiaTheme="minorEastAsia" w:cstheme="minorEastAsia"/>
          <w:b w:val="0"/>
          <w:bCs w:val="0"/>
          <w:snapToGrid/>
          <w:color w:val="000000"/>
          <w:spacing w:val="0"/>
          <w:kern w:val="21"/>
          <w:sz w:val="22"/>
          <w:szCs w:val="22"/>
          <w:highlight w:val="none"/>
        </w:rPr>
        <w:t>供应商名称（加盖公章）</w:t>
      </w:r>
      <w:r>
        <w:rPr>
          <w:rFonts w:hint="eastAsia" w:asciiTheme="minorEastAsia" w:hAnsiTheme="minorEastAsia" w:eastAsiaTheme="minorEastAsia" w:cstheme="minorEastAsia"/>
          <w:b w:val="0"/>
          <w:bCs w:val="0"/>
          <w:snapToGrid/>
          <w:color w:val="000000"/>
          <w:spacing w:val="0"/>
          <w:kern w:val="21"/>
          <w:sz w:val="22"/>
          <w:szCs w:val="22"/>
          <w:highlight w:val="none"/>
          <w:lang w:val="zh-CN"/>
        </w:rPr>
        <w:t>：</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p>
    <w:p w14:paraId="67502C83">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日期：</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年</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月</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日</w:t>
      </w:r>
    </w:p>
    <w:p w14:paraId="377E96B4">
      <w:pPr>
        <w:keepNext w:val="0"/>
        <w:keepLines w:val="0"/>
        <w:pageBreakBefore w:val="0"/>
        <w:widowControl w:val="0"/>
        <w:kinsoku/>
        <w:wordWrap w:val="0"/>
        <w:overflowPunct/>
        <w:topLinePunct/>
        <w:autoSpaceDE/>
        <w:autoSpaceDN/>
        <w:bidi w:val="0"/>
        <w:adjustRightInd w:val="0"/>
        <w:snapToGrid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19A883AE">
      <w:pPr>
        <w:pStyle w:val="6"/>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kern w:val="21"/>
          <w:sz w:val="24"/>
          <w:szCs w:val="24"/>
        </w:rPr>
        <w:sectPr>
          <w:pgSz w:w="11905" w:h="16838"/>
          <w:pgMar w:top="1440" w:right="1080" w:bottom="1440" w:left="1080" w:header="851" w:footer="850" w:gutter="0"/>
          <w:pgNumType w:fmt="decimal"/>
          <w:cols w:space="0" w:num="1"/>
          <w:titlePg/>
          <w:rtlGutter w:val="0"/>
          <w:docGrid w:linePitch="462" w:charSpace="0"/>
        </w:sectPr>
      </w:pPr>
    </w:p>
    <w:p w14:paraId="277D0D0E">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8</w:t>
      </w:r>
      <w:r>
        <w:rPr>
          <w:rFonts w:hint="eastAsia" w:asciiTheme="minorEastAsia" w:hAnsiTheme="minorEastAsia" w:eastAsiaTheme="minorEastAsia" w:cstheme="minorEastAsia"/>
          <w:b w:val="0"/>
          <w:bCs w:val="0"/>
          <w:snapToGrid/>
          <w:spacing w:val="0"/>
          <w:kern w:val="21"/>
          <w:sz w:val="24"/>
          <w:szCs w:val="24"/>
          <w:highlight w:val="none"/>
        </w:rPr>
        <w:t>合同条款偏离表</w:t>
      </w:r>
      <w:bookmarkEnd w:id="736"/>
      <w:bookmarkEnd w:id="737"/>
      <w:bookmarkEnd w:id="738"/>
      <w:bookmarkEnd w:id="739"/>
      <w:bookmarkEnd w:id="740"/>
      <w:bookmarkEnd w:id="741"/>
      <w:bookmarkEnd w:id="742"/>
      <w:bookmarkEnd w:id="743"/>
      <w:bookmarkEnd w:id="744"/>
      <w:bookmarkEnd w:id="745"/>
      <w:bookmarkEnd w:id="746"/>
      <w:bookmarkEnd w:id="747"/>
      <w:bookmarkEnd w:id="748"/>
      <w:r>
        <w:rPr>
          <w:rFonts w:hint="eastAsia" w:asciiTheme="minorEastAsia" w:hAnsiTheme="minorEastAsia" w:eastAsiaTheme="minorEastAsia" w:cstheme="minorEastAsia"/>
          <w:b w:val="0"/>
          <w:bCs w:val="0"/>
          <w:snapToGrid/>
          <w:spacing w:val="0"/>
          <w:kern w:val="21"/>
          <w:sz w:val="24"/>
          <w:szCs w:val="24"/>
          <w:highlight w:val="none"/>
        </w:rPr>
        <w:t>（实质性格式）</w:t>
      </w:r>
    </w:p>
    <w:p w14:paraId="55E47441">
      <w:pPr>
        <w:keepNext w:val="0"/>
        <w:keepLines w:val="0"/>
        <w:pageBreakBefore w:val="0"/>
        <w:widowControl w:val="0"/>
        <w:tabs>
          <w:tab w:val="left" w:pos="2775"/>
          <w:tab w:val="center" w:pos="4153"/>
        </w:tabs>
        <w:kinsoku/>
        <w:wordWrap w:val="0"/>
        <w:overflowPunct/>
        <w:topLinePunct/>
        <w:autoSpaceDE/>
        <w:autoSpaceDN/>
        <w:bidi w:val="0"/>
        <w:adjustRightIn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合同条款偏离表</w:t>
      </w:r>
    </w:p>
    <w:p w14:paraId="4A5BE662">
      <w:pPr>
        <w:pStyle w:val="6"/>
        <w:keepNext w:val="0"/>
        <w:keepLines w:val="0"/>
        <w:pageBreakBefore w:val="0"/>
        <w:widowControl w:val="0"/>
        <w:kinsoku/>
        <w:wordWrap w:val="0"/>
        <w:overflowPunct/>
        <w:topLinePunct/>
        <w:autoSpaceDE/>
        <w:autoSpaceDN/>
        <w:bidi w:val="0"/>
        <w:spacing w:line="360" w:lineRule="auto"/>
        <w:ind w:left="0" w:leftChars="0" w:firstLine="0" w:firstLineChars="0"/>
        <w:outlineLvl w:val="9"/>
        <w:rPr>
          <w:rFonts w:hint="eastAsia" w:asciiTheme="minorEastAsia" w:hAnsiTheme="minorEastAsia" w:eastAsiaTheme="minorEastAsia" w:cstheme="minorEastAsia"/>
          <w:b w:val="0"/>
          <w:bCs w:val="0"/>
          <w:kern w:val="21"/>
          <w:sz w:val="24"/>
          <w:szCs w:val="24"/>
        </w:rPr>
      </w:pPr>
    </w:p>
    <w:p w14:paraId="0CA9028A">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项目编号：</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 xml:space="preserve"> 项目名称：</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2"/>
          <w:szCs w:val="22"/>
          <w:highlight w:val="none"/>
          <w:u w:val="none"/>
          <w:lang w:val="en-US" w:eastAsia="zh-CN"/>
        </w:rPr>
        <w:t xml:space="preserve"> 包号：</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p>
    <w:tbl>
      <w:tblPr>
        <w:tblStyle w:val="23"/>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1628"/>
        <w:gridCol w:w="1628"/>
        <w:gridCol w:w="1628"/>
        <w:gridCol w:w="1628"/>
        <w:gridCol w:w="1628"/>
      </w:tblGrid>
      <w:tr w14:paraId="45D5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Align w:val="center"/>
          </w:tcPr>
          <w:p w14:paraId="761734F4">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序号</w:t>
            </w:r>
          </w:p>
        </w:tc>
        <w:tc>
          <w:tcPr>
            <w:tcW w:w="1701" w:type="dxa"/>
            <w:vAlign w:val="center"/>
          </w:tcPr>
          <w:p w14:paraId="2A20A51D">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竞争性磋商文件条目号</w:t>
            </w:r>
          </w:p>
          <w:p w14:paraId="66F176C6">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（页码）</w:t>
            </w:r>
          </w:p>
        </w:tc>
        <w:tc>
          <w:tcPr>
            <w:tcW w:w="1701" w:type="dxa"/>
            <w:vAlign w:val="center"/>
          </w:tcPr>
          <w:p w14:paraId="1B30A045">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竞争性磋商文件要求</w:t>
            </w:r>
          </w:p>
        </w:tc>
        <w:tc>
          <w:tcPr>
            <w:tcW w:w="1701" w:type="dxa"/>
            <w:vAlign w:val="center"/>
          </w:tcPr>
          <w:p w14:paraId="7EFCAB60">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响应文件内容</w:t>
            </w:r>
          </w:p>
        </w:tc>
        <w:tc>
          <w:tcPr>
            <w:tcW w:w="1701" w:type="dxa"/>
            <w:vAlign w:val="center"/>
          </w:tcPr>
          <w:p w14:paraId="4CBB16C7">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偏离情况</w:t>
            </w:r>
          </w:p>
        </w:tc>
        <w:tc>
          <w:tcPr>
            <w:tcW w:w="1701" w:type="dxa"/>
            <w:vAlign w:val="center"/>
          </w:tcPr>
          <w:p w14:paraId="6D139A54">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说明</w:t>
            </w:r>
          </w:p>
        </w:tc>
      </w:tr>
      <w:tr w14:paraId="1805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gridSpan w:val="6"/>
            <w:vAlign w:val="center"/>
          </w:tcPr>
          <w:p w14:paraId="4F15985B">
            <w:pPr>
              <w:keepNext w:val="0"/>
              <w:keepLines w:val="0"/>
              <w:pageBreakBefore w:val="0"/>
              <w:widowControl w:val="0"/>
              <w:kinsoku/>
              <w:wordWrap w:val="0"/>
              <w:overflowPunct/>
              <w:topLinePunct/>
              <w:autoSpaceDE/>
              <w:autoSpaceDN/>
              <w:bidi w:val="0"/>
              <w:adjustRightInd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2"/>
                <w:szCs w:val="22"/>
                <w:highlight w:val="none"/>
              </w:rPr>
            </w:pPr>
            <w:r>
              <w:rPr>
                <w:rFonts w:hint="eastAsia" w:asciiTheme="minorEastAsia" w:hAnsiTheme="minorEastAsia" w:eastAsiaTheme="minorEastAsia" w:cstheme="minorEastAsia"/>
                <w:b w:val="0"/>
                <w:bCs w:val="0"/>
                <w:snapToGrid/>
                <w:spacing w:val="0"/>
                <w:kern w:val="21"/>
                <w:sz w:val="22"/>
                <w:szCs w:val="22"/>
                <w:highlight w:val="none"/>
              </w:rPr>
              <w:t>对本项目合同条款的偏离情况（应进行选择，未选择响应无效）：</w:t>
            </w:r>
          </w:p>
          <w:p w14:paraId="0BA22F9C">
            <w:pPr>
              <w:keepNext w:val="0"/>
              <w:keepLines w:val="0"/>
              <w:pageBreakBefore w:val="0"/>
              <w:widowControl w:val="0"/>
              <w:kinsoku/>
              <w:wordWrap w:val="0"/>
              <w:overflowPunct/>
              <w:topLinePunct/>
              <w:autoSpaceDE/>
              <w:autoSpaceDN/>
              <w:bidi w:val="0"/>
              <w:adjustRightInd w:val="0"/>
              <w:snapToGrid w:val="0"/>
              <w:spacing w:line="360" w:lineRule="auto"/>
              <w:jc w:val="left"/>
              <w:outlineLvl w:val="9"/>
              <w:rPr>
                <w:rFonts w:hint="eastAsia" w:asciiTheme="minorEastAsia" w:hAnsiTheme="minorEastAsia" w:eastAsiaTheme="minorEastAsia" w:cstheme="minorEastAsia"/>
                <w:b w:val="0"/>
                <w:bCs w:val="0"/>
                <w:snapToGrid/>
                <w:spacing w:val="0"/>
                <w:kern w:val="21"/>
                <w:sz w:val="22"/>
                <w:szCs w:val="22"/>
                <w:highlight w:val="none"/>
              </w:rPr>
            </w:pPr>
            <w:r>
              <w:rPr>
                <w:rFonts w:hint="eastAsia" w:asciiTheme="minorEastAsia" w:hAnsiTheme="minorEastAsia" w:eastAsiaTheme="minorEastAsia" w:cstheme="minorEastAsia"/>
                <w:b w:val="0"/>
                <w:bCs w:val="0"/>
                <w:snapToGrid/>
                <w:spacing w:val="0"/>
                <w:kern w:val="21"/>
                <w:sz w:val="22"/>
                <w:szCs w:val="22"/>
                <w:highlight w:val="none"/>
              </w:rPr>
              <w:t>□无偏离（如无偏离，仅选择无偏离即可；无偏离即为对合同条款中的所有要求，均视作供应商已对之理解和响应。）</w:t>
            </w:r>
          </w:p>
          <w:p w14:paraId="338A0CC5">
            <w:pPr>
              <w:keepNext w:val="0"/>
              <w:keepLines w:val="0"/>
              <w:pageBreakBefore w:val="0"/>
              <w:widowControl w:val="0"/>
              <w:kinsoku/>
              <w:wordWrap w:val="0"/>
              <w:overflowPunct/>
              <w:topLinePunct/>
              <w:autoSpaceDE/>
              <w:autoSpaceDN/>
              <w:bidi w:val="0"/>
              <w:adjustRightInd w:val="0"/>
              <w:snapToGrid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spacing w:val="0"/>
                <w:kern w:val="21"/>
                <w:sz w:val="22"/>
                <w:szCs w:val="22"/>
                <w:highlight w:val="none"/>
              </w:rPr>
              <w:t>□有偏离（如有偏离，则应在本表中对负偏离项逐一列明，否则响应无效；对合同条款中的所有要求，除本表列明的偏离外，均视作供应商已对之理解和响应。）</w:t>
            </w:r>
          </w:p>
        </w:tc>
      </w:tr>
      <w:tr w14:paraId="3BBA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701" w:type="dxa"/>
            <w:vAlign w:val="center"/>
          </w:tcPr>
          <w:p w14:paraId="0E5EB263">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4756150F">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6E1C002B">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449E906B">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6774F3A">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0DB2C8E2">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r>
      <w:tr w14:paraId="4D61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701" w:type="dxa"/>
            <w:vAlign w:val="center"/>
          </w:tcPr>
          <w:p w14:paraId="5A7E41BD">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3F1CD190">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3C25E54C">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3085051">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4D36352">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0CECFD2">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r>
      <w:tr w14:paraId="65B4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701" w:type="dxa"/>
            <w:vAlign w:val="center"/>
          </w:tcPr>
          <w:p w14:paraId="625C7A41">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2BFFB000">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FFDAB38">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958B246">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0C5C2D4D">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049BF613">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r>
    </w:tbl>
    <w:p w14:paraId="326CF4C7">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注：</w:t>
      </w:r>
    </w:p>
    <w:p w14:paraId="3B451B88">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1.</w:t>
      </w:r>
      <w:r>
        <w:rPr>
          <w:rFonts w:hint="eastAsia" w:asciiTheme="minorEastAsia" w:hAnsiTheme="minorEastAsia" w:eastAsiaTheme="minorEastAsia" w:cstheme="minorEastAsia"/>
          <w:b w:val="0"/>
          <w:bCs w:val="0"/>
          <w:snapToGrid/>
          <w:spacing w:val="0"/>
          <w:kern w:val="21"/>
          <w:sz w:val="22"/>
          <w:szCs w:val="22"/>
          <w:highlight w:val="none"/>
        </w:rPr>
        <w:t>对合同条款中的所有要求，除本表所列明的所有偏离外，均视作供应商已对之理解和响应。</w:t>
      </w:r>
    </w:p>
    <w:p w14:paraId="6B8B2346">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spacing w:val="0"/>
          <w:kern w:val="21"/>
          <w:sz w:val="22"/>
          <w:szCs w:val="22"/>
          <w:highlight w:val="none"/>
        </w:rPr>
        <w:t>2.“偏离情况”列应</w:t>
      </w:r>
      <w:r>
        <w:rPr>
          <w:rFonts w:hint="eastAsia" w:asciiTheme="minorEastAsia" w:hAnsiTheme="minorEastAsia" w:eastAsiaTheme="minorEastAsia" w:cstheme="minorEastAsia"/>
          <w:b w:val="0"/>
          <w:bCs w:val="0"/>
          <w:snapToGrid/>
          <w:color w:val="000000"/>
          <w:spacing w:val="0"/>
          <w:kern w:val="21"/>
          <w:sz w:val="22"/>
          <w:szCs w:val="22"/>
          <w:highlight w:val="none"/>
        </w:rPr>
        <w:t>据实</w:t>
      </w:r>
      <w:r>
        <w:rPr>
          <w:rFonts w:hint="eastAsia" w:asciiTheme="minorEastAsia" w:hAnsiTheme="minorEastAsia" w:eastAsiaTheme="minorEastAsia" w:cstheme="minorEastAsia"/>
          <w:b w:val="0"/>
          <w:bCs w:val="0"/>
          <w:snapToGrid/>
          <w:spacing w:val="0"/>
          <w:kern w:val="21"/>
          <w:sz w:val="22"/>
          <w:szCs w:val="22"/>
          <w:highlight w:val="none"/>
        </w:rPr>
        <w:t>填写“正偏离”或“负偏离”。</w:t>
      </w:r>
    </w:p>
    <w:p w14:paraId="31D67D29">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60A789F3">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5C822D40">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43CA1253">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lang w:val="en-US" w:eastAsia="zh-CN"/>
        </w:rPr>
      </w:pPr>
      <w:r>
        <w:rPr>
          <w:rFonts w:hint="eastAsia" w:asciiTheme="minorEastAsia" w:hAnsiTheme="minorEastAsia" w:eastAsiaTheme="minorEastAsia" w:cstheme="minorEastAsia"/>
          <w:b w:val="0"/>
          <w:bCs w:val="0"/>
          <w:snapToGrid/>
          <w:color w:val="000000"/>
          <w:spacing w:val="0"/>
          <w:kern w:val="21"/>
          <w:sz w:val="22"/>
          <w:szCs w:val="22"/>
          <w:highlight w:val="none"/>
        </w:rPr>
        <w:t>供应商名称（加盖公章）</w:t>
      </w:r>
      <w:r>
        <w:rPr>
          <w:rFonts w:hint="eastAsia" w:asciiTheme="minorEastAsia" w:hAnsiTheme="minorEastAsia" w:eastAsiaTheme="minorEastAsia" w:cstheme="minorEastAsia"/>
          <w:b w:val="0"/>
          <w:bCs w:val="0"/>
          <w:snapToGrid/>
          <w:color w:val="000000"/>
          <w:spacing w:val="0"/>
          <w:kern w:val="21"/>
          <w:sz w:val="22"/>
          <w:szCs w:val="22"/>
          <w:highlight w:val="none"/>
          <w:lang w:val="zh-CN"/>
        </w:rPr>
        <w:t>：</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p>
    <w:p w14:paraId="2D824B52">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日期：</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年</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月</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日</w:t>
      </w:r>
    </w:p>
    <w:p w14:paraId="421CF3B2">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br w:type="page"/>
      </w:r>
      <w:r>
        <w:rPr>
          <w:rFonts w:hint="eastAsia" w:asciiTheme="minorEastAsia" w:hAnsiTheme="minorEastAsia" w:eastAsiaTheme="minorEastAsia" w:cstheme="minorEastAsia"/>
          <w:b w:val="0"/>
          <w:bCs w:val="0"/>
          <w:snapToGrid/>
          <w:spacing w:val="0"/>
          <w:kern w:val="21"/>
          <w:sz w:val="24"/>
          <w:szCs w:val="24"/>
          <w:highlight w:val="none"/>
        </w:rPr>
        <w:t>9</w:t>
      </w:r>
      <w:bookmarkEnd w:id="749"/>
      <w:bookmarkEnd w:id="750"/>
      <w:bookmarkEnd w:id="751"/>
      <w:bookmarkEnd w:id="752"/>
      <w:bookmarkEnd w:id="753"/>
      <w:bookmarkEnd w:id="754"/>
      <w:bookmarkEnd w:id="755"/>
      <w:bookmarkEnd w:id="756"/>
      <w:bookmarkEnd w:id="757"/>
      <w:bookmarkEnd w:id="758"/>
      <w:bookmarkEnd w:id="759"/>
      <w:bookmarkEnd w:id="760"/>
      <w:bookmarkEnd w:id="761"/>
      <w:r>
        <w:rPr>
          <w:rFonts w:hint="eastAsia" w:asciiTheme="minorEastAsia" w:hAnsiTheme="minorEastAsia" w:eastAsiaTheme="minorEastAsia" w:cstheme="minorEastAsia"/>
          <w:b w:val="0"/>
          <w:bCs w:val="0"/>
          <w:snapToGrid/>
          <w:spacing w:val="0"/>
          <w:kern w:val="21"/>
          <w:sz w:val="24"/>
          <w:szCs w:val="24"/>
          <w:highlight w:val="none"/>
        </w:rPr>
        <w:t>采购需求偏离表（实质性格式）</w:t>
      </w:r>
    </w:p>
    <w:p w14:paraId="47BCCDA8">
      <w:pPr>
        <w:keepNext w:val="0"/>
        <w:keepLines w:val="0"/>
        <w:pageBreakBefore w:val="0"/>
        <w:widowControl w:val="0"/>
        <w:kinsoku/>
        <w:wordWrap w:val="0"/>
        <w:overflowPunct/>
        <w:topLinePunct/>
        <w:autoSpaceDE/>
        <w:autoSpaceDN/>
        <w:bidi w:val="0"/>
        <w:adjustRightIn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采购需求偏离表</w:t>
      </w:r>
    </w:p>
    <w:p w14:paraId="5367974D">
      <w:pPr>
        <w:pStyle w:val="6"/>
        <w:keepNext w:val="0"/>
        <w:keepLines w:val="0"/>
        <w:pageBreakBefore w:val="0"/>
        <w:widowControl w:val="0"/>
        <w:kinsoku/>
        <w:wordWrap w:val="0"/>
        <w:overflowPunct/>
        <w:topLinePunct/>
        <w:autoSpaceDE/>
        <w:autoSpaceDN/>
        <w:bidi w:val="0"/>
        <w:spacing w:line="360" w:lineRule="auto"/>
        <w:ind w:left="0" w:leftChars="0" w:firstLine="0" w:firstLineChars="0"/>
        <w:outlineLvl w:val="9"/>
        <w:rPr>
          <w:rFonts w:hint="eastAsia" w:asciiTheme="minorEastAsia" w:hAnsiTheme="minorEastAsia" w:eastAsiaTheme="minorEastAsia" w:cstheme="minorEastAsia"/>
          <w:b w:val="0"/>
          <w:bCs w:val="0"/>
          <w:kern w:val="21"/>
          <w:sz w:val="22"/>
          <w:szCs w:val="22"/>
        </w:rPr>
      </w:pPr>
    </w:p>
    <w:p w14:paraId="5FAD5FC0">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项目编号：</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项目名称：</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2"/>
          <w:szCs w:val="22"/>
          <w:highlight w:val="none"/>
          <w:u w:val="none"/>
          <w:lang w:val="en-US" w:eastAsia="zh-CN"/>
        </w:rPr>
        <w:t xml:space="preserve"> </w:t>
      </w:r>
    </w:p>
    <w:tbl>
      <w:tblPr>
        <w:tblStyle w:val="23"/>
        <w:tblW w:w="9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1619"/>
        <w:gridCol w:w="1619"/>
        <w:gridCol w:w="1619"/>
        <w:gridCol w:w="1619"/>
        <w:gridCol w:w="1619"/>
      </w:tblGrid>
      <w:tr w14:paraId="1E69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Align w:val="center"/>
          </w:tcPr>
          <w:p w14:paraId="5EA9F063">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序号</w:t>
            </w:r>
          </w:p>
        </w:tc>
        <w:tc>
          <w:tcPr>
            <w:tcW w:w="1701" w:type="dxa"/>
            <w:vAlign w:val="center"/>
          </w:tcPr>
          <w:p w14:paraId="48C16FF3">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竞争性磋商文件条目号</w:t>
            </w:r>
          </w:p>
          <w:p w14:paraId="52B61758">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(页码)</w:t>
            </w:r>
          </w:p>
        </w:tc>
        <w:tc>
          <w:tcPr>
            <w:tcW w:w="1701" w:type="dxa"/>
            <w:vAlign w:val="center"/>
          </w:tcPr>
          <w:p w14:paraId="75892C58">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竞争性磋商文件要求</w:t>
            </w:r>
          </w:p>
        </w:tc>
        <w:tc>
          <w:tcPr>
            <w:tcW w:w="1701" w:type="dxa"/>
            <w:vAlign w:val="center"/>
          </w:tcPr>
          <w:p w14:paraId="0777C05E">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响应内容</w:t>
            </w:r>
          </w:p>
        </w:tc>
        <w:tc>
          <w:tcPr>
            <w:tcW w:w="1701" w:type="dxa"/>
            <w:vAlign w:val="center"/>
          </w:tcPr>
          <w:p w14:paraId="217EF4F7">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偏离情况</w:t>
            </w:r>
          </w:p>
          <w:p w14:paraId="52A6A17E">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（据实填写）</w:t>
            </w:r>
          </w:p>
        </w:tc>
        <w:tc>
          <w:tcPr>
            <w:tcW w:w="1701" w:type="dxa"/>
            <w:vAlign w:val="center"/>
          </w:tcPr>
          <w:p w14:paraId="5CD576A6">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说明</w:t>
            </w:r>
          </w:p>
        </w:tc>
      </w:tr>
      <w:tr w14:paraId="2D14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Align w:val="center"/>
          </w:tcPr>
          <w:p w14:paraId="1C634302">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020731BC">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48AA7C9A">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F5234EC">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5588210D">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0423C9C8">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r>
      <w:tr w14:paraId="51CC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Align w:val="center"/>
          </w:tcPr>
          <w:p w14:paraId="59E4D2E0">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4E4D202A">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7347CD4D">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5A81A230">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733F872C">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09CF64A3">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r>
      <w:tr w14:paraId="57A4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Align w:val="center"/>
          </w:tcPr>
          <w:p w14:paraId="554F500C">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5571563">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00499CE">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63C12CBA">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6F0925FE">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55F9BD88">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r>
      <w:tr w14:paraId="78AC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Align w:val="center"/>
          </w:tcPr>
          <w:p w14:paraId="2D8E2551">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0F850A06">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47EFD279">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C876A03">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56E01969">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48AD116D">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r>
      <w:tr w14:paraId="370B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Align w:val="center"/>
          </w:tcPr>
          <w:p w14:paraId="42489CBB">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39F484D3">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EEE7BF9">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05E938C0">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32A70036">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6B69E9F0">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r>
      <w:tr w14:paraId="4E0E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Align w:val="center"/>
          </w:tcPr>
          <w:p w14:paraId="3AB89C6D">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1380198E">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31F0117A">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4B069E55">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68C8E231">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c>
          <w:tcPr>
            <w:tcW w:w="1701" w:type="dxa"/>
            <w:vAlign w:val="center"/>
          </w:tcPr>
          <w:p w14:paraId="22B1F8FA">
            <w:pPr>
              <w:keepNext w:val="0"/>
              <w:keepLines w:val="0"/>
              <w:pageBreakBefore w:val="0"/>
              <w:widowControl w:val="0"/>
              <w:kinsoku/>
              <w:wordWrap w:val="0"/>
              <w:overflowPunct/>
              <w:topLinePunct/>
              <w:autoSpaceDE/>
              <w:autoSpaceDN/>
              <w:bidi w:val="0"/>
              <w:adjustRightInd w:val="0"/>
              <w:snapToGrid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tc>
      </w:tr>
    </w:tbl>
    <w:p w14:paraId="508DFE8F">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注：</w:t>
      </w:r>
    </w:p>
    <w:p w14:paraId="1F62DE16">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lang w:val="en-US" w:eastAsia="zh-CN"/>
        </w:rPr>
        <w:t>1.</w:t>
      </w:r>
      <w:r>
        <w:rPr>
          <w:rFonts w:hint="eastAsia" w:asciiTheme="minorEastAsia" w:hAnsiTheme="minorEastAsia" w:eastAsiaTheme="minorEastAsia" w:cstheme="minorEastAsia"/>
          <w:b w:val="0"/>
          <w:bCs w:val="0"/>
          <w:snapToGrid/>
          <w:color w:val="000000"/>
          <w:spacing w:val="0"/>
          <w:kern w:val="21"/>
          <w:sz w:val="22"/>
          <w:szCs w:val="22"/>
          <w:highlight w:val="none"/>
        </w:rPr>
        <w:t>对</w:t>
      </w:r>
      <w:r>
        <w:rPr>
          <w:rFonts w:hint="eastAsia" w:asciiTheme="minorEastAsia" w:hAnsiTheme="minorEastAsia" w:eastAsiaTheme="minorEastAsia" w:cstheme="minorEastAsia"/>
          <w:b w:val="0"/>
          <w:bCs w:val="0"/>
          <w:snapToGrid/>
          <w:color w:val="000000"/>
          <w:spacing w:val="0"/>
          <w:kern w:val="21"/>
          <w:sz w:val="22"/>
          <w:szCs w:val="22"/>
          <w:highlight w:val="none"/>
          <w:lang w:eastAsia="zh-CN"/>
        </w:rPr>
        <w:t>竞争性磋商</w:t>
      </w:r>
      <w:r>
        <w:rPr>
          <w:rFonts w:hint="eastAsia" w:asciiTheme="minorEastAsia" w:hAnsiTheme="minorEastAsia" w:eastAsiaTheme="minorEastAsia" w:cstheme="minorEastAsia"/>
          <w:b w:val="0"/>
          <w:bCs w:val="0"/>
          <w:snapToGrid/>
          <w:color w:val="000000"/>
          <w:spacing w:val="0"/>
          <w:kern w:val="21"/>
          <w:sz w:val="22"/>
          <w:szCs w:val="22"/>
          <w:highlight w:val="none"/>
        </w:rPr>
        <w:t>中的所有商务、技术要求，如存在偏离情况，请在此表中逐一详细列明，并在“偏离情况”列据实填写“正偏离”或“负偏离”</w:t>
      </w:r>
    </w:p>
    <w:p w14:paraId="6D47C80C">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2.如对</w:t>
      </w:r>
      <w:r>
        <w:rPr>
          <w:rFonts w:hint="eastAsia" w:asciiTheme="minorEastAsia" w:hAnsiTheme="minorEastAsia" w:eastAsiaTheme="minorEastAsia" w:cstheme="minorEastAsia"/>
          <w:b w:val="0"/>
          <w:bCs w:val="0"/>
          <w:snapToGrid/>
          <w:color w:val="000000"/>
          <w:spacing w:val="0"/>
          <w:kern w:val="21"/>
          <w:sz w:val="22"/>
          <w:szCs w:val="22"/>
          <w:highlight w:val="none"/>
          <w:lang w:eastAsia="zh-CN"/>
        </w:rPr>
        <w:t>竞争性磋商</w:t>
      </w:r>
      <w:r>
        <w:rPr>
          <w:rFonts w:hint="eastAsia" w:asciiTheme="minorEastAsia" w:hAnsiTheme="minorEastAsia" w:eastAsiaTheme="minorEastAsia" w:cstheme="minorEastAsia"/>
          <w:b w:val="0"/>
          <w:bCs w:val="0"/>
          <w:snapToGrid/>
          <w:color w:val="000000"/>
          <w:spacing w:val="0"/>
          <w:kern w:val="21"/>
          <w:sz w:val="22"/>
          <w:szCs w:val="22"/>
          <w:highlight w:val="none"/>
        </w:rPr>
        <w:t>中的所有商务、技术要求均不存在偏离情况，可不一一列示，在“偏离情况”列填写“全部响应，无偏离”。</w:t>
      </w:r>
    </w:p>
    <w:p w14:paraId="77B211D8">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5A44E4B0">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33432FCA">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61C8304E">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lang w:val="en-US" w:eastAsia="zh-CN"/>
        </w:rPr>
      </w:pPr>
      <w:r>
        <w:rPr>
          <w:rFonts w:hint="eastAsia" w:asciiTheme="minorEastAsia" w:hAnsiTheme="minorEastAsia" w:eastAsiaTheme="minorEastAsia" w:cstheme="minorEastAsia"/>
          <w:b w:val="0"/>
          <w:bCs w:val="0"/>
          <w:snapToGrid/>
          <w:color w:val="000000"/>
          <w:spacing w:val="0"/>
          <w:kern w:val="21"/>
          <w:sz w:val="22"/>
          <w:szCs w:val="22"/>
          <w:highlight w:val="none"/>
        </w:rPr>
        <w:t>供应商名称（加盖公章）</w:t>
      </w:r>
      <w:r>
        <w:rPr>
          <w:rFonts w:hint="eastAsia" w:asciiTheme="minorEastAsia" w:hAnsiTheme="minorEastAsia" w:eastAsiaTheme="minorEastAsia" w:cstheme="minorEastAsia"/>
          <w:b w:val="0"/>
          <w:bCs w:val="0"/>
          <w:snapToGrid/>
          <w:color w:val="000000"/>
          <w:spacing w:val="0"/>
          <w:kern w:val="21"/>
          <w:sz w:val="22"/>
          <w:szCs w:val="22"/>
          <w:highlight w:val="none"/>
          <w:lang w:val="zh-CN"/>
        </w:rPr>
        <w:t>：</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p>
    <w:p w14:paraId="10D420C2">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日期：</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年</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月</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日</w:t>
      </w:r>
    </w:p>
    <w:p w14:paraId="7E19E742">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br w:type="page"/>
      </w:r>
    </w:p>
    <w:p w14:paraId="2DB1ED41">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10</w:t>
      </w:r>
      <w:r>
        <w:rPr>
          <w:rFonts w:hint="eastAsia" w:asciiTheme="minorEastAsia" w:hAnsiTheme="minorEastAsia" w:eastAsiaTheme="minorEastAsia" w:cstheme="minorEastAsia"/>
          <w:b w:val="0"/>
          <w:bCs w:val="0"/>
          <w:snapToGrid/>
          <w:spacing w:val="0"/>
          <w:kern w:val="21"/>
          <w:sz w:val="24"/>
          <w:szCs w:val="24"/>
          <w:highlight w:val="none"/>
        </w:rPr>
        <w:t>竞争性磋商文件要求提供或供应商认为应附的其他材料</w:t>
      </w:r>
    </w:p>
    <w:p w14:paraId="0390E7A2">
      <w:pPr>
        <w:keepNext w:val="0"/>
        <w:keepLines w:val="0"/>
        <w:pageBreakBefore w:val="0"/>
        <w:widowControl w:val="0"/>
        <w:tabs>
          <w:tab w:val="left" w:pos="360"/>
        </w:tabs>
        <w:kinsoku/>
        <w:wordWrap w:val="0"/>
        <w:overflowPunct/>
        <w:topLinePunct/>
        <w:autoSpaceDE/>
        <w:autoSpaceDN/>
        <w:bidi w:val="0"/>
        <w:snapToGrid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bookmarkStart w:id="762" w:name="_Toc16280"/>
      <w:r>
        <w:rPr>
          <w:rFonts w:hint="eastAsia" w:asciiTheme="minorEastAsia" w:hAnsiTheme="minorEastAsia" w:eastAsiaTheme="minorEastAsia" w:cstheme="minorEastAsia"/>
          <w:b w:val="0"/>
          <w:bCs w:val="0"/>
          <w:snapToGrid/>
          <w:spacing w:val="0"/>
          <w:kern w:val="21"/>
          <w:sz w:val="24"/>
          <w:szCs w:val="24"/>
          <w:highlight w:val="none"/>
          <w:lang w:val="en-US" w:eastAsia="zh-CN"/>
        </w:rPr>
        <w:t>10-1供应商信息采集表</w:t>
      </w:r>
    </w:p>
    <w:tbl>
      <w:tblPr>
        <w:tblStyle w:val="24"/>
        <w:tblW w:w="9750"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0"/>
        <w:gridCol w:w="3250"/>
        <w:gridCol w:w="3250"/>
      </w:tblGrid>
      <w:tr w14:paraId="3D3A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Align w:val="center"/>
          </w:tcPr>
          <w:p w14:paraId="5F69CF4F">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供应商名称</w:t>
            </w:r>
          </w:p>
        </w:tc>
        <w:tc>
          <w:tcPr>
            <w:tcW w:w="1701" w:type="dxa"/>
            <w:vAlign w:val="center"/>
          </w:tcPr>
          <w:p w14:paraId="052463AA">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供应商所属性别</w:t>
            </w:r>
          </w:p>
        </w:tc>
        <w:tc>
          <w:tcPr>
            <w:tcW w:w="1701" w:type="dxa"/>
            <w:vAlign w:val="center"/>
          </w:tcPr>
          <w:p w14:paraId="5FF4BDBC">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外商投资类型</w:t>
            </w:r>
          </w:p>
        </w:tc>
      </w:tr>
      <w:tr w14:paraId="10D0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Align w:val="center"/>
          </w:tcPr>
          <w:p w14:paraId="26B47A41">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701" w:type="dxa"/>
            <w:vAlign w:val="center"/>
          </w:tcPr>
          <w:p w14:paraId="470C0DE4">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701" w:type="dxa"/>
            <w:vAlign w:val="center"/>
          </w:tcPr>
          <w:p w14:paraId="30693EF5">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r w14:paraId="2638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Align w:val="center"/>
          </w:tcPr>
          <w:p w14:paraId="3F16B996">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701" w:type="dxa"/>
            <w:vAlign w:val="center"/>
          </w:tcPr>
          <w:p w14:paraId="718630D5">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701" w:type="dxa"/>
            <w:vAlign w:val="center"/>
          </w:tcPr>
          <w:p w14:paraId="7A6D35E8">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r w14:paraId="39C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Align w:val="center"/>
          </w:tcPr>
          <w:p w14:paraId="20DA3C1B">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701" w:type="dxa"/>
            <w:vAlign w:val="center"/>
          </w:tcPr>
          <w:p w14:paraId="29FF195C">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701" w:type="dxa"/>
            <w:vAlign w:val="center"/>
          </w:tcPr>
          <w:p w14:paraId="26972773">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bl>
    <w:p w14:paraId="466D9098">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t>注：</w:t>
      </w:r>
    </w:p>
    <w:p w14:paraId="5C8FD59B">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t>1.供应商如为联合体，则应填写联合体各成员信息。</w:t>
      </w:r>
    </w:p>
    <w:p w14:paraId="30F3A635">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t>2.供应商所属性别请填写“男”或“女”，指拥有供应商51%以上绝对所有权的性别；绝对所有权拥有者可以是一个人，也可以是多人合计计算。</w:t>
      </w:r>
    </w:p>
    <w:p w14:paraId="36A6477C">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t>3.外商投资类型请填写“外商单独投资”、“外商部分投资”或“内资”。</w:t>
      </w:r>
    </w:p>
    <w:p w14:paraId="1FFFABB0">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1726F02E">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516C4D50">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1FE0EB16">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rPr>
        <w:t>供应商名称（加盖公章）</w:t>
      </w:r>
      <w:r>
        <w:rPr>
          <w:rFonts w:hint="eastAsia" w:asciiTheme="minorEastAsia" w:hAnsiTheme="minorEastAsia" w:eastAsiaTheme="minorEastAsia" w:cstheme="minorEastAsia"/>
          <w:b w:val="0"/>
          <w:bCs w:val="0"/>
          <w:snapToGrid/>
          <w:color w:val="000000"/>
          <w:spacing w:val="0"/>
          <w:kern w:val="21"/>
          <w:sz w:val="24"/>
          <w:szCs w:val="24"/>
          <w:highlight w:val="none"/>
          <w:lang w:val="zh-CN"/>
        </w:rPr>
        <w:t>：</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46611DA5">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日期：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日</w:t>
      </w:r>
    </w:p>
    <w:p w14:paraId="1F98B417">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br w:type="page"/>
      </w:r>
    </w:p>
    <w:bookmarkEnd w:id="762"/>
    <w:p w14:paraId="3C7781D3">
      <w:pPr>
        <w:keepNext w:val="0"/>
        <w:keepLines w:val="0"/>
        <w:pageBreakBefore w:val="0"/>
        <w:widowControl w:val="0"/>
        <w:kinsoku/>
        <w:wordWrap w:val="0"/>
        <w:overflowPunct/>
        <w:topLinePunct/>
        <w:autoSpaceDE/>
        <w:autoSpaceDN/>
        <w:bidi w:val="0"/>
        <w:spacing w:line="360" w:lineRule="auto"/>
        <w:jc w:val="both"/>
        <w:outlineLvl w:val="9"/>
        <w:rPr>
          <w:rFonts w:hint="eastAsia" w:asciiTheme="minorEastAsia" w:hAnsiTheme="minorEastAsia" w:eastAsiaTheme="minorEastAsia" w:cstheme="minorEastAsia"/>
          <w:b w:val="0"/>
          <w:bCs w:val="0"/>
          <w:snapToGrid/>
          <w:color w:val="000000"/>
          <w:spacing w:val="0"/>
          <w:kern w:val="21"/>
          <w:sz w:val="24"/>
          <w:szCs w:val="24"/>
          <w:highlight w:val="none"/>
          <w:lang w:eastAsia="zh-CN"/>
        </w:rPr>
      </w:pPr>
      <w:r>
        <w:rPr>
          <w:rFonts w:hint="eastAsia" w:asciiTheme="minorEastAsia" w:hAnsiTheme="minorEastAsia" w:eastAsiaTheme="minorEastAsia" w:cstheme="minorEastAsia"/>
          <w:b w:val="0"/>
          <w:bCs w:val="0"/>
          <w:snapToGrid/>
          <w:color w:val="000000" w:themeColor="text1"/>
          <w:spacing w:val="0"/>
          <w:kern w:val="21"/>
          <w:sz w:val="24"/>
          <w:szCs w:val="24"/>
          <w:highlight w:val="none"/>
          <w:lang w:val="en-US" w:eastAsia="zh-CN"/>
          <w14:textFill>
            <w14:solidFill>
              <w14:schemeClr w14:val="tx1"/>
            </w14:solidFill>
          </w14:textFill>
        </w:rPr>
        <w:t>10</w:t>
      </w:r>
      <w:r>
        <w:rPr>
          <w:rFonts w:hint="eastAsia" w:asciiTheme="minorEastAsia" w:hAnsiTheme="minorEastAsia" w:eastAsiaTheme="minorEastAsia" w:cstheme="minorEastAsia"/>
          <w:b w:val="0"/>
          <w:bCs w:val="0"/>
          <w:snapToGrid/>
          <w:color w:val="000000" w:themeColor="text1"/>
          <w:spacing w:val="0"/>
          <w:kern w:val="21"/>
          <w:sz w:val="24"/>
          <w:szCs w:val="24"/>
          <w:highlight w:val="none"/>
          <w14:textFill>
            <w14:solidFill>
              <w14:schemeClr w14:val="tx1"/>
            </w14:solidFill>
          </w14:textFill>
        </w:rPr>
        <w:t>-</w:t>
      </w:r>
      <w:r>
        <w:rPr>
          <w:rFonts w:hint="eastAsia" w:asciiTheme="minorEastAsia" w:hAnsiTheme="minorEastAsia" w:eastAsiaTheme="minorEastAsia" w:cstheme="minorEastAsia"/>
          <w:b w:val="0"/>
          <w:bCs w:val="0"/>
          <w:snapToGrid/>
          <w:color w:val="000000" w:themeColor="text1"/>
          <w:spacing w:val="0"/>
          <w:kern w:val="2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val="0"/>
          <w:snapToGrid/>
          <w:spacing w:val="0"/>
          <w:kern w:val="21"/>
          <w:sz w:val="24"/>
          <w:szCs w:val="24"/>
          <w:highlight w:val="none"/>
        </w:rPr>
        <w:t>供应商类似项目业绩</w:t>
      </w:r>
    </w:p>
    <w:p w14:paraId="0B554DB4">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项目编号：</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项目名称：</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u w:val="none"/>
          <w:lang w:val="en-US" w:eastAsia="zh-CN"/>
        </w:rPr>
        <w:t xml:space="preserve"> </w:t>
      </w:r>
    </w:p>
    <w:tbl>
      <w:tblPr>
        <w:tblStyle w:val="23"/>
        <w:tblW w:w="9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2420"/>
        <w:gridCol w:w="1626"/>
        <w:gridCol w:w="1626"/>
        <w:gridCol w:w="1626"/>
        <w:gridCol w:w="1626"/>
      </w:tblGrid>
      <w:tr w14:paraId="6DBA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 w:type="dxa"/>
            <w:vAlign w:val="center"/>
          </w:tcPr>
          <w:p w14:paraId="218B04D1">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序号</w:t>
            </w:r>
          </w:p>
        </w:tc>
        <w:tc>
          <w:tcPr>
            <w:tcW w:w="2420" w:type="dxa"/>
            <w:vAlign w:val="center"/>
          </w:tcPr>
          <w:p w14:paraId="2299A7BB">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项目业主</w:t>
            </w:r>
          </w:p>
        </w:tc>
        <w:tc>
          <w:tcPr>
            <w:tcW w:w="1626" w:type="dxa"/>
            <w:vAlign w:val="center"/>
          </w:tcPr>
          <w:p w14:paraId="0D9B5D52">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项目名称</w:t>
            </w:r>
          </w:p>
        </w:tc>
        <w:tc>
          <w:tcPr>
            <w:tcW w:w="1626" w:type="dxa"/>
            <w:vAlign w:val="center"/>
          </w:tcPr>
          <w:p w14:paraId="132AC9AF">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合同金额</w:t>
            </w:r>
          </w:p>
        </w:tc>
        <w:tc>
          <w:tcPr>
            <w:tcW w:w="1626" w:type="dxa"/>
            <w:vAlign w:val="center"/>
          </w:tcPr>
          <w:p w14:paraId="0FC1F361">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合同签订时间</w:t>
            </w:r>
          </w:p>
        </w:tc>
        <w:tc>
          <w:tcPr>
            <w:tcW w:w="1626" w:type="dxa"/>
            <w:vAlign w:val="center"/>
          </w:tcPr>
          <w:p w14:paraId="06F9DECA">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备注</w:t>
            </w:r>
          </w:p>
        </w:tc>
      </w:tr>
      <w:tr w14:paraId="1B30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 w:type="dxa"/>
            <w:vAlign w:val="center"/>
          </w:tcPr>
          <w:p w14:paraId="5C8CE59B">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1</w:t>
            </w:r>
          </w:p>
        </w:tc>
        <w:tc>
          <w:tcPr>
            <w:tcW w:w="2420" w:type="dxa"/>
            <w:vAlign w:val="center"/>
          </w:tcPr>
          <w:p w14:paraId="13F0735A">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35EAA988">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68807D98">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45178FB7">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11C4BC5F">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r w14:paraId="518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 w:type="dxa"/>
            <w:vAlign w:val="center"/>
          </w:tcPr>
          <w:p w14:paraId="7DBE8ECD">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2</w:t>
            </w:r>
          </w:p>
        </w:tc>
        <w:tc>
          <w:tcPr>
            <w:tcW w:w="2420" w:type="dxa"/>
            <w:vAlign w:val="center"/>
          </w:tcPr>
          <w:p w14:paraId="0482B5A8">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5AAD7856">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6BF81C04">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585C85C0">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4D00972F">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r w14:paraId="297F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 w:type="dxa"/>
            <w:vAlign w:val="center"/>
          </w:tcPr>
          <w:p w14:paraId="51744F8B">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3</w:t>
            </w:r>
          </w:p>
        </w:tc>
        <w:tc>
          <w:tcPr>
            <w:tcW w:w="2420" w:type="dxa"/>
            <w:vAlign w:val="center"/>
          </w:tcPr>
          <w:p w14:paraId="60E3B162">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7BA91D48">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68672257">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44FED001">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6237A577">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r w14:paraId="17EF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 w:type="dxa"/>
            <w:vAlign w:val="center"/>
          </w:tcPr>
          <w:p w14:paraId="39BBC01D">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4</w:t>
            </w:r>
          </w:p>
        </w:tc>
        <w:tc>
          <w:tcPr>
            <w:tcW w:w="2420" w:type="dxa"/>
            <w:vAlign w:val="center"/>
          </w:tcPr>
          <w:p w14:paraId="63872E37">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510E03F0">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00AEAA10">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499383E3">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29016719">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r w14:paraId="19C1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 w:type="dxa"/>
            <w:vAlign w:val="center"/>
          </w:tcPr>
          <w:p w14:paraId="7BBC4051">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5</w:t>
            </w:r>
          </w:p>
        </w:tc>
        <w:tc>
          <w:tcPr>
            <w:tcW w:w="2420" w:type="dxa"/>
            <w:vAlign w:val="center"/>
          </w:tcPr>
          <w:p w14:paraId="1A87756F">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7E31C0CE">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7FCF1A9F">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1A4E5BC0">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631FBB9D">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r w14:paraId="0D38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 w:type="dxa"/>
            <w:vAlign w:val="center"/>
          </w:tcPr>
          <w:p w14:paraId="741B9232">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6</w:t>
            </w:r>
          </w:p>
        </w:tc>
        <w:tc>
          <w:tcPr>
            <w:tcW w:w="2420" w:type="dxa"/>
          </w:tcPr>
          <w:p w14:paraId="282EF36D">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tcPr>
          <w:p w14:paraId="66CAC938">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tcPr>
          <w:p w14:paraId="047A3D53">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tcPr>
          <w:p w14:paraId="47085FF1">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tcPr>
          <w:p w14:paraId="3288DB3C">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r w14:paraId="027C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 w:type="dxa"/>
            <w:vAlign w:val="center"/>
          </w:tcPr>
          <w:p w14:paraId="06CD1220">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r>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t>...</w:t>
            </w:r>
          </w:p>
        </w:tc>
        <w:tc>
          <w:tcPr>
            <w:tcW w:w="2420" w:type="dxa"/>
            <w:vAlign w:val="center"/>
          </w:tcPr>
          <w:p w14:paraId="39ABBFE0">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3F27F836">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378C8B64">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76D82ACA">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c>
          <w:tcPr>
            <w:tcW w:w="1626" w:type="dxa"/>
            <w:vAlign w:val="center"/>
          </w:tcPr>
          <w:p w14:paraId="0B425AEE">
            <w:pPr>
              <w:keepNext w:val="0"/>
              <w:keepLines w:val="0"/>
              <w:pageBreakBefore w:val="0"/>
              <w:widowControl w:val="0"/>
              <w:suppressLineNumbers w:val="0"/>
              <w:kinsoku/>
              <w:wordWrap w:val="0"/>
              <w:overflowPunct/>
              <w:topLinePunct/>
              <w:autoSpaceDE/>
              <w:autoSpaceDN/>
              <w:bidi w:val="0"/>
              <w:spacing w:line="360" w:lineRule="auto"/>
              <w:jc w:val="center"/>
              <w:textAlignment w:val="center"/>
              <w:outlineLvl w:val="9"/>
              <w:rPr>
                <w:rFonts w:hint="eastAsia" w:asciiTheme="minorEastAsia" w:hAnsiTheme="minorEastAsia" w:eastAsiaTheme="minorEastAsia" w:cstheme="minorEastAsia"/>
                <w:b w:val="0"/>
                <w:bCs w:val="0"/>
                <w:i w:val="0"/>
                <w:iCs w:val="0"/>
                <w:snapToGrid/>
                <w:color w:val="auto"/>
                <w:spacing w:val="0"/>
                <w:kern w:val="21"/>
                <w:sz w:val="24"/>
                <w:szCs w:val="24"/>
                <w:highlight w:val="none"/>
                <w:u w:val="none"/>
                <w:lang w:val="en-US" w:eastAsia="zh-CN" w:bidi="ar"/>
              </w:rPr>
            </w:pPr>
          </w:p>
        </w:tc>
      </w:tr>
    </w:tbl>
    <w:p w14:paraId="18ABD32D">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注：</w:t>
      </w:r>
    </w:p>
    <w:p w14:paraId="50666870">
      <w:pPr>
        <w:keepNext w:val="0"/>
        <w:keepLines w:val="0"/>
        <w:pageBreakBefore w:val="0"/>
        <w:widowControl w:val="0"/>
        <w:tabs>
          <w:tab w:val="left" w:pos="1080"/>
        </w:tabs>
        <w:kinsoku/>
        <w:wordWrap w:val="0"/>
        <w:overflowPunct/>
        <w:topLinePunct/>
        <w:autoSpaceDE/>
        <w:autoSpaceDN/>
        <w:bidi w:val="0"/>
        <w:snapToGrid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1、</w:t>
      </w:r>
      <w:r>
        <w:rPr>
          <w:rFonts w:hint="eastAsia" w:asciiTheme="minorEastAsia" w:hAnsiTheme="minorEastAsia" w:eastAsiaTheme="minorEastAsia" w:cstheme="minorEastAsia"/>
          <w:b w:val="0"/>
          <w:bCs w:val="0"/>
          <w:snapToGrid/>
          <w:spacing w:val="0"/>
          <w:kern w:val="21"/>
          <w:sz w:val="24"/>
          <w:szCs w:val="24"/>
          <w:highlight w:val="none"/>
          <w:lang w:eastAsia="zh-CN"/>
        </w:rPr>
        <w:t>供应商</w:t>
      </w:r>
      <w:r>
        <w:rPr>
          <w:rFonts w:hint="eastAsia" w:asciiTheme="minorEastAsia" w:hAnsiTheme="minorEastAsia" w:eastAsiaTheme="minorEastAsia" w:cstheme="minorEastAsia"/>
          <w:b w:val="0"/>
          <w:bCs w:val="0"/>
          <w:snapToGrid/>
          <w:spacing w:val="0"/>
          <w:kern w:val="21"/>
          <w:sz w:val="24"/>
          <w:szCs w:val="24"/>
          <w:highlight w:val="none"/>
        </w:rPr>
        <w:t>提供近三年（</w:t>
      </w:r>
      <w:r>
        <w:rPr>
          <w:rFonts w:hint="eastAsia" w:asciiTheme="minorEastAsia" w:hAnsiTheme="minorEastAsia" w:eastAsiaTheme="minorEastAsia" w:cstheme="minorEastAsia"/>
          <w:b w:val="0"/>
          <w:bCs w:val="0"/>
          <w:snapToGrid/>
          <w:spacing w:val="0"/>
          <w:kern w:val="21"/>
          <w:sz w:val="24"/>
          <w:szCs w:val="24"/>
          <w:highlight w:val="none"/>
          <w:lang w:eastAsia="zh-CN"/>
        </w:rPr>
        <w:t>2023年8月4日至2026年8月3日</w:t>
      </w:r>
      <w:r>
        <w:rPr>
          <w:rFonts w:hint="eastAsia" w:asciiTheme="minorEastAsia" w:hAnsiTheme="minorEastAsia" w:eastAsiaTheme="minorEastAsia" w:cstheme="minorEastAsia"/>
          <w:b w:val="0"/>
          <w:bCs w:val="0"/>
          <w:snapToGrid/>
          <w:spacing w:val="0"/>
          <w:kern w:val="21"/>
          <w:sz w:val="24"/>
          <w:szCs w:val="24"/>
          <w:highlight w:val="none"/>
        </w:rPr>
        <w:t>，以合同签订时间为准</w:t>
      </w: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rPr>
        <w:t>合同上未体现签订时间的业绩不予认可）</w:t>
      </w:r>
      <w:r>
        <w:rPr>
          <w:rFonts w:hint="eastAsia" w:asciiTheme="minorEastAsia" w:hAnsiTheme="minorEastAsia" w:eastAsiaTheme="minorEastAsia" w:cstheme="minorEastAsia"/>
          <w:b w:val="0"/>
          <w:bCs w:val="0"/>
          <w:snapToGrid/>
          <w:spacing w:val="0"/>
          <w:kern w:val="21"/>
          <w:sz w:val="24"/>
          <w:szCs w:val="24"/>
          <w:highlight w:val="none"/>
          <w:lang w:eastAsia="zh-CN"/>
        </w:rPr>
        <w:t>类似项目业绩</w:t>
      </w:r>
      <w:r>
        <w:rPr>
          <w:rFonts w:hint="eastAsia" w:asciiTheme="minorEastAsia" w:hAnsiTheme="minorEastAsia" w:eastAsiaTheme="minorEastAsia" w:cstheme="minorEastAsia"/>
          <w:b w:val="0"/>
          <w:bCs w:val="0"/>
          <w:snapToGrid/>
          <w:spacing w:val="0"/>
          <w:kern w:val="21"/>
          <w:sz w:val="24"/>
          <w:szCs w:val="24"/>
          <w:highlight w:val="none"/>
        </w:rPr>
        <w:t>，</w:t>
      </w:r>
      <w:r>
        <w:rPr>
          <w:rFonts w:hint="eastAsia" w:asciiTheme="minorEastAsia" w:hAnsiTheme="minorEastAsia" w:eastAsiaTheme="minorEastAsia" w:cstheme="minorEastAsia"/>
          <w:b w:val="0"/>
          <w:bCs w:val="0"/>
          <w:snapToGrid/>
          <w:spacing w:val="0"/>
          <w:kern w:val="21"/>
          <w:sz w:val="24"/>
          <w:szCs w:val="24"/>
          <w:highlight w:val="none"/>
          <w:lang w:val="en-US" w:eastAsia="zh-CN"/>
        </w:rPr>
        <w:t>需</w:t>
      </w:r>
      <w:r>
        <w:rPr>
          <w:rFonts w:hint="eastAsia" w:asciiTheme="minorEastAsia" w:hAnsiTheme="minorEastAsia" w:eastAsiaTheme="minorEastAsia" w:cstheme="minorEastAsia"/>
          <w:b w:val="0"/>
          <w:bCs w:val="0"/>
          <w:snapToGrid/>
          <w:spacing w:val="0"/>
          <w:kern w:val="21"/>
          <w:sz w:val="24"/>
          <w:szCs w:val="24"/>
          <w:highlight w:val="none"/>
        </w:rPr>
        <w:t>提供合同首页、服务主要内容页、盖章页等关键页</w:t>
      </w:r>
      <w:r>
        <w:rPr>
          <w:rFonts w:hint="eastAsia" w:asciiTheme="minorEastAsia" w:hAnsiTheme="minorEastAsia" w:eastAsiaTheme="minorEastAsia" w:cstheme="minorEastAsia"/>
          <w:b w:val="0"/>
          <w:bCs w:val="0"/>
          <w:snapToGrid/>
          <w:spacing w:val="0"/>
          <w:kern w:val="21"/>
          <w:sz w:val="24"/>
          <w:szCs w:val="24"/>
          <w:highlight w:val="none"/>
          <w:lang w:val="en-US" w:eastAsia="zh-CN"/>
        </w:rPr>
        <w:t>扫描件</w:t>
      </w:r>
      <w:r>
        <w:rPr>
          <w:rFonts w:hint="eastAsia" w:asciiTheme="minorEastAsia" w:hAnsiTheme="minorEastAsia" w:eastAsiaTheme="minorEastAsia" w:cstheme="minorEastAsia"/>
          <w:b w:val="0"/>
          <w:bCs w:val="0"/>
          <w:snapToGrid/>
          <w:spacing w:val="0"/>
          <w:kern w:val="21"/>
          <w:sz w:val="24"/>
          <w:szCs w:val="24"/>
          <w:highlight w:val="none"/>
        </w:rPr>
        <w:t>并加盖公章。</w:t>
      </w:r>
    </w:p>
    <w:p w14:paraId="30517A79">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280B4F73">
      <w:pPr>
        <w:keepNext w:val="0"/>
        <w:keepLines w:val="0"/>
        <w:pageBreakBefore w:val="0"/>
        <w:widowControl w:val="0"/>
        <w:kinsoku/>
        <w:wordWrap/>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70492C0B">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1712A1E6">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6EC4F5F3">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rPr>
        <w:t>供应商名称（加盖公章）</w:t>
      </w:r>
      <w:r>
        <w:rPr>
          <w:rFonts w:hint="eastAsia" w:asciiTheme="minorEastAsia" w:hAnsiTheme="minorEastAsia" w:eastAsiaTheme="minorEastAsia" w:cstheme="minorEastAsia"/>
          <w:b w:val="0"/>
          <w:bCs w:val="0"/>
          <w:snapToGrid/>
          <w:color w:val="000000"/>
          <w:spacing w:val="0"/>
          <w:kern w:val="21"/>
          <w:sz w:val="24"/>
          <w:szCs w:val="24"/>
          <w:highlight w:val="none"/>
          <w:lang w:val="zh-CN"/>
        </w:rPr>
        <w:t>：</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367B7430">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日期：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日</w:t>
      </w:r>
    </w:p>
    <w:p w14:paraId="423828EE">
      <w:pPr>
        <w:keepNext w:val="0"/>
        <w:keepLines w:val="0"/>
        <w:pageBreakBefore w:val="0"/>
        <w:widowControl w:val="0"/>
        <w:kinsoku/>
        <w:wordWrap w:val="0"/>
        <w:overflowPunct/>
        <w:topLinePunct/>
        <w:autoSpaceDE/>
        <w:autoSpaceDN/>
        <w:bidi w:val="0"/>
        <w:adjustRightInd w:val="0"/>
        <w:snapToGrid w:val="0"/>
        <w:spacing w:line="360" w:lineRule="auto"/>
        <w:ind w:firstLine="180" w:firstLineChars="75"/>
        <w:jc w:val="left"/>
        <w:outlineLvl w:val="9"/>
        <w:rPr>
          <w:rFonts w:hint="eastAsia" w:asciiTheme="minorEastAsia" w:hAnsiTheme="minorEastAsia" w:eastAsiaTheme="minorEastAsia" w:cstheme="minorEastAsia"/>
          <w:b w:val="0"/>
          <w:bCs w:val="0"/>
          <w:snapToGrid/>
          <w:spacing w:val="0"/>
          <w:kern w:val="21"/>
          <w:sz w:val="24"/>
          <w:szCs w:val="24"/>
          <w:highlight w:val="none"/>
        </w:rPr>
      </w:pPr>
    </w:p>
    <w:p w14:paraId="41EA201F">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sectPr>
          <w:pgSz w:w="11907" w:h="16840"/>
          <w:pgMar w:top="1440" w:right="1080" w:bottom="1440" w:left="1080" w:header="851" w:footer="851" w:gutter="0"/>
          <w:pgNumType w:fmt="decimal"/>
          <w:cols w:space="720" w:num="1"/>
          <w:docGrid w:linePitch="462" w:charSpace="0"/>
        </w:sectPr>
      </w:pPr>
    </w:p>
    <w:p w14:paraId="21DEEE23">
      <w:pPr>
        <w:keepNext w:val="0"/>
        <w:keepLines w:val="0"/>
        <w:pageBreakBefore w:val="0"/>
        <w:widowControl w:val="0"/>
        <w:kinsoku/>
        <w:wordWrap w:val="0"/>
        <w:overflowPunct/>
        <w:topLinePunct/>
        <w:autoSpaceDE/>
        <w:autoSpaceDN/>
        <w:bidi w:val="0"/>
        <w:adjustRightInd w:val="0"/>
        <w:snapToGrid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10-3招标代理服务费承诺书</w:t>
      </w:r>
    </w:p>
    <w:p w14:paraId="19E38DC4">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u w:val="single"/>
        </w:rPr>
      </w:pPr>
    </w:p>
    <w:p w14:paraId="535E9328">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u w:val="single"/>
        </w:rPr>
        <w:t>北京中盛宇工程管理有限公司</w:t>
      </w:r>
      <w:r>
        <w:rPr>
          <w:rFonts w:hint="eastAsia" w:asciiTheme="minorEastAsia" w:hAnsiTheme="minorEastAsia" w:eastAsiaTheme="minorEastAsia" w:cstheme="minorEastAsia"/>
          <w:b w:val="0"/>
          <w:bCs w:val="0"/>
          <w:snapToGrid/>
          <w:spacing w:val="0"/>
          <w:kern w:val="21"/>
          <w:sz w:val="24"/>
          <w:szCs w:val="24"/>
          <w:highlight w:val="none"/>
        </w:rPr>
        <w:t>：</w:t>
      </w:r>
    </w:p>
    <w:p w14:paraId="0C612B7A">
      <w:pPr>
        <w:keepNext w:val="0"/>
        <w:keepLines w:val="0"/>
        <w:pageBreakBefore w:val="0"/>
        <w:widowControl w:val="0"/>
        <w:kinsoku/>
        <w:wordWrap w:val="0"/>
        <w:overflowPunct/>
        <w:topLinePunct/>
        <w:autoSpaceDE/>
        <w:autoSpaceDN/>
        <w:bidi w:val="0"/>
        <w:spacing w:line="360" w:lineRule="auto"/>
        <w:ind w:firstLine="480" w:firstLineChars="200"/>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我公司在贵公司组织的</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（项目名称，项目编号）</w:t>
      </w:r>
      <w:r>
        <w:rPr>
          <w:rFonts w:hint="eastAsia" w:asciiTheme="minorEastAsia" w:hAnsiTheme="minorEastAsia" w:eastAsiaTheme="minorEastAsia" w:cstheme="minorEastAsia"/>
          <w:b w:val="0"/>
          <w:bCs w:val="0"/>
          <w:snapToGrid/>
          <w:spacing w:val="0"/>
          <w:kern w:val="21"/>
          <w:sz w:val="24"/>
          <w:szCs w:val="24"/>
          <w:highlight w:val="none"/>
        </w:rPr>
        <w:t>的招标中若为</w:t>
      </w:r>
      <w:r>
        <w:rPr>
          <w:rFonts w:hint="eastAsia" w:asciiTheme="minorEastAsia" w:hAnsiTheme="minorEastAsia" w:eastAsiaTheme="minorEastAsia" w:cstheme="minorEastAsia"/>
          <w:b w:val="0"/>
          <w:bCs w:val="0"/>
          <w:snapToGrid/>
          <w:spacing w:val="0"/>
          <w:kern w:val="21"/>
          <w:sz w:val="24"/>
          <w:szCs w:val="24"/>
          <w:highlight w:val="none"/>
          <w:lang w:val="en-US" w:eastAsia="zh-CN"/>
        </w:rPr>
        <w:t>成交供应商</w:t>
      </w:r>
      <w:r>
        <w:rPr>
          <w:rFonts w:hint="eastAsia" w:asciiTheme="minorEastAsia" w:hAnsiTheme="minorEastAsia" w:eastAsiaTheme="minorEastAsia" w:cstheme="minorEastAsia"/>
          <w:b w:val="0"/>
          <w:bCs w:val="0"/>
          <w:snapToGrid/>
          <w:spacing w:val="0"/>
          <w:kern w:val="21"/>
          <w:sz w:val="24"/>
          <w:szCs w:val="24"/>
          <w:highlight w:val="none"/>
        </w:rPr>
        <w:t>，我公司保证在领取</w:t>
      </w:r>
      <w:r>
        <w:rPr>
          <w:rFonts w:hint="eastAsia" w:asciiTheme="minorEastAsia" w:hAnsiTheme="minorEastAsia" w:eastAsiaTheme="minorEastAsia" w:cstheme="minorEastAsia"/>
          <w:b w:val="0"/>
          <w:bCs w:val="0"/>
          <w:snapToGrid/>
          <w:spacing w:val="0"/>
          <w:kern w:val="21"/>
          <w:sz w:val="24"/>
          <w:szCs w:val="24"/>
          <w:highlight w:val="none"/>
          <w:lang w:val="en-US" w:eastAsia="zh-CN"/>
        </w:rPr>
        <w:t>成交</w:t>
      </w:r>
      <w:r>
        <w:rPr>
          <w:rFonts w:hint="eastAsia" w:asciiTheme="minorEastAsia" w:hAnsiTheme="minorEastAsia" w:eastAsiaTheme="minorEastAsia" w:cstheme="minorEastAsia"/>
          <w:b w:val="0"/>
          <w:bCs w:val="0"/>
          <w:snapToGrid/>
          <w:spacing w:val="0"/>
          <w:kern w:val="21"/>
          <w:sz w:val="24"/>
          <w:szCs w:val="24"/>
          <w:highlight w:val="none"/>
        </w:rPr>
        <w:t>通知书时按</w:t>
      </w:r>
      <w:r>
        <w:rPr>
          <w:rFonts w:hint="eastAsia" w:asciiTheme="minorEastAsia" w:hAnsiTheme="minorEastAsia" w:eastAsiaTheme="minorEastAsia" w:cstheme="minorEastAsia"/>
          <w:b w:val="0"/>
          <w:bCs w:val="0"/>
          <w:snapToGrid/>
          <w:spacing w:val="0"/>
          <w:kern w:val="21"/>
          <w:sz w:val="24"/>
          <w:szCs w:val="24"/>
          <w:highlight w:val="none"/>
          <w:lang w:val="en-US" w:eastAsia="zh-CN"/>
        </w:rPr>
        <w:t>竞争性磋商</w:t>
      </w:r>
      <w:r>
        <w:rPr>
          <w:rFonts w:hint="eastAsia" w:asciiTheme="minorEastAsia" w:hAnsiTheme="minorEastAsia" w:eastAsiaTheme="minorEastAsia" w:cstheme="minorEastAsia"/>
          <w:b w:val="0"/>
          <w:bCs w:val="0"/>
          <w:snapToGrid/>
          <w:spacing w:val="0"/>
          <w:kern w:val="21"/>
          <w:sz w:val="24"/>
          <w:szCs w:val="24"/>
          <w:highlight w:val="none"/>
        </w:rPr>
        <w:t>的规定向贵公司支付招标代理服务费。如我公司未按上述承诺支付招标代理服务费，贵公司有权取消我公司的</w:t>
      </w:r>
      <w:r>
        <w:rPr>
          <w:rFonts w:hint="eastAsia" w:asciiTheme="minorEastAsia" w:hAnsiTheme="minorEastAsia" w:eastAsiaTheme="minorEastAsia" w:cstheme="minorEastAsia"/>
          <w:b w:val="0"/>
          <w:bCs w:val="0"/>
          <w:snapToGrid/>
          <w:spacing w:val="0"/>
          <w:kern w:val="21"/>
          <w:sz w:val="24"/>
          <w:szCs w:val="24"/>
          <w:highlight w:val="none"/>
          <w:lang w:val="en-US" w:eastAsia="zh-CN"/>
        </w:rPr>
        <w:t>成交</w:t>
      </w:r>
      <w:r>
        <w:rPr>
          <w:rFonts w:hint="eastAsia" w:asciiTheme="minorEastAsia" w:hAnsiTheme="minorEastAsia" w:eastAsiaTheme="minorEastAsia" w:cstheme="minorEastAsia"/>
          <w:b w:val="0"/>
          <w:bCs w:val="0"/>
          <w:snapToGrid/>
          <w:spacing w:val="0"/>
          <w:kern w:val="21"/>
          <w:sz w:val="24"/>
          <w:szCs w:val="24"/>
          <w:highlight w:val="none"/>
        </w:rPr>
        <w:t>资格，由此产生的一切法律后果和责任由我公司承担。</w:t>
      </w:r>
    </w:p>
    <w:p w14:paraId="567365AB">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5554740F">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19F836B5">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2AAEF3C9">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rPr>
        <w:t>供应商名称（加盖公章）</w:t>
      </w:r>
      <w:r>
        <w:rPr>
          <w:rFonts w:hint="eastAsia" w:asciiTheme="minorEastAsia" w:hAnsiTheme="minorEastAsia" w:eastAsiaTheme="minorEastAsia" w:cstheme="minorEastAsia"/>
          <w:b w:val="0"/>
          <w:bCs w:val="0"/>
          <w:snapToGrid/>
          <w:color w:val="000000"/>
          <w:spacing w:val="0"/>
          <w:kern w:val="21"/>
          <w:sz w:val="24"/>
          <w:szCs w:val="24"/>
          <w:highlight w:val="none"/>
          <w:lang w:val="zh-CN"/>
        </w:rPr>
        <w:t>：</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6045D781">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rPr>
        <w:t>日期：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日</w:t>
      </w:r>
    </w:p>
    <w:p w14:paraId="09C177FC">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br w:type="page"/>
      </w:r>
    </w:p>
    <w:p w14:paraId="15A7B490">
      <w:pPr>
        <w:keepNext w:val="0"/>
        <w:keepLines w:val="0"/>
        <w:pageBreakBefore w:val="0"/>
        <w:widowControl w:val="0"/>
        <w:kinsoku/>
        <w:wordWrap w:val="0"/>
        <w:overflowPunct/>
        <w:topLinePunct/>
        <w:autoSpaceDE/>
        <w:autoSpaceDN/>
        <w:bidi w:val="0"/>
        <w:adjustRightInd w:val="0"/>
        <w:snapToGrid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10-4</w:t>
      </w:r>
      <w:r>
        <w:rPr>
          <w:rFonts w:hint="eastAsia" w:asciiTheme="minorEastAsia" w:hAnsiTheme="minorEastAsia" w:eastAsiaTheme="minorEastAsia" w:cstheme="minorEastAsia"/>
          <w:b w:val="0"/>
          <w:bCs w:val="0"/>
          <w:snapToGrid/>
          <w:spacing w:val="0"/>
          <w:kern w:val="21"/>
          <w:sz w:val="24"/>
          <w:szCs w:val="24"/>
          <w:highlight w:val="none"/>
        </w:rPr>
        <w:t>供应商认为应附的其他材料</w:t>
      </w:r>
    </w:p>
    <w:p w14:paraId="31D146AB">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p>
    <w:p w14:paraId="287BFDBE">
      <w:pPr>
        <w:keepNext w:val="0"/>
        <w:keepLines w:val="0"/>
        <w:pageBreakBefore w:val="0"/>
        <w:widowControl w:val="0"/>
        <w:kinsoku/>
        <w:wordWrap w:val="0"/>
        <w:overflowPunct/>
        <w:topLinePunct/>
        <w:autoSpaceDE/>
        <w:autoSpaceDN/>
        <w:bidi w:val="0"/>
        <w:adjustRightInd w:val="0"/>
        <w:snapToGrid w:val="0"/>
        <w:spacing w:line="360" w:lineRule="auto"/>
        <w:jc w:val="both"/>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11服务方案</w:t>
      </w:r>
    </w:p>
    <w:p w14:paraId="681C8992">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（格式自拟）</w:t>
      </w:r>
    </w:p>
    <w:p w14:paraId="38D7622E">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p>
    <w:p w14:paraId="6FBADF9E">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12最后</w:t>
      </w:r>
      <w:r>
        <w:rPr>
          <w:rFonts w:hint="eastAsia" w:asciiTheme="minorEastAsia" w:hAnsiTheme="minorEastAsia" w:eastAsiaTheme="minorEastAsia" w:cstheme="minorEastAsia"/>
          <w:b w:val="0"/>
          <w:bCs w:val="0"/>
          <w:snapToGrid/>
          <w:spacing w:val="0"/>
          <w:kern w:val="21"/>
          <w:sz w:val="24"/>
          <w:szCs w:val="24"/>
          <w:highlight w:val="none"/>
        </w:rPr>
        <w:t>报价一览表</w:t>
      </w:r>
    </w:p>
    <w:p w14:paraId="7C5914C1">
      <w:pPr>
        <w:keepNext w:val="0"/>
        <w:keepLines w:val="0"/>
        <w:pageBreakBefore w:val="0"/>
        <w:widowControl w:val="0"/>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最后</w:t>
      </w:r>
      <w:r>
        <w:rPr>
          <w:rFonts w:hint="eastAsia" w:asciiTheme="minorEastAsia" w:hAnsiTheme="minorEastAsia" w:eastAsiaTheme="minorEastAsia" w:cstheme="minorEastAsia"/>
          <w:b w:val="0"/>
          <w:bCs w:val="0"/>
          <w:snapToGrid/>
          <w:color w:val="000000"/>
          <w:spacing w:val="0"/>
          <w:kern w:val="21"/>
          <w:sz w:val="24"/>
          <w:szCs w:val="24"/>
          <w:highlight w:val="none"/>
        </w:rPr>
        <w:t>报价一览表</w:t>
      </w:r>
    </w:p>
    <w:p w14:paraId="75851E9C">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301B02EE">
      <w:pPr>
        <w:keepNext w:val="0"/>
        <w:keepLines w:val="0"/>
        <w:pageBreakBefore w:val="0"/>
        <w:widowControl w:val="0"/>
        <w:tabs>
          <w:tab w:val="left" w:pos="1800"/>
          <w:tab w:val="left" w:pos="5580"/>
        </w:tabs>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color w:val="000000"/>
          <w:spacing w:val="0"/>
          <w:kern w:val="21"/>
          <w:sz w:val="24"/>
          <w:szCs w:val="24"/>
          <w:highlight w:val="none"/>
          <w:u w:val="single"/>
          <w:lang w:val="en-US"/>
        </w:rPr>
      </w:pPr>
      <w:r>
        <w:rPr>
          <w:rFonts w:hint="eastAsia" w:asciiTheme="minorEastAsia" w:hAnsiTheme="minorEastAsia" w:eastAsiaTheme="minorEastAsia" w:cstheme="minorEastAsia"/>
          <w:b w:val="0"/>
          <w:bCs w:val="0"/>
          <w:snapToGrid/>
          <w:color w:val="000000"/>
          <w:spacing w:val="0"/>
          <w:kern w:val="21"/>
          <w:sz w:val="24"/>
          <w:szCs w:val="24"/>
          <w:highlight w:val="none"/>
        </w:rPr>
        <w:t>项目编号：</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项目名称：</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u w:val="none"/>
          <w:lang w:val="en-US" w:eastAsia="zh-CN"/>
        </w:rPr>
        <w:t xml:space="preserve"> </w:t>
      </w:r>
      <w:r>
        <w:rPr>
          <w:rFonts w:hint="eastAsia" w:asciiTheme="minorEastAsia" w:hAnsiTheme="minorEastAsia" w:eastAsiaTheme="minorEastAsia" w:cstheme="minorEastAsia"/>
          <w:b w:val="0"/>
          <w:bCs w:val="0"/>
          <w:snapToGrid/>
          <w:color w:val="000000"/>
          <w:spacing w:val="0"/>
          <w:w w:val="100"/>
          <w:kern w:val="21"/>
          <w:sz w:val="24"/>
          <w:szCs w:val="24"/>
          <w:highlight w:val="none"/>
        </w:rPr>
        <w:t>报价单位：</w:t>
      </w:r>
      <w:r>
        <w:rPr>
          <w:rFonts w:hint="eastAsia" w:asciiTheme="minorEastAsia" w:hAnsiTheme="minorEastAsia" w:eastAsiaTheme="minorEastAsia" w:cstheme="minorEastAsia"/>
          <w:b w:val="0"/>
          <w:bCs w:val="0"/>
          <w:snapToGrid/>
          <w:color w:val="000000"/>
          <w:spacing w:val="0"/>
          <w:w w:val="100"/>
          <w:kern w:val="21"/>
          <w:sz w:val="24"/>
          <w:szCs w:val="24"/>
          <w:highlight w:val="none"/>
          <w:u w:val="single"/>
        </w:rPr>
        <w:t>人民币元</w:t>
      </w:r>
    </w:p>
    <w:tbl>
      <w:tblPr>
        <w:tblStyle w:val="23"/>
        <w:tblW w:w="9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3"/>
        <w:gridCol w:w="2408"/>
        <w:gridCol w:w="1626"/>
        <w:gridCol w:w="1626"/>
        <w:gridCol w:w="1591"/>
        <w:gridCol w:w="1150"/>
        <w:gridCol w:w="690"/>
      </w:tblGrid>
      <w:tr w14:paraId="50F7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3" w:type="dxa"/>
            <w:vMerge w:val="restart"/>
            <w:tcBorders>
              <w:top w:val="single" w:color="auto" w:sz="4" w:space="0"/>
              <w:left w:val="single" w:color="auto" w:sz="4" w:space="0"/>
              <w:bottom w:val="single" w:color="auto" w:sz="4" w:space="0"/>
              <w:right w:val="single" w:color="auto" w:sz="4" w:space="0"/>
            </w:tcBorders>
            <w:vAlign w:val="center"/>
          </w:tcPr>
          <w:p w14:paraId="4DC1F033">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序号</w:t>
            </w:r>
          </w:p>
        </w:tc>
        <w:tc>
          <w:tcPr>
            <w:tcW w:w="2408" w:type="dxa"/>
            <w:vMerge w:val="restart"/>
            <w:tcBorders>
              <w:top w:val="single" w:color="auto" w:sz="4" w:space="0"/>
              <w:left w:val="single" w:color="auto" w:sz="4" w:space="0"/>
              <w:bottom w:val="single" w:color="auto" w:sz="4" w:space="0"/>
              <w:right w:val="single" w:color="auto" w:sz="4" w:space="0"/>
            </w:tcBorders>
            <w:vAlign w:val="center"/>
          </w:tcPr>
          <w:p w14:paraId="405B5D58">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供应商名称</w:t>
            </w:r>
          </w:p>
        </w:tc>
        <w:tc>
          <w:tcPr>
            <w:tcW w:w="3252" w:type="dxa"/>
            <w:gridSpan w:val="2"/>
            <w:tcBorders>
              <w:top w:val="single" w:color="auto" w:sz="4" w:space="0"/>
              <w:left w:val="single" w:color="auto" w:sz="4" w:space="0"/>
              <w:bottom w:val="single" w:color="auto" w:sz="4" w:space="0"/>
              <w:right w:val="single" w:color="auto" w:sz="4" w:space="0"/>
            </w:tcBorders>
            <w:vAlign w:val="center"/>
          </w:tcPr>
          <w:p w14:paraId="11566FC0">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eastAsia="zh-CN"/>
              </w:rPr>
            </w:pPr>
            <w:r>
              <w:rPr>
                <w:rFonts w:hint="eastAsia" w:asciiTheme="minorEastAsia" w:hAnsiTheme="minorEastAsia" w:eastAsiaTheme="minorEastAsia" w:cstheme="minorEastAsia"/>
                <w:b w:val="0"/>
                <w:bCs w:val="0"/>
                <w:snapToGrid/>
                <w:spacing w:val="0"/>
                <w:kern w:val="21"/>
                <w:sz w:val="24"/>
                <w:szCs w:val="24"/>
                <w:highlight w:val="none"/>
              </w:rPr>
              <w:t>报价</w:t>
            </w:r>
            <w:r>
              <w:rPr>
                <w:rFonts w:hint="eastAsia" w:asciiTheme="minorEastAsia" w:hAnsiTheme="minorEastAsia" w:eastAsiaTheme="minorEastAsia" w:cstheme="minorEastAsia"/>
                <w:b w:val="0"/>
                <w:bCs w:val="0"/>
                <w:snapToGrid/>
                <w:spacing w:val="0"/>
                <w:kern w:val="21"/>
                <w:sz w:val="24"/>
                <w:szCs w:val="24"/>
                <w:highlight w:val="none"/>
                <w:lang w:eastAsia="zh-CN"/>
              </w:rPr>
              <w:t>（</w:t>
            </w:r>
            <w:r>
              <w:rPr>
                <w:rFonts w:hint="eastAsia" w:asciiTheme="minorEastAsia" w:hAnsiTheme="minorEastAsia" w:eastAsiaTheme="minorEastAsia" w:cstheme="minorEastAsia"/>
                <w:b w:val="0"/>
                <w:bCs w:val="0"/>
                <w:snapToGrid/>
                <w:spacing w:val="0"/>
                <w:kern w:val="21"/>
                <w:sz w:val="24"/>
                <w:szCs w:val="24"/>
                <w:highlight w:val="none"/>
                <w:lang w:val="en-US" w:eastAsia="zh-CN"/>
              </w:rPr>
              <w:t>元</w:t>
            </w:r>
            <w:r>
              <w:rPr>
                <w:rFonts w:hint="eastAsia" w:asciiTheme="minorEastAsia" w:hAnsiTheme="minorEastAsia" w:eastAsiaTheme="minorEastAsia" w:cstheme="minorEastAsia"/>
                <w:b w:val="0"/>
                <w:bCs w:val="0"/>
                <w:snapToGrid/>
                <w:spacing w:val="0"/>
                <w:kern w:val="21"/>
                <w:sz w:val="24"/>
                <w:szCs w:val="24"/>
                <w:highlight w:val="none"/>
                <w:lang w:eastAsia="zh-CN"/>
              </w:rPr>
              <w:t>）</w:t>
            </w:r>
          </w:p>
        </w:tc>
        <w:tc>
          <w:tcPr>
            <w:tcW w:w="1591" w:type="dxa"/>
            <w:vMerge w:val="restart"/>
            <w:tcBorders>
              <w:top w:val="single" w:color="auto" w:sz="4" w:space="0"/>
              <w:left w:val="single" w:color="auto" w:sz="4" w:space="0"/>
              <w:right w:val="single" w:color="auto" w:sz="4" w:space="0"/>
            </w:tcBorders>
            <w:vAlign w:val="center"/>
          </w:tcPr>
          <w:p w14:paraId="627B7AFD">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合同履行期限</w:t>
            </w:r>
          </w:p>
        </w:tc>
        <w:tc>
          <w:tcPr>
            <w:tcW w:w="1150" w:type="dxa"/>
            <w:vMerge w:val="restart"/>
            <w:tcBorders>
              <w:top w:val="single" w:color="auto" w:sz="4" w:space="0"/>
              <w:left w:val="single" w:color="auto" w:sz="4" w:space="0"/>
              <w:right w:val="single" w:color="auto" w:sz="4" w:space="0"/>
            </w:tcBorders>
            <w:vAlign w:val="center"/>
          </w:tcPr>
          <w:p w14:paraId="4225B277">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服务地点</w:t>
            </w:r>
          </w:p>
        </w:tc>
        <w:tc>
          <w:tcPr>
            <w:tcW w:w="690" w:type="dxa"/>
            <w:vMerge w:val="restart"/>
            <w:tcBorders>
              <w:top w:val="single" w:color="auto" w:sz="4" w:space="0"/>
              <w:left w:val="single" w:color="auto" w:sz="4" w:space="0"/>
              <w:right w:val="single" w:color="auto" w:sz="4" w:space="0"/>
            </w:tcBorders>
            <w:vAlign w:val="center"/>
          </w:tcPr>
          <w:p w14:paraId="01D74902">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lang w:val="en-US" w:eastAsia="zh-CN"/>
              </w:rPr>
            </w:pPr>
            <w:r>
              <w:rPr>
                <w:rFonts w:hint="eastAsia" w:asciiTheme="minorEastAsia" w:hAnsiTheme="minorEastAsia" w:eastAsiaTheme="minorEastAsia" w:cstheme="minorEastAsia"/>
                <w:b w:val="0"/>
                <w:bCs w:val="0"/>
                <w:snapToGrid/>
                <w:spacing w:val="0"/>
                <w:kern w:val="21"/>
                <w:sz w:val="24"/>
                <w:szCs w:val="24"/>
                <w:highlight w:val="none"/>
              </w:rPr>
              <w:t>备注</w:t>
            </w:r>
          </w:p>
        </w:tc>
      </w:tr>
      <w:tr w14:paraId="0B95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50BC7409">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2408" w:type="dxa"/>
            <w:vMerge w:val="continue"/>
            <w:tcBorders>
              <w:top w:val="single" w:color="auto" w:sz="4" w:space="0"/>
              <w:left w:val="single" w:color="auto" w:sz="4" w:space="0"/>
              <w:bottom w:val="single" w:color="auto" w:sz="4" w:space="0"/>
              <w:right w:val="single" w:color="auto" w:sz="4" w:space="0"/>
            </w:tcBorders>
            <w:vAlign w:val="center"/>
          </w:tcPr>
          <w:p w14:paraId="052C24BC">
            <w:pPr>
              <w:keepNext w:val="0"/>
              <w:keepLines w:val="0"/>
              <w:pageBreakBefore w:val="0"/>
              <w:widowControl w:val="0"/>
              <w:kinsoku/>
              <w:wordWrap w:val="0"/>
              <w:overflowPunct/>
              <w:topLinePunct/>
              <w:autoSpaceDE/>
              <w:autoSpaceDN/>
              <w:bidi w:val="0"/>
              <w:spacing w:line="360" w:lineRule="auto"/>
              <w:jc w:val="left"/>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626" w:type="dxa"/>
            <w:tcBorders>
              <w:top w:val="single" w:color="auto" w:sz="4" w:space="0"/>
              <w:left w:val="single" w:color="auto" w:sz="4" w:space="0"/>
              <w:bottom w:val="single" w:color="auto" w:sz="4" w:space="0"/>
              <w:right w:val="single" w:color="auto" w:sz="4" w:space="0"/>
            </w:tcBorders>
            <w:vAlign w:val="center"/>
          </w:tcPr>
          <w:p w14:paraId="74B3D2E6">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大写</w:t>
            </w:r>
          </w:p>
        </w:tc>
        <w:tc>
          <w:tcPr>
            <w:tcW w:w="1626" w:type="dxa"/>
            <w:tcBorders>
              <w:top w:val="single" w:color="auto" w:sz="4" w:space="0"/>
              <w:left w:val="single" w:color="auto" w:sz="4" w:space="0"/>
              <w:bottom w:val="single" w:color="auto" w:sz="4" w:space="0"/>
              <w:right w:val="single" w:color="auto" w:sz="4" w:space="0"/>
            </w:tcBorders>
            <w:vAlign w:val="center"/>
          </w:tcPr>
          <w:p w14:paraId="5B80CD53">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t>小写</w:t>
            </w:r>
          </w:p>
        </w:tc>
        <w:tc>
          <w:tcPr>
            <w:tcW w:w="1591" w:type="dxa"/>
            <w:vMerge w:val="continue"/>
            <w:tcBorders>
              <w:left w:val="single" w:color="auto" w:sz="4" w:space="0"/>
              <w:bottom w:val="single" w:color="auto" w:sz="4" w:space="0"/>
              <w:right w:val="single" w:color="auto" w:sz="4" w:space="0"/>
            </w:tcBorders>
            <w:vAlign w:val="center"/>
          </w:tcPr>
          <w:p w14:paraId="57F71D07">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150" w:type="dxa"/>
            <w:vMerge w:val="continue"/>
            <w:tcBorders>
              <w:left w:val="single" w:color="auto" w:sz="4" w:space="0"/>
              <w:bottom w:val="single" w:color="auto" w:sz="4" w:space="0"/>
              <w:right w:val="single" w:color="auto" w:sz="4" w:space="0"/>
            </w:tcBorders>
            <w:vAlign w:val="center"/>
          </w:tcPr>
          <w:p w14:paraId="787398C5">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690" w:type="dxa"/>
            <w:vMerge w:val="continue"/>
            <w:tcBorders>
              <w:left w:val="single" w:color="auto" w:sz="4" w:space="0"/>
              <w:bottom w:val="single" w:color="auto" w:sz="4" w:space="0"/>
              <w:right w:val="single" w:color="auto" w:sz="4" w:space="0"/>
            </w:tcBorders>
            <w:vAlign w:val="center"/>
          </w:tcPr>
          <w:p w14:paraId="26AF2ADD">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r>
      <w:tr w14:paraId="4447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4" w:hRule="atLeast"/>
          <w:jc w:val="center"/>
        </w:trPr>
        <w:tc>
          <w:tcPr>
            <w:tcW w:w="653" w:type="dxa"/>
            <w:tcBorders>
              <w:top w:val="single" w:color="auto" w:sz="4" w:space="0"/>
              <w:left w:val="single" w:color="auto" w:sz="4" w:space="0"/>
              <w:bottom w:val="single" w:color="auto" w:sz="4" w:space="0"/>
              <w:right w:val="single" w:color="auto" w:sz="4" w:space="0"/>
            </w:tcBorders>
            <w:vAlign w:val="center"/>
          </w:tcPr>
          <w:p w14:paraId="06A3722C">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2408" w:type="dxa"/>
            <w:tcBorders>
              <w:top w:val="single" w:color="auto" w:sz="4" w:space="0"/>
              <w:left w:val="single" w:color="auto" w:sz="4" w:space="0"/>
              <w:bottom w:val="single" w:color="auto" w:sz="4" w:space="0"/>
              <w:right w:val="single" w:color="auto" w:sz="4" w:space="0"/>
            </w:tcBorders>
            <w:vAlign w:val="center"/>
          </w:tcPr>
          <w:p w14:paraId="0B19B95F">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626" w:type="dxa"/>
            <w:tcBorders>
              <w:top w:val="single" w:color="auto" w:sz="4" w:space="0"/>
              <w:left w:val="single" w:color="auto" w:sz="4" w:space="0"/>
              <w:bottom w:val="single" w:color="auto" w:sz="4" w:space="0"/>
              <w:right w:val="single" w:color="auto" w:sz="4" w:space="0"/>
            </w:tcBorders>
            <w:vAlign w:val="center"/>
          </w:tcPr>
          <w:p w14:paraId="47755E10">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626" w:type="dxa"/>
            <w:tcBorders>
              <w:top w:val="single" w:color="auto" w:sz="4" w:space="0"/>
              <w:left w:val="single" w:color="auto" w:sz="4" w:space="0"/>
              <w:bottom w:val="single" w:color="auto" w:sz="4" w:space="0"/>
              <w:right w:val="single" w:color="auto" w:sz="4" w:space="0"/>
            </w:tcBorders>
            <w:vAlign w:val="center"/>
          </w:tcPr>
          <w:p w14:paraId="183F42FE">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676E9B03">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1150" w:type="dxa"/>
            <w:tcBorders>
              <w:top w:val="single" w:color="auto" w:sz="4" w:space="0"/>
              <w:left w:val="single" w:color="auto" w:sz="4" w:space="0"/>
              <w:bottom w:val="single" w:color="auto" w:sz="4" w:space="0"/>
              <w:right w:val="single" w:color="auto" w:sz="4" w:space="0"/>
            </w:tcBorders>
            <w:vAlign w:val="center"/>
          </w:tcPr>
          <w:p w14:paraId="370ABA66">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570E0CFF">
            <w:pPr>
              <w:keepNext w:val="0"/>
              <w:keepLines w:val="0"/>
              <w:pageBreakBefore w:val="0"/>
              <w:widowControl w:val="0"/>
              <w:tabs>
                <w:tab w:val="left" w:pos="5580"/>
              </w:tabs>
              <w:kinsoku/>
              <w:wordWrap w:val="0"/>
              <w:overflowPunct/>
              <w:topLinePunct/>
              <w:autoSpaceDE/>
              <w:autoSpaceDN/>
              <w:bidi w:val="0"/>
              <w:spacing w:line="360" w:lineRule="auto"/>
              <w:jc w:val="center"/>
              <w:outlineLvl w:val="9"/>
              <w:rPr>
                <w:rFonts w:hint="eastAsia" w:asciiTheme="minorEastAsia" w:hAnsiTheme="minorEastAsia" w:eastAsiaTheme="minorEastAsia" w:cstheme="minorEastAsia"/>
                <w:b w:val="0"/>
                <w:bCs w:val="0"/>
                <w:snapToGrid/>
                <w:spacing w:val="0"/>
                <w:kern w:val="21"/>
                <w:sz w:val="24"/>
                <w:szCs w:val="24"/>
                <w:highlight w:val="none"/>
              </w:rPr>
            </w:pPr>
          </w:p>
        </w:tc>
      </w:tr>
    </w:tbl>
    <w:p w14:paraId="0F141BA4">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注：</w:t>
      </w:r>
    </w:p>
    <w:p w14:paraId="6A6DB40E">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1.此表中，每包的报价应和《</w:t>
      </w:r>
      <w:r>
        <w:rPr>
          <w:rFonts w:hint="eastAsia" w:asciiTheme="minorEastAsia" w:hAnsiTheme="minorEastAsia" w:eastAsiaTheme="minorEastAsia" w:cstheme="minorEastAsia"/>
          <w:b w:val="0"/>
          <w:bCs w:val="0"/>
          <w:snapToGrid/>
          <w:spacing w:val="0"/>
          <w:kern w:val="21"/>
          <w:sz w:val="24"/>
          <w:szCs w:val="24"/>
          <w:highlight w:val="none"/>
          <w:lang w:val="en-US" w:eastAsia="zh-CN"/>
        </w:rPr>
        <w:t>最后</w:t>
      </w:r>
      <w:r>
        <w:rPr>
          <w:rFonts w:hint="eastAsia" w:asciiTheme="minorEastAsia" w:hAnsiTheme="minorEastAsia" w:eastAsiaTheme="minorEastAsia" w:cstheme="minorEastAsia"/>
          <w:b w:val="0"/>
          <w:bCs w:val="0"/>
          <w:snapToGrid/>
          <w:color w:val="000000"/>
          <w:spacing w:val="0"/>
          <w:kern w:val="21"/>
          <w:sz w:val="24"/>
          <w:szCs w:val="24"/>
          <w:highlight w:val="none"/>
        </w:rPr>
        <w:t>分项报价表</w:t>
      </w: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》中的总价相一致。</w:t>
      </w:r>
    </w:p>
    <w:p w14:paraId="73420710">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4"/>
          <w:szCs w:val="24"/>
          <w:highlight w:val="none"/>
          <w:shd w:val="clear" w:color="auto" w:fill="FFFFFF"/>
          <w:lang w:val="en-US" w:eastAsia="zh-CN" w:bidi="ar-SA"/>
        </w:rPr>
        <w:t>2.成交供应商在领取成交通知书的当日，按此格式提交2份纸质版最后报价一览表。</w:t>
      </w:r>
    </w:p>
    <w:p w14:paraId="703B6358">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07E0766F">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20F8D9D0">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rPr>
      </w:pPr>
    </w:p>
    <w:p w14:paraId="085AF283">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kern w:val="21"/>
          <w:sz w:val="24"/>
          <w:szCs w:val="24"/>
          <w:highlight w:val="none"/>
        </w:rPr>
        <w:t>供应商名称（加盖公章）</w:t>
      </w:r>
      <w:r>
        <w:rPr>
          <w:rFonts w:hint="eastAsia" w:asciiTheme="minorEastAsia" w:hAnsiTheme="minorEastAsia" w:eastAsiaTheme="minorEastAsia" w:cstheme="minorEastAsia"/>
          <w:b w:val="0"/>
          <w:bCs w:val="0"/>
          <w:snapToGrid/>
          <w:color w:val="000000"/>
          <w:spacing w:val="0"/>
          <w:kern w:val="21"/>
          <w:sz w:val="24"/>
          <w:szCs w:val="24"/>
          <w:highlight w:val="none"/>
          <w:lang w:val="zh-CN"/>
        </w:rPr>
        <w:t>：</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p>
    <w:p w14:paraId="16EA58A5">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日期：</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年</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月</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日</w:t>
      </w:r>
    </w:p>
    <w:p w14:paraId="53CF1107">
      <w:pPr>
        <w:keepNext w:val="0"/>
        <w:keepLines w:val="0"/>
        <w:pageBreakBefore w:val="0"/>
        <w:widowControl w:val="0"/>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rPr>
        <w:br w:type="page"/>
      </w:r>
    </w:p>
    <w:p w14:paraId="5D90C7C3">
      <w:pPr>
        <w:keepNext w:val="0"/>
        <w:keepLines w:val="0"/>
        <w:pageBreakBefore w:val="0"/>
        <w:widowControl w:val="0"/>
        <w:tabs>
          <w:tab w:val="left" w:pos="360"/>
        </w:tabs>
        <w:kinsoku/>
        <w:wordWrap w:val="0"/>
        <w:overflowPunct/>
        <w:topLinePunct/>
        <w:autoSpaceDE/>
        <w:autoSpaceDN/>
        <w:bidi w:val="0"/>
        <w:snapToGrid w:val="0"/>
        <w:spacing w:line="360" w:lineRule="auto"/>
        <w:outlineLvl w:val="9"/>
        <w:rPr>
          <w:rFonts w:hint="eastAsia" w:asciiTheme="minorEastAsia" w:hAnsiTheme="minorEastAsia" w:eastAsiaTheme="minorEastAsia" w:cstheme="minorEastAsia"/>
          <w:b w:val="0"/>
          <w:bCs w:val="0"/>
          <w:snapToGrid/>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13最后</w:t>
      </w:r>
      <w:r>
        <w:rPr>
          <w:rFonts w:hint="eastAsia" w:asciiTheme="minorEastAsia" w:hAnsiTheme="minorEastAsia" w:eastAsiaTheme="minorEastAsia" w:cstheme="minorEastAsia"/>
          <w:b w:val="0"/>
          <w:bCs w:val="0"/>
          <w:snapToGrid/>
          <w:spacing w:val="0"/>
          <w:kern w:val="21"/>
          <w:sz w:val="24"/>
          <w:szCs w:val="24"/>
          <w:highlight w:val="none"/>
        </w:rPr>
        <w:t>分项报价表</w:t>
      </w:r>
    </w:p>
    <w:p w14:paraId="19F83C1D">
      <w:pPr>
        <w:keepNext w:val="0"/>
        <w:keepLines w:val="0"/>
        <w:pageBreakBefore w:val="0"/>
        <w:widowControl w:val="0"/>
        <w:tabs>
          <w:tab w:val="left" w:pos="1800"/>
          <w:tab w:val="left" w:pos="5580"/>
        </w:tabs>
        <w:kinsoku/>
        <w:wordWrap w:val="0"/>
        <w:overflowPunct/>
        <w:topLinePunct/>
        <w:autoSpaceDE/>
        <w:autoSpaceDN/>
        <w:bidi w:val="0"/>
        <w:spacing w:line="360" w:lineRule="auto"/>
        <w:ind w:firstLine="240" w:firstLineChars="100"/>
        <w:jc w:val="center"/>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spacing w:val="0"/>
          <w:kern w:val="21"/>
          <w:sz w:val="24"/>
          <w:szCs w:val="24"/>
          <w:highlight w:val="none"/>
          <w:lang w:val="en-US" w:eastAsia="zh-CN"/>
        </w:rPr>
        <w:t>最后</w:t>
      </w:r>
      <w:r>
        <w:rPr>
          <w:rFonts w:hint="eastAsia" w:asciiTheme="minorEastAsia" w:hAnsiTheme="minorEastAsia" w:eastAsiaTheme="minorEastAsia" w:cstheme="minorEastAsia"/>
          <w:b w:val="0"/>
          <w:bCs w:val="0"/>
          <w:snapToGrid/>
          <w:color w:val="000000"/>
          <w:spacing w:val="0"/>
          <w:kern w:val="21"/>
          <w:sz w:val="24"/>
          <w:szCs w:val="24"/>
          <w:highlight w:val="none"/>
        </w:rPr>
        <w:t>分项报价表</w:t>
      </w:r>
    </w:p>
    <w:p w14:paraId="54A4F36F">
      <w:pPr>
        <w:keepNext w:val="0"/>
        <w:keepLines w:val="0"/>
        <w:pageBreakBefore w:val="0"/>
        <w:widowControl w:val="0"/>
        <w:tabs>
          <w:tab w:val="left" w:pos="1800"/>
          <w:tab w:val="left" w:pos="5580"/>
        </w:tabs>
        <w:kinsoku/>
        <w:wordWrap w:val="0"/>
        <w:overflowPunct/>
        <w:topLinePunct/>
        <w:autoSpaceDE/>
        <w:autoSpaceDN/>
        <w:bidi w:val="0"/>
        <w:spacing w:line="360" w:lineRule="auto"/>
        <w:outlineLvl w:val="9"/>
        <w:rPr>
          <w:rFonts w:hint="eastAsia" w:asciiTheme="minorEastAsia" w:hAnsiTheme="minorEastAsia" w:eastAsiaTheme="minorEastAsia" w:cstheme="minorEastAsia"/>
          <w:b w:val="0"/>
          <w:bCs w:val="0"/>
          <w:snapToGrid/>
          <w:color w:val="000000"/>
          <w:spacing w:val="0"/>
          <w:kern w:val="21"/>
          <w:sz w:val="24"/>
          <w:szCs w:val="24"/>
          <w:highlight w:val="none"/>
        </w:rPr>
      </w:pPr>
      <w:r>
        <w:rPr>
          <w:rFonts w:hint="eastAsia" w:asciiTheme="minorEastAsia" w:hAnsiTheme="minorEastAsia" w:eastAsiaTheme="minorEastAsia" w:cstheme="minorEastAsia"/>
          <w:b w:val="0"/>
          <w:bCs w:val="0"/>
          <w:snapToGrid/>
          <w:color w:val="000000"/>
          <w:spacing w:val="0"/>
          <w:kern w:val="21"/>
          <w:sz w:val="24"/>
          <w:szCs w:val="24"/>
          <w:highlight w:val="none"/>
        </w:rPr>
        <w:t>项目编号：</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lang w:val="en-US" w:eastAsia="zh-CN"/>
        </w:rPr>
        <w:t xml:space="preserve">     </w:t>
      </w:r>
      <w:r>
        <w:rPr>
          <w:rFonts w:hint="eastAsia" w:asciiTheme="minorEastAsia" w:hAnsiTheme="minorEastAsia" w:eastAsiaTheme="minorEastAsia" w:cstheme="minorEastAsia"/>
          <w:b w:val="0"/>
          <w:bCs w:val="0"/>
          <w:snapToGrid/>
          <w:color w:val="000000"/>
          <w:spacing w:val="0"/>
          <w:kern w:val="21"/>
          <w:sz w:val="24"/>
          <w:szCs w:val="24"/>
          <w:highlight w:val="none"/>
        </w:rPr>
        <w:t>项目名称：</w:t>
      </w:r>
      <w:r>
        <w:rPr>
          <w:rFonts w:hint="eastAsia" w:asciiTheme="minorEastAsia" w:hAnsiTheme="minorEastAsia" w:eastAsiaTheme="minorEastAsia" w:cstheme="minorEastAsia"/>
          <w:b w:val="0"/>
          <w:bCs w:val="0"/>
          <w:snapToGrid/>
          <w:spacing w:val="0"/>
          <w:kern w:val="21"/>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spacing w:val="0"/>
          <w:kern w:val="21"/>
          <w:sz w:val="24"/>
          <w:szCs w:val="24"/>
          <w:highlight w:val="none"/>
          <w:u w:val="none"/>
          <w:lang w:val="en-US" w:eastAsia="zh-CN"/>
        </w:rPr>
        <w:t xml:space="preserve"> </w:t>
      </w:r>
      <w:r>
        <w:rPr>
          <w:rFonts w:hint="eastAsia" w:asciiTheme="minorEastAsia" w:hAnsiTheme="minorEastAsia" w:eastAsiaTheme="minorEastAsia" w:cstheme="minorEastAsia"/>
          <w:b w:val="0"/>
          <w:bCs w:val="0"/>
          <w:snapToGrid/>
          <w:color w:val="000000"/>
          <w:spacing w:val="0"/>
          <w:w w:val="100"/>
          <w:kern w:val="21"/>
          <w:sz w:val="24"/>
          <w:szCs w:val="24"/>
          <w:highlight w:val="none"/>
        </w:rPr>
        <w:t>报价单位：</w:t>
      </w:r>
      <w:r>
        <w:rPr>
          <w:rFonts w:hint="eastAsia" w:asciiTheme="minorEastAsia" w:hAnsiTheme="minorEastAsia" w:eastAsiaTheme="minorEastAsia" w:cstheme="minorEastAsia"/>
          <w:b w:val="0"/>
          <w:bCs w:val="0"/>
          <w:snapToGrid/>
          <w:color w:val="000000"/>
          <w:spacing w:val="0"/>
          <w:w w:val="100"/>
          <w:kern w:val="21"/>
          <w:sz w:val="24"/>
          <w:szCs w:val="24"/>
          <w:highlight w:val="none"/>
          <w:u w:val="single"/>
        </w:rPr>
        <w:t>人民币元</w:t>
      </w:r>
    </w:p>
    <w:tbl>
      <w:tblPr>
        <w:tblStyle w:val="23"/>
        <w:tblW w:w="10278" w:type="dxa"/>
        <w:jc w:val="center"/>
        <w:tblLayout w:type="fixed"/>
        <w:tblCellMar>
          <w:top w:w="0" w:type="dxa"/>
          <w:left w:w="108" w:type="dxa"/>
          <w:bottom w:w="0" w:type="dxa"/>
          <w:right w:w="108" w:type="dxa"/>
        </w:tblCellMar>
      </w:tblPr>
      <w:tblGrid>
        <w:gridCol w:w="917"/>
        <w:gridCol w:w="3869"/>
        <w:gridCol w:w="991"/>
        <w:gridCol w:w="1100"/>
        <w:gridCol w:w="1247"/>
        <w:gridCol w:w="1246"/>
        <w:gridCol w:w="908"/>
      </w:tblGrid>
      <w:tr w14:paraId="7B3C4961">
        <w:tblPrEx>
          <w:tblCellMar>
            <w:top w:w="0" w:type="dxa"/>
            <w:left w:w="108" w:type="dxa"/>
            <w:bottom w:w="0" w:type="dxa"/>
            <w:right w:w="108" w:type="dxa"/>
          </w:tblCellMar>
        </w:tblPrEx>
        <w:trPr>
          <w:trHeight w:val="413" w:hRule="atLeast"/>
          <w:jc w:val="center"/>
        </w:trPr>
        <w:tc>
          <w:tcPr>
            <w:tcW w:w="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8703E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r>
              <w:rPr>
                <w:rFonts w:hint="eastAsia" w:asciiTheme="minorEastAsia" w:hAnsiTheme="minorEastAsia" w:eastAsiaTheme="minorEastAsia" w:cstheme="minorEastAsia"/>
                <w:b w:val="0"/>
                <w:bCs w:val="0"/>
                <w:snapToGrid/>
                <w:color w:val="000000"/>
                <w:spacing w:val="0"/>
                <w:w w:val="100"/>
                <w:kern w:val="21"/>
                <w:sz w:val="24"/>
                <w:szCs w:val="24"/>
                <w:highlight w:val="none"/>
              </w:rPr>
              <w:t>序号</w:t>
            </w:r>
          </w:p>
        </w:tc>
        <w:tc>
          <w:tcPr>
            <w:tcW w:w="3869" w:type="dxa"/>
            <w:tcBorders>
              <w:top w:val="single" w:color="auto" w:sz="4" w:space="0"/>
              <w:left w:val="nil"/>
              <w:bottom w:val="single" w:color="auto" w:sz="4" w:space="0"/>
              <w:right w:val="single" w:color="auto" w:sz="4" w:space="0"/>
            </w:tcBorders>
            <w:shd w:val="clear" w:color="auto" w:fill="auto"/>
            <w:noWrap/>
            <w:vAlign w:val="center"/>
          </w:tcPr>
          <w:p w14:paraId="63D00C18">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分项</w:t>
            </w:r>
            <w:r>
              <w:rPr>
                <w:rFonts w:hint="eastAsia" w:asciiTheme="minorEastAsia" w:hAnsiTheme="minorEastAsia" w:eastAsiaTheme="minorEastAsia" w:cstheme="minorEastAsia"/>
                <w:b w:val="0"/>
                <w:bCs w:val="0"/>
                <w:snapToGrid/>
                <w:color w:val="000000"/>
                <w:spacing w:val="0"/>
                <w:w w:val="100"/>
                <w:kern w:val="21"/>
                <w:sz w:val="24"/>
                <w:szCs w:val="24"/>
                <w:highlight w:val="none"/>
              </w:rPr>
              <w:t>名称</w:t>
            </w:r>
          </w:p>
        </w:tc>
        <w:tc>
          <w:tcPr>
            <w:tcW w:w="991" w:type="dxa"/>
            <w:tcBorders>
              <w:top w:val="single" w:color="auto" w:sz="4" w:space="0"/>
              <w:left w:val="nil"/>
              <w:bottom w:val="single" w:color="auto" w:sz="4" w:space="0"/>
              <w:right w:val="single" w:color="auto" w:sz="4" w:space="0"/>
            </w:tcBorders>
            <w:shd w:val="clear" w:color="auto" w:fill="auto"/>
            <w:noWrap w:val="0"/>
            <w:vAlign w:val="center"/>
          </w:tcPr>
          <w:p w14:paraId="313783D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r>
              <w:rPr>
                <w:rFonts w:hint="eastAsia" w:asciiTheme="minorEastAsia" w:hAnsiTheme="minorEastAsia" w:eastAsiaTheme="minorEastAsia" w:cstheme="minorEastAsia"/>
                <w:b w:val="0"/>
                <w:bCs w:val="0"/>
                <w:snapToGrid/>
                <w:color w:val="000000"/>
                <w:spacing w:val="0"/>
                <w:w w:val="100"/>
                <w:kern w:val="21"/>
                <w:sz w:val="24"/>
                <w:szCs w:val="24"/>
                <w:highlight w:val="none"/>
              </w:rPr>
              <w:t>单位</w:t>
            </w:r>
          </w:p>
        </w:tc>
        <w:tc>
          <w:tcPr>
            <w:tcW w:w="1100" w:type="dxa"/>
            <w:tcBorders>
              <w:top w:val="single" w:color="auto" w:sz="4" w:space="0"/>
              <w:left w:val="nil"/>
              <w:bottom w:val="single" w:color="auto" w:sz="4" w:space="0"/>
              <w:right w:val="single" w:color="auto" w:sz="4" w:space="0"/>
            </w:tcBorders>
            <w:shd w:val="clear" w:color="auto" w:fill="auto"/>
            <w:noWrap w:val="0"/>
            <w:vAlign w:val="center"/>
          </w:tcPr>
          <w:p w14:paraId="54B5141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r>
              <w:rPr>
                <w:rFonts w:hint="eastAsia" w:asciiTheme="minorEastAsia" w:hAnsiTheme="minorEastAsia" w:eastAsiaTheme="minorEastAsia" w:cstheme="minorEastAsia"/>
                <w:b w:val="0"/>
                <w:bCs w:val="0"/>
                <w:snapToGrid/>
                <w:color w:val="000000"/>
                <w:spacing w:val="0"/>
                <w:w w:val="100"/>
                <w:kern w:val="21"/>
                <w:sz w:val="24"/>
                <w:szCs w:val="24"/>
                <w:highlight w:val="none"/>
              </w:rPr>
              <w:t>数量</w:t>
            </w:r>
          </w:p>
        </w:tc>
        <w:tc>
          <w:tcPr>
            <w:tcW w:w="1247" w:type="dxa"/>
            <w:tcBorders>
              <w:top w:val="single" w:color="auto" w:sz="4" w:space="0"/>
              <w:left w:val="nil"/>
              <w:bottom w:val="single" w:color="auto" w:sz="4" w:space="0"/>
              <w:right w:val="single" w:color="auto" w:sz="4" w:space="0"/>
            </w:tcBorders>
            <w:shd w:val="clear" w:color="auto" w:fill="auto"/>
            <w:noWrap w:val="0"/>
            <w:vAlign w:val="center"/>
          </w:tcPr>
          <w:p w14:paraId="3F54996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r>
              <w:rPr>
                <w:rFonts w:hint="eastAsia" w:asciiTheme="minorEastAsia" w:hAnsiTheme="minorEastAsia" w:eastAsiaTheme="minorEastAsia" w:cstheme="minorEastAsia"/>
                <w:b w:val="0"/>
                <w:bCs w:val="0"/>
                <w:snapToGrid/>
                <w:color w:val="000000"/>
                <w:spacing w:val="0"/>
                <w:w w:val="100"/>
                <w:kern w:val="21"/>
                <w:sz w:val="24"/>
                <w:szCs w:val="24"/>
                <w:highlight w:val="none"/>
              </w:rPr>
              <w:t>单价（元）</w:t>
            </w:r>
          </w:p>
        </w:tc>
        <w:tc>
          <w:tcPr>
            <w:tcW w:w="1246" w:type="dxa"/>
            <w:tcBorders>
              <w:top w:val="single" w:color="auto" w:sz="4" w:space="0"/>
              <w:left w:val="nil"/>
              <w:bottom w:val="single" w:color="auto" w:sz="4" w:space="0"/>
              <w:right w:val="single" w:color="auto" w:sz="4" w:space="0"/>
            </w:tcBorders>
            <w:shd w:val="clear" w:color="auto" w:fill="auto"/>
            <w:noWrap/>
            <w:vAlign w:val="center"/>
          </w:tcPr>
          <w:p w14:paraId="007AFF1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合计（元）</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1DCEDFE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r>
              <w:rPr>
                <w:rFonts w:hint="eastAsia" w:asciiTheme="minorEastAsia" w:hAnsiTheme="minorEastAsia" w:eastAsiaTheme="minorEastAsia" w:cstheme="minorEastAsia"/>
                <w:b w:val="0"/>
                <w:bCs w:val="0"/>
                <w:snapToGrid/>
                <w:color w:val="000000"/>
                <w:spacing w:val="0"/>
                <w:w w:val="100"/>
                <w:kern w:val="21"/>
                <w:sz w:val="24"/>
                <w:szCs w:val="24"/>
                <w:highlight w:val="none"/>
              </w:rPr>
              <w:t>备注</w:t>
            </w:r>
          </w:p>
        </w:tc>
      </w:tr>
      <w:tr w14:paraId="5BA43512">
        <w:tblPrEx>
          <w:tblCellMar>
            <w:top w:w="0" w:type="dxa"/>
            <w:left w:w="108" w:type="dxa"/>
            <w:bottom w:w="0" w:type="dxa"/>
            <w:right w:w="108" w:type="dxa"/>
          </w:tblCellMar>
        </w:tblPrEx>
        <w:trPr>
          <w:trHeight w:val="466" w:hRule="atLeast"/>
          <w:jc w:val="center"/>
        </w:trPr>
        <w:tc>
          <w:tcPr>
            <w:tcW w:w="10278" w:type="dxa"/>
            <w:gridSpan w:val="7"/>
            <w:tcBorders>
              <w:top w:val="nil"/>
              <w:left w:val="single" w:color="auto" w:sz="4" w:space="0"/>
              <w:bottom w:val="single" w:color="auto" w:sz="4" w:space="0"/>
              <w:right w:val="single" w:color="auto" w:sz="4" w:space="0"/>
            </w:tcBorders>
            <w:shd w:val="clear" w:color="auto" w:fill="auto"/>
            <w:noWrap/>
            <w:vAlign w:val="center"/>
          </w:tcPr>
          <w:p w14:paraId="2077DA0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一、重点道路扬尘治理</w:t>
            </w:r>
          </w:p>
        </w:tc>
      </w:tr>
      <w:tr w14:paraId="2D2F881F">
        <w:tblPrEx>
          <w:tblCellMar>
            <w:top w:w="0" w:type="dxa"/>
            <w:left w:w="108" w:type="dxa"/>
            <w:bottom w:w="0" w:type="dxa"/>
            <w:right w:w="108" w:type="dxa"/>
          </w:tblCellMar>
        </w:tblPrEx>
        <w:trPr>
          <w:trHeight w:val="466" w:hRule="atLeast"/>
          <w:jc w:val="center"/>
        </w:trPr>
        <w:tc>
          <w:tcPr>
            <w:tcW w:w="917" w:type="dxa"/>
            <w:tcBorders>
              <w:top w:val="nil"/>
              <w:left w:val="single" w:color="auto" w:sz="4" w:space="0"/>
              <w:bottom w:val="single" w:color="auto" w:sz="4" w:space="0"/>
              <w:right w:val="single" w:color="auto" w:sz="4" w:space="0"/>
            </w:tcBorders>
            <w:shd w:val="clear" w:color="auto" w:fill="auto"/>
            <w:noWrap/>
            <w:vAlign w:val="center"/>
          </w:tcPr>
          <w:p w14:paraId="72DDD5B4">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1.1</w:t>
            </w:r>
          </w:p>
        </w:tc>
        <w:tc>
          <w:tcPr>
            <w:tcW w:w="3869" w:type="dxa"/>
            <w:tcBorders>
              <w:top w:val="single" w:color="auto" w:sz="4" w:space="0"/>
              <w:left w:val="nil"/>
              <w:bottom w:val="single" w:color="auto" w:sz="4" w:space="0"/>
              <w:right w:val="single" w:color="000000" w:sz="4" w:space="0"/>
            </w:tcBorders>
            <w:shd w:val="clear" w:color="auto" w:fill="auto"/>
            <w:noWrap/>
            <w:vAlign w:val="center"/>
          </w:tcPr>
          <w:p w14:paraId="7033F213">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洗扫车</w:t>
            </w:r>
          </w:p>
        </w:tc>
        <w:tc>
          <w:tcPr>
            <w:tcW w:w="991" w:type="dxa"/>
            <w:tcBorders>
              <w:top w:val="nil"/>
              <w:left w:val="nil"/>
              <w:bottom w:val="single" w:color="auto" w:sz="4" w:space="0"/>
              <w:right w:val="single" w:color="auto" w:sz="4" w:space="0"/>
            </w:tcBorders>
            <w:shd w:val="clear" w:color="auto" w:fill="auto"/>
            <w:noWrap w:val="0"/>
            <w:vAlign w:val="center"/>
          </w:tcPr>
          <w:p w14:paraId="611D1D9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台班</w:t>
            </w:r>
          </w:p>
        </w:tc>
        <w:tc>
          <w:tcPr>
            <w:tcW w:w="1100" w:type="dxa"/>
            <w:tcBorders>
              <w:top w:val="nil"/>
              <w:left w:val="nil"/>
              <w:bottom w:val="single" w:color="auto" w:sz="4" w:space="0"/>
              <w:right w:val="single" w:color="auto" w:sz="4" w:space="0"/>
            </w:tcBorders>
            <w:shd w:val="clear" w:color="auto" w:fill="auto"/>
            <w:noWrap w:val="0"/>
            <w:vAlign w:val="center"/>
          </w:tcPr>
          <w:p w14:paraId="5CBC6D6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293</w:t>
            </w:r>
          </w:p>
        </w:tc>
        <w:tc>
          <w:tcPr>
            <w:tcW w:w="1247" w:type="dxa"/>
            <w:tcBorders>
              <w:top w:val="nil"/>
              <w:left w:val="nil"/>
              <w:bottom w:val="single" w:color="auto" w:sz="4" w:space="0"/>
              <w:right w:val="single" w:color="auto" w:sz="4" w:space="0"/>
            </w:tcBorders>
            <w:shd w:val="clear" w:color="auto" w:fill="auto"/>
            <w:noWrap w:val="0"/>
            <w:vAlign w:val="center"/>
          </w:tcPr>
          <w:p w14:paraId="55868634">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1246" w:type="dxa"/>
            <w:tcBorders>
              <w:top w:val="nil"/>
              <w:left w:val="nil"/>
              <w:bottom w:val="single" w:color="auto" w:sz="4" w:space="0"/>
              <w:right w:val="single" w:color="auto" w:sz="4" w:space="0"/>
            </w:tcBorders>
            <w:shd w:val="clear" w:color="auto" w:fill="auto"/>
            <w:noWrap/>
            <w:vAlign w:val="center"/>
          </w:tcPr>
          <w:p w14:paraId="62B6E8C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35C54D8B">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r w14:paraId="4574B26A">
        <w:tblPrEx>
          <w:tblCellMar>
            <w:top w:w="0" w:type="dxa"/>
            <w:left w:w="108" w:type="dxa"/>
            <w:bottom w:w="0" w:type="dxa"/>
            <w:right w:w="108" w:type="dxa"/>
          </w:tblCellMar>
        </w:tblPrEx>
        <w:trPr>
          <w:trHeight w:val="466" w:hRule="atLeast"/>
          <w:jc w:val="center"/>
        </w:trPr>
        <w:tc>
          <w:tcPr>
            <w:tcW w:w="917" w:type="dxa"/>
            <w:tcBorders>
              <w:top w:val="nil"/>
              <w:left w:val="single" w:color="auto" w:sz="4" w:space="0"/>
              <w:bottom w:val="single" w:color="auto" w:sz="4" w:space="0"/>
              <w:right w:val="single" w:color="auto" w:sz="4" w:space="0"/>
            </w:tcBorders>
            <w:shd w:val="clear" w:color="auto" w:fill="auto"/>
            <w:noWrap/>
            <w:vAlign w:val="center"/>
          </w:tcPr>
          <w:p w14:paraId="44D50487">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1.2</w:t>
            </w:r>
          </w:p>
        </w:tc>
        <w:tc>
          <w:tcPr>
            <w:tcW w:w="3869" w:type="dxa"/>
            <w:tcBorders>
              <w:top w:val="single" w:color="auto" w:sz="4" w:space="0"/>
              <w:left w:val="nil"/>
              <w:bottom w:val="single" w:color="auto" w:sz="4" w:space="0"/>
              <w:right w:val="single" w:color="000000" w:sz="4" w:space="0"/>
            </w:tcBorders>
            <w:shd w:val="clear" w:color="auto" w:fill="auto"/>
            <w:noWrap/>
            <w:vAlign w:val="center"/>
          </w:tcPr>
          <w:p w14:paraId="1C02782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抑尘车</w:t>
            </w:r>
          </w:p>
        </w:tc>
        <w:tc>
          <w:tcPr>
            <w:tcW w:w="991" w:type="dxa"/>
            <w:tcBorders>
              <w:top w:val="nil"/>
              <w:left w:val="nil"/>
              <w:bottom w:val="single" w:color="auto" w:sz="4" w:space="0"/>
              <w:right w:val="single" w:color="auto" w:sz="4" w:space="0"/>
            </w:tcBorders>
            <w:shd w:val="clear" w:color="auto" w:fill="auto"/>
            <w:noWrap w:val="0"/>
            <w:vAlign w:val="center"/>
          </w:tcPr>
          <w:p w14:paraId="39938D78">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台班</w:t>
            </w:r>
          </w:p>
        </w:tc>
        <w:tc>
          <w:tcPr>
            <w:tcW w:w="1100" w:type="dxa"/>
            <w:tcBorders>
              <w:top w:val="nil"/>
              <w:left w:val="nil"/>
              <w:bottom w:val="single" w:color="auto" w:sz="4" w:space="0"/>
              <w:right w:val="single" w:color="auto" w:sz="4" w:space="0"/>
            </w:tcBorders>
            <w:shd w:val="clear" w:color="auto" w:fill="auto"/>
            <w:noWrap w:val="0"/>
            <w:vAlign w:val="center"/>
          </w:tcPr>
          <w:p w14:paraId="122C030B">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242</w:t>
            </w:r>
          </w:p>
        </w:tc>
        <w:tc>
          <w:tcPr>
            <w:tcW w:w="1247" w:type="dxa"/>
            <w:tcBorders>
              <w:top w:val="nil"/>
              <w:left w:val="nil"/>
              <w:bottom w:val="single" w:color="auto" w:sz="4" w:space="0"/>
              <w:right w:val="single" w:color="auto" w:sz="4" w:space="0"/>
            </w:tcBorders>
            <w:shd w:val="clear" w:color="auto" w:fill="auto"/>
            <w:noWrap w:val="0"/>
            <w:vAlign w:val="center"/>
          </w:tcPr>
          <w:p w14:paraId="5107A9D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1246" w:type="dxa"/>
            <w:tcBorders>
              <w:top w:val="nil"/>
              <w:left w:val="nil"/>
              <w:bottom w:val="single" w:color="auto" w:sz="4" w:space="0"/>
              <w:right w:val="single" w:color="auto" w:sz="4" w:space="0"/>
            </w:tcBorders>
            <w:shd w:val="clear" w:color="auto" w:fill="auto"/>
            <w:noWrap/>
            <w:vAlign w:val="center"/>
          </w:tcPr>
          <w:p w14:paraId="0DCF25E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6331544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r w14:paraId="23F758B2">
        <w:tblPrEx>
          <w:tblCellMar>
            <w:top w:w="0" w:type="dxa"/>
            <w:left w:w="108" w:type="dxa"/>
            <w:bottom w:w="0" w:type="dxa"/>
            <w:right w:w="108" w:type="dxa"/>
          </w:tblCellMar>
        </w:tblPrEx>
        <w:trPr>
          <w:trHeight w:val="466" w:hRule="atLeast"/>
          <w:jc w:val="center"/>
        </w:trPr>
        <w:tc>
          <w:tcPr>
            <w:tcW w:w="8124" w:type="dxa"/>
            <w:gridSpan w:val="5"/>
            <w:tcBorders>
              <w:top w:val="nil"/>
              <w:left w:val="single" w:color="auto" w:sz="4" w:space="0"/>
              <w:bottom w:val="single" w:color="auto" w:sz="4" w:space="0"/>
              <w:right w:val="single" w:color="auto" w:sz="4" w:space="0"/>
            </w:tcBorders>
            <w:shd w:val="clear" w:color="auto" w:fill="auto"/>
            <w:noWrap/>
            <w:vAlign w:val="center"/>
          </w:tcPr>
          <w:p w14:paraId="1FB24B4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合计</w:t>
            </w:r>
            <w:r>
              <w:rPr>
                <w:rFonts w:hint="eastAsia" w:asciiTheme="minorEastAsia" w:hAnsiTheme="minorEastAsia" w:eastAsiaTheme="minorEastAsia" w:cstheme="minorEastAsia"/>
                <w:b w:val="0"/>
                <w:bCs w:val="0"/>
                <w:snapToGrid/>
                <w:color w:val="000000"/>
                <w:spacing w:val="0"/>
                <w:w w:val="100"/>
                <w:kern w:val="21"/>
                <w:sz w:val="24"/>
                <w:szCs w:val="24"/>
                <w:highlight w:val="none"/>
              </w:rPr>
              <w:t>（元）</w:t>
            </w:r>
          </w:p>
        </w:tc>
        <w:tc>
          <w:tcPr>
            <w:tcW w:w="1246" w:type="dxa"/>
            <w:tcBorders>
              <w:top w:val="nil"/>
              <w:left w:val="nil"/>
              <w:bottom w:val="single" w:color="auto" w:sz="4" w:space="0"/>
              <w:right w:val="single" w:color="auto" w:sz="4" w:space="0"/>
            </w:tcBorders>
            <w:shd w:val="clear" w:color="auto" w:fill="auto"/>
            <w:noWrap/>
            <w:vAlign w:val="center"/>
          </w:tcPr>
          <w:p w14:paraId="1C8BF74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25E53EE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r w14:paraId="1C981B4D">
        <w:tblPrEx>
          <w:tblCellMar>
            <w:top w:w="0" w:type="dxa"/>
            <w:left w:w="108" w:type="dxa"/>
            <w:bottom w:w="0" w:type="dxa"/>
            <w:right w:w="108" w:type="dxa"/>
          </w:tblCellMar>
        </w:tblPrEx>
        <w:trPr>
          <w:trHeight w:val="466" w:hRule="atLeast"/>
          <w:jc w:val="center"/>
        </w:trPr>
        <w:tc>
          <w:tcPr>
            <w:tcW w:w="10278" w:type="dxa"/>
            <w:gridSpan w:val="7"/>
            <w:tcBorders>
              <w:top w:val="nil"/>
              <w:left w:val="single" w:color="auto" w:sz="4" w:space="0"/>
              <w:bottom w:val="single" w:color="auto" w:sz="4" w:space="0"/>
              <w:right w:val="single" w:color="auto" w:sz="4" w:space="0"/>
            </w:tcBorders>
            <w:shd w:val="clear" w:color="auto" w:fill="auto"/>
            <w:noWrap/>
            <w:vAlign w:val="center"/>
          </w:tcPr>
          <w:p w14:paraId="48D15F9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二、重点区域周边道路精细化治理</w:t>
            </w:r>
          </w:p>
        </w:tc>
      </w:tr>
      <w:tr w14:paraId="40B3EC93">
        <w:tblPrEx>
          <w:tblCellMar>
            <w:top w:w="0" w:type="dxa"/>
            <w:left w:w="108" w:type="dxa"/>
            <w:bottom w:w="0" w:type="dxa"/>
            <w:right w:w="108" w:type="dxa"/>
          </w:tblCellMar>
        </w:tblPrEx>
        <w:trPr>
          <w:trHeight w:val="466" w:hRule="atLeast"/>
          <w:jc w:val="center"/>
        </w:trPr>
        <w:tc>
          <w:tcPr>
            <w:tcW w:w="917" w:type="dxa"/>
            <w:tcBorders>
              <w:top w:val="nil"/>
              <w:left w:val="single" w:color="auto" w:sz="4" w:space="0"/>
              <w:bottom w:val="single" w:color="auto" w:sz="4" w:space="0"/>
              <w:right w:val="single" w:color="auto" w:sz="4" w:space="0"/>
            </w:tcBorders>
            <w:shd w:val="clear" w:color="auto" w:fill="auto"/>
            <w:noWrap/>
            <w:vAlign w:val="center"/>
          </w:tcPr>
          <w:p w14:paraId="03155F6D">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2.1</w:t>
            </w:r>
          </w:p>
        </w:tc>
        <w:tc>
          <w:tcPr>
            <w:tcW w:w="3869" w:type="dxa"/>
            <w:tcBorders>
              <w:top w:val="single" w:color="auto" w:sz="4" w:space="0"/>
              <w:left w:val="nil"/>
              <w:bottom w:val="single" w:color="auto" w:sz="4" w:space="0"/>
              <w:right w:val="single" w:color="000000" w:sz="4" w:space="0"/>
            </w:tcBorders>
            <w:shd w:val="clear" w:color="auto" w:fill="auto"/>
            <w:noWrap/>
            <w:vAlign w:val="center"/>
          </w:tcPr>
          <w:p w14:paraId="67662B3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洗扫车</w:t>
            </w:r>
          </w:p>
        </w:tc>
        <w:tc>
          <w:tcPr>
            <w:tcW w:w="991" w:type="dxa"/>
            <w:tcBorders>
              <w:top w:val="nil"/>
              <w:left w:val="nil"/>
              <w:bottom w:val="single" w:color="auto" w:sz="4" w:space="0"/>
              <w:right w:val="single" w:color="auto" w:sz="4" w:space="0"/>
            </w:tcBorders>
            <w:shd w:val="clear" w:color="auto" w:fill="auto"/>
            <w:noWrap w:val="0"/>
            <w:vAlign w:val="center"/>
          </w:tcPr>
          <w:p w14:paraId="44991731">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bidi="ar-SA"/>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台班</w:t>
            </w:r>
          </w:p>
        </w:tc>
        <w:tc>
          <w:tcPr>
            <w:tcW w:w="1100" w:type="dxa"/>
            <w:tcBorders>
              <w:top w:val="nil"/>
              <w:left w:val="nil"/>
              <w:bottom w:val="single" w:color="auto" w:sz="4" w:space="0"/>
              <w:right w:val="single" w:color="auto" w:sz="4" w:space="0"/>
            </w:tcBorders>
            <w:shd w:val="clear" w:color="auto" w:fill="auto"/>
            <w:noWrap w:val="0"/>
            <w:vAlign w:val="center"/>
          </w:tcPr>
          <w:p w14:paraId="07EC7DF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bidi="ar-SA"/>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293</w:t>
            </w:r>
          </w:p>
        </w:tc>
        <w:tc>
          <w:tcPr>
            <w:tcW w:w="1247" w:type="dxa"/>
            <w:tcBorders>
              <w:top w:val="nil"/>
              <w:left w:val="nil"/>
              <w:bottom w:val="single" w:color="auto" w:sz="4" w:space="0"/>
              <w:right w:val="single" w:color="auto" w:sz="4" w:space="0"/>
            </w:tcBorders>
            <w:shd w:val="clear" w:color="auto" w:fill="auto"/>
            <w:noWrap w:val="0"/>
            <w:vAlign w:val="center"/>
          </w:tcPr>
          <w:p w14:paraId="5195F9A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1246" w:type="dxa"/>
            <w:tcBorders>
              <w:top w:val="nil"/>
              <w:left w:val="nil"/>
              <w:bottom w:val="single" w:color="auto" w:sz="4" w:space="0"/>
              <w:right w:val="single" w:color="auto" w:sz="4" w:space="0"/>
            </w:tcBorders>
            <w:shd w:val="clear" w:color="auto" w:fill="auto"/>
            <w:noWrap/>
            <w:vAlign w:val="center"/>
          </w:tcPr>
          <w:p w14:paraId="0432017F">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51EE85A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r w14:paraId="329C2C84">
        <w:tblPrEx>
          <w:tblCellMar>
            <w:top w:w="0" w:type="dxa"/>
            <w:left w:w="108" w:type="dxa"/>
            <w:bottom w:w="0" w:type="dxa"/>
            <w:right w:w="108" w:type="dxa"/>
          </w:tblCellMar>
        </w:tblPrEx>
        <w:trPr>
          <w:trHeight w:val="466" w:hRule="atLeast"/>
          <w:jc w:val="center"/>
        </w:trPr>
        <w:tc>
          <w:tcPr>
            <w:tcW w:w="917" w:type="dxa"/>
            <w:tcBorders>
              <w:top w:val="nil"/>
              <w:left w:val="single" w:color="auto" w:sz="4" w:space="0"/>
              <w:bottom w:val="single" w:color="auto" w:sz="4" w:space="0"/>
              <w:right w:val="single" w:color="auto" w:sz="4" w:space="0"/>
            </w:tcBorders>
            <w:shd w:val="clear" w:color="auto" w:fill="auto"/>
            <w:noWrap/>
            <w:vAlign w:val="center"/>
          </w:tcPr>
          <w:p w14:paraId="7A3FAFD7">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2.2</w:t>
            </w:r>
          </w:p>
        </w:tc>
        <w:tc>
          <w:tcPr>
            <w:tcW w:w="3869" w:type="dxa"/>
            <w:tcBorders>
              <w:top w:val="single" w:color="auto" w:sz="4" w:space="0"/>
              <w:left w:val="nil"/>
              <w:bottom w:val="single" w:color="auto" w:sz="4" w:space="0"/>
              <w:right w:val="single" w:color="000000" w:sz="4" w:space="0"/>
            </w:tcBorders>
            <w:shd w:val="clear" w:color="auto" w:fill="auto"/>
            <w:noWrap/>
            <w:vAlign w:val="center"/>
          </w:tcPr>
          <w:p w14:paraId="22DB4C5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抑尘车</w:t>
            </w:r>
          </w:p>
        </w:tc>
        <w:tc>
          <w:tcPr>
            <w:tcW w:w="991" w:type="dxa"/>
            <w:tcBorders>
              <w:top w:val="nil"/>
              <w:left w:val="nil"/>
              <w:bottom w:val="single" w:color="auto" w:sz="4" w:space="0"/>
              <w:right w:val="single" w:color="auto" w:sz="4" w:space="0"/>
            </w:tcBorders>
            <w:shd w:val="clear" w:color="auto" w:fill="auto"/>
            <w:noWrap w:val="0"/>
            <w:vAlign w:val="center"/>
          </w:tcPr>
          <w:p w14:paraId="636E018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bidi="ar-SA"/>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台班</w:t>
            </w:r>
          </w:p>
        </w:tc>
        <w:tc>
          <w:tcPr>
            <w:tcW w:w="1100" w:type="dxa"/>
            <w:tcBorders>
              <w:top w:val="nil"/>
              <w:left w:val="nil"/>
              <w:bottom w:val="single" w:color="auto" w:sz="4" w:space="0"/>
              <w:right w:val="single" w:color="auto" w:sz="4" w:space="0"/>
            </w:tcBorders>
            <w:shd w:val="clear" w:color="auto" w:fill="auto"/>
            <w:noWrap w:val="0"/>
            <w:vAlign w:val="center"/>
          </w:tcPr>
          <w:p w14:paraId="52E9FB8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bidi="ar-SA"/>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242</w:t>
            </w:r>
          </w:p>
        </w:tc>
        <w:tc>
          <w:tcPr>
            <w:tcW w:w="1247" w:type="dxa"/>
            <w:tcBorders>
              <w:top w:val="nil"/>
              <w:left w:val="nil"/>
              <w:bottom w:val="single" w:color="auto" w:sz="4" w:space="0"/>
              <w:right w:val="single" w:color="auto" w:sz="4" w:space="0"/>
            </w:tcBorders>
            <w:shd w:val="clear" w:color="auto" w:fill="auto"/>
            <w:noWrap w:val="0"/>
            <w:vAlign w:val="center"/>
          </w:tcPr>
          <w:p w14:paraId="49D29DA1">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1246" w:type="dxa"/>
            <w:tcBorders>
              <w:top w:val="nil"/>
              <w:left w:val="nil"/>
              <w:bottom w:val="single" w:color="auto" w:sz="4" w:space="0"/>
              <w:right w:val="single" w:color="auto" w:sz="4" w:space="0"/>
            </w:tcBorders>
            <w:shd w:val="clear" w:color="auto" w:fill="auto"/>
            <w:noWrap/>
            <w:vAlign w:val="center"/>
          </w:tcPr>
          <w:p w14:paraId="67965A2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719B6D01">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r w14:paraId="1AB7E6D2">
        <w:tblPrEx>
          <w:tblCellMar>
            <w:top w:w="0" w:type="dxa"/>
            <w:left w:w="108" w:type="dxa"/>
            <w:bottom w:w="0" w:type="dxa"/>
            <w:right w:w="108" w:type="dxa"/>
          </w:tblCellMar>
        </w:tblPrEx>
        <w:trPr>
          <w:trHeight w:val="466" w:hRule="atLeast"/>
          <w:jc w:val="center"/>
        </w:trPr>
        <w:tc>
          <w:tcPr>
            <w:tcW w:w="8124" w:type="dxa"/>
            <w:gridSpan w:val="5"/>
            <w:tcBorders>
              <w:top w:val="nil"/>
              <w:left w:val="single" w:color="auto" w:sz="4" w:space="0"/>
              <w:bottom w:val="single" w:color="auto" w:sz="4" w:space="0"/>
              <w:right w:val="single" w:color="auto" w:sz="4" w:space="0"/>
            </w:tcBorders>
            <w:shd w:val="clear" w:color="auto" w:fill="auto"/>
            <w:noWrap/>
            <w:vAlign w:val="center"/>
          </w:tcPr>
          <w:p w14:paraId="65F75F5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合计</w:t>
            </w:r>
            <w:r>
              <w:rPr>
                <w:rFonts w:hint="eastAsia" w:asciiTheme="minorEastAsia" w:hAnsiTheme="minorEastAsia" w:eastAsiaTheme="minorEastAsia" w:cstheme="minorEastAsia"/>
                <w:b w:val="0"/>
                <w:bCs w:val="0"/>
                <w:snapToGrid/>
                <w:color w:val="000000"/>
                <w:spacing w:val="0"/>
                <w:w w:val="100"/>
                <w:kern w:val="21"/>
                <w:sz w:val="24"/>
                <w:szCs w:val="24"/>
                <w:highlight w:val="none"/>
              </w:rPr>
              <w:t>（元）</w:t>
            </w:r>
          </w:p>
        </w:tc>
        <w:tc>
          <w:tcPr>
            <w:tcW w:w="1246" w:type="dxa"/>
            <w:tcBorders>
              <w:top w:val="nil"/>
              <w:left w:val="nil"/>
              <w:bottom w:val="single" w:color="auto" w:sz="4" w:space="0"/>
              <w:right w:val="single" w:color="auto" w:sz="4" w:space="0"/>
            </w:tcBorders>
            <w:shd w:val="clear" w:color="auto" w:fill="auto"/>
            <w:noWrap/>
            <w:vAlign w:val="center"/>
          </w:tcPr>
          <w:p w14:paraId="5A1DFC59">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0FC55BD6">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r w14:paraId="4CA87599">
        <w:tblPrEx>
          <w:tblCellMar>
            <w:top w:w="0" w:type="dxa"/>
            <w:left w:w="108" w:type="dxa"/>
            <w:bottom w:w="0" w:type="dxa"/>
            <w:right w:w="108" w:type="dxa"/>
          </w:tblCellMar>
        </w:tblPrEx>
        <w:trPr>
          <w:trHeight w:val="466" w:hRule="atLeast"/>
          <w:jc w:val="center"/>
        </w:trPr>
        <w:tc>
          <w:tcPr>
            <w:tcW w:w="10278" w:type="dxa"/>
            <w:gridSpan w:val="7"/>
            <w:tcBorders>
              <w:top w:val="nil"/>
              <w:left w:val="single" w:color="auto" w:sz="4" w:space="0"/>
              <w:bottom w:val="single" w:color="auto" w:sz="4" w:space="0"/>
              <w:right w:val="single" w:color="auto" w:sz="4" w:space="0"/>
            </w:tcBorders>
            <w:shd w:val="clear" w:color="auto" w:fill="auto"/>
            <w:noWrap/>
            <w:vAlign w:val="center"/>
          </w:tcPr>
          <w:p w14:paraId="71E6AF1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三、裸地扬尘综合治理</w:t>
            </w:r>
          </w:p>
        </w:tc>
      </w:tr>
      <w:tr w14:paraId="43D0A04C">
        <w:tblPrEx>
          <w:tblCellMar>
            <w:top w:w="0" w:type="dxa"/>
            <w:left w:w="108" w:type="dxa"/>
            <w:bottom w:w="0" w:type="dxa"/>
            <w:right w:w="108" w:type="dxa"/>
          </w:tblCellMar>
        </w:tblPrEx>
        <w:trPr>
          <w:trHeight w:val="466" w:hRule="atLeast"/>
          <w:jc w:val="center"/>
        </w:trPr>
        <w:tc>
          <w:tcPr>
            <w:tcW w:w="917" w:type="dxa"/>
            <w:tcBorders>
              <w:top w:val="nil"/>
              <w:left w:val="single" w:color="auto" w:sz="4" w:space="0"/>
              <w:bottom w:val="single" w:color="auto" w:sz="4" w:space="0"/>
              <w:right w:val="single" w:color="auto" w:sz="4" w:space="0"/>
            </w:tcBorders>
            <w:shd w:val="clear" w:color="auto" w:fill="auto"/>
            <w:noWrap/>
            <w:vAlign w:val="center"/>
          </w:tcPr>
          <w:p w14:paraId="5B3E5A6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3.1</w:t>
            </w:r>
          </w:p>
        </w:tc>
        <w:tc>
          <w:tcPr>
            <w:tcW w:w="3869" w:type="dxa"/>
            <w:tcBorders>
              <w:top w:val="single" w:color="auto" w:sz="4" w:space="0"/>
              <w:left w:val="nil"/>
              <w:bottom w:val="single" w:color="auto" w:sz="4" w:space="0"/>
              <w:right w:val="single" w:color="000000" w:sz="4" w:space="0"/>
            </w:tcBorders>
            <w:shd w:val="clear" w:color="auto" w:fill="auto"/>
            <w:noWrap/>
            <w:vAlign w:val="center"/>
          </w:tcPr>
          <w:p w14:paraId="3DF11CB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防尘网铺设</w:t>
            </w:r>
          </w:p>
        </w:tc>
        <w:tc>
          <w:tcPr>
            <w:tcW w:w="991" w:type="dxa"/>
            <w:tcBorders>
              <w:top w:val="nil"/>
              <w:left w:val="nil"/>
              <w:bottom w:val="single" w:color="auto" w:sz="4" w:space="0"/>
              <w:right w:val="single" w:color="auto" w:sz="4" w:space="0"/>
            </w:tcBorders>
            <w:shd w:val="clear" w:color="auto" w:fill="auto"/>
            <w:noWrap w:val="0"/>
            <w:vAlign w:val="center"/>
          </w:tcPr>
          <w:p w14:paraId="7A3498C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w:t>
            </w:r>
          </w:p>
        </w:tc>
        <w:tc>
          <w:tcPr>
            <w:tcW w:w="1100" w:type="dxa"/>
            <w:tcBorders>
              <w:top w:val="nil"/>
              <w:left w:val="nil"/>
              <w:bottom w:val="single" w:color="auto" w:sz="4" w:space="0"/>
              <w:right w:val="single" w:color="auto" w:sz="4" w:space="0"/>
            </w:tcBorders>
            <w:shd w:val="clear" w:color="auto" w:fill="auto"/>
            <w:noWrap w:val="0"/>
            <w:vAlign w:val="center"/>
          </w:tcPr>
          <w:p w14:paraId="792BF0A1">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40000</w:t>
            </w:r>
          </w:p>
        </w:tc>
        <w:tc>
          <w:tcPr>
            <w:tcW w:w="1247" w:type="dxa"/>
            <w:tcBorders>
              <w:top w:val="nil"/>
              <w:left w:val="nil"/>
              <w:bottom w:val="single" w:color="auto" w:sz="4" w:space="0"/>
              <w:right w:val="single" w:color="auto" w:sz="4" w:space="0"/>
            </w:tcBorders>
            <w:shd w:val="clear" w:color="auto" w:fill="auto"/>
            <w:noWrap w:val="0"/>
            <w:vAlign w:val="center"/>
          </w:tcPr>
          <w:p w14:paraId="59AD54E3">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1246" w:type="dxa"/>
            <w:tcBorders>
              <w:top w:val="nil"/>
              <w:left w:val="nil"/>
              <w:bottom w:val="single" w:color="auto" w:sz="4" w:space="0"/>
              <w:right w:val="single" w:color="auto" w:sz="4" w:space="0"/>
            </w:tcBorders>
            <w:shd w:val="clear" w:color="auto" w:fill="auto"/>
            <w:noWrap/>
            <w:vAlign w:val="center"/>
          </w:tcPr>
          <w:p w14:paraId="39EF77A7">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336C8A5D">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r w14:paraId="47FE6609">
        <w:tblPrEx>
          <w:tblCellMar>
            <w:top w:w="0" w:type="dxa"/>
            <w:left w:w="108" w:type="dxa"/>
            <w:bottom w:w="0" w:type="dxa"/>
            <w:right w:w="108" w:type="dxa"/>
          </w:tblCellMar>
        </w:tblPrEx>
        <w:trPr>
          <w:trHeight w:val="466" w:hRule="atLeast"/>
          <w:jc w:val="center"/>
        </w:trPr>
        <w:tc>
          <w:tcPr>
            <w:tcW w:w="917" w:type="dxa"/>
            <w:tcBorders>
              <w:top w:val="nil"/>
              <w:left w:val="single" w:color="auto" w:sz="4" w:space="0"/>
              <w:bottom w:val="single" w:color="auto" w:sz="4" w:space="0"/>
              <w:right w:val="single" w:color="auto" w:sz="4" w:space="0"/>
            </w:tcBorders>
            <w:shd w:val="clear" w:color="auto" w:fill="auto"/>
            <w:noWrap/>
            <w:vAlign w:val="center"/>
          </w:tcPr>
          <w:p w14:paraId="2277E34D">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3.2</w:t>
            </w:r>
          </w:p>
        </w:tc>
        <w:tc>
          <w:tcPr>
            <w:tcW w:w="3869" w:type="dxa"/>
            <w:tcBorders>
              <w:top w:val="single" w:color="auto" w:sz="4" w:space="0"/>
              <w:left w:val="nil"/>
              <w:bottom w:val="single" w:color="auto" w:sz="4" w:space="0"/>
              <w:right w:val="single" w:color="000000" w:sz="4" w:space="0"/>
            </w:tcBorders>
            <w:shd w:val="clear" w:color="auto" w:fill="auto"/>
            <w:noWrap/>
            <w:vAlign w:val="center"/>
          </w:tcPr>
          <w:p w14:paraId="4B4DB57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绿化草籽</w:t>
            </w:r>
          </w:p>
        </w:tc>
        <w:tc>
          <w:tcPr>
            <w:tcW w:w="991" w:type="dxa"/>
            <w:tcBorders>
              <w:top w:val="nil"/>
              <w:left w:val="nil"/>
              <w:bottom w:val="single" w:color="auto" w:sz="4" w:space="0"/>
              <w:right w:val="single" w:color="auto" w:sz="4" w:space="0"/>
            </w:tcBorders>
            <w:shd w:val="clear" w:color="auto" w:fill="auto"/>
            <w:noWrap w:val="0"/>
            <w:vAlign w:val="center"/>
          </w:tcPr>
          <w:p w14:paraId="55B13EC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w:t>
            </w:r>
          </w:p>
        </w:tc>
        <w:tc>
          <w:tcPr>
            <w:tcW w:w="1100" w:type="dxa"/>
            <w:tcBorders>
              <w:top w:val="nil"/>
              <w:left w:val="nil"/>
              <w:bottom w:val="single" w:color="auto" w:sz="4" w:space="0"/>
              <w:right w:val="single" w:color="auto" w:sz="4" w:space="0"/>
            </w:tcBorders>
            <w:shd w:val="clear" w:color="auto" w:fill="auto"/>
            <w:noWrap w:val="0"/>
            <w:vAlign w:val="center"/>
          </w:tcPr>
          <w:p w14:paraId="02E33B11">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60000</w:t>
            </w:r>
          </w:p>
        </w:tc>
        <w:tc>
          <w:tcPr>
            <w:tcW w:w="1247" w:type="dxa"/>
            <w:tcBorders>
              <w:top w:val="nil"/>
              <w:left w:val="nil"/>
              <w:bottom w:val="single" w:color="auto" w:sz="4" w:space="0"/>
              <w:right w:val="single" w:color="auto" w:sz="4" w:space="0"/>
            </w:tcBorders>
            <w:shd w:val="clear" w:color="auto" w:fill="auto"/>
            <w:noWrap w:val="0"/>
            <w:vAlign w:val="center"/>
          </w:tcPr>
          <w:p w14:paraId="2EDC1DCD">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1246" w:type="dxa"/>
            <w:tcBorders>
              <w:top w:val="nil"/>
              <w:left w:val="nil"/>
              <w:bottom w:val="single" w:color="auto" w:sz="4" w:space="0"/>
              <w:right w:val="single" w:color="auto" w:sz="4" w:space="0"/>
            </w:tcBorders>
            <w:shd w:val="clear" w:color="auto" w:fill="auto"/>
            <w:noWrap/>
            <w:vAlign w:val="center"/>
          </w:tcPr>
          <w:p w14:paraId="72ED629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3BA4834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r w14:paraId="42A5277C">
        <w:tblPrEx>
          <w:tblCellMar>
            <w:top w:w="0" w:type="dxa"/>
            <w:left w:w="108" w:type="dxa"/>
            <w:bottom w:w="0" w:type="dxa"/>
            <w:right w:w="108" w:type="dxa"/>
          </w:tblCellMar>
        </w:tblPrEx>
        <w:trPr>
          <w:trHeight w:val="466" w:hRule="atLeast"/>
          <w:jc w:val="center"/>
        </w:trPr>
        <w:tc>
          <w:tcPr>
            <w:tcW w:w="917" w:type="dxa"/>
            <w:tcBorders>
              <w:top w:val="nil"/>
              <w:left w:val="single" w:color="auto" w:sz="4" w:space="0"/>
              <w:bottom w:val="single" w:color="auto" w:sz="4" w:space="0"/>
              <w:right w:val="single" w:color="auto" w:sz="4" w:space="0"/>
            </w:tcBorders>
            <w:shd w:val="clear" w:color="auto" w:fill="auto"/>
            <w:noWrap/>
            <w:vAlign w:val="center"/>
          </w:tcPr>
          <w:p w14:paraId="3DA0F178">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default"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3.3</w:t>
            </w:r>
          </w:p>
        </w:tc>
        <w:tc>
          <w:tcPr>
            <w:tcW w:w="3869" w:type="dxa"/>
            <w:tcBorders>
              <w:top w:val="single" w:color="auto" w:sz="4" w:space="0"/>
              <w:left w:val="nil"/>
              <w:bottom w:val="single" w:color="auto" w:sz="4" w:space="0"/>
              <w:right w:val="single" w:color="000000" w:sz="4" w:space="0"/>
            </w:tcBorders>
            <w:shd w:val="clear" w:color="auto" w:fill="auto"/>
            <w:noWrap/>
            <w:vAlign w:val="center"/>
          </w:tcPr>
          <w:p w14:paraId="6D0DF10D">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生物质覆盖</w:t>
            </w:r>
          </w:p>
        </w:tc>
        <w:tc>
          <w:tcPr>
            <w:tcW w:w="991" w:type="dxa"/>
            <w:tcBorders>
              <w:top w:val="nil"/>
              <w:left w:val="nil"/>
              <w:bottom w:val="single" w:color="auto" w:sz="4" w:space="0"/>
              <w:right w:val="single" w:color="auto" w:sz="4" w:space="0"/>
            </w:tcBorders>
            <w:shd w:val="clear" w:color="auto" w:fill="auto"/>
            <w:noWrap w:val="0"/>
            <w:vAlign w:val="center"/>
          </w:tcPr>
          <w:p w14:paraId="11689887">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leftChars="0" w:right="0" w:rightChars="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w:t>
            </w:r>
          </w:p>
        </w:tc>
        <w:tc>
          <w:tcPr>
            <w:tcW w:w="1100" w:type="dxa"/>
            <w:tcBorders>
              <w:top w:val="nil"/>
              <w:left w:val="nil"/>
              <w:bottom w:val="single" w:color="auto" w:sz="4" w:space="0"/>
              <w:right w:val="single" w:color="auto" w:sz="4" w:space="0"/>
            </w:tcBorders>
            <w:shd w:val="clear" w:color="auto" w:fill="auto"/>
            <w:noWrap w:val="0"/>
            <w:vAlign w:val="center"/>
          </w:tcPr>
          <w:p w14:paraId="19DFEAEE">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15000</w:t>
            </w:r>
          </w:p>
        </w:tc>
        <w:tc>
          <w:tcPr>
            <w:tcW w:w="1247" w:type="dxa"/>
            <w:tcBorders>
              <w:top w:val="nil"/>
              <w:left w:val="nil"/>
              <w:bottom w:val="single" w:color="auto" w:sz="4" w:space="0"/>
              <w:right w:val="single" w:color="auto" w:sz="4" w:space="0"/>
            </w:tcBorders>
            <w:shd w:val="clear" w:color="auto" w:fill="auto"/>
            <w:noWrap w:val="0"/>
            <w:vAlign w:val="center"/>
          </w:tcPr>
          <w:p w14:paraId="1CC13F35">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1246" w:type="dxa"/>
            <w:tcBorders>
              <w:top w:val="nil"/>
              <w:left w:val="nil"/>
              <w:bottom w:val="single" w:color="auto" w:sz="4" w:space="0"/>
              <w:right w:val="single" w:color="auto" w:sz="4" w:space="0"/>
            </w:tcBorders>
            <w:shd w:val="clear" w:color="auto" w:fill="auto"/>
            <w:noWrap/>
            <w:vAlign w:val="center"/>
          </w:tcPr>
          <w:p w14:paraId="4BF2328A">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3FC195D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r w14:paraId="1520D19A">
        <w:tblPrEx>
          <w:tblCellMar>
            <w:top w:w="0" w:type="dxa"/>
            <w:left w:w="108" w:type="dxa"/>
            <w:bottom w:w="0" w:type="dxa"/>
            <w:right w:w="108" w:type="dxa"/>
          </w:tblCellMar>
        </w:tblPrEx>
        <w:trPr>
          <w:trHeight w:val="501" w:hRule="atLeast"/>
          <w:jc w:val="center"/>
        </w:trPr>
        <w:tc>
          <w:tcPr>
            <w:tcW w:w="8124" w:type="dxa"/>
            <w:gridSpan w:val="5"/>
            <w:tcBorders>
              <w:top w:val="nil"/>
              <w:left w:val="single" w:color="auto" w:sz="4" w:space="0"/>
              <w:bottom w:val="single" w:color="auto" w:sz="4" w:space="0"/>
              <w:right w:val="single" w:color="auto" w:sz="4" w:space="0"/>
            </w:tcBorders>
            <w:shd w:val="clear" w:color="auto" w:fill="auto"/>
            <w:noWrap/>
            <w:vAlign w:val="center"/>
          </w:tcPr>
          <w:p w14:paraId="75FE45B0">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r>
              <w:rPr>
                <w:rFonts w:hint="eastAsia" w:asciiTheme="minorEastAsia" w:hAnsiTheme="minorEastAsia" w:eastAsiaTheme="minorEastAsia" w:cstheme="minorEastAsia"/>
                <w:b w:val="0"/>
                <w:bCs w:val="0"/>
                <w:snapToGrid/>
                <w:color w:val="000000"/>
                <w:spacing w:val="0"/>
                <w:w w:val="100"/>
                <w:kern w:val="21"/>
                <w:sz w:val="24"/>
                <w:szCs w:val="24"/>
                <w:highlight w:val="none"/>
                <w:lang w:val="en-US" w:eastAsia="zh-CN"/>
              </w:rPr>
              <w:t>合计</w:t>
            </w:r>
            <w:r>
              <w:rPr>
                <w:rFonts w:hint="eastAsia" w:asciiTheme="minorEastAsia" w:hAnsiTheme="minorEastAsia" w:eastAsiaTheme="minorEastAsia" w:cstheme="minorEastAsia"/>
                <w:b w:val="0"/>
                <w:bCs w:val="0"/>
                <w:snapToGrid/>
                <w:color w:val="000000"/>
                <w:spacing w:val="0"/>
                <w:w w:val="100"/>
                <w:kern w:val="21"/>
                <w:sz w:val="24"/>
                <w:szCs w:val="24"/>
                <w:highlight w:val="none"/>
              </w:rPr>
              <w:t>（元）</w:t>
            </w:r>
          </w:p>
        </w:tc>
        <w:tc>
          <w:tcPr>
            <w:tcW w:w="1246" w:type="dxa"/>
            <w:tcBorders>
              <w:top w:val="nil"/>
              <w:left w:val="nil"/>
              <w:bottom w:val="single" w:color="auto" w:sz="4" w:space="0"/>
              <w:right w:val="single" w:color="auto" w:sz="4" w:space="0"/>
            </w:tcBorders>
            <w:shd w:val="clear" w:color="auto" w:fill="auto"/>
            <w:noWrap/>
            <w:vAlign w:val="center"/>
          </w:tcPr>
          <w:p w14:paraId="50D95532">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c>
          <w:tcPr>
            <w:tcW w:w="908" w:type="dxa"/>
            <w:tcBorders>
              <w:top w:val="nil"/>
              <w:left w:val="nil"/>
              <w:bottom w:val="single" w:color="auto" w:sz="4" w:space="0"/>
              <w:right w:val="single" w:color="auto" w:sz="4" w:space="0"/>
            </w:tcBorders>
            <w:shd w:val="clear" w:color="auto" w:fill="auto"/>
            <w:noWrap/>
            <w:vAlign w:val="center"/>
          </w:tcPr>
          <w:p w14:paraId="0538EADC">
            <w:pPr>
              <w:keepNext w:val="0"/>
              <w:keepLines w:val="0"/>
              <w:pageBreakBefore w:val="0"/>
              <w:widowControl w:val="0"/>
              <w:suppressLineNumbers w:val="0"/>
              <w:kinsoku/>
              <w:wordWrap w:val="0"/>
              <w:overflowPunct/>
              <w:topLinePunct/>
              <w:autoSpaceDE/>
              <w:autoSpaceDN/>
              <w:bidi w:val="0"/>
              <w:spacing w:before="0" w:beforeAutospacing="0" w:after="0" w:afterAutospacing="0" w:line="360" w:lineRule="auto"/>
              <w:ind w:left="0" w:right="0"/>
              <w:jc w:val="center"/>
              <w:textAlignment w:val="auto"/>
              <w:outlineLvl w:val="9"/>
              <w:rPr>
                <w:rFonts w:hint="eastAsia" w:asciiTheme="minorEastAsia" w:hAnsiTheme="minorEastAsia" w:eastAsiaTheme="minorEastAsia" w:cstheme="minorEastAsia"/>
                <w:b w:val="0"/>
                <w:bCs w:val="0"/>
                <w:snapToGrid/>
                <w:color w:val="000000"/>
                <w:spacing w:val="0"/>
                <w:w w:val="100"/>
                <w:kern w:val="21"/>
                <w:sz w:val="24"/>
                <w:szCs w:val="24"/>
                <w:highlight w:val="none"/>
              </w:rPr>
            </w:pPr>
          </w:p>
        </w:tc>
      </w:tr>
    </w:tbl>
    <w:p w14:paraId="6FC277EC">
      <w:pPr>
        <w:pStyle w:val="19"/>
        <w:keepNext w:val="0"/>
        <w:keepLines w:val="0"/>
        <w:pageBreakBefore w:val="0"/>
        <w:widowControl w:val="0"/>
        <w:kinsoku/>
        <w:wordWrap w:val="0"/>
        <w:overflowPunct/>
        <w:topLinePunct/>
        <w:autoSpaceDE/>
        <w:autoSpaceDN/>
        <w:bidi w:val="0"/>
        <w:spacing w:before="0" w:beforeAutospacing="0" w:after="0" w:afterAutospacing="0" w:line="360" w:lineRule="auto"/>
        <w:ind w:right="0"/>
        <w:textAlignment w:val="auto"/>
        <w:outlineLvl w:val="9"/>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pPr>
      <w:r>
        <w:rPr>
          <w:rFonts w:hint="eastAsia" w:asciiTheme="minorEastAsia" w:hAnsiTheme="minorEastAsia" w:eastAsiaTheme="minorEastAsia" w:cstheme="minorEastAsia"/>
          <w:b w:val="0"/>
          <w:bCs w:val="0"/>
          <w:snapToGrid/>
          <w:spacing w:val="0"/>
          <w:w w:val="100"/>
          <w:kern w:val="21"/>
          <w:sz w:val="22"/>
          <w:szCs w:val="22"/>
          <w:highlight w:val="none"/>
          <w:shd w:val="clear" w:color="auto" w:fill="FFFFFF"/>
          <w:lang w:val="en-US" w:eastAsia="zh-CN" w:bidi="ar-SA"/>
        </w:rPr>
        <w:t>注：</w:t>
      </w:r>
    </w:p>
    <w:p w14:paraId="3A66FC86">
      <w:pPr>
        <w:keepNext w:val="0"/>
        <w:keepLines w:val="0"/>
        <w:pageBreakBefore w:val="0"/>
        <w:widowControl w:val="0"/>
        <w:numPr>
          <w:ilvl w:val="0"/>
          <w:numId w:val="0"/>
        </w:numPr>
        <w:tabs>
          <w:tab w:val="left" w:pos="1800"/>
          <w:tab w:val="left" w:pos="5580"/>
        </w:tabs>
        <w:kinsoku/>
        <w:wordWrap w:val="0"/>
        <w:overflowPunct/>
        <w:topLinePunct/>
        <w:autoSpaceDE/>
        <w:autoSpaceDN/>
        <w:bidi w:val="0"/>
        <w:spacing w:line="360" w:lineRule="auto"/>
        <w:jc w:val="left"/>
        <w:textAlignment w:val="auto"/>
        <w:outlineLvl w:val="9"/>
        <w:rPr>
          <w:rFonts w:hint="eastAsia" w:asciiTheme="minorEastAsia" w:hAnsiTheme="minorEastAsia" w:eastAsiaTheme="minorEastAsia" w:cstheme="minorEastAsia"/>
          <w:b w:val="0"/>
          <w:bCs w:val="0"/>
          <w:snapToGrid/>
          <w:color w:val="000000"/>
          <w:spacing w:val="0"/>
          <w:w w:val="100"/>
          <w:kern w:val="21"/>
          <w:sz w:val="22"/>
          <w:szCs w:val="22"/>
          <w:highlight w:val="none"/>
        </w:rPr>
      </w:pPr>
      <w:r>
        <w:rPr>
          <w:rFonts w:hint="eastAsia" w:asciiTheme="minorEastAsia" w:hAnsiTheme="minorEastAsia" w:eastAsiaTheme="minorEastAsia" w:cstheme="minorEastAsia"/>
          <w:b w:val="0"/>
          <w:bCs w:val="0"/>
          <w:snapToGrid/>
          <w:color w:val="auto"/>
          <w:spacing w:val="0"/>
          <w:w w:val="100"/>
          <w:kern w:val="21"/>
          <w:sz w:val="22"/>
          <w:szCs w:val="22"/>
          <w:highlight w:val="none"/>
        </w:rPr>
        <w:t>1.</w:t>
      </w:r>
      <w:r>
        <w:rPr>
          <w:rFonts w:hint="eastAsia" w:asciiTheme="minorEastAsia" w:hAnsiTheme="minorEastAsia" w:eastAsiaTheme="minorEastAsia" w:cstheme="minorEastAsia"/>
          <w:b w:val="0"/>
          <w:bCs w:val="0"/>
          <w:snapToGrid/>
          <w:color w:val="000000"/>
          <w:spacing w:val="0"/>
          <w:w w:val="100"/>
          <w:kern w:val="21"/>
          <w:sz w:val="22"/>
          <w:szCs w:val="22"/>
          <w:highlight w:val="none"/>
        </w:rPr>
        <w:t>如果不提供分项报价将视为没有实质性响应</w:t>
      </w:r>
      <w:r>
        <w:rPr>
          <w:rFonts w:hint="eastAsia" w:asciiTheme="minorEastAsia" w:hAnsiTheme="minorEastAsia" w:eastAsiaTheme="minorEastAsia" w:cstheme="minorEastAsia"/>
          <w:b w:val="0"/>
          <w:bCs w:val="0"/>
          <w:snapToGrid/>
          <w:color w:val="000000"/>
          <w:spacing w:val="0"/>
          <w:w w:val="100"/>
          <w:kern w:val="21"/>
          <w:sz w:val="22"/>
          <w:szCs w:val="22"/>
          <w:highlight w:val="none"/>
          <w:lang w:eastAsia="zh-CN"/>
        </w:rPr>
        <w:t>竞争性磋商文件</w:t>
      </w:r>
      <w:r>
        <w:rPr>
          <w:rFonts w:hint="eastAsia" w:asciiTheme="minorEastAsia" w:hAnsiTheme="minorEastAsia" w:eastAsiaTheme="minorEastAsia" w:cstheme="minorEastAsia"/>
          <w:b w:val="0"/>
          <w:bCs w:val="0"/>
          <w:snapToGrid/>
          <w:color w:val="000000"/>
          <w:spacing w:val="0"/>
          <w:w w:val="100"/>
          <w:kern w:val="21"/>
          <w:sz w:val="22"/>
          <w:szCs w:val="22"/>
          <w:highlight w:val="none"/>
        </w:rPr>
        <w:t>。</w:t>
      </w:r>
    </w:p>
    <w:p w14:paraId="2D38F7EA">
      <w:pPr>
        <w:keepNext w:val="0"/>
        <w:keepLines w:val="0"/>
        <w:pageBreakBefore w:val="0"/>
        <w:widowControl w:val="0"/>
        <w:tabs>
          <w:tab w:val="left" w:pos="1800"/>
          <w:tab w:val="left" w:pos="5580"/>
        </w:tabs>
        <w:kinsoku/>
        <w:wordWrap w:val="0"/>
        <w:overflowPunct/>
        <w:topLinePunct/>
        <w:autoSpaceDE/>
        <w:autoSpaceDN/>
        <w:bidi w:val="0"/>
        <w:spacing w:line="360" w:lineRule="auto"/>
        <w:jc w:val="left"/>
        <w:textAlignment w:val="auto"/>
        <w:outlineLvl w:val="9"/>
        <w:rPr>
          <w:rFonts w:hint="eastAsia" w:asciiTheme="minorEastAsia" w:hAnsiTheme="minorEastAsia" w:eastAsiaTheme="minorEastAsia" w:cstheme="minorEastAsia"/>
          <w:b w:val="0"/>
          <w:bCs w:val="0"/>
          <w:snapToGrid/>
          <w:color w:val="000000"/>
          <w:spacing w:val="0"/>
          <w:w w:val="100"/>
          <w:kern w:val="21"/>
          <w:sz w:val="22"/>
          <w:szCs w:val="22"/>
          <w:highlight w:val="none"/>
        </w:rPr>
      </w:pP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2</w:t>
      </w:r>
      <w:r>
        <w:rPr>
          <w:rFonts w:hint="eastAsia" w:asciiTheme="minorEastAsia" w:hAnsiTheme="minorEastAsia" w:eastAsiaTheme="minorEastAsia" w:cstheme="minorEastAsia"/>
          <w:b w:val="0"/>
          <w:bCs w:val="0"/>
          <w:snapToGrid/>
          <w:color w:val="000000"/>
          <w:spacing w:val="0"/>
          <w:w w:val="100"/>
          <w:kern w:val="21"/>
          <w:sz w:val="22"/>
          <w:szCs w:val="22"/>
          <w:highlight w:val="none"/>
        </w:rPr>
        <w:t>.上述各项的详细规格（如有），可另页描述。</w:t>
      </w:r>
    </w:p>
    <w:p w14:paraId="2C6BD7C7">
      <w:pPr>
        <w:keepNext w:val="0"/>
        <w:keepLines w:val="0"/>
        <w:pageBreakBefore w:val="0"/>
        <w:widowControl w:val="0"/>
        <w:tabs>
          <w:tab w:val="left" w:pos="1800"/>
          <w:tab w:val="left" w:pos="5580"/>
        </w:tabs>
        <w:kinsoku/>
        <w:wordWrap w:val="0"/>
        <w:overflowPunct/>
        <w:topLinePunct/>
        <w:autoSpaceDE/>
        <w:autoSpaceDN/>
        <w:bidi w:val="0"/>
        <w:spacing w:line="360" w:lineRule="auto"/>
        <w:jc w:val="left"/>
        <w:textAlignment w:val="auto"/>
        <w:outlineLvl w:val="9"/>
        <w:rPr>
          <w:rFonts w:hint="eastAsia" w:asciiTheme="minorEastAsia" w:hAnsiTheme="minorEastAsia" w:eastAsiaTheme="minorEastAsia" w:cstheme="minorEastAsia"/>
          <w:b w:val="0"/>
          <w:bCs w:val="0"/>
          <w:snapToGrid/>
          <w:color w:val="000000"/>
          <w:spacing w:val="0"/>
          <w:w w:val="100"/>
          <w:kern w:val="21"/>
          <w:sz w:val="22"/>
          <w:szCs w:val="22"/>
          <w:highlight w:val="none"/>
        </w:rPr>
      </w:pP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3</w:t>
      </w:r>
      <w:r>
        <w:rPr>
          <w:rFonts w:hint="eastAsia" w:asciiTheme="minorEastAsia" w:hAnsiTheme="minorEastAsia" w:eastAsiaTheme="minorEastAsia" w:cstheme="minorEastAsia"/>
          <w:b w:val="0"/>
          <w:bCs w:val="0"/>
          <w:snapToGrid/>
          <w:color w:val="000000"/>
          <w:spacing w:val="0"/>
          <w:w w:val="100"/>
          <w:kern w:val="21"/>
          <w:sz w:val="22"/>
          <w:szCs w:val="22"/>
          <w:highlight w:val="none"/>
        </w:rPr>
        <w:t>.</w:t>
      </w: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供应商</w:t>
      </w:r>
      <w:r>
        <w:rPr>
          <w:rFonts w:hint="eastAsia" w:asciiTheme="minorEastAsia" w:hAnsiTheme="minorEastAsia" w:eastAsiaTheme="minorEastAsia" w:cstheme="minorEastAsia"/>
          <w:b w:val="0"/>
          <w:bCs w:val="0"/>
          <w:snapToGrid/>
          <w:color w:val="000000"/>
          <w:spacing w:val="0"/>
          <w:w w:val="100"/>
          <w:kern w:val="21"/>
          <w:sz w:val="22"/>
          <w:szCs w:val="22"/>
          <w:highlight w:val="none"/>
        </w:rPr>
        <w:t>的</w:t>
      </w: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投标</w:t>
      </w:r>
      <w:r>
        <w:rPr>
          <w:rFonts w:hint="eastAsia" w:asciiTheme="minorEastAsia" w:hAnsiTheme="minorEastAsia" w:eastAsiaTheme="minorEastAsia" w:cstheme="minorEastAsia"/>
          <w:b w:val="0"/>
          <w:bCs w:val="0"/>
          <w:snapToGrid/>
          <w:color w:val="000000"/>
          <w:spacing w:val="0"/>
          <w:w w:val="100"/>
          <w:kern w:val="21"/>
          <w:sz w:val="22"/>
          <w:szCs w:val="22"/>
          <w:highlight w:val="none"/>
        </w:rPr>
        <w:t>报价应是</w:t>
      </w:r>
      <w:r>
        <w:rPr>
          <w:rFonts w:hint="eastAsia" w:asciiTheme="minorEastAsia" w:hAnsiTheme="minorEastAsia" w:eastAsiaTheme="minorEastAsia" w:cstheme="minorEastAsia"/>
          <w:b w:val="0"/>
          <w:bCs w:val="0"/>
          <w:snapToGrid/>
          <w:color w:val="000000"/>
          <w:spacing w:val="0"/>
          <w:w w:val="100"/>
          <w:kern w:val="21"/>
          <w:sz w:val="22"/>
          <w:szCs w:val="22"/>
          <w:highlight w:val="none"/>
          <w:lang w:eastAsia="zh-CN"/>
        </w:rPr>
        <w:t>竞争性磋商文件</w:t>
      </w:r>
      <w:r>
        <w:rPr>
          <w:rFonts w:hint="eastAsia" w:asciiTheme="minorEastAsia" w:hAnsiTheme="minorEastAsia" w:eastAsiaTheme="minorEastAsia" w:cstheme="minorEastAsia"/>
          <w:b w:val="0"/>
          <w:bCs w:val="0"/>
          <w:snapToGrid/>
          <w:color w:val="000000"/>
          <w:spacing w:val="0"/>
          <w:w w:val="100"/>
          <w:kern w:val="21"/>
          <w:sz w:val="22"/>
          <w:szCs w:val="22"/>
          <w:highlight w:val="none"/>
        </w:rPr>
        <w:t>所确定的采购范围内全部工作内容的价格表现，包含为完成本</w:t>
      </w:r>
      <w:r>
        <w:rPr>
          <w:rFonts w:hint="eastAsia" w:asciiTheme="minorEastAsia" w:hAnsiTheme="minorEastAsia" w:eastAsiaTheme="minorEastAsia" w:cstheme="minorEastAsia"/>
          <w:b w:val="0"/>
          <w:bCs w:val="0"/>
          <w:snapToGrid/>
          <w:color w:val="000000"/>
          <w:spacing w:val="0"/>
          <w:w w:val="100"/>
          <w:kern w:val="21"/>
          <w:sz w:val="22"/>
          <w:szCs w:val="22"/>
          <w:highlight w:val="none"/>
          <w:lang w:eastAsia="zh-CN"/>
        </w:rPr>
        <w:t>竞争性磋商文件</w:t>
      </w:r>
      <w:r>
        <w:rPr>
          <w:rFonts w:hint="eastAsia" w:asciiTheme="minorEastAsia" w:hAnsiTheme="minorEastAsia" w:eastAsiaTheme="minorEastAsia" w:cstheme="minorEastAsia"/>
          <w:b w:val="0"/>
          <w:bCs w:val="0"/>
          <w:snapToGrid/>
          <w:color w:val="000000"/>
          <w:spacing w:val="0"/>
          <w:w w:val="100"/>
          <w:kern w:val="21"/>
          <w:sz w:val="22"/>
          <w:szCs w:val="22"/>
          <w:highlight w:val="none"/>
        </w:rPr>
        <w:t>规定的采购内容所需要的全部费用。</w:t>
      </w:r>
    </w:p>
    <w:p w14:paraId="3537E6FA">
      <w:pPr>
        <w:keepNext w:val="0"/>
        <w:keepLines w:val="0"/>
        <w:pageBreakBefore w:val="0"/>
        <w:widowControl w:val="0"/>
        <w:tabs>
          <w:tab w:val="left" w:pos="1800"/>
          <w:tab w:val="left" w:pos="5580"/>
        </w:tabs>
        <w:kinsoku/>
        <w:wordWrap w:val="0"/>
        <w:overflowPunct/>
        <w:topLinePunct/>
        <w:autoSpaceDE/>
        <w:autoSpaceDN/>
        <w:bidi w:val="0"/>
        <w:spacing w:line="360" w:lineRule="auto"/>
        <w:jc w:val="left"/>
        <w:textAlignment w:val="auto"/>
        <w:outlineLvl w:val="9"/>
        <w:rPr>
          <w:rFonts w:hint="eastAsia" w:asciiTheme="minorEastAsia" w:hAnsiTheme="minorEastAsia" w:eastAsiaTheme="minorEastAsia" w:cstheme="minorEastAsia"/>
          <w:b w:val="0"/>
          <w:bCs w:val="0"/>
          <w:snapToGrid/>
          <w:color w:val="000000"/>
          <w:spacing w:val="0"/>
          <w:w w:val="100"/>
          <w:kern w:val="21"/>
          <w:sz w:val="22"/>
          <w:szCs w:val="22"/>
          <w:highlight w:val="none"/>
        </w:rPr>
      </w:pP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4</w:t>
      </w:r>
      <w:r>
        <w:rPr>
          <w:rFonts w:hint="eastAsia" w:asciiTheme="minorEastAsia" w:hAnsiTheme="minorEastAsia" w:eastAsiaTheme="minorEastAsia" w:cstheme="minorEastAsia"/>
          <w:b w:val="0"/>
          <w:bCs w:val="0"/>
          <w:snapToGrid/>
          <w:color w:val="000000"/>
          <w:spacing w:val="0"/>
          <w:w w:val="100"/>
          <w:kern w:val="21"/>
          <w:sz w:val="22"/>
          <w:szCs w:val="22"/>
          <w:highlight w:val="none"/>
        </w:rPr>
        <w:t>.此表无需放入响应文件中，应在</w:t>
      </w: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最后</w:t>
      </w:r>
      <w:r>
        <w:rPr>
          <w:rFonts w:hint="eastAsia" w:asciiTheme="minorEastAsia" w:hAnsiTheme="minorEastAsia" w:eastAsiaTheme="minorEastAsia" w:cstheme="minorEastAsia"/>
          <w:b w:val="0"/>
          <w:bCs w:val="0"/>
          <w:snapToGrid/>
          <w:color w:val="000000"/>
          <w:spacing w:val="0"/>
          <w:w w:val="100"/>
          <w:kern w:val="21"/>
          <w:sz w:val="22"/>
          <w:szCs w:val="22"/>
          <w:highlight w:val="none"/>
        </w:rPr>
        <w:t>报价环节按规定时间填报至系统，最后报价时间为磋商小组指定的时间，具体时间根据磋商进度另行通知，接到通知后供应商应将最后报价填报至系统，未按照磋商小组规定的时间、逾期提交最后报价的响应文件无效。</w:t>
      </w:r>
    </w:p>
    <w:p w14:paraId="739B71CA">
      <w:pPr>
        <w:keepNext w:val="0"/>
        <w:keepLines w:val="0"/>
        <w:pageBreakBefore w:val="0"/>
        <w:widowControl w:val="0"/>
        <w:tabs>
          <w:tab w:val="left" w:pos="1800"/>
          <w:tab w:val="left" w:pos="5580"/>
        </w:tabs>
        <w:kinsoku/>
        <w:wordWrap w:val="0"/>
        <w:overflowPunct/>
        <w:topLinePunct/>
        <w:autoSpaceDE/>
        <w:autoSpaceDN/>
        <w:bidi w:val="0"/>
        <w:spacing w:line="360" w:lineRule="auto"/>
        <w:jc w:val="left"/>
        <w:textAlignment w:val="auto"/>
        <w:outlineLvl w:val="9"/>
        <w:rPr>
          <w:rFonts w:hint="eastAsia" w:asciiTheme="minorEastAsia" w:hAnsiTheme="minorEastAsia" w:eastAsiaTheme="minorEastAsia" w:cstheme="minorEastAsia"/>
          <w:b w:val="0"/>
          <w:bCs w:val="0"/>
          <w:snapToGrid/>
          <w:color w:val="000000"/>
          <w:spacing w:val="0"/>
          <w:w w:val="100"/>
          <w:kern w:val="21"/>
          <w:sz w:val="22"/>
          <w:szCs w:val="22"/>
          <w:highlight w:val="none"/>
        </w:rPr>
      </w:pP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5</w:t>
      </w:r>
      <w:r>
        <w:rPr>
          <w:rFonts w:hint="eastAsia" w:asciiTheme="minorEastAsia" w:hAnsiTheme="minorEastAsia" w:eastAsiaTheme="minorEastAsia" w:cstheme="minorEastAsia"/>
          <w:b w:val="0"/>
          <w:bCs w:val="0"/>
          <w:snapToGrid/>
          <w:color w:val="000000"/>
          <w:spacing w:val="0"/>
          <w:w w:val="100"/>
          <w:kern w:val="21"/>
          <w:sz w:val="22"/>
          <w:szCs w:val="22"/>
          <w:highlight w:val="none"/>
        </w:rPr>
        <w:t>.成交</w:t>
      </w:r>
      <w:r>
        <w:rPr>
          <w:rFonts w:hint="eastAsia" w:asciiTheme="minorEastAsia" w:hAnsiTheme="minorEastAsia" w:eastAsiaTheme="minorEastAsia" w:cstheme="minorEastAsia"/>
          <w:b w:val="0"/>
          <w:bCs w:val="0"/>
          <w:snapToGrid/>
          <w:color w:val="000000"/>
          <w:spacing w:val="0"/>
          <w:w w:val="100"/>
          <w:kern w:val="21"/>
          <w:sz w:val="22"/>
          <w:szCs w:val="22"/>
          <w:highlight w:val="none"/>
          <w:lang w:val="en-US" w:eastAsia="zh-CN"/>
        </w:rPr>
        <w:t>供应商</w:t>
      </w:r>
      <w:r>
        <w:rPr>
          <w:rFonts w:hint="eastAsia" w:asciiTheme="minorEastAsia" w:hAnsiTheme="minorEastAsia" w:eastAsiaTheme="minorEastAsia" w:cstheme="minorEastAsia"/>
          <w:b w:val="0"/>
          <w:bCs w:val="0"/>
          <w:snapToGrid/>
          <w:color w:val="000000"/>
          <w:spacing w:val="0"/>
          <w:w w:val="100"/>
          <w:kern w:val="21"/>
          <w:sz w:val="22"/>
          <w:szCs w:val="22"/>
          <w:highlight w:val="none"/>
        </w:rPr>
        <w:t>在领取成交通知书的当日，按此格式提交2份纸质版最后分项报价表。</w:t>
      </w:r>
    </w:p>
    <w:p w14:paraId="70780E4A">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rPr>
      </w:pPr>
    </w:p>
    <w:p w14:paraId="2F24EA03">
      <w:pPr>
        <w:keepNext w:val="0"/>
        <w:keepLines w:val="0"/>
        <w:pageBreakBefore w:val="0"/>
        <w:widowControl w:val="0"/>
        <w:kinsoku/>
        <w:wordWrap w:val="0"/>
        <w:overflowPunct/>
        <w:topLinePunct/>
        <w:autoSpaceDE/>
        <w:autoSpaceDN/>
        <w:bidi w:val="0"/>
        <w:adjustRightInd w:val="0"/>
        <w:snapToGrid w:val="0"/>
        <w:spacing w:before="25" w:after="25" w:line="360" w:lineRule="auto"/>
        <w:ind w:right="360"/>
        <w:jc w:val="right"/>
        <w:outlineLvl w:val="9"/>
        <w:rPr>
          <w:rFonts w:hint="eastAsia" w:asciiTheme="minorEastAsia" w:hAnsiTheme="minorEastAsia" w:eastAsiaTheme="minorEastAsia" w:cstheme="minorEastAsia"/>
          <w:b w:val="0"/>
          <w:bCs w:val="0"/>
          <w:snapToGrid/>
          <w:color w:val="000000"/>
          <w:spacing w:val="0"/>
          <w:kern w:val="21"/>
          <w:sz w:val="22"/>
          <w:szCs w:val="22"/>
          <w:highlight w:val="none"/>
          <w:lang w:val="en-US" w:eastAsia="zh-CN"/>
        </w:rPr>
      </w:pPr>
      <w:r>
        <w:rPr>
          <w:rFonts w:hint="eastAsia" w:asciiTheme="minorEastAsia" w:hAnsiTheme="minorEastAsia" w:eastAsiaTheme="minorEastAsia" w:cstheme="minorEastAsia"/>
          <w:b w:val="0"/>
          <w:bCs w:val="0"/>
          <w:snapToGrid/>
          <w:color w:val="000000"/>
          <w:spacing w:val="0"/>
          <w:kern w:val="21"/>
          <w:sz w:val="22"/>
          <w:szCs w:val="22"/>
          <w:highlight w:val="none"/>
        </w:rPr>
        <w:t>供应商名称（加盖公章）</w:t>
      </w:r>
      <w:r>
        <w:rPr>
          <w:rFonts w:hint="eastAsia" w:asciiTheme="minorEastAsia" w:hAnsiTheme="minorEastAsia" w:eastAsiaTheme="minorEastAsia" w:cstheme="minorEastAsia"/>
          <w:b w:val="0"/>
          <w:bCs w:val="0"/>
          <w:snapToGrid/>
          <w:color w:val="000000"/>
          <w:spacing w:val="0"/>
          <w:kern w:val="21"/>
          <w:sz w:val="22"/>
          <w:szCs w:val="22"/>
          <w:highlight w:val="none"/>
          <w:lang w:val="zh-CN"/>
        </w:rPr>
        <w:t>：</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p>
    <w:p w14:paraId="1CD34F4D">
      <w:pPr>
        <w:keepNext w:val="0"/>
        <w:keepLines w:val="0"/>
        <w:pageBreakBefore w:val="0"/>
        <w:widowControl w:val="0"/>
        <w:kinsoku/>
        <w:wordWrap w:val="0"/>
        <w:overflowPunct/>
        <w:topLinePunct/>
        <w:autoSpaceDE/>
        <w:autoSpaceDN/>
        <w:bidi w:val="0"/>
        <w:spacing w:line="360" w:lineRule="auto"/>
        <w:ind w:right="360"/>
        <w:jc w:val="right"/>
        <w:outlineLvl w:val="9"/>
        <w:rPr>
          <w:rFonts w:hint="eastAsia" w:asciiTheme="minorEastAsia" w:hAnsiTheme="minorEastAsia" w:eastAsiaTheme="minorEastAsia" w:cstheme="minorEastAsia"/>
          <w:b w:val="0"/>
          <w:bCs w:val="0"/>
          <w:snapToGrid/>
          <w:spacing w:val="0"/>
          <w:kern w:val="21"/>
          <w:sz w:val="22"/>
          <w:szCs w:val="22"/>
          <w:highlight w:val="none"/>
        </w:rPr>
      </w:pPr>
      <w:r>
        <w:rPr>
          <w:rFonts w:hint="eastAsia" w:asciiTheme="minorEastAsia" w:hAnsiTheme="minorEastAsia" w:eastAsiaTheme="minorEastAsia" w:cstheme="minorEastAsia"/>
          <w:b w:val="0"/>
          <w:bCs w:val="0"/>
          <w:snapToGrid/>
          <w:color w:val="000000"/>
          <w:spacing w:val="0"/>
          <w:kern w:val="21"/>
          <w:sz w:val="22"/>
          <w:szCs w:val="22"/>
          <w:highlight w:val="none"/>
        </w:rPr>
        <w:t>日期：</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年</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月</w:t>
      </w:r>
      <w:r>
        <w:rPr>
          <w:rFonts w:hint="eastAsia" w:asciiTheme="minorEastAsia" w:hAnsiTheme="minorEastAsia" w:eastAsiaTheme="minorEastAsia" w:cstheme="minorEastAsia"/>
          <w:b w:val="0"/>
          <w:bCs w:val="0"/>
          <w:snapToGrid/>
          <w:spacing w:val="0"/>
          <w:kern w:val="21"/>
          <w:sz w:val="22"/>
          <w:szCs w:val="22"/>
          <w:highlight w:val="none"/>
          <w:u w:val="single"/>
          <w:lang w:val="en-US" w:eastAsia="zh-CN"/>
        </w:rPr>
        <w:t xml:space="preserve">    </w:t>
      </w:r>
      <w:r>
        <w:rPr>
          <w:rFonts w:hint="eastAsia" w:asciiTheme="minorEastAsia" w:hAnsiTheme="minorEastAsia" w:eastAsiaTheme="minorEastAsia" w:cstheme="minorEastAsia"/>
          <w:b w:val="0"/>
          <w:bCs w:val="0"/>
          <w:snapToGrid/>
          <w:color w:val="000000"/>
          <w:spacing w:val="0"/>
          <w:kern w:val="21"/>
          <w:sz w:val="22"/>
          <w:szCs w:val="22"/>
          <w:highlight w:val="none"/>
        </w:rPr>
        <w:t>日</w:t>
      </w:r>
    </w:p>
    <w:sectPr>
      <w:headerReference r:id="rId19" w:type="first"/>
      <w:footerReference r:id="rId20" w:type="first"/>
      <w:pgSz w:w="11905" w:h="16838"/>
      <w:pgMar w:top="1440" w:right="1080" w:bottom="1440" w:left="1080" w:header="851" w:footer="850" w:gutter="0"/>
      <w:pgNumType w:fmt="decimal"/>
      <w:cols w:space="0" w:num="1"/>
      <w:titlePg/>
      <w:rtlGutter w:val="0"/>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8B453B12-3900-4048-A767-4C5810095A2A}"/>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1A3F5">
    <w:pPr>
      <w:pStyle w:val="15"/>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32954">
    <w:pPr>
      <w:widowControl w:val="0"/>
      <w:autoSpaceDE w:val="0"/>
      <w:autoSpaceDN w:val="0"/>
      <w:adjustRightInd w:val="0"/>
      <w:snapToGrid w:val="0"/>
      <w:jc w:val="left"/>
      <w:rPr>
        <w:rFonts w:ascii="宋体" w:hAnsi="Times New Roman" w:eastAsia="宋体" w:cs="Times New Roman"/>
        <w:kern w:val="0"/>
        <w:sz w:val="18"/>
        <w:szCs w:val="20"/>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8803B3">
                          <w:pPr>
                            <w:pStyle w:val="1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C8803B3">
                    <w:pPr>
                      <w:pStyle w:val="1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000AD">
    <w:pPr>
      <w:pStyle w:val="1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F96FA">
    <w:pPr>
      <w:pStyle w:val="15"/>
      <w:jc w:val="center"/>
      <w:rPr>
        <w:rFonts w:ascii="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A8E0A">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2AA8E0A">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0AB0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01639">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BB01639">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160C3">
    <w:pPr>
      <w:pStyle w:val="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8A388">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A38A388">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012D">
    <w:pPr>
      <w:spacing w:before="1" w:line="229" w:lineRule="auto"/>
      <w:ind w:right="18"/>
      <w:jc w:val="right"/>
      <w:rPr>
        <w:rFonts w:ascii="仿宋" w:hAnsi="仿宋" w:eastAsia="仿宋" w:cs="仿宋"/>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0F0BD">
                          <w:pPr>
                            <w:pStyle w:val="1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420F0BD">
                    <w:pPr>
                      <w:pStyle w:val="15"/>
                    </w:pPr>
                    <w:r>
                      <w:fldChar w:fldCharType="begin"/>
                    </w:r>
                    <w:r>
                      <w:instrText xml:space="preserve"> PAGE  \* MERGEFORMAT </w:instrText>
                    </w:r>
                    <w:r>
                      <w:fldChar w:fldCharType="separate"/>
                    </w:r>
                    <w:r>
                      <w:t>37</w:t>
                    </w:r>
                    <w:r>
                      <w:fldChar w:fldCharType="end"/>
                    </w:r>
                  </w:p>
                </w:txbxContent>
              </v:textbox>
            </v:shape>
          </w:pict>
        </mc:Fallback>
      </mc:AlternateContent>
    </w:r>
    <w:r>
      <w:rPr>
        <w:rFonts w:ascii="仿宋" w:hAnsi="仿宋" w:eastAsia="仿宋" w:cs="仿宋"/>
        <w:spacing w:val="-8"/>
        <w:sz w:val="28"/>
        <w:szCs w:val="28"/>
      </w:rPr>
      <w:t>—9—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BAAB6">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B655B">
                          <w:pPr>
                            <w:pStyle w:val="1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2C1B655B">
                    <w:pPr>
                      <w:pStyle w:val="1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ED0AF">
    <w:pPr>
      <w:pStyle w:val="15"/>
      <w:ind w:right="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CB94C">
                          <w:pPr>
                            <w:pStyle w:val="1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4ECB94C">
                    <w:pPr>
                      <w:pStyle w:val="15"/>
                    </w:pPr>
                    <w:r>
                      <w:fldChar w:fldCharType="begin"/>
                    </w:r>
                    <w:r>
                      <w:instrText xml:space="preserve"> PAGE  \* MERGEFORMAT </w:instrText>
                    </w:r>
                    <w:r>
                      <w:fldChar w:fldCharType="separate"/>
                    </w:r>
                    <w:r>
                      <w:t>40</w:t>
                    </w:r>
                    <w:r>
                      <w:fldChar w:fldCharType="end"/>
                    </w:r>
                  </w:p>
                </w:txbxContent>
              </v:textbox>
            </v:shape>
          </w:pict>
        </mc:Fallback>
      </mc:AlternateContent>
    </w:r>
  </w:p>
  <w:p w14:paraId="0602AE4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11177">
    <w:pPr>
      <w:pStyle w:val="15"/>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90B55">
                          <w:pPr>
                            <w:pStyle w:val="1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A190B55">
                    <w:pPr>
                      <w:pStyle w:val="1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B0CC0">
    <w:pPr>
      <w:pStyle w:val="16"/>
      <w:pBdr>
        <w:bottom w:val="single" w:color="auto" w:sz="4" w:space="1"/>
      </w:pBdr>
      <w:jc w:val="right"/>
    </w:pPr>
    <w:r>
      <w:rPr>
        <w:rFonts w:hint="eastAsia"/>
      </w:rPr>
      <w:t>北京市政府采购项目竞争性磋商文件示范文本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642BF">
    <w:pPr>
      <w:pStyle w:val="16"/>
      <w:jc w:val="right"/>
    </w:pPr>
    <w:r>
      <w:rPr>
        <w:rFonts w:hint="eastAsia"/>
      </w:rPr>
      <w:t>北京市政府采购项目竞争性磋商文件示范文本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FFCB0">
    <w:pPr>
      <w:pStyle w:val="16"/>
      <w:jc w:val="right"/>
    </w:pPr>
    <w:r>
      <w:rPr>
        <w:rFonts w:hint="eastAsia"/>
      </w:rPr>
      <w:t>北京市政府采购项目竞争性磋商文件示范文本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00CE6">
    <w:pPr>
      <w:pStyle w:val="16"/>
      <w:pBdr>
        <w:bottom w:val="single" w:color="auto" w:sz="4" w:space="1"/>
      </w:pBdr>
      <w:jc w:val="right"/>
    </w:pPr>
    <w:r>
      <w:rPr>
        <w:rFonts w:hint="eastAsia"/>
      </w:rPr>
      <w:t>北京市政府采购项目竞争性磋商文件示范文本</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2B523">
    <w:pPr>
      <w:pStyle w:val="16"/>
      <w:jc w:val="right"/>
    </w:pPr>
    <w:r>
      <w:rPr>
        <w:rFonts w:hint="eastAsia"/>
      </w:rPr>
      <w:t>北京市政府采购项目竞争性磋商文件示范文本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E98D0">
    <w:pPr>
      <w:pStyle w:val="16"/>
      <w:jc w:val="right"/>
    </w:pPr>
    <w:r>
      <w:rPr>
        <w:rFonts w:hint="eastAsia"/>
      </w:rPr>
      <w:t>北京市政府采购项目竞争性磋商文件示范文本</w:t>
    </w:r>
  </w:p>
  <w:p w14:paraId="07D129B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488CB">
    <w:pPr>
      <w:pStyle w:val="1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AACFC">
    <w:pPr>
      <w:widowControl w:val="0"/>
      <w:pBdr>
        <w:bottom w:val="single" w:color="auto" w:sz="6" w:space="1"/>
      </w:pBdr>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8EB95E7"/>
    <w:multiLevelType w:val="singleLevel"/>
    <w:tmpl w:val="18EB95E7"/>
    <w:lvl w:ilvl="0" w:tentative="0">
      <w:start w:val="3"/>
      <w:numFmt w:val="decimal"/>
      <w:lvlText w:val="%1."/>
      <w:lvlJc w:val="left"/>
      <w:pPr>
        <w:tabs>
          <w:tab w:val="left" w:pos="312"/>
        </w:tabs>
      </w:pPr>
    </w:lvl>
  </w:abstractNum>
  <w:abstractNum w:abstractNumId="2">
    <w:nsid w:val="499AF885"/>
    <w:multiLevelType w:val="singleLevel"/>
    <w:tmpl w:val="499AF885"/>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4Y2FhM2NmNGRkMjBiZWIxNWVlZWIzM2FmNDViZGEifQ=="/>
  </w:docVars>
  <w:rsids>
    <w:rsidRoot w:val="005F744A"/>
    <w:rsid w:val="001F108A"/>
    <w:rsid w:val="00224F59"/>
    <w:rsid w:val="002377AA"/>
    <w:rsid w:val="00247185"/>
    <w:rsid w:val="002E29C5"/>
    <w:rsid w:val="0033310D"/>
    <w:rsid w:val="003D7999"/>
    <w:rsid w:val="00502218"/>
    <w:rsid w:val="0057111B"/>
    <w:rsid w:val="005848B6"/>
    <w:rsid w:val="005A2D64"/>
    <w:rsid w:val="005D465C"/>
    <w:rsid w:val="005F744A"/>
    <w:rsid w:val="00695337"/>
    <w:rsid w:val="006B71BC"/>
    <w:rsid w:val="008C31DE"/>
    <w:rsid w:val="008D66EE"/>
    <w:rsid w:val="0092000C"/>
    <w:rsid w:val="00975D66"/>
    <w:rsid w:val="009A59F5"/>
    <w:rsid w:val="009D3880"/>
    <w:rsid w:val="009E5347"/>
    <w:rsid w:val="00AF6AE7"/>
    <w:rsid w:val="00B35724"/>
    <w:rsid w:val="00BB208E"/>
    <w:rsid w:val="00C977C5"/>
    <w:rsid w:val="00D13D64"/>
    <w:rsid w:val="00DB2F53"/>
    <w:rsid w:val="00E0770D"/>
    <w:rsid w:val="00E85DA4"/>
    <w:rsid w:val="01011432"/>
    <w:rsid w:val="01466E5E"/>
    <w:rsid w:val="014852B3"/>
    <w:rsid w:val="01616D66"/>
    <w:rsid w:val="016C28AD"/>
    <w:rsid w:val="016E2F6B"/>
    <w:rsid w:val="01A20482"/>
    <w:rsid w:val="01E46C6A"/>
    <w:rsid w:val="02022281"/>
    <w:rsid w:val="02133599"/>
    <w:rsid w:val="021831F4"/>
    <w:rsid w:val="021B4775"/>
    <w:rsid w:val="022950E4"/>
    <w:rsid w:val="023C0222"/>
    <w:rsid w:val="023D46EC"/>
    <w:rsid w:val="026974D9"/>
    <w:rsid w:val="029415CA"/>
    <w:rsid w:val="029F0F02"/>
    <w:rsid w:val="02A36C44"/>
    <w:rsid w:val="02BD75DA"/>
    <w:rsid w:val="02C163AB"/>
    <w:rsid w:val="02CB19F9"/>
    <w:rsid w:val="02DD1A2B"/>
    <w:rsid w:val="03103B27"/>
    <w:rsid w:val="03137F71"/>
    <w:rsid w:val="03355D98"/>
    <w:rsid w:val="03367AB9"/>
    <w:rsid w:val="03446EFC"/>
    <w:rsid w:val="03541CED"/>
    <w:rsid w:val="035A5E4A"/>
    <w:rsid w:val="037A0098"/>
    <w:rsid w:val="038B1A04"/>
    <w:rsid w:val="03912F41"/>
    <w:rsid w:val="03A774FC"/>
    <w:rsid w:val="03B27E00"/>
    <w:rsid w:val="03D04E3C"/>
    <w:rsid w:val="03E17C80"/>
    <w:rsid w:val="03E81A27"/>
    <w:rsid w:val="03EF1A15"/>
    <w:rsid w:val="04194CE4"/>
    <w:rsid w:val="044D7030"/>
    <w:rsid w:val="046309CA"/>
    <w:rsid w:val="04682F74"/>
    <w:rsid w:val="04BF763A"/>
    <w:rsid w:val="04C1362C"/>
    <w:rsid w:val="04C604FB"/>
    <w:rsid w:val="04C904B8"/>
    <w:rsid w:val="04D550AF"/>
    <w:rsid w:val="05092FAB"/>
    <w:rsid w:val="051C683A"/>
    <w:rsid w:val="05212A41"/>
    <w:rsid w:val="052136C5"/>
    <w:rsid w:val="052459A1"/>
    <w:rsid w:val="053F7F38"/>
    <w:rsid w:val="05500BDA"/>
    <w:rsid w:val="05AD38B8"/>
    <w:rsid w:val="05C841EA"/>
    <w:rsid w:val="05D25063"/>
    <w:rsid w:val="05D6094B"/>
    <w:rsid w:val="05DD246D"/>
    <w:rsid w:val="05EA2DDC"/>
    <w:rsid w:val="05EC43D5"/>
    <w:rsid w:val="06051935"/>
    <w:rsid w:val="06147E59"/>
    <w:rsid w:val="063D2F0C"/>
    <w:rsid w:val="06420522"/>
    <w:rsid w:val="06604E4C"/>
    <w:rsid w:val="066E374C"/>
    <w:rsid w:val="067D5AF4"/>
    <w:rsid w:val="068055AE"/>
    <w:rsid w:val="068E3E81"/>
    <w:rsid w:val="06B84C89"/>
    <w:rsid w:val="06BD5DFB"/>
    <w:rsid w:val="06C453DB"/>
    <w:rsid w:val="06C929F2"/>
    <w:rsid w:val="06F7755F"/>
    <w:rsid w:val="06FE1AEE"/>
    <w:rsid w:val="071F2612"/>
    <w:rsid w:val="07602C49"/>
    <w:rsid w:val="0761139F"/>
    <w:rsid w:val="076D599C"/>
    <w:rsid w:val="076D7821"/>
    <w:rsid w:val="07844720"/>
    <w:rsid w:val="07860D01"/>
    <w:rsid w:val="078F7797"/>
    <w:rsid w:val="07AF7E3A"/>
    <w:rsid w:val="07B95303"/>
    <w:rsid w:val="07D103E4"/>
    <w:rsid w:val="07DB29DD"/>
    <w:rsid w:val="082F235E"/>
    <w:rsid w:val="083C1CA7"/>
    <w:rsid w:val="083C4BE1"/>
    <w:rsid w:val="08464A1F"/>
    <w:rsid w:val="084D698E"/>
    <w:rsid w:val="084E678A"/>
    <w:rsid w:val="085920D9"/>
    <w:rsid w:val="08607688"/>
    <w:rsid w:val="08662D55"/>
    <w:rsid w:val="087150EF"/>
    <w:rsid w:val="087178D4"/>
    <w:rsid w:val="087B5F6E"/>
    <w:rsid w:val="088842BD"/>
    <w:rsid w:val="08B927DF"/>
    <w:rsid w:val="08D51B1C"/>
    <w:rsid w:val="09137F54"/>
    <w:rsid w:val="091A12E3"/>
    <w:rsid w:val="091A5787"/>
    <w:rsid w:val="092B7994"/>
    <w:rsid w:val="092C7268"/>
    <w:rsid w:val="093E42E8"/>
    <w:rsid w:val="0942045D"/>
    <w:rsid w:val="094B3B92"/>
    <w:rsid w:val="09672ADE"/>
    <w:rsid w:val="09776154"/>
    <w:rsid w:val="09970B85"/>
    <w:rsid w:val="09997B7A"/>
    <w:rsid w:val="099E3122"/>
    <w:rsid w:val="09AD2157"/>
    <w:rsid w:val="09C120A6"/>
    <w:rsid w:val="09D270EF"/>
    <w:rsid w:val="09D815E1"/>
    <w:rsid w:val="0A0967DF"/>
    <w:rsid w:val="0A1007B8"/>
    <w:rsid w:val="0A1421D6"/>
    <w:rsid w:val="0A314FFA"/>
    <w:rsid w:val="0A454A85"/>
    <w:rsid w:val="0A4F76B2"/>
    <w:rsid w:val="0A5606E2"/>
    <w:rsid w:val="0A6B2D01"/>
    <w:rsid w:val="0AC30636"/>
    <w:rsid w:val="0AC7549A"/>
    <w:rsid w:val="0AE222D4"/>
    <w:rsid w:val="0AE230E9"/>
    <w:rsid w:val="0AF344E1"/>
    <w:rsid w:val="0B0C55A3"/>
    <w:rsid w:val="0B0C62A2"/>
    <w:rsid w:val="0B0D44BB"/>
    <w:rsid w:val="0B121081"/>
    <w:rsid w:val="0B1A1A6E"/>
    <w:rsid w:val="0B2F7D9E"/>
    <w:rsid w:val="0B330D82"/>
    <w:rsid w:val="0B3448FF"/>
    <w:rsid w:val="0B350656"/>
    <w:rsid w:val="0B380339"/>
    <w:rsid w:val="0B494101"/>
    <w:rsid w:val="0B4C599F"/>
    <w:rsid w:val="0B4F77DD"/>
    <w:rsid w:val="0B6D4B72"/>
    <w:rsid w:val="0B6E5916"/>
    <w:rsid w:val="0B7C44D7"/>
    <w:rsid w:val="0B921A44"/>
    <w:rsid w:val="0B932773"/>
    <w:rsid w:val="0BB21CA6"/>
    <w:rsid w:val="0BC05029"/>
    <w:rsid w:val="0BCA6075"/>
    <w:rsid w:val="0BD62973"/>
    <w:rsid w:val="0C1349B9"/>
    <w:rsid w:val="0C8D626F"/>
    <w:rsid w:val="0C9E4410"/>
    <w:rsid w:val="0CA000E8"/>
    <w:rsid w:val="0CB06B79"/>
    <w:rsid w:val="0CB679B8"/>
    <w:rsid w:val="0CBA3508"/>
    <w:rsid w:val="0CD12914"/>
    <w:rsid w:val="0CE02843"/>
    <w:rsid w:val="0D186481"/>
    <w:rsid w:val="0D3D1A44"/>
    <w:rsid w:val="0D4A48FD"/>
    <w:rsid w:val="0D5D7003"/>
    <w:rsid w:val="0D710C7F"/>
    <w:rsid w:val="0D825E3C"/>
    <w:rsid w:val="0D870F11"/>
    <w:rsid w:val="0DA27AF9"/>
    <w:rsid w:val="0DA675E9"/>
    <w:rsid w:val="0DCD62DE"/>
    <w:rsid w:val="0DD2734A"/>
    <w:rsid w:val="0DFA16E3"/>
    <w:rsid w:val="0E1836C3"/>
    <w:rsid w:val="0E216DBE"/>
    <w:rsid w:val="0E380853"/>
    <w:rsid w:val="0E3D5E73"/>
    <w:rsid w:val="0E484B44"/>
    <w:rsid w:val="0E4C0486"/>
    <w:rsid w:val="0E4D5CB6"/>
    <w:rsid w:val="0E855450"/>
    <w:rsid w:val="0E8A6F0A"/>
    <w:rsid w:val="0EAA75B1"/>
    <w:rsid w:val="0EDF5E91"/>
    <w:rsid w:val="0EE71826"/>
    <w:rsid w:val="0EF5276A"/>
    <w:rsid w:val="0EFF44A4"/>
    <w:rsid w:val="0F2942DE"/>
    <w:rsid w:val="0F2D5392"/>
    <w:rsid w:val="0F2F360E"/>
    <w:rsid w:val="0F524C61"/>
    <w:rsid w:val="0F64794A"/>
    <w:rsid w:val="0F65034F"/>
    <w:rsid w:val="0F8E6586"/>
    <w:rsid w:val="0FAF605E"/>
    <w:rsid w:val="0FBA1C5C"/>
    <w:rsid w:val="0FCB77DB"/>
    <w:rsid w:val="0FE34B24"/>
    <w:rsid w:val="0FE64614"/>
    <w:rsid w:val="0FF04275"/>
    <w:rsid w:val="0FFD0285"/>
    <w:rsid w:val="0FFF7484"/>
    <w:rsid w:val="101741BD"/>
    <w:rsid w:val="101758FF"/>
    <w:rsid w:val="10303AE2"/>
    <w:rsid w:val="1046588C"/>
    <w:rsid w:val="1059697B"/>
    <w:rsid w:val="105A4E68"/>
    <w:rsid w:val="10650A19"/>
    <w:rsid w:val="10881497"/>
    <w:rsid w:val="109A66C9"/>
    <w:rsid w:val="10C01FFC"/>
    <w:rsid w:val="10C031A2"/>
    <w:rsid w:val="10C20BDE"/>
    <w:rsid w:val="10D0076E"/>
    <w:rsid w:val="10EA3F4B"/>
    <w:rsid w:val="10FD7E68"/>
    <w:rsid w:val="111F3CDF"/>
    <w:rsid w:val="1123358C"/>
    <w:rsid w:val="112A22DF"/>
    <w:rsid w:val="112B6A3D"/>
    <w:rsid w:val="114101DB"/>
    <w:rsid w:val="115543AC"/>
    <w:rsid w:val="115B693C"/>
    <w:rsid w:val="115C1843"/>
    <w:rsid w:val="115D4462"/>
    <w:rsid w:val="11622BDE"/>
    <w:rsid w:val="116625B7"/>
    <w:rsid w:val="118248BC"/>
    <w:rsid w:val="118B7221"/>
    <w:rsid w:val="11BC1998"/>
    <w:rsid w:val="11BD13A5"/>
    <w:rsid w:val="11CE35B2"/>
    <w:rsid w:val="11DD2B24"/>
    <w:rsid w:val="11ED5EAE"/>
    <w:rsid w:val="1236016D"/>
    <w:rsid w:val="125F37B4"/>
    <w:rsid w:val="127001C5"/>
    <w:rsid w:val="127C6BC4"/>
    <w:rsid w:val="127E3ED7"/>
    <w:rsid w:val="128E2E6D"/>
    <w:rsid w:val="12906AB9"/>
    <w:rsid w:val="129E4D32"/>
    <w:rsid w:val="12C40FBC"/>
    <w:rsid w:val="12E50BB3"/>
    <w:rsid w:val="12E86DF0"/>
    <w:rsid w:val="13183FE3"/>
    <w:rsid w:val="131C20FB"/>
    <w:rsid w:val="13252F26"/>
    <w:rsid w:val="132876B5"/>
    <w:rsid w:val="133828A6"/>
    <w:rsid w:val="13502B67"/>
    <w:rsid w:val="13523637"/>
    <w:rsid w:val="13545D39"/>
    <w:rsid w:val="13860D94"/>
    <w:rsid w:val="139D323C"/>
    <w:rsid w:val="13C204A6"/>
    <w:rsid w:val="13D12EE6"/>
    <w:rsid w:val="13D94C27"/>
    <w:rsid w:val="13E00186"/>
    <w:rsid w:val="13E75DFD"/>
    <w:rsid w:val="13F04B95"/>
    <w:rsid w:val="13F17DA0"/>
    <w:rsid w:val="13FD017F"/>
    <w:rsid w:val="14134EBE"/>
    <w:rsid w:val="14245AE7"/>
    <w:rsid w:val="144C06BE"/>
    <w:rsid w:val="14883EEC"/>
    <w:rsid w:val="148937C0"/>
    <w:rsid w:val="14A679A9"/>
    <w:rsid w:val="14AF0EEB"/>
    <w:rsid w:val="14B46A8F"/>
    <w:rsid w:val="14B922F8"/>
    <w:rsid w:val="14BA7E1E"/>
    <w:rsid w:val="14BF4BD7"/>
    <w:rsid w:val="14D0319D"/>
    <w:rsid w:val="14D94748"/>
    <w:rsid w:val="14DC6605"/>
    <w:rsid w:val="14E82BDD"/>
    <w:rsid w:val="14EA3EDE"/>
    <w:rsid w:val="14F05786"/>
    <w:rsid w:val="14FA29CF"/>
    <w:rsid w:val="15251F0F"/>
    <w:rsid w:val="154D2A40"/>
    <w:rsid w:val="155E69FB"/>
    <w:rsid w:val="15787ABD"/>
    <w:rsid w:val="159348F7"/>
    <w:rsid w:val="15AB0ABB"/>
    <w:rsid w:val="15AB431C"/>
    <w:rsid w:val="15C942B8"/>
    <w:rsid w:val="15DD5B72"/>
    <w:rsid w:val="15FD2AA2"/>
    <w:rsid w:val="1602382A"/>
    <w:rsid w:val="16062980"/>
    <w:rsid w:val="16117F11"/>
    <w:rsid w:val="1675224E"/>
    <w:rsid w:val="168037D2"/>
    <w:rsid w:val="168B3820"/>
    <w:rsid w:val="16916A25"/>
    <w:rsid w:val="16AC32C0"/>
    <w:rsid w:val="16B965DF"/>
    <w:rsid w:val="16BC7E7D"/>
    <w:rsid w:val="16CB5FEC"/>
    <w:rsid w:val="16D5395C"/>
    <w:rsid w:val="16E15B36"/>
    <w:rsid w:val="16E17029"/>
    <w:rsid w:val="170830C2"/>
    <w:rsid w:val="170E5283"/>
    <w:rsid w:val="172C7BF3"/>
    <w:rsid w:val="172D2B29"/>
    <w:rsid w:val="174B2FAF"/>
    <w:rsid w:val="175F27DA"/>
    <w:rsid w:val="1776002C"/>
    <w:rsid w:val="178070FD"/>
    <w:rsid w:val="17BD3EAD"/>
    <w:rsid w:val="17BD4979"/>
    <w:rsid w:val="17BE19D3"/>
    <w:rsid w:val="18194E5B"/>
    <w:rsid w:val="18236EFD"/>
    <w:rsid w:val="18311FC4"/>
    <w:rsid w:val="183C0DD2"/>
    <w:rsid w:val="18482D61"/>
    <w:rsid w:val="185B6F3B"/>
    <w:rsid w:val="18950986"/>
    <w:rsid w:val="189806EE"/>
    <w:rsid w:val="18A97FA7"/>
    <w:rsid w:val="18AB63FB"/>
    <w:rsid w:val="18BC301F"/>
    <w:rsid w:val="18BC6B24"/>
    <w:rsid w:val="18DE232D"/>
    <w:rsid w:val="19067FF8"/>
    <w:rsid w:val="191222D0"/>
    <w:rsid w:val="191D467D"/>
    <w:rsid w:val="192B4E46"/>
    <w:rsid w:val="19341F4D"/>
    <w:rsid w:val="196539AE"/>
    <w:rsid w:val="19733269"/>
    <w:rsid w:val="19882298"/>
    <w:rsid w:val="19C06BAC"/>
    <w:rsid w:val="19D17512"/>
    <w:rsid w:val="19DD25E4"/>
    <w:rsid w:val="19F45B80"/>
    <w:rsid w:val="1A01351E"/>
    <w:rsid w:val="1A155C39"/>
    <w:rsid w:val="1A18470A"/>
    <w:rsid w:val="1A236C7F"/>
    <w:rsid w:val="1A472154"/>
    <w:rsid w:val="1A78055F"/>
    <w:rsid w:val="1A9609E5"/>
    <w:rsid w:val="1A98650B"/>
    <w:rsid w:val="1A9F5AEC"/>
    <w:rsid w:val="1A9F7253"/>
    <w:rsid w:val="1AAC0209"/>
    <w:rsid w:val="1AC362FF"/>
    <w:rsid w:val="1AC37EF8"/>
    <w:rsid w:val="1ACC4114"/>
    <w:rsid w:val="1AE34AB0"/>
    <w:rsid w:val="1AE41750"/>
    <w:rsid w:val="1AEC0C70"/>
    <w:rsid w:val="1B042241"/>
    <w:rsid w:val="1B0E4A1F"/>
    <w:rsid w:val="1B142621"/>
    <w:rsid w:val="1B196251"/>
    <w:rsid w:val="1B430B6D"/>
    <w:rsid w:val="1B6D2B14"/>
    <w:rsid w:val="1B6F3710"/>
    <w:rsid w:val="1B80142C"/>
    <w:rsid w:val="1BB05AD7"/>
    <w:rsid w:val="1BC25F36"/>
    <w:rsid w:val="1BCC0B62"/>
    <w:rsid w:val="1BD5225E"/>
    <w:rsid w:val="1BD81020"/>
    <w:rsid w:val="1C077DEC"/>
    <w:rsid w:val="1C20736E"/>
    <w:rsid w:val="1C2E5379"/>
    <w:rsid w:val="1C3C57A1"/>
    <w:rsid w:val="1C43402B"/>
    <w:rsid w:val="1C7336F1"/>
    <w:rsid w:val="1C8054A9"/>
    <w:rsid w:val="1C9C5B70"/>
    <w:rsid w:val="1CAC2742"/>
    <w:rsid w:val="1CBF5FD1"/>
    <w:rsid w:val="1CC47A8B"/>
    <w:rsid w:val="1CC57360"/>
    <w:rsid w:val="1CCD4C0A"/>
    <w:rsid w:val="1CDF0421"/>
    <w:rsid w:val="1CFA3F0C"/>
    <w:rsid w:val="1CFB013B"/>
    <w:rsid w:val="1D0609AB"/>
    <w:rsid w:val="1D154459"/>
    <w:rsid w:val="1D210A3A"/>
    <w:rsid w:val="1D246E34"/>
    <w:rsid w:val="1D2D0F85"/>
    <w:rsid w:val="1D606D68"/>
    <w:rsid w:val="1D827B77"/>
    <w:rsid w:val="1D8A5052"/>
    <w:rsid w:val="1D9B4C90"/>
    <w:rsid w:val="1D9F274A"/>
    <w:rsid w:val="1DA84CB7"/>
    <w:rsid w:val="1DED217A"/>
    <w:rsid w:val="1DF24184"/>
    <w:rsid w:val="1DF356DA"/>
    <w:rsid w:val="1E002D45"/>
    <w:rsid w:val="1E054350"/>
    <w:rsid w:val="1E1578D9"/>
    <w:rsid w:val="1E1758B5"/>
    <w:rsid w:val="1E2E3EB5"/>
    <w:rsid w:val="1E2F7187"/>
    <w:rsid w:val="1E341DB9"/>
    <w:rsid w:val="1E37631F"/>
    <w:rsid w:val="1E406573"/>
    <w:rsid w:val="1E5E7A6C"/>
    <w:rsid w:val="1E6257AE"/>
    <w:rsid w:val="1E6F3A27"/>
    <w:rsid w:val="1E8439DB"/>
    <w:rsid w:val="1E8F2912"/>
    <w:rsid w:val="1EDE64B3"/>
    <w:rsid w:val="1F2760B0"/>
    <w:rsid w:val="1F390CCB"/>
    <w:rsid w:val="1F394761"/>
    <w:rsid w:val="1F4D3D68"/>
    <w:rsid w:val="1F5F4C80"/>
    <w:rsid w:val="1F6B2440"/>
    <w:rsid w:val="1F770DE5"/>
    <w:rsid w:val="1F7767BD"/>
    <w:rsid w:val="1F99372A"/>
    <w:rsid w:val="1FDB5818"/>
    <w:rsid w:val="1FDE7ED9"/>
    <w:rsid w:val="1FE65978"/>
    <w:rsid w:val="200F17A8"/>
    <w:rsid w:val="201E1A51"/>
    <w:rsid w:val="20232D1B"/>
    <w:rsid w:val="203D60A9"/>
    <w:rsid w:val="20824D3B"/>
    <w:rsid w:val="208539D6"/>
    <w:rsid w:val="20BA5C53"/>
    <w:rsid w:val="20CC33B3"/>
    <w:rsid w:val="20F3403C"/>
    <w:rsid w:val="212B632B"/>
    <w:rsid w:val="21521B0A"/>
    <w:rsid w:val="21756E5A"/>
    <w:rsid w:val="217C5E2F"/>
    <w:rsid w:val="218F1133"/>
    <w:rsid w:val="219519F6"/>
    <w:rsid w:val="219552A7"/>
    <w:rsid w:val="21B44421"/>
    <w:rsid w:val="21D625E8"/>
    <w:rsid w:val="21EC7102"/>
    <w:rsid w:val="22284619"/>
    <w:rsid w:val="223D0368"/>
    <w:rsid w:val="224A458F"/>
    <w:rsid w:val="224D22D1"/>
    <w:rsid w:val="22582A31"/>
    <w:rsid w:val="229C4D78"/>
    <w:rsid w:val="22BB36DF"/>
    <w:rsid w:val="22BF5826"/>
    <w:rsid w:val="22C715A7"/>
    <w:rsid w:val="22CF6E8C"/>
    <w:rsid w:val="22D327D6"/>
    <w:rsid w:val="22D60519"/>
    <w:rsid w:val="22F142A9"/>
    <w:rsid w:val="22F576C9"/>
    <w:rsid w:val="230C641C"/>
    <w:rsid w:val="23160F2D"/>
    <w:rsid w:val="2318643B"/>
    <w:rsid w:val="231B2B24"/>
    <w:rsid w:val="23226D6D"/>
    <w:rsid w:val="232C638A"/>
    <w:rsid w:val="232F19D7"/>
    <w:rsid w:val="233139A1"/>
    <w:rsid w:val="233325BF"/>
    <w:rsid w:val="23336C55"/>
    <w:rsid w:val="233B65CE"/>
    <w:rsid w:val="235F050E"/>
    <w:rsid w:val="23675615"/>
    <w:rsid w:val="237430CE"/>
    <w:rsid w:val="238E6041"/>
    <w:rsid w:val="23B16CF7"/>
    <w:rsid w:val="23B26890"/>
    <w:rsid w:val="23C90010"/>
    <w:rsid w:val="23D55D98"/>
    <w:rsid w:val="23E1692A"/>
    <w:rsid w:val="23EE5289"/>
    <w:rsid w:val="23F25521"/>
    <w:rsid w:val="242411CC"/>
    <w:rsid w:val="24280900"/>
    <w:rsid w:val="24311208"/>
    <w:rsid w:val="24575886"/>
    <w:rsid w:val="247052C5"/>
    <w:rsid w:val="24961D0D"/>
    <w:rsid w:val="249A3CEA"/>
    <w:rsid w:val="24A31B84"/>
    <w:rsid w:val="24B91EA0"/>
    <w:rsid w:val="25072C0B"/>
    <w:rsid w:val="250C6474"/>
    <w:rsid w:val="253F72D0"/>
    <w:rsid w:val="254A4AA1"/>
    <w:rsid w:val="25624188"/>
    <w:rsid w:val="25634C72"/>
    <w:rsid w:val="25702EC7"/>
    <w:rsid w:val="257E4AA6"/>
    <w:rsid w:val="257F4A89"/>
    <w:rsid w:val="258C6F92"/>
    <w:rsid w:val="25A65BBB"/>
    <w:rsid w:val="25BF4BA1"/>
    <w:rsid w:val="25CD20A0"/>
    <w:rsid w:val="25E62821"/>
    <w:rsid w:val="260F1BFD"/>
    <w:rsid w:val="26153B84"/>
    <w:rsid w:val="262A4E03"/>
    <w:rsid w:val="26485289"/>
    <w:rsid w:val="26630315"/>
    <w:rsid w:val="2670658E"/>
    <w:rsid w:val="269009DE"/>
    <w:rsid w:val="26C50688"/>
    <w:rsid w:val="26D25C1B"/>
    <w:rsid w:val="26D601DE"/>
    <w:rsid w:val="26E03714"/>
    <w:rsid w:val="26E56F7C"/>
    <w:rsid w:val="270C5851"/>
    <w:rsid w:val="2753038A"/>
    <w:rsid w:val="275507B4"/>
    <w:rsid w:val="27561C28"/>
    <w:rsid w:val="278D7653"/>
    <w:rsid w:val="278F67EF"/>
    <w:rsid w:val="27A636B6"/>
    <w:rsid w:val="27B84DF0"/>
    <w:rsid w:val="27BF055A"/>
    <w:rsid w:val="27F9431E"/>
    <w:rsid w:val="27FF406E"/>
    <w:rsid w:val="280653FC"/>
    <w:rsid w:val="28156F15"/>
    <w:rsid w:val="283D6944"/>
    <w:rsid w:val="28571C3F"/>
    <w:rsid w:val="28616AD6"/>
    <w:rsid w:val="286478B1"/>
    <w:rsid w:val="288602EB"/>
    <w:rsid w:val="288E152A"/>
    <w:rsid w:val="28A236DD"/>
    <w:rsid w:val="28BA5189"/>
    <w:rsid w:val="28CE5456"/>
    <w:rsid w:val="28F33BD2"/>
    <w:rsid w:val="28F74D45"/>
    <w:rsid w:val="28F95357"/>
    <w:rsid w:val="290D27BA"/>
    <w:rsid w:val="29143B49"/>
    <w:rsid w:val="29210AC9"/>
    <w:rsid w:val="29211DC2"/>
    <w:rsid w:val="296E14AB"/>
    <w:rsid w:val="298A6E90"/>
    <w:rsid w:val="299C349F"/>
    <w:rsid w:val="29D137E8"/>
    <w:rsid w:val="29F14F71"/>
    <w:rsid w:val="29F73976"/>
    <w:rsid w:val="2A090204"/>
    <w:rsid w:val="2A3701FB"/>
    <w:rsid w:val="2A383867"/>
    <w:rsid w:val="2A3E0E07"/>
    <w:rsid w:val="2A497822"/>
    <w:rsid w:val="2A4C6FFA"/>
    <w:rsid w:val="2A563FB4"/>
    <w:rsid w:val="2A6D3510"/>
    <w:rsid w:val="2A7209CE"/>
    <w:rsid w:val="2A720FDA"/>
    <w:rsid w:val="2A834AE2"/>
    <w:rsid w:val="2A866380"/>
    <w:rsid w:val="2A9A2A47"/>
    <w:rsid w:val="2A9E2ED5"/>
    <w:rsid w:val="2ABA41F8"/>
    <w:rsid w:val="2AC00F1B"/>
    <w:rsid w:val="2AC5334C"/>
    <w:rsid w:val="2ACF4E96"/>
    <w:rsid w:val="2AD0584D"/>
    <w:rsid w:val="2AD07FCD"/>
    <w:rsid w:val="2AE9242F"/>
    <w:rsid w:val="2AED63FF"/>
    <w:rsid w:val="2AFC4894"/>
    <w:rsid w:val="2B2636BF"/>
    <w:rsid w:val="2B391645"/>
    <w:rsid w:val="2B3B53BD"/>
    <w:rsid w:val="2B7F799F"/>
    <w:rsid w:val="2B8723B0"/>
    <w:rsid w:val="2B97636B"/>
    <w:rsid w:val="2BB1742D"/>
    <w:rsid w:val="2BB407D9"/>
    <w:rsid w:val="2BCA60F5"/>
    <w:rsid w:val="2BD4136D"/>
    <w:rsid w:val="2C362C40"/>
    <w:rsid w:val="2C4209CD"/>
    <w:rsid w:val="2C491D5B"/>
    <w:rsid w:val="2C5C7914"/>
    <w:rsid w:val="2C7217DF"/>
    <w:rsid w:val="2C932FD6"/>
    <w:rsid w:val="2CA8085E"/>
    <w:rsid w:val="2CA96AB9"/>
    <w:rsid w:val="2CC92A56"/>
    <w:rsid w:val="2CD63BB6"/>
    <w:rsid w:val="2CD82400"/>
    <w:rsid w:val="2CF50CB4"/>
    <w:rsid w:val="2D087E61"/>
    <w:rsid w:val="2D4A096F"/>
    <w:rsid w:val="2D4B565F"/>
    <w:rsid w:val="2D636E4D"/>
    <w:rsid w:val="2D6C3F29"/>
    <w:rsid w:val="2D7828F8"/>
    <w:rsid w:val="2D7E1684"/>
    <w:rsid w:val="2D807C69"/>
    <w:rsid w:val="2D8D7A26"/>
    <w:rsid w:val="2DA95501"/>
    <w:rsid w:val="2DB476A8"/>
    <w:rsid w:val="2DC828C4"/>
    <w:rsid w:val="2DCA6ECC"/>
    <w:rsid w:val="2DD56C24"/>
    <w:rsid w:val="2DDC694B"/>
    <w:rsid w:val="2E0777D8"/>
    <w:rsid w:val="2E0F261D"/>
    <w:rsid w:val="2E1119D9"/>
    <w:rsid w:val="2E135448"/>
    <w:rsid w:val="2E23041C"/>
    <w:rsid w:val="2E2760CC"/>
    <w:rsid w:val="2E6B128B"/>
    <w:rsid w:val="2E7E21F9"/>
    <w:rsid w:val="2E8452CD"/>
    <w:rsid w:val="2E8C4181"/>
    <w:rsid w:val="2E9F48D0"/>
    <w:rsid w:val="2EA119DB"/>
    <w:rsid w:val="2EB63EAF"/>
    <w:rsid w:val="2EDA313F"/>
    <w:rsid w:val="2F002809"/>
    <w:rsid w:val="2F0F4550"/>
    <w:rsid w:val="2F1523C9"/>
    <w:rsid w:val="2F1E6B4B"/>
    <w:rsid w:val="2F5E167A"/>
    <w:rsid w:val="2F671CE5"/>
    <w:rsid w:val="2F8135BA"/>
    <w:rsid w:val="2F837332"/>
    <w:rsid w:val="2F853BBB"/>
    <w:rsid w:val="2F9335AE"/>
    <w:rsid w:val="2FB614B6"/>
    <w:rsid w:val="2FB67B96"/>
    <w:rsid w:val="2FC10C66"/>
    <w:rsid w:val="2FCC6F2B"/>
    <w:rsid w:val="2FD45DE0"/>
    <w:rsid w:val="2FED5E43"/>
    <w:rsid w:val="2FEE3848"/>
    <w:rsid w:val="2FFF080A"/>
    <w:rsid w:val="300734A0"/>
    <w:rsid w:val="301D0D4E"/>
    <w:rsid w:val="30201025"/>
    <w:rsid w:val="302518ED"/>
    <w:rsid w:val="30403475"/>
    <w:rsid w:val="307750E9"/>
    <w:rsid w:val="30797214"/>
    <w:rsid w:val="3098505F"/>
    <w:rsid w:val="30987AC8"/>
    <w:rsid w:val="30B8300C"/>
    <w:rsid w:val="30C103CA"/>
    <w:rsid w:val="30C67313"/>
    <w:rsid w:val="30E47258"/>
    <w:rsid w:val="30F61D87"/>
    <w:rsid w:val="31015DF0"/>
    <w:rsid w:val="311F12DD"/>
    <w:rsid w:val="312A7FDB"/>
    <w:rsid w:val="31450962"/>
    <w:rsid w:val="31464ABB"/>
    <w:rsid w:val="31572824"/>
    <w:rsid w:val="316B2618"/>
    <w:rsid w:val="31710B98"/>
    <w:rsid w:val="317A5CA5"/>
    <w:rsid w:val="317C5161"/>
    <w:rsid w:val="318320C0"/>
    <w:rsid w:val="31991B31"/>
    <w:rsid w:val="31B23EFF"/>
    <w:rsid w:val="31C0661C"/>
    <w:rsid w:val="31D44132"/>
    <w:rsid w:val="31FE18C7"/>
    <w:rsid w:val="32036508"/>
    <w:rsid w:val="32070766"/>
    <w:rsid w:val="32315D79"/>
    <w:rsid w:val="323963CE"/>
    <w:rsid w:val="32621481"/>
    <w:rsid w:val="327D1CE5"/>
    <w:rsid w:val="32847F41"/>
    <w:rsid w:val="32B67A1F"/>
    <w:rsid w:val="32BA366A"/>
    <w:rsid w:val="32C043F9"/>
    <w:rsid w:val="32C2602E"/>
    <w:rsid w:val="32C26B56"/>
    <w:rsid w:val="32CD2C76"/>
    <w:rsid w:val="32F81DE5"/>
    <w:rsid w:val="330B75D7"/>
    <w:rsid w:val="3324544E"/>
    <w:rsid w:val="33273ED5"/>
    <w:rsid w:val="334E3D45"/>
    <w:rsid w:val="33534D98"/>
    <w:rsid w:val="335C5F80"/>
    <w:rsid w:val="335C7080"/>
    <w:rsid w:val="337038A2"/>
    <w:rsid w:val="33762312"/>
    <w:rsid w:val="337A6C9E"/>
    <w:rsid w:val="337D365C"/>
    <w:rsid w:val="339C4E66"/>
    <w:rsid w:val="33B03CA4"/>
    <w:rsid w:val="33B45312"/>
    <w:rsid w:val="33BC3F00"/>
    <w:rsid w:val="33C95381"/>
    <w:rsid w:val="33CF49CF"/>
    <w:rsid w:val="33E32A95"/>
    <w:rsid w:val="33F16F60"/>
    <w:rsid w:val="33F425AD"/>
    <w:rsid w:val="33F563F8"/>
    <w:rsid w:val="33FB1528"/>
    <w:rsid w:val="34361540"/>
    <w:rsid w:val="343A03A1"/>
    <w:rsid w:val="344D1CF9"/>
    <w:rsid w:val="34565015"/>
    <w:rsid w:val="346848AB"/>
    <w:rsid w:val="34842C2E"/>
    <w:rsid w:val="348B6F28"/>
    <w:rsid w:val="34950750"/>
    <w:rsid w:val="34A00986"/>
    <w:rsid w:val="34AE6BFF"/>
    <w:rsid w:val="34B538A3"/>
    <w:rsid w:val="34C11757"/>
    <w:rsid w:val="34F14D3E"/>
    <w:rsid w:val="34F565DC"/>
    <w:rsid w:val="34F75002"/>
    <w:rsid w:val="350D5B42"/>
    <w:rsid w:val="351D5B33"/>
    <w:rsid w:val="353C14F7"/>
    <w:rsid w:val="354421C5"/>
    <w:rsid w:val="354C1E67"/>
    <w:rsid w:val="355359F9"/>
    <w:rsid w:val="35614CF6"/>
    <w:rsid w:val="35834689"/>
    <w:rsid w:val="358F1B65"/>
    <w:rsid w:val="359251FC"/>
    <w:rsid w:val="35B677A8"/>
    <w:rsid w:val="35BC17F0"/>
    <w:rsid w:val="35BF4E3C"/>
    <w:rsid w:val="35C0434D"/>
    <w:rsid w:val="360C42D4"/>
    <w:rsid w:val="361458E5"/>
    <w:rsid w:val="36160F00"/>
    <w:rsid w:val="36327824"/>
    <w:rsid w:val="36495163"/>
    <w:rsid w:val="364C4BF3"/>
    <w:rsid w:val="364F7B9C"/>
    <w:rsid w:val="36502BB9"/>
    <w:rsid w:val="3659412E"/>
    <w:rsid w:val="366F55D2"/>
    <w:rsid w:val="36852CE8"/>
    <w:rsid w:val="36C26992"/>
    <w:rsid w:val="36CE17DB"/>
    <w:rsid w:val="371511B8"/>
    <w:rsid w:val="371957D9"/>
    <w:rsid w:val="37290ED0"/>
    <w:rsid w:val="372D1AA0"/>
    <w:rsid w:val="3730079B"/>
    <w:rsid w:val="37314419"/>
    <w:rsid w:val="374564C6"/>
    <w:rsid w:val="375C6703"/>
    <w:rsid w:val="376E6549"/>
    <w:rsid w:val="377E4FAF"/>
    <w:rsid w:val="37AE68E3"/>
    <w:rsid w:val="37C066EB"/>
    <w:rsid w:val="37CD36D7"/>
    <w:rsid w:val="37FB65FF"/>
    <w:rsid w:val="38003C16"/>
    <w:rsid w:val="38071B27"/>
    <w:rsid w:val="380A4A95"/>
    <w:rsid w:val="380E0584"/>
    <w:rsid w:val="3841703F"/>
    <w:rsid w:val="38425435"/>
    <w:rsid w:val="384D1477"/>
    <w:rsid w:val="387517F7"/>
    <w:rsid w:val="38776CB0"/>
    <w:rsid w:val="3881462B"/>
    <w:rsid w:val="38B11173"/>
    <w:rsid w:val="38CC58A6"/>
    <w:rsid w:val="38D34E4A"/>
    <w:rsid w:val="38E075A3"/>
    <w:rsid w:val="38EC5F48"/>
    <w:rsid w:val="38F1355F"/>
    <w:rsid w:val="39070FD4"/>
    <w:rsid w:val="39094D4C"/>
    <w:rsid w:val="390B084A"/>
    <w:rsid w:val="39184DDF"/>
    <w:rsid w:val="39284724"/>
    <w:rsid w:val="392B4293"/>
    <w:rsid w:val="393F076E"/>
    <w:rsid w:val="39763A64"/>
    <w:rsid w:val="397A7884"/>
    <w:rsid w:val="39887DF1"/>
    <w:rsid w:val="398B779E"/>
    <w:rsid w:val="39B5458C"/>
    <w:rsid w:val="39CE1AF2"/>
    <w:rsid w:val="39D233C3"/>
    <w:rsid w:val="39DB7400"/>
    <w:rsid w:val="39E11A28"/>
    <w:rsid w:val="3A007301"/>
    <w:rsid w:val="3A0379ED"/>
    <w:rsid w:val="3A055E2D"/>
    <w:rsid w:val="3A0F6392"/>
    <w:rsid w:val="3A157721"/>
    <w:rsid w:val="3A1763DB"/>
    <w:rsid w:val="3A21348C"/>
    <w:rsid w:val="3A230F6F"/>
    <w:rsid w:val="3A241712"/>
    <w:rsid w:val="3A2E433E"/>
    <w:rsid w:val="3A3000B7"/>
    <w:rsid w:val="3A4B67C2"/>
    <w:rsid w:val="3A9E028E"/>
    <w:rsid w:val="3AAA60BB"/>
    <w:rsid w:val="3AC54CA3"/>
    <w:rsid w:val="3B051543"/>
    <w:rsid w:val="3B2F6341"/>
    <w:rsid w:val="3B2F65C0"/>
    <w:rsid w:val="3B4503AF"/>
    <w:rsid w:val="3B576FDB"/>
    <w:rsid w:val="3B653D90"/>
    <w:rsid w:val="3B732951"/>
    <w:rsid w:val="3B7B6E2E"/>
    <w:rsid w:val="3B8334A3"/>
    <w:rsid w:val="3BBE1312"/>
    <w:rsid w:val="3BCE402B"/>
    <w:rsid w:val="3BF22272"/>
    <w:rsid w:val="3C181946"/>
    <w:rsid w:val="3C6329C5"/>
    <w:rsid w:val="3C957A74"/>
    <w:rsid w:val="3C9C7C85"/>
    <w:rsid w:val="3CA134EE"/>
    <w:rsid w:val="3CA803D8"/>
    <w:rsid w:val="3CAA429A"/>
    <w:rsid w:val="3CC32FB0"/>
    <w:rsid w:val="3CE36445"/>
    <w:rsid w:val="3CE75508"/>
    <w:rsid w:val="3CF308BC"/>
    <w:rsid w:val="3CFE7407"/>
    <w:rsid w:val="3D0C6BB9"/>
    <w:rsid w:val="3D1035F6"/>
    <w:rsid w:val="3D1B6DFC"/>
    <w:rsid w:val="3D254AE0"/>
    <w:rsid w:val="3D42082D"/>
    <w:rsid w:val="3D42172F"/>
    <w:rsid w:val="3D453E79"/>
    <w:rsid w:val="3D5D7C63"/>
    <w:rsid w:val="3D7208F0"/>
    <w:rsid w:val="3DB443FE"/>
    <w:rsid w:val="3DDC47DD"/>
    <w:rsid w:val="3DEE32CE"/>
    <w:rsid w:val="3DF55109"/>
    <w:rsid w:val="3E077380"/>
    <w:rsid w:val="3E594080"/>
    <w:rsid w:val="3E5C591E"/>
    <w:rsid w:val="3E7A3FF6"/>
    <w:rsid w:val="3E834C59"/>
    <w:rsid w:val="3E88487C"/>
    <w:rsid w:val="3E8E0E2A"/>
    <w:rsid w:val="3EC51715"/>
    <w:rsid w:val="3EC62D97"/>
    <w:rsid w:val="3EFB5137"/>
    <w:rsid w:val="3F051B12"/>
    <w:rsid w:val="3F204B9E"/>
    <w:rsid w:val="3F2E5B01"/>
    <w:rsid w:val="3F3665C9"/>
    <w:rsid w:val="3F446ADE"/>
    <w:rsid w:val="3F4B53C1"/>
    <w:rsid w:val="3F55470B"/>
    <w:rsid w:val="3F6F1937"/>
    <w:rsid w:val="3F76234B"/>
    <w:rsid w:val="3F7D3D9E"/>
    <w:rsid w:val="3F921A51"/>
    <w:rsid w:val="3F934EDE"/>
    <w:rsid w:val="3F970061"/>
    <w:rsid w:val="3FD05580"/>
    <w:rsid w:val="3FE04C0C"/>
    <w:rsid w:val="3FFB6C6D"/>
    <w:rsid w:val="4014414F"/>
    <w:rsid w:val="404B5C4A"/>
    <w:rsid w:val="4050500F"/>
    <w:rsid w:val="40547E0E"/>
    <w:rsid w:val="40723B83"/>
    <w:rsid w:val="40736F4F"/>
    <w:rsid w:val="408140FA"/>
    <w:rsid w:val="40841185"/>
    <w:rsid w:val="40905D53"/>
    <w:rsid w:val="40970E8F"/>
    <w:rsid w:val="40A11D0E"/>
    <w:rsid w:val="40A9471F"/>
    <w:rsid w:val="40FF5BB5"/>
    <w:rsid w:val="4106669F"/>
    <w:rsid w:val="41171FD0"/>
    <w:rsid w:val="414F176A"/>
    <w:rsid w:val="415B3C6B"/>
    <w:rsid w:val="416F5F43"/>
    <w:rsid w:val="4178476C"/>
    <w:rsid w:val="418238EE"/>
    <w:rsid w:val="418314DB"/>
    <w:rsid w:val="4185309F"/>
    <w:rsid w:val="418F1B67"/>
    <w:rsid w:val="41986C6D"/>
    <w:rsid w:val="41987A44"/>
    <w:rsid w:val="41A10A98"/>
    <w:rsid w:val="41C002C6"/>
    <w:rsid w:val="421A1D78"/>
    <w:rsid w:val="424B0183"/>
    <w:rsid w:val="42691183"/>
    <w:rsid w:val="42714FF1"/>
    <w:rsid w:val="429D02B3"/>
    <w:rsid w:val="42C523D3"/>
    <w:rsid w:val="42EB54C2"/>
    <w:rsid w:val="42F0144F"/>
    <w:rsid w:val="430B6AB6"/>
    <w:rsid w:val="433230F1"/>
    <w:rsid w:val="433400A4"/>
    <w:rsid w:val="43503578"/>
    <w:rsid w:val="435E7A42"/>
    <w:rsid w:val="437D25BE"/>
    <w:rsid w:val="438C0AE6"/>
    <w:rsid w:val="43947908"/>
    <w:rsid w:val="43A2087C"/>
    <w:rsid w:val="43B9111D"/>
    <w:rsid w:val="43CC3E24"/>
    <w:rsid w:val="43F33DE5"/>
    <w:rsid w:val="43FA02BC"/>
    <w:rsid w:val="43FB7987"/>
    <w:rsid w:val="43FD39EA"/>
    <w:rsid w:val="441B1F26"/>
    <w:rsid w:val="441C6381"/>
    <w:rsid w:val="441D5B50"/>
    <w:rsid w:val="446866CB"/>
    <w:rsid w:val="446B68BB"/>
    <w:rsid w:val="44760DBC"/>
    <w:rsid w:val="448B0BF7"/>
    <w:rsid w:val="449A7EB1"/>
    <w:rsid w:val="44B94AE1"/>
    <w:rsid w:val="44BA3370"/>
    <w:rsid w:val="44C67F95"/>
    <w:rsid w:val="44D06D87"/>
    <w:rsid w:val="44D501D8"/>
    <w:rsid w:val="44DD18DC"/>
    <w:rsid w:val="44E375AC"/>
    <w:rsid w:val="450B280F"/>
    <w:rsid w:val="451B0C14"/>
    <w:rsid w:val="45434C21"/>
    <w:rsid w:val="454D7D6F"/>
    <w:rsid w:val="45573B66"/>
    <w:rsid w:val="455B1A2C"/>
    <w:rsid w:val="455F7AA2"/>
    <w:rsid w:val="45727F0B"/>
    <w:rsid w:val="458A4B1F"/>
    <w:rsid w:val="458D6E53"/>
    <w:rsid w:val="45923CD5"/>
    <w:rsid w:val="45992BA6"/>
    <w:rsid w:val="45B872F1"/>
    <w:rsid w:val="45C134FB"/>
    <w:rsid w:val="45CF4C28"/>
    <w:rsid w:val="45DD0209"/>
    <w:rsid w:val="45DE130F"/>
    <w:rsid w:val="45EC57D9"/>
    <w:rsid w:val="45F428E0"/>
    <w:rsid w:val="45F66658"/>
    <w:rsid w:val="45FD26D9"/>
    <w:rsid w:val="46016469"/>
    <w:rsid w:val="46040D75"/>
    <w:rsid w:val="46084EAD"/>
    <w:rsid w:val="460C19D8"/>
    <w:rsid w:val="46386C71"/>
    <w:rsid w:val="46394FC5"/>
    <w:rsid w:val="46405B25"/>
    <w:rsid w:val="46481EA6"/>
    <w:rsid w:val="464A3BD5"/>
    <w:rsid w:val="46A9442C"/>
    <w:rsid w:val="46AB11F1"/>
    <w:rsid w:val="46B22304"/>
    <w:rsid w:val="46BA1434"/>
    <w:rsid w:val="46C87590"/>
    <w:rsid w:val="46CC2351"/>
    <w:rsid w:val="46CE7B4A"/>
    <w:rsid w:val="46DF349F"/>
    <w:rsid w:val="46F30DEA"/>
    <w:rsid w:val="47296992"/>
    <w:rsid w:val="474358CD"/>
    <w:rsid w:val="47471B1D"/>
    <w:rsid w:val="477B1121"/>
    <w:rsid w:val="477E5CB2"/>
    <w:rsid w:val="47857C94"/>
    <w:rsid w:val="479003E6"/>
    <w:rsid w:val="47AA14A8"/>
    <w:rsid w:val="47BA7D3C"/>
    <w:rsid w:val="47BC567F"/>
    <w:rsid w:val="47BE31A6"/>
    <w:rsid w:val="47C43AD8"/>
    <w:rsid w:val="47D56367"/>
    <w:rsid w:val="47E90696"/>
    <w:rsid w:val="47EF7803"/>
    <w:rsid w:val="47F9224C"/>
    <w:rsid w:val="481E3C44"/>
    <w:rsid w:val="482079BC"/>
    <w:rsid w:val="48276F9D"/>
    <w:rsid w:val="48286871"/>
    <w:rsid w:val="482D3E87"/>
    <w:rsid w:val="483A4518"/>
    <w:rsid w:val="48405748"/>
    <w:rsid w:val="486F4308"/>
    <w:rsid w:val="48876BAA"/>
    <w:rsid w:val="489A151D"/>
    <w:rsid w:val="48C52312"/>
    <w:rsid w:val="48DA2FD2"/>
    <w:rsid w:val="48E05DC2"/>
    <w:rsid w:val="48E46C3C"/>
    <w:rsid w:val="4900334A"/>
    <w:rsid w:val="49147BBC"/>
    <w:rsid w:val="491868E5"/>
    <w:rsid w:val="49261E5D"/>
    <w:rsid w:val="492E7EB7"/>
    <w:rsid w:val="49492F43"/>
    <w:rsid w:val="494B6CBB"/>
    <w:rsid w:val="494D2A33"/>
    <w:rsid w:val="49561252"/>
    <w:rsid w:val="49597D95"/>
    <w:rsid w:val="495C366D"/>
    <w:rsid w:val="496E6505"/>
    <w:rsid w:val="497C6E74"/>
    <w:rsid w:val="497E61A7"/>
    <w:rsid w:val="499E0EE2"/>
    <w:rsid w:val="49A800A8"/>
    <w:rsid w:val="49A87C69"/>
    <w:rsid w:val="49AF5757"/>
    <w:rsid w:val="49D63663"/>
    <w:rsid w:val="4A027906"/>
    <w:rsid w:val="4A11580F"/>
    <w:rsid w:val="4A1452FF"/>
    <w:rsid w:val="4A1C313C"/>
    <w:rsid w:val="4A225C6E"/>
    <w:rsid w:val="4A330397"/>
    <w:rsid w:val="4A873D23"/>
    <w:rsid w:val="4A8F0E29"/>
    <w:rsid w:val="4AA8337A"/>
    <w:rsid w:val="4AB443EC"/>
    <w:rsid w:val="4AC07235"/>
    <w:rsid w:val="4AE41175"/>
    <w:rsid w:val="4AF15640"/>
    <w:rsid w:val="4AFB026D"/>
    <w:rsid w:val="4B072CBC"/>
    <w:rsid w:val="4B2D07D6"/>
    <w:rsid w:val="4B431506"/>
    <w:rsid w:val="4B4E2A92"/>
    <w:rsid w:val="4B524331"/>
    <w:rsid w:val="4B577B99"/>
    <w:rsid w:val="4B7C0C17"/>
    <w:rsid w:val="4B9506C1"/>
    <w:rsid w:val="4BF74ED8"/>
    <w:rsid w:val="4C067866"/>
    <w:rsid w:val="4C1C493F"/>
    <w:rsid w:val="4C207F2B"/>
    <w:rsid w:val="4C344EF1"/>
    <w:rsid w:val="4C3F6403"/>
    <w:rsid w:val="4C42669C"/>
    <w:rsid w:val="4C61141F"/>
    <w:rsid w:val="4C6D79C2"/>
    <w:rsid w:val="4C7E421D"/>
    <w:rsid w:val="4C90449D"/>
    <w:rsid w:val="4C947DF8"/>
    <w:rsid w:val="4CAD5597"/>
    <w:rsid w:val="4CB6269D"/>
    <w:rsid w:val="4CCF7493"/>
    <w:rsid w:val="4CFC7BF8"/>
    <w:rsid w:val="4D3F2693"/>
    <w:rsid w:val="4D3F6B37"/>
    <w:rsid w:val="4D616AAD"/>
    <w:rsid w:val="4D747620"/>
    <w:rsid w:val="4D781A88"/>
    <w:rsid w:val="4DAE7EA0"/>
    <w:rsid w:val="4DD252B5"/>
    <w:rsid w:val="4E1F24C4"/>
    <w:rsid w:val="4E355844"/>
    <w:rsid w:val="4E436DAA"/>
    <w:rsid w:val="4E82001E"/>
    <w:rsid w:val="4E9A439A"/>
    <w:rsid w:val="4EB15812"/>
    <w:rsid w:val="4EC96A44"/>
    <w:rsid w:val="4ED07D21"/>
    <w:rsid w:val="4EE70254"/>
    <w:rsid w:val="4EE74D90"/>
    <w:rsid w:val="4EEA2AD2"/>
    <w:rsid w:val="4EF61477"/>
    <w:rsid w:val="4EF67834"/>
    <w:rsid w:val="4EF725DE"/>
    <w:rsid w:val="4EF75FF4"/>
    <w:rsid w:val="4F1B2C8C"/>
    <w:rsid w:val="4F451A18"/>
    <w:rsid w:val="4F701229"/>
    <w:rsid w:val="4F8B5CA7"/>
    <w:rsid w:val="4F8F1E96"/>
    <w:rsid w:val="4F935CFC"/>
    <w:rsid w:val="4FA113E3"/>
    <w:rsid w:val="4FC2252A"/>
    <w:rsid w:val="4FF541A5"/>
    <w:rsid w:val="500439ED"/>
    <w:rsid w:val="50052690"/>
    <w:rsid w:val="50096F88"/>
    <w:rsid w:val="500B71A4"/>
    <w:rsid w:val="500E4FC2"/>
    <w:rsid w:val="50171FFE"/>
    <w:rsid w:val="50246BE6"/>
    <w:rsid w:val="50450E70"/>
    <w:rsid w:val="50510246"/>
    <w:rsid w:val="505A594B"/>
    <w:rsid w:val="505D788E"/>
    <w:rsid w:val="506272F9"/>
    <w:rsid w:val="50630C42"/>
    <w:rsid w:val="50811214"/>
    <w:rsid w:val="50854D82"/>
    <w:rsid w:val="50873E8D"/>
    <w:rsid w:val="5092008F"/>
    <w:rsid w:val="50AD3DB7"/>
    <w:rsid w:val="50CC731F"/>
    <w:rsid w:val="50CF3D2E"/>
    <w:rsid w:val="50D47596"/>
    <w:rsid w:val="50EC2B32"/>
    <w:rsid w:val="50F77080"/>
    <w:rsid w:val="5106201A"/>
    <w:rsid w:val="510D2AA8"/>
    <w:rsid w:val="510F73B8"/>
    <w:rsid w:val="51173258"/>
    <w:rsid w:val="511906D8"/>
    <w:rsid w:val="513918A9"/>
    <w:rsid w:val="513E2C61"/>
    <w:rsid w:val="515626A1"/>
    <w:rsid w:val="517F7502"/>
    <w:rsid w:val="51874608"/>
    <w:rsid w:val="51A46F68"/>
    <w:rsid w:val="51AE6039"/>
    <w:rsid w:val="51DB6702"/>
    <w:rsid w:val="51E732F9"/>
    <w:rsid w:val="51EB4B97"/>
    <w:rsid w:val="520D1996"/>
    <w:rsid w:val="520F635F"/>
    <w:rsid w:val="523C0389"/>
    <w:rsid w:val="523F1387"/>
    <w:rsid w:val="524F6C1C"/>
    <w:rsid w:val="52990A97"/>
    <w:rsid w:val="52A0797E"/>
    <w:rsid w:val="52A91A52"/>
    <w:rsid w:val="52B37355"/>
    <w:rsid w:val="52C206D3"/>
    <w:rsid w:val="5301340D"/>
    <w:rsid w:val="53255C65"/>
    <w:rsid w:val="53422616"/>
    <w:rsid w:val="534723DC"/>
    <w:rsid w:val="534C5B09"/>
    <w:rsid w:val="534C78B7"/>
    <w:rsid w:val="53657FAA"/>
    <w:rsid w:val="536966BB"/>
    <w:rsid w:val="536F5F7E"/>
    <w:rsid w:val="539574B0"/>
    <w:rsid w:val="539F3E8B"/>
    <w:rsid w:val="53AD5614"/>
    <w:rsid w:val="53BB3768"/>
    <w:rsid w:val="53BF62DB"/>
    <w:rsid w:val="53E915AA"/>
    <w:rsid w:val="53FC6842"/>
    <w:rsid w:val="5428175B"/>
    <w:rsid w:val="547F1F0F"/>
    <w:rsid w:val="548A5AC1"/>
    <w:rsid w:val="54A26EE8"/>
    <w:rsid w:val="54AD1A2B"/>
    <w:rsid w:val="54CD4055"/>
    <w:rsid w:val="54E30FE8"/>
    <w:rsid w:val="55116550"/>
    <w:rsid w:val="55384597"/>
    <w:rsid w:val="555467FF"/>
    <w:rsid w:val="555B0462"/>
    <w:rsid w:val="55982432"/>
    <w:rsid w:val="559F4616"/>
    <w:rsid w:val="55A94908"/>
    <w:rsid w:val="55AE2FE0"/>
    <w:rsid w:val="55B07143"/>
    <w:rsid w:val="55B31E70"/>
    <w:rsid w:val="55CB7312"/>
    <w:rsid w:val="55CC6FE2"/>
    <w:rsid w:val="55D305EA"/>
    <w:rsid w:val="55D911AB"/>
    <w:rsid w:val="55E634FA"/>
    <w:rsid w:val="55F06C20"/>
    <w:rsid w:val="55F8121C"/>
    <w:rsid w:val="55FF3307"/>
    <w:rsid w:val="56081083"/>
    <w:rsid w:val="56206DD9"/>
    <w:rsid w:val="56350AD7"/>
    <w:rsid w:val="564B654C"/>
    <w:rsid w:val="564F4128"/>
    <w:rsid w:val="56666F15"/>
    <w:rsid w:val="56757125"/>
    <w:rsid w:val="56921A85"/>
    <w:rsid w:val="569B0C33"/>
    <w:rsid w:val="569F23F4"/>
    <w:rsid w:val="56B03579"/>
    <w:rsid w:val="56B714EC"/>
    <w:rsid w:val="56BE21DD"/>
    <w:rsid w:val="56CF4088"/>
    <w:rsid w:val="56D0377C"/>
    <w:rsid w:val="56E156E0"/>
    <w:rsid w:val="56EF4470"/>
    <w:rsid w:val="570E3A04"/>
    <w:rsid w:val="5748164A"/>
    <w:rsid w:val="576207EF"/>
    <w:rsid w:val="578E7A47"/>
    <w:rsid w:val="57905DB9"/>
    <w:rsid w:val="579B0E0D"/>
    <w:rsid w:val="57A2701C"/>
    <w:rsid w:val="57A44166"/>
    <w:rsid w:val="57AE0D20"/>
    <w:rsid w:val="57DD31D4"/>
    <w:rsid w:val="57E9601D"/>
    <w:rsid w:val="57EF0351"/>
    <w:rsid w:val="57F71D28"/>
    <w:rsid w:val="57FB18AC"/>
    <w:rsid w:val="57FB5D50"/>
    <w:rsid w:val="58067BED"/>
    <w:rsid w:val="581408D2"/>
    <w:rsid w:val="582146E8"/>
    <w:rsid w:val="58242D3F"/>
    <w:rsid w:val="583354EA"/>
    <w:rsid w:val="585F1E3B"/>
    <w:rsid w:val="58614E0C"/>
    <w:rsid w:val="5862234C"/>
    <w:rsid w:val="58647451"/>
    <w:rsid w:val="588C69A8"/>
    <w:rsid w:val="588D4FD4"/>
    <w:rsid w:val="58966F98"/>
    <w:rsid w:val="58AE691E"/>
    <w:rsid w:val="58B02697"/>
    <w:rsid w:val="58D06F50"/>
    <w:rsid w:val="58D4514B"/>
    <w:rsid w:val="58DC348C"/>
    <w:rsid w:val="58DF2F7C"/>
    <w:rsid w:val="590E1043"/>
    <w:rsid w:val="594F1802"/>
    <w:rsid w:val="595D1073"/>
    <w:rsid w:val="595E72BC"/>
    <w:rsid w:val="59685848"/>
    <w:rsid w:val="59854011"/>
    <w:rsid w:val="599651FE"/>
    <w:rsid w:val="599B6EA3"/>
    <w:rsid w:val="599E4BE5"/>
    <w:rsid w:val="59AA20A3"/>
    <w:rsid w:val="59AC5554"/>
    <w:rsid w:val="59BA488B"/>
    <w:rsid w:val="59BE4D82"/>
    <w:rsid w:val="59C351C2"/>
    <w:rsid w:val="59CA3C2C"/>
    <w:rsid w:val="59DF3163"/>
    <w:rsid w:val="59EF3692"/>
    <w:rsid w:val="5A1259A1"/>
    <w:rsid w:val="5A17647C"/>
    <w:rsid w:val="5A284778"/>
    <w:rsid w:val="5A293649"/>
    <w:rsid w:val="5A494B51"/>
    <w:rsid w:val="5A5B6371"/>
    <w:rsid w:val="5A6B0F6B"/>
    <w:rsid w:val="5A6E626C"/>
    <w:rsid w:val="5A726E70"/>
    <w:rsid w:val="5A743572"/>
    <w:rsid w:val="5A76346C"/>
    <w:rsid w:val="5A971D60"/>
    <w:rsid w:val="5A9C32F9"/>
    <w:rsid w:val="5AAC50E0"/>
    <w:rsid w:val="5AB50438"/>
    <w:rsid w:val="5ABC78D6"/>
    <w:rsid w:val="5AC661A1"/>
    <w:rsid w:val="5AC9234B"/>
    <w:rsid w:val="5AF002EE"/>
    <w:rsid w:val="5B08614E"/>
    <w:rsid w:val="5B0B1F4A"/>
    <w:rsid w:val="5B186DAF"/>
    <w:rsid w:val="5B361EF0"/>
    <w:rsid w:val="5B3B0645"/>
    <w:rsid w:val="5B40464C"/>
    <w:rsid w:val="5B5C6B06"/>
    <w:rsid w:val="5B6E7EBA"/>
    <w:rsid w:val="5B8147BE"/>
    <w:rsid w:val="5BB22BCA"/>
    <w:rsid w:val="5BC00E43"/>
    <w:rsid w:val="5BDD7C46"/>
    <w:rsid w:val="5BFC461E"/>
    <w:rsid w:val="5C0269F8"/>
    <w:rsid w:val="5C1949F7"/>
    <w:rsid w:val="5C2E5C34"/>
    <w:rsid w:val="5C3C7C1F"/>
    <w:rsid w:val="5C50666A"/>
    <w:rsid w:val="5C515F3F"/>
    <w:rsid w:val="5C61573A"/>
    <w:rsid w:val="5C653798"/>
    <w:rsid w:val="5C9B11DA"/>
    <w:rsid w:val="5CAA564F"/>
    <w:rsid w:val="5CB4181A"/>
    <w:rsid w:val="5CC13A99"/>
    <w:rsid w:val="5CDA4186"/>
    <w:rsid w:val="5CE3777B"/>
    <w:rsid w:val="5CF039A9"/>
    <w:rsid w:val="5D135B2F"/>
    <w:rsid w:val="5D167726"/>
    <w:rsid w:val="5D221689"/>
    <w:rsid w:val="5D345D56"/>
    <w:rsid w:val="5D543F38"/>
    <w:rsid w:val="5D572184"/>
    <w:rsid w:val="5D617684"/>
    <w:rsid w:val="5D752101"/>
    <w:rsid w:val="5D794200"/>
    <w:rsid w:val="5D8024D0"/>
    <w:rsid w:val="5DA0717E"/>
    <w:rsid w:val="5DAE78AC"/>
    <w:rsid w:val="5DBB3D64"/>
    <w:rsid w:val="5DC32E6C"/>
    <w:rsid w:val="5DD24E5D"/>
    <w:rsid w:val="5DEA0D17"/>
    <w:rsid w:val="5E0A0A9B"/>
    <w:rsid w:val="5E182003"/>
    <w:rsid w:val="5E1A314B"/>
    <w:rsid w:val="5E1A3A26"/>
    <w:rsid w:val="5E1F7F77"/>
    <w:rsid w:val="5E2C6B0B"/>
    <w:rsid w:val="5E350885"/>
    <w:rsid w:val="5E385608"/>
    <w:rsid w:val="5E451AD3"/>
    <w:rsid w:val="5E551C1F"/>
    <w:rsid w:val="5E7B2F72"/>
    <w:rsid w:val="5E8A3B61"/>
    <w:rsid w:val="5E9D546B"/>
    <w:rsid w:val="5EC0115A"/>
    <w:rsid w:val="5EDA1E95"/>
    <w:rsid w:val="5EEC243F"/>
    <w:rsid w:val="5F021772"/>
    <w:rsid w:val="5F2D4A41"/>
    <w:rsid w:val="5F351B48"/>
    <w:rsid w:val="5F53198B"/>
    <w:rsid w:val="5FAE49A5"/>
    <w:rsid w:val="5FBC1D61"/>
    <w:rsid w:val="5FC1162D"/>
    <w:rsid w:val="5FDA624B"/>
    <w:rsid w:val="5FF1258D"/>
    <w:rsid w:val="5FF92B75"/>
    <w:rsid w:val="602F6597"/>
    <w:rsid w:val="60341DFF"/>
    <w:rsid w:val="603D7BC0"/>
    <w:rsid w:val="604A1623"/>
    <w:rsid w:val="604F2F3E"/>
    <w:rsid w:val="60986577"/>
    <w:rsid w:val="60A96349"/>
    <w:rsid w:val="60B91793"/>
    <w:rsid w:val="60BB7E2A"/>
    <w:rsid w:val="60C2206A"/>
    <w:rsid w:val="60C73D08"/>
    <w:rsid w:val="60EE1FAE"/>
    <w:rsid w:val="60FD1436"/>
    <w:rsid w:val="611840B4"/>
    <w:rsid w:val="61261CDB"/>
    <w:rsid w:val="61491141"/>
    <w:rsid w:val="615F4C5A"/>
    <w:rsid w:val="61673576"/>
    <w:rsid w:val="617E31CD"/>
    <w:rsid w:val="61856F4B"/>
    <w:rsid w:val="618F19E3"/>
    <w:rsid w:val="61A354CB"/>
    <w:rsid w:val="61C3168D"/>
    <w:rsid w:val="61D1258B"/>
    <w:rsid w:val="61D3616D"/>
    <w:rsid w:val="61DD7D09"/>
    <w:rsid w:val="61E77BAD"/>
    <w:rsid w:val="62206ADF"/>
    <w:rsid w:val="62233ED9"/>
    <w:rsid w:val="622C2814"/>
    <w:rsid w:val="623C1C3A"/>
    <w:rsid w:val="6242791B"/>
    <w:rsid w:val="62445CF4"/>
    <w:rsid w:val="62491F34"/>
    <w:rsid w:val="625B23FB"/>
    <w:rsid w:val="62783014"/>
    <w:rsid w:val="627B3D15"/>
    <w:rsid w:val="627E3805"/>
    <w:rsid w:val="6284794D"/>
    <w:rsid w:val="628801E0"/>
    <w:rsid w:val="628E1C9B"/>
    <w:rsid w:val="629D1EDE"/>
    <w:rsid w:val="62A72D5C"/>
    <w:rsid w:val="62B92A90"/>
    <w:rsid w:val="62C51434"/>
    <w:rsid w:val="62C83A1C"/>
    <w:rsid w:val="62DF24F6"/>
    <w:rsid w:val="62F13FD7"/>
    <w:rsid w:val="62F51D1A"/>
    <w:rsid w:val="630D44D3"/>
    <w:rsid w:val="630E2DDB"/>
    <w:rsid w:val="6332277A"/>
    <w:rsid w:val="633678D4"/>
    <w:rsid w:val="63377F9B"/>
    <w:rsid w:val="633F5BB1"/>
    <w:rsid w:val="63495BC1"/>
    <w:rsid w:val="63521E02"/>
    <w:rsid w:val="635A3F48"/>
    <w:rsid w:val="63874421"/>
    <w:rsid w:val="638B442C"/>
    <w:rsid w:val="63974B7F"/>
    <w:rsid w:val="63A159FD"/>
    <w:rsid w:val="63B6644E"/>
    <w:rsid w:val="63C82F8A"/>
    <w:rsid w:val="63CC3EBF"/>
    <w:rsid w:val="63D005C6"/>
    <w:rsid w:val="63EF49BB"/>
    <w:rsid w:val="63F36F9C"/>
    <w:rsid w:val="6416125B"/>
    <w:rsid w:val="64201941"/>
    <w:rsid w:val="642301C1"/>
    <w:rsid w:val="64231224"/>
    <w:rsid w:val="64317C8A"/>
    <w:rsid w:val="643979E4"/>
    <w:rsid w:val="64430863"/>
    <w:rsid w:val="645E38EF"/>
    <w:rsid w:val="648515AE"/>
    <w:rsid w:val="64943EBC"/>
    <w:rsid w:val="649C61C5"/>
    <w:rsid w:val="64CC0858"/>
    <w:rsid w:val="64DF5616"/>
    <w:rsid w:val="64E9765C"/>
    <w:rsid w:val="6503723B"/>
    <w:rsid w:val="651A0F40"/>
    <w:rsid w:val="652F2B95"/>
    <w:rsid w:val="65493C57"/>
    <w:rsid w:val="655A40B6"/>
    <w:rsid w:val="655C00B6"/>
    <w:rsid w:val="65671A00"/>
    <w:rsid w:val="656D3290"/>
    <w:rsid w:val="657C6E6C"/>
    <w:rsid w:val="6587477F"/>
    <w:rsid w:val="658E3D60"/>
    <w:rsid w:val="65B25723"/>
    <w:rsid w:val="65DA6FA5"/>
    <w:rsid w:val="65ED4F2A"/>
    <w:rsid w:val="66000A43"/>
    <w:rsid w:val="661A1A97"/>
    <w:rsid w:val="66252916"/>
    <w:rsid w:val="663366B5"/>
    <w:rsid w:val="6646288C"/>
    <w:rsid w:val="666353C4"/>
    <w:rsid w:val="6679056C"/>
    <w:rsid w:val="667A7A2E"/>
    <w:rsid w:val="66A17AC3"/>
    <w:rsid w:val="66AA6977"/>
    <w:rsid w:val="66CC4DA2"/>
    <w:rsid w:val="66D27B60"/>
    <w:rsid w:val="66D60CC4"/>
    <w:rsid w:val="66DA4EFD"/>
    <w:rsid w:val="66E53E53"/>
    <w:rsid w:val="66E634DC"/>
    <w:rsid w:val="66EA1965"/>
    <w:rsid w:val="67092D98"/>
    <w:rsid w:val="671309C0"/>
    <w:rsid w:val="67193D15"/>
    <w:rsid w:val="671D183F"/>
    <w:rsid w:val="672D16D2"/>
    <w:rsid w:val="67346B89"/>
    <w:rsid w:val="674943E2"/>
    <w:rsid w:val="675114E9"/>
    <w:rsid w:val="67527824"/>
    <w:rsid w:val="67603D36"/>
    <w:rsid w:val="67623F04"/>
    <w:rsid w:val="676A25AA"/>
    <w:rsid w:val="67931B01"/>
    <w:rsid w:val="67955879"/>
    <w:rsid w:val="67A77295"/>
    <w:rsid w:val="67AB5867"/>
    <w:rsid w:val="67AE693B"/>
    <w:rsid w:val="67B11C5B"/>
    <w:rsid w:val="67E24432"/>
    <w:rsid w:val="67E94DF6"/>
    <w:rsid w:val="67F105D6"/>
    <w:rsid w:val="67FC3CC5"/>
    <w:rsid w:val="6832131A"/>
    <w:rsid w:val="683A3D2B"/>
    <w:rsid w:val="6841330B"/>
    <w:rsid w:val="68456552"/>
    <w:rsid w:val="685272C6"/>
    <w:rsid w:val="68550B65"/>
    <w:rsid w:val="685968A7"/>
    <w:rsid w:val="685D7846"/>
    <w:rsid w:val="68727968"/>
    <w:rsid w:val="68852F89"/>
    <w:rsid w:val="68980B22"/>
    <w:rsid w:val="68E76220"/>
    <w:rsid w:val="68F465CF"/>
    <w:rsid w:val="69224EEB"/>
    <w:rsid w:val="692A6F91"/>
    <w:rsid w:val="6935759B"/>
    <w:rsid w:val="69540E1C"/>
    <w:rsid w:val="69817558"/>
    <w:rsid w:val="69D05B74"/>
    <w:rsid w:val="69D67532"/>
    <w:rsid w:val="69D93E40"/>
    <w:rsid w:val="69EB183A"/>
    <w:rsid w:val="6A2E3D63"/>
    <w:rsid w:val="6A3959D9"/>
    <w:rsid w:val="6A613E90"/>
    <w:rsid w:val="6A6553A9"/>
    <w:rsid w:val="6A670F20"/>
    <w:rsid w:val="6A76231D"/>
    <w:rsid w:val="6AAF6C52"/>
    <w:rsid w:val="6ABF6769"/>
    <w:rsid w:val="6AC83870"/>
    <w:rsid w:val="6ACB0C44"/>
    <w:rsid w:val="6AED1528"/>
    <w:rsid w:val="6AEF6ECA"/>
    <w:rsid w:val="6AFD0277"/>
    <w:rsid w:val="6B016C08"/>
    <w:rsid w:val="6B1940CB"/>
    <w:rsid w:val="6B3D1532"/>
    <w:rsid w:val="6B514E55"/>
    <w:rsid w:val="6B573CA8"/>
    <w:rsid w:val="6B84284F"/>
    <w:rsid w:val="6B8D6AB0"/>
    <w:rsid w:val="6B8F271D"/>
    <w:rsid w:val="6B94171A"/>
    <w:rsid w:val="6B95409A"/>
    <w:rsid w:val="6BAC3191"/>
    <w:rsid w:val="6BC03649"/>
    <w:rsid w:val="6BCA7305"/>
    <w:rsid w:val="6BCF7DC1"/>
    <w:rsid w:val="6BDD159D"/>
    <w:rsid w:val="6BE05D30"/>
    <w:rsid w:val="6BEC358E"/>
    <w:rsid w:val="6C02112D"/>
    <w:rsid w:val="6C094140"/>
    <w:rsid w:val="6C286D49"/>
    <w:rsid w:val="6C2B67AC"/>
    <w:rsid w:val="6C334C7B"/>
    <w:rsid w:val="6C33740F"/>
    <w:rsid w:val="6C36371A"/>
    <w:rsid w:val="6C4D7ABB"/>
    <w:rsid w:val="6C735A5D"/>
    <w:rsid w:val="6C7A7EBF"/>
    <w:rsid w:val="6C7C394A"/>
    <w:rsid w:val="6CB30C91"/>
    <w:rsid w:val="6CC938CF"/>
    <w:rsid w:val="6CCD1562"/>
    <w:rsid w:val="6CD90324"/>
    <w:rsid w:val="6CE24AEE"/>
    <w:rsid w:val="6CF62EDC"/>
    <w:rsid w:val="6CF65CB6"/>
    <w:rsid w:val="6CFE17CB"/>
    <w:rsid w:val="6D015509"/>
    <w:rsid w:val="6D0739F4"/>
    <w:rsid w:val="6D1B05CF"/>
    <w:rsid w:val="6D600E4E"/>
    <w:rsid w:val="6D686A3C"/>
    <w:rsid w:val="6D75484E"/>
    <w:rsid w:val="6D921309"/>
    <w:rsid w:val="6DAA1953"/>
    <w:rsid w:val="6DF15854"/>
    <w:rsid w:val="6E103B09"/>
    <w:rsid w:val="6E192634"/>
    <w:rsid w:val="6E26547D"/>
    <w:rsid w:val="6E35746E"/>
    <w:rsid w:val="6E3E7A5F"/>
    <w:rsid w:val="6E837C6A"/>
    <w:rsid w:val="6E895767"/>
    <w:rsid w:val="6E906D9A"/>
    <w:rsid w:val="6EE1169E"/>
    <w:rsid w:val="6EF838D8"/>
    <w:rsid w:val="6F1569D0"/>
    <w:rsid w:val="6F3B6D06"/>
    <w:rsid w:val="6F434296"/>
    <w:rsid w:val="6F4D6A39"/>
    <w:rsid w:val="6F5770EE"/>
    <w:rsid w:val="6F5953DE"/>
    <w:rsid w:val="6F60051B"/>
    <w:rsid w:val="6F751AEC"/>
    <w:rsid w:val="6F771D08"/>
    <w:rsid w:val="6F8166E3"/>
    <w:rsid w:val="6F8B7FB3"/>
    <w:rsid w:val="6F94407E"/>
    <w:rsid w:val="6F975F07"/>
    <w:rsid w:val="6F997ED1"/>
    <w:rsid w:val="6FD97EA3"/>
    <w:rsid w:val="6FEC1DAE"/>
    <w:rsid w:val="70271906"/>
    <w:rsid w:val="7060279C"/>
    <w:rsid w:val="70925F01"/>
    <w:rsid w:val="70A639E7"/>
    <w:rsid w:val="70B41E8F"/>
    <w:rsid w:val="70C60851"/>
    <w:rsid w:val="70C81F52"/>
    <w:rsid w:val="70DF27A9"/>
    <w:rsid w:val="70EA114F"/>
    <w:rsid w:val="70FB773A"/>
    <w:rsid w:val="711517D9"/>
    <w:rsid w:val="7121200D"/>
    <w:rsid w:val="7174037B"/>
    <w:rsid w:val="718D6064"/>
    <w:rsid w:val="71912F36"/>
    <w:rsid w:val="71CC19A8"/>
    <w:rsid w:val="71EF5B86"/>
    <w:rsid w:val="71FB53D1"/>
    <w:rsid w:val="72023B0B"/>
    <w:rsid w:val="720A1751"/>
    <w:rsid w:val="720D1DEE"/>
    <w:rsid w:val="7213482D"/>
    <w:rsid w:val="722C4F16"/>
    <w:rsid w:val="72473C14"/>
    <w:rsid w:val="725319FA"/>
    <w:rsid w:val="72606A84"/>
    <w:rsid w:val="726B0346"/>
    <w:rsid w:val="726C71D7"/>
    <w:rsid w:val="7285321E"/>
    <w:rsid w:val="72980EDF"/>
    <w:rsid w:val="72BB015E"/>
    <w:rsid w:val="72C16247"/>
    <w:rsid w:val="72C708B1"/>
    <w:rsid w:val="72CE1FD6"/>
    <w:rsid w:val="72D35EFD"/>
    <w:rsid w:val="72E70F53"/>
    <w:rsid w:val="7313416E"/>
    <w:rsid w:val="731955B0"/>
    <w:rsid w:val="731A04F4"/>
    <w:rsid w:val="7343262D"/>
    <w:rsid w:val="735F4F8D"/>
    <w:rsid w:val="73637E23"/>
    <w:rsid w:val="736600CA"/>
    <w:rsid w:val="736A2E33"/>
    <w:rsid w:val="73751A30"/>
    <w:rsid w:val="73860D96"/>
    <w:rsid w:val="73873A1A"/>
    <w:rsid w:val="73A265D4"/>
    <w:rsid w:val="73BF3A31"/>
    <w:rsid w:val="73C65CFA"/>
    <w:rsid w:val="73E96AFF"/>
    <w:rsid w:val="74060D79"/>
    <w:rsid w:val="7412556E"/>
    <w:rsid w:val="74315462"/>
    <w:rsid w:val="74324450"/>
    <w:rsid w:val="74327ACF"/>
    <w:rsid w:val="744F5002"/>
    <w:rsid w:val="7452521E"/>
    <w:rsid w:val="7460720F"/>
    <w:rsid w:val="74646C25"/>
    <w:rsid w:val="74703282"/>
    <w:rsid w:val="74740571"/>
    <w:rsid w:val="747405C4"/>
    <w:rsid w:val="748B5FFF"/>
    <w:rsid w:val="749307B4"/>
    <w:rsid w:val="74965E9C"/>
    <w:rsid w:val="74A138CF"/>
    <w:rsid w:val="74B82EAB"/>
    <w:rsid w:val="74DD46F3"/>
    <w:rsid w:val="74E70CEB"/>
    <w:rsid w:val="750B0F29"/>
    <w:rsid w:val="75164D97"/>
    <w:rsid w:val="751653F3"/>
    <w:rsid w:val="75275C40"/>
    <w:rsid w:val="75306BE1"/>
    <w:rsid w:val="754F0366"/>
    <w:rsid w:val="755C3532"/>
    <w:rsid w:val="75610B49"/>
    <w:rsid w:val="75630D65"/>
    <w:rsid w:val="756A3232"/>
    <w:rsid w:val="75876DE8"/>
    <w:rsid w:val="759058D2"/>
    <w:rsid w:val="75A43097"/>
    <w:rsid w:val="75BE3917"/>
    <w:rsid w:val="75E55DBE"/>
    <w:rsid w:val="760E3D8A"/>
    <w:rsid w:val="76283289"/>
    <w:rsid w:val="762A1882"/>
    <w:rsid w:val="762D3121"/>
    <w:rsid w:val="763D51A3"/>
    <w:rsid w:val="764010A6"/>
    <w:rsid w:val="7641772F"/>
    <w:rsid w:val="764F3097"/>
    <w:rsid w:val="76C21ABB"/>
    <w:rsid w:val="76C45833"/>
    <w:rsid w:val="76D17FED"/>
    <w:rsid w:val="76D37824"/>
    <w:rsid w:val="76E9529A"/>
    <w:rsid w:val="76FD5B5D"/>
    <w:rsid w:val="771C1FEB"/>
    <w:rsid w:val="77345D20"/>
    <w:rsid w:val="774050A4"/>
    <w:rsid w:val="774D7DC8"/>
    <w:rsid w:val="7753702C"/>
    <w:rsid w:val="776F2285"/>
    <w:rsid w:val="779D7E32"/>
    <w:rsid w:val="779F78C2"/>
    <w:rsid w:val="77BA09E4"/>
    <w:rsid w:val="77D45F4A"/>
    <w:rsid w:val="77DA6E30"/>
    <w:rsid w:val="77E36B17"/>
    <w:rsid w:val="77EF4B32"/>
    <w:rsid w:val="7808174F"/>
    <w:rsid w:val="78162870"/>
    <w:rsid w:val="78372035"/>
    <w:rsid w:val="78755945"/>
    <w:rsid w:val="788A70F3"/>
    <w:rsid w:val="78917997"/>
    <w:rsid w:val="78A8212F"/>
    <w:rsid w:val="78AB0354"/>
    <w:rsid w:val="78B47B29"/>
    <w:rsid w:val="78C83AA5"/>
    <w:rsid w:val="78CF04BF"/>
    <w:rsid w:val="78F8227F"/>
    <w:rsid w:val="78FE29CE"/>
    <w:rsid w:val="79082858"/>
    <w:rsid w:val="791365FE"/>
    <w:rsid w:val="79205E80"/>
    <w:rsid w:val="793C38E0"/>
    <w:rsid w:val="794009DA"/>
    <w:rsid w:val="794F0DB0"/>
    <w:rsid w:val="795135CA"/>
    <w:rsid w:val="795E2EE2"/>
    <w:rsid w:val="797D616D"/>
    <w:rsid w:val="79997102"/>
    <w:rsid w:val="79E86200"/>
    <w:rsid w:val="7A083C89"/>
    <w:rsid w:val="7A1B0D74"/>
    <w:rsid w:val="7A1C44D7"/>
    <w:rsid w:val="7A1C5986"/>
    <w:rsid w:val="7A1C7734"/>
    <w:rsid w:val="7A214D4A"/>
    <w:rsid w:val="7A2A3C2E"/>
    <w:rsid w:val="7A460BE1"/>
    <w:rsid w:val="7A4822D7"/>
    <w:rsid w:val="7A5F5873"/>
    <w:rsid w:val="7A6441F7"/>
    <w:rsid w:val="7A7632E8"/>
    <w:rsid w:val="7A88366E"/>
    <w:rsid w:val="7A93745F"/>
    <w:rsid w:val="7A9B3AA1"/>
    <w:rsid w:val="7AAA2F92"/>
    <w:rsid w:val="7AB72BBD"/>
    <w:rsid w:val="7ABB1E4D"/>
    <w:rsid w:val="7AD523F0"/>
    <w:rsid w:val="7AE85F45"/>
    <w:rsid w:val="7B046B46"/>
    <w:rsid w:val="7B057924"/>
    <w:rsid w:val="7B0F7299"/>
    <w:rsid w:val="7B146D0D"/>
    <w:rsid w:val="7B4A02D1"/>
    <w:rsid w:val="7B4B59E7"/>
    <w:rsid w:val="7B520869"/>
    <w:rsid w:val="7B5971BC"/>
    <w:rsid w:val="7B5F1FCE"/>
    <w:rsid w:val="7B615D46"/>
    <w:rsid w:val="7B796BB0"/>
    <w:rsid w:val="7B797B8C"/>
    <w:rsid w:val="7B963516"/>
    <w:rsid w:val="7BAF71A0"/>
    <w:rsid w:val="7BB77A58"/>
    <w:rsid w:val="7BBF4A30"/>
    <w:rsid w:val="7BC167E5"/>
    <w:rsid w:val="7BC50043"/>
    <w:rsid w:val="7BC65BA9"/>
    <w:rsid w:val="7BF62F10"/>
    <w:rsid w:val="7C030610"/>
    <w:rsid w:val="7C0A7E63"/>
    <w:rsid w:val="7C183F2B"/>
    <w:rsid w:val="7C254F6F"/>
    <w:rsid w:val="7C25698E"/>
    <w:rsid w:val="7C305674"/>
    <w:rsid w:val="7C450542"/>
    <w:rsid w:val="7C831CEC"/>
    <w:rsid w:val="7C9758E4"/>
    <w:rsid w:val="7CA34F84"/>
    <w:rsid w:val="7CA8362A"/>
    <w:rsid w:val="7CC540B3"/>
    <w:rsid w:val="7CD67ABD"/>
    <w:rsid w:val="7CD9190C"/>
    <w:rsid w:val="7CDA5990"/>
    <w:rsid w:val="7CDE5175"/>
    <w:rsid w:val="7CDF0E32"/>
    <w:rsid w:val="7CE85F9E"/>
    <w:rsid w:val="7D217FDA"/>
    <w:rsid w:val="7D23174B"/>
    <w:rsid w:val="7D2C5EE0"/>
    <w:rsid w:val="7D4F7E21"/>
    <w:rsid w:val="7D512D9B"/>
    <w:rsid w:val="7D56787C"/>
    <w:rsid w:val="7D6A6067"/>
    <w:rsid w:val="7D6C2781"/>
    <w:rsid w:val="7D9A5540"/>
    <w:rsid w:val="7DA017BC"/>
    <w:rsid w:val="7DAE15D5"/>
    <w:rsid w:val="7DB55ED6"/>
    <w:rsid w:val="7DB62A4C"/>
    <w:rsid w:val="7DC205F3"/>
    <w:rsid w:val="7DCC321F"/>
    <w:rsid w:val="7DD520D4"/>
    <w:rsid w:val="7DDA3B8E"/>
    <w:rsid w:val="7DE94C40"/>
    <w:rsid w:val="7DF82C87"/>
    <w:rsid w:val="7E1C41A7"/>
    <w:rsid w:val="7E374D98"/>
    <w:rsid w:val="7E66207E"/>
    <w:rsid w:val="7E815A52"/>
    <w:rsid w:val="7E8410B6"/>
    <w:rsid w:val="7E8A331C"/>
    <w:rsid w:val="7EAB552B"/>
    <w:rsid w:val="7EB5766F"/>
    <w:rsid w:val="7EBB576E"/>
    <w:rsid w:val="7ECB1729"/>
    <w:rsid w:val="7ED24865"/>
    <w:rsid w:val="7F1907CE"/>
    <w:rsid w:val="7F1E3CBE"/>
    <w:rsid w:val="7F2B02A2"/>
    <w:rsid w:val="7F621CE0"/>
    <w:rsid w:val="7F954211"/>
    <w:rsid w:val="7FA02BB5"/>
    <w:rsid w:val="7FBF303C"/>
    <w:rsid w:val="7FC22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sz w:val="24"/>
    </w:rPr>
  </w:style>
  <w:style w:type="paragraph" w:styleId="7">
    <w:name w:val="annotation text"/>
    <w:basedOn w:val="1"/>
    <w:qFormat/>
    <w:uiPriority w:val="0"/>
    <w:pPr>
      <w:jc w:val="left"/>
    </w:pPr>
  </w:style>
  <w:style w:type="paragraph" w:styleId="8">
    <w:name w:val="Salutation"/>
    <w:next w:val="1"/>
    <w:qFormat/>
    <w:uiPriority w:val="0"/>
    <w:pPr>
      <w:widowControl w:val="0"/>
      <w:spacing w:before="100" w:beforeAutospacing="1" w:after="100" w:afterAutospacing="1" w:line="360" w:lineRule="auto"/>
      <w:jc w:val="both"/>
    </w:pPr>
    <w:rPr>
      <w:rFonts w:ascii="Times New Roman" w:hAnsi="Times New Roman" w:eastAsia="宋体" w:cs="Times New Roman"/>
      <w:kern w:val="2"/>
      <w:sz w:val="21"/>
      <w:szCs w:val="24"/>
      <w:lang w:val="en-US" w:eastAsia="zh-CN" w:bidi="ar-SA"/>
    </w:rPr>
  </w:style>
  <w:style w:type="paragraph" w:styleId="9">
    <w:name w:val="Body Text"/>
    <w:basedOn w:val="1"/>
    <w:qFormat/>
    <w:uiPriority w:val="0"/>
    <w:pPr>
      <w:tabs>
        <w:tab w:val="left" w:pos="567"/>
      </w:tabs>
      <w:spacing w:before="120" w:line="22" w:lineRule="atLeast"/>
    </w:pPr>
    <w:rPr>
      <w:rFonts w:ascii="宋体" w:hAnsi="宋体"/>
      <w:sz w:val="24"/>
    </w:rPr>
  </w:style>
  <w:style w:type="paragraph" w:styleId="10">
    <w:name w:val="Body Text Indent"/>
    <w:basedOn w:val="1"/>
    <w:next w:val="11"/>
    <w:qFormat/>
    <w:uiPriority w:val="0"/>
    <w:pPr>
      <w:spacing w:line="360" w:lineRule="auto"/>
      <w:ind w:firstLine="570"/>
    </w:pPr>
    <w:rPr>
      <w:sz w:val="24"/>
    </w:rPr>
  </w:style>
  <w:style w:type="paragraph" w:styleId="11">
    <w:name w:val="envelope return"/>
    <w:basedOn w:val="1"/>
    <w:qFormat/>
    <w:uiPriority w:val="99"/>
    <w:rPr>
      <w:rFonts w:ascii="Arial" w:hAnsi="Arial" w:cs="Arial"/>
      <w:kern w:val="1"/>
    </w:rPr>
  </w:style>
  <w:style w:type="paragraph" w:styleId="12">
    <w:name w:val="index 4"/>
    <w:basedOn w:val="1"/>
    <w:next w:val="1"/>
    <w:qFormat/>
    <w:uiPriority w:val="0"/>
    <w:pPr>
      <w:ind w:left="600" w:leftChars="600"/>
    </w:pPr>
  </w:style>
  <w:style w:type="paragraph" w:styleId="13">
    <w:name w:val="toc 3"/>
    <w:basedOn w:val="1"/>
    <w:next w:val="1"/>
    <w:unhideWhenUsed/>
    <w:qFormat/>
    <w:uiPriority w:val="39"/>
    <w:pPr>
      <w:ind w:left="840" w:leftChars="400"/>
    </w:pPr>
  </w:style>
  <w:style w:type="paragraph" w:styleId="14">
    <w:name w:val="Plain Text"/>
    <w:basedOn w:val="1"/>
    <w:qFormat/>
    <w:uiPriority w:val="0"/>
    <w:rPr>
      <w:rFonts w:hint="eastAsia" w:ascii="宋体" w:hAnsi="Courier New"/>
      <w:szCs w:val="20"/>
    </w:rPr>
  </w:style>
  <w:style w:type="paragraph" w:styleId="1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1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left" w:pos="1050"/>
        <w:tab w:val="right" w:leader="dot" w:pos="8937"/>
      </w:tabs>
      <w:spacing w:line="300" w:lineRule="auto"/>
    </w:pPr>
    <w:rPr>
      <w:rFonts w:ascii="宋体" w:hAnsi="宋体"/>
      <w:b/>
      <w:sz w:val="24"/>
    </w:rPr>
  </w:style>
  <w:style w:type="paragraph" w:styleId="18">
    <w:name w:val="footnote text"/>
    <w:basedOn w:val="1"/>
    <w:next w:val="16"/>
    <w:unhideWhenUsed/>
    <w:qFormat/>
    <w:uiPriority w:val="0"/>
    <w:pPr>
      <w:snapToGrid w:val="0"/>
      <w:jc w:val="left"/>
    </w:p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basedOn w:val="1"/>
    <w:qFormat/>
    <w:uiPriority w:val="0"/>
    <w:pPr>
      <w:jc w:val="center"/>
      <w:outlineLvl w:val="0"/>
    </w:pPr>
    <w:rPr>
      <w:b/>
      <w:sz w:val="32"/>
      <w:szCs w:val="20"/>
    </w:rPr>
  </w:style>
  <w:style w:type="paragraph" w:styleId="21">
    <w:name w:val="Body Text First Indent"/>
    <w:basedOn w:val="9"/>
    <w:qFormat/>
    <w:uiPriority w:val="0"/>
    <w:pPr>
      <w:spacing w:line="240" w:lineRule="auto"/>
      <w:ind w:firstLine="420" w:firstLineChars="100"/>
    </w:pPr>
  </w:style>
  <w:style w:type="paragraph" w:styleId="22">
    <w:name w:val="Body Text First Indent 2"/>
    <w:basedOn w:val="10"/>
    <w:qFormat/>
    <w:uiPriority w:val="0"/>
    <w:pPr>
      <w:spacing w:after="120" w:line="480" w:lineRule="exact"/>
      <w:ind w:left="420" w:leftChars="200" w:firstLine="420" w:firstLineChars="200"/>
    </w:pPr>
    <w:rPr>
      <w:szCs w:val="20"/>
    </w:rPr>
  </w:style>
  <w:style w:type="table" w:styleId="24">
    <w:name w:val="Table Grid"/>
    <w:basedOn w:val="2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Emphasis"/>
    <w:qFormat/>
    <w:uiPriority w:val="0"/>
    <w:rPr>
      <w:color w:val="CC0033"/>
    </w:rPr>
  </w:style>
  <w:style w:type="character" w:styleId="29">
    <w:name w:val="Hyperlink"/>
    <w:qFormat/>
    <w:uiPriority w:val="99"/>
    <w:rPr>
      <w:color w:val="0000FF"/>
      <w:u w:val="single"/>
    </w:rPr>
  </w:style>
  <w:style w:type="paragraph" w:customStyle="1" w:styleId="30">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31">
    <w:name w:val="图例"/>
    <w:basedOn w:val="1"/>
    <w:qFormat/>
    <w:uiPriority w:val="0"/>
    <w:pPr>
      <w:spacing w:before="120" w:after="120" w:line="360" w:lineRule="auto"/>
      <w:jc w:val="center"/>
    </w:pPr>
    <w:rPr>
      <w:rFonts w:eastAsia="仿宋_GB2312"/>
      <w:b/>
      <w:sz w:val="24"/>
      <w:szCs w:val="20"/>
    </w:rPr>
  </w:style>
  <w:style w:type="paragraph" w:styleId="32">
    <w:name w:val="List Paragraph"/>
    <w:basedOn w:val="1"/>
    <w:qFormat/>
    <w:uiPriority w:val="34"/>
    <w:pPr>
      <w:ind w:firstLine="420" w:firstLineChars="200"/>
    </w:pPr>
    <w:rPr>
      <w:rFonts w:ascii="Calibri" w:hAnsi="Calibri"/>
      <w:szCs w:val="22"/>
    </w:rPr>
  </w:style>
  <w:style w:type="paragraph" w:customStyle="1" w:styleId="33">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34">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35">
    <w:name w:val="正文1"/>
    <w:basedOn w:val="1"/>
    <w:next w:val="1"/>
    <w:qFormat/>
    <w:uiPriority w:val="99"/>
    <w:pPr>
      <w:tabs>
        <w:tab w:val="left" w:pos="480"/>
      </w:tabs>
      <w:spacing w:line="500" w:lineRule="exact"/>
      <w:ind w:left="359" w:hanging="359" w:hangingChars="171"/>
    </w:pPr>
    <w:rPr>
      <w:rFonts w:ascii="黑体" w:hAnsi="宋体" w:cs="黑体"/>
      <w:szCs w:val="21"/>
    </w:rPr>
  </w:style>
  <w:style w:type="paragraph" w:customStyle="1" w:styleId="36">
    <w:name w:val="Table Text"/>
    <w:basedOn w:val="1"/>
    <w:semiHidden/>
    <w:qFormat/>
    <w:uiPriority w:val="0"/>
    <w:rPr>
      <w:rFonts w:ascii="Arial" w:hAnsi="Arial" w:eastAsia="Arial" w:cs="Arial"/>
      <w:szCs w:val="21"/>
      <w:lang w:eastAsia="en-US"/>
    </w:rPr>
  </w:style>
  <w:style w:type="character" w:customStyle="1" w:styleId="37">
    <w:name w:val="font11"/>
    <w:basedOn w:val="25"/>
    <w:qFormat/>
    <w:uiPriority w:val="0"/>
    <w:rPr>
      <w:rFonts w:hint="eastAsia" w:ascii="宋体" w:hAnsi="宋体" w:eastAsia="宋体" w:cs="宋体"/>
      <w:color w:val="000000"/>
      <w:sz w:val="21"/>
      <w:szCs w:val="21"/>
      <w:u w:val="none"/>
    </w:rPr>
  </w:style>
  <w:style w:type="character" w:customStyle="1" w:styleId="38">
    <w:name w:val="font01"/>
    <w:basedOn w:val="25"/>
    <w:qFormat/>
    <w:uiPriority w:val="0"/>
    <w:rPr>
      <w:rFonts w:hint="eastAsia" w:ascii="宋体" w:hAnsi="宋体" w:eastAsia="宋体" w:cs="宋体"/>
      <w:color w:val="000000"/>
      <w:sz w:val="22"/>
      <w:szCs w:val="22"/>
      <w:u w:val="none"/>
    </w:rPr>
  </w:style>
  <w:style w:type="paragraph" w:styleId="39">
    <w:name w:val="No Spacing"/>
    <w:qFormat/>
    <w:uiPriority w:val="1"/>
    <w:pPr>
      <w:widowControl w:val="0"/>
      <w:jc w:val="both"/>
    </w:pPr>
    <w:rPr>
      <w:rFonts w:ascii="Calibri Light" w:hAnsi="Calibri Light" w:eastAsia="Arial Unicode MS" w:cs="Arial Unicode MS"/>
      <w:color w:val="000000"/>
      <w:sz w:val="22"/>
      <w:szCs w:val="22"/>
      <w:lang w:val="en-US" w:eastAsia="zh-CN" w:bidi="ar-SA"/>
    </w:rPr>
  </w:style>
  <w:style w:type="paragraph" w:customStyle="1" w:styleId="40">
    <w:name w:val="列出段落1"/>
    <w:basedOn w:val="1"/>
    <w:qFormat/>
    <w:uiPriority w:val="34"/>
    <w:pPr>
      <w:widowControl w:val="0"/>
      <w:spacing w:after="0" w:line="240" w:lineRule="auto"/>
      <w:ind w:firstLine="420" w:firstLineChars="200"/>
      <w:jc w:val="both"/>
    </w:pPr>
    <w:rPr>
      <w:rFonts w:ascii="Calibri" w:hAnsi="Calibri" w:eastAsia="宋体" w:cs="Calibri"/>
      <w:kern w:val="2"/>
      <w:sz w:val="21"/>
      <w:lang w:eastAsia="zh-CN"/>
    </w:rPr>
  </w:style>
  <w:style w:type="character" w:customStyle="1" w:styleId="41">
    <w:name w:val="None"/>
    <w:qFormat/>
    <w:uiPriority w:val="0"/>
  </w:style>
  <w:style w:type="character" w:customStyle="1" w:styleId="42">
    <w:name w:val="Hyperlink.1"/>
    <w:qFormat/>
    <w:uiPriority w:val="0"/>
    <w:rPr>
      <w:color w:val="000000"/>
      <w:lang w:val="en-US"/>
    </w:rPr>
  </w:style>
  <w:style w:type="character" w:customStyle="1" w:styleId="43">
    <w:name w:val="font61"/>
    <w:basedOn w:val="25"/>
    <w:qFormat/>
    <w:uiPriority w:val="0"/>
    <w:rPr>
      <w:rFonts w:ascii="仿宋_GB2312" w:eastAsia="仿宋_GB2312" w:cs="仿宋_GB2312"/>
      <w:color w:val="000000"/>
      <w:sz w:val="22"/>
      <w:szCs w:val="22"/>
      <w:u w:val="none"/>
    </w:rPr>
  </w:style>
  <w:style w:type="character" w:customStyle="1" w:styleId="44">
    <w:name w:val="font71"/>
    <w:basedOn w:val="25"/>
    <w:qFormat/>
    <w:uiPriority w:val="0"/>
    <w:rPr>
      <w:rFonts w:hint="eastAsia" w:ascii="仿宋_GB2312" w:eastAsia="仿宋_GB2312" w:cs="仿宋_GB2312"/>
      <w:color w:val="000000"/>
      <w:sz w:val="22"/>
      <w:szCs w:val="22"/>
      <w:u w:val="none"/>
    </w:rPr>
  </w:style>
  <w:style w:type="character" w:customStyle="1" w:styleId="45">
    <w:name w:val="font41"/>
    <w:basedOn w:val="25"/>
    <w:qFormat/>
    <w:uiPriority w:val="0"/>
    <w:rPr>
      <w:rFonts w:hint="default" w:ascii="Times New Roman" w:hAnsi="Times New Roman" w:cs="Times New Roman"/>
      <w:color w:val="000000"/>
      <w:sz w:val="22"/>
      <w:szCs w:val="22"/>
      <w:u w:val="none"/>
    </w:rPr>
  </w:style>
  <w:style w:type="paragraph" w:customStyle="1" w:styleId="46">
    <w:name w:val="正文 缩进2字符"/>
    <w:basedOn w:val="1"/>
    <w:qFormat/>
    <w:uiPriority w:val="0"/>
    <w:pPr>
      <w:spacing w:line="288" w:lineRule="auto"/>
    </w:pPr>
    <w:rPr>
      <w:rFonts w:ascii="宋体" w:hAnsi="宋体"/>
      <w:sz w:val="28"/>
      <w:szCs w:val="28"/>
    </w:rPr>
  </w:style>
  <w:style w:type="paragraph" w:customStyle="1" w:styleId="47">
    <w:name w:val="大标题"/>
    <w:qFormat/>
    <w:uiPriority w:val="0"/>
    <w:pPr>
      <w:widowControl w:val="0"/>
      <w:autoSpaceDE w:val="0"/>
      <w:autoSpaceDN w:val="0"/>
      <w:spacing w:before="100" w:beforeAutospacing="1" w:after="100" w:afterAutospacing="1" w:line="360" w:lineRule="auto"/>
      <w:jc w:val="left"/>
    </w:pPr>
    <w:rPr>
      <w:rFonts w:ascii="宋体" w:hAnsi="Times New Roman" w:eastAsia="宋体" w:cs="Arial"/>
      <w:b/>
      <w:kern w:val="2"/>
      <w:sz w:val="32"/>
      <w:szCs w:val="32"/>
      <w:lang w:val="en-US" w:eastAsia="zh-CN" w:bidi="ar-SA"/>
    </w:rPr>
  </w:style>
  <w:style w:type="table" w:customStyle="1" w:styleId="48">
    <w:name w:val="Table Normal_0"/>
    <w:semiHidden/>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49">
    <w:name w:val="标题 1 字符"/>
    <w:link w:val="2"/>
    <w:qFormat/>
    <w:uiPriority w:val="0"/>
    <w:rPr>
      <w:b/>
      <w:kern w:val="44"/>
      <w:sz w:val="44"/>
    </w:rPr>
  </w:style>
  <w:style w:type="paragraph" w:customStyle="1" w:styleId="50">
    <w:name w:val="样式 10 磅3111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样式 小四"/>
    <w:qFormat/>
    <w:uiPriority w:val="0"/>
    <w:pPr>
      <w:widowControl w:val="0"/>
      <w:adjustRightInd w:val="0"/>
      <w:spacing w:line="360" w:lineRule="atLeast"/>
      <w:textAlignment w:val="baseline"/>
    </w:pPr>
    <w:rPr>
      <w:rFonts w:ascii="Calibri" w:hAnsi="Calibri" w:eastAsia="宋体" w:cs="Arial"/>
      <w:sz w:val="24"/>
      <w:szCs w:val="22"/>
      <w:lang w:val="en-US" w:eastAsia="zh-CN" w:bidi="ar-SA"/>
    </w:rPr>
  </w:style>
  <w:style w:type="paragraph" w:customStyle="1" w:styleId="52">
    <w:name w:val="2"/>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78</Pages>
  <Words>19176</Words>
  <Characters>20573</Characters>
  <Lines>244</Lines>
  <Paragraphs>68</Paragraphs>
  <TotalTime>6</TotalTime>
  <ScaleCrop>false</ScaleCrop>
  <LinksUpToDate>false</LinksUpToDate>
  <CharactersWithSpaces>20857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2023-09-04T04:14:00Z</dcterms:created>
  <dc:creator>LENOVO</dc:creator>
  <cp:lastModifiedBy>王欣艳</cp:lastModifiedBy>
  <cp:lastPrinted>2026-07-03T03:12:00Z</cp:lastPrinted>
  <dcterms:modified xsi:type="dcterms:W3CDTF">2026-08-10T03:16:28Z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42B3E52A225E488283E5F04005A6F72C_13</vt:lpwstr>
  </property>
  <property fmtid="{D5CDD505-2E9C-101B-9397-08002B2CF9AE}" pid="4" name="KSOTemplateDocerSaveRecord">
    <vt:lpwstr>eyJoZGlkIjoiY2Y4Y2FhM2NmNGRkMjBiZWIxNWVlZWIzM2FmNDViZGEiLCJ1c2VySWQiOiI0MDA2Njc2MzMifQ==</vt:lpwstr>
  </property>
</Properties>
</file>