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5FDD7D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宋体" w:hAnsi="宋体" w:eastAsia="宋体" w:cs="宋体"/>
          <w:sz w:val="28"/>
          <w:szCs w:val="28"/>
        </w:rPr>
      </w:pPr>
      <w:bookmarkStart w:id="0" w:name="_Toc35393809"/>
      <w:bookmarkStart w:id="1" w:name="_Toc28359022"/>
      <w:r>
        <w:rPr>
          <w:rFonts w:hint="eastAsia" w:ascii="宋体" w:hAnsi="宋体" w:eastAsia="宋体" w:cs="宋体"/>
          <w:sz w:val="52"/>
          <w:szCs w:val="52"/>
        </w:rPr>
        <w:t>中标结果公告</w:t>
      </w:r>
      <w:bookmarkEnd w:id="0"/>
      <w:bookmarkEnd w:id="1"/>
    </w:p>
    <w:p w14:paraId="65270D3F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一、项目编号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sz w:val="28"/>
          <w:szCs w:val="28"/>
        </w:rPr>
        <w:instrText xml:space="preserve">HYPERLINK "http://219.232.204.193:8080/frontend/plan/project_detail.html?projectUuid=766d59a1-4b84-4e50-a2fe-a527bd653ef7&amp;viewMode=accept"</w:instrText>
      </w:r>
      <w:r>
        <w:rPr>
          <w:rFonts w:hint="eastAsia" w:ascii="宋体" w:hAnsi="宋体" w:eastAsia="宋体" w:cs="宋体"/>
          <w:sz w:val="28"/>
          <w:szCs w:val="28"/>
        </w:rPr>
        <w:fldChar w:fldCharType="separate"/>
      </w:r>
      <w:r>
        <w:rPr>
          <w:rStyle w:val="9"/>
          <w:rFonts w:hint="eastAsia" w:ascii="宋体" w:hAnsi="宋体" w:cs="宋体"/>
          <w:bCs/>
          <w:color w:val="auto"/>
          <w:sz w:val="28"/>
          <w:szCs w:val="28"/>
          <w:lang w:eastAsia="zh-CN"/>
        </w:rPr>
        <w:t>11011526210200034297-XM001</w:t>
      </w:r>
      <w:r>
        <w:rPr>
          <w:rFonts w:hint="eastAsia" w:ascii="宋体" w:hAnsi="宋体" w:eastAsia="宋体" w:cs="宋体"/>
          <w:sz w:val="28"/>
          <w:szCs w:val="28"/>
        </w:rPr>
        <w:fldChar w:fldCharType="end"/>
      </w:r>
    </w:p>
    <w:p w14:paraId="4CC832D0">
      <w:pPr>
        <w:spacing w:line="360" w:lineRule="auto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二、项目名称：</w:t>
      </w:r>
      <w:r>
        <w:rPr>
          <w:rFonts w:hint="eastAsia" w:ascii="宋体" w:hAnsi="宋体" w:cs="宋体"/>
          <w:bCs/>
          <w:color w:val="000000"/>
          <w:sz w:val="28"/>
          <w:szCs w:val="28"/>
          <w:lang w:eastAsia="zh-CN"/>
        </w:rPr>
        <w:t>2026扩增学位-设备购置项目-大兴五小</w:t>
      </w:r>
    </w:p>
    <w:p w14:paraId="166928A2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三、中标（成交）信息</w:t>
      </w:r>
    </w:p>
    <w:p w14:paraId="5F7B95FA">
      <w:pPr>
        <w:spacing w:line="360" w:lineRule="auto"/>
        <w:rPr>
          <w:rFonts w:hint="eastAsia" w:ascii="宋体" w:hAnsi="宋体" w:eastAsia="宋体" w:cs="宋体"/>
          <w:bCs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Cs/>
          <w:color w:val="000000"/>
          <w:sz w:val="28"/>
          <w:szCs w:val="28"/>
          <w:lang w:eastAsia="zh-CN"/>
        </w:rPr>
        <w:t>供应商名称：</w:t>
      </w:r>
      <w:r>
        <w:rPr>
          <w:rFonts w:hint="eastAsia" w:ascii="宋体" w:hAnsi="宋体" w:cs="宋体"/>
          <w:bCs/>
          <w:color w:val="000000"/>
          <w:sz w:val="28"/>
          <w:szCs w:val="28"/>
          <w:lang w:eastAsia="zh-CN"/>
        </w:rPr>
        <w:t>山东海驰厨业有限公司</w:t>
      </w:r>
    </w:p>
    <w:p w14:paraId="291E5996">
      <w:pPr>
        <w:spacing w:line="360" w:lineRule="auto"/>
        <w:rPr>
          <w:rFonts w:hint="eastAsia" w:ascii="宋体" w:hAnsi="宋体" w:eastAsia="宋体" w:cs="宋体"/>
          <w:bCs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Cs/>
          <w:color w:val="000000"/>
          <w:sz w:val="28"/>
          <w:szCs w:val="28"/>
          <w:lang w:eastAsia="zh-CN"/>
        </w:rPr>
        <w:t>供应商地址：</w:t>
      </w:r>
      <w:r>
        <w:rPr>
          <w:rFonts w:hint="eastAsia" w:ascii="宋体" w:hAnsi="宋体" w:cs="宋体"/>
          <w:bCs/>
          <w:color w:val="000000"/>
          <w:sz w:val="28"/>
          <w:szCs w:val="28"/>
          <w:lang w:eastAsia="zh-CN"/>
        </w:rPr>
        <w:t>山东省临沂经济技术开发区梅家埠街道中山路33号</w:t>
      </w:r>
    </w:p>
    <w:p w14:paraId="31FF176C">
      <w:pPr>
        <w:spacing w:line="360" w:lineRule="auto"/>
        <w:rPr>
          <w:rFonts w:hint="eastAsia" w:ascii="宋体" w:hAnsi="宋体" w:eastAsia="宋体" w:cs="宋体"/>
          <w:bCs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Cs/>
          <w:color w:val="000000"/>
          <w:sz w:val="28"/>
          <w:szCs w:val="28"/>
          <w:lang w:eastAsia="zh-CN"/>
        </w:rPr>
        <w:t>中标金额：74.981万元</w:t>
      </w:r>
    </w:p>
    <w:p w14:paraId="1380D0AC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四、主要标的信息</w:t>
      </w:r>
    </w:p>
    <w:tbl>
      <w:tblPr>
        <w:tblStyle w:val="7"/>
        <w:tblW w:w="8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0"/>
      </w:tblGrid>
      <w:tr w14:paraId="219AB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8360" w:type="dxa"/>
          </w:tcPr>
          <w:p w14:paraId="330D886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货物类</w:t>
            </w:r>
          </w:p>
        </w:tc>
      </w:tr>
      <w:tr w14:paraId="22432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1" w:hRule="atLeast"/>
        </w:trPr>
        <w:tc>
          <w:tcPr>
            <w:tcW w:w="8360" w:type="dxa"/>
          </w:tcPr>
          <w:p w14:paraId="46DE6F2B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名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称：</w:t>
            </w: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2026扩增学位-设备购置项目-大兴五小</w:t>
            </w:r>
          </w:p>
          <w:p w14:paraId="00732C78">
            <w:pPr>
              <w:spacing w:line="360" w:lineRule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品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牌：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详见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投标分项报价表</w:t>
            </w:r>
          </w:p>
          <w:p w14:paraId="78C1E6FC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规格型号：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详见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投标分项报价表</w:t>
            </w:r>
          </w:p>
          <w:p w14:paraId="76FFAFFA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数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量：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详见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投标分项报价表</w:t>
            </w:r>
          </w:p>
          <w:p w14:paraId="51654EFE">
            <w:pPr>
              <w:spacing w:line="360" w:lineRule="auto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单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价：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详见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投标分项报价表</w:t>
            </w:r>
          </w:p>
        </w:tc>
      </w:tr>
    </w:tbl>
    <w:p w14:paraId="7B472675">
      <w:pPr>
        <w:spacing w:line="360" w:lineRule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五、评审专家名单：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刘丽珍、崔二维、康超亚、</w:t>
      </w:r>
      <w:r>
        <w:rPr>
          <w:rFonts w:hint="eastAsia" w:ascii="宋体" w:hAnsi="宋体" w:eastAsia="宋体" w:cs="宋体"/>
          <w:sz w:val="28"/>
          <w:szCs w:val="28"/>
        </w:rPr>
        <w:t>张博</w:t>
      </w:r>
      <w:r>
        <w:rPr>
          <w:rFonts w:hint="eastAsia" w:ascii="宋体" w:hAnsi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孙宇欣</w:t>
      </w:r>
    </w:p>
    <w:p w14:paraId="05B33FE3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六、代理服务收费标准及金额：</w:t>
      </w:r>
    </w:p>
    <w:p w14:paraId="4B4533BF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127635</wp:posOffset>
                </wp:positionH>
                <wp:positionV relativeFrom="paragraph">
                  <wp:posOffset>825500</wp:posOffset>
                </wp:positionV>
                <wp:extent cx="2057400" cy="762000"/>
                <wp:effectExtent l="1905" t="4445" r="17145" b="14605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76200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0.05pt;margin-top:65pt;height:60pt;width:162pt;z-index:251659264;mso-width-relative:page;mso-height-relative:page;" filled="f" stroked="t" coordsize="21600,21600" o:gfxdata="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imLeS9YAAAAKAQAADwAAAAAAAAABACAAAAAiAAAAZHJz&#10;L2Rvd25yZXYueG1sUEsBAhQAFAAAAAgAh07iQE1bCrYGAgAA+wMAAA4AAAAAAAAAAQAgAAAAJQEA&#10;AGRycy9lMm9Eb2MueG1sUEsFBgAAAAAGAAYAWQEAAJ0FAAAAAA==&#10;">
                <v:fill on="f" focussize="0,0"/>
                <v:stroke weight="0.5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 w:eastAsia="宋体" w:cs="宋体"/>
          <w:sz w:val="28"/>
          <w:szCs w:val="28"/>
        </w:rPr>
        <w:t>收费标准：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以中标价为基数,按差额定率累进法计算；</w:t>
      </w:r>
      <w:r>
        <w:rPr>
          <w:rFonts w:hint="eastAsia" w:ascii="宋体" w:hAnsi="宋体" w:eastAsia="宋体" w:cs="宋体"/>
          <w:sz w:val="28"/>
          <w:szCs w:val="28"/>
        </w:rPr>
        <w:t>按（■货物类□服务类□工程类）收取。</w:t>
      </w:r>
    </w:p>
    <w:tbl>
      <w:tblPr>
        <w:tblStyle w:val="6"/>
        <w:tblW w:w="8337" w:type="dxa"/>
        <w:tblCellSpacing w:w="0" w:type="dxa"/>
        <w:tblInd w:w="87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89"/>
        <w:gridCol w:w="1889"/>
        <w:gridCol w:w="1514"/>
        <w:gridCol w:w="1545"/>
      </w:tblGrid>
      <w:tr w14:paraId="3F054EB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3389" w:type="dxa"/>
            <w:noWrap w:val="0"/>
            <w:vAlign w:val="center"/>
          </w:tcPr>
          <w:p w14:paraId="1D40ED96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           服务类型</w:t>
            </w:r>
          </w:p>
          <w:p w14:paraId="68F66B35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中标金额（万元）</w:t>
            </w:r>
          </w:p>
        </w:tc>
        <w:tc>
          <w:tcPr>
            <w:tcW w:w="1889" w:type="dxa"/>
            <w:noWrap w:val="0"/>
            <w:vAlign w:val="center"/>
          </w:tcPr>
          <w:p w14:paraId="258BC485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货物招标</w:t>
            </w:r>
          </w:p>
        </w:tc>
        <w:tc>
          <w:tcPr>
            <w:tcW w:w="1514" w:type="dxa"/>
            <w:noWrap w:val="0"/>
            <w:vAlign w:val="center"/>
          </w:tcPr>
          <w:p w14:paraId="1BFBC7D8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服务招标</w:t>
            </w:r>
          </w:p>
        </w:tc>
        <w:tc>
          <w:tcPr>
            <w:tcW w:w="1545" w:type="dxa"/>
            <w:noWrap w:val="0"/>
            <w:vAlign w:val="center"/>
          </w:tcPr>
          <w:p w14:paraId="595FA42E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工程招标</w:t>
            </w:r>
          </w:p>
        </w:tc>
      </w:tr>
      <w:tr w14:paraId="7E85A4E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tblCellSpacing w:w="0" w:type="dxa"/>
        </w:trPr>
        <w:tc>
          <w:tcPr>
            <w:tcW w:w="3389" w:type="dxa"/>
            <w:noWrap w:val="0"/>
            <w:vAlign w:val="center"/>
          </w:tcPr>
          <w:p w14:paraId="119285D9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100以下</w:t>
            </w:r>
          </w:p>
        </w:tc>
        <w:tc>
          <w:tcPr>
            <w:tcW w:w="1889" w:type="dxa"/>
            <w:noWrap w:val="0"/>
            <w:vAlign w:val="center"/>
          </w:tcPr>
          <w:p w14:paraId="7D17EAC0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1.5％</w:t>
            </w:r>
          </w:p>
        </w:tc>
        <w:tc>
          <w:tcPr>
            <w:tcW w:w="1514" w:type="dxa"/>
            <w:noWrap w:val="0"/>
            <w:vAlign w:val="center"/>
          </w:tcPr>
          <w:p w14:paraId="13748B57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1.5％</w:t>
            </w:r>
          </w:p>
        </w:tc>
        <w:tc>
          <w:tcPr>
            <w:tcW w:w="1545" w:type="dxa"/>
            <w:noWrap w:val="0"/>
            <w:vAlign w:val="center"/>
          </w:tcPr>
          <w:p w14:paraId="491693B8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1.0％</w:t>
            </w:r>
          </w:p>
        </w:tc>
      </w:tr>
      <w:tr w14:paraId="3FC8DF1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tblCellSpacing w:w="0" w:type="dxa"/>
        </w:trPr>
        <w:tc>
          <w:tcPr>
            <w:tcW w:w="3389" w:type="dxa"/>
            <w:noWrap w:val="0"/>
            <w:vAlign w:val="center"/>
          </w:tcPr>
          <w:p w14:paraId="45D95D4B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100—500</w:t>
            </w:r>
          </w:p>
        </w:tc>
        <w:tc>
          <w:tcPr>
            <w:tcW w:w="1889" w:type="dxa"/>
            <w:noWrap w:val="0"/>
            <w:vAlign w:val="center"/>
          </w:tcPr>
          <w:p w14:paraId="1ADBE490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1.1％</w:t>
            </w:r>
          </w:p>
        </w:tc>
        <w:tc>
          <w:tcPr>
            <w:tcW w:w="1514" w:type="dxa"/>
            <w:noWrap w:val="0"/>
            <w:vAlign w:val="center"/>
          </w:tcPr>
          <w:p w14:paraId="4D3D3AD7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0.8％</w:t>
            </w:r>
          </w:p>
        </w:tc>
        <w:tc>
          <w:tcPr>
            <w:tcW w:w="1545" w:type="dxa"/>
            <w:noWrap w:val="0"/>
            <w:vAlign w:val="center"/>
          </w:tcPr>
          <w:p w14:paraId="362D0586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0.7％</w:t>
            </w:r>
          </w:p>
        </w:tc>
      </w:tr>
      <w:tr w14:paraId="32CA350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tblCellSpacing w:w="0" w:type="dxa"/>
        </w:trPr>
        <w:tc>
          <w:tcPr>
            <w:tcW w:w="3389" w:type="dxa"/>
            <w:noWrap w:val="0"/>
            <w:vAlign w:val="center"/>
          </w:tcPr>
          <w:p w14:paraId="48A4515E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500—1000</w:t>
            </w:r>
          </w:p>
        </w:tc>
        <w:tc>
          <w:tcPr>
            <w:tcW w:w="1889" w:type="dxa"/>
            <w:noWrap w:val="0"/>
            <w:vAlign w:val="center"/>
          </w:tcPr>
          <w:p w14:paraId="670A8188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0.8％</w:t>
            </w:r>
          </w:p>
        </w:tc>
        <w:tc>
          <w:tcPr>
            <w:tcW w:w="1514" w:type="dxa"/>
            <w:noWrap w:val="0"/>
            <w:vAlign w:val="center"/>
          </w:tcPr>
          <w:p w14:paraId="36AD6D8A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0.45％</w:t>
            </w:r>
          </w:p>
        </w:tc>
        <w:tc>
          <w:tcPr>
            <w:tcW w:w="1545" w:type="dxa"/>
            <w:noWrap w:val="0"/>
            <w:vAlign w:val="center"/>
          </w:tcPr>
          <w:p w14:paraId="4F9499F0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0.55％</w:t>
            </w:r>
          </w:p>
        </w:tc>
      </w:tr>
      <w:tr w14:paraId="0E294C9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tblCellSpacing w:w="0" w:type="dxa"/>
        </w:trPr>
        <w:tc>
          <w:tcPr>
            <w:tcW w:w="3389" w:type="dxa"/>
            <w:noWrap w:val="0"/>
            <w:vAlign w:val="center"/>
          </w:tcPr>
          <w:p w14:paraId="0C1E039E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1000—5000</w:t>
            </w:r>
          </w:p>
        </w:tc>
        <w:tc>
          <w:tcPr>
            <w:tcW w:w="1889" w:type="dxa"/>
            <w:noWrap w:val="0"/>
            <w:vAlign w:val="center"/>
          </w:tcPr>
          <w:p w14:paraId="59A3676C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0.5％</w:t>
            </w:r>
          </w:p>
        </w:tc>
        <w:tc>
          <w:tcPr>
            <w:tcW w:w="1514" w:type="dxa"/>
            <w:noWrap w:val="0"/>
            <w:vAlign w:val="center"/>
          </w:tcPr>
          <w:p w14:paraId="03AB4713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0.25％</w:t>
            </w:r>
          </w:p>
        </w:tc>
        <w:tc>
          <w:tcPr>
            <w:tcW w:w="1545" w:type="dxa"/>
            <w:noWrap w:val="0"/>
            <w:vAlign w:val="center"/>
          </w:tcPr>
          <w:p w14:paraId="19A47EC0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0.35％</w:t>
            </w:r>
          </w:p>
        </w:tc>
      </w:tr>
      <w:tr w14:paraId="3F2DC05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tblCellSpacing w:w="0" w:type="dxa"/>
        </w:trPr>
        <w:tc>
          <w:tcPr>
            <w:tcW w:w="3389" w:type="dxa"/>
            <w:noWrap w:val="0"/>
            <w:vAlign w:val="center"/>
          </w:tcPr>
          <w:p w14:paraId="58E18AD1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5000—10000</w:t>
            </w:r>
          </w:p>
        </w:tc>
        <w:tc>
          <w:tcPr>
            <w:tcW w:w="1889" w:type="dxa"/>
            <w:noWrap w:val="0"/>
            <w:vAlign w:val="center"/>
          </w:tcPr>
          <w:p w14:paraId="133BBF6C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0.25％</w:t>
            </w:r>
          </w:p>
        </w:tc>
        <w:tc>
          <w:tcPr>
            <w:tcW w:w="1514" w:type="dxa"/>
            <w:noWrap w:val="0"/>
            <w:vAlign w:val="center"/>
          </w:tcPr>
          <w:p w14:paraId="7303D3F8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0.1％</w:t>
            </w:r>
          </w:p>
        </w:tc>
        <w:tc>
          <w:tcPr>
            <w:tcW w:w="1545" w:type="dxa"/>
            <w:noWrap w:val="0"/>
            <w:vAlign w:val="center"/>
          </w:tcPr>
          <w:p w14:paraId="7B6C4251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0.2％</w:t>
            </w:r>
          </w:p>
        </w:tc>
      </w:tr>
      <w:tr w14:paraId="2CA2293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tblCellSpacing w:w="0" w:type="dxa"/>
        </w:trPr>
        <w:tc>
          <w:tcPr>
            <w:tcW w:w="3389" w:type="dxa"/>
            <w:noWrap w:val="0"/>
            <w:vAlign w:val="center"/>
          </w:tcPr>
          <w:p w14:paraId="01290D65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10000—100000</w:t>
            </w:r>
          </w:p>
        </w:tc>
        <w:tc>
          <w:tcPr>
            <w:tcW w:w="1889" w:type="dxa"/>
            <w:noWrap w:val="0"/>
            <w:vAlign w:val="center"/>
          </w:tcPr>
          <w:p w14:paraId="35F15A3F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0.05％</w:t>
            </w:r>
          </w:p>
        </w:tc>
        <w:tc>
          <w:tcPr>
            <w:tcW w:w="1514" w:type="dxa"/>
            <w:noWrap w:val="0"/>
            <w:vAlign w:val="center"/>
          </w:tcPr>
          <w:p w14:paraId="3A5F92D2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0.05％</w:t>
            </w:r>
          </w:p>
        </w:tc>
        <w:tc>
          <w:tcPr>
            <w:tcW w:w="1545" w:type="dxa"/>
            <w:noWrap w:val="0"/>
            <w:vAlign w:val="center"/>
          </w:tcPr>
          <w:p w14:paraId="02A9665A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0.05％</w:t>
            </w:r>
          </w:p>
        </w:tc>
      </w:tr>
      <w:tr w14:paraId="469ADB2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tblCellSpacing w:w="0" w:type="dxa"/>
        </w:trPr>
        <w:tc>
          <w:tcPr>
            <w:tcW w:w="3389" w:type="dxa"/>
            <w:noWrap w:val="0"/>
            <w:vAlign w:val="center"/>
          </w:tcPr>
          <w:p w14:paraId="0F83ABBC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1000000以上</w:t>
            </w:r>
          </w:p>
        </w:tc>
        <w:tc>
          <w:tcPr>
            <w:tcW w:w="1889" w:type="dxa"/>
            <w:noWrap w:val="0"/>
            <w:vAlign w:val="center"/>
          </w:tcPr>
          <w:p w14:paraId="6B8332C0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0.01％</w:t>
            </w:r>
          </w:p>
        </w:tc>
        <w:tc>
          <w:tcPr>
            <w:tcW w:w="1514" w:type="dxa"/>
            <w:noWrap w:val="0"/>
            <w:vAlign w:val="center"/>
          </w:tcPr>
          <w:p w14:paraId="3FEFB67C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0.01％</w:t>
            </w:r>
          </w:p>
        </w:tc>
        <w:tc>
          <w:tcPr>
            <w:tcW w:w="1545" w:type="dxa"/>
            <w:noWrap w:val="0"/>
            <w:vAlign w:val="center"/>
          </w:tcPr>
          <w:p w14:paraId="11992DC9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0.01％</w:t>
            </w:r>
          </w:p>
        </w:tc>
      </w:tr>
    </w:tbl>
    <w:p w14:paraId="57321A2E">
      <w:pPr>
        <w:spacing w:line="36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收费金额：1.124715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万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元</w:t>
      </w:r>
    </w:p>
    <w:p w14:paraId="735047D6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七、公告期限</w:t>
      </w:r>
    </w:p>
    <w:p w14:paraId="616149D3">
      <w:pPr>
        <w:spacing w:line="360" w:lineRule="auto"/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自本公告发布之日起1个工作日。</w:t>
      </w:r>
    </w:p>
    <w:p w14:paraId="18875DE3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八、其他补充事宜</w:t>
      </w:r>
    </w:p>
    <w:p w14:paraId="101D1D8A">
      <w:pPr>
        <w:spacing w:line="360" w:lineRule="auto"/>
        <w:rPr>
          <w:rFonts w:hint="default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 xml:space="preserve">    无</w:t>
      </w:r>
    </w:p>
    <w:p w14:paraId="6F247997">
      <w:pPr>
        <w:spacing w:line="360" w:lineRule="auto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九、凡对本次公告内容提出询问，请按以下方式联系。</w:t>
      </w:r>
    </w:p>
    <w:p w14:paraId="35D57EF0">
      <w:pPr>
        <w:pStyle w:val="3"/>
        <w:spacing w:line="360" w:lineRule="auto"/>
        <w:ind w:firstLine="700" w:firstLineChars="250"/>
        <w:rPr>
          <w:rFonts w:hint="eastAsia" w:ascii="宋体" w:hAnsi="宋体" w:eastAsia="宋体" w:cs="宋体"/>
          <w:b w:val="0"/>
          <w:sz w:val="28"/>
          <w:szCs w:val="28"/>
        </w:rPr>
      </w:pPr>
      <w:bookmarkStart w:id="2" w:name="_Toc35393810"/>
      <w:bookmarkStart w:id="3" w:name="_Toc28359100"/>
      <w:bookmarkStart w:id="4" w:name="_Toc35393641"/>
      <w:bookmarkStart w:id="5" w:name="_Toc28359023"/>
      <w:r>
        <w:rPr>
          <w:rFonts w:hint="eastAsia" w:ascii="宋体" w:hAnsi="宋体" w:eastAsia="宋体" w:cs="宋体"/>
          <w:b w:val="0"/>
          <w:sz w:val="28"/>
          <w:szCs w:val="28"/>
        </w:rPr>
        <w:t>1.采购人信息</w:t>
      </w:r>
      <w:bookmarkEnd w:id="2"/>
      <w:bookmarkEnd w:id="3"/>
      <w:bookmarkEnd w:id="4"/>
      <w:bookmarkEnd w:id="5"/>
    </w:p>
    <w:p w14:paraId="669A7070">
      <w:pPr>
        <w:spacing w:line="360" w:lineRule="auto"/>
        <w:ind w:left="1129" w:leftChars="371" w:hanging="350" w:hangingChars="125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名    称：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北京市大兴区第五小学</w:t>
      </w:r>
    </w:p>
    <w:p w14:paraId="32289588">
      <w:pPr>
        <w:spacing w:line="360" w:lineRule="auto"/>
        <w:ind w:left="1129" w:leftChars="371" w:hanging="350" w:hangingChars="125"/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地    址：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大兴区兴丰大街商场南巷</w:t>
      </w:r>
    </w:p>
    <w:p w14:paraId="76D02B10">
      <w:pPr>
        <w:spacing w:line="360" w:lineRule="auto"/>
        <w:ind w:left="1129" w:leftChars="371" w:hanging="350" w:hangingChars="125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联系方式：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老师 010-69241423</w:t>
      </w:r>
    </w:p>
    <w:p w14:paraId="2C39B480">
      <w:pPr>
        <w:pStyle w:val="3"/>
        <w:spacing w:line="360" w:lineRule="auto"/>
        <w:ind w:firstLine="840" w:firstLineChars="300"/>
        <w:rPr>
          <w:rFonts w:hint="eastAsia" w:ascii="宋体" w:hAnsi="宋体" w:eastAsia="宋体" w:cs="宋体"/>
          <w:b w:val="0"/>
          <w:sz w:val="28"/>
          <w:szCs w:val="28"/>
        </w:rPr>
      </w:pPr>
      <w:bookmarkStart w:id="6" w:name="_Toc35393642"/>
      <w:bookmarkStart w:id="7" w:name="_Toc35393811"/>
      <w:bookmarkStart w:id="8" w:name="_Toc28359024"/>
      <w:bookmarkStart w:id="9" w:name="_Toc28359101"/>
      <w:r>
        <w:rPr>
          <w:rFonts w:hint="eastAsia" w:ascii="宋体" w:hAnsi="宋体" w:eastAsia="宋体" w:cs="宋体"/>
          <w:b w:val="0"/>
          <w:sz w:val="28"/>
          <w:szCs w:val="28"/>
        </w:rPr>
        <w:t>2.采购代理机构信息</w:t>
      </w:r>
      <w:bookmarkEnd w:id="6"/>
      <w:bookmarkEnd w:id="7"/>
      <w:bookmarkEnd w:id="8"/>
      <w:bookmarkEnd w:id="9"/>
    </w:p>
    <w:p w14:paraId="3FA7237A">
      <w:pPr>
        <w:spacing w:line="360" w:lineRule="auto"/>
        <w:ind w:firstLine="840" w:firstLineChars="300"/>
        <w:rPr>
          <w:rFonts w:hint="eastAsia" w:ascii="宋体" w:hAnsi="宋体" w:eastAsia="宋体" w:cs="宋体"/>
          <w:kern w:val="0"/>
          <w:sz w:val="28"/>
          <w:szCs w:val="28"/>
          <w:lang w:eastAsia="zh-CN"/>
        </w:rPr>
      </w:pPr>
      <w:bookmarkStart w:id="10" w:name="_Toc28359010"/>
      <w:bookmarkStart w:id="11" w:name="_Toc28359087"/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t>名    称：北京驰度项目管理咨询有限公司</w:t>
      </w:r>
    </w:p>
    <w:p w14:paraId="5BF477D2">
      <w:pPr>
        <w:spacing w:line="360" w:lineRule="auto"/>
        <w:ind w:firstLine="840" w:firstLineChars="300"/>
        <w:rPr>
          <w:rFonts w:hint="eastAsia" w:ascii="宋体" w:hAnsi="宋体" w:eastAsia="宋体" w:cs="宋体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t>地    址：北京市大兴区兴华大街三段67号院4号楼1层103</w:t>
      </w:r>
    </w:p>
    <w:p w14:paraId="114D35F7">
      <w:pPr>
        <w:spacing w:line="360" w:lineRule="auto"/>
        <w:ind w:firstLine="840" w:firstLineChars="300"/>
        <w:rPr>
          <w:rFonts w:hint="eastAsia" w:ascii="宋体" w:hAnsi="宋体" w:eastAsia="宋体" w:cs="宋体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t>联系方式：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孟莉莉、010-61250550</w:t>
      </w:r>
    </w:p>
    <w:p w14:paraId="1DBF03AF">
      <w:pPr>
        <w:spacing w:line="360" w:lineRule="auto"/>
        <w:ind w:firstLine="840" w:firstLineChars="300"/>
        <w:rPr>
          <w:rFonts w:hint="eastAsia" w:ascii="宋体" w:hAnsi="宋体" w:eastAsia="宋体" w:cs="宋体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t>3.项目联系方式</w:t>
      </w:r>
      <w:bookmarkEnd w:id="10"/>
      <w:bookmarkEnd w:id="11"/>
    </w:p>
    <w:p w14:paraId="1C722EC7">
      <w:pPr>
        <w:spacing w:line="360" w:lineRule="auto"/>
        <w:ind w:firstLine="840" w:firstLineChars="300"/>
        <w:rPr>
          <w:rFonts w:hint="eastAsia" w:ascii="宋体" w:hAnsi="宋体" w:eastAsia="宋体" w:cs="宋体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t>项目联系人：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孟莉莉</w:t>
      </w:r>
    </w:p>
    <w:p w14:paraId="30F9B161">
      <w:pPr>
        <w:spacing w:line="360" w:lineRule="auto"/>
        <w:ind w:firstLine="840" w:firstLineChars="300"/>
        <w:rPr>
          <w:rFonts w:hint="eastAsia" w:ascii="宋体" w:hAnsi="宋体" w:eastAsia="宋体" w:cs="宋体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t>电      话：010-61250550</w:t>
      </w:r>
      <w:bookmarkStart w:id="12" w:name="_GoBack"/>
      <w:bookmarkEnd w:id="1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113BD"/>
    <w:rsid w:val="01987FE8"/>
    <w:rsid w:val="03035935"/>
    <w:rsid w:val="04013EC8"/>
    <w:rsid w:val="04082AD7"/>
    <w:rsid w:val="063F4ED6"/>
    <w:rsid w:val="079528D4"/>
    <w:rsid w:val="08597DA5"/>
    <w:rsid w:val="0A283ED3"/>
    <w:rsid w:val="0C4A6383"/>
    <w:rsid w:val="0C7B02EA"/>
    <w:rsid w:val="0F321795"/>
    <w:rsid w:val="0F7554C5"/>
    <w:rsid w:val="10276A88"/>
    <w:rsid w:val="13144FF5"/>
    <w:rsid w:val="132C233E"/>
    <w:rsid w:val="13976895"/>
    <w:rsid w:val="13F07810"/>
    <w:rsid w:val="13F6294C"/>
    <w:rsid w:val="180B4CC4"/>
    <w:rsid w:val="196659AB"/>
    <w:rsid w:val="19792055"/>
    <w:rsid w:val="1A8733A0"/>
    <w:rsid w:val="1D1E20C6"/>
    <w:rsid w:val="1E1B36DB"/>
    <w:rsid w:val="20D71D6E"/>
    <w:rsid w:val="228850B7"/>
    <w:rsid w:val="24E1652B"/>
    <w:rsid w:val="271B474C"/>
    <w:rsid w:val="27CB63C1"/>
    <w:rsid w:val="2DEA4E78"/>
    <w:rsid w:val="2E045F3A"/>
    <w:rsid w:val="2E2B796A"/>
    <w:rsid w:val="2FBD689C"/>
    <w:rsid w:val="351078BA"/>
    <w:rsid w:val="351A6043"/>
    <w:rsid w:val="359D0A22"/>
    <w:rsid w:val="36C070BE"/>
    <w:rsid w:val="3A992100"/>
    <w:rsid w:val="3BD827B4"/>
    <w:rsid w:val="3D4C49BC"/>
    <w:rsid w:val="3F214472"/>
    <w:rsid w:val="411528F3"/>
    <w:rsid w:val="425D7EB7"/>
    <w:rsid w:val="426923B8"/>
    <w:rsid w:val="42E61C5A"/>
    <w:rsid w:val="4392593E"/>
    <w:rsid w:val="449B0822"/>
    <w:rsid w:val="460D74FE"/>
    <w:rsid w:val="47411B55"/>
    <w:rsid w:val="476E221E"/>
    <w:rsid w:val="479223B1"/>
    <w:rsid w:val="490B241B"/>
    <w:rsid w:val="4A985F30"/>
    <w:rsid w:val="4C991AEB"/>
    <w:rsid w:val="4DED20EF"/>
    <w:rsid w:val="500D4CCA"/>
    <w:rsid w:val="506F328F"/>
    <w:rsid w:val="50A56CB1"/>
    <w:rsid w:val="525C15A0"/>
    <w:rsid w:val="52A36228"/>
    <w:rsid w:val="55B654BC"/>
    <w:rsid w:val="566B3F7E"/>
    <w:rsid w:val="58733B38"/>
    <w:rsid w:val="59A56B6D"/>
    <w:rsid w:val="59B655D2"/>
    <w:rsid w:val="5A250E62"/>
    <w:rsid w:val="5A455061"/>
    <w:rsid w:val="5B01542B"/>
    <w:rsid w:val="5C163158"/>
    <w:rsid w:val="5D99194B"/>
    <w:rsid w:val="5F0C439F"/>
    <w:rsid w:val="60B42F40"/>
    <w:rsid w:val="61E909C7"/>
    <w:rsid w:val="637C5F97"/>
    <w:rsid w:val="65336B29"/>
    <w:rsid w:val="658302B0"/>
    <w:rsid w:val="671939D8"/>
    <w:rsid w:val="67D85E18"/>
    <w:rsid w:val="680A728D"/>
    <w:rsid w:val="689709C7"/>
    <w:rsid w:val="6CF070AE"/>
    <w:rsid w:val="6D6D6950"/>
    <w:rsid w:val="6FC84312"/>
    <w:rsid w:val="718F50E7"/>
    <w:rsid w:val="71A52B5D"/>
    <w:rsid w:val="7267462D"/>
    <w:rsid w:val="73334198"/>
    <w:rsid w:val="75A924F0"/>
    <w:rsid w:val="75B415C0"/>
    <w:rsid w:val="761B4886"/>
    <w:rsid w:val="782C253B"/>
    <w:rsid w:val="79F20909"/>
    <w:rsid w:val="7A884DCA"/>
    <w:rsid w:val="7B9003DA"/>
    <w:rsid w:val="7CB27745"/>
    <w:rsid w:val="7CC65694"/>
    <w:rsid w:val="7CDD27F1"/>
    <w:rsid w:val="7E0E55E6"/>
    <w:rsid w:val="7F7B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qFormat/>
    <w:uiPriority w:val="0"/>
    <w:rPr>
      <w:color w:val="428BCA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535</Words>
  <Characters>710</Characters>
  <Lines>0</Lines>
  <Paragraphs>0</Paragraphs>
  <TotalTime>0</TotalTime>
  <ScaleCrop>false</ScaleCrop>
  <LinksUpToDate>false</LinksUpToDate>
  <CharactersWithSpaces>768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2026-07-01T00:59:00Z</dcterms:created>
  <dc:creator>Administrator</dc:creator>
  <cp:lastModifiedBy>111</cp:lastModifiedBy>
  <dcterms:modified xsi:type="dcterms:W3CDTF">2026-08-19T09:54:28Z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eyJoZGlkIjoiM2ZiZjVjYzkzZGFkMjViMWJjMDQ3YmNlZWYyNzRmMGUiLCJ1c2VySWQiOiIzOTY0MjA2MDAifQ==</vt:lpwstr>
  </property>
  <property fmtid="{D5CDD505-2E9C-101B-9397-08002B2CF9AE}" pid="4" name="ICV">
    <vt:lpwstr>A533DB62E2134B83AAA89B7D96AE1F95_12</vt:lpwstr>
  </property>
</Properties>
</file>